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54EA3" w14:textId="77777777" w:rsidR="00D31E7B" w:rsidRDefault="0032270F" w:rsidP="00304231">
      <w:pPr>
        <w:pStyle w:val="Heading1"/>
      </w:pPr>
      <w:bookmarkStart w:id="0" w:name="_GoBack"/>
      <w:bookmarkEnd w:id="0"/>
      <w:r>
        <w:t>P</w:t>
      </w:r>
      <w:r w:rsidR="00AD25C5">
        <w:t>ost-ARP</w:t>
      </w:r>
      <w:r w:rsidR="00D31E7B">
        <w:t xml:space="preserve"> Ambulance Systems Indicators</w:t>
      </w:r>
    </w:p>
    <w:p w14:paraId="37A67904" w14:textId="77777777" w:rsidR="00AD25C5" w:rsidRDefault="00AD25C5" w:rsidP="00774E6B">
      <w:pPr>
        <w:pStyle w:val="Heading2"/>
      </w:pPr>
      <w:r>
        <w:t>Document history</w:t>
      </w:r>
    </w:p>
    <w:tbl>
      <w:tblPr>
        <w:tblStyle w:val="TableGrid"/>
        <w:tblW w:w="9242"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84"/>
        <w:gridCol w:w="7958"/>
      </w:tblGrid>
      <w:tr w:rsidR="00CF0604" w14:paraId="26A3AE3D" w14:textId="77777777" w:rsidTr="00001365">
        <w:trPr>
          <w:trHeight w:val="567"/>
        </w:trPr>
        <w:tc>
          <w:tcPr>
            <w:tcW w:w="1284" w:type="dxa"/>
            <w:tcBorders>
              <w:top w:val="single" w:sz="4" w:space="0" w:color="auto"/>
            </w:tcBorders>
            <w:vAlign w:val="center"/>
          </w:tcPr>
          <w:p w14:paraId="4E367F29" w14:textId="4A24DFAB" w:rsidR="00CF0604" w:rsidRDefault="00CF0604" w:rsidP="00C523D9">
            <w:pPr>
              <w:pStyle w:val="Footer"/>
            </w:pPr>
            <w:r>
              <w:t>201708</w:t>
            </w:r>
            <w:r w:rsidR="002714AD">
              <w:t>1</w:t>
            </w:r>
            <w:r w:rsidR="00C523D9">
              <w:t>1</w:t>
            </w:r>
          </w:p>
        </w:tc>
        <w:tc>
          <w:tcPr>
            <w:tcW w:w="7958" w:type="dxa"/>
            <w:tcBorders>
              <w:top w:val="single" w:sz="4" w:space="0" w:color="auto"/>
            </w:tcBorders>
            <w:vAlign w:val="center"/>
          </w:tcPr>
          <w:p w14:paraId="1BB91692" w14:textId="5A35598B" w:rsidR="00CF0604" w:rsidRDefault="002714AD" w:rsidP="005C014A">
            <w:pPr>
              <w:pStyle w:val="Footer"/>
            </w:pPr>
            <w:r>
              <w:t xml:space="preserve">Agreed </w:t>
            </w:r>
            <w:r w:rsidR="00CF0604">
              <w:t>aft</w:t>
            </w:r>
            <w:r w:rsidR="00B46BE1">
              <w:t xml:space="preserve">er 2 Aug </w:t>
            </w:r>
            <w:r>
              <w:t>Ambulance Response Programme</w:t>
            </w:r>
            <w:r w:rsidR="00B46BE1">
              <w:t xml:space="preserve"> </w:t>
            </w:r>
            <w:r>
              <w:t xml:space="preserve">(ARP) Development </w:t>
            </w:r>
            <w:r w:rsidR="00B46BE1">
              <w:t>Group</w:t>
            </w:r>
            <w:r>
              <w:t>. Drafting notes removed.</w:t>
            </w:r>
          </w:p>
        </w:tc>
      </w:tr>
      <w:tr w:rsidR="00001365" w14:paraId="7FE2CCA4" w14:textId="77777777" w:rsidTr="00762878">
        <w:trPr>
          <w:trHeight w:val="794"/>
        </w:trPr>
        <w:tc>
          <w:tcPr>
            <w:tcW w:w="1284" w:type="dxa"/>
            <w:vAlign w:val="center"/>
          </w:tcPr>
          <w:p w14:paraId="5688123B" w14:textId="3AD19C13" w:rsidR="00001365" w:rsidRDefault="00001365" w:rsidP="00C523D9">
            <w:pPr>
              <w:pStyle w:val="Footer"/>
            </w:pPr>
            <w:r>
              <w:t>20170914</w:t>
            </w:r>
          </w:p>
        </w:tc>
        <w:tc>
          <w:tcPr>
            <w:tcW w:w="7958" w:type="dxa"/>
            <w:vAlign w:val="center"/>
          </w:tcPr>
          <w:p w14:paraId="1D3D8703" w14:textId="77777777" w:rsidR="00001365" w:rsidRDefault="00001365" w:rsidP="00001365">
            <w:pPr>
              <w:pStyle w:val="Footer"/>
            </w:pPr>
            <w:r>
              <w:t>Pages 11 and 19: The denominator changed from (A17+A56) to A7 for the recommended Hear &amp; Treat, See &amp; Treat, and See &amp; Convey rates.</w:t>
            </w:r>
          </w:p>
          <w:p w14:paraId="3D304563" w14:textId="4C04BC8C" w:rsidR="00001365" w:rsidRDefault="00001365" w:rsidP="00001365">
            <w:pPr>
              <w:pStyle w:val="Footer"/>
            </w:pPr>
            <w:r>
              <w:t>This does not affect how any of the data items A0 to A73 are calculated by trusts.</w:t>
            </w:r>
          </w:p>
        </w:tc>
      </w:tr>
      <w:tr w:rsidR="00091F09" w14:paraId="4327818D" w14:textId="77777777" w:rsidTr="00762878">
        <w:trPr>
          <w:trHeight w:val="1020"/>
        </w:trPr>
        <w:tc>
          <w:tcPr>
            <w:tcW w:w="1284" w:type="dxa"/>
            <w:vAlign w:val="center"/>
          </w:tcPr>
          <w:p w14:paraId="69ABDBFC" w14:textId="71672EDE" w:rsidR="00091F09" w:rsidRDefault="00091F09" w:rsidP="00C935D3">
            <w:pPr>
              <w:pStyle w:val="Footer"/>
            </w:pPr>
            <w:r w:rsidRPr="00091F09">
              <w:t>2017092</w:t>
            </w:r>
            <w:r w:rsidR="00C935D3">
              <w:t>6</w:t>
            </w:r>
          </w:p>
        </w:tc>
        <w:tc>
          <w:tcPr>
            <w:tcW w:w="7958" w:type="dxa"/>
            <w:vAlign w:val="center"/>
          </w:tcPr>
          <w:p w14:paraId="41F84FF0" w14:textId="52E84F13" w:rsidR="00E215E7" w:rsidRDefault="00762878" w:rsidP="00E215E7">
            <w:pPr>
              <w:pStyle w:val="Footer"/>
            </w:pPr>
            <w:r>
              <w:t>Pages 7 and 19: All c</w:t>
            </w:r>
            <w:r w:rsidR="00E215E7">
              <w:t>alls from HCPs included in A53 to A56</w:t>
            </w:r>
            <w:r w:rsidR="00136FC1">
              <w:t xml:space="preserve">. Consequently, </w:t>
            </w:r>
            <w:r w:rsidR="006057D2">
              <w:t xml:space="preserve">definition of A7 no longer includes </w:t>
            </w:r>
            <w:r w:rsidR="00E215E7">
              <w:t xml:space="preserve">A57 </w:t>
            </w:r>
            <w:r w:rsidR="006057D2">
              <w:t xml:space="preserve">to A61, </w:t>
            </w:r>
            <w:r>
              <w:t>to avoid double counting of calls from HCPs</w:t>
            </w:r>
            <w:r w:rsidR="00602266">
              <w:t>.</w:t>
            </w:r>
          </w:p>
          <w:p w14:paraId="237876A3" w14:textId="352E8091" w:rsidR="00762878" w:rsidRDefault="00762878" w:rsidP="00762878">
            <w:pPr>
              <w:pStyle w:val="Footer"/>
            </w:pPr>
            <w:r>
              <w:t>Page 12: Calculation to assess how well</w:t>
            </w:r>
            <w:r w:rsidRPr="00762878">
              <w:t xml:space="preserve"> </w:t>
            </w:r>
            <w:r>
              <w:t>C4H is identified displayed after A23.</w:t>
            </w:r>
          </w:p>
          <w:p w14:paraId="012352AE" w14:textId="5F6C0DF9" w:rsidR="00602266" w:rsidRDefault="00762878" w:rsidP="00762878">
            <w:pPr>
              <w:pStyle w:val="Footer"/>
            </w:pPr>
            <w:r>
              <w:t xml:space="preserve">Page 17: Clarification that all </w:t>
            </w:r>
            <w:r w:rsidR="008F2FAE">
              <w:t xml:space="preserve">trust-dispatched resources to be included </w:t>
            </w:r>
            <w:r>
              <w:t>in A39 to A48.</w:t>
            </w:r>
          </w:p>
        </w:tc>
      </w:tr>
    </w:tbl>
    <w:p w14:paraId="5172932F" w14:textId="53A90FFE" w:rsidR="001502C4" w:rsidRDefault="001502C4" w:rsidP="008A0A1E">
      <w:pPr>
        <w:pStyle w:val="NoSpacing"/>
      </w:pPr>
      <w:bookmarkStart w:id="1" w:name="_Section_1:_General"/>
      <w:bookmarkEnd w:id="1"/>
    </w:p>
    <w:p w14:paraId="202CF886" w14:textId="77777777" w:rsidR="004F39FB" w:rsidRDefault="00D139AD" w:rsidP="00D139AD">
      <w:pPr>
        <w:pStyle w:val="Heading1"/>
      </w:pPr>
      <w:r>
        <w:t xml:space="preserve">Section 1: </w:t>
      </w:r>
      <w:r w:rsidR="004F39FB">
        <w:t>Introduction</w:t>
      </w:r>
    </w:p>
    <w:p w14:paraId="7846EB77" w14:textId="772BBEFD" w:rsidR="00DF1644" w:rsidRDefault="00DF1644" w:rsidP="00774E6B">
      <w:pPr>
        <w:pStyle w:val="BodyText"/>
      </w:pPr>
      <w:r>
        <w:t>A new series of standards, indicators and measures ha</w:t>
      </w:r>
      <w:r w:rsidR="00614879">
        <w:t>s</w:t>
      </w:r>
      <w:r>
        <w:t xml:space="preserve"> been </w:t>
      </w:r>
      <w:r w:rsidR="00614879">
        <w:t>introduced</w:t>
      </w:r>
      <w:r>
        <w:t xml:space="preserve"> through the Ambulance Response Programme (</w:t>
      </w:r>
      <w:hyperlink r:id="rId9" w:history="1">
        <w:r w:rsidR="00651229" w:rsidRPr="006144C5" w:rsidDel="00D139AD">
          <w:rPr>
            <w:rStyle w:val="Hyperlink"/>
          </w:rPr>
          <w:t>ARP</w:t>
        </w:r>
      </w:hyperlink>
      <w:r>
        <w:t>) for publication in the NHS England Ambulance Quality Indicators (</w:t>
      </w:r>
      <w:hyperlink r:id="rId10" w:history="1">
        <w:r w:rsidRPr="002714AD">
          <w:rPr>
            <w:rStyle w:val="Hyperlink"/>
          </w:rPr>
          <w:t>AQI</w:t>
        </w:r>
      </w:hyperlink>
      <w:r>
        <w:t>). This technical guidance has been developed to ensure that all aspects of ambulance performance are measured accurately and consistently. It also sets out a framework to ensure that the operating model allows for local flexibility where that adds value for patients.</w:t>
      </w:r>
    </w:p>
    <w:p w14:paraId="53C43CAD" w14:textId="13E36EE5" w:rsidR="00DF1644" w:rsidRDefault="00DF1644" w:rsidP="00774E6B">
      <w:pPr>
        <w:pStyle w:val="BodyText"/>
      </w:pPr>
      <w:r>
        <w:t xml:space="preserve">The following sections summarise some of the key elements of the technical guidance; they are not exhaustive and should be read in conjunction with the technical guidance. With the pace of local innovation and continuing development </w:t>
      </w:r>
      <w:r w:rsidR="00614879">
        <w:t>in</w:t>
      </w:r>
      <w:r>
        <w:t xml:space="preserve"> clinical practice, it is not possible to describe within the technical guidance every scheme that </w:t>
      </w:r>
      <w:r w:rsidR="00E27E4E">
        <w:t>Trusts</w:t>
      </w:r>
      <w:r>
        <w:t xml:space="preserve"> may initiate. The guiding principle must always be that </w:t>
      </w:r>
      <w:r w:rsidR="00E27E4E">
        <w:t>Trusts</w:t>
      </w:r>
      <w:r w:rsidR="00A745BE">
        <w:t xml:space="preserve"> </w:t>
      </w:r>
      <w:r>
        <w:t>should put arrangements in place that are in the best interests of patients. Those interpreting the technical guidance for operational use should use these sections as a cross reference to ensure that the interpretation they have reached is in line with the intended spirit of the rules.</w:t>
      </w:r>
    </w:p>
    <w:p w14:paraId="2A5889D9" w14:textId="77777777" w:rsidR="00DF1644" w:rsidRDefault="00DF1644" w:rsidP="005C014A">
      <w:pPr>
        <w:pStyle w:val="Heading2"/>
      </w:pPr>
      <w:r>
        <w:t>Triage</w:t>
      </w:r>
    </w:p>
    <w:p w14:paraId="21AD0ADF" w14:textId="6FFDD59F" w:rsidR="00DF1644" w:rsidRDefault="00DF1644" w:rsidP="00774E6B">
      <w:pPr>
        <w:pStyle w:val="BodyText"/>
      </w:pPr>
      <w:r>
        <w:t xml:space="preserve">Ambulance </w:t>
      </w:r>
      <w:r w:rsidR="00E27E4E">
        <w:t xml:space="preserve">Trusts </w:t>
      </w:r>
      <w:r>
        <w:t xml:space="preserve">will use one of the approved triage tools to allocate incidents to one of the new response categories as quickly and accurately as possible. Pre-Triage questions have been proven to identify Category 1 </w:t>
      </w:r>
      <w:r w:rsidR="00BC74E0">
        <w:t xml:space="preserve">(C1) </w:t>
      </w:r>
      <w:r>
        <w:t>incidents at the earliest opportunity</w:t>
      </w:r>
      <w:r w:rsidR="00614879">
        <w:t>,</w:t>
      </w:r>
      <w:r>
        <w:t xml:space="preserve"> and must be used by all </w:t>
      </w:r>
      <w:r w:rsidR="00E27E4E">
        <w:t xml:space="preserve">Trusts </w:t>
      </w:r>
      <w:r>
        <w:t>to improve the speed of response to these patients. The Nature of Call (NoC) process has also been shown to offer significant benefits in some trial site</w:t>
      </w:r>
      <w:r w:rsidR="00A745BE">
        <w:t>s</w:t>
      </w:r>
      <w:r w:rsidR="00E27E4E">
        <w:t xml:space="preserve"> Trusts</w:t>
      </w:r>
      <w:r>
        <w:t>. Use of NoC is not currently mandatory</w:t>
      </w:r>
      <w:r w:rsidR="00614879">
        <w:t>,</w:t>
      </w:r>
      <w:r>
        <w:t xml:space="preserve"> but </w:t>
      </w:r>
      <w:r w:rsidR="00E27E4E">
        <w:t xml:space="preserve">Trusts </w:t>
      </w:r>
      <w:r>
        <w:t>should explore whether the process offers benefits in their setting.</w:t>
      </w:r>
    </w:p>
    <w:p w14:paraId="0686D9F8" w14:textId="2D5DC5E5" w:rsidR="00DF1644" w:rsidRDefault="00DF1644" w:rsidP="00774E6B">
      <w:pPr>
        <w:pStyle w:val="BodyText"/>
      </w:pPr>
      <w:r>
        <w:t xml:space="preserve">Incidents passed to </w:t>
      </w:r>
      <w:r w:rsidR="00A745BE">
        <w:t>A</w:t>
      </w:r>
      <w:r>
        <w:t xml:space="preserve">mbulance </w:t>
      </w:r>
      <w:r w:rsidR="00E27E4E">
        <w:t xml:space="preserve">Trusts </w:t>
      </w:r>
      <w:r>
        <w:t xml:space="preserve">by </w:t>
      </w:r>
      <w:r w:rsidR="00651229">
        <w:t xml:space="preserve">NHS </w:t>
      </w:r>
      <w:r>
        <w:t>111 providers must be managed in the same way as 999 calls. Requests from other healthcare professionals and requests for inter-facility transfers should be assessed using one of the approved triage tools or a locally agreed protocol that matches the incident to the appropriate response category. Such calls should be categorised according to the patient’s condition rather than assigned to a particular category simply because the incident originates with a healthcare professional or relates to an inter-facility transfer.</w:t>
      </w:r>
    </w:p>
    <w:p w14:paraId="7E64A11C" w14:textId="4F17413B" w:rsidR="00DF1644" w:rsidRDefault="00DF1644" w:rsidP="00774E6B">
      <w:pPr>
        <w:pStyle w:val="BodyText"/>
      </w:pPr>
      <w:r>
        <w:t xml:space="preserve">Incidents may be re-triaged on the basis of new information or developments in the patient’s clinical condition in order to ensure that the patient receives the most appropriate response. These arrangements must not delay the dispatch of a responding resource. </w:t>
      </w:r>
      <w:r w:rsidR="00614879">
        <w:t>O</w:t>
      </w:r>
      <w:r>
        <w:t xml:space="preserve">utgoing calls from </w:t>
      </w:r>
      <w:r w:rsidR="00651229">
        <w:t>Emergency Operations Centres</w:t>
      </w:r>
      <w:r w:rsidR="00651229" w:rsidRPr="00F341F6">
        <w:t xml:space="preserve"> </w:t>
      </w:r>
      <w:r w:rsidR="00651229">
        <w:t>(</w:t>
      </w:r>
      <w:r>
        <w:t>EOC</w:t>
      </w:r>
      <w:r w:rsidR="00651229">
        <w:t>)</w:t>
      </w:r>
      <w:r>
        <w:t xml:space="preserve"> that are initiated by an ambulance non-clinician may not result in the incident being assigned to a lower priority category than the original call. </w:t>
      </w:r>
      <w:r w:rsidR="00614879">
        <w:t>In addition</w:t>
      </w:r>
      <w:r>
        <w:t xml:space="preserve">, </w:t>
      </w:r>
      <w:r w:rsidR="00651229">
        <w:t>C</w:t>
      </w:r>
      <w:r>
        <w:t>1 incidents may not be downgraded to a lower priority as a consequence of additional clinical assessment processes.</w:t>
      </w:r>
    </w:p>
    <w:p w14:paraId="75859AD7" w14:textId="3F6F7278" w:rsidR="00DF1644" w:rsidRDefault="00DF1644" w:rsidP="00774E6B">
      <w:pPr>
        <w:pStyle w:val="BodyText"/>
      </w:pPr>
      <w:r>
        <w:t xml:space="preserve">Re-triage may take place until the arrival of </w:t>
      </w:r>
      <w:r w:rsidR="006A449A">
        <w:t>a</w:t>
      </w:r>
      <w:r>
        <w:t xml:space="preserve"> </w:t>
      </w:r>
      <w:r w:rsidR="00E27E4E">
        <w:t xml:space="preserve">Trust </w:t>
      </w:r>
      <w:r>
        <w:t>vehicle</w:t>
      </w:r>
      <w:r w:rsidR="00614879">
        <w:t>,</w:t>
      </w:r>
      <w:r>
        <w:t xml:space="preserve"> but the category of the incident may not be changed once the vehicle has arrived on scene. We recognise that in some incidents the first clinician on scene may determine that emergency transportation is not required</w:t>
      </w:r>
      <w:r w:rsidR="00115045">
        <w:t>,</w:t>
      </w:r>
      <w:r>
        <w:t xml:space="preserve"> and that it is appropriate to book an alternative means of conveyance in a timescale appropriate to patient’s needs. The technical guidance has been constructed to allow for this practice in order to preserve emergency ambulances for those patients whose condition require</w:t>
      </w:r>
      <w:r w:rsidR="00115045">
        <w:t>s</w:t>
      </w:r>
      <w:r>
        <w:t xml:space="preserve"> </w:t>
      </w:r>
      <w:r w:rsidR="00B46BE1">
        <w:t xml:space="preserve">an </w:t>
      </w:r>
      <w:r>
        <w:t>emergency conveyance</w:t>
      </w:r>
      <w:r w:rsidR="00B46BE1">
        <w:t xml:space="preserve"> or conveyance by a fully equipped and appropriately clinically staffed ambulance</w:t>
      </w:r>
      <w:r>
        <w:t>.</w:t>
      </w:r>
    </w:p>
    <w:p w14:paraId="21922B0F" w14:textId="4CECA864" w:rsidR="00DF1644" w:rsidRDefault="00DF1644" w:rsidP="005C014A">
      <w:pPr>
        <w:pStyle w:val="Heading2"/>
      </w:pPr>
      <w:r>
        <w:t>Category 1</w:t>
      </w:r>
      <w:r w:rsidR="00D24B54">
        <w:t xml:space="preserve"> (C1)</w:t>
      </w:r>
    </w:p>
    <w:p w14:paraId="7F8AA926" w14:textId="153EAB47" w:rsidR="00DF1644" w:rsidRDefault="00DF1644" w:rsidP="00774E6B">
      <w:pPr>
        <w:pStyle w:val="BodyText"/>
      </w:pPr>
      <w:r>
        <w:t xml:space="preserve">The intent is to ensure that C1 incidents are identified and responded to as quickly as possible with resources appropriate to the patient’s needs. To this end, we have introduced new measures to identify what proportion of </w:t>
      </w:r>
      <w:r w:rsidR="00651229">
        <w:t>C</w:t>
      </w:r>
      <w:r>
        <w:t>1 incidents are identified through the process</w:t>
      </w:r>
      <w:r w:rsidR="00115045">
        <w:t>es</w:t>
      </w:r>
      <w:r>
        <w:t xml:space="preserve"> known as Pre-Triage Sieve and </w:t>
      </w:r>
      <w:r w:rsidR="00651229">
        <w:t>NoC</w:t>
      </w:r>
      <w:r w:rsidR="00115045">
        <w:t>,</w:t>
      </w:r>
      <w:r>
        <w:t xml:space="preserve"> and how long it takes </w:t>
      </w:r>
      <w:r w:rsidR="00E27E4E">
        <w:t xml:space="preserve">Trusts </w:t>
      </w:r>
      <w:r>
        <w:t>to do so.</w:t>
      </w:r>
    </w:p>
    <w:p w14:paraId="05881AAF" w14:textId="05E53839" w:rsidR="00DF1644" w:rsidRDefault="00651229" w:rsidP="00774E6B">
      <w:pPr>
        <w:pStyle w:val="BodyText"/>
      </w:pPr>
      <w:r>
        <w:t>C</w:t>
      </w:r>
      <w:r w:rsidR="00DF1644">
        <w:t xml:space="preserve">1 comprises around 8% of incidents and covers a wider range of conditions than the former Red 1 category. For this reason, the attendance of a bystander with a defibrillator will no longer be regarded as a response that stops the ambulance response time clock. </w:t>
      </w:r>
      <w:r w:rsidR="00115045">
        <w:t xml:space="preserve">However, </w:t>
      </w:r>
      <w:r w:rsidR="00DF1644">
        <w:t xml:space="preserve">First Responder schemes, through which the </w:t>
      </w:r>
      <w:r w:rsidR="00E27E4E">
        <w:t xml:space="preserve">Trust </w:t>
      </w:r>
      <w:r w:rsidR="00DF1644">
        <w:t>actively deploy</w:t>
      </w:r>
      <w:r w:rsidR="00115045">
        <w:t>s</w:t>
      </w:r>
      <w:r w:rsidR="00DF1644">
        <w:t xml:space="preserve"> volunteers and staff from other agencies who have additional training and capabilities in airway management and oxygen therapy, are deemed to be an appropriate resource to stop the </w:t>
      </w:r>
      <w:r w:rsidR="001502C4">
        <w:t xml:space="preserve">response time </w:t>
      </w:r>
      <w:r w:rsidR="00DF1644">
        <w:t>clock</w:t>
      </w:r>
      <w:r w:rsidR="00115045">
        <w:t xml:space="preserve"> for C1 patients</w:t>
      </w:r>
      <w:r w:rsidR="00DF1644">
        <w:t xml:space="preserve">. It continues to be the policy that the deployment of a First Responder must not delay the deployment of a </w:t>
      </w:r>
      <w:r w:rsidR="00E27E4E">
        <w:t xml:space="preserve">Trust </w:t>
      </w:r>
      <w:r w:rsidR="00DF1644">
        <w:t>response vehicle.</w:t>
      </w:r>
      <w:r w:rsidR="00115045" w:rsidRPr="00115045">
        <w:t xml:space="preserve"> A Health Care Professional </w:t>
      </w:r>
      <w:r w:rsidR="00B46BE1">
        <w:t xml:space="preserve">(HCP) </w:t>
      </w:r>
      <w:r w:rsidR="00115045" w:rsidRPr="00115045">
        <w:t xml:space="preserve">on scene with a </w:t>
      </w:r>
      <w:r w:rsidR="00D24B54">
        <w:t>C</w:t>
      </w:r>
      <w:r w:rsidR="00115045" w:rsidRPr="00115045">
        <w:t xml:space="preserve">1 patient, who has access to a defibrillator, is the only example where a resource that has not been deployed by the </w:t>
      </w:r>
      <w:r w:rsidR="00E27E4E">
        <w:t xml:space="preserve">Trust </w:t>
      </w:r>
      <w:r w:rsidR="00115045" w:rsidRPr="00115045">
        <w:t>can stop the clock.</w:t>
      </w:r>
    </w:p>
    <w:p w14:paraId="51745310" w14:textId="77777777" w:rsidR="00DF1644" w:rsidRDefault="00DF1644" w:rsidP="00774E6B">
      <w:pPr>
        <w:pStyle w:val="BodyText"/>
      </w:pPr>
      <w:r>
        <w:t>We recognise the importance of early defibrillation and cardio-pulmonary resuscitation (CPR)</w:t>
      </w:r>
      <w:r w:rsidR="00115045">
        <w:t>,</w:t>
      </w:r>
      <w:r>
        <w:t xml:space="preserve"> and the positive impact that these interventions have on patient outcomes. Bystander defibrillation and CPR will be encouraged through the introduction of a new measure from the time of the call to the time of commencement of CPR.</w:t>
      </w:r>
    </w:p>
    <w:p w14:paraId="76A35C15" w14:textId="74ADF335" w:rsidR="00DF1644" w:rsidRDefault="00DF1644" w:rsidP="00774E6B">
      <w:pPr>
        <w:pStyle w:val="BodyText"/>
      </w:pPr>
      <w:r>
        <w:t xml:space="preserve">We have encouraged the rapid provision of transportation for </w:t>
      </w:r>
      <w:r w:rsidR="00651229">
        <w:t>C</w:t>
      </w:r>
      <w:r>
        <w:t>1 patients by retaining a measure for the arrival of the conveying resource</w:t>
      </w:r>
      <w:r w:rsidR="00DF1D94">
        <w:t>,</w:t>
      </w:r>
      <w:r>
        <w:t xml:space="preserve"> C1T. We have tightened the clock start for this measure by aligning the C1T clock start to the C1 clock start rather than giving the option to start the clock at the point that the first clinician on scene requests conveyance. We have not specified what type of vehicle counts as a conveying resource in recognition of innovations such as advanced paramedics operating in cars adapted for the transportation of suitable patients. The intent is to measure the arrival of the vehicle that was able to convey the patient. For example, a car would not stop the C1T response time clock if it is not the vehicle that conveys the patient.</w:t>
      </w:r>
    </w:p>
    <w:p w14:paraId="3BBA1E7D" w14:textId="77777777" w:rsidR="00DF1644" w:rsidRDefault="00DF1644" w:rsidP="005C014A">
      <w:pPr>
        <w:pStyle w:val="Heading2"/>
      </w:pPr>
      <w:r>
        <w:t>Category 2, 3 and 4</w:t>
      </w:r>
      <w:r w:rsidR="003C2F59">
        <w:t xml:space="preserve"> (C2, C3 and C4)</w:t>
      </w:r>
    </w:p>
    <w:p w14:paraId="6E306837" w14:textId="19F4128A" w:rsidR="00DF1644" w:rsidRDefault="00DF1644" w:rsidP="00774E6B">
      <w:pPr>
        <w:pStyle w:val="BodyText"/>
      </w:pPr>
      <w:r>
        <w:t xml:space="preserve">The intent is to ensure that patients in these categories who require transportation receive a conveying resource in a timeframe appropriate to their clinical needs. The technical guidance is intended to prevent situations where a patient is attended by an ambulance solo responder </w:t>
      </w:r>
      <w:r w:rsidR="00115045">
        <w:t xml:space="preserve">simply to </w:t>
      </w:r>
      <w:r>
        <w:t>stop the response time clock</w:t>
      </w:r>
      <w:r w:rsidR="00115045">
        <w:t>,</w:t>
      </w:r>
      <w:r>
        <w:t xml:space="preserve"> but</w:t>
      </w:r>
      <w:r w:rsidR="00115045">
        <w:t xml:space="preserve"> who</w:t>
      </w:r>
      <w:r>
        <w:t xml:space="preserve"> is not able to convey the patient to a place of definitive care.</w:t>
      </w:r>
    </w:p>
    <w:p w14:paraId="521AF8C5" w14:textId="77777777" w:rsidR="00DF1644" w:rsidRDefault="00DF1644" w:rsidP="00774E6B">
      <w:pPr>
        <w:pStyle w:val="BodyText"/>
      </w:pPr>
      <w:r>
        <w:t>To that end an ambulance solo responder will only stop the clock where no patient is conveyed. For all incidents that require transportation in an emergency timescale, it is the arrival of the conveying resource that will stop the clock. In addition, we have introduced clinical measures (not included in this technical guidance) to ensure the rapid response of a conveying resource to stroke and ST</w:t>
      </w:r>
      <w:r w:rsidR="00651229">
        <w:t>-elevated Myocardial Infarction (ST</w:t>
      </w:r>
      <w:r>
        <w:t>EMI</w:t>
      </w:r>
      <w:r w:rsidR="00651229">
        <w:t>)</w:t>
      </w:r>
      <w:r>
        <w:t xml:space="preserve"> patients.</w:t>
      </w:r>
    </w:p>
    <w:p w14:paraId="2D721059" w14:textId="77777777" w:rsidR="00DF1644" w:rsidRDefault="00DF1644" w:rsidP="005C014A">
      <w:pPr>
        <w:pStyle w:val="Heading2"/>
      </w:pPr>
      <w:r>
        <w:t>Incidents with no face to face response</w:t>
      </w:r>
    </w:p>
    <w:p w14:paraId="0BE9FE60" w14:textId="3A8D0F0D" w:rsidR="00DF1644" w:rsidRDefault="00DF1644" w:rsidP="00774E6B">
      <w:pPr>
        <w:pStyle w:val="BodyText"/>
      </w:pPr>
      <w:r>
        <w:t xml:space="preserve">Under previous measures, the term “incidents with no face to face response” had become synonymous with “hear and treat”. This new technical guidance includes clear, unequivocal </w:t>
      </w:r>
      <w:r w:rsidR="00115045">
        <w:t>direction</w:t>
      </w:r>
      <w:r>
        <w:t xml:space="preserve"> on how </w:t>
      </w:r>
      <w:r w:rsidR="00E27E4E">
        <w:t xml:space="preserve">Trusts </w:t>
      </w:r>
      <w:r>
        <w:t xml:space="preserve">should </w:t>
      </w:r>
      <w:r w:rsidR="00115045">
        <w:t>record</w:t>
      </w:r>
      <w:r>
        <w:t xml:space="preserve"> this activity.</w:t>
      </w:r>
    </w:p>
    <w:p w14:paraId="2AD06CC3" w14:textId="276070F7" w:rsidR="00DF1644" w:rsidRDefault="00DF1644" w:rsidP="00774E6B">
      <w:pPr>
        <w:pStyle w:val="BodyText"/>
      </w:pPr>
      <w:r>
        <w:t xml:space="preserve">We have included approved “stop codes” that all </w:t>
      </w:r>
      <w:r w:rsidR="00E27E4E">
        <w:t xml:space="preserve">Trusts </w:t>
      </w:r>
      <w:r>
        <w:t>should adopt in order to ensure national consistency in the reporting of these measures. We have specifically excluded incidents that do not receive an on-scene response due to demand management arrangements. This is not “hear and treat” activity</w:t>
      </w:r>
      <w:r w:rsidR="00115045">
        <w:t>,</w:t>
      </w:r>
      <w:r>
        <w:t xml:space="preserve"> and should not be recorded as such.</w:t>
      </w:r>
    </w:p>
    <w:p w14:paraId="18E93E0C" w14:textId="0D06534A" w:rsidR="00DF1644" w:rsidRDefault="00DF1644" w:rsidP="00774E6B">
      <w:pPr>
        <w:pStyle w:val="BodyText"/>
      </w:pPr>
      <w:r>
        <w:t>The guidance sets out how we will measure incidents “closed with advice” and incidents “referred to another service” separately</w:t>
      </w:r>
      <w:r w:rsidR="00115045">
        <w:t>,</w:t>
      </w:r>
      <w:r>
        <w:t xml:space="preserve"> in order to more precisely identify activity that is being definitively resolved by </w:t>
      </w:r>
      <w:r w:rsidR="00E27E4E">
        <w:t xml:space="preserve">Trusts </w:t>
      </w:r>
      <w:r>
        <w:t>through hear and treat processes.</w:t>
      </w:r>
    </w:p>
    <w:p w14:paraId="46FE1798" w14:textId="06195AC8" w:rsidR="00DF1644" w:rsidRDefault="00DF1644" w:rsidP="00774E6B">
      <w:pPr>
        <w:pStyle w:val="BodyText"/>
      </w:pPr>
      <w:r>
        <w:t>In addition, we will measure separately the sub set of codes known as Category 4H</w:t>
      </w:r>
      <w:r w:rsidR="00651229">
        <w:t xml:space="preserve"> (C4H</w:t>
      </w:r>
      <w:r>
        <w:t>) that we have pre-determined should have a high probability of being manage</w:t>
      </w:r>
      <w:r w:rsidR="00115045">
        <w:t>d</w:t>
      </w:r>
      <w:r>
        <w:t xml:space="preserve"> through hear and treat processes. Through this measure, it is our intent to drive the </w:t>
      </w:r>
      <w:r w:rsidR="00115045">
        <w:t xml:space="preserve">appropriate and </w:t>
      </w:r>
      <w:r>
        <w:t>efficient use of ambulance resources.</w:t>
      </w:r>
    </w:p>
    <w:p w14:paraId="1CDBF5C4" w14:textId="0F15A6E1" w:rsidR="00DF1644" w:rsidRDefault="00DF1644" w:rsidP="00774E6B">
      <w:pPr>
        <w:pStyle w:val="BodyText"/>
      </w:pPr>
      <w:r>
        <w:t>We will also measure incidents categorised as C2, C3 and C4 that are recorded as “closed with advice” and incidents “referred to another service” in order to identify any additional codes that could potentially be added to the C4H sub-set</w:t>
      </w:r>
      <w:r w:rsidR="00115045">
        <w:t>,</w:t>
      </w:r>
      <w:r>
        <w:t xml:space="preserve"> and to </w:t>
      </w:r>
      <w:r w:rsidR="00115045">
        <w:t xml:space="preserve">support the </w:t>
      </w:r>
      <w:r>
        <w:t xml:space="preserve">appropriate </w:t>
      </w:r>
      <w:r w:rsidR="00115045">
        <w:t>use of “</w:t>
      </w:r>
      <w:r>
        <w:t>hear and treat</w:t>
      </w:r>
      <w:r w:rsidR="00115045">
        <w:t>”</w:t>
      </w:r>
      <w:r>
        <w:t>.</w:t>
      </w:r>
    </w:p>
    <w:p w14:paraId="3D7027FC" w14:textId="77777777" w:rsidR="00DF1644" w:rsidRDefault="00DF1644" w:rsidP="005C014A">
      <w:pPr>
        <w:pStyle w:val="Heading2"/>
      </w:pPr>
      <w:r>
        <w:t>Ongoing review</w:t>
      </w:r>
    </w:p>
    <w:p w14:paraId="12BAC8D7" w14:textId="77777777" w:rsidR="00DF1644" w:rsidRDefault="00DF1644" w:rsidP="00774E6B">
      <w:pPr>
        <w:pStyle w:val="BodyText"/>
      </w:pPr>
      <w:r>
        <w:t xml:space="preserve">These systems indicators will be reviewed during the national roll out of the new operating model and will remain under the governance of the ARP. Any proposed amendments should be submitted through the ARP Delivery Group for consideration by the ARP Development Group in </w:t>
      </w:r>
      <w:r w:rsidR="00651229">
        <w:t>s</w:t>
      </w:r>
      <w:r>
        <w:t>pring 2018.</w:t>
      </w:r>
    </w:p>
    <w:p w14:paraId="22B78EDD" w14:textId="77777777" w:rsidR="00651229" w:rsidRDefault="00651229" w:rsidP="00B32AF1">
      <w:pPr>
        <w:pStyle w:val="Heading1"/>
        <w:sectPr w:rsidR="00651229" w:rsidSect="00EC71A7">
          <w:headerReference w:type="default" r:id="rId11"/>
          <w:footerReference w:type="default" r:id="rId12"/>
          <w:pgSz w:w="11906" w:h="16838"/>
          <w:pgMar w:top="1440" w:right="1440" w:bottom="1440" w:left="1440" w:header="708" w:footer="708" w:gutter="0"/>
          <w:cols w:space="708"/>
          <w:docGrid w:linePitch="360"/>
        </w:sectPr>
      </w:pPr>
      <w:bookmarkStart w:id="2" w:name="_Section_12:_General"/>
      <w:bookmarkEnd w:id="2"/>
    </w:p>
    <w:p w14:paraId="76F074F2" w14:textId="77777777" w:rsidR="004F39FB" w:rsidRDefault="00B32AF1" w:rsidP="00B32AF1">
      <w:pPr>
        <w:pStyle w:val="Heading1"/>
      </w:pPr>
      <w:bookmarkStart w:id="3" w:name="_Section_2:_General"/>
      <w:bookmarkEnd w:id="3"/>
      <w:r>
        <w:t xml:space="preserve">Section </w:t>
      </w:r>
      <w:r w:rsidR="00D139AD">
        <w:t>2</w:t>
      </w:r>
      <w:r>
        <w:t xml:space="preserve">: </w:t>
      </w:r>
      <w:r w:rsidR="003D5204">
        <w:t>General concepts</w:t>
      </w:r>
    </w:p>
    <w:p w14:paraId="01C35EC1" w14:textId="77777777" w:rsidR="003D5204" w:rsidRDefault="003D5204" w:rsidP="00774E6B">
      <w:pPr>
        <w:pStyle w:val="Heading2"/>
      </w:pPr>
      <w:bookmarkStart w:id="4" w:name="_Cross-border_calls_1"/>
      <w:bookmarkStart w:id="5" w:name="_Call_connect_1"/>
      <w:bookmarkEnd w:id="4"/>
      <w:bookmarkEnd w:id="5"/>
      <w:r>
        <w:t>Call connect</w:t>
      </w:r>
    </w:p>
    <w:p w14:paraId="3F16C8E3" w14:textId="77777777" w:rsidR="003D5204" w:rsidRDefault="00D14E65" w:rsidP="003D5204">
      <w:pPr>
        <w:pStyle w:val="BodyText"/>
      </w:pPr>
      <w:r>
        <w:t>T0</w:t>
      </w:r>
      <w:r w:rsidR="003D5204">
        <w:t xml:space="preserve"> </w:t>
      </w:r>
      <w:r>
        <w:t xml:space="preserve">is call connect, </w:t>
      </w:r>
      <w:r w:rsidR="003D5204">
        <w:t xml:space="preserve">the time at which the call </w:t>
      </w:r>
      <w:r>
        <w:t>i</w:t>
      </w:r>
      <w:r w:rsidR="003D5204">
        <w:t xml:space="preserve">s </w:t>
      </w:r>
      <w:r w:rsidR="00F341F6" w:rsidRPr="00F341F6">
        <w:t xml:space="preserve">connected to the </w:t>
      </w:r>
      <w:r w:rsidR="00F341F6">
        <w:t xml:space="preserve">EOC </w:t>
      </w:r>
      <w:r w:rsidR="00F341F6" w:rsidRPr="00F341F6">
        <w:t xml:space="preserve">telephony </w:t>
      </w:r>
      <w:r w:rsidR="003D5204">
        <w:t>switch</w:t>
      </w:r>
      <w:r w:rsidR="00AC2314">
        <w:t>.</w:t>
      </w:r>
    </w:p>
    <w:p w14:paraId="68257DD6" w14:textId="77777777" w:rsidR="003D5204" w:rsidRDefault="003D5204" w:rsidP="00774E6B">
      <w:pPr>
        <w:pStyle w:val="Heading2"/>
      </w:pPr>
      <w:bookmarkStart w:id="6" w:name="_Call_answer"/>
      <w:bookmarkEnd w:id="6"/>
      <w:r>
        <w:t>Call answer</w:t>
      </w:r>
    </w:p>
    <w:p w14:paraId="015975A1" w14:textId="77777777" w:rsidR="003D5204" w:rsidRDefault="003D5204" w:rsidP="003D5204">
      <w:pPr>
        <w:pStyle w:val="BodyText"/>
      </w:pPr>
      <w:r>
        <w:t>T1</w:t>
      </w:r>
      <w:r w:rsidR="00D14E65">
        <w:t xml:space="preserve"> is call answer</w:t>
      </w:r>
      <w:r>
        <w:t xml:space="preserve">, </w:t>
      </w:r>
      <w:r w:rsidR="00337181">
        <w:t>the time at which a call taker pick</w:t>
      </w:r>
      <w:r w:rsidR="00D14E65">
        <w:t>s</w:t>
      </w:r>
      <w:r w:rsidR="00337181">
        <w:t xml:space="preserve"> up the call and </w:t>
      </w:r>
      <w:r>
        <w:t>beg</w:t>
      </w:r>
      <w:r w:rsidR="00D14E65">
        <w:t>ins</w:t>
      </w:r>
      <w:r>
        <w:t xml:space="preserve"> communicating with </w:t>
      </w:r>
      <w:r w:rsidR="00C91151">
        <w:t>the</w:t>
      </w:r>
      <w:r>
        <w:t xml:space="preserve"> caller</w:t>
      </w:r>
      <w:r w:rsidR="00AC2314">
        <w:t>.</w:t>
      </w:r>
    </w:p>
    <w:p w14:paraId="600250C4" w14:textId="77777777" w:rsidR="00A85413" w:rsidRDefault="00062BC6" w:rsidP="008A0A1E">
      <w:pPr>
        <w:pStyle w:val="BodyText"/>
      </w:pPr>
      <w:r w:rsidRPr="00062BC6">
        <w:t>T5 is identification of dispatch code</w:t>
      </w:r>
      <w:r>
        <w:t>.</w:t>
      </w:r>
    </w:p>
    <w:p w14:paraId="53E160A5" w14:textId="77777777" w:rsidR="001B3084" w:rsidRDefault="001B3084" w:rsidP="00774E6B">
      <w:pPr>
        <w:pStyle w:val="Heading2"/>
      </w:pPr>
      <w:r>
        <w:t>Cross-border calls</w:t>
      </w:r>
      <w:r w:rsidRPr="003D5204">
        <w:t xml:space="preserve"> </w:t>
      </w:r>
    </w:p>
    <w:p w14:paraId="08457F66" w14:textId="77777777" w:rsidR="001B3084" w:rsidRDefault="001B3084" w:rsidP="001B3084">
      <w:pPr>
        <w:pStyle w:val="BodyText"/>
      </w:pPr>
      <w:r w:rsidRPr="00EC215E">
        <w:t xml:space="preserve">The performance reporting for an incident should sit with the </w:t>
      </w:r>
      <w:r>
        <w:t>Ambulance Service</w:t>
      </w:r>
      <w:r w:rsidRPr="00EC215E">
        <w:t xml:space="preserve"> in </w:t>
      </w:r>
      <w:r w:rsidR="00337181">
        <w:t>whose</w:t>
      </w:r>
      <w:r w:rsidR="00337181" w:rsidRPr="00EC215E">
        <w:t xml:space="preserve"> </w:t>
      </w:r>
      <w:r w:rsidRPr="00EC215E">
        <w:t>area the incident occurs, unless there is a reciprocal agreement around certain border areas</w:t>
      </w:r>
      <w:r>
        <w:t>.</w:t>
      </w:r>
    </w:p>
    <w:p w14:paraId="6D351D48" w14:textId="77777777" w:rsidR="00EF4AEB" w:rsidRDefault="00EF4AEB" w:rsidP="00774E6B">
      <w:pPr>
        <w:pStyle w:val="Heading2"/>
      </w:pPr>
      <w:r>
        <w:t>Events</w:t>
      </w:r>
    </w:p>
    <w:p w14:paraId="29B139F6" w14:textId="414F2D04" w:rsidR="00EF4AEB" w:rsidRDefault="00EF4AEB" w:rsidP="00EF4AEB">
      <w:pPr>
        <w:pStyle w:val="BodyText"/>
      </w:pPr>
      <w:r>
        <w:t>For all data items</w:t>
      </w:r>
      <w:r w:rsidR="00512E16">
        <w:t xml:space="preserve"> in this document</w:t>
      </w:r>
      <w:r>
        <w:t>, do not include services to events commissioned separately.</w:t>
      </w:r>
    </w:p>
    <w:p w14:paraId="0F094DF0" w14:textId="77777777" w:rsidR="003D5204" w:rsidRDefault="003D5204" w:rsidP="00774E6B">
      <w:pPr>
        <w:pStyle w:val="Heading2"/>
      </w:pPr>
      <w:r>
        <w:t>Time data</w:t>
      </w:r>
    </w:p>
    <w:p w14:paraId="72FFB32C" w14:textId="77777777" w:rsidR="003D5204" w:rsidRDefault="00202EE8" w:rsidP="003D5204">
      <w:pPr>
        <w:pStyle w:val="BodyText"/>
      </w:pPr>
      <w:r>
        <w:t xml:space="preserve">Ambulance </w:t>
      </w:r>
      <w:r w:rsidR="003D5204">
        <w:t>Services should provide all time data as a total number of seconds, to avoid Excel misinterpreting numbers in hours</w:t>
      </w:r>
      <w:proofErr w:type="gramStart"/>
      <w:r w:rsidR="003D5204">
        <w:t>:minutes:seconds</w:t>
      </w:r>
      <w:proofErr w:type="gramEnd"/>
      <w:r w:rsidR="003D5204">
        <w:t xml:space="preserve"> format.</w:t>
      </w:r>
    </w:p>
    <w:p w14:paraId="568987A8" w14:textId="77777777" w:rsidR="003D5204" w:rsidRDefault="003D5204" w:rsidP="00774E6B">
      <w:pPr>
        <w:pStyle w:val="Heading2"/>
      </w:pPr>
      <w:r>
        <w:t>Mean average times</w:t>
      </w:r>
    </w:p>
    <w:p w14:paraId="75262ECA" w14:textId="77777777" w:rsidR="003D5204" w:rsidRDefault="003D5204" w:rsidP="003D5204">
      <w:pPr>
        <w:pStyle w:val="BodyText"/>
      </w:pPr>
      <w:r>
        <w:t xml:space="preserve">For all mean averages in the post-ARP AQI, Services should provide the total, </w:t>
      </w:r>
      <w:r w:rsidR="005F7C8E">
        <w:t xml:space="preserve">denominator, </w:t>
      </w:r>
      <w:r>
        <w:t xml:space="preserve">and mean, </w:t>
      </w:r>
      <w:r w:rsidR="00AC2314">
        <w:t xml:space="preserve">so any mismatch with </w:t>
      </w:r>
      <w:r>
        <w:t>the mean calculated by NHS England</w:t>
      </w:r>
      <w:r w:rsidR="00AC2314">
        <w:t xml:space="preserve"> can be resolved before publication.</w:t>
      </w:r>
    </w:p>
    <w:p w14:paraId="6276E1C2" w14:textId="77777777" w:rsidR="003D5204" w:rsidRDefault="003D5204" w:rsidP="00774E6B">
      <w:pPr>
        <w:pStyle w:val="Heading2"/>
      </w:pPr>
      <w:r>
        <w:t>Medians and centiles</w:t>
      </w:r>
    </w:p>
    <w:p w14:paraId="05BFBB3A" w14:textId="77777777" w:rsidR="00381997" w:rsidRDefault="00381997" w:rsidP="003D5204">
      <w:pPr>
        <w:pStyle w:val="BodyText"/>
      </w:pPr>
      <w:r>
        <w:t>Examples:</w:t>
      </w:r>
    </w:p>
    <w:p w14:paraId="277E5B31" w14:textId="77777777" w:rsidR="004B17C5" w:rsidRDefault="00381997" w:rsidP="003D5204">
      <w:pPr>
        <w:pStyle w:val="BodyText"/>
      </w:pPr>
      <w:r>
        <w:t xml:space="preserve">A median call answer time of </w:t>
      </w:r>
      <w:r w:rsidR="0004546C">
        <w:t>7</w:t>
      </w:r>
      <w:r>
        <w:t xml:space="preserve"> seconds means that half the calls were answered in less than </w:t>
      </w:r>
      <w:r w:rsidR="0004546C">
        <w:t>7</w:t>
      </w:r>
      <w:r>
        <w:t xml:space="preserve"> seconds. </w:t>
      </w:r>
      <w:r w:rsidR="0004546C">
        <w:t>The median</w:t>
      </w:r>
      <w:r>
        <w:t xml:space="preserve"> is identical to the </w:t>
      </w:r>
      <w:r w:rsidR="004B17C5">
        <w:t>50th centile.</w:t>
      </w:r>
    </w:p>
    <w:p w14:paraId="357D2657" w14:textId="77777777" w:rsidR="00381997" w:rsidRDefault="00381997" w:rsidP="003D5204">
      <w:pPr>
        <w:pStyle w:val="BodyText"/>
      </w:pPr>
      <w:r>
        <w:t>A 90th centile</w:t>
      </w:r>
      <w:r w:rsidR="0061602F">
        <w:t xml:space="preserve"> incident</w:t>
      </w:r>
      <w:r>
        <w:t xml:space="preserve"> response time of </w:t>
      </w:r>
      <w:r w:rsidR="0004546C">
        <w:t>13</w:t>
      </w:r>
      <w:r>
        <w:t xml:space="preserve"> minutes means that 9 out of 10 incidents were responded to in less than </w:t>
      </w:r>
      <w:r w:rsidR="0004546C">
        <w:t>13</w:t>
      </w:r>
      <w:r>
        <w:t xml:space="preserve"> minutes.</w:t>
      </w:r>
    </w:p>
    <w:p w14:paraId="1D34B2A5" w14:textId="77777777" w:rsidR="00C34657" w:rsidRDefault="0004546C" w:rsidP="00651229">
      <w:pPr>
        <w:pStyle w:val="BodyText"/>
        <w:sectPr w:rsidR="00C34657" w:rsidSect="00EC71A7">
          <w:pgSz w:w="11906" w:h="16838"/>
          <w:pgMar w:top="1440" w:right="1440" w:bottom="1440" w:left="1440" w:header="708" w:footer="708" w:gutter="0"/>
          <w:cols w:space="708"/>
          <w:docGrid w:linePitch="360"/>
        </w:sectPr>
      </w:pPr>
      <w:r>
        <w:t>Ambulance Service can calculate medians and centiles using SQL or using the Excel PERCENTILE formula, and should round them to a whole number of seconds.</w:t>
      </w:r>
    </w:p>
    <w:p w14:paraId="09B63205" w14:textId="77777777" w:rsidR="00B32AF1" w:rsidRDefault="00B32AF1" w:rsidP="00B32AF1">
      <w:pPr>
        <w:pStyle w:val="Heading1"/>
      </w:pPr>
      <w:r>
        <w:t xml:space="preserve">Section </w:t>
      </w:r>
      <w:r w:rsidR="00C34657">
        <w:t>3</w:t>
      </w:r>
      <w:r>
        <w:t>: Contacts</w:t>
      </w:r>
    </w:p>
    <w:p w14:paraId="2DA9A7A2" w14:textId="77777777" w:rsidR="002A53FC" w:rsidRDefault="004C13E6" w:rsidP="004C13E6">
      <w:pPr>
        <w:pStyle w:val="Heading4"/>
      </w:pPr>
      <w:r>
        <w:t>A0</w:t>
      </w:r>
      <w:r>
        <w:tab/>
      </w:r>
      <w:r w:rsidR="002A53FC">
        <w:t>Contact count</w:t>
      </w:r>
    </w:p>
    <w:p w14:paraId="6090C612" w14:textId="77777777" w:rsidR="004C13E6" w:rsidRDefault="002A53FC" w:rsidP="002A53FC">
      <w:pPr>
        <w:pStyle w:val="BodyText"/>
      </w:pPr>
      <w:r>
        <w:t>The c</w:t>
      </w:r>
      <w:r w:rsidR="004C13E6">
        <w:t>ount of all ambulance control room contacts</w:t>
      </w:r>
      <w:r>
        <w:t>.</w:t>
      </w:r>
    </w:p>
    <w:p w14:paraId="2D0B80AC" w14:textId="77777777" w:rsidR="004C13E6" w:rsidRDefault="004C13E6" w:rsidP="004C13E6">
      <w:pPr>
        <w:pStyle w:val="BodyText"/>
      </w:pPr>
      <w:r>
        <w:t>This is to provide a measure of overall demand upon Ambulance Services.</w:t>
      </w:r>
    </w:p>
    <w:p w14:paraId="2D54220C" w14:textId="77777777" w:rsidR="004C13E6" w:rsidRDefault="004C13E6" w:rsidP="004C13E6">
      <w:pPr>
        <w:pStyle w:val="BodyText"/>
      </w:pPr>
      <w:r>
        <w:t xml:space="preserve">Include </w:t>
      </w:r>
      <w:r w:rsidRPr="0094033F">
        <w:t>all telephone calls to 999 or 112</w:t>
      </w:r>
      <w:r>
        <w:t>.</w:t>
      </w:r>
    </w:p>
    <w:p w14:paraId="0FAAFEDA" w14:textId="28E1779D" w:rsidR="004C13E6" w:rsidRPr="0094033F" w:rsidRDefault="004C13E6" w:rsidP="004C13E6">
      <w:pPr>
        <w:pStyle w:val="BodyText"/>
      </w:pPr>
      <w:r w:rsidRPr="0094033F">
        <w:t xml:space="preserve">Include </w:t>
      </w:r>
      <w:r>
        <w:t xml:space="preserve">cases </w:t>
      </w:r>
      <w:r w:rsidRPr="0094033F">
        <w:t>transferred from 111</w:t>
      </w:r>
      <w:r>
        <w:t xml:space="preserve">. </w:t>
      </w:r>
      <w:r w:rsidR="006A449A">
        <w:t xml:space="preserve">For </w:t>
      </w:r>
      <w:r w:rsidR="006A449A" w:rsidRPr="0094033F">
        <w:t xml:space="preserve">calls </w:t>
      </w:r>
      <w:r w:rsidR="006A449A">
        <w:t xml:space="preserve">that are </w:t>
      </w:r>
      <w:r w:rsidR="006A449A" w:rsidRPr="0094033F">
        <w:t xml:space="preserve">manually transferred </w:t>
      </w:r>
      <w:r w:rsidR="006A449A">
        <w:t>(</w:t>
      </w:r>
      <w:r w:rsidR="006A449A" w:rsidRPr="0094033F">
        <w:t xml:space="preserve">not via </w:t>
      </w:r>
      <w:r w:rsidR="006A449A">
        <w:t xml:space="preserve">Interoperability Toolkit, </w:t>
      </w:r>
      <w:r w:rsidR="006A449A" w:rsidRPr="0094033F">
        <w:t>ITK)</w:t>
      </w:r>
      <w:r w:rsidR="006A449A">
        <w:t>, d</w:t>
      </w:r>
      <w:r>
        <w:t xml:space="preserve">o not double count </w:t>
      </w:r>
      <w:r w:rsidR="00512E16">
        <w:t xml:space="preserve">as </w:t>
      </w:r>
      <w:r w:rsidR="00512E16" w:rsidRPr="0094033F">
        <w:t>incoming calls</w:t>
      </w:r>
      <w:r w:rsidR="00512E16">
        <w:t xml:space="preserve"> and </w:t>
      </w:r>
      <w:r w:rsidR="00512E16" w:rsidRPr="0094033F">
        <w:t xml:space="preserve">as </w:t>
      </w:r>
      <w:r w:rsidR="006A449A">
        <w:t>111 activity</w:t>
      </w:r>
      <w:r w:rsidRPr="0094033F">
        <w:t>.</w:t>
      </w:r>
    </w:p>
    <w:p w14:paraId="2DFFB887" w14:textId="77777777" w:rsidR="004C13E6" w:rsidRDefault="004C13E6" w:rsidP="004C13E6">
      <w:pPr>
        <w:pStyle w:val="BodyText"/>
      </w:pPr>
      <w:r>
        <w:t>Include calls</w:t>
      </w:r>
      <w:r w:rsidRPr="0094033F">
        <w:t xml:space="preserve"> through all other numbers, such as by </w:t>
      </w:r>
      <w:r w:rsidR="006144C5">
        <w:t>HCP</w:t>
      </w:r>
      <w:r w:rsidR="00C67692">
        <w:t>s</w:t>
      </w:r>
      <w:r w:rsidR="006144C5">
        <w:t xml:space="preserve"> </w:t>
      </w:r>
      <w:r w:rsidRPr="0094033F">
        <w:t>and fire</w:t>
      </w:r>
      <w:r w:rsidR="009328C6">
        <w:t xml:space="preserve"> / </w:t>
      </w:r>
      <w:r w:rsidRPr="0094033F">
        <w:t>police</w:t>
      </w:r>
      <w:r w:rsidR="009328C6">
        <w:t xml:space="preserve"> / </w:t>
      </w:r>
      <w:r>
        <w:t>coastguard</w:t>
      </w:r>
      <w:r w:rsidRPr="0094033F">
        <w:t>, even where an incident is not created</w:t>
      </w:r>
      <w:r>
        <w:t>.</w:t>
      </w:r>
    </w:p>
    <w:p w14:paraId="4656E9E3" w14:textId="77777777" w:rsidR="004C13E6" w:rsidRDefault="008834ED" w:rsidP="004C13E6">
      <w:pPr>
        <w:pStyle w:val="BodyText"/>
      </w:pPr>
      <w:r>
        <w:t>Do not include</w:t>
      </w:r>
      <w:r w:rsidR="004C13E6">
        <w:t xml:space="preserve"> abandoned calls.</w:t>
      </w:r>
    </w:p>
    <w:p w14:paraId="40BA2766" w14:textId="7CCABA0C" w:rsidR="002714AD" w:rsidRPr="002714AD" w:rsidRDefault="008834ED" w:rsidP="002714AD">
      <w:pPr>
        <w:pStyle w:val="BodyText"/>
        <w:sectPr w:rsidR="002714AD" w:rsidRPr="002714AD" w:rsidSect="00EC71A7">
          <w:pgSz w:w="11906" w:h="16838"/>
          <w:pgMar w:top="1440" w:right="1440" w:bottom="1440" w:left="1440" w:header="708" w:footer="708" w:gutter="0"/>
          <w:cols w:space="708"/>
          <w:docGrid w:linePitch="360"/>
        </w:sectPr>
      </w:pPr>
      <w:r>
        <w:t>Do not include</w:t>
      </w:r>
      <w:r w:rsidR="004C13E6">
        <w:t xml:space="preserve"> internal calls s</w:t>
      </w:r>
      <w:r w:rsidR="002714AD">
        <w:t>uch as enquiry calls from crews.</w:t>
      </w:r>
    </w:p>
    <w:p w14:paraId="2894D8B2" w14:textId="79AF4FA6" w:rsidR="00BE6FCE" w:rsidRDefault="00183015" w:rsidP="002714AD">
      <w:pPr>
        <w:pStyle w:val="Heading1"/>
      </w:pPr>
      <w:r>
        <w:t xml:space="preserve">Section </w:t>
      </w:r>
      <w:r w:rsidR="00C34657">
        <w:t>4</w:t>
      </w:r>
      <w:r>
        <w:t xml:space="preserve">: </w:t>
      </w:r>
      <w:r w:rsidR="000946F6">
        <w:t>Call</w:t>
      </w:r>
      <w:r w:rsidR="00B32AF1">
        <w:t>s</w:t>
      </w:r>
    </w:p>
    <w:p w14:paraId="7149E3E7" w14:textId="77777777" w:rsidR="004E6115" w:rsidRDefault="00BE6FCE" w:rsidP="00BE6FCE">
      <w:r>
        <w:t xml:space="preserve">For items </w:t>
      </w:r>
      <w:r w:rsidR="004E6115">
        <w:t>A1 to A6</w:t>
      </w:r>
      <w:r>
        <w:t>:</w:t>
      </w:r>
    </w:p>
    <w:p w14:paraId="3AB8FA72" w14:textId="77777777" w:rsidR="004E6115" w:rsidRPr="004E6115" w:rsidRDefault="004E6115" w:rsidP="004E6115">
      <w:pPr>
        <w:pStyle w:val="BodyText"/>
      </w:pPr>
      <w:r>
        <w:t xml:space="preserve">Include calls answered after being presented to switchboard on 999 emergency lines (includes </w:t>
      </w:r>
      <w:r w:rsidR="000B7526">
        <w:t xml:space="preserve">where someone dialled </w:t>
      </w:r>
      <w:r>
        <w:t>112).</w:t>
      </w:r>
    </w:p>
    <w:p w14:paraId="656CC60C" w14:textId="77777777" w:rsidR="000B7526" w:rsidRDefault="008834ED" w:rsidP="004E6115">
      <w:pPr>
        <w:pStyle w:val="BodyText"/>
      </w:pPr>
      <w:r>
        <w:t>Do not include</w:t>
      </w:r>
      <w:r w:rsidR="004E6115">
        <w:t xml:space="preserve"> Police, Fire, or </w:t>
      </w:r>
      <w:r w:rsidR="0094033F">
        <w:t>HCP</w:t>
      </w:r>
      <w:r w:rsidR="00C7366D">
        <w:t xml:space="preserve"> ca</w:t>
      </w:r>
      <w:r w:rsidR="00963999">
        <w:t xml:space="preserve">lling direct dial numbers </w:t>
      </w:r>
      <w:r w:rsidR="006144C5">
        <w:t xml:space="preserve">(not </w:t>
      </w:r>
      <w:r w:rsidR="00963999">
        <w:t>999</w:t>
      </w:r>
      <w:r w:rsidR="006144C5">
        <w:t>)</w:t>
      </w:r>
      <w:r w:rsidR="00FA4EFA">
        <w:t>.</w:t>
      </w:r>
    </w:p>
    <w:p w14:paraId="18F6A403" w14:textId="77777777" w:rsidR="001460A8" w:rsidRDefault="008834ED" w:rsidP="004E6115">
      <w:pPr>
        <w:pStyle w:val="BodyText"/>
      </w:pPr>
      <w:r>
        <w:t>Do not include</w:t>
      </w:r>
      <w:r w:rsidR="000B7526">
        <w:t xml:space="preserve"> calls from </w:t>
      </w:r>
      <w:r w:rsidR="00FA4EFA">
        <w:t xml:space="preserve">NHS </w:t>
      </w:r>
      <w:r w:rsidR="000B7526">
        <w:t>111.</w:t>
      </w:r>
    </w:p>
    <w:p w14:paraId="48FEBEE9" w14:textId="77777777" w:rsidR="00BE6FCE" w:rsidRDefault="008834ED" w:rsidP="00BE6FCE">
      <w:pPr>
        <w:pStyle w:val="BodyText"/>
      </w:pPr>
      <w:r>
        <w:t>Do not include</w:t>
      </w:r>
      <w:r w:rsidR="00BE6FCE">
        <w:t xml:space="preserve"> calls abandoned.</w:t>
      </w:r>
    </w:p>
    <w:p w14:paraId="6FEED6D8" w14:textId="6B925A6E" w:rsidR="004C7D8C" w:rsidRPr="003D5204" w:rsidRDefault="004C7D8C" w:rsidP="004C7D8C">
      <w:pPr>
        <w:pStyle w:val="BodyText"/>
      </w:pPr>
      <w:r>
        <w:t xml:space="preserve">The time to answer each call is the time between </w:t>
      </w:r>
      <w:hyperlink w:anchor="_Cross-border_calls_1" w:history="1">
        <w:r w:rsidRPr="004C7D8C">
          <w:rPr>
            <w:rStyle w:val="Hyperlink"/>
          </w:rPr>
          <w:t>call connect</w:t>
        </w:r>
      </w:hyperlink>
      <w:r>
        <w:t xml:space="preserve"> and </w:t>
      </w:r>
      <w:hyperlink w:anchor="_Call_answer" w:history="1">
        <w:r w:rsidRPr="004C7D8C">
          <w:rPr>
            <w:rStyle w:val="Hyperlink"/>
          </w:rPr>
          <w:t>call answer</w:t>
        </w:r>
      </w:hyperlink>
      <w:r>
        <w:t>.</w:t>
      </w:r>
    </w:p>
    <w:p w14:paraId="38B51361" w14:textId="77777777" w:rsidR="004B17C5" w:rsidRPr="004B17C5" w:rsidRDefault="004B17C5" w:rsidP="004B17C5">
      <w:pPr>
        <w:pStyle w:val="BodyText"/>
      </w:pPr>
      <w:r w:rsidRPr="000B7526">
        <w:t xml:space="preserve">Where no call connect time is recorded, </w:t>
      </w:r>
      <w:r>
        <w:t xml:space="preserve">count </w:t>
      </w:r>
      <w:r w:rsidRPr="000B7526">
        <w:t>zero seconds</w:t>
      </w:r>
      <w:r>
        <w:t xml:space="preserve"> for A2 to A6.</w:t>
      </w:r>
    </w:p>
    <w:p w14:paraId="686EA159" w14:textId="77777777" w:rsidR="00927C10" w:rsidRDefault="002A53FC" w:rsidP="00EC69AC">
      <w:pPr>
        <w:pStyle w:val="Heading3"/>
      </w:pPr>
      <w:r>
        <w:t xml:space="preserve">Calls answered </w:t>
      </w:r>
    </w:p>
    <w:p w14:paraId="7730BBB4" w14:textId="77777777" w:rsidR="004B17C5" w:rsidRPr="004B17C5" w:rsidRDefault="002A53FC" w:rsidP="004B17C5">
      <w:pPr>
        <w:pStyle w:val="BodyText"/>
      </w:pPr>
      <w:r>
        <w:t>The count of all calls answered.</w:t>
      </w:r>
    </w:p>
    <w:p w14:paraId="239DE992" w14:textId="77777777" w:rsidR="000946F6" w:rsidRDefault="000946F6" w:rsidP="000946F6">
      <w:pPr>
        <w:pStyle w:val="Heading3"/>
      </w:pPr>
      <w:bookmarkStart w:id="7" w:name="_Call_connect"/>
      <w:bookmarkEnd w:id="7"/>
      <w:r>
        <w:t xml:space="preserve">Total </w:t>
      </w:r>
      <w:r w:rsidR="002A53FC">
        <w:t>call answer time</w:t>
      </w:r>
    </w:p>
    <w:p w14:paraId="7C163F35" w14:textId="77777777" w:rsidR="004C7D8C" w:rsidRPr="004C7D8C" w:rsidRDefault="002A53FC" w:rsidP="004C7D8C">
      <w:pPr>
        <w:pStyle w:val="BodyText"/>
      </w:pPr>
      <w:r>
        <w:t xml:space="preserve">The time to answer </w:t>
      </w:r>
      <w:r w:rsidR="00AF01E1">
        <w:t xml:space="preserve">each </w:t>
      </w:r>
      <w:r>
        <w:t>call aggregated across all calls in the period.</w:t>
      </w:r>
    </w:p>
    <w:p w14:paraId="7C83C4CB" w14:textId="77777777" w:rsidR="002A53FC" w:rsidRDefault="006E7F63" w:rsidP="004578CF">
      <w:pPr>
        <w:pStyle w:val="Heading3"/>
        <w:keepNext w:val="0"/>
      </w:pPr>
      <w:bookmarkStart w:id="8" w:name="_Time_data"/>
      <w:bookmarkEnd w:id="8"/>
      <w:r>
        <w:t xml:space="preserve">Mean </w:t>
      </w:r>
      <w:r w:rsidR="002A53FC">
        <w:t>call answer time</w:t>
      </w:r>
    </w:p>
    <w:p w14:paraId="6621995A" w14:textId="77777777" w:rsidR="002A53FC" w:rsidRPr="002A53FC" w:rsidRDefault="002A53FC" w:rsidP="002A53FC">
      <w:pPr>
        <w:pStyle w:val="BodyText"/>
      </w:pPr>
      <w:r>
        <w:t xml:space="preserve">Across all calls in the period, the mean average time to answer </w:t>
      </w:r>
      <w:r w:rsidR="00AF01E1">
        <w:t>each call</w:t>
      </w:r>
      <w:r>
        <w:t>.</w:t>
      </w:r>
    </w:p>
    <w:p w14:paraId="32050A68" w14:textId="77777777" w:rsidR="004578CF" w:rsidRDefault="005F7C8E" w:rsidP="005D2918">
      <w:pPr>
        <w:pStyle w:val="BodyText"/>
      </w:pPr>
      <w:bookmarkStart w:id="9" w:name="_Mean_average_times"/>
      <w:bookmarkEnd w:id="9"/>
      <w:r>
        <w:t xml:space="preserve">Definition: </w:t>
      </w:r>
      <w:r w:rsidR="005D2918">
        <w:t xml:space="preserve">A3 = </w:t>
      </w:r>
      <w:r w:rsidR="004578CF">
        <w:t>A2</w:t>
      </w:r>
      <w:r w:rsidR="005D2918">
        <w:t xml:space="preserve"> </w:t>
      </w:r>
      <w:r w:rsidR="004578CF">
        <w:t>/</w:t>
      </w:r>
      <w:r w:rsidR="005D2918">
        <w:t xml:space="preserve"> A1</w:t>
      </w:r>
    </w:p>
    <w:p w14:paraId="066D032A" w14:textId="77777777" w:rsidR="000946F6" w:rsidRDefault="000946F6" w:rsidP="000B7526">
      <w:pPr>
        <w:pStyle w:val="Heading3"/>
      </w:pPr>
      <w:r>
        <w:t xml:space="preserve">Median </w:t>
      </w:r>
      <w:r w:rsidR="002A53FC">
        <w:t>call answer time</w:t>
      </w:r>
    </w:p>
    <w:p w14:paraId="1F1F0B65" w14:textId="77777777" w:rsidR="003D5204" w:rsidRPr="003D5204" w:rsidRDefault="002A53FC" w:rsidP="003D5204">
      <w:pPr>
        <w:pStyle w:val="BodyText"/>
      </w:pPr>
      <w:r>
        <w:t xml:space="preserve">Across all calls in the period, the median time to </w:t>
      </w:r>
      <w:r w:rsidR="00AF01E1">
        <w:t>answer each call.</w:t>
      </w:r>
    </w:p>
    <w:p w14:paraId="0504F0D2" w14:textId="77777777" w:rsidR="002A53FC" w:rsidRDefault="000946F6" w:rsidP="000946F6">
      <w:pPr>
        <w:pStyle w:val="Heading3"/>
      </w:pPr>
      <w:bookmarkStart w:id="10" w:name="_Medians_and_centiles"/>
      <w:bookmarkEnd w:id="10"/>
      <w:r>
        <w:t xml:space="preserve">95th centile </w:t>
      </w:r>
      <w:r w:rsidR="002A53FC">
        <w:t xml:space="preserve">call answer time </w:t>
      </w:r>
    </w:p>
    <w:p w14:paraId="29975493" w14:textId="77777777" w:rsidR="002A53FC" w:rsidRPr="003D5204" w:rsidRDefault="002A53FC" w:rsidP="002A53FC">
      <w:pPr>
        <w:pStyle w:val="BodyText"/>
      </w:pPr>
      <w:r>
        <w:t xml:space="preserve">Across all calls in the period, the 95th centile time to </w:t>
      </w:r>
      <w:r w:rsidR="00AF01E1">
        <w:t>answer each call</w:t>
      </w:r>
      <w:r>
        <w:t>.</w:t>
      </w:r>
    </w:p>
    <w:p w14:paraId="2D944C4B" w14:textId="77777777" w:rsidR="000946F6" w:rsidRDefault="000946F6" w:rsidP="000946F6">
      <w:pPr>
        <w:pStyle w:val="Heading3"/>
      </w:pPr>
      <w:r>
        <w:t xml:space="preserve">99th centile </w:t>
      </w:r>
      <w:r w:rsidR="002A53FC">
        <w:t>call answer time</w:t>
      </w:r>
    </w:p>
    <w:p w14:paraId="2D3F9843" w14:textId="77777777" w:rsidR="00304231" w:rsidRDefault="002A53FC" w:rsidP="005D2918">
      <w:pPr>
        <w:pStyle w:val="BodyText"/>
        <w:sectPr w:rsidR="00304231" w:rsidSect="002714AD">
          <w:pgSz w:w="11906" w:h="16838"/>
          <w:pgMar w:top="1440" w:right="1440" w:bottom="1440" w:left="1440" w:header="708" w:footer="708" w:gutter="0"/>
          <w:cols w:space="708"/>
          <w:docGrid w:linePitch="360"/>
        </w:sectPr>
      </w:pPr>
      <w:r>
        <w:t xml:space="preserve">Across all calls in the period, the 99th centile time to </w:t>
      </w:r>
      <w:r w:rsidR="00AF01E1">
        <w:t>answer each call</w:t>
      </w:r>
      <w:r>
        <w:t>.</w:t>
      </w:r>
    </w:p>
    <w:p w14:paraId="7BC112F6" w14:textId="77777777" w:rsidR="00422934" w:rsidRDefault="00183015" w:rsidP="00B32AF1">
      <w:pPr>
        <w:pStyle w:val="Heading1"/>
      </w:pPr>
      <w:r w:rsidRPr="00B32AF1">
        <w:t>Section</w:t>
      </w:r>
      <w:r>
        <w:t xml:space="preserve"> </w:t>
      </w:r>
      <w:r w:rsidR="00C34657">
        <w:t>5</w:t>
      </w:r>
      <w:r>
        <w:t xml:space="preserve">: </w:t>
      </w:r>
      <w:r w:rsidR="0094033F">
        <w:t>Incident</w:t>
      </w:r>
      <w:r w:rsidR="005C7F21">
        <w:t xml:space="preserve"> count</w:t>
      </w:r>
      <w:r w:rsidR="0094033F">
        <w:t>s</w:t>
      </w:r>
    </w:p>
    <w:p w14:paraId="3901524A" w14:textId="03A57492" w:rsidR="005F7C8E" w:rsidRDefault="00FF3858" w:rsidP="00FF3858">
      <w:pPr>
        <w:pStyle w:val="BodyText"/>
      </w:pPr>
      <w:r>
        <w:t xml:space="preserve">Incidents comprise not only calls that </w:t>
      </w:r>
      <w:r w:rsidRPr="00D148ED">
        <w:t>receive a face-to-face response from the ambulance service at the scene of the incident</w:t>
      </w:r>
      <w:r w:rsidR="0032270F">
        <w:t xml:space="preserve">, </w:t>
      </w:r>
      <w:r>
        <w:t>but also</w:t>
      </w:r>
      <w:r w:rsidRPr="00D148ED">
        <w:t xml:space="preserve"> calls that are successfully </w:t>
      </w:r>
      <w:r>
        <w:t>resolved with telephone advice</w:t>
      </w:r>
      <w:r w:rsidR="00803353">
        <w:t xml:space="preserve"> </w:t>
      </w:r>
      <w:r w:rsidRPr="00D148ED">
        <w:t>with any appropriate action agreed with the patient</w:t>
      </w:r>
      <w:r>
        <w:t>.</w:t>
      </w:r>
    </w:p>
    <w:p w14:paraId="02BEC285" w14:textId="56F871EE" w:rsidR="00413B1D" w:rsidRDefault="00413B1D" w:rsidP="00413B1D">
      <w:pPr>
        <w:pStyle w:val="BodyText"/>
      </w:pPr>
      <w:r>
        <w:t>Definition: A7 = A17 + A</w:t>
      </w:r>
      <w:r w:rsidR="00EF1FE0">
        <w:t>56</w:t>
      </w:r>
    </w:p>
    <w:p w14:paraId="6B390F6D" w14:textId="77777777" w:rsidR="004D5FC9" w:rsidRDefault="004D5FC9" w:rsidP="004D5FC9">
      <w:pPr>
        <w:pStyle w:val="BodyText"/>
      </w:pPr>
      <w:r>
        <w:t>For all items from A7 onwards:</w:t>
      </w:r>
    </w:p>
    <w:p w14:paraId="0711C1C3" w14:textId="77777777" w:rsidR="006D1CDB" w:rsidRDefault="006D1CDB" w:rsidP="006D1CDB">
      <w:pPr>
        <w:pStyle w:val="BodyText"/>
      </w:pPr>
      <w:r>
        <w:t>If there have been multiple calls to a single incident, only one incident should be counted.</w:t>
      </w:r>
    </w:p>
    <w:p w14:paraId="4F43154E" w14:textId="77777777" w:rsidR="003B0173" w:rsidRDefault="00547BA3" w:rsidP="003B0173">
      <w:pPr>
        <w:pStyle w:val="BodyText"/>
      </w:pPr>
      <w:r>
        <w:t>Include incidents resulting from calls to NHS 111.</w:t>
      </w:r>
      <w:r w:rsidR="003B0173" w:rsidRPr="003B0173">
        <w:t xml:space="preserve"> </w:t>
      </w:r>
      <w:r w:rsidR="003B0173">
        <w:t>From the point that an incident is received from NHS 111, it should be treated in the same manner as a call that was received through 999.</w:t>
      </w:r>
    </w:p>
    <w:p w14:paraId="5B952567" w14:textId="2B3DCC3E" w:rsidR="003C2F59" w:rsidRDefault="000C178A" w:rsidP="003C2F59">
      <w:pPr>
        <w:pStyle w:val="BodyText"/>
      </w:pPr>
      <w:r>
        <w:t xml:space="preserve">If a </w:t>
      </w:r>
      <w:r w:rsidR="00E27E4E">
        <w:t xml:space="preserve">Trust </w:t>
      </w:r>
      <w:r w:rsidR="003C2F59">
        <w:t>resource arrives on scene after the start of a call, but before the incident is coded, then the incident is recorded as C2, unless the NoC, pre-triage questions (PTQ) or key words have identified the incident as a potential C1, whereby the call will be recorded as C1.</w:t>
      </w:r>
    </w:p>
    <w:p w14:paraId="03C8D8FB" w14:textId="77777777" w:rsidR="00C67692" w:rsidRDefault="003C2F59" w:rsidP="00774E6B">
      <w:pPr>
        <w:pStyle w:val="Heading2"/>
      </w:pPr>
      <w:r>
        <w:t>HCP and</w:t>
      </w:r>
      <w:r w:rsidR="00C67692">
        <w:t xml:space="preserve"> IFT calls</w:t>
      </w:r>
    </w:p>
    <w:p w14:paraId="4B38D2A0" w14:textId="77777777" w:rsidR="003444C9" w:rsidRDefault="00547BA3" w:rsidP="004C7D8C">
      <w:pPr>
        <w:pStyle w:val="BodyText"/>
      </w:pPr>
      <w:r w:rsidRPr="00FF680D">
        <w:t>HCP calls (also referred to as urgents</w:t>
      </w:r>
      <w:r>
        <w:t xml:space="preserve"> </w:t>
      </w:r>
      <w:r w:rsidRPr="00FF680D">
        <w:t>/</w:t>
      </w:r>
      <w:r>
        <w:t xml:space="preserve"> </w:t>
      </w:r>
      <w:r w:rsidRPr="00FF680D">
        <w:t xml:space="preserve">referrals) </w:t>
      </w:r>
      <w:r w:rsidR="0004546C">
        <w:t xml:space="preserve">that are triaged to one of C1 to C4 </w:t>
      </w:r>
      <w:r w:rsidR="003444C9">
        <w:t xml:space="preserve">should be </w:t>
      </w:r>
      <w:r w:rsidR="00B93AC1">
        <w:t>include</w:t>
      </w:r>
      <w:r w:rsidR="003444C9">
        <w:t>d</w:t>
      </w:r>
      <w:r w:rsidR="00B93AC1">
        <w:t xml:space="preserve"> in the relevant counts from A8 to A12 and response times from A24 to A38.</w:t>
      </w:r>
    </w:p>
    <w:p w14:paraId="5DF51BDD" w14:textId="31F67258" w:rsidR="00547BA3" w:rsidRDefault="00B93AC1" w:rsidP="004C7D8C">
      <w:pPr>
        <w:pStyle w:val="BodyText"/>
      </w:pPr>
      <w:r>
        <w:t xml:space="preserve">HCP calls where a response of 1, 2, 3 or 4 hours is agreed </w:t>
      </w:r>
      <w:r w:rsidR="003444C9">
        <w:t xml:space="preserve">should be </w:t>
      </w:r>
      <w:r>
        <w:t>include</w:t>
      </w:r>
      <w:r w:rsidR="003444C9">
        <w:t>d</w:t>
      </w:r>
      <w:r>
        <w:t xml:space="preserve"> in the relevant counts from A</w:t>
      </w:r>
      <w:r w:rsidR="00091F09">
        <w:t>53</w:t>
      </w:r>
      <w:r>
        <w:t xml:space="preserve"> to A6</w:t>
      </w:r>
      <w:r w:rsidR="006A34A3">
        <w:t>1</w:t>
      </w:r>
      <w:r>
        <w:t xml:space="preserve"> and response times from A6</w:t>
      </w:r>
      <w:r w:rsidR="003444C9">
        <w:t>2</w:t>
      </w:r>
      <w:r>
        <w:t xml:space="preserve"> to A7</w:t>
      </w:r>
      <w:r w:rsidR="003444C9">
        <w:t>3</w:t>
      </w:r>
      <w:r w:rsidR="00547BA3">
        <w:t>.</w:t>
      </w:r>
    </w:p>
    <w:p w14:paraId="30FDD9DF" w14:textId="5B8D0B05" w:rsidR="008834ED" w:rsidRDefault="008834ED" w:rsidP="008834ED">
      <w:pPr>
        <w:pStyle w:val="BodyText"/>
      </w:pPr>
      <w:r>
        <w:t xml:space="preserve">Inter-facility transfers </w:t>
      </w:r>
      <w:r w:rsidR="00916EC3">
        <w:t xml:space="preserve">(IFT) </w:t>
      </w:r>
      <w:r>
        <w:t xml:space="preserve">should be triaged / clinically assessed using </w:t>
      </w:r>
      <w:r w:rsidR="00DC71DD">
        <w:t xml:space="preserve">MPDS, NHS Pathways or </w:t>
      </w:r>
      <w:r w:rsidRPr="003A22A8">
        <w:t>locally agreed protocols</w:t>
      </w:r>
      <w:r w:rsidR="00DC71DD">
        <w:t xml:space="preserve"> that accurately match the patient’s condition</w:t>
      </w:r>
      <w:r w:rsidRPr="003A22A8">
        <w:t xml:space="preserve"> to one of the four categories. Once allocated to a </w:t>
      </w:r>
      <w:r w:rsidR="00D24B54">
        <w:t>c</w:t>
      </w:r>
      <w:r w:rsidRPr="003A22A8">
        <w:t>ategory</w:t>
      </w:r>
      <w:r>
        <w:t>,</w:t>
      </w:r>
      <w:r w:rsidRPr="003A22A8">
        <w:t xml:space="preserve"> the relevant standard applies.</w:t>
      </w:r>
    </w:p>
    <w:p w14:paraId="1D489805" w14:textId="77777777" w:rsidR="002E1781" w:rsidRDefault="002E1781" w:rsidP="00774E6B">
      <w:pPr>
        <w:pStyle w:val="Heading2"/>
      </w:pPr>
      <w:bookmarkStart w:id="11" w:name="_Running_Incident"/>
      <w:bookmarkEnd w:id="11"/>
      <w:r w:rsidRPr="00953685">
        <w:t xml:space="preserve">Running </w:t>
      </w:r>
      <w:r>
        <w:t>Incident</w:t>
      </w:r>
    </w:p>
    <w:p w14:paraId="04FCC54C" w14:textId="74AF9620" w:rsidR="002E1781" w:rsidRDefault="002E1781" w:rsidP="002E1781">
      <w:pPr>
        <w:pStyle w:val="BodyText"/>
      </w:pPr>
      <w:r>
        <w:t xml:space="preserve">A Running Incident is where </w:t>
      </w:r>
      <w:r w:rsidR="00E27E4E">
        <w:t xml:space="preserve">a Trust </w:t>
      </w:r>
      <w:r>
        <w:t>resource or clinician</w:t>
      </w:r>
      <w:r w:rsidRPr="00311575">
        <w:t xml:space="preserve"> </w:t>
      </w:r>
      <w:r>
        <w:t>encounters an incident before a call is made, and is immediately on scene with the patie</w:t>
      </w:r>
      <w:r w:rsidR="00FC740F">
        <w:t>nt. All Running Incidents are C</w:t>
      </w:r>
      <w:r>
        <w:t>2. If any patients are transported, clock start and stop are as for C2. If no patients are transported, the response time is zero, because the arrival on scene of the resource triggers the call being coded as C2.</w:t>
      </w:r>
    </w:p>
    <w:p w14:paraId="7E7DFCCD" w14:textId="77777777" w:rsidR="002714AD" w:rsidRDefault="002714AD" w:rsidP="00774E6B">
      <w:pPr>
        <w:pStyle w:val="Heading2"/>
      </w:pPr>
      <w:r>
        <w:br w:type="page"/>
      </w:r>
    </w:p>
    <w:p w14:paraId="7029A10A" w14:textId="7F3A6692" w:rsidR="002E1781" w:rsidRDefault="002E1781" w:rsidP="00774E6B">
      <w:pPr>
        <w:pStyle w:val="Heading2"/>
      </w:pPr>
      <w:r>
        <w:t>Re-categorisation</w:t>
      </w:r>
    </w:p>
    <w:p w14:paraId="0813F1D3" w14:textId="14D1F96D" w:rsidR="009E71A4" w:rsidRDefault="009E71A4" w:rsidP="00F859A4">
      <w:pPr>
        <w:pStyle w:val="BodyText"/>
      </w:pPr>
      <w:r w:rsidRPr="0006779E">
        <w:t xml:space="preserve">Once </w:t>
      </w:r>
      <w:r w:rsidR="00EA43F6" w:rsidRPr="0006779E">
        <w:t xml:space="preserve">the </w:t>
      </w:r>
      <w:r w:rsidRPr="0006779E">
        <w:t xml:space="preserve">category is </w:t>
      </w:r>
      <w:r w:rsidRPr="00F859A4">
        <w:t>determined</w:t>
      </w:r>
      <w:r w:rsidRPr="0006779E">
        <w:t xml:space="preserve">, reporting must remain against the code in the Computer-Aided Dispatch (CAD) record prior to the arrival </w:t>
      </w:r>
      <w:r w:rsidR="00CF2C45">
        <w:t xml:space="preserve">on scene </w:t>
      </w:r>
      <w:r w:rsidRPr="0006779E">
        <w:t xml:space="preserve">of a </w:t>
      </w:r>
      <w:r w:rsidR="00E27E4E">
        <w:t xml:space="preserve">Trust-dispatched </w:t>
      </w:r>
      <w:r w:rsidR="005A404F">
        <w:t>resource</w:t>
      </w:r>
      <w:r w:rsidRPr="0006779E">
        <w:t>. It must not be changed after a resource has arrived at scene.</w:t>
      </w:r>
    </w:p>
    <w:p w14:paraId="0030E26E" w14:textId="77777777" w:rsidR="00A44D48" w:rsidRDefault="00A44D48" w:rsidP="00F859A4">
      <w:pPr>
        <w:pStyle w:val="BodyText"/>
      </w:pPr>
      <w:r w:rsidRPr="00A44D48">
        <w:t xml:space="preserve">There will be no re-triage or enhanced clinical triage undertaken on any </w:t>
      </w:r>
      <w:r>
        <w:t>C</w:t>
      </w:r>
      <w:r w:rsidRPr="00A44D48">
        <w:t xml:space="preserve">1 call </w:t>
      </w:r>
      <w:r>
        <w:t>that</w:t>
      </w:r>
      <w:r w:rsidRPr="00A44D48">
        <w:t xml:space="preserve"> originates from 999 or NHS 111</w:t>
      </w:r>
      <w:r>
        <w:t>.</w:t>
      </w:r>
    </w:p>
    <w:p w14:paraId="23A84DFA" w14:textId="513AB970" w:rsidR="006D1CDB" w:rsidRDefault="00AA7C9D" w:rsidP="00936243">
      <w:pPr>
        <w:pStyle w:val="BodyText"/>
      </w:pPr>
      <w:r>
        <w:t>Following triage</w:t>
      </w:r>
      <w:r w:rsidR="001C6A4C">
        <w:t>,</w:t>
      </w:r>
      <w:r>
        <w:t xml:space="preserve"> either through 999 or 111, </w:t>
      </w:r>
      <w:r w:rsidR="002E1781" w:rsidRPr="00AA7C9D">
        <w:t>prior to the arrival of the responding resource</w:t>
      </w:r>
      <w:r w:rsidR="00DC600D" w:rsidRPr="00DC600D">
        <w:t xml:space="preserve"> </w:t>
      </w:r>
      <w:r w:rsidR="00DC600D">
        <w:t xml:space="preserve">as defined in items i) to iii) in </w:t>
      </w:r>
      <w:hyperlink w:anchor="_Clock_stop_–" w:history="1">
        <w:r w:rsidR="00DC600D" w:rsidRPr="005173BF">
          <w:rPr>
            <w:rStyle w:val="Hyperlink"/>
          </w:rPr>
          <w:t>Clock stop</w:t>
        </w:r>
      </w:hyperlink>
      <w:r w:rsidR="005173BF">
        <w:t>;</w:t>
      </w:r>
      <w:r w:rsidR="002E1781">
        <w:t xml:space="preserve"> </w:t>
      </w:r>
      <w:r>
        <w:t xml:space="preserve">it </w:t>
      </w:r>
      <w:r w:rsidRPr="00AA7C9D">
        <w:t xml:space="preserve">may be appropriate </w:t>
      </w:r>
      <w:r w:rsidR="00D41BB6">
        <w:t xml:space="preserve">for </w:t>
      </w:r>
      <w:r w:rsidRPr="00AA7C9D">
        <w:t xml:space="preserve">some </w:t>
      </w:r>
      <w:r w:rsidR="008C111C">
        <w:t>non-C1</w:t>
      </w:r>
      <w:r w:rsidRPr="00AA7C9D">
        <w:t xml:space="preserve"> </w:t>
      </w:r>
      <w:r w:rsidR="00D41BB6">
        <w:t>calls</w:t>
      </w:r>
      <w:r w:rsidR="0044639B">
        <w:t xml:space="preserve"> </w:t>
      </w:r>
      <w:r w:rsidR="00D41BB6">
        <w:t>to receive</w:t>
      </w:r>
      <w:r w:rsidRPr="00AA7C9D">
        <w:t xml:space="preserve"> additional clinical assessment</w:t>
      </w:r>
      <w:r w:rsidR="001C6A4C">
        <w:t>,</w:t>
      </w:r>
      <w:r w:rsidRPr="00AA7C9D">
        <w:t xml:space="preserve"> </w:t>
      </w:r>
      <w:r w:rsidR="001C6A4C">
        <w:t>which</w:t>
      </w:r>
      <w:r w:rsidRPr="00AA7C9D">
        <w:t xml:space="preserve"> may re</w:t>
      </w:r>
      <w:r w:rsidR="001C6A4C">
        <w:t xml:space="preserve">sult in an alternative </w:t>
      </w:r>
      <w:r w:rsidR="008834ED">
        <w:t xml:space="preserve">category for responding and </w:t>
      </w:r>
      <w:r w:rsidR="00F059CA">
        <w:t>reporting</w:t>
      </w:r>
      <w:r w:rsidRPr="00AA7C9D">
        <w:t xml:space="preserve">. </w:t>
      </w:r>
      <w:r w:rsidR="006D1CDB" w:rsidRPr="006D1CDB">
        <w:t>If the incident is upgraded to a higher category, the clock start will be from the call back made by the clinician, at earliest of the appropriate</w:t>
      </w:r>
      <w:r w:rsidR="006D1CDB">
        <w:t xml:space="preserve"> trigger points in </w:t>
      </w:r>
      <w:hyperlink w:anchor="_Clock_start_–" w:history="1">
        <w:r w:rsidR="006D1CDB" w:rsidRPr="006D1CDB">
          <w:rPr>
            <w:rStyle w:val="Hyperlink"/>
          </w:rPr>
          <w:t>Clock start</w:t>
        </w:r>
      </w:hyperlink>
      <w:r w:rsidR="006D1CDB" w:rsidRPr="006D1CDB">
        <w:t>. Otherwise, the clock start from the original call remains</w:t>
      </w:r>
      <w:r w:rsidR="006D1CDB">
        <w:t>.</w:t>
      </w:r>
    </w:p>
    <w:p w14:paraId="0AC436A2" w14:textId="77777777" w:rsidR="00AA7C9D" w:rsidRDefault="00AA7C9D" w:rsidP="00936243">
      <w:pPr>
        <w:pStyle w:val="BodyText"/>
      </w:pPr>
      <w:r w:rsidRPr="00AA7C9D">
        <w:t>This additional assessment must not delay dispatch</w:t>
      </w:r>
      <w:r w:rsidR="001C6A4C">
        <w:t>,</w:t>
      </w:r>
      <w:r w:rsidRPr="00AA7C9D">
        <w:t xml:space="preserve"> and must be undertaken by a registered </w:t>
      </w:r>
      <w:r w:rsidR="00D41BB6">
        <w:t>HCP</w:t>
      </w:r>
      <w:r w:rsidR="0006779E" w:rsidRPr="001C6A4C">
        <w:t xml:space="preserve"> </w:t>
      </w:r>
      <w:r w:rsidRPr="00AA7C9D">
        <w:t xml:space="preserve">within the </w:t>
      </w:r>
      <w:r w:rsidR="00132F17">
        <w:t>C</w:t>
      </w:r>
      <w:r w:rsidRPr="00AA7C9D">
        <w:t xml:space="preserve">linical </w:t>
      </w:r>
      <w:r w:rsidR="00132F17">
        <w:t>Assessment Service (CAS)</w:t>
      </w:r>
      <w:r w:rsidRPr="00AA7C9D">
        <w:t xml:space="preserve"> or EOC</w:t>
      </w:r>
      <w:r>
        <w:t>.</w:t>
      </w:r>
    </w:p>
    <w:p w14:paraId="24708AEB" w14:textId="77777777" w:rsidR="0044639B" w:rsidRDefault="0044639B" w:rsidP="0044639B">
      <w:pPr>
        <w:pStyle w:val="BodyText"/>
      </w:pPr>
      <w:r>
        <w:t>An outgoing call initiated by a non-clinician should not result in downgrading of a category.</w:t>
      </w:r>
    </w:p>
    <w:p w14:paraId="0C8E1757" w14:textId="77777777" w:rsidR="00D9477A" w:rsidRDefault="00D9477A" w:rsidP="00936243">
      <w:pPr>
        <w:pStyle w:val="BodyText"/>
      </w:pPr>
      <w:r w:rsidRPr="00D9477A">
        <w:t>If a further</w:t>
      </w:r>
      <w:r w:rsidR="00EE7435">
        <w:t xml:space="preserve"> incoming</w:t>
      </w:r>
      <w:r w:rsidRPr="00D9477A">
        <w:t xml:space="preserve"> call is received from any source (HCP or public 999) </w:t>
      </w:r>
      <w:r w:rsidR="00EE7435" w:rsidRPr="00D9477A">
        <w:t>before a resource has arrived on scene</w:t>
      </w:r>
      <w:r w:rsidR="00EE7435">
        <w:t>,</w:t>
      </w:r>
      <w:r w:rsidR="00EE7435" w:rsidRPr="00D9477A">
        <w:t xml:space="preserve"> </w:t>
      </w:r>
      <w:r w:rsidRPr="00D9477A">
        <w:t xml:space="preserve">and </w:t>
      </w:r>
      <w:r w:rsidR="00894712">
        <w:t xml:space="preserve">is </w:t>
      </w:r>
      <w:r w:rsidRPr="00D9477A">
        <w:t xml:space="preserve">triaged to a </w:t>
      </w:r>
      <w:r w:rsidR="0088765D">
        <w:t>higher or lower</w:t>
      </w:r>
      <w:r w:rsidRPr="00D9477A">
        <w:t xml:space="preserve"> category than the original call, then the clock start </w:t>
      </w:r>
      <w:r w:rsidR="00CA617F">
        <w:t xml:space="preserve">and reporting category </w:t>
      </w:r>
      <w:r w:rsidRPr="00D9477A">
        <w:t xml:space="preserve">should be from </w:t>
      </w:r>
      <w:r w:rsidR="00EE5817">
        <w:t xml:space="preserve">the subsequent </w:t>
      </w:r>
      <w:r w:rsidRPr="00D9477A">
        <w:t>call.</w:t>
      </w:r>
      <w:r w:rsidR="00F45B40">
        <w:t xml:space="preserve"> If such a call is from a different caller and concerns an incident in a public place, Services should keep the incident in the appropriate category.</w:t>
      </w:r>
    </w:p>
    <w:p w14:paraId="3241C0F2" w14:textId="77777777" w:rsidR="00D9477A" w:rsidRDefault="00D9477A" w:rsidP="00936243">
      <w:pPr>
        <w:pStyle w:val="BodyText"/>
      </w:pPr>
      <w:r>
        <w:t xml:space="preserve">For </w:t>
      </w:r>
      <w:r w:rsidR="00BF7F3C">
        <w:t>all</w:t>
      </w:r>
      <w:r>
        <w:t xml:space="preserve"> upgrading and downgrading calls, the original call is closed as a duplicate, to avoid double counting incidents.</w:t>
      </w:r>
      <w:r w:rsidR="00C8423E">
        <w:t xml:space="preserve"> Services should still be able to link the separate calls for audit purposes.</w:t>
      </w:r>
    </w:p>
    <w:p w14:paraId="1F93E03A" w14:textId="77777777" w:rsidR="006852CF" w:rsidRDefault="006852CF" w:rsidP="00774E6B">
      <w:pPr>
        <w:pStyle w:val="Heading2"/>
      </w:pPr>
      <w:bookmarkStart w:id="12" w:name="_Incidents_with_non-emergency"/>
      <w:bookmarkEnd w:id="12"/>
      <w:r w:rsidRPr="006852CF">
        <w:t>Incidents with non-emergency conveyance</w:t>
      </w:r>
    </w:p>
    <w:p w14:paraId="070DE285" w14:textId="77777777" w:rsidR="006852CF" w:rsidRDefault="006852CF" w:rsidP="006852CF">
      <w:pPr>
        <w:pStyle w:val="BodyText"/>
      </w:pPr>
      <w:r>
        <w:t xml:space="preserve">An incident with non-emergency conveyance is where an ambulance clinician arrives on scene at an incident, and determines that non-emergency conveyance is required in a vehicle other than an emergency ambulance (such as </w:t>
      </w:r>
      <w:r w:rsidR="00694B64">
        <w:t>Patient Transport Service (</w:t>
      </w:r>
      <w:r>
        <w:t>PTS</w:t>
      </w:r>
      <w:r w:rsidR="00694B64">
        <w:t>)</w:t>
      </w:r>
      <w:r>
        <w:t>, Urgent Care Vehicle, or similar), providing the conveyance is completed in a non-emergency vehicle.</w:t>
      </w:r>
    </w:p>
    <w:p w14:paraId="3838AF10" w14:textId="557E3B66" w:rsidR="00DA6BE5" w:rsidRDefault="006852CF" w:rsidP="002714AD">
      <w:pPr>
        <w:pStyle w:val="BodyText"/>
      </w:pPr>
      <w:r>
        <w:t xml:space="preserve">These must only be counted </w:t>
      </w:r>
      <w:r w:rsidR="00066770">
        <w:t xml:space="preserve">as a single incident </w:t>
      </w:r>
      <w:r>
        <w:t>in the category recorded immediately prior to arrival on scene</w:t>
      </w:r>
      <w:r w:rsidR="00066770">
        <w:t>,</w:t>
      </w:r>
      <w:r>
        <w:t xml:space="preserve"> and</w:t>
      </w:r>
      <w:r w:rsidR="00066770">
        <w:t xml:space="preserve"> </w:t>
      </w:r>
      <w:r>
        <w:t xml:space="preserve">not as an </w:t>
      </w:r>
      <w:r w:rsidR="002A2FE4">
        <w:t xml:space="preserve">extra </w:t>
      </w:r>
      <w:r>
        <w:t>incident in a lower category.</w:t>
      </w:r>
      <w:r w:rsidR="00C871A9">
        <w:t xml:space="preserve"> </w:t>
      </w:r>
      <w:r w:rsidR="002A2FE4">
        <w:t>C</w:t>
      </w:r>
      <w:r w:rsidR="00C871A9">
        <w:t xml:space="preserve">ount </w:t>
      </w:r>
      <w:r w:rsidR="002A2FE4">
        <w:t xml:space="preserve">in A53 or A54, </w:t>
      </w:r>
      <w:r w:rsidR="00EF4AEB">
        <w:t>as an incident with transport</w:t>
      </w:r>
      <w:r w:rsidR="00C871A9">
        <w:t xml:space="preserve">, but for </w:t>
      </w:r>
      <w:r w:rsidR="00EF4AEB">
        <w:t>response time</w:t>
      </w:r>
      <w:r w:rsidR="002A2FE4">
        <w:t>s</w:t>
      </w:r>
      <w:r w:rsidR="00C871A9">
        <w:t>, the clock stop</w:t>
      </w:r>
      <w:r w:rsidR="002A2FE4">
        <w:t>s</w:t>
      </w:r>
      <w:r w:rsidR="00C871A9">
        <w:t xml:space="preserve"> </w:t>
      </w:r>
      <w:r w:rsidR="00FA35CA">
        <w:t xml:space="preserve">at the arrival of the first resource (see </w:t>
      </w:r>
      <w:hyperlink w:anchor="_Clock_stop_–" w:history="1">
        <w:r w:rsidR="00FA5A22" w:rsidRPr="00FA5A22">
          <w:rPr>
            <w:rStyle w:val="Hyperlink"/>
          </w:rPr>
          <w:t>Clock stop</w:t>
        </w:r>
      </w:hyperlink>
      <w:r w:rsidR="00FA35CA">
        <w:t>).</w:t>
      </w:r>
      <w:r w:rsidR="00DA6BE5">
        <w:br w:type="page"/>
      </w:r>
    </w:p>
    <w:p w14:paraId="71A0C370" w14:textId="77777777" w:rsidR="00953685" w:rsidRDefault="002A53FC" w:rsidP="00953685">
      <w:pPr>
        <w:pStyle w:val="Heading3"/>
      </w:pPr>
      <w:r>
        <w:t xml:space="preserve">All </w:t>
      </w:r>
      <w:r w:rsidR="00953685">
        <w:t>incidents</w:t>
      </w:r>
    </w:p>
    <w:p w14:paraId="3F769C98" w14:textId="77777777" w:rsidR="002A53FC" w:rsidRDefault="002A53FC" w:rsidP="00B410D7">
      <w:pPr>
        <w:pStyle w:val="BodyText"/>
      </w:pPr>
      <w:r>
        <w:t>The count of all incidents in the period.</w:t>
      </w:r>
    </w:p>
    <w:p w14:paraId="44624544" w14:textId="77777777" w:rsidR="0028748C" w:rsidRDefault="001C1D8A" w:rsidP="0028748C">
      <w:pPr>
        <w:pStyle w:val="Heading3"/>
      </w:pPr>
      <w:r>
        <w:t xml:space="preserve">C1 </w:t>
      </w:r>
      <w:r w:rsidR="0028748C">
        <w:t>incidents</w:t>
      </w:r>
    </w:p>
    <w:p w14:paraId="09081793" w14:textId="77777777" w:rsidR="00D148ED" w:rsidRPr="00D148ED" w:rsidRDefault="002A53FC" w:rsidP="001C6A4C">
      <w:pPr>
        <w:pStyle w:val="BodyText"/>
      </w:pPr>
      <w:r>
        <w:t xml:space="preserve">The count of </w:t>
      </w:r>
      <w:r w:rsidR="00D148ED" w:rsidRPr="00D148ED">
        <w:t xml:space="preserve">incidents </w:t>
      </w:r>
      <w:r w:rsidR="00D148ED" w:rsidRPr="001C6A4C">
        <w:t>coded</w:t>
      </w:r>
      <w:r w:rsidR="00D148ED">
        <w:t xml:space="preserve"> as C1</w:t>
      </w:r>
      <w:r w:rsidR="00D148ED" w:rsidRPr="00D148ED">
        <w:t xml:space="preserve"> </w:t>
      </w:r>
      <w:r w:rsidR="006A1280">
        <w:t>that receive</w:t>
      </w:r>
      <w:r w:rsidR="00AF01E1">
        <w:t>d</w:t>
      </w:r>
      <w:r w:rsidR="006A1280">
        <w:t xml:space="preserve"> </w:t>
      </w:r>
      <w:r w:rsidR="00401547">
        <w:t>a</w:t>
      </w:r>
      <w:r w:rsidR="00D148ED" w:rsidRPr="00D148ED">
        <w:t xml:space="preserve"> response on scene.</w:t>
      </w:r>
    </w:p>
    <w:p w14:paraId="167D1C06" w14:textId="77777777" w:rsidR="0028748C" w:rsidRDefault="001C1D8A" w:rsidP="0028748C">
      <w:pPr>
        <w:pStyle w:val="Heading3"/>
      </w:pPr>
      <w:bookmarkStart w:id="13" w:name="_C1T_incidents"/>
      <w:bookmarkEnd w:id="13"/>
      <w:r>
        <w:t xml:space="preserve">C1T </w:t>
      </w:r>
      <w:r w:rsidR="0028748C">
        <w:t>incidents</w:t>
      </w:r>
    </w:p>
    <w:p w14:paraId="58A8DFCE" w14:textId="77777777" w:rsidR="00D148ED" w:rsidRDefault="00D148ED" w:rsidP="001C6A4C">
      <w:pPr>
        <w:pStyle w:val="BodyText"/>
      </w:pPr>
      <w:r w:rsidRPr="00D148ED">
        <w:t>T</w:t>
      </w:r>
      <w:r w:rsidR="001C6A4C">
        <w:t xml:space="preserve">he </w:t>
      </w:r>
      <w:r w:rsidR="002A53FC">
        <w:t xml:space="preserve">count of </w:t>
      </w:r>
      <w:r w:rsidR="001C6A4C">
        <w:t>C</w:t>
      </w:r>
      <w:r w:rsidRPr="00D148ED">
        <w:t xml:space="preserve">1 incidents </w:t>
      </w:r>
      <w:r w:rsidR="002A53FC">
        <w:t>where any patients were transported</w:t>
      </w:r>
      <w:r w:rsidR="00782C8A">
        <w:t xml:space="preserve"> by an Ambulance Service</w:t>
      </w:r>
      <w:r w:rsidR="00CB0A5D">
        <w:t xml:space="preserve"> emergency</w:t>
      </w:r>
      <w:r w:rsidR="00782C8A">
        <w:t xml:space="preserve"> vehicle</w:t>
      </w:r>
      <w:r w:rsidR="002A53FC">
        <w:t>.</w:t>
      </w:r>
    </w:p>
    <w:p w14:paraId="619EC291" w14:textId="4EAE642A" w:rsidR="00100A2C" w:rsidRDefault="008834ED" w:rsidP="00242CAB">
      <w:pPr>
        <w:pStyle w:val="BodyText"/>
      </w:pPr>
      <w:r>
        <w:t>Do not include</w:t>
      </w:r>
      <w:r w:rsidR="00242CAB">
        <w:t xml:space="preserve"> </w:t>
      </w:r>
      <w:r w:rsidR="00100A2C" w:rsidRPr="00100A2C">
        <w:t>incidents where an ambulance clinician on scene determines that no conveyance is necessary</w:t>
      </w:r>
      <w:r w:rsidR="006852CF" w:rsidRPr="006852CF">
        <w:t xml:space="preserve">, or </w:t>
      </w:r>
      <w:hyperlink w:anchor="_Incidents_with_non-emergency" w:history="1">
        <w:r w:rsidR="006B7BB6" w:rsidRPr="005F05FF">
          <w:rPr>
            <w:rStyle w:val="Hyperlink"/>
          </w:rPr>
          <w:t>incidents with non-emergency conveyance</w:t>
        </w:r>
      </w:hyperlink>
      <w:r w:rsidR="00100A2C">
        <w:t>.</w:t>
      </w:r>
    </w:p>
    <w:p w14:paraId="229B21A0" w14:textId="77777777" w:rsidR="00EC69AC" w:rsidRDefault="001C1D8A" w:rsidP="00D31E7B">
      <w:pPr>
        <w:pStyle w:val="Heading3"/>
      </w:pPr>
      <w:r>
        <w:t xml:space="preserve">C2 </w:t>
      </w:r>
      <w:r w:rsidR="00EC69AC">
        <w:t>incidents</w:t>
      </w:r>
    </w:p>
    <w:p w14:paraId="3465AEA6" w14:textId="77777777" w:rsidR="00401547" w:rsidRPr="00D148ED" w:rsidRDefault="00401547" w:rsidP="00401547">
      <w:pPr>
        <w:pStyle w:val="BodyText"/>
      </w:pPr>
      <w:r w:rsidRPr="00D148ED">
        <w:t xml:space="preserve">The </w:t>
      </w:r>
      <w:r w:rsidR="002A53FC">
        <w:t xml:space="preserve">count </w:t>
      </w:r>
      <w:r w:rsidRPr="00D148ED">
        <w:t xml:space="preserve">of incidents </w:t>
      </w:r>
      <w:r w:rsidRPr="001C6A4C">
        <w:t>coded</w:t>
      </w:r>
      <w:r>
        <w:t xml:space="preserve"> as C2</w:t>
      </w:r>
      <w:r w:rsidRPr="00D148ED">
        <w:t xml:space="preserve"> </w:t>
      </w:r>
      <w:r w:rsidR="006A1280">
        <w:t>that receive</w:t>
      </w:r>
      <w:r w:rsidR="00AF01E1">
        <w:t>d</w:t>
      </w:r>
      <w:r>
        <w:t xml:space="preserve"> a</w:t>
      </w:r>
      <w:r w:rsidRPr="00D148ED">
        <w:t xml:space="preserve"> response on scene.</w:t>
      </w:r>
    </w:p>
    <w:p w14:paraId="3BE9E0A2" w14:textId="77777777" w:rsidR="00EC69AC" w:rsidRDefault="008D7373" w:rsidP="00D31E7B">
      <w:pPr>
        <w:pStyle w:val="Heading3"/>
      </w:pPr>
      <w:r>
        <w:t>C3</w:t>
      </w:r>
      <w:r w:rsidR="001C1D8A">
        <w:t xml:space="preserve"> </w:t>
      </w:r>
      <w:r w:rsidR="00EC69AC">
        <w:t>incidents</w:t>
      </w:r>
    </w:p>
    <w:p w14:paraId="165B87E3" w14:textId="77777777" w:rsidR="00401547" w:rsidRPr="00D148ED" w:rsidRDefault="00401547" w:rsidP="00401547">
      <w:pPr>
        <w:pStyle w:val="BodyText"/>
      </w:pPr>
      <w:r w:rsidRPr="00D148ED">
        <w:t xml:space="preserve">The </w:t>
      </w:r>
      <w:r w:rsidR="002A53FC">
        <w:t xml:space="preserve">count </w:t>
      </w:r>
      <w:r w:rsidRPr="00D148ED">
        <w:t xml:space="preserve">of incidents </w:t>
      </w:r>
      <w:r w:rsidRPr="001C6A4C">
        <w:t>coded</w:t>
      </w:r>
      <w:r>
        <w:t xml:space="preserve"> as C3</w:t>
      </w:r>
      <w:r w:rsidRPr="00D148ED">
        <w:t xml:space="preserve"> </w:t>
      </w:r>
      <w:r w:rsidR="006A1280">
        <w:t>that receive</w:t>
      </w:r>
      <w:r w:rsidR="00AF01E1">
        <w:t>d</w:t>
      </w:r>
      <w:r w:rsidR="006A1280">
        <w:t xml:space="preserve"> </w:t>
      </w:r>
      <w:r>
        <w:t>a</w:t>
      </w:r>
      <w:r w:rsidRPr="00D148ED">
        <w:t xml:space="preserve"> response on scene.</w:t>
      </w:r>
    </w:p>
    <w:p w14:paraId="5078CB8F" w14:textId="77777777" w:rsidR="00EC69AC" w:rsidRDefault="001C1D8A" w:rsidP="00D31E7B">
      <w:pPr>
        <w:pStyle w:val="Heading3"/>
      </w:pPr>
      <w:r>
        <w:t xml:space="preserve">C4 </w:t>
      </w:r>
      <w:r w:rsidR="00EC69AC">
        <w:t>incidents</w:t>
      </w:r>
    </w:p>
    <w:p w14:paraId="4525FA5A" w14:textId="77777777" w:rsidR="00401547" w:rsidRDefault="00401547" w:rsidP="00401547">
      <w:pPr>
        <w:pStyle w:val="BodyText"/>
      </w:pPr>
      <w:r w:rsidRPr="00D148ED">
        <w:t xml:space="preserve">The </w:t>
      </w:r>
      <w:r w:rsidR="002A53FC">
        <w:t xml:space="preserve">count </w:t>
      </w:r>
      <w:r w:rsidRPr="00D148ED">
        <w:t xml:space="preserve">of incidents </w:t>
      </w:r>
      <w:r w:rsidRPr="001C6A4C">
        <w:t>coded</w:t>
      </w:r>
      <w:r>
        <w:t xml:space="preserve"> as C4</w:t>
      </w:r>
      <w:r w:rsidRPr="00D148ED">
        <w:t xml:space="preserve"> </w:t>
      </w:r>
      <w:r w:rsidR="006A1280">
        <w:t>that receive</w:t>
      </w:r>
      <w:r w:rsidR="00AF01E1">
        <w:t>d</w:t>
      </w:r>
      <w:r w:rsidR="006A1280">
        <w:t xml:space="preserve"> </w:t>
      </w:r>
      <w:r>
        <w:t>a</w:t>
      </w:r>
      <w:r w:rsidRPr="00D148ED">
        <w:t xml:space="preserve"> response on scene.</w:t>
      </w:r>
    </w:p>
    <w:p w14:paraId="5D021A85" w14:textId="77777777" w:rsidR="002A2FE4" w:rsidRDefault="002A2FE4" w:rsidP="002A2FE4">
      <w:pPr>
        <w:pStyle w:val="Heading4"/>
      </w:pPr>
      <w:r>
        <w:t>A57</w:t>
      </w:r>
      <w:r>
        <w:tab/>
        <w:t>HCP incident with non-emergency conveyance</w:t>
      </w:r>
    </w:p>
    <w:p w14:paraId="34C059A0" w14:textId="77777777" w:rsidR="002A2FE4" w:rsidRDefault="002A2FE4" w:rsidP="002A2FE4">
      <w:pPr>
        <w:pStyle w:val="BodyText"/>
      </w:pPr>
      <w:r>
        <w:t>The count of incidents with non-emergency conveyance where a 1, 2, 3, or 4 hour response was agreed, without triage, in response to a call from an HCP.</w:t>
      </w:r>
    </w:p>
    <w:p w14:paraId="430F785C" w14:textId="016CBD3D" w:rsidR="002A2FE4" w:rsidRDefault="002A2FE4" w:rsidP="002A2FE4">
      <w:pPr>
        <w:pStyle w:val="Heading4"/>
      </w:pPr>
      <w:r>
        <w:t>A58</w:t>
      </w:r>
      <w:r>
        <w:tab/>
        <w:t xml:space="preserve">HCP 1 hour </w:t>
      </w:r>
      <w:r w:rsidR="005315D3">
        <w:t>response</w:t>
      </w:r>
    </w:p>
    <w:p w14:paraId="4389338B" w14:textId="1A07B7EA" w:rsidR="002A2FE4" w:rsidRPr="0004546C" w:rsidRDefault="002A2FE4" w:rsidP="002A2FE4">
      <w:pPr>
        <w:pStyle w:val="BodyText"/>
      </w:pPr>
      <w:r w:rsidRPr="00D148ED">
        <w:t xml:space="preserve">The </w:t>
      </w:r>
      <w:r>
        <w:t xml:space="preserve">count </w:t>
      </w:r>
      <w:r w:rsidRPr="00D148ED">
        <w:t xml:space="preserve">of incidents </w:t>
      </w:r>
      <w:r>
        <w:t>where a 1 hour response was agreed in response to a call from an HCP</w:t>
      </w:r>
      <w:r w:rsidR="00C42B7B">
        <w:t>.</w:t>
      </w:r>
    </w:p>
    <w:p w14:paraId="018B3856" w14:textId="4E4381D1" w:rsidR="002A2FE4" w:rsidRDefault="002A2FE4" w:rsidP="002A2FE4">
      <w:pPr>
        <w:pStyle w:val="Heading4"/>
      </w:pPr>
      <w:r>
        <w:t>A59</w:t>
      </w:r>
      <w:r>
        <w:tab/>
        <w:t xml:space="preserve">HCP 2 hour </w:t>
      </w:r>
      <w:r w:rsidR="005315D3">
        <w:t>response</w:t>
      </w:r>
    </w:p>
    <w:p w14:paraId="54FCF0BD" w14:textId="34D63DA5" w:rsidR="002A2FE4" w:rsidRPr="0004546C" w:rsidRDefault="002A2FE4" w:rsidP="002A2FE4">
      <w:pPr>
        <w:pStyle w:val="BodyText"/>
      </w:pPr>
      <w:r w:rsidRPr="00D148ED">
        <w:t xml:space="preserve">The </w:t>
      </w:r>
      <w:r>
        <w:t xml:space="preserve">count </w:t>
      </w:r>
      <w:r w:rsidRPr="00D148ED">
        <w:t xml:space="preserve">of incidents </w:t>
      </w:r>
      <w:r>
        <w:t xml:space="preserve">where a 2 hour response was agreed in response to a call from an </w:t>
      </w:r>
      <w:r w:rsidR="00C42B7B">
        <w:t>HCP</w:t>
      </w:r>
      <w:r>
        <w:t xml:space="preserve">. </w:t>
      </w:r>
    </w:p>
    <w:p w14:paraId="06AC7707" w14:textId="3289D719" w:rsidR="002A2FE4" w:rsidRDefault="002A2FE4" w:rsidP="002A2FE4">
      <w:pPr>
        <w:pStyle w:val="Heading4"/>
      </w:pPr>
      <w:r>
        <w:t>A60</w:t>
      </w:r>
      <w:r>
        <w:tab/>
        <w:t xml:space="preserve">HCP 3 hour </w:t>
      </w:r>
      <w:r w:rsidR="005315D3">
        <w:t>response</w:t>
      </w:r>
    </w:p>
    <w:p w14:paraId="215F09DB" w14:textId="1628C33A" w:rsidR="002A2FE4" w:rsidRPr="0004546C" w:rsidRDefault="002A2FE4" w:rsidP="002A2FE4">
      <w:pPr>
        <w:pStyle w:val="BodyText"/>
      </w:pPr>
      <w:r w:rsidRPr="00D148ED">
        <w:t xml:space="preserve">The </w:t>
      </w:r>
      <w:r>
        <w:t xml:space="preserve">count </w:t>
      </w:r>
      <w:r w:rsidRPr="00D148ED">
        <w:t xml:space="preserve">of incidents </w:t>
      </w:r>
      <w:r>
        <w:t>whe</w:t>
      </w:r>
      <w:r w:rsidR="00BC74E0">
        <w:t>re a 3 hour response was agreed</w:t>
      </w:r>
      <w:r>
        <w:t xml:space="preserve"> in response to a call from an </w:t>
      </w:r>
      <w:r w:rsidR="00C42B7B">
        <w:t>HCP</w:t>
      </w:r>
      <w:r>
        <w:t xml:space="preserve">. </w:t>
      </w:r>
    </w:p>
    <w:p w14:paraId="5609E6E1" w14:textId="54F2ADC3" w:rsidR="002A2FE4" w:rsidRDefault="002A2FE4" w:rsidP="002A2FE4">
      <w:pPr>
        <w:pStyle w:val="Heading4"/>
      </w:pPr>
      <w:r>
        <w:t>A61</w:t>
      </w:r>
      <w:r>
        <w:tab/>
        <w:t xml:space="preserve">HCP 4 hour </w:t>
      </w:r>
      <w:r w:rsidR="005315D3">
        <w:t>response</w:t>
      </w:r>
    </w:p>
    <w:p w14:paraId="54EB3B26" w14:textId="0647CE55" w:rsidR="002A2FE4" w:rsidRDefault="002A2FE4" w:rsidP="002A2FE4">
      <w:pPr>
        <w:pStyle w:val="BodyText"/>
      </w:pPr>
      <w:r w:rsidRPr="00D148ED">
        <w:t xml:space="preserve">The </w:t>
      </w:r>
      <w:r>
        <w:t xml:space="preserve">count </w:t>
      </w:r>
      <w:r w:rsidRPr="00D148ED">
        <w:t xml:space="preserve">of incidents </w:t>
      </w:r>
      <w:r>
        <w:t xml:space="preserve">where a 4 hour response was agreed in response to a call from an </w:t>
      </w:r>
      <w:r w:rsidR="00C42B7B">
        <w:t>HCP</w:t>
      </w:r>
      <w:r>
        <w:t>.</w:t>
      </w:r>
      <w:r>
        <w:br w:type="page"/>
      </w:r>
    </w:p>
    <w:p w14:paraId="5F4912D8" w14:textId="77777777" w:rsidR="00772F1A" w:rsidRDefault="00772F1A" w:rsidP="00772F1A">
      <w:pPr>
        <w:pStyle w:val="Heading4"/>
      </w:pPr>
      <w:r>
        <w:t xml:space="preserve">Nature of Call (NoC) / Pre-triage questions (PTQ) </w:t>
      </w:r>
    </w:p>
    <w:p w14:paraId="1164D3D8" w14:textId="77777777" w:rsidR="00772F1A" w:rsidRDefault="00772F1A" w:rsidP="00772F1A">
      <w:pPr>
        <w:pStyle w:val="BodyText"/>
      </w:pPr>
      <w:r>
        <w:t>For A14 to A16, if the</w:t>
      </w:r>
      <w:r w:rsidRPr="000B7526">
        <w:t xml:space="preserve"> call connect time is </w:t>
      </w:r>
      <w:r>
        <w:t xml:space="preserve">not </w:t>
      </w:r>
      <w:r w:rsidRPr="000B7526">
        <w:t xml:space="preserve">recorded, </w:t>
      </w:r>
      <w:r>
        <w:t>start from the next earliest time, such as T1.</w:t>
      </w:r>
    </w:p>
    <w:p w14:paraId="641FC41B" w14:textId="77777777" w:rsidR="0011775C" w:rsidRDefault="005F7C8E" w:rsidP="00772F1A">
      <w:pPr>
        <w:pStyle w:val="BodyText"/>
      </w:pPr>
      <w:r>
        <w:t xml:space="preserve">Definition: </w:t>
      </w:r>
      <w:r w:rsidR="0011775C">
        <w:t>A15 = A14 / A13.</w:t>
      </w:r>
    </w:p>
    <w:p w14:paraId="31B33A51" w14:textId="77777777" w:rsidR="00CD0450" w:rsidRDefault="00CD0450" w:rsidP="00B47539">
      <w:pPr>
        <w:pStyle w:val="Heading3"/>
      </w:pPr>
      <w:r>
        <w:t xml:space="preserve">C1 </w:t>
      </w:r>
      <w:r w:rsidR="002A53FC">
        <w:t>NoC</w:t>
      </w:r>
      <w:r w:rsidR="00BB2416">
        <w:t xml:space="preserve"> </w:t>
      </w:r>
      <w:r w:rsidR="002A53FC">
        <w:t>/</w:t>
      </w:r>
      <w:r w:rsidR="00BB2416">
        <w:t xml:space="preserve"> </w:t>
      </w:r>
      <w:r w:rsidR="002A53FC">
        <w:t>PTQ incidents</w:t>
      </w:r>
    </w:p>
    <w:p w14:paraId="43D10E97" w14:textId="00ADC664" w:rsidR="002A53FC" w:rsidRPr="002A53FC" w:rsidRDefault="002A53FC" w:rsidP="002A53FC">
      <w:pPr>
        <w:pStyle w:val="BodyText"/>
      </w:pPr>
      <w:r w:rsidRPr="00D148ED">
        <w:t xml:space="preserve">The </w:t>
      </w:r>
      <w:r>
        <w:t xml:space="preserve">count </w:t>
      </w:r>
      <w:r w:rsidRPr="00D148ED">
        <w:t xml:space="preserve">of </w:t>
      </w:r>
      <w:r w:rsidR="00D751AE">
        <w:t xml:space="preserve">C1 </w:t>
      </w:r>
      <w:r>
        <w:t xml:space="preserve">incidents, that </w:t>
      </w:r>
      <w:r w:rsidR="00B46044">
        <w:t>NoC</w:t>
      </w:r>
      <w:r>
        <w:t xml:space="preserve"> </w:t>
      </w:r>
      <w:r w:rsidR="00AF01E1">
        <w:t>identified</w:t>
      </w:r>
      <w:r>
        <w:t xml:space="preserve"> as C1, and receive</w:t>
      </w:r>
      <w:r w:rsidR="00AF01E1">
        <w:t>d</w:t>
      </w:r>
      <w:r>
        <w:t xml:space="preserve"> a response on scene.</w:t>
      </w:r>
    </w:p>
    <w:p w14:paraId="4629968A" w14:textId="77777777" w:rsidR="002A53FC" w:rsidRDefault="00AF01E1" w:rsidP="00CD0450">
      <w:pPr>
        <w:pStyle w:val="Heading3"/>
      </w:pPr>
      <w:r>
        <w:t>Total t</w:t>
      </w:r>
      <w:r w:rsidR="002A53FC">
        <w:t>ime to NoC</w:t>
      </w:r>
      <w:r>
        <w:t xml:space="preserve"> </w:t>
      </w:r>
      <w:r w:rsidR="002A53FC">
        <w:t>/</w:t>
      </w:r>
      <w:r>
        <w:t xml:space="preserve"> </w:t>
      </w:r>
      <w:r w:rsidR="002A53FC">
        <w:t>PTQ C1</w:t>
      </w:r>
    </w:p>
    <w:p w14:paraId="44810440" w14:textId="45E8AF1F" w:rsidR="00475647" w:rsidRDefault="00AF01E1" w:rsidP="00475647">
      <w:pPr>
        <w:pStyle w:val="BodyText"/>
      </w:pPr>
      <w:r>
        <w:t xml:space="preserve">Aggregated across each call </w:t>
      </w:r>
      <w:r w:rsidRPr="00475647">
        <w:t>in A</w:t>
      </w:r>
      <w:r>
        <w:t>13, t</w:t>
      </w:r>
      <w:r w:rsidR="00475647">
        <w:t>he time, in seconds, from call connect</w:t>
      </w:r>
      <w:r w:rsidR="008D0CAA">
        <w:t>,</w:t>
      </w:r>
      <w:r w:rsidR="00475647">
        <w:t xml:space="preserve"> until </w:t>
      </w:r>
      <w:r>
        <w:t xml:space="preserve">the </w:t>
      </w:r>
      <w:r w:rsidR="00A37521">
        <w:t xml:space="preserve">call </w:t>
      </w:r>
      <w:r>
        <w:t>wa</w:t>
      </w:r>
      <w:r w:rsidR="00A37521">
        <w:t xml:space="preserve">s </w:t>
      </w:r>
      <w:r w:rsidR="00475647">
        <w:t>identified</w:t>
      </w:r>
      <w:r w:rsidR="00475647" w:rsidRPr="00475647">
        <w:t xml:space="preserve"> as </w:t>
      </w:r>
      <w:r w:rsidR="00D751AE">
        <w:t xml:space="preserve">a potential </w:t>
      </w:r>
      <w:r w:rsidR="00475647" w:rsidRPr="00475647">
        <w:t>C1</w:t>
      </w:r>
      <w:r w:rsidR="00CD0450">
        <w:t xml:space="preserve"> using NoC / </w:t>
      </w:r>
      <w:r w:rsidR="001A4CA9">
        <w:t>PTQ</w:t>
      </w:r>
      <w:r>
        <w:t>.</w:t>
      </w:r>
    </w:p>
    <w:p w14:paraId="248CD61B" w14:textId="77777777" w:rsidR="00AF01E1" w:rsidRDefault="0028543C" w:rsidP="00CD0450">
      <w:pPr>
        <w:pStyle w:val="Heading3"/>
      </w:pPr>
      <w:r>
        <w:t xml:space="preserve">Mean time to </w:t>
      </w:r>
      <w:r w:rsidR="00AF01E1">
        <w:t>NoC / PTQ C1</w:t>
      </w:r>
    </w:p>
    <w:p w14:paraId="49FE8EE4" w14:textId="4CDB7238" w:rsidR="0028543C" w:rsidRDefault="00AF01E1" w:rsidP="00AF01E1">
      <w:pPr>
        <w:pStyle w:val="BodyText"/>
      </w:pPr>
      <w:r>
        <w:t xml:space="preserve">Across all calls in A13, the mean average time, in seconds, from call connect, until a call </w:t>
      </w:r>
      <w:r w:rsidR="00D751AE">
        <w:t>wa</w:t>
      </w:r>
      <w:r>
        <w:t>s identified</w:t>
      </w:r>
      <w:r w:rsidRPr="00475647">
        <w:t xml:space="preserve"> as </w:t>
      </w:r>
      <w:r w:rsidR="00D751AE">
        <w:t xml:space="preserve">a potential </w:t>
      </w:r>
      <w:r w:rsidRPr="00475647">
        <w:t>C1</w:t>
      </w:r>
      <w:r>
        <w:t xml:space="preserve"> using NoC / </w:t>
      </w:r>
      <w:r w:rsidR="001A4CA9">
        <w:t>PTQ</w:t>
      </w:r>
      <w:r>
        <w:t>.</w:t>
      </w:r>
      <w:r w:rsidR="00CD0450" w:rsidRPr="00CD0450">
        <w:t xml:space="preserve"> </w:t>
      </w:r>
    </w:p>
    <w:p w14:paraId="45BCACCD" w14:textId="77777777" w:rsidR="000946F6" w:rsidRDefault="000946F6" w:rsidP="00CD0450">
      <w:pPr>
        <w:pStyle w:val="Heading3"/>
      </w:pPr>
      <w:r>
        <w:t xml:space="preserve">90th centile time to </w:t>
      </w:r>
      <w:r w:rsidR="00CD0450" w:rsidRPr="00CD0450">
        <w:t xml:space="preserve">NoC / </w:t>
      </w:r>
      <w:r w:rsidR="00AF01E1">
        <w:t>PTQ C1</w:t>
      </w:r>
    </w:p>
    <w:p w14:paraId="723E047E" w14:textId="01C96C82" w:rsidR="00DA6BE5" w:rsidRDefault="00AF01E1" w:rsidP="00DA6BE5">
      <w:pPr>
        <w:pStyle w:val="BodyText"/>
      </w:pPr>
      <w:r>
        <w:t xml:space="preserve">Across all calls in A13, the 90th centile time, in seconds, from call connect, until a call </w:t>
      </w:r>
      <w:r w:rsidR="00D751AE">
        <w:t>wa</w:t>
      </w:r>
      <w:r>
        <w:t>s identified</w:t>
      </w:r>
      <w:r w:rsidRPr="00475647">
        <w:t xml:space="preserve"> as </w:t>
      </w:r>
      <w:r w:rsidR="00D751AE">
        <w:t xml:space="preserve">a potential </w:t>
      </w:r>
      <w:r w:rsidRPr="00475647">
        <w:t>C1</w:t>
      </w:r>
      <w:r>
        <w:t xml:space="preserve"> using NoC / </w:t>
      </w:r>
      <w:r w:rsidR="001A4CA9">
        <w:t>PTQ</w:t>
      </w:r>
      <w:r>
        <w:t>.</w:t>
      </w:r>
      <w:r w:rsidR="00DA6BE5">
        <w:br w:type="page"/>
      </w:r>
    </w:p>
    <w:p w14:paraId="503F55AD" w14:textId="77777777" w:rsidR="00356937" w:rsidRDefault="00AF01E1" w:rsidP="00356937">
      <w:pPr>
        <w:pStyle w:val="Heading4"/>
      </w:pPr>
      <w:r>
        <w:t>Incidents with face-to-face response</w:t>
      </w:r>
    </w:p>
    <w:p w14:paraId="28C6AA16" w14:textId="77777777" w:rsidR="00772F1A" w:rsidRDefault="00356937" w:rsidP="00772F1A">
      <w:pPr>
        <w:pStyle w:val="BodyText"/>
      </w:pPr>
      <w:r>
        <w:t xml:space="preserve">Incidents with face-to-face response </w:t>
      </w:r>
      <w:r w:rsidR="004D35A3">
        <w:t xml:space="preserve">are </w:t>
      </w:r>
      <w:r>
        <w:t xml:space="preserve">counted in </w:t>
      </w:r>
      <w:r w:rsidR="004D35A3">
        <w:t xml:space="preserve">item </w:t>
      </w:r>
      <w:r>
        <w:t xml:space="preserve">A56 </w:t>
      </w:r>
      <w:r w:rsidR="00C34657">
        <w:t>in Section 9</w:t>
      </w:r>
      <w:r w:rsidR="00772F1A">
        <w:t>.</w:t>
      </w:r>
    </w:p>
    <w:p w14:paraId="6877D878" w14:textId="77777777" w:rsidR="00AC2314" w:rsidRDefault="00AC2314" w:rsidP="004D35A3">
      <w:pPr>
        <w:pStyle w:val="Heading3"/>
      </w:pPr>
      <w:r>
        <w:t>Incidents with no face-to-face response</w:t>
      </w:r>
    </w:p>
    <w:p w14:paraId="58B86290" w14:textId="77777777" w:rsidR="00C31819" w:rsidRDefault="00C31819" w:rsidP="00AF01E1">
      <w:pPr>
        <w:pStyle w:val="BodyText"/>
      </w:pPr>
      <w:r>
        <w:t xml:space="preserve">Count of all incidents </w:t>
      </w:r>
      <w:r w:rsidR="000F3326">
        <w:t xml:space="preserve">not </w:t>
      </w:r>
      <w:r>
        <w:t xml:space="preserve">receiving a </w:t>
      </w:r>
      <w:r w:rsidR="009328C6">
        <w:t>face-to-face</w:t>
      </w:r>
      <w:r>
        <w:t xml:space="preserve"> response</w:t>
      </w:r>
      <w:r w:rsidR="00AF01E1">
        <w:t>.</w:t>
      </w:r>
    </w:p>
    <w:p w14:paraId="34AA0887" w14:textId="77777777" w:rsidR="005D2918" w:rsidRDefault="005F7C8E" w:rsidP="00AF01E1">
      <w:pPr>
        <w:pStyle w:val="BodyText"/>
      </w:pPr>
      <w:r>
        <w:t xml:space="preserve">Definition: </w:t>
      </w:r>
      <w:r w:rsidR="004D35A3">
        <w:t>A17</w:t>
      </w:r>
      <w:r w:rsidR="005D2918">
        <w:t xml:space="preserve"> = A18 + A19 + A21 + A22</w:t>
      </w:r>
      <w:r w:rsidR="0011775C">
        <w:t>.</w:t>
      </w:r>
    </w:p>
    <w:p w14:paraId="7A15F131" w14:textId="71773E49" w:rsidR="0014295B" w:rsidRDefault="0014295B" w:rsidP="00AF01E1">
      <w:pPr>
        <w:pStyle w:val="BodyText"/>
      </w:pPr>
      <w:r>
        <w:t xml:space="preserve">The recommended Hear and Treat rate will be A17 / </w:t>
      </w:r>
      <w:r w:rsidR="00001365">
        <w:t>A7</w:t>
      </w:r>
      <w:r>
        <w:t>.</w:t>
      </w:r>
    </w:p>
    <w:p w14:paraId="36D2CFF3" w14:textId="77777777" w:rsidR="009328C6" w:rsidRDefault="009328C6" w:rsidP="009328C6">
      <w:pPr>
        <w:pStyle w:val="BodyText"/>
      </w:pPr>
      <w:r>
        <w:t>Items A18 to A23 should be reported against the category</w:t>
      </w:r>
      <w:r w:rsidR="00220673">
        <w:t xml:space="preserve"> immediately</w:t>
      </w:r>
      <w:r>
        <w:t xml:space="preserve"> prior to any additional clinician triage.</w:t>
      </w:r>
    </w:p>
    <w:p w14:paraId="50806D86" w14:textId="77777777" w:rsidR="009328C6" w:rsidRDefault="009328C6" w:rsidP="009328C6">
      <w:pPr>
        <w:pStyle w:val="BodyText"/>
      </w:pPr>
      <w:r>
        <w:t xml:space="preserve">Incidents counted in A20 </w:t>
      </w:r>
      <w:r w:rsidR="00E90798">
        <w:t>or</w:t>
      </w:r>
      <w:r>
        <w:t xml:space="preserve"> A23 will be also counted in A8, A10, A11 or A12.</w:t>
      </w:r>
    </w:p>
    <w:p w14:paraId="69F69C1F" w14:textId="77777777" w:rsidR="008F3CBA" w:rsidRPr="00D8369E" w:rsidRDefault="008F3CBA" w:rsidP="008F3CBA">
      <w:pPr>
        <w:pStyle w:val="BodyText"/>
      </w:pPr>
      <w:r>
        <w:t>Count i</w:t>
      </w:r>
      <w:r w:rsidRPr="008348B9">
        <w:t>ncidents</w:t>
      </w:r>
      <w:r>
        <w:t xml:space="preserve"> </w:t>
      </w:r>
      <w:r w:rsidRPr="00D8369E">
        <w:t>with no face-to-face resource</w:t>
      </w:r>
      <w:r>
        <w:t xml:space="preserve">, where full triage </w:t>
      </w:r>
      <w:r w:rsidR="0061602F">
        <w:t>was</w:t>
      </w:r>
      <w:r>
        <w:t xml:space="preserve"> undertaken, and</w:t>
      </w:r>
      <w:r w:rsidRPr="00D8369E">
        <w:t xml:space="preserve"> resolved by:</w:t>
      </w:r>
    </w:p>
    <w:p w14:paraId="34D0476D" w14:textId="022D01DD" w:rsidR="008F3CBA" w:rsidRPr="00D8369E" w:rsidRDefault="008F3CBA" w:rsidP="008F3CBA">
      <w:pPr>
        <w:pStyle w:val="ListBullet2"/>
      </w:pPr>
      <w:r w:rsidRPr="00D8369E">
        <w:t xml:space="preserve">a designated HCP accountable to the </w:t>
      </w:r>
      <w:r w:rsidR="00E27E4E">
        <w:t xml:space="preserve">Trust </w:t>
      </w:r>
      <w:r w:rsidRPr="00D8369E">
        <w:t>providing telephone advice, or;</w:t>
      </w:r>
    </w:p>
    <w:p w14:paraId="3550E53C" w14:textId="77777777" w:rsidR="008F3CBA" w:rsidRPr="00D8369E" w:rsidRDefault="008F3CBA" w:rsidP="008F3CBA">
      <w:pPr>
        <w:pStyle w:val="ListBullet2"/>
      </w:pPr>
      <w:r w:rsidRPr="00D8369E">
        <w:t>decisions supported by clinical decision support software</w:t>
      </w:r>
      <w:r w:rsidR="00220673">
        <w:t xml:space="preserve"> or approved triage tool</w:t>
      </w:r>
      <w:r w:rsidRPr="00D8369E">
        <w:t>, or;</w:t>
      </w:r>
    </w:p>
    <w:p w14:paraId="7B76F0F5" w14:textId="39C3D557" w:rsidR="008F3CBA" w:rsidRDefault="008F3CBA" w:rsidP="008F3CBA">
      <w:pPr>
        <w:pStyle w:val="ListBullet2"/>
      </w:pPr>
      <w:r w:rsidRPr="00D8369E">
        <w:t xml:space="preserve">referring to another organisation working with the </w:t>
      </w:r>
      <w:r w:rsidR="00E27E4E">
        <w:t xml:space="preserve">Trust </w:t>
      </w:r>
      <w:r w:rsidRPr="00D8369E">
        <w:t xml:space="preserve">through an agreed contract or Service Level Agreement, or </w:t>
      </w:r>
      <w:r w:rsidR="001A4CA9">
        <w:t xml:space="preserve">through the </w:t>
      </w:r>
      <w:r w:rsidRPr="00D8369E">
        <w:t>Directory of Services</w:t>
      </w:r>
      <w:r>
        <w:t>.</w:t>
      </w:r>
    </w:p>
    <w:p w14:paraId="1D06CFC2" w14:textId="77777777" w:rsidR="00CC4A79" w:rsidRPr="00D8369E" w:rsidRDefault="008834ED" w:rsidP="008348B9">
      <w:pPr>
        <w:pStyle w:val="BodyText"/>
      </w:pPr>
      <w:r>
        <w:t>Do not include</w:t>
      </w:r>
      <w:r w:rsidR="008429BA">
        <w:t xml:space="preserve"> in A17</w:t>
      </w:r>
      <w:r w:rsidR="00CC4A79" w:rsidRPr="00D8369E">
        <w:t>:</w:t>
      </w:r>
    </w:p>
    <w:p w14:paraId="295CF68E" w14:textId="77777777" w:rsidR="00CC4A79" w:rsidRDefault="00CC4A79" w:rsidP="008348B9">
      <w:pPr>
        <w:pStyle w:val="ListBullet2"/>
      </w:pPr>
      <w:r w:rsidRPr="00D8369E">
        <w:t>duplicate or multiple calls to an incident where a response ha</w:t>
      </w:r>
      <w:r w:rsidR="0061602F">
        <w:t>d</w:t>
      </w:r>
      <w:r w:rsidRPr="00D8369E">
        <w:t xml:space="preserve"> already been activated;</w:t>
      </w:r>
    </w:p>
    <w:p w14:paraId="6E6B7E73" w14:textId="77777777" w:rsidR="00E83B0C" w:rsidRDefault="00E83B0C" w:rsidP="008348B9">
      <w:pPr>
        <w:pStyle w:val="ListBullet2"/>
      </w:pPr>
      <w:r>
        <w:t>information only calls, for example from police;</w:t>
      </w:r>
    </w:p>
    <w:p w14:paraId="2CDEEBF4" w14:textId="77777777" w:rsidR="00E83B0C" w:rsidRDefault="00E83B0C" w:rsidP="008348B9">
      <w:pPr>
        <w:pStyle w:val="ListBullet2"/>
      </w:pPr>
      <w:r>
        <w:t>response cancelled by caller</w:t>
      </w:r>
      <w:r w:rsidR="008F3CBA">
        <w:t>, either during the initial call, or during a subsequent call to the Ambulance Service (including, but not limited to, when patient recovers without intervention);</w:t>
      </w:r>
    </w:p>
    <w:p w14:paraId="7F0EB1F3" w14:textId="77777777" w:rsidR="00E83B0C" w:rsidRDefault="00803353" w:rsidP="008348B9">
      <w:pPr>
        <w:pStyle w:val="ListBullet2"/>
      </w:pPr>
      <w:r>
        <w:t>deceased patient with no response on scene</w:t>
      </w:r>
      <w:r w:rsidR="00E83B0C">
        <w:t>;</w:t>
      </w:r>
    </w:p>
    <w:p w14:paraId="71CDADF6" w14:textId="77777777" w:rsidR="00CC4A79" w:rsidRPr="00D8369E" w:rsidRDefault="008F3CBA" w:rsidP="008348B9">
      <w:pPr>
        <w:pStyle w:val="ListBullet2"/>
      </w:pPr>
      <w:r>
        <w:t xml:space="preserve">calls abandoned by the caller </w:t>
      </w:r>
      <w:r w:rsidR="00CC4A79" w:rsidRPr="00D8369E">
        <w:t>before coding is complete;</w:t>
      </w:r>
    </w:p>
    <w:p w14:paraId="7A97ABC7" w14:textId="77777777" w:rsidR="00CC4A79" w:rsidRPr="00D8369E" w:rsidRDefault="00CC4A79" w:rsidP="008348B9">
      <w:pPr>
        <w:pStyle w:val="ListBullet2"/>
      </w:pPr>
      <w:r w:rsidRPr="008348B9">
        <w:t>caller</w:t>
      </w:r>
      <w:r w:rsidRPr="00D8369E">
        <w:t xml:space="preserve"> not with patient and unable to give details;</w:t>
      </w:r>
    </w:p>
    <w:p w14:paraId="27A5E369" w14:textId="77777777" w:rsidR="00CC4A79" w:rsidRPr="00D8369E" w:rsidRDefault="00CC4A79" w:rsidP="008348B9">
      <w:pPr>
        <w:pStyle w:val="ListBullet2"/>
      </w:pPr>
      <w:r w:rsidRPr="00D8369E">
        <w:t>caller refuse</w:t>
      </w:r>
      <w:r w:rsidR="0061602F">
        <w:t>d</w:t>
      </w:r>
      <w:r w:rsidRPr="00D8369E">
        <w:t xml:space="preserve"> to give details;</w:t>
      </w:r>
    </w:p>
    <w:p w14:paraId="2211FF33" w14:textId="77777777" w:rsidR="00CC4A79" w:rsidRDefault="00CC4A79" w:rsidP="008348B9">
      <w:pPr>
        <w:pStyle w:val="ListBullet2"/>
      </w:pPr>
      <w:r w:rsidRPr="00D8369E">
        <w:t>hoax calls where response not activated;</w:t>
      </w:r>
    </w:p>
    <w:p w14:paraId="27780904" w14:textId="77777777" w:rsidR="001B50AA" w:rsidRDefault="00AD35AE" w:rsidP="0071605C">
      <w:pPr>
        <w:pStyle w:val="ListBullet2"/>
      </w:pPr>
      <w:r>
        <w:t>c</w:t>
      </w:r>
      <w:r w:rsidRPr="00AD35AE">
        <w:t xml:space="preserve">alls that are not resolved with telephone </w:t>
      </w:r>
      <w:r w:rsidR="0071605C" w:rsidRPr="0071605C">
        <w:t>advice and do not receive a response on scene due to demand management arrangements associated with surge pressures</w:t>
      </w:r>
      <w:r w:rsidR="00BB6E60">
        <w:t>;</w:t>
      </w:r>
    </w:p>
    <w:p w14:paraId="42FEAEDA" w14:textId="77777777" w:rsidR="008429BA" w:rsidRDefault="008F3CBA" w:rsidP="0011775C">
      <w:pPr>
        <w:pStyle w:val="ListBullet2"/>
      </w:pPr>
      <w:r>
        <w:t>calls passed to another Ambulance Service or other emergency service</w:t>
      </w:r>
      <w:r w:rsidR="008429BA">
        <w:t>;</w:t>
      </w:r>
    </w:p>
    <w:p w14:paraId="3F86B737" w14:textId="77777777" w:rsidR="00E40E1E" w:rsidRDefault="008429BA" w:rsidP="0011775C">
      <w:pPr>
        <w:pStyle w:val="ListBullet2"/>
      </w:pPr>
      <w:r>
        <w:t xml:space="preserve">if NHS Pathways is used, </w:t>
      </w:r>
      <w:r w:rsidR="006A34A3">
        <w:t>incidents with a final disposition of</w:t>
      </w:r>
      <w:r>
        <w:t xml:space="preserve"> Dx32, Dx321, Dx322, Dx323, Dx324, Dx325, Dx326, Dx327, Dx328, Dx329, Dx330, Dx332, Dx34, Dx35, Dx38, Dx45, Dx49, </w:t>
      </w:r>
      <w:r w:rsidR="0088765D">
        <w:t xml:space="preserve">Dx52, </w:t>
      </w:r>
      <w:r>
        <w:t>Dx90, Dx95, or Dx108</w:t>
      </w:r>
      <w:r w:rsidR="008F3CBA">
        <w:t>.</w:t>
      </w:r>
    </w:p>
    <w:p w14:paraId="2E2F808A" w14:textId="21666730" w:rsidR="00E90798" w:rsidRDefault="00E27E4E" w:rsidP="00E90798">
      <w:pPr>
        <w:pStyle w:val="BodyText"/>
      </w:pPr>
      <w:r>
        <w:t xml:space="preserve">Trusts </w:t>
      </w:r>
      <w:r w:rsidR="00E90798">
        <w:t xml:space="preserve">will </w:t>
      </w:r>
      <w:r w:rsidR="00E90798" w:rsidRPr="00E90798">
        <w:t xml:space="preserve">establish and report through </w:t>
      </w:r>
      <w:r w:rsidR="00A85413">
        <w:t>National Ambulance Information Group (</w:t>
      </w:r>
      <w:r w:rsidR="00E90798" w:rsidRPr="00E90798">
        <w:t>NAIG</w:t>
      </w:r>
      <w:r w:rsidR="00A85413">
        <w:t>)</w:t>
      </w:r>
      <w:r w:rsidR="00E90798" w:rsidRPr="00E90798">
        <w:t xml:space="preserve"> consistent national stop codes corresponding to calls that are not incidents because of</w:t>
      </w:r>
      <w:r w:rsidR="00E90798">
        <w:t>:</w:t>
      </w:r>
    </w:p>
    <w:p w14:paraId="6F62F384" w14:textId="77777777" w:rsidR="00E90798" w:rsidRDefault="00E40E1E" w:rsidP="00E90798">
      <w:pPr>
        <w:pStyle w:val="ListNumber2"/>
      </w:pPr>
      <w:r>
        <w:t>no send – demand management</w:t>
      </w:r>
      <w:r w:rsidR="00E90798">
        <w:t>;</w:t>
      </w:r>
    </w:p>
    <w:p w14:paraId="4224F06F" w14:textId="77777777" w:rsidR="00E90798" w:rsidRDefault="00E40E1E" w:rsidP="00E90798">
      <w:pPr>
        <w:pStyle w:val="ListNumber2"/>
      </w:pPr>
      <w:r>
        <w:t>cancelled by caller due to waiting time</w:t>
      </w:r>
      <w:r w:rsidR="00E90798">
        <w:t>;</w:t>
      </w:r>
    </w:p>
    <w:p w14:paraId="1E28B84E" w14:textId="77777777" w:rsidR="00E90798" w:rsidRDefault="00E40E1E" w:rsidP="00E90798">
      <w:pPr>
        <w:pStyle w:val="ListNumber2"/>
      </w:pPr>
      <w:r>
        <w:t>patient recovering</w:t>
      </w:r>
      <w:r w:rsidR="00E90798">
        <w:t>;</w:t>
      </w:r>
    </w:p>
    <w:p w14:paraId="1B3343FB" w14:textId="77777777" w:rsidR="0011775C" w:rsidRDefault="00E40E1E" w:rsidP="00E90798">
      <w:pPr>
        <w:pStyle w:val="ListNumber2"/>
      </w:pPr>
      <w:r>
        <w:t>other reasons.</w:t>
      </w:r>
      <w:r w:rsidR="0011775C">
        <w:br w:type="page"/>
      </w:r>
    </w:p>
    <w:p w14:paraId="18C3BE24" w14:textId="77777777" w:rsidR="00AF01E1" w:rsidRDefault="00FD0972" w:rsidP="008348B9">
      <w:pPr>
        <w:pStyle w:val="Heading3"/>
      </w:pPr>
      <w:r>
        <w:t>Incidents c</w:t>
      </w:r>
      <w:r w:rsidR="00AF01E1">
        <w:t xml:space="preserve">losed with advice: </w:t>
      </w:r>
      <w:r w:rsidR="008509D8">
        <w:t>Non-C4H</w:t>
      </w:r>
      <w:r w:rsidR="008509D8" w:rsidDel="008509D8">
        <w:t xml:space="preserve"> </w:t>
      </w:r>
    </w:p>
    <w:p w14:paraId="28622945" w14:textId="77777777" w:rsidR="0043657D" w:rsidRDefault="008509D8" w:rsidP="00AF01E1">
      <w:pPr>
        <w:pStyle w:val="BodyText"/>
      </w:pPr>
      <w:r>
        <w:t>For</w:t>
      </w:r>
      <w:r w:rsidRPr="00D8369E">
        <w:t xml:space="preserve"> C2, C3</w:t>
      </w:r>
      <w:r>
        <w:t>,</w:t>
      </w:r>
      <w:r w:rsidRPr="00D8369E">
        <w:t xml:space="preserve"> and </w:t>
      </w:r>
      <w:r>
        <w:t>C4</w:t>
      </w:r>
      <w:r w:rsidRPr="00D8369E">
        <w:t xml:space="preserve"> incidents</w:t>
      </w:r>
      <w:r>
        <w:t xml:space="preserve"> coded as requiring a face-to-face response; </w:t>
      </w:r>
      <w:r w:rsidR="003A3CFD">
        <w:t xml:space="preserve">the </w:t>
      </w:r>
      <w:r>
        <w:t>count of</w:t>
      </w:r>
      <w:r w:rsidR="0064653B" w:rsidRPr="00D8369E">
        <w:t xml:space="preserve"> incidents</w:t>
      </w:r>
      <w:r w:rsidR="005852E9">
        <w:t xml:space="preserve"> where the patient </w:t>
      </w:r>
      <w:r w:rsidR="0061602F">
        <w:t>was</w:t>
      </w:r>
      <w:r w:rsidR="005852E9">
        <w:t xml:space="preserve"> given specific home management advice </w:t>
      </w:r>
      <w:r w:rsidR="00C67692">
        <w:t>about</w:t>
      </w:r>
      <w:r w:rsidR="005852E9">
        <w:t xml:space="preserve"> their condition</w:t>
      </w:r>
      <w:r w:rsidR="003A3CFD">
        <w:t>,</w:t>
      </w:r>
      <w:r w:rsidR="005852E9">
        <w:t xml:space="preserve"> and </w:t>
      </w:r>
      <w:r w:rsidR="0061602F">
        <w:t>did</w:t>
      </w:r>
      <w:r w:rsidR="005852E9">
        <w:t xml:space="preserve"> not require any further onward referral</w:t>
      </w:r>
      <w:r w:rsidR="0043657D">
        <w:t>.</w:t>
      </w:r>
    </w:p>
    <w:p w14:paraId="58D60CC3" w14:textId="77777777" w:rsidR="0064653B" w:rsidRDefault="0043657D" w:rsidP="00AF01E1">
      <w:pPr>
        <w:pStyle w:val="BodyText"/>
      </w:pPr>
      <w:r>
        <w:t xml:space="preserve">If using MPDS, count incidents with a </w:t>
      </w:r>
      <w:r w:rsidR="00694B64">
        <w:t>s</w:t>
      </w:r>
      <w:r>
        <w:t xml:space="preserve">top </w:t>
      </w:r>
      <w:r w:rsidR="00694B64">
        <w:t>c</w:t>
      </w:r>
      <w:r>
        <w:t>ode of self-care.</w:t>
      </w:r>
    </w:p>
    <w:p w14:paraId="26B486BC" w14:textId="77777777" w:rsidR="0043657D" w:rsidRDefault="0043657D" w:rsidP="00AF01E1">
      <w:pPr>
        <w:pStyle w:val="BodyText"/>
      </w:pPr>
      <w:r>
        <w:t xml:space="preserve">If using NHS Pathways, count incidents with a </w:t>
      </w:r>
      <w:r w:rsidR="000778BD">
        <w:t xml:space="preserve">final </w:t>
      </w:r>
      <w:r>
        <w:t xml:space="preserve">disposition of </w:t>
      </w:r>
      <w:r w:rsidR="00E753F4">
        <w:t>Dx</w:t>
      </w:r>
      <w:r>
        <w:t xml:space="preserve">09, </w:t>
      </w:r>
      <w:r w:rsidR="00E753F4">
        <w:t>Dx</w:t>
      </w:r>
      <w:r>
        <w:t xml:space="preserve">16, </w:t>
      </w:r>
      <w:r w:rsidR="00E753F4">
        <w:t>Dx</w:t>
      </w:r>
      <w:r>
        <w:t xml:space="preserve">25, </w:t>
      </w:r>
      <w:r w:rsidR="00E753F4">
        <w:t>Dx</w:t>
      </w:r>
      <w:r>
        <w:t xml:space="preserve">39, </w:t>
      </w:r>
      <w:r w:rsidR="00E753F4">
        <w:t>Dx</w:t>
      </w:r>
      <w:r>
        <w:t xml:space="preserve">46, or </w:t>
      </w:r>
      <w:r w:rsidR="00E753F4">
        <w:t>Dx</w:t>
      </w:r>
      <w:r>
        <w:t>83.</w:t>
      </w:r>
    </w:p>
    <w:p w14:paraId="76A1915E" w14:textId="77777777" w:rsidR="00AF01E1" w:rsidRDefault="00FD0972" w:rsidP="00AF01E1">
      <w:pPr>
        <w:pStyle w:val="Heading3"/>
      </w:pPr>
      <w:r>
        <w:t>Incidents r</w:t>
      </w:r>
      <w:r w:rsidR="00AF01E1">
        <w:t xml:space="preserve">eferred to other service: </w:t>
      </w:r>
      <w:r w:rsidR="008509D8">
        <w:t>Non-C4H</w:t>
      </w:r>
    </w:p>
    <w:p w14:paraId="2F52B065" w14:textId="77777777" w:rsidR="0043657D" w:rsidRDefault="008509D8" w:rsidP="00196709">
      <w:pPr>
        <w:pStyle w:val="BodyText"/>
      </w:pPr>
      <w:r>
        <w:t>For</w:t>
      </w:r>
      <w:r w:rsidR="00165A97">
        <w:t xml:space="preserve"> </w:t>
      </w:r>
      <w:r w:rsidRPr="00D8369E">
        <w:t>C2, C3</w:t>
      </w:r>
      <w:r>
        <w:t>,</w:t>
      </w:r>
      <w:r w:rsidRPr="00D8369E">
        <w:t xml:space="preserve"> and </w:t>
      </w:r>
      <w:r>
        <w:t>C4</w:t>
      </w:r>
      <w:r w:rsidRPr="00D8369E">
        <w:t xml:space="preserve"> incidents</w:t>
      </w:r>
      <w:r>
        <w:t xml:space="preserve"> coded as requiring a face-to-face response; </w:t>
      </w:r>
      <w:r w:rsidR="003A3CFD">
        <w:t xml:space="preserve">the </w:t>
      </w:r>
      <w:r>
        <w:t>count of</w:t>
      </w:r>
      <w:r w:rsidR="00EC4433" w:rsidRPr="00D8369E">
        <w:t xml:space="preserve"> </w:t>
      </w:r>
      <w:r w:rsidR="000946F6" w:rsidRPr="00D8369E">
        <w:t xml:space="preserve">incidents </w:t>
      </w:r>
      <w:r w:rsidR="002010E1">
        <w:t xml:space="preserve">where an onward treatment path </w:t>
      </w:r>
      <w:r w:rsidR="0061602F">
        <w:t>wa</w:t>
      </w:r>
      <w:r w:rsidR="002010E1">
        <w:t>s agreed with the patient</w:t>
      </w:r>
      <w:r w:rsidR="00066C8F">
        <w:t>;</w:t>
      </w:r>
      <w:r w:rsidR="002010E1">
        <w:t xml:space="preserve"> whether </w:t>
      </w:r>
      <w:r w:rsidR="00FE2ED3">
        <w:t xml:space="preserve">the Ambulance Service </w:t>
      </w:r>
      <w:r w:rsidR="00DB380D">
        <w:t>advise</w:t>
      </w:r>
      <w:r w:rsidR="0061602F">
        <w:t>d</w:t>
      </w:r>
      <w:r w:rsidR="00DB380D">
        <w:t xml:space="preserve"> the patient to make their own way, or </w:t>
      </w:r>
      <w:r w:rsidR="00FE2ED3">
        <w:t>arrange</w:t>
      </w:r>
      <w:r w:rsidR="0061602F">
        <w:t>d</w:t>
      </w:r>
      <w:r w:rsidR="00FE2ED3">
        <w:t xml:space="preserve"> </w:t>
      </w:r>
      <w:r w:rsidR="0082389C">
        <w:t>this (</w:t>
      </w:r>
      <w:r w:rsidR="0082389C" w:rsidRPr="0082389C">
        <w:t>including</w:t>
      </w:r>
      <w:r w:rsidR="0082389C">
        <w:t xml:space="preserve"> by sending a taxi)</w:t>
      </w:r>
      <w:r w:rsidR="0043657D">
        <w:t>.</w:t>
      </w:r>
    </w:p>
    <w:p w14:paraId="1245E63D" w14:textId="77777777" w:rsidR="00196709" w:rsidRDefault="0043657D" w:rsidP="00196709">
      <w:pPr>
        <w:pStyle w:val="BodyText"/>
      </w:pPr>
      <w:r>
        <w:t xml:space="preserve">If using MPDS, count incidents with a </w:t>
      </w:r>
      <w:r w:rsidR="00694B64">
        <w:t>s</w:t>
      </w:r>
      <w:r>
        <w:t xml:space="preserve">top </w:t>
      </w:r>
      <w:r w:rsidR="00694B64">
        <w:t>c</w:t>
      </w:r>
      <w:r>
        <w:t xml:space="preserve">ode of Refer to GP, Refer to A&amp;E, Refer to Minor Injuries Unit </w:t>
      </w:r>
      <w:r w:rsidR="00694B64">
        <w:t xml:space="preserve">(MIU) </w:t>
      </w:r>
      <w:r>
        <w:t>/ Walk-in Centre, Refer to HCP, Refer to Specific service, or</w:t>
      </w:r>
      <w:r w:rsidR="003A3CFD">
        <w:t xml:space="preserve"> </w:t>
      </w:r>
      <w:r w:rsidR="003A3CFD" w:rsidRPr="00196709">
        <w:t>Refer to 111</w:t>
      </w:r>
      <w:r>
        <w:t xml:space="preserve"> / out of hours care.</w:t>
      </w:r>
    </w:p>
    <w:p w14:paraId="1E9E79F2" w14:textId="77777777" w:rsidR="00F84DD7" w:rsidRDefault="0043657D" w:rsidP="00196709">
      <w:pPr>
        <w:pStyle w:val="BodyText"/>
      </w:pPr>
      <w:r>
        <w:t xml:space="preserve">If using NHS Pathways, count incidents with a </w:t>
      </w:r>
      <w:r w:rsidR="000778BD">
        <w:t xml:space="preserve">final </w:t>
      </w:r>
      <w:r>
        <w:t xml:space="preserve">disposition of </w:t>
      </w:r>
      <w:r w:rsidR="00E753F4">
        <w:t>Dx</w:t>
      </w:r>
      <w:r w:rsidR="004E7387" w:rsidRPr="004E7387">
        <w:t xml:space="preserve">02, </w:t>
      </w:r>
      <w:r w:rsidR="00E753F4">
        <w:t>Dx</w:t>
      </w:r>
      <w:r w:rsidR="004E7387" w:rsidRPr="004E7387">
        <w:t xml:space="preserve">021, </w:t>
      </w:r>
      <w:r w:rsidR="00E753F4">
        <w:t>Dx</w:t>
      </w:r>
      <w:r w:rsidR="004E7387" w:rsidRPr="004E7387">
        <w:t xml:space="preserve">03, </w:t>
      </w:r>
      <w:r w:rsidR="00E753F4">
        <w:t>Dx</w:t>
      </w:r>
      <w:r w:rsidR="004E7387" w:rsidRPr="004E7387">
        <w:t xml:space="preserve">05, </w:t>
      </w:r>
      <w:r w:rsidR="00E753F4">
        <w:t>Dx</w:t>
      </w:r>
      <w:r w:rsidR="004E7387" w:rsidRPr="004E7387">
        <w:t xml:space="preserve">06, </w:t>
      </w:r>
      <w:r w:rsidR="00E753F4">
        <w:t>Dx</w:t>
      </w:r>
      <w:r w:rsidR="004E7387" w:rsidRPr="004E7387">
        <w:t xml:space="preserve">07, </w:t>
      </w:r>
      <w:r w:rsidR="00E753F4">
        <w:t>Dx</w:t>
      </w:r>
      <w:r w:rsidR="004E7387" w:rsidRPr="004E7387">
        <w:t xml:space="preserve">08, </w:t>
      </w:r>
      <w:r w:rsidR="00E753F4">
        <w:t>Dx</w:t>
      </w:r>
      <w:r w:rsidR="004E7387" w:rsidRPr="004E7387">
        <w:t xml:space="preserve">10, </w:t>
      </w:r>
      <w:r w:rsidR="00E753F4">
        <w:t>Dx</w:t>
      </w:r>
      <w:r w:rsidR="004E7387" w:rsidRPr="004E7387">
        <w:t xml:space="preserve">11, </w:t>
      </w:r>
      <w:r w:rsidR="00E753F4">
        <w:t>Dx</w:t>
      </w:r>
      <w:r w:rsidR="004E7387" w:rsidRPr="004E7387">
        <w:t xml:space="preserve">110, </w:t>
      </w:r>
      <w:r w:rsidR="00E753F4">
        <w:t>Dx</w:t>
      </w:r>
      <w:r w:rsidR="004E7387" w:rsidRPr="004E7387">
        <w:t xml:space="preserve">111, </w:t>
      </w:r>
      <w:r w:rsidR="00E753F4">
        <w:t>Dx</w:t>
      </w:r>
      <w:r w:rsidR="004E7387" w:rsidRPr="004E7387">
        <w:t xml:space="preserve">1111, </w:t>
      </w:r>
      <w:r w:rsidR="00E753F4">
        <w:t>Dx</w:t>
      </w:r>
      <w:r w:rsidR="004E7387" w:rsidRPr="004E7387">
        <w:t xml:space="preserve">112, </w:t>
      </w:r>
      <w:r w:rsidR="00E753F4">
        <w:t>Dx</w:t>
      </w:r>
      <w:r w:rsidR="004E7387" w:rsidRPr="004E7387">
        <w:t xml:space="preserve">116, </w:t>
      </w:r>
      <w:r w:rsidR="00E753F4">
        <w:t>Dx</w:t>
      </w:r>
      <w:r w:rsidR="004E7387" w:rsidRPr="004E7387">
        <w:t xml:space="preserve">117, </w:t>
      </w:r>
      <w:r w:rsidR="00E753F4">
        <w:t>Dx</w:t>
      </w:r>
      <w:r w:rsidR="004E7387" w:rsidRPr="004E7387">
        <w:t xml:space="preserve">118, </w:t>
      </w:r>
      <w:r w:rsidR="00E753F4">
        <w:t>Dx</w:t>
      </w:r>
      <w:r w:rsidR="004E7387" w:rsidRPr="004E7387">
        <w:t xml:space="preserve">119, </w:t>
      </w:r>
      <w:r w:rsidR="00E753F4">
        <w:t>Dx</w:t>
      </w:r>
      <w:r w:rsidR="004E7387" w:rsidRPr="004E7387">
        <w:t xml:space="preserve">12, </w:t>
      </w:r>
      <w:r w:rsidR="00E753F4">
        <w:t>Dx</w:t>
      </w:r>
      <w:r w:rsidR="004E7387" w:rsidRPr="004E7387">
        <w:t xml:space="preserve">120, </w:t>
      </w:r>
      <w:r w:rsidR="00E753F4">
        <w:t>Dx</w:t>
      </w:r>
      <w:r w:rsidR="004E7387" w:rsidRPr="004E7387">
        <w:t xml:space="preserve">13, </w:t>
      </w:r>
      <w:r w:rsidR="00E753F4">
        <w:t>Dx</w:t>
      </w:r>
      <w:r w:rsidR="004E7387" w:rsidRPr="004E7387">
        <w:t xml:space="preserve">14, </w:t>
      </w:r>
      <w:r w:rsidR="00E753F4">
        <w:t>Dx</w:t>
      </w:r>
      <w:r w:rsidR="004E7387" w:rsidRPr="004E7387">
        <w:t xml:space="preserve">15, </w:t>
      </w:r>
      <w:r w:rsidR="00E753F4">
        <w:t>Dx</w:t>
      </w:r>
      <w:r w:rsidR="004E7387" w:rsidRPr="004E7387">
        <w:t xml:space="preserve">17, </w:t>
      </w:r>
      <w:r w:rsidR="00E753F4">
        <w:t>Dx</w:t>
      </w:r>
      <w:r w:rsidR="004E7387" w:rsidRPr="004E7387">
        <w:t xml:space="preserve">18, </w:t>
      </w:r>
      <w:r w:rsidR="00E753F4">
        <w:t>Dx</w:t>
      </w:r>
      <w:r w:rsidR="004E7387" w:rsidRPr="004E7387">
        <w:t xml:space="preserve">19, </w:t>
      </w:r>
      <w:r w:rsidR="00E753F4">
        <w:t>Dx</w:t>
      </w:r>
      <w:r w:rsidR="004E7387" w:rsidRPr="004E7387">
        <w:t xml:space="preserve">20, </w:t>
      </w:r>
      <w:r w:rsidR="00E753F4">
        <w:t>Dx</w:t>
      </w:r>
      <w:r w:rsidR="004E7387" w:rsidRPr="004E7387">
        <w:t xml:space="preserve">21, </w:t>
      </w:r>
      <w:r w:rsidR="00E753F4">
        <w:t>Dx</w:t>
      </w:r>
      <w:r w:rsidR="004E7387" w:rsidRPr="004E7387">
        <w:t xml:space="preserve">22, </w:t>
      </w:r>
      <w:r w:rsidR="00E753F4">
        <w:t>Dx</w:t>
      </w:r>
      <w:r w:rsidR="004E7387" w:rsidRPr="004E7387">
        <w:t xml:space="preserve">23, </w:t>
      </w:r>
      <w:r w:rsidR="00E753F4">
        <w:t>Dx</w:t>
      </w:r>
      <w:r w:rsidR="004E7387" w:rsidRPr="004E7387">
        <w:t xml:space="preserve">28, </w:t>
      </w:r>
      <w:r w:rsidR="00E753F4">
        <w:t>Dx</w:t>
      </w:r>
      <w:r w:rsidR="004E7387" w:rsidRPr="004E7387">
        <w:t xml:space="preserve">30, </w:t>
      </w:r>
      <w:r w:rsidR="00E753F4">
        <w:t>Dx</w:t>
      </w:r>
      <w:r w:rsidR="004E7387" w:rsidRPr="004E7387">
        <w:t xml:space="preserve">31, </w:t>
      </w:r>
      <w:r w:rsidR="00E753F4">
        <w:t>Dx</w:t>
      </w:r>
      <w:r w:rsidR="004E7387" w:rsidRPr="004E7387">
        <w:t xml:space="preserve">42, </w:t>
      </w:r>
      <w:r w:rsidR="00E753F4">
        <w:t>Dx</w:t>
      </w:r>
      <w:r w:rsidR="004E7387" w:rsidRPr="004E7387">
        <w:t xml:space="preserve">43, </w:t>
      </w:r>
      <w:r w:rsidR="00E753F4">
        <w:t>Dx</w:t>
      </w:r>
      <w:r w:rsidR="004E7387" w:rsidRPr="004E7387">
        <w:t xml:space="preserve">47, </w:t>
      </w:r>
      <w:r w:rsidR="00E753F4">
        <w:t>Dx</w:t>
      </w:r>
      <w:r w:rsidR="004E7387" w:rsidRPr="004E7387">
        <w:t xml:space="preserve">48, </w:t>
      </w:r>
      <w:r w:rsidR="00E753F4">
        <w:t>Dx</w:t>
      </w:r>
      <w:r w:rsidR="004E7387" w:rsidRPr="004E7387">
        <w:t xml:space="preserve">50, </w:t>
      </w:r>
      <w:r w:rsidR="00E753F4">
        <w:t>Dx</w:t>
      </w:r>
      <w:r w:rsidR="004E7387" w:rsidRPr="004E7387">
        <w:t xml:space="preserve">51, </w:t>
      </w:r>
      <w:r w:rsidR="00E753F4">
        <w:t>Dx</w:t>
      </w:r>
      <w:r w:rsidR="004E7387" w:rsidRPr="004E7387">
        <w:t xml:space="preserve">60, </w:t>
      </w:r>
      <w:r w:rsidR="00E753F4">
        <w:t>Dx</w:t>
      </w:r>
      <w:r w:rsidR="004E7387" w:rsidRPr="004E7387">
        <w:t xml:space="preserve">63, </w:t>
      </w:r>
      <w:r w:rsidR="00E753F4">
        <w:t>Dx</w:t>
      </w:r>
      <w:r w:rsidR="004E7387" w:rsidRPr="004E7387">
        <w:t xml:space="preserve">64, </w:t>
      </w:r>
      <w:r w:rsidR="00E753F4">
        <w:t>Dx</w:t>
      </w:r>
      <w:r w:rsidR="004E7387" w:rsidRPr="004E7387">
        <w:t xml:space="preserve">73, </w:t>
      </w:r>
      <w:r w:rsidR="00E753F4">
        <w:t>Dx</w:t>
      </w:r>
      <w:r w:rsidR="004E7387" w:rsidRPr="004E7387">
        <w:t xml:space="preserve">74, </w:t>
      </w:r>
      <w:r w:rsidR="00E753F4">
        <w:t>Dx</w:t>
      </w:r>
      <w:r w:rsidR="004E7387" w:rsidRPr="004E7387">
        <w:t xml:space="preserve">75, </w:t>
      </w:r>
      <w:r w:rsidR="00E753F4">
        <w:t>Dx</w:t>
      </w:r>
      <w:r w:rsidR="004E7387" w:rsidRPr="004E7387">
        <w:t xml:space="preserve">84, </w:t>
      </w:r>
      <w:r w:rsidR="00E753F4">
        <w:t>Dx</w:t>
      </w:r>
      <w:r w:rsidR="004E7387" w:rsidRPr="004E7387">
        <w:t xml:space="preserve">88, </w:t>
      </w:r>
      <w:r w:rsidR="00E753F4">
        <w:t>Dx</w:t>
      </w:r>
      <w:r w:rsidR="004E7387" w:rsidRPr="004E7387">
        <w:t xml:space="preserve">89, </w:t>
      </w:r>
      <w:r w:rsidR="00E753F4">
        <w:t>Dx</w:t>
      </w:r>
      <w:r w:rsidR="004E7387" w:rsidRPr="004E7387">
        <w:t xml:space="preserve">91, </w:t>
      </w:r>
      <w:r w:rsidR="00E753F4">
        <w:t>Dx</w:t>
      </w:r>
      <w:r w:rsidR="004E7387" w:rsidRPr="004E7387">
        <w:t xml:space="preserve">92, </w:t>
      </w:r>
      <w:r w:rsidR="00E753F4">
        <w:t>Dx</w:t>
      </w:r>
      <w:r w:rsidR="004E7387" w:rsidRPr="004E7387">
        <w:t>94,</w:t>
      </w:r>
      <w:r w:rsidR="004E7387">
        <w:t xml:space="preserve"> or </w:t>
      </w:r>
      <w:r w:rsidR="00E753F4">
        <w:t>Dx</w:t>
      </w:r>
      <w:r w:rsidR="004E7387">
        <w:t>98.</w:t>
      </w:r>
    </w:p>
    <w:p w14:paraId="1162C93A" w14:textId="77777777" w:rsidR="00AF01E1" w:rsidRDefault="00FD0972" w:rsidP="008348B9">
      <w:pPr>
        <w:pStyle w:val="Heading3"/>
      </w:pPr>
      <w:r>
        <w:t>Incidents with c</w:t>
      </w:r>
      <w:r w:rsidR="00AF01E1">
        <w:t xml:space="preserve">all back before response on scene: </w:t>
      </w:r>
      <w:r w:rsidR="008509D8">
        <w:t>Non-C4H</w:t>
      </w:r>
    </w:p>
    <w:p w14:paraId="15CE76BD" w14:textId="77777777" w:rsidR="000946F6" w:rsidRDefault="008509D8" w:rsidP="002010E1">
      <w:pPr>
        <w:pStyle w:val="BodyText"/>
      </w:pPr>
      <w:r>
        <w:t xml:space="preserve">For </w:t>
      </w:r>
      <w:r w:rsidRPr="00D8369E">
        <w:t>C2, C3</w:t>
      </w:r>
      <w:r>
        <w:t>,</w:t>
      </w:r>
      <w:r w:rsidRPr="00D8369E">
        <w:t xml:space="preserve"> and </w:t>
      </w:r>
      <w:r>
        <w:t>C4</w:t>
      </w:r>
      <w:r w:rsidRPr="00D8369E">
        <w:t xml:space="preserve"> incidents</w:t>
      </w:r>
      <w:r>
        <w:t xml:space="preserve"> coded as requiring a face-to-face response; </w:t>
      </w:r>
      <w:r w:rsidR="003A3CFD">
        <w:t xml:space="preserve">the </w:t>
      </w:r>
      <w:r>
        <w:t>count of</w:t>
      </w:r>
      <w:r w:rsidR="00EC4433" w:rsidRPr="00D8369E">
        <w:t xml:space="preserve"> </w:t>
      </w:r>
      <w:r w:rsidR="000946F6" w:rsidRPr="00D8369E">
        <w:t xml:space="preserve">incidents </w:t>
      </w:r>
      <w:r w:rsidR="00AF01E1">
        <w:t xml:space="preserve">where, before </w:t>
      </w:r>
      <w:r w:rsidR="00066C8F">
        <w:t xml:space="preserve">any </w:t>
      </w:r>
      <w:r w:rsidR="00AF01E1">
        <w:t xml:space="preserve">resource arrived on scene, the patient </w:t>
      </w:r>
      <w:r w:rsidR="00821690" w:rsidRPr="00821690">
        <w:t xml:space="preserve">received additional clinical assessment </w:t>
      </w:r>
      <w:r w:rsidR="00066C8F">
        <w:t>over the telephone, but the patient still received a response on scene.</w:t>
      </w:r>
    </w:p>
    <w:p w14:paraId="2CADDAC5" w14:textId="77777777" w:rsidR="00AF01E1" w:rsidRDefault="00FD0972" w:rsidP="008348B9">
      <w:pPr>
        <w:pStyle w:val="Heading3"/>
      </w:pPr>
      <w:r>
        <w:t>Incidents c</w:t>
      </w:r>
      <w:r w:rsidR="00AF01E1">
        <w:t>losed with advice: C4H</w:t>
      </w:r>
    </w:p>
    <w:p w14:paraId="24AE948E" w14:textId="77777777" w:rsidR="005852E9" w:rsidRDefault="005852E9" w:rsidP="005852E9">
      <w:pPr>
        <w:pStyle w:val="BodyText"/>
      </w:pPr>
      <w:r w:rsidRPr="008348B9">
        <w:t>Count</w:t>
      </w:r>
      <w:r w:rsidRPr="00D8369E">
        <w:t xml:space="preserve"> of </w:t>
      </w:r>
      <w:r>
        <w:t>C4H</w:t>
      </w:r>
      <w:r w:rsidRPr="00D8369E">
        <w:t xml:space="preserve"> incidents</w:t>
      </w:r>
      <w:r>
        <w:t xml:space="preserve"> where the patient </w:t>
      </w:r>
      <w:r w:rsidR="0061602F">
        <w:t>was</w:t>
      </w:r>
      <w:r>
        <w:t xml:space="preserve"> given specific home management advice regarding their condition</w:t>
      </w:r>
      <w:r w:rsidR="00066C8F">
        <w:t>,</w:t>
      </w:r>
      <w:r>
        <w:t xml:space="preserve"> and </w:t>
      </w:r>
      <w:r w:rsidR="0061602F">
        <w:t>did</w:t>
      </w:r>
      <w:r>
        <w:t xml:space="preserve"> not require any further onward referral</w:t>
      </w:r>
      <w:r w:rsidR="00190E10">
        <w:t xml:space="preserve">, as determined by the </w:t>
      </w:r>
      <w:r w:rsidR="00694B64">
        <w:t>s</w:t>
      </w:r>
      <w:r w:rsidR="004E7387">
        <w:t xml:space="preserve">top </w:t>
      </w:r>
      <w:r w:rsidR="00694B64">
        <w:t>c</w:t>
      </w:r>
      <w:r w:rsidR="004E7387">
        <w:t xml:space="preserve">odes / </w:t>
      </w:r>
      <w:r w:rsidR="00E753F4">
        <w:t>Dx</w:t>
      </w:r>
      <w:r w:rsidR="004E7387">
        <w:t xml:space="preserve"> </w:t>
      </w:r>
      <w:r w:rsidR="00190E10">
        <w:t>codes in A18.</w:t>
      </w:r>
    </w:p>
    <w:p w14:paraId="5885CF05" w14:textId="77777777" w:rsidR="009D4E83" w:rsidRDefault="005852E9" w:rsidP="008348B9">
      <w:pPr>
        <w:pStyle w:val="Heading3"/>
      </w:pPr>
      <w:r>
        <w:t>Incidents r</w:t>
      </w:r>
      <w:r w:rsidR="009D4E83">
        <w:t xml:space="preserve">eferred to other service: </w:t>
      </w:r>
      <w:r w:rsidR="009D4E83" w:rsidRPr="00AF01E1">
        <w:t>C</w:t>
      </w:r>
      <w:r w:rsidR="009D4E83">
        <w:t>4H</w:t>
      </w:r>
    </w:p>
    <w:p w14:paraId="2063DEF1" w14:textId="77777777" w:rsidR="00972899" w:rsidRDefault="005852E9" w:rsidP="00782C8A">
      <w:pPr>
        <w:pStyle w:val="BodyText"/>
      </w:pPr>
      <w:r w:rsidRPr="00D8369E">
        <w:t xml:space="preserve">Count of </w:t>
      </w:r>
      <w:r>
        <w:t>C4H</w:t>
      </w:r>
      <w:r w:rsidRPr="00D8369E">
        <w:t xml:space="preserve"> incidents </w:t>
      </w:r>
      <w:r>
        <w:t xml:space="preserve">where an onward treatment </w:t>
      </w:r>
      <w:r w:rsidR="00066C8F">
        <w:t xml:space="preserve">path </w:t>
      </w:r>
      <w:r w:rsidR="0061602F">
        <w:t>wa</w:t>
      </w:r>
      <w:r w:rsidR="00066C8F">
        <w:t>s agreed with the patient;</w:t>
      </w:r>
      <w:r>
        <w:t xml:space="preserve"> whether the Ambulance Service </w:t>
      </w:r>
      <w:r w:rsidR="00BE1283">
        <w:t xml:space="preserve">advised the patient to make their own way, or </w:t>
      </w:r>
      <w:r>
        <w:t>arrange</w:t>
      </w:r>
      <w:r w:rsidR="0061602F">
        <w:t>d</w:t>
      </w:r>
      <w:r>
        <w:t xml:space="preserve"> this</w:t>
      </w:r>
      <w:r w:rsidR="00BE1283">
        <w:t xml:space="preserve"> (including by sending a taxi)</w:t>
      </w:r>
      <w:r w:rsidR="00190E10">
        <w:t>,</w:t>
      </w:r>
      <w:r w:rsidR="00190E10" w:rsidRPr="00190E10">
        <w:t xml:space="preserve"> </w:t>
      </w:r>
      <w:r w:rsidR="00190E10">
        <w:t xml:space="preserve">as determined by the </w:t>
      </w:r>
      <w:r w:rsidR="00694B64">
        <w:t>s</w:t>
      </w:r>
      <w:r w:rsidR="004E7387">
        <w:t xml:space="preserve">top </w:t>
      </w:r>
      <w:r w:rsidR="00694B64">
        <w:t>c</w:t>
      </w:r>
      <w:r w:rsidR="004E7387">
        <w:t xml:space="preserve">odes / </w:t>
      </w:r>
      <w:r w:rsidR="00E753F4">
        <w:t>Dx</w:t>
      </w:r>
      <w:r w:rsidR="004E7387">
        <w:t xml:space="preserve"> codes</w:t>
      </w:r>
      <w:r w:rsidR="00190E10">
        <w:t xml:space="preserve"> listed in A19</w:t>
      </w:r>
      <w:r>
        <w:t>.</w:t>
      </w:r>
    </w:p>
    <w:p w14:paraId="326C7B26" w14:textId="77777777" w:rsidR="009D4E83" w:rsidRDefault="005852E9" w:rsidP="008348B9">
      <w:pPr>
        <w:pStyle w:val="Heading3"/>
      </w:pPr>
      <w:r>
        <w:t xml:space="preserve">Incidents with call </w:t>
      </w:r>
      <w:r w:rsidR="009D4E83">
        <w:t>back before response on scene: C4H</w:t>
      </w:r>
    </w:p>
    <w:p w14:paraId="06BD321B" w14:textId="77777777" w:rsidR="000946F6" w:rsidRPr="00D8369E" w:rsidRDefault="00AC15EB" w:rsidP="009D4E83">
      <w:pPr>
        <w:pStyle w:val="BodyText"/>
      </w:pPr>
      <w:r w:rsidRPr="00D8369E">
        <w:t xml:space="preserve">Count of </w:t>
      </w:r>
      <w:r w:rsidR="000946F6" w:rsidRPr="00D8369E">
        <w:t xml:space="preserve">incidents </w:t>
      </w:r>
      <w:r w:rsidR="009D4E83">
        <w:t xml:space="preserve">originally coded as C4H </w:t>
      </w:r>
      <w:r w:rsidR="00B419E1">
        <w:t>receiving</w:t>
      </w:r>
      <w:r w:rsidR="009D4E83">
        <w:t xml:space="preserve"> a </w:t>
      </w:r>
      <w:r w:rsidR="000946F6" w:rsidRPr="00D8369E">
        <w:t>response</w:t>
      </w:r>
      <w:r w:rsidR="009D4E83">
        <w:t xml:space="preserve"> on scene.</w:t>
      </w:r>
    </w:p>
    <w:p w14:paraId="337341E4" w14:textId="206BCF7B" w:rsidR="00B419E1" w:rsidRDefault="00557520" w:rsidP="002714AD">
      <w:pPr>
        <w:pStyle w:val="BodyText"/>
      </w:pPr>
      <w:r>
        <w:t>Include where a clinician call</w:t>
      </w:r>
      <w:r w:rsidR="0061602F">
        <w:t xml:space="preserve">ed </w:t>
      </w:r>
      <w:r w:rsidR="00CE4E6E" w:rsidRPr="00D8369E">
        <w:t>back about an incident initially categorised as C4H</w:t>
      </w:r>
      <w:r>
        <w:t>,</w:t>
      </w:r>
      <w:r w:rsidR="00CE4E6E" w:rsidRPr="00D8369E">
        <w:t xml:space="preserve"> </w:t>
      </w:r>
      <w:r>
        <w:t xml:space="preserve">and </w:t>
      </w:r>
      <w:r w:rsidR="00384B67">
        <w:t>determined that</w:t>
      </w:r>
      <w:r w:rsidR="00384B67" w:rsidRPr="00D8369E">
        <w:t xml:space="preserve"> </w:t>
      </w:r>
      <w:r w:rsidR="00CE4E6E" w:rsidRPr="00D8369E">
        <w:t xml:space="preserve">an ambulance response </w:t>
      </w:r>
      <w:r w:rsidR="0061602F">
        <w:t>wa</w:t>
      </w:r>
      <w:r w:rsidR="00CE4E6E" w:rsidRPr="00D8369E">
        <w:t>s necessary.</w:t>
      </w:r>
    </w:p>
    <w:p w14:paraId="019D6F67" w14:textId="205934F5" w:rsidR="002F0070" w:rsidRPr="00B419E1" w:rsidRDefault="002F0070" w:rsidP="002F0070">
      <w:pPr>
        <w:pStyle w:val="ListBullet2"/>
        <w:sectPr w:rsidR="002F0070" w:rsidRPr="00B419E1" w:rsidSect="00B32AF1">
          <w:pgSz w:w="11906" w:h="16838"/>
          <w:pgMar w:top="1440" w:right="1440" w:bottom="1440" w:left="1440" w:header="708" w:footer="708" w:gutter="0"/>
          <w:cols w:space="708"/>
          <w:docGrid w:linePitch="360"/>
        </w:sectPr>
      </w:pPr>
      <w:r>
        <w:t xml:space="preserve">NHS England will calculate (A21 + A22) / </w:t>
      </w:r>
      <w:r w:rsidR="00040E68">
        <w:t xml:space="preserve">(A21 + A22 + </w:t>
      </w:r>
      <w:r>
        <w:t>A23</w:t>
      </w:r>
      <w:r w:rsidR="00040E68">
        <w:t>)</w:t>
      </w:r>
      <w:r>
        <w:t xml:space="preserve"> to assess how well C4H incidents are identified.</w:t>
      </w:r>
    </w:p>
    <w:p w14:paraId="67B391B5" w14:textId="77777777" w:rsidR="001B2BEA" w:rsidRDefault="00183015" w:rsidP="00B32AF1">
      <w:pPr>
        <w:pStyle w:val="Heading1"/>
      </w:pPr>
      <w:bookmarkStart w:id="14" w:name="_Section_5:_Response"/>
      <w:bookmarkEnd w:id="14"/>
      <w:r>
        <w:t xml:space="preserve">Section </w:t>
      </w:r>
      <w:r w:rsidR="00C34657">
        <w:t>6</w:t>
      </w:r>
      <w:r>
        <w:t xml:space="preserve">: </w:t>
      </w:r>
      <w:r w:rsidR="001B2BEA">
        <w:t>Response</w:t>
      </w:r>
      <w:r w:rsidR="005C7F21">
        <w:t xml:space="preserve"> times</w:t>
      </w:r>
    </w:p>
    <w:p w14:paraId="1538A06D" w14:textId="77777777" w:rsidR="00927C10" w:rsidRDefault="00927C10" w:rsidP="005C014A">
      <w:pPr>
        <w:pStyle w:val="Heading2"/>
      </w:pPr>
      <w:bookmarkStart w:id="15" w:name="_Clock_start_–"/>
      <w:bookmarkStart w:id="16" w:name="_Clock_start"/>
      <w:bookmarkEnd w:id="15"/>
      <w:bookmarkEnd w:id="16"/>
      <w:r>
        <w:t>Clock start</w:t>
      </w:r>
    </w:p>
    <w:p w14:paraId="386F40C0" w14:textId="77777777" w:rsidR="005F05FF" w:rsidRPr="00EA6734" w:rsidRDefault="00687FCC" w:rsidP="005F05FF">
      <w:pPr>
        <w:pStyle w:val="BodyText"/>
      </w:pPr>
      <w:r>
        <w:t>For C1</w:t>
      </w:r>
      <w:r w:rsidR="00BE45B4">
        <w:t xml:space="preserve"> and C1T</w:t>
      </w:r>
      <w:r>
        <w:t>, t</w:t>
      </w:r>
      <w:r w:rsidR="005F05FF" w:rsidRPr="00EA6734">
        <w:t>he earliest of:</w:t>
      </w:r>
    </w:p>
    <w:p w14:paraId="1F13E6B6" w14:textId="77777777" w:rsidR="00687FCC" w:rsidRPr="00B252CE" w:rsidRDefault="00687FCC" w:rsidP="00687FCC">
      <w:pPr>
        <w:pStyle w:val="ListBullet2"/>
      </w:pPr>
      <w:r w:rsidRPr="00B252CE">
        <w:t>the call is coded (for MPDS, at T5; for NHS Pathways, at disposition); or</w:t>
      </w:r>
    </w:p>
    <w:p w14:paraId="5986893D" w14:textId="77777777" w:rsidR="00687FCC" w:rsidRPr="00B252CE" w:rsidRDefault="00687FCC" w:rsidP="00687FCC">
      <w:pPr>
        <w:pStyle w:val="ListBullet2"/>
      </w:pPr>
      <w:r w:rsidRPr="00B252CE">
        <w:t>the first resource is assigned; or</w:t>
      </w:r>
    </w:p>
    <w:p w14:paraId="194BE10C" w14:textId="77777777" w:rsidR="005F05FF" w:rsidRDefault="00687FCC" w:rsidP="00687FCC">
      <w:pPr>
        <w:pStyle w:val="ListBullet2"/>
      </w:pPr>
      <w:r>
        <w:t xml:space="preserve">30 </w:t>
      </w:r>
      <w:r w:rsidRPr="00B252CE">
        <w:t xml:space="preserve">seconds from call </w:t>
      </w:r>
      <w:r>
        <w:t>connect.</w:t>
      </w:r>
    </w:p>
    <w:p w14:paraId="0F0554D1" w14:textId="77777777" w:rsidR="00687FCC" w:rsidRDefault="00687FCC" w:rsidP="00687FCC">
      <w:pPr>
        <w:pStyle w:val="BodyText"/>
      </w:pPr>
      <w:r>
        <w:t>For C2, C3 and C4, the earliest of:</w:t>
      </w:r>
    </w:p>
    <w:p w14:paraId="5A938607" w14:textId="77777777" w:rsidR="00687FCC" w:rsidRPr="00B252CE" w:rsidRDefault="00687FCC" w:rsidP="00687FCC">
      <w:pPr>
        <w:pStyle w:val="ListBullet2"/>
      </w:pPr>
      <w:r w:rsidRPr="00B252CE">
        <w:t>the call is coded (for MPDS, at T5; for NHS Pathways, at disposition); or</w:t>
      </w:r>
    </w:p>
    <w:p w14:paraId="6889ABE8" w14:textId="77777777" w:rsidR="00687FCC" w:rsidRPr="00B252CE" w:rsidRDefault="00687FCC" w:rsidP="00687FCC">
      <w:pPr>
        <w:pStyle w:val="ListBullet2"/>
      </w:pPr>
      <w:r w:rsidRPr="00B252CE">
        <w:t>the first resource is assigned; or</w:t>
      </w:r>
    </w:p>
    <w:p w14:paraId="0494DCAB" w14:textId="77777777" w:rsidR="00687FCC" w:rsidRDefault="00687FCC" w:rsidP="00687FCC">
      <w:pPr>
        <w:pStyle w:val="ListBullet2"/>
      </w:pPr>
      <w:r w:rsidRPr="00B252CE">
        <w:t xml:space="preserve">240 seconds from call </w:t>
      </w:r>
      <w:r>
        <w:t>connect.</w:t>
      </w:r>
    </w:p>
    <w:p w14:paraId="5DE2497C" w14:textId="77777777" w:rsidR="0015334A" w:rsidRDefault="00927C10" w:rsidP="00FB5842">
      <w:pPr>
        <w:pStyle w:val="BodyText"/>
      </w:pPr>
      <w:r w:rsidRPr="00422934">
        <w:t>If a responding resource is asked to head towards the location of an incident, it must be allocated to the incident on the CAD, therefore registering the correct clock start point</w:t>
      </w:r>
      <w:r w:rsidR="0015334A">
        <w:t>.</w:t>
      </w:r>
    </w:p>
    <w:p w14:paraId="4D2A112F" w14:textId="77777777" w:rsidR="00927C10" w:rsidRDefault="0015334A" w:rsidP="00FB5842">
      <w:pPr>
        <w:pStyle w:val="BodyText"/>
      </w:pPr>
      <w:r>
        <w:t>If a second resource is allocated, whether following auto-dispatch or otherwise, the original clock start should not be altered.</w:t>
      </w:r>
    </w:p>
    <w:p w14:paraId="61E20A92" w14:textId="03CECC9A" w:rsidR="00927C10" w:rsidRDefault="00927C10" w:rsidP="00927C10">
      <w:pPr>
        <w:pStyle w:val="BodyText"/>
      </w:pPr>
      <w:r>
        <w:t xml:space="preserve">For NHS 111 incidents transferred through ITK, and incidents electronically transferred from another </w:t>
      </w:r>
      <w:r w:rsidR="00E27E4E">
        <w:t xml:space="preserve">Trust’s </w:t>
      </w:r>
      <w:r>
        <w:t>CAD, clock starts on transfer of the incident to the EOC CAD.</w:t>
      </w:r>
    </w:p>
    <w:p w14:paraId="37BC5C5B" w14:textId="77777777" w:rsidR="00927C10" w:rsidRDefault="00927C10" w:rsidP="005C014A">
      <w:pPr>
        <w:pStyle w:val="Heading2"/>
      </w:pPr>
      <w:bookmarkStart w:id="17" w:name="_Clock_stop_–"/>
      <w:bookmarkStart w:id="18" w:name="_Clock_stop_–_1"/>
      <w:bookmarkEnd w:id="17"/>
      <w:bookmarkEnd w:id="18"/>
      <w:r>
        <w:t xml:space="preserve">Clock </w:t>
      </w:r>
      <w:r w:rsidRPr="005C014A">
        <w:t>stop</w:t>
      </w:r>
      <w:r w:rsidR="00B252CE">
        <w:t xml:space="preserve"> – all categories</w:t>
      </w:r>
    </w:p>
    <w:p w14:paraId="502FD651" w14:textId="77777777" w:rsidR="00927C10" w:rsidRDefault="00927C10" w:rsidP="00927C10">
      <w:pPr>
        <w:pStyle w:val="BodyText"/>
      </w:pPr>
      <w:r>
        <w:t>A legitimate clock stop position can include the response arriving at a pr</w:t>
      </w:r>
      <w:r w:rsidRPr="00422934">
        <w:t>e</w:t>
      </w:r>
      <w:r>
        <w:t>-arrival rendezvous point when one has been determined as appropriate for the safety of ambulance staff in agreement with the control room. For example, a rendezvous point could be agreed for the following situations:</w:t>
      </w:r>
    </w:p>
    <w:p w14:paraId="563DB14C" w14:textId="77777777" w:rsidR="00927C10" w:rsidRDefault="00927C10" w:rsidP="00927C10">
      <w:pPr>
        <w:pStyle w:val="ListBullet2"/>
      </w:pPr>
      <w:r>
        <w:t xml:space="preserve">Information has been received relating to the given location that a </w:t>
      </w:r>
      <w:r w:rsidRPr="00422934">
        <w:t>patient</w:t>
      </w:r>
      <w:r>
        <w:t xml:space="preserve"> or bystander is </w:t>
      </w:r>
      <w:r w:rsidRPr="00927C10">
        <w:t>violent</w:t>
      </w:r>
      <w:r>
        <w:t>, and police or other further assistance is required;</w:t>
      </w:r>
    </w:p>
    <w:p w14:paraId="17C7A294" w14:textId="77777777" w:rsidR="00422934" w:rsidRDefault="00927C10" w:rsidP="00927C10">
      <w:pPr>
        <w:pStyle w:val="ListBullet2"/>
      </w:pPr>
      <w:r>
        <w:t>Information has been received that the operational incident, because of its nature, is unsafe for ambulance staff to enter</w:t>
      </w:r>
      <w:r w:rsidR="00E16AFF">
        <w:t>.</w:t>
      </w:r>
    </w:p>
    <w:p w14:paraId="60B4C5CE" w14:textId="77777777" w:rsidR="005C7F21" w:rsidRDefault="005C7F21" w:rsidP="00774E6B">
      <w:pPr>
        <w:pStyle w:val="Heading2"/>
      </w:pPr>
      <w:bookmarkStart w:id="19" w:name="_Clock_stop_–_3"/>
      <w:bookmarkEnd w:id="19"/>
      <w:r>
        <w:t>Clock stop – C1</w:t>
      </w:r>
    </w:p>
    <w:p w14:paraId="5802A923" w14:textId="552B1EED" w:rsidR="005C7F21" w:rsidRPr="00E03EAB" w:rsidRDefault="005C7F21" w:rsidP="00C50CF4">
      <w:pPr>
        <w:pStyle w:val="ListNumber2"/>
        <w:numPr>
          <w:ilvl w:val="0"/>
          <w:numId w:val="24"/>
        </w:numPr>
        <w:ind w:left="1361" w:hanging="567"/>
      </w:pPr>
      <w:r w:rsidRPr="00E03EAB">
        <w:t>A fully equipped Trust Ambulance (Land or Air), with ambulance staff trained to deliver clinical care to patient(s) at the scene of an incident,</w:t>
      </w:r>
      <w:r w:rsidR="005C014A">
        <w:t xml:space="preserve"> </w:t>
      </w:r>
      <w:r w:rsidRPr="00E03EAB">
        <w:t>arrives within a 200 metre geo-fence of the patient (if tracked); or such an ambulance confirms arrival at scene through an updated status message via the Mobile Data Terminal (MDT) in the vehicle, or a clinician confirming verbally to the EOC that they are on scene;</w:t>
      </w:r>
    </w:p>
    <w:p w14:paraId="791F8066" w14:textId="77777777" w:rsidR="00C50CF4" w:rsidRDefault="005C7F21" w:rsidP="00541D58">
      <w:pPr>
        <w:pStyle w:val="ListNumber2"/>
      </w:pPr>
      <w:r w:rsidRPr="00E03EAB">
        <w:t xml:space="preserve">A fully equipped Rapid Response Vehicle (RRV), motorbike or cycle, </w:t>
      </w:r>
      <w:r w:rsidR="00F341F6" w:rsidRPr="00E03EAB">
        <w:t>Blue Light Response Officer</w:t>
      </w:r>
      <w:r w:rsidR="00F341F6">
        <w:t>,</w:t>
      </w:r>
      <w:r w:rsidR="00F341F6" w:rsidRPr="00E03EAB">
        <w:t xml:space="preserve"> </w:t>
      </w:r>
      <w:r w:rsidRPr="00E03EAB">
        <w:t xml:space="preserve">or </w:t>
      </w:r>
      <w:r w:rsidR="00F341F6">
        <w:t>Critical Care BASIC Responder</w:t>
      </w:r>
      <w:r w:rsidRPr="00E03EAB">
        <w:t>,</w:t>
      </w:r>
    </w:p>
    <w:p w14:paraId="488DBD58" w14:textId="77777777" w:rsidR="005C7F21" w:rsidRPr="00E03EAB" w:rsidRDefault="005C7F21" w:rsidP="00C50CF4">
      <w:pPr>
        <w:pStyle w:val="BodyText3"/>
      </w:pPr>
      <w:r w:rsidRPr="00E03EAB">
        <w:t>arrives within a 200 metre geo-fence of the patient</w:t>
      </w:r>
      <w:r>
        <w:t xml:space="preserve"> </w:t>
      </w:r>
      <w:r w:rsidRPr="00B252CE">
        <w:t>(if tracked)</w:t>
      </w:r>
      <w:r w:rsidRPr="00E03EAB">
        <w:t>; or the RRV confirms arrival at scene through an updated status message via the MDT in the vehicle, or a clinician confirming verbally to the EOC that they are on scene;</w:t>
      </w:r>
    </w:p>
    <w:p w14:paraId="00A5AF37" w14:textId="39E97A00" w:rsidR="006246E9" w:rsidRDefault="006246E9" w:rsidP="00C50CF4">
      <w:pPr>
        <w:pStyle w:val="ListNumber2"/>
      </w:pPr>
      <w:r w:rsidRPr="00E03EAB">
        <w:t>An ambulance resource commissioned to work on behalf of the Trust, who is deployed by the Trust, working to the Trust Policies and Procedures, on a fully equipped ambulance with qualified staff on board (for example, Private Ambulance Service (PAS) or Voluntary Ambulance Service (VAS))</w:t>
      </w:r>
      <w:r w:rsidR="006A449A">
        <w:t>,</w:t>
      </w:r>
      <w:r w:rsidR="00AA0C54">
        <w:t xml:space="preserve"> </w:t>
      </w:r>
      <w:r w:rsidRPr="00E03EAB">
        <w:t>arrives within a 200 metre geo-fence of the patient</w:t>
      </w:r>
      <w:r>
        <w:t xml:space="preserve"> </w:t>
      </w:r>
      <w:r w:rsidRPr="00E03EAB">
        <w:t xml:space="preserve">(if tracked); or the clinician confirms arrival at scene through an updated status message via the MDT in the vehicle, or a clinician confirming verbally to the </w:t>
      </w:r>
      <w:r w:rsidRPr="005F7C8E">
        <w:t>EOC</w:t>
      </w:r>
      <w:r w:rsidRPr="00E03EAB">
        <w:t xml:space="preserve"> that they are on scene;</w:t>
      </w:r>
    </w:p>
    <w:p w14:paraId="6F3F8713" w14:textId="3B81AEC9" w:rsidR="00BB6E60" w:rsidRDefault="00FD5BF2" w:rsidP="00BB6E60">
      <w:pPr>
        <w:pStyle w:val="ListNumber2"/>
      </w:pPr>
      <w:r>
        <w:t>C1 only</w:t>
      </w:r>
      <w:r w:rsidR="005315D3">
        <w:t>:</w:t>
      </w:r>
      <w:r>
        <w:t xml:space="preserve"> </w:t>
      </w:r>
      <w:r w:rsidR="00BB6E60" w:rsidRPr="00BB6E60">
        <w:t xml:space="preserve">An approved First Responder deployed by the </w:t>
      </w:r>
      <w:r w:rsidR="000C178A">
        <w:t>T</w:t>
      </w:r>
      <w:r w:rsidR="00BB6E60" w:rsidRPr="00BB6E60">
        <w:t>rust</w:t>
      </w:r>
      <w:r w:rsidR="00BB6E60">
        <w:t>,</w:t>
      </w:r>
      <w:r w:rsidR="00BB6E60" w:rsidRPr="00BB6E60">
        <w:t xml:space="preserve"> equipped with a defibrillator</w:t>
      </w:r>
      <w:r w:rsidR="00BB6E60">
        <w:t>,</w:t>
      </w:r>
      <w:r w:rsidR="00BB6E60" w:rsidRPr="00BB6E60">
        <w:t xml:space="preserve"> trained in basic airway management, and </w:t>
      </w:r>
      <w:r w:rsidR="00BB6E60">
        <w:t xml:space="preserve">trained in </w:t>
      </w:r>
      <w:r w:rsidR="00BB6E60" w:rsidRPr="00BB6E60">
        <w:t>the use of and the provision of emergency oxygen</w:t>
      </w:r>
      <w:r w:rsidR="001A4CA9">
        <w:t>,</w:t>
      </w:r>
    </w:p>
    <w:p w14:paraId="732DE9A6" w14:textId="18FE5B4E" w:rsidR="00C50CF4" w:rsidRDefault="00BB6E60" w:rsidP="00BB6E60">
      <w:pPr>
        <w:pStyle w:val="BodyText3"/>
      </w:pPr>
      <w:r w:rsidRPr="00BB6E60">
        <w:t>arrives within a 200 metre geo-fence of the patient (if tracked); or the First Responder confirms arrival at scene through an updated status message via the MDT in the vehicle, or a First Responder confirming verbally to the EOC that they are on scene, or through technical methods that offer the same level of assurance</w:t>
      </w:r>
      <w:r w:rsidR="001A4CA9">
        <w:t>.</w:t>
      </w:r>
    </w:p>
    <w:p w14:paraId="43697386" w14:textId="77777777" w:rsidR="00BB6E60" w:rsidRDefault="00C50CF4" w:rsidP="00BB6E60">
      <w:pPr>
        <w:pStyle w:val="BodyText3"/>
      </w:pPr>
      <w:r>
        <w:t>E</w:t>
      </w:r>
      <w:r w:rsidR="00BB6E60" w:rsidRPr="00BB6E60">
        <w:t>xamples of approved First Responder include, but are not limited to</w:t>
      </w:r>
      <w:r w:rsidR="00F9095A">
        <w:t>;</w:t>
      </w:r>
      <w:r w:rsidR="00BB6E60" w:rsidRPr="00BB6E60">
        <w:t xml:space="preserve"> Community First Responder (CFR)</w:t>
      </w:r>
      <w:r w:rsidR="00F9095A">
        <w:t>;</w:t>
      </w:r>
      <w:r w:rsidR="00BB6E60" w:rsidRPr="00BB6E60">
        <w:t xml:space="preserve"> Co-Responder from other public services such as Fire Service, Mountain Rescue, Coastguard</w:t>
      </w:r>
      <w:r w:rsidR="00F9095A">
        <w:t>;</w:t>
      </w:r>
      <w:r w:rsidR="00BB6E60" w:rsidRPr="00BB6E60">
        <w:t xml:space="preserve"> and schemes established with private companies</w:t>
      </w:r>
      <w:r>
        <w:t>;</w:t>
      </w:r>
    </w:p>
    <w:p w14:paraId="3F81BD03" w14:textId="500FE2D9" w:rsidR="00A44D48" w:rsidRDefault="00FD5BF2" w:rsidP="00541D58">
      <w:pPr>
        <w:pStyle w:val="ListNumber2"/>
      </w:pPr>
      <w:r>
        <w:t>C1 only</w:t>
      </w:r>
      <w:r w:rsidR="005315D3">
        <w:t>:</w:t>
      </w:r>
      <w:r>
        <w:t xml:space="preserve"> </w:t>
      </w:r>
      <w:r w:rsidR="005C7F21" w:rsidRPr="00E03EAB">
        <w:t xml:space="preserve">An approved </w:t>
      </w:r>
      <w:r w:rsidR="00BC74E0">
        <w:t>F</w:t>
      </w:r>
      <w:r w:rsidR="005C7F21" w:rsidRPr="00E03EAB">
        <w:t xml:space="preserve">irst </w:t>
      </w:r>
      <w:r w:rsidR="00BC74E0">
        <w:t>R</w:t>
      </w:r>
      <w:r w:rsidR="005C7F21" w:rsidRPr="00E03EAB">
        <w:t xml:space="preserve">esponder such as a </w:t>
      </w:r>
      <w:r w:rsidR="00384B67">
        <w:t>d</w:t>
      </w:r>
      <w:r w:rsidR="005C7F21" w:rsidRPr="00E03EAB">
        <w:t>octor or other HCP is with the patient, and is equipped with a defibrillator, where the question is confirmed by the EOC Call Assessor</w:t>
      </w:r>
      <w:r w:rsidR="005C7F21">
        <w:t>.</w:t>
      </w:r>
    </w:p>
    <w:p w14:paraId="106BA05F" w14:textId="77777777" w:rsidR="005C7F21" w:rsidRPr="00F86144" w:rsidRDefault="005C7F21" w:rsidP="005C014A">
      <w:pPr>
        <w:pStyle w:val="Heading2"/>
      </w:pPr>
      <w:bookmarkStart w:id="20" w:name="_Clock_stop_–_2"/>
      <w:bookmarkEnd w:id="20"/>
      <w:r>
        <w:t xml:space="preserve">Clock </w:t>
      </w:r>
      <w:r w:rsidRPr="00E56732">
        <w:t>stop</w:t>
      </w:r>
      <w:r>
        <w:t xml:space="preserve"> – C1T</w:t>
      </w:r>
      <w:r w:rsidR="00C42B7B">
        <w:t xml:space="preserve">, and HCP </w:t>
      </w:r>
      <w:r w:rsidR="009F1483">
        <w:t>incidents A58 to A61</w:t>
      </w:r>
    </w:p>
    <w:p w14:paraId="0BF4038E" w14:textId="77777777" w:rsidR="00502850" w:rsidRDefault="006246E9" w:rsidP="005C7F21">
      <w:pPr>
        <w:pStyle w:val="BodyText"/>
      </w:pPr>
      <w:r>
        <w:t>T</w:t>
      </w:r>
      <w:r w:rsidR="007811E8">
        <w:t xml:space="preserve">he clock stops at the </w:t>
      </w:r>
      <w:r w:rsidR="005C7F21" w:rsidRPr="00F86144">
        <w:t xml:space="preserve">arrival of </w:t>
      </w:r>
      <w:r w:rsidR="00D8067C">
        <w:t xml:space="preserve">first </w:t>
      </w:r>
      <w:r w:rsidR="005C7F21" w:rsidRPr="00F86144">
        <w:t>vehicle</w:t>
      </w:r>
      <w:r w:rsidR="00D8067C" w:rsidRPr="00D8067C">
        <w:t xml:space="preserve"> </w:t>
      </w:r>
      <w:r w:rsidR="007E2C3B">
        <w:t>of the type that transports</w:t>
      </w:r>
      <w:r w:rsidR="00D8067C">
        <w:t xml:space="preserve"> </w:t>
      </w:r>
      <w:r w:rsidR="007E2C3B">
        <w:t xml:space="preserve">the </w:t>
      </w:r>
      <w:r w:rsidR="00D8067C">
        <w:t>patient</w:t>
      </w:r>
      <w:r w:rsidR="005C7F21">
        <w:t>.</w:t>
      </w:r>
      <w:r w:rsidR="00541D58">
        <w:t xml:space="preserve"> </w:t>
      </w:r>
      <w:r w:rsidR="00502850">
        <w:t>E</w:t>
      </w:r>
      <w:r w:rsidR="007E2C3B">
        <w:t>xample</w:t>
      </w:r>
      <w:r w:rsidR="00502850">
        <w:t>s</w:t>
      </w:r>
      <w:r w:rsidR="007E2C3B">
        <w:t>:</w:t>
      </w:r>
    </w:p>
    <w:p w14:paraId="2B39040D" w14:textId="77777777" w:rsidR="00502850" w:rsidRDefault="00502850" w:rsidP="00541D58">
      <w:pPr>
        <w:pStyle w:val="ListBullet2"/>
      </w:pPr>
      <w:r>
        <w:t>I</w:t>
      </w:r>
      <w:r w:rsidR="007E2C3B">
        <w:t xml:space="preserve">f </w:t>
      </w:r>
      <w:r w:rsidR="007811E8">
        <w:t xml:space="preserve">two </w:t>
      </w:r>
      <w:r>
        <w:t xml:space="preserve">emergency </w:t>
      </w:r>
      <w:r w:rsidR="007811E8">
        <w:t xml:space="preserve">ambulances arrive, and for logistical reasons the patient is </w:t>
      </w:r>
      <w:r w:rsidR="007811E8" w:rsidRPr="00541D58">
        <w:t>transported</w:t>
      </w:r>
      <w:r w:rsidR="007811E8">
        <w:t xml:space="preserve"> in the second, the first will stop the clock.</w:t>
      </w:r>
    </w:p>
    <w:p w14:paraId="455D39AB" w14:textId="77777777" w:rsidR="007E2C3B" w:rsidRDefault="007811E8" w:rsidP="00541D58">
      <w:pPr>
        <w:pStyle w:val="ListBullet2"/>
      </w:pPr>
      <w:r>
        <w:t xml:space="preserve">If the </w:t>
      </w:r>
      <w:r w:rsidR="007E2C3B">
        <w:t>patient is transported in a</w:t>
      </w:r>
      <w:r w:rsidR="00502850">
        <w:t>n</w:t>
      </w:r>
      <w:r w:rsidR="007E2C3B">
        <w:t xml:space="preserve"> </w:t>
      </w:r>
      <w:r w:rsidR="00502850">
        <w:t xml:space="preserve">emergency </w:t>
      </w:r>
      <w:r w:rsidR="007E2C3B">
        <w:t xml:space="preserve">ambulance, </w:t>
      </w:r>
      <w:r>
        <w:t xml:space="preserve">which arrives after an RRV, </w:t>
      </w:r>
      <w:r w:rsidR="007E2C3B">
        <w:t xml:space="preserve">the </w:t>
      </w:r>
      <w:r>
        <w:t xml:space="preserve">clock stops at the </w:t>
      </w:r>
      <w:r w:rsidR="007E2C3B">
        <w:t xml:space="preserve">arrival of the </w:t>
      </w:r>
      <w:r w:rsidR="00502850">
        <w:t xml:space="preserve">emergency </w:t>
      </w:r>
      <w:r>
        <w:t>ambulance, not the RRV.</w:t>
      </w:r>
    </w:p>
    <w:p w14:paraId="247A31E2" w14:textId="106174BC" w:rsidR="00AA0C54" w:rsidRDefault="00762878" w:rsidP="00AA0C54">
      <w:pPr>
        <w:pStyle w:val="BodyText"/>
      </w:pPr>
      <w:hyperlink w:anchor="_Incidents_with_non-emergency" w:history="1">
        <w:r w:rsidR="006B7BB6" w:rsidRPr="005F05FF">
          <w:rPr>
            <w:rStyle w:val="Hyperlink"/>
          </w:rPr>
          <w:t>Incidents with non-emergency conveyance</w:t>
        </w:r>
      </w:hyperlink>
      <w:r w:rsidR="00E753F4">
        <w:rPr>
          <w:rStyle w:val="Hyperlink"/>
        </w:rPr>
        <w:t xml:space="preserve"> </w:t>
      </w:r>
      <w:r w:rsidR="00AA0C54">
        <w:t>are not in C1T</w:t>
      </w:r>
      <w:r w:rsidR="00C42B7B">
        <w:t xml:space="preserve"> </w:t>
      </w:r>
      <w:r w:rsidR="005315D3">
        <w:t xml:space="preserve">(A9) </w:t>
      </w:r>
      <w:r w:rsidR="00C42B7B">
        <w:t xml:space="preserve">or HCP 1 to 4 hour </w:t>
      </w:r>
      <w:r w:rsidR="005315D3">
        <w:t>response (A58 to A61)</w:t>
      </w:r>
      <w:r w:rsidR="00AA0C54">
        <w:t>.</w:t>
      </w:r>
    </w:p>
    <w:p w14:paraId="7ED87FFE" w14:textId="77777777" w:rsidR="006246E9" w:rsidRPr="00F86144" w:rsidRDefault="006246E9" w:rsidP="00774E6B">
      <w:pPr>
        <w:pStyle w:val="Heading2"/>
      </w:pPr>
      <w:r>
        <w:t xml:space="preserve">Clock </w:t>
      </w:r>
      <w:r w:rsidRPr="00E56732">
        <w:t>stop</w:t>
      </w:r>
      <w:r>
        <w:t xml:space="preserve"> – C2, C3, C4</w:t>
      </w:r>
    </w:p>
    <w:p w14:paraId="52B32BC2" w14:textId="242414E7" w:rsidR="005F7C8E" w:rsidRDefault="006246E9" w:rsidP="005F7C8E">
      <w:pPr>
        <w:pStyle w:val="BodyText"/>
      </w:pPr>
      <w:r w:rsidRPr="00F86144">
        <w:t xml:space="preserve">If </w:t>
      </w:r>
      <w:r>
        <w:t>no</w:t>
      </w:r>
      <w:r w:rsidRPr="00F86144">
        <w:t xml:space="preserve"> patients are transported</w:t>
      </w:r>
      <w:r>
        <w:t xml:space="preserve"> by an emergency vehicle</w:t>
      </w:r>
      <w:r w:rsidRPr="00F279AD">
        <w:t xml:space="preserve"> </w:t>
      </w:r>
      <w:r>
        <w:t>(including</w:t>
      </w:r>
      <w:r w:rsidRPr="00F279AD">
        <w:t xml:space="preserve"> </w:t>
      </w:r>
      <w:hyperlink w:anchor="_Incidents_with_non-emergency" w:history="1">
        <w:r w:rsidR="006B7BB6" w:rsidRPr="005F05FF">
          <w:rPr>
            <w:rStyle w:val="Hyperlink"/>
          </w:rPr>
          <w:t>incidents with non-emergency conveyance</w:t>
        </w:r>
      </w:hyperlink>
      <w:r>
        <w:t>)</w:t>
      </w:r>
      <w:r w:rsidR="005A4551">
        <w:t xml:space="preserve">, </w:t>
      </w:r>
      <w:r>
        <w:t>the</w:t>
      </w:r>
      <w:r w:rsidRPr="00F86144">
        <w:t xml:space="preserve"> </w:t>
      </w:r>
      <w:r>
        <w:t xml:space="preserve">clock </w:t>
      </w:r>
      <w:r w:rsidR="005F7C8E">
        <w:t xml:space="preserve">stops at the arrival of the first </w:t>
      </w:r>
      <w:r w:rsidR="005A4551">
        <w:t>vehicle</w:t>
      </w:r>
      <w:r w:rsidR="005F7C8E">
        <w:t xml:space="preserve"> as defined in </w:t>
      </w:r>
      <w:r w:rsidR="00F40D4E">
        <w:t>items i</w:t>
      </w:r>
      <w:r w:rsidR="00541D58">
        <w:t>)</w:t>
      </w:r>
      <w:r w:rsidR="00F40D4E">
        <w:t xml:space="preserve"> to iii</w:t>
      </w:r>
      <w:r w:rsidR="00541D58">
        <w:t>)</w:t>
      </w:r>
      <w:r w:rsidR="00F40D4E">
        <w:t xml:space="preserve"> in </w:t>
      </w:r>
      <w:hyperlink w:anchor="_Clock_stop_–_3" w:history="1">
        <w:r w:rsidR="005A4551" w:rsidRPr="00F40D4E">
          <w:rPr>
            <w:rStyle w:val="Hyperlink"/>
          </w:rPr>
          <w:t>Clock stop – C1</w:t>
        </w:r>
      </w:hyperlink>
      <w:r w:rsidR="005A4551">
        <w:t>.</w:t>
      </w:r>
    </w:p>
    <w:p w14:paraId="3EA28E50" w14:textId="77777777" w:rsidR="00AA0C54" w:rsidRDefault="005F7C8E" w:rsidP="00AA0C54">
      <w:pPr>
        <w:pStyle w:val="BodyText"/>
      </w:pPr>
      <w:r>
        <w:t>Otherwise, the clock stops at the arrival of first vehicle of the ty</w:t>
      </w:r>
      <w:r w:rsidR="00DA6BE5">
        <w:t xml:space="preserve">pe that transports the </w:t>
      </w:r>
      <w:r w:rsidR="00AA0C54">
        <w:t>patient. Examples:</w:t>
      </w:r>
    </w:p>
    <w:p w14:paraId="7D3A6EEC" w14:textId="77777777" w:rsidR="00AA0C54" w:rsidRDefault="00AA0C54" w:rsidP="00AA0C54">
      <w:pPr>
        <w:pStyle w:val="ListBullet2"/>
      </w:pPr>
      <w:r>
        <w:t xml:space="preserve">If two emergency ambulances arrive, and for logistical reasons the patient is </w:t>
      </w:r>
      <w:r w:rsidRPr="00541D58">
        <w:t>transported</w:t>
      </w:r>
      <w:r>
        <w:t xml:space="preserve"> in the second, the first will stop the clock.</w:t>
      </w:r>
    </w:p>
    <w:p w14:paraId="45BE4819" w14:textId="77777777" w:rsidR="006246E9" w:rsidRDefault="00AA0C54" w:rsidP="00AA0C54">
      <w:pPr>
        <w:pStyle w:val="ListBullet2"/>
      </w:pPr>
      <w:r>
        <w:t>If the patient is transported in an emergency ambulance, which arrives after an RRV, the clock stops at the arrival of the emergency ambulance, not the RRV</w:t>
      </w:r>
      <w:r w:rsidR="00DA6BE5">
        <w:t>.</w:t>
      </w:r>
    </w:p>
    <w:p w14:paraId="2FE0C45E" w14:textId="334ABBCF" w:rsidR="0004546C" w:rsidRDefault="007C54BF" w:rsidP="0004546C">
      <w:pPr>
        <w:pStyle w:val="BodyText"/>
      </w:pPr>
      <w:r w:rsidRPr="007C54BF">
        <w:t>In accordance with a scheme agreed and monitored by local commissioners, for incidents that are not C1</w:t>
      </w:r>
      <w:r>
        <w:t>,</w:t>
      </w:r>
      <w:r w:rsidRPr="007C54BF">
        <w:t xml:space="preserve"> where the only resource to arrive on scene is a </w:t>
      </w:r>
      <w:r w:rsidR="00BC74E0">
        <w:t>F</w:t>
      </w:r>
      <w:r w:rsidR="005315D3">
        <w:t xml:space="preserve">irst </w:t>
      </w:r>
      <w:r w:rsidR="00BC74E0">
        <w:t>R</w:t>
      </w:r>
      <w:r w:rsidR="009E1DC1">
        <w:t>esponder</w:t>
      </w:r>
      <w:r w:rsidRPr="007C54BF">
        <w:t xml:space="preserve">, and where no other ambulance resource arrives on scene, the clock stop is the point at which an EOC clinician confirms to the </w:t>
      </w:r>
      <w:r w:rsidR="009E1DC1">
        <w:t xml:space="preserve">responder </w:t>
      </w:r>
      <w:r w:rsidRPr="007C54BF">
        <w:t>that pati</w:t>
      </w:r>
      <w:r>
        <w:t>ent transport is not necessary.</w:t>
      </w:r>
    </w:p>
    <w:p w14:paraId="5CDA2975" w14:textId="77777777" w:rsidR="00FB1333" w:rsidRDefault="00DA6BE5" w:rsidP="005C014A">
      <w:pPr>
        <w:pStyle w:val="Heading2"/>
      </w:pPr>
      <w:r>
        <w:t>Response time</w:t>
      </w:r>
      <w:r w:rsidR="00770038">
        <w:t xml:space="preserve"> </w:t>
      </w:r>
      <w:r w:rsidR="004B2D42">
        <w:t>s</w:t>
      </w:r>
      <w:r w:rsidR="00770038">
        <w:t>tandards</w:t>
      </w:r>
    </w:p>
    <w:tbl>
      <w:tblPr>
        <w:tblStyle w:val="TableGrid"/>
        <w:tblW w:w="7651" w:type="dxa"/>
        <w:tblInd w:w="817"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283"/>
        <w:gridCol w:w="1984"/>
        <w:gridCol w:w="283"/>
        <w:gridCol w:w="1984"/>
        <w:gridCol w:w="283"/>
        <w:gridCol w:w="1984"/>
      </w:tblGrid>
      <w:tr w:rsidR="00957135" w14:paraId="224C6DEB" w14:textId="77777777" w:rsidTr="00957135">
        <w:tc>
          <w:tcPr>
            <w:tcW w:w="850" w:type="dxa"/>
            <w:tcBorders>
              <w:bottom w:val="nil"/>
            </w:tcBorders>
            <w:vAlign w:val="bottom"/>
          </w:tcPr>
          <w:p w14:paraId="38754924" w14:textId="77777777" w:rsidR="004B2D42" w:rsidRDefault="004B2D42" w:rsidP="00957135">
            <w:pPr>
              <w:pStyle w:val="NoSpacing"/>
              <w:jc w:val="center"/>
            </w:pPr>
          </w:p>
        </w:tc>
        <w:tc>
          <w:tcPr>
            <w:tcW w:w="283" w:type="dxa"/>
            <w:tcBorders>
              <w:bottom w:val="nil"/>
            </w:tcBorders>
            <w:vAlign w:val="bottom"/>
          </w:tcPr>
          <w:p w14:paraId="0683C98A" w14:textId="77777777" w:rsidR="004B2D42" w:rsidRDefault="004B2D42" w:rsidP="00957135">
            <w:pPr>
              <w:pStyle w:val="NoSpacing"/>
              <w:jc w:val="center"/>
            </w:pPr>
          </w:p>
        </w:tc>
        <w:tc>
          <w:tcPr>
            <w:tcW w:w="1984" w:type="dxa"/>
            <w:tcBorders>
              <w:bottom w:val="single" w:sz="4" w:space="0" w:color="auto"/>
            </w:tcBorders>
            <w:vAlign w:val="bottom"/>
          </w:tcPr>
          <w:p w14:paraId="08D77659" w14:textId="4E373B5D" w:rsidR="004B2D42" w:rsidRDefault="004B2D42" w:rsidP="00957135">
            <w:pPr>
              <w:pStyle w:val="NoSpacing"/>
              <w:jc w:val="center"/>
            </w:pPr>
            <w:r>
              <w:t xml:space="preserve">Mean </w:t>
            </w:r>
            <w:r w:rsidR="001502C4">
              <w:t xml:space="preserve">average </w:t>
            </w:r>
            <w:r>
              <w:t>definition</w:t>
            </w:r>
          </w:p>
        </w:tc>
        <w:tc>
          <w:tcPr>
            <w:tcW w:w="283" w:type="dxa"/>
            <w:tcBorders>
              <w:bottom w:val="nil"/>
            </w:tcBorders>
            <w:vAlign w:val="bottom"/>
          </w:tcPr>
          <w:p w14:paraId="4CE3E52F" w14:textId="77777777" w:rsidR="004B2D42" w:rsidRDefault="004B2D42" w:rsidP="00957135">
            <w:pPr>
              <w:pStyle w:val="NoSpacing"/>
              <w:jc w:val="center"/>
            </w:pPr>
          </w:p>
        </w:tc>
        <w:tc>
          <w:tcPr>
            <w:tcW w:w="1984" w:type="dxa"/>
            <w:tcBorders>
              <w:bottom w:val="single" w:sz="4" w:space="0" w:color="auto"/>
            </w:tcBorders>
            <w:vAlign w:val="bottom"/>
          </w:tcPr>
          <w:p w14:paraId="5DDC2665" w14:textId="77777777" w:rsidR="004B2D42" w:rsidRDefault="004B2D42" w:rsidP="00957135">
            <w:pPr>
              <w:pStyle w:val="NoSpacing"/>
              <w:jc w:val="center"/>
            </w:pPr>
            <w:r>
              <w:t>Standard for mean</w:t>
            </w:r>
          </w:p>
        </w:tc>
        <w:tc>
          <w:tcPr>
            <w:tcW w:w="283" w:type="dxa"/>
            <w:tcBorders>
              <w:bottom w:val="nil"/>
            </w:tcBorders>
            <w:vAlign w:val="bottom"/>
          </w:tcPr>
          <w:p w14:paraId="61B9E73A" w14:textId="77777777" w:rsidR="004B2D42" w:rsidRDefault="004B2D42" w:rsidP="00957135">
            <w:pPr>
              <w:pStyle w:val="NoSpacing"/>
              <w:jc w:val="center"/>
            </w:pPr>
          </w:p>
        </w:tc>
        <w:tc>
          <w:tcPr>
            <w:tcW w:w="1984" w:type="dxa"/>
            <w:tcBorders>
              <w:bottom w:val="single" w:sz="4" w:space="0" w:color="auto"/>
            </w:tcBorders>
            <w:vAlign w:val="bottom"/>
          </w:tcPr>
          <w:p w14:paraId="33E8838C" w14:textId="77777777" w:rsidR="00957135" w:rsidRDefault="004B2D42" w:rsidP="00957135">
            <w:pPr>
              <w:pStyle w:val="NoSpacing"/>
              <w:jc w:val="center"/>
            </w:pPr>
            <w:r>
              <w:t>Standard for</w:t>
            </w:r>
          </w:p>
          <w:p w14:paraId="7A0B65C7" w14:textId="77777777" w:rsidR="004B2D42" w:rsidRDefault="004B2D42" w:rsidP="00957135">
            <w:pPr>
              <w:pStyle w:val="NoSpacing"/>
              <w:jc w:val="center"/>
            </w:pPr>
            <w:r>
              <w:t>90th centile</w:t>
            </w:r>
          </w:p>
        </w:tc>
      </w:tr>
      <w:tr w:rsidR="00957135" w14:paraId="09D0DD71" w14:textId="77777777" w:rsidTr="00957135">
        <w:tc>
          <w:tcPr>
            <w:tcW w:w="850" w:type="dxa"/>
            <w:tcBorders>
              <w:top w:val="nil"/>
            </w:tcBorders>
          </w:tcPr>
          <w:p w14:paraId="69219621" w14:textId="77777777" w:rsidR="004B2D42" w:rsidRDefault="004B2D42" w:rsidP="004B2D42">
            <w:pPr>
              <w:pStyle w:val="NoSpacing"/>
            </w:pPr>
            <w:r>
              <w:t>C1</w:t>
            </w:r>
          </w:p>
        </w:tc>
        <w:tc>
          <w:tcPr>
            <w:tcW w:w="283" w:type="dxa"/>
            <w:tcBorders>
              <w:top w:val="nil"/>
              <w:bottom w:val="nil"/>
            </w:tcBorders>
          </w:tcPr>
          <w:p w14:paraId="48894DF3" w14:textId="77777777" w:rsidR="004B2D42" w:rsidRDefault="004B2D42" w:rsidP="004B2D42">
            <w:pPr>
              <w:pStyle w:val="NoSpacing"/>
            </w:pPr>
          </w:p>
        </w:tc>
        <w:tc>
          <w:tcPr>
            <w:tcW w:w="1984" w:type="dxa"/>
            <w:tcBorders>
              <w:top w:val="single" w:sz="4" w:space="0" w:color="auto"/>
            </w:tcBorders>
          </w:tcPr>
          <w:p w14:paraId="56803493" w14:textId="72B91B49" w:rsidR="004B2D42" w:rsidRDefault="004B2D42" w:rsidP="00126658">
            <w:pPr>
              <w:pStyle w:val="NoSpacing"/>
            </w:pPr>
            <w:r>
              <w:t>A2</w:t>
            </w:r>
            <w:r w:rsidR="00126658">
              <w:t>5</w:t>
            </w:r>
            <w:r>
              <w:t xml:space="preserve"> = A2</w:t>
            </w:r>
            <w:r w:rsidR="00126658">
              <w:t>4</w:t>
            </w:r>
            <w:r>
              <w:t xml:space="preserve"> / A8</w:t>
            </w:r>
          </w:p>
        </w:tc>
        <w:tc>
          <w:tcPr>
            <w:tcW w:w="283" w:type="dxa"/>
            <w:tcBorders>
              <w:top w:val="nil"/>
              <w:bottom w:val="nil"/>
            </w:tcBorders>
          </w:tcPr>
          <w:p w14:paraId="0F6DC851" w14:textId="77777777" w:rsidR="004B2D42" w:rsidRDefault="004B2D42" w:rsidP="004B2D42">
            <w:pPr>
              <w:pStyle w:val="NoSpacing"/>
            </w:pPr>
          </w:p>
        </w:tc>
        <w:tc>
          <w:tcPr>
            <w:tcW w:w="1984" w:type="dxa"/>
            <w:tcBorders>
              <w:top w:val="single" w:sz="4" w:space="0" w:color="auto"/>
            </w:tcBorders>
            <w:vAlign w:val="bottom"/>
          </w:tcPr>
          <w:p w14:paraId="01AA87E6" w14:textId="77777777" w:rsidR="004B2D42" w:rsidRDefault="004B2D42" w:rsidP="00957135">
            <w:pPr>
              <w:pStyle w:val="NoSpacing"/>
              <w:jc w:val="right"/>
            </w:pPr>
            <w:r>
              <w:rPr>
                <w:rFonts w:cs="Arial"/>
              </w:rPr>
              <w:t>≤</w:t>
            </w:r>
            <w:r>
              <w:t xml:space="preserve"> 7 minutes</w:t>
            </w:r>
          </w:p>
        </w:tc>
        <w:tc>
          <w:tcPr>
            <w:tcW w:w="283" w:type="dxa"/>
            <w:tcBorders>
              <w:top w:val="nil"/>
              <w:bottom w:val="nil"/>
            </w:tcBorders>
            <w:vAlign w:val="bottom"/>
          </w:tcPr>
          <w:p w14:paraId="062C2613" w14:textId="77777777" w:rsidR="004B2D42" w:rsidRDefault="004B2D42" w:rsidP="00957135">
            <w:pPr>
              <w:pStyle w:val="NoSpacing"/>
              <w:jc w:val="right"/>
            </w:pPr>
          </w:p>
        </w:tc>
        <w:tc>
          <w:tcPr>
            <w:tcW w:w="1984" w:type="dxa"/>
            <w:tcBorders>
              <w:top w:val="single" w:sz="4" w:space="0" w:color="auto"/>
            </w:tcBorders>
            <w:vAlign w:val="bottom"/>
          </w:tcPr>
          <w:p w14:paraId="66BD5E20" w14:textId="77777777" w:rsidR="004B2D42" w:rsidRDefault="004B2D42" w:rsidP="00957135">
            <w:pPr>
              <w:pStyle w:val="NoSpacing"/>
              <w:jc w:val="right"/>
            </w:pPr>
            <w:r>
              <w:rPr>
                <w:rFonts w:cs="Arial"/>
              </w:rPr>
              <w:t>≤</w:t>
            </w:r>
            <w:r>
              <w:t xml:space="preserve"> 15 minutes</w:t>
            </w:r>
          </w:p>
        </w:tc>
      </w:tr>
      <w:tr w:rsidR="00957135" w14:paraId="334C142C" w14:textId="77777777" w:rsidTr="00957135">
        <w:tc>
          <w:tcPr>
            <w:tcW w:w="850" w:type="dxa"/>
          </w:tcPr>
          <w:p w14:paraId="2CCBEADB" w14:textId="77777777" w:rsidR="004B2D42" w:rsidRDefault="004B2D42" w:rsidP="004B2D42">
            <w:pPr>
              <w:pStyle w:val="NoSpacing"/>
            </w:pPr>
            <w:r>
              <w:t>C1T</w:t>
            </w:r>
          </w:p>
        </w:tc>
        <w:tc>
          <w:tcPr>
            <w:tcW w:w="283" w:type="dxa"/>
            <w:tcBorders>
              <w:bottom w:val="nil"/>
            </w:tcBorders>
          </w:tcPr>
          <w:p w14:paraId="25FD8CE1" w14:textId="77777777" w:rsidR="004B2D42" w:rsidRDefault="004B2D42" w:rsidP="004B2D42">
            <w:pPr>
              <w:pStyle w:val="NoSpacing"/>
            </w:pPr>
          </w:p>
        </w:tc>
        <w:tc>
          <w:tcPr>
            <w:tcW w:w="1984" w:type="dxa"/>
          </w:tcPr>
          <w:p w14:paraId="0B126BDC" w14:textId="7BB5294A" w:rsidR="004B2D42" w:rsidRDefault="00126658" w:rsidP="003A0746">
            <w:pPr>
              <w:pStyle w:val="NoSpacing"/>
            </w:pPr>
            <w:r>
              <w:t>A28 = A27</w:t>
            </w:r>
            <w:r w:rsidR="004B2D42">
              <w:t xml:space="preserve"> / A9</w:t>
            </w:r>
          </w:p>
        </w:tc>
        <w:tc>
          <w:tcPr>
            <w:tcW w:w="283" w:type="dxa"/>
            <w:tcBorders>
              <w:bottom w:val="nil"/>
            </w:tcBorders>
          </w:tcPr>
          <w:p w14:paraId="5CC07B69" w14:textId="77777777" w:rsidR="004B2D42" w:rsidRDefault="004B2D42" w:rsidP="004B2D42">
            <w:pPr>
              <w:pStyle w:val="NoSpacing"/>
            </w:pPr>
          </w:p>
        </w:tc>
        <w:tc>
          <w:tcPr>
            <w:tcW w:w="1984" w:type="dxa"/>
            <w:vAlign w:val="bottom"/>
          </w:tcPr>
          <w:p w14:paraId="5F4B5697" w14:textId="77777777" w:rsidR="004B2D42" w:rsidRDefault="004B2D42" w:rsidP="00957135">
            <w:pPr>
              <w:pStyle w:val="NoSpacing"/>
              <w:jc w:val="right"/>
            </w:pPr>
          </w:p>
        </w:tc>
        <w:tc>
          <w:tcPr>
            <w:tcW w:w="283" w:type="dxa"/>
            <w:tcBorders>
              <w:bottom w:val="nil"/>
            </w:tcBorders>
            <w:vAlign w:val="bottom"/>
          </w:tcPr>
          <w:p w14:paraId="6845CAD3" w14:textId="77777777" w:rsidR="004B2D42" w:rsidRDefault="004B2D42" w:rsidP="00957135">
            <w:pPr>
              <w:pStyle w:val="NoSpacing"/>
              <w:jc w:val="right"/>
            </w:pPr>
          </w:p>
        </w:tc>
        <w:tc>
          <w:tcPr>
            <w:tcW w:w="1984" w:type="dxa"/>
            <w:vAlign w:val="bottom"/>
          </w:tcPr>
          <w:p w14:paraId="5882F70A" w14:textId="77777777" w:rsidR="004B2D42" w:rsidRDefault="004B2D42" w:rsidP="00957135">
            <w:pPr>
              <w:pStyle w:val="NoSpacing"/>
              <w:jc w:val="right"/>
            </w:pPr>
          </w:p>
        </w:tc>
      </w:tr>
      <w:tr w:rsidR="00957135" w14:paraId="45C72555" w14:textId="77777777" w:rsidTr="00957135">
        <w:tc>
          <w:tcPr>
            <w:tcW w:w="850" w:type="dxa"/>
          </w:tcPr>
          <w:p w14:paraId="08AEB826" w14:textId="77777777" w:rsidR="004B2D42" w:rsidRDefault="004B2D42" w:rsidP="004B2D42">
            <w:pPr>
              <w:pStyle w:val="NoSpacing"/>
            </w:pPr>
            <w:r>
              <w:t>C2</w:t>
            </w:r>
          </w:p>
        </w:tc>
        <w:tc>
          <w:tcPr>
            <w:tcW w:w="283" w:type="dxa"/>
            <w:tcBorders>
              <w:bottom w:val="nil"/>
            </w:tcBorders>
          </w:tcPr>
          <w:p w14:paraId="31DB4D51" w14:textId="77777777" w:rsidR="004B2D42" w:rsidRDefault="004B2D42" w:rsidP="004B2D42">
            <w:pPr>
              <w:pStyle w:val="NoSpacing"/>
            </w:pPr>
          </w:p>
        </w:tc>
        <w:tc>
          <w:tcPr>
            <w:tcW w:w="1984" w:type="dxa"/>
          </w:tcPr>
          <w:p w14:paraId="4531E927" w14:textId="0684C325" w:rsidR="004B2D42" w:rsidRDefault="00126658" w:rsidP="003A0746">
            <w:pPr>
              <w:pStyle w:val="NoSpacing"/>
            </w:pPr>
            <w:r>
              <w:t>A31 = A30</w:t>
            </w:r>
            <w:r w:rsidR="004B2D42">
              <w:t xml:space="preserve"> / A10</w:t>
            </w:r>
          </w:p>
        </w:tc>
        <w:tc>
          <w:tcPr>
            <w:tcW w:w="283" w:type="dxa"/>
            <w:tcBorders>
              <w:bottom w:val="nil"/>
            </w:tcBorders>
          </w:tcPr>
          <w:p w14:paraId="26CA5702" w14:textId="77777777" w:rsidR="004B2D42" w:rsidRDefault="004B2D42" w:rsidP="004B2D42">
            <w:pPr>
              <w:pStyle w:val="NoSpacing"/>
            </w:pPr>
          </w:p>
        </w:tc>
        <w:tc>
          <w:tcPr>
            <w:tcW w:w="1984" w:type="dxa"/>
            <w:vAlign w:val="bottom"/>
          </w:tcPr>
          <w:p w14:paraId="3B78B966" w14:textId="77777777" w:rsidR="004B2D42" w:rsidRDefault="004B2D42" w:rsidP="00957135">
            <w:pPr>
              <w:pStyle w:val="NoSpacing"/>
              <w:jc w:val="right"/>
            </w:pPr>
            <w:r>
              <w:rPr>
                <w:rFonts w:cs="Arial"/>
              </w:rPr>
              <w:t>≤</w:t>
            </w:r>
            <w:r>
              <w:t xml:space="preserve"> 18 minutes</w:t>
            </w:r>
          </w:p>
        </w:tc>
        <w:tc>
          <w:tcPr>
            <w:tcW w:w="283" w:type="dxa"/>
            <w:tcBorders>
              <w:bottom w:val="nil"/>
            </w:tcBorders>
            <w:vAlign w:val="bottom"/>
          </w:tcPr>
          <w:p w14:paraId="216D5772" w14:textId="77777777" w:rsidR="004B2D42" w:rsidRDefault="004B2D42" w:rsidP="00957135">
            <w:pPr>
              <w:pStyle w:val="NoSpacing"/>
              <w:jc w:val="right"/>
            </w:pPr>
          </w:p>
        </w:tc>
        <w:tc>
          <w:tcPr>
            <w:tcW w:w="1984" w:type="dxa"/>
            <w:vAlign w:val="bottom"/>
          </w:tcPr>
          <w:p w14:paraId="7AC07EA3" w14:textId="77777777" w:rsidR="004B2D42" w:rsidRDefault="004B2D42" w:rsidP="00957135">
            <w:pPr>
              <w:pStyle w:val="NoSpacing"/>
              <w:jc w:val="right"/>
            </w:pPr>
            <w:r>
              <w:rPr>
                <w:rFonts w:cs="Arial"/>
              </w:rPr>
              <w:t>≤</w:t>
            </w:r>
            <w:r>
              <w:t xml:space="preserve"> 40 minutes</w:t>
            </w:r>
          </w:p>
        </w:tc>
      </w:tr>
      <w:tr w:rsidR="00957135" w14:paraId="1FBE4DA7" w14:textId="77777777" w:rsidTr="00957135">
        <w:tc>
          <w:tcPr>
            <w:tcW w:w="850" w:type="dxa"/>
          </w:tcPr>
          <w:p w14:paraId="03EFF9EF" w14:textId="77777777" w:rsidR="004B2D42" w:rsidRDefault="004B2D42" w:rsidP="004B2D42">
            <w:pPr>
              <w:pStyle w:val="NoSpacing"/>
            </w:pPr>
            <w:r>
              <w:t>C3</w:t>
            </w:r>
          </w:p>
        </w:tc>
        <w:tc>
          <w:tcPr>
            <w:tcW w:w="283" w:type="dxa"/>
            <w:tcBorders>
              <w:bottom w:val="nil"/>
            </w:tcBorders>
          </w:tcPr>
          <w:p w14:paraId="28540750" w14:textId="77777777" w:rsidR="004B2D42" w:rsidRDefault="004B2D42" w:rsidP="004B2D42">
            <w:pPr>
              <w:pStyle w:val="NoSpacing"/>
            </w:pPr>
          </w:p>
        </w:tc>
        <w:tc>
          <w:tcPr>
            <w:tcW w:w="1984" w:type="dxa"/>
          </w:tcPr>
          <w:p w14:paraId="3AA95876" w14:textId="7F3538DE" w:rsidR="004B2D42" w:rsidRDefault="00126658" w:rsidP="00126658">
            <w:pPr>
              <w:pStyle w:val="NoSpacing"/>
            </w:pPr>
            <w:r>
              <w:t>A34 = A33</w:t>
            </w:r>
            <w:r w:rsidR="004B2D42">
              <w:t xml:space="preserve"> / A11</w:t>
            </w:r>
          </w:p>
        </w:tc>
        <w:tc>
          <w:tcPr>
            <w:tcW w:w="283" w:type="dxa"/>
            <w:tcBorders>
              <w:top w:val="nil"/>
            </w:tcBorders>
          </w:tcPr>
          <w:p w14:paraId="0DB37CE3" w14:textId="77777777" w:rsidR="004B2D42" w:rsidRDefault="004B2D42" w:rsidP="004B2D42">
            <w:pPr>
              <w:pStyle w:val="NoSpacing"/>
            </w:pPr>
          </w:p>
        </w:tc>
        <w:tc>
          <w:tcPr>
            <w:tcW w:w="1984" w:type="dxa"/>
            <w:vAlign w:val="bottom"/>
          </w:tcPr>
          <w:p w14:paraId="39CAD806" w14:textId="77777777" w:rsidR="004B2D42" w:rsidRDefault="004B2D42" w:rsidP="00957135">
            <w:pPr>
              <w:pStyle w:val="NoSpacing"/>
              <w:jc w:val="right"/>
            </w:pPr>
          </w:p>
        </w:tc>
        <w:tc>
          <w:tcPr>
            <w:tcW w:w="283" w:type="dxa"/>
            <w:tcBorders>
              <w:top w:val="nil"/>
            </w:tcBorders>
            <w:vAlign w:val="bottom"/>
          </w:tcPr>
          <w:p w14:paraId="35CE2390" w14:textId="77777777" w:rsidR="004B2D42" w:rsidRDefault="004B2D42" w:rsidP="00957135">
            <w:pPr>
              <w:pStyle w:val="NoSpacing"/>
              <w:jc w:val="right"/>
            </w:pPr>
          </w:p>
        </w:tc>
        <w:tc>
          <w:tcPr>
            <w:tcW w:w="1984" w:type="dxa"/>
            <w:vAlign w:val="bottom"/>
          </w:tcPr>
          <w:p w14:paraId="40372CCB" w14:textId="77777777" w:rsidR="004B2D42" w:rsidRDefault="004B2D42" w:rsidP="00957135">
            <w:pPr>
              <w:pStyle w:val="NoSpacing"/>
              <w:jc w:val="right"/>
            </w:pPr>
            <w:r>
              <w:rPr>
                <w:rFonts w:cs="Arial"/>
              </w:rPr>
              <w:t>≤</w:t>
            </w:r>
            <w:r>
              <w:t xml:space="preserve"> </w:t>
            </w:r>
            <w:r w:rsidR="00957135">
              <w:t>12</w:t>
            </w:r>
            <w:r>
              <w:t>0 minutes</w:t>
            </w:r>
          </w:p>
        </w:tc>
      </w:tr>
      <w:tr w:rsidR="00957135" w14:paraId="3C3BF095" w14:textId="77777777" w:rsidTr="00957135">
        <w:tc>
          <w:tcPr>
            <w:tcW w:w="850" w:type="dxa"/>
          </w:tcPr>
          <w:p w14:paraId="62B5B457" w14:textId="77777777" w:rsidR="004B2D42" w:rsidRDefault="004B2D42" w:rsidP="004B2D42">
            <w:pPr>
              <w:pStyle w:val="NoSpacing"/>
            </w:pPr>
            <w:r>
              <w:t>C4</w:t>
            </w:r>
          </w:p>
        </w:tc>
        <w:tc>
          <w:tcPr>
            <w:tcW w:w="283" w:type="dxa"/>
            <w:tcBorders>
              <w:bottom w:val="single" w:sz="4" w:space="0" w:color="auto"/>
            </w:tcBorders>
          </w:tcPr>
          <w:p w14:paraId="6FD4620B" w14:textId="77777777" w:rsidR="004B2D42" w:rsidRDefault="004B2D42" w:rsidP="004B2D42">
            <w:pPr>
              <w:pStyle w:val="NoSpacing"/>
            </w:pPr>
          </w:p>
        </w:tc>
        <w:tc>
          <w:tcPr>
            <w:tcW w:w="1984" w:type="dxa"/>
          </w:tcPr>
          <w:p w14:paraId="41C2242D" w14:textId="0B8C5E3C" w:rsidR="004B2D42" w:rsidRDefault="00126658" w:rsidP="00126658">
            <w:pPr>
              <w:pStyle w:val="NoSpacing"/>
            </w:pPr>
            <w:r>
              <w:t>A37</w:t>
            </w:r>
            <w:r w:rsidR="004B2D42">
              <w:t xml:space="preserve"> = A3</w:t>
            </w:r>
            <w:r>
              <w:t>6</w:t>
            </w:r>
            <w:r w:rsidR="004B2D42">
              <w:t xml:space="preserve"> / A12</w:t>
            </w:r>
          </w:p>
        </w:tc>
        <w:tc>
          <w:tcPr>
            <w:tcW w:w="283" w:type="dxa"/>
          </w:tcPr>
          <w:p w14:paraId="4FF2A6A4" w14:textId="77777777" w:rsidR="004B2D42" w:rsidRDefault="004B2D42" w:rsidP="004B2D42">
            <w:pPr>
              <w:pStyle w:val="NoSpacing"/>
            </w:pPr>
          </w:p>
        </w:tc>
        <w:tc>
          <w:tcPr>
            <w:tcW w:w="1984" w:type="dxa"/>
            <w:vAlign w:val="bottom"/>
          </w:tcPr>
          <w:p w14:paraId="2AEFC8AE" w14:textId="77777777" w:rsidR="004B2D42" w:rsidRDefault="004B2D42" w:rsidP="00957135">
            <w:pPr>
              <w:pStyle w:val="NoSpacing"/>
              <w:jc w:val="right"/>
            </w:pPr>
          </w:p>
        </w:tc>
        <w:tc>
          <w:tcPr>
            <w:tcW w:w="283" w:type="dxa"/>
            <w:vAlign w:val="bottom"/>
          </w:tcPr>
          <w:p w14:paraId="4BF292A7" w14:textId="77777777" w:rsidR="004B2D42" w:rsidRDefault="004B2D42" w:rsidP="00957135">
            <w:pPr>
              <w:pStyle w:val="NoSpacing"/>
              <w:jc w:val="right"/>
            </w:pPr>
          </w:p>
        </w:tc>
        <w:tc>
          <w:tcPr>
            <w:tcW w:w="1984" w:type="dxa"/>
            <w:vAlign w:val="bottom"/>
          </w:tcPr>
          <w:p w14:paraId="33F0E989" w14:textId="77777777" w:rsidR="004B2D42" w:rsidRDefault="004B2D42" w:rsidP="00957135">
            <w:pPr>
              <w:pStyle w:val="NoSpacing"/>
              <w:jc w:val="right"/>
            </w:pPr>
            <w:r>
              <w:rPr>
                <w:rFonts w:cs="Arial"/>
              </w:rPr>
              <w:t>≤</w:t>
            </w:r>
            <w:r>
              <w:t xml:space="preserve"> </w:t>
            </w:r>
            <w:r w:rsidR="00957135">
              <w:t>18</w:t>
            </w:r>
            <w:r>
              <w:t>0 minutes</w:t>
            </w:r>
          </w:p>
        </w:tc>
      </w:tr>
    </w:tbl>
    <w:p w14:paraId="4E70AF5D" w14:textId="77777777" w:rsidR="002714AD" w:rsidRDefault="002714AD" w:rsidP="002714AD">
      <w:pPr>
        <w:pStyle w:val="NoSpacing"/>
      </w:pPr>
    </w:p>
    <w:p w14:paraId="6289465D" w14:textId="77777777" w:rsidR="00E90798" w:rsidRDefault="00821690" w:rsidP="002714AD">
      <w:r w:rsidRPr="00821690">
        <w:t>C1T</w:t>
      </w:r>
      <w:r>
        <w:t>: no</w:t>
      </w:r>
      <w:r w:rsidRPr="00821690">
        <w:t xml:space="preserve"> standard</w:t>
      </w:r>
      <w:r>
        <w:t>,</w:t>
      </w:r>
      <w:r w:rsidRPr="00821690">
        <w:t xml:space="preserve"> but mean and 90th centile will be published and monitored</w:t>
      </w:r>
      <w:r>
        <w:t>.</w:t>
      </w:r>
    </w:p>
    <w:p w14:paraId="475D4D81" w14:textId="77777777" w:rsidR="009D4E83" w:rsidRDefault="009D4E83" w:rsidP="005C7F21">
      <w:pPr>
        <w:pStyle w:val="Heading3"/>
      </w:pPr>
      <w:r>
        <w:t>Total response time: C1</w:t>
      </w:r>
    </w:p>
    <w:p w14:paraId="61732108" w14:textId="77777777" w:rsidR="00DD2A8E" w:rsidRDefault="009D4E83" w:rsidP="009D4E83">
      <w:pPr>
        <w:pStyle w:val="BodyText"/>
      </w:pPr>
      <w:r>
        <w:t>The t</w:t>
      </w:r>
      <w:r w:rsidR="00DD2A8E">
        <w:t xml:space="preserve">otal response time </w:t>
      </w:r>
      <w:r>
        <w:t xml:space="preserve">aggregated across all </w:t>
      </w:r>
      <w:r w:rsidR="00DD2A8E">
        <w:t>incidents</w:t>
      </w:r>
      <w:r>
        <w:t xml:space="preserve"> in </w:t>
      </w:r>
      <w:r w:rsidR="00632149">
        <w:t xml:space="preserve">A8 in </w:t>
      </w:r>
      <w:r>
        <w:t>the period.</w:t>
      </w:r>
    </w:p>
    <w:p w14:paraId="18C72193" w14:textId="77777777" w:rsidR="009D4E83" w:rsidRDefault="009D4E83" w:rsidP="0028543C">
      <w:pPr>
        <w:pStyle w:val="Heading3"/>
      </w:pPr>
      <w:r>
        <w:t>Mean response time: C1</w:t>
      </w:r>
    </w:p>
    <w:p w14:paraId="2A5FCCEF" w14:textId="77777777" w:rsidR="0028543C" w:rsidRDefault="009D4E83" w:rsidP="009D4E83">
      <w:pPr>
        <w:pStyle w:val="BodyText"/>
      </w:pPr>
      <w:r>
        <w:t xml:space="preserve">Across all incidents in </w:t>
      </w:r>
      <w:r w:rsidR="00632149">
        <w:t xml:space="preserve">A8 in </w:t>
      </w:r>
      <w:r>
        <w:t>the period, the mean average response time</w:t>
      </w:r>
      <w:r w:rsidR="00712C4C">
        <w:t>.</w:t>
      </w:r>
    </w:p>
    <w:p w14:paraId="3845C012" w14:textId="77777777" w:rsidR="009D4E83" w:rsidRDefault="009D4E83" w:rsidP="00352C4C">
      <w:pPr>
        <w:pStyle w:val="Heading3"/>
      </w:pPr>
      <w:r>
        <w:t>90th centile response time: C1</w:t>
      </w:r>
    </w:p>
    <w:p w14:paraId="66E644CF" w14:textId="77777777" w:rsidR="00352C4C" w:rsidRDefault="009D4E83" w:rsidP="009D4E83">
      <w:pPr>
        <w:pStyle w:val="BodyText"/>
      </w:pPr>
      <w:r>
        <w:t>Across all incidents in</w:t>
      </w:r>
      <w:r w:rsidR="00632149" w:rsidRPr="00632149">
        <w:t xml:space="preserve"> </w:t>
      </w:r>
      <w:r w:rsidR="00632149">
        <w:t>A8 in</w:t>
      </w:r>
      <w:r>
        <w:t xml:space="preserve"> the period, the </w:t>
      </w:r>
      <w:r w:rsidR="00352C4C">
        <w:t xml:space="preserve">90th centile </w:t>
      </w:r>
      <w:r>
        <w:t>response time.</w:t>
      </w:r>
    </w:p>
    <w:p w14:paraId="2AEAA3F9" w14:textId="77777777" w:rsidR="001C6AAD" w:rsidRDefault="001C6AAD" w:rsidP="001C6AAD">
      <w:pPr>
        <w:pStyle w:val="Heading3"/>
      </w:pPr>
      <w:r>
        <w:t>Total response time: C1T</w:t>
      </w:r>
    </w:p>
    <w:p w14:paraId="06A15B15" w14:textId="77777777" w:rsidR="001C6AAD" w:rsidRDefault="001C6AAD" w:rsidP="001C6AAD">
      <w:pPr>
        <w:pStyle w:val="BodyText"/>
      </w:pPr>
      <w:r>
        <w:t xml:space="preserve">The total response time aggregated across all incidents in </w:t>
      </w:r>
      <w:r w:rsidR="00632149">
        <w:t xml:space="preserve">A9 in </w:t>
      </w:r>
      <w:r>
        <w:t>the period.</w:t>
      </w:r>
    </w:p>
    <w:p w14:paraId="772FDD03" w14:textId="77777777" w:rsidR="001C6AAD" w:rsidRDefault="001C6AAD" w:rsidP="001C6AAD">
      <w:pPr>
        <w:pStyle w:val="Heading3"/>
      </w:pPr>
      <w:r>
        <w:t>Mean response time: C1T</w:t>
      </w:r>
    </w:p>
    <w:p w14:paraId="023EB8A0" w14:textId="77777777" w:rsidR="001C6AAD" w:rsidRDefault="001C6AAD" w:rsidP="001C6AAD">
      <w:pPr>
        <w:pStyle w:val="BodyText"/>
      </w:pPr>
      <w:r>
        <w:t xml:space="preserve">Across all incidents in </w:t>
      </w:r>
      <w:r w:rsidR="00632149">
        <w:t xml:space="preserve">A9 in </w:t>
      </w:r>
      <w:r>
        <w:t>the period, the mean average response time</w:t>
      </w:r>
      <w:r w:rsidR="00712C4C">
        <w:t>.</w:t>
      </w:r>
    </w:p>
    <w:p w14:paraId="3B3D8168" w14:textId="77777777" w:rsidR="001C6AAD" w:rsidRDefault="001C6AAD" w:rsidP="001C6AAD">
      <w:pPr>
        <w:pStyle w:val="Heading3"/>
      </w:pPr>
      <w:r>
        <w:t>90th centile response time: C1T</w:t>
      </w:r>
    </w:p>
    <w:p w14:paraId="419A3DDD" w14:textId="77777777" w:rsidR="001C6AAD" w:rsidRDefault="001C6AAD" w:rsidP="001C6AAD">
      <w:pPr>
        <w:pStyle w:val="BodyText"/>
      </w:pPr>
      <w:r>
        <w:t>Across all C1T incidents in</w:t>
      </w:r>
      <w:r w:rsidR="00632149" w:rsidRPr="00632149">
        <w:t xml:space="preserve"> </w:t>
      </w:r>
      <w:r w:rsidR="00632149">
        <w:t>A9 in</w:t>
      </w:r>
      <w:r>
        <w:t xml:space="preserve"> the period, the 90th centile response time.</w:t>
      </w:r>
    </w:p>
    <w:p w14:paraId="554411EA" w14:textId="77777777" w:rsidR="001C6AAD" w:rsidRDefault="001C6AAD" w:rsidP="001C6AAD">
      <w:pPr>
        <w:pStyle w:val="Heading3"/>
      </w:pPr>
      <w:r>
        <w:t>Total response time: C2</w:t>
      </w:r>
    </w:p>
    <w:p w14:paraId="2F70148D" w14:textId="77777777" w:rsidR="001C6AAD" w:rsidRDefault="001C6AAD" w:rsidP="001C6AAD">
      <w:pPr>
        <w:pStyle w:val="BodyText"/>
      </w:pPr>
      <w:r>
        <w:t xml:space="preserve">The total response time aggregated across all incidents in </w:t>
      </w:r>
      <w:r w:rsidR="00632149">
        <w:t xml:space="preserve">A10 in </w:t>
      </w:r>
      <w:r>
        <w:t>the period.</w:t>
      </w:r>
    </w:p>
    <w:p w14:paraId="79D13731" w14:textId="77777777" w:rsidR="001C6AAD" w:rsidRDefault="001C6AAD" w:rsidP="001C6AAD">
      <w:pPr>
        <w:pStyle w:val="Heading3"/>
      </w:pPr>
      <w:r>
        <w:t>Mean response time: C2</w:t>
      </w:r>
    </w:p>
    <w:p w14:paraId="6A3F4810" w14:textId="77777777" w:rsidR="001C6AAD" w:rsidRDefault="001C6AAD" w:rsidP="001C6AAD">
      <w:pPr>
        <w:pStyle w:val="BodyText"/>
      </w:pPr>
      <w:r>
        <w:t xml:space="preserve">Across all incidents in </w:t>
      </w:r>
      <w:r w:rsidR="00632149">
        <w:t xml:space="preserve">A10 in </w:t>
      </w:r>
      <w:r>
        <w:t>the period, the mean average response time</w:t>
      </w:r>
      <w:r w:rsidR="00712C4C">
        <w:t>.</w:t>
      </w:r>
    </w:p>
    <w:p w14:paraId="18BC71FF" w14:textId="77777777" w:rsidR="001C6AAD" w:rsidRDefault="001C6AAD" w:rsidP="001C6AAD">
      <w:pPr>
        <w:pStyle w:val="Heading3"/>
      </w:pPr>
      <w:r>
        <w:t>90th centile response time: C2</w:t>
      </w:r>
    </w:p>
    <w:p w14:paraId="106DF17F" w14:textId="77777777" w:rsidR="001C6AAD" w:rsidRDefault="001C6AAD" w:rsidP="001C6AAD">
      <w:pPr>
        <w:pStyle w:val="BodyText"/>
      </w:pPr>
      <w:r>
        <w:t>Across all incidents in</w:t>
      </w:r>
      <w:r w:rsidR="00632149" w:rsidRPr="00632149">
        <w:t xml:space="preserve"> </w:t>
      </w:r>
      <w:r w:rsidR="00632149">
        <w:t>A10 in</w:t>
      </w:r>
      <w:r>
        <w:t xml:space="preserve"> the period, the 90th centile response time.</w:t>
      </w:r>
    </w:p>
    <w:p w14:paraId="64D64EE8" w14:textId="77777777" w:rsidR="001C6AAD" w:rsidRDefault="001C6AAD" w:rsidP="001C6AAD">
      <w:pPr>
        <w:pStyle w:val="Heading3"/>
      </w:pPr>
      <w:r>
        <w:t>Total response time: C3</w:t>
      </w:r>
    </w:p>
    <w:p w14:paraId="0C9DF5D9" w14:textId="77777777" w:rsidR="001C6AAD" w:rsidRDefault="001C6AAD" w:rsidP="001C6AAD">
      <w:pPr>
        <w:pStyle w:val="BodyText"/>
      </w:pPr>
      <w:r>
        <w:t xml:space="preserve">The total response time aggregated across all incidents in </w:t>
      </w:r>
      <w:r w:rsidR="00632149">
        <w:t xml:space="preserve">A11 in </w:t>
      </w:r>
      <w:r>
        <w:t>the period.</w:t>
      </w:r>
    </w:p>
    <w:p w14:paraId="22ED37F6" w14:textId="77777777" w:rsidR="001C6AAD" w:rsidRDefault="001C6AAD" w:rsidP="001C6AAD">
      <w:pPr>
        <w:pStyle w:val="Heading3"/>
      </w:pPr>
      <w:r>
        <w:t>Mean response time: C3</w:t>
      </w:r>
    </w:p>
    <w:p w14:paraId="01889FB4" w14:textId="77777777" w:rsidR="001C6AAD" w:rsidRDefault="001C6AAD" w:rsidP="001C6AAD">
      <w:pPr>
        <w:pStyle w:val="BodyText"/>
      </w:pPr>
      <w:r>
        <w:t xml:space="preserve">Across all incidents in </w:t>
      </w:r>
      <w:r w:rsidR="00632149">
        <w:t xml:space="preserve">A11 in </w:t>
      </w:r>
      <w:r>
        <w:t>the period, the mean average response time</w:t>
      </w:r>
      <w:r w:rsidR="00712C4C">
        <w:t>.</w:t>
      </w:r>
    </w:p>
    <w:p w14:paraId="71636CDE" w14:textId="77777777" w:rsidR="001C6AAD" w:rsidRDefault="001C6AAD" w:rsidP="001C6AAD">
      <w:pPr>
        <w:pStyle w:val="Heading3"/>
      </w:pPr>
      <w:r>
        <w:t>90th centile response time: C3</w:t>
      </w:r>
    </w:p>
    <w:p w14:paraId="0E546E7F" w14:textId="77777777" w:rsidR="001C6AAD" w:rsidRDefault="001C6AAD" w:rsidP="001B3084">
      <w:pPr>
        <w:pStyle w:val="BodyText"/>
        <w:spacing w:after="60"/>
      </w:pPr>
      <w:r>
        <w:t>Across all incidents in</w:t>
      </w:r>
      <w:r w:rsidR="00632149" w:rsidRPr="00632149">
        <w:t xml:space="preserve"> </w:t>
      </w:r>
      <w:r w:rsidR="00632149">
        <w:t>A11 in</w:t>
      </w:r>
      <w:r>
        <w:t xml:space="preserve"> the period, the 90th centile response time.</w:t>
      </w:r>
    </w:p>
    <w:p w14:paraId="581FC817" w14:textId="77777777" w:rsidR="001C6AAD" w:rsidRDefault="001C6AAD" w:rsidP="001C6AAD">
      <w:pPr>
        <w:pStyle w:val="Heading3"/>
      </w:pPr>
      <w:r>
        <w:t>Total response time: C4</w:t>
      </w:r>
    </w:p>
    <w:p w14:paraId="564BFEE8" w14:textId="77777777" w:rsidR="001C6AAD" w:rsidRDefault="001C6AAD" w:rsidP="001C6AAD">
      <w:pPr>
        <w:pStyle w:val="BodyText"/>
      </w:pPr>
      <w:r>
        <w:t>The total response time aggregated across all incidents in</w:t>
      </w:r>
      <w:r w:rsidR="00632149" w:rsidRPr="00632149">
        <w:t xml:space="preserve"> </w:t>
      </w:r>
      <w:r w:rsidR="00632149">
        <w:t>A12 in</w:t>
      </w:r>
      <w:r>
        <w:t xml:space="preserve"> the period.</w:t>
      </w:r>
    </w:p>
    <w:p w14:paraId="3C7F0158" w14:textId="77777777" w:rsidR="001C6AAD" w:rsidRDefault="001C6AAD" w:rsidP="001C6AAD">
      <w:pPr>
        <w:pStyle w:val="Heading3"/>
      </w:pPr>
      <w:r>
        <w:t>Mean response time: C4</w:t>
      </w:r>
    </w:p>
    <w:p w14:paraId="6F63587E" w14:textId="77777777" w:rsidR="001C6AAD" w:rsidRDefault="001C6AAD" w:rsidP="001C6AAD">
      <w:pPr>
        <w:pStyle w:val="BodyText"/>
      </w:pPr>
      <w:r>
        <w:t xml:space="preserve">Across all incidents in </w:t>
      </w:r>
      <w:r w:rsidR="00632149">
        <w:t xml:space="preserve">A12 in </w:t>
      </w:r>
      <w:r>
        <w:t>the period, the mean average response time</w:t>
      </w:r>
      <w:r w:rsidR="00712C4C">
        <w:t>.</w:t>
      </w:r>
    </w:p>
    <w:p w14:paraId="5146DD92" w14:textId="77777777" w:rsidR="001C6AAD" w:rsidRDefault="001C6AAD" w:rsidP="001C6AAD">
      <w:pPr>
        <w:pStyle w:val="Heading3"/>
      </w:pPr>
      <w:r>
        <w:t>90th centile response time: C4</w:t>
      </w:r>
    </w:p>
    <w:p w14:paraId="26AF175C" w14:textId="77777777" w:rsidR="005C7F21" w:rsidRDefault="001C6AAD" w:rsidP="005D2918">
      <w:pPr>
        <w:pStyle w:val="BodyText"/>
        <w:spacing w:after="60"/>
      </w:pPr>
      <w:r>
        <w:t xml:space="preserve">Across all incidents in </w:t>
      </w:r>
      <w:r w:rsidR="00632149">
        <w:t xml:space="preserve">A12 in </w:t>
      </w:r>
      <w:r>
        <w:t>the period, the 90th centile response time.</w:t>
      </w:r>
    </w:p>
    <w:p w14:paraId="261FFECA" w14:textId="1417BB45" w:rsidR="00C42B7B" w:rsidRDefault="00C42B7B" w:rsidP="00C42B7B">
      <w:pPr>
        <w:pStyle w:val="Heading4"/>
      </w:pPr>
      <w:r>
        <w:t>A62</w:t>
      </w:r>
      <w:r>
        <w:tab/>
        <w:t xml:space="preserve">Total response time: HCP 1 hour </w:t>
      </w:r>
      <w:r w:rsidR="005315D3">
        <w:t>response</w:t>
      </w:r>
    </w:p>
    <w:p w14:paraId="347E411C" w14:textId="4F597B0A" w:rsidR="00C42B7B" w:rsidRPr="00C42B7B" w:rsidRDefault="00C42B7B" w:rsidP="00C42B7B">
      <w:pPr>
        <w:pStyle w:val="BodyText"/>
      </w:pPr>
      <w:r w:rsidRPr="00C42B7B">
        <w:t>The total response time aggre</w:t>
      </w:r>
      <w:r>
        <w:t>gated across all incidents in A5</w:t>
      </w:r>
      <w:r w:rsidR="00781139">
        <w:t>8</w:t>
      </w:r>
      <w:r w:rsidRPr="00C42B7B">
        <w:t xml:space="preserve"> in the period</w:t>
      </w:r>
      <w:r>
        <w:t>.</w:t>
      </w:r>
    </w:p>
    <w:p w14:paraId="6A948BB6" w14:textId="6D77F891" w:rsidR="00C42B7B" w:rsidRDefault="00C42B7B" w:rsidP="00C42B7B">
      <w:pPr>
        <w:pStyle w:val="Heading4"/>
      </w:pPr>
      <w:r>
        <w:t>A63</w:t>
      </w:r>
      <w:r>
        <w:tab/>
        <w:t xml:space="preserve">Mean response time: HCP 1 hour </w:t>
      </w:r>
      <w:r w:rsidR="005315D3">
        <w:t>response</w:t>
      </w:r>
    </w:p>
    <w:p w14:paraId="5FC0BC54" w14:textId="68D48B2A" w:rsidR="00C42B7B" w:rsidRPr="00C42B7B" w:rsidRDefault="00C42B7B" w:rsidP="00C42B7B">
      <w:pPr>
        <w:pStyle w:val="BodyText"/>
      </w:pPr>
      <w:r w:rsidRPr="00C42B7B">
        <w:t>Across all incidents in A</w:t>
      </w:r>
      <w:r w:rsidR="00781139">
        <w:t>58</w:t>
      </w:r>
      <w:r w:rsidRPr="00C42B7B">
        <w:t xml:space="preserve"> in the period, the mean average response time</w:t>
      </w:r>
      <w:r>
        <w:t>.</w:t>
      </w:r>
    </w:p>
    <w:p w14:paraId="0005BBFC" w14:textId="2E87BCDA" w:rsidR="00C42B7B" w:rsidRDefault="00C42B7B" w:rsidP="00C42B7B">
      <w:pPr>
        <w:pStyle w:val="Heading4"/>
      </w:pPr>
      <w:r>
        <w:t>A64</w:t>
      </w:r>
      <w:r>
        <w:tab/>
        <w:t xml:space="preserve">90th centile response time: HCP 1 hour </w:t>
      </w:r>
      <w:r w:rsidR="005315D3">
        <w:t>response</w:t>
      </w:r>
    </w:p>
    <w:p w14:paraId="77096160" w14:textId="27FAFFDF" w:rsidR="00C42B7B" w:rsidRPr="00C42B7B" w:rsidRDefault="00C42B7B" w:rsidP="00C42B7B">
      <w:pPr>
        <w:pStyle w:val="BodyText"/>
      </w:pPr>
      <w:r w:rsidRPr="00C42B7B">
        <w:t>Across all incide</w:t>
      </w:r>
      <w:r w:rsidR="00781139">
        <w:t>nts in A58</w:t>
      </w:r>
      <w:r w:rsidRPr="00C42B7B">
        <w:t xml:space="preserve"> in the period, the </w:t>
      </w:r>
      <w:r>
        <w:t>90th centile response time.</w:t>
      </w:r>
    </w:p>
    <w:p w14:paraId="3DE98DDF" w14:textId="2864B982" w:rsidR="00C42B7B" w:rsidRDefault="00C42B7B" w:rsidP="00C42B7B">
      <w:pPr>
        <w:pStyle w:val="Heading4"/>
      </w:pPr>
      <w:r>
        <w:t>A65</w:t>
      </w:r>
      <w:r>
        <w:tab/>
        <w:t xml:space="preserve">Total response time: HCP 2 hour </w:t>
      </w:r>
      <w:r w:rsidR="005315D3">
        <w:t>response</w:t>
      </w:r>
    </w:p>
    <w:p w14:paraId="43F47E4D" w14:textId="30431D95" w:rsidR="00C42B7B" w:rsidRPr="00C42B7B" w:rsidRDefault="00C42B7B" w:rsidP="00C42B7B">
      <w:pPr>
        <w:pStyle w:val="BodyText"/>
      </w:pPr>
      <w:r w:rsidRPr="00C42B7B">
        <w:t>The total response time aggre</w:t>
      </w:r>
      <w:r>
        <w:t>g</w:t>
      </w:r>
      <w:r w:rsidR="00781139">
        <w:t>ated across all incidents in A59</w:t>
      </w:r>
      <w:r w:rsidRPr="00C42B7B">
        <w:t xml:space="preserve"> in the period</w:t>
      </w:r>
      <w:r>
        <w:t>.</w:t>
      </w:r>
    </w:p>
    <w:p w14:paraId="159E2518" w14:textId="3B2D808D" w:rsidR="00C42B7B" w:rsidRDefault="00C42B7B" w:rsidP="00C42B7B">
      <w:pPr>
        <w:pStyle w:val="Heading4"/>
      </w:pPr>
      <w:r>
        <w:t>A66</w:t>
      </w:r>
      <w:r>
        <w:tab/>
        <w:t xml:space="preserve">Mean response time: HCP 2 hour </w:t>
      </w:r>
      <w:r w:rsidR="005315D3">
        <w:t>response</w:t>
      </w:r>
    </w:p>
    <w:p w14:paraId="6F01CA61" w14:textId="23229BC6" w:rsidR="00C42B7B" w:rsidRPr="00C42B7B" w:rsidRDefault="00C42B7B" w:rsidP="00C42B7B">
      <w:pPr>
        <w:pStyle w:val="BodyText"/>
      </w:pPr>
      <w:r w:rsidRPr="00C42B7B">
        <w:t>Across all incidents in A</w:t>
      </w:r>
      <w:r w:rsidR="00781139">
        <w:t>59</w:t>
      </w:r>
      <w:r w:rsidRPr="00C42B7B">
        <w:t xml:space="preserve"> in the period, the mean average response time</w:t>
      </w:r>
      <w:r>
        <w:t>.</w:t>
      </w:r>
    </w:p>
    <w:p w14:paraId="32BDE213" w14:textId="5BA97045" w:rsidR="00C42B7B" w:rsidRDefault="00C42B7B" w:rsidP="00C42B7B">
      <w:pPr>
        <w:pStyle w:val="Heading4"/>
      </w:pPr>
      <w:r>
        <w:t>A67</w:t>
      </w:r>
      <w:r>
        <w:tab/>
        <w:t xml:space="preserve">90th centile response time: HCP 2 hour </w:t>
      </w:r>
      <w:r w:rsidR="005315D3">
        <w:t>response</w:t>
      </w:r>
    </w:p>
    <w:p w14:paraId="3996D00A" w14:textId="40476D3D" w:rsidR="00C42B7B" w:rsidRPr="00C42B7B" w:rsidRDefault="00C42B7B" w:rsidP="00C42B7B">
      <w:pPr>
        <w:pStyle w:val="BodyText"/>
      </w:pPr>
      <w:r w:rsidRPr="00C42B7B">
        <w:t>Across all incidents in A</w:t>
      </w:r>
      <w:r w:rsidR="00781139">
        <w:t>59</w:t>
      </w:r>
      <w:r w:rsidRPr="00C42B7B">
        <w:t xml:space="preserve"> in the period, the </w:t>
      </w:r>
      <w:r>
        <w:t>90th centile response time.</w:t>
      </w:r>
    </w:p>
    <w:p w14:paraId="69B7E101" w14:textId="0E44F91C" w:rsidR="00C42B7B" w:rsidRDefault="00C42B7B" w:rsidP="00C42B7B">
      <w:pPr>
        <w:pStyle w:val="Heading4"/>
      </w:pPr>
      <w:r>
        <w:t>A68</w:t>
      </w:r>
      <w:r>
        <w:tab/>
        <w:t xml:space="preserve">Total response time: HCP 3 hour </w:t>
      </w:r>
      <w:r w:rsidR="005315D3">
        <w:t>response</w:t>
      </w:r>
    </w:p>
    <w:p w14:paraId="4E3FC73E" w14:textId="1974BABD" w:rsidR="00C42B7B" w:rsidRPr="00C42B7B" w:rsidRDefault="00C42B7B" w:rsidP="00C42B7B">
      <w:pPr>
        <w:pStyle w:val="BodyText"/>
      </w:pPr>
      <w:r w:rsidRPr="00C42B7B">
        <w:t>The total response time aggre</w:t>
      </w:r>
      <w:r>
        <w:t>gated acros</w:t>
      </w:r>
      <w:r w:rsidR="00781139">
        <w:t>s all incidents in A60</w:t>
      </w:r>
      <w:r w:rsidRPr="00C42B7B">
        <w:t xml:space="preserve"> in the period</w:t>
      </w:r>
      <w:r>
        <w:t>.</w:t>
      </w:r>
    </w:p>
    <w:p w14:paraId="7FCB743B" w14:textId="07156C2F" w:rsidR="00C42B7B" w:rsidRDefault="00C42B7B" w:rsidP="00C42B7B">
      <w:pPr>
        <w:pStyle w:val="Heading4"/>
      </w:pPr>
      <w:r>
        <w:t>A69</w:t>
      </w:r>
      <w:r>
        <w:tab/>
        <w:t xml:space="preserve">Mean response time: HCP 3 hour </w:t>
      </w:r>
      <w:r w:rsidR="005315D3">
        <w:t>response</w:t>
      </w:r>
    </w:p>
    <w:p w14:paraId="3B36EC0D" w14:textId="73536552" w:rsidR="00C42B7B" w:rsidRPr="00C42B7B" w:rsidRDefault="00C42B7B" w:rsidP="00C42B7B">
      <w:pPr>
        <w:pStyle w:val="BodyText"/>
      </w:pPr>
      <w:r w:rsidRPr="00C42B7B">
        <w:t>Across all incidents in A</w:t>
      </w:r>
      <w:r w:rsidR="00781139">
        <w:t>60</w:t>
      </w:r>
      <w:r w:rsidRPr="00C42B7B">
        <w:t xml:space="preserve"> in the period, the mean average response time</w:t>
      </w:r>
      <w:r>
        <w:t>.</w:t>
      </w:r>
    </w:p>
    <w:p w14:paraId="450A88DD" w14:textId="5BE405B7" w:rsidR="00C42B7B" w:rsidRDefault="00C42B7B" w:rsidP="00C42B7B">
      <w:pPr>
        <w:pStyle w:val="Heading4"/>
      </w:pPr>
      <w:r>
        <w:t>A70</w:t>
      </w:r>
      <w:r>
        <w:tab/>
        <w:t xml:space="preserve">90th centile response time: HCP 3 hour </w:t>
      </w:r>
      <w:r w:rsidR="005315D3">
        <w:t>response</w:t>
      </w:r>
    </w:p>
    <w:p w14:paraId="40314D78" w14:textId="22168AFB" w:rsidR="00C42B7B" w:rsidRPr="00C42B7B" w:rsidRDefault="00C42B7B" w:rsidP="00C42B7B">
      <w:pPr>
        <w:pStyle w:val="BodyText"/>
      </w:pPr>
      <w:r w:rsidRPr="00C42B7B">
        <w:t>Across all incidents in A</w:t>
      </w:r>
      <w:r w:rsidR="00781139">
        <w:t>60</w:t>
      </w:r>
      <w:r w:rsidRPr="00C42B7B">
        <w:t xml:space="preserve"> in the period, the </w:t>
      </w:r>
      <w:r>
        <w:t>90th centile response time.</w:t>
      </w:r>
    </w:p>
    <w:p w14:paraId="3E75BD80" w14:textId="55BC11A0" w:rsidR="00C42B7B" w:rsidRDefault="00C42B7B" w:rsidP="00C42B7B">
      <w:pPr>
        <w:pStyle w:val="Heading4"/>
      </w:pPr>
      <w:r>
        <w:t>A71</w:t>
      </w:r>
      <w:r>
        <w:tab/>
        <w:t xml:space="preserve">Total response time: HCP 4 hour </w:t>
      </w:r>
      <w:r w:rsidR="005315D3">
        <w:t>response</w:t>
      </w:r>
    </w:p>
    <w:p w14:paraId="45F3A739" w14:textId="5220CC38" w:rsidR="00C42B7B" w:rsidRPr="00C42B7B" w:rsidRDefault="00C42B7B" w:rsidP="00C42B7B">
      <w:pPr>
        <w:pStyle w:val="BodyText"/>
      </w:pPr>
      <w:r w:rsidRPr="00C42B7B">
        <w:t>The total response time aggre</w:t>
      </w:r>
      <w:r>
        <w:t>gated across all incidents in A6</w:t>
      </w:r>
      <w:r w:rsidR="00781139">
        <w:t>1</w:t>
      </w:r>
      <w:r w:rsidRPr="00C42B7B">
        <w:t xml:space="preserve"> in the period</w:t>
      </w:r>
      <w:r>
        <w:t>.</w:t>
      </w:r>
    </w:p>
    <w:p w14:paraId="2F6319BD" w14:textId="2AFD004B" w:rsidR="00C42B7B" w:rsidRDefault="00C42B7B" w:rsidP="00C42B7B">
      <w:pPr>
        <w:pStyle w:val="Heading4"/>
      </w:pPr>
      <w:r>
        <w:t>A72</w:t>
      </w:r>
      <w:r>
        <w:tab/>
        <w:t xml:space="preserve">Mean response time: HCP 4 hour </w:t>
      </w:r>
      <w:r w:rsidR="005315D3">
        <w:t>response</w:t>
      </w:r>
    </w:p>
    <w:p w14:paraId="07DF2DF2" w14:textId="4E846BCA" w:rsidR="00C42B7B" w:rsidRPr="00C42B7B" w:rsidRDefault="00C42B7B" w:rsidP="00C42B7B">
      <w:pPr>
        <w:pStyle w:val="BodyText"/>
      </w:pPr>
      <w:r w:rsidRPr="00C42B7B">
        <w:t>Across all incidents in A</w:t>
      </w:r>
      <w:r w:rsidR="00781139">
        <w:t>61</w:t>
      </w:r>
      <w:r w:rsidRPr="00C42B7B">
        <w:t xml:space="preserve"> in the period, the mean average response time</w:t>
      </w:r>
      <w:r>
        <w:t>.</w:t>
      </w:r>
    </w:p>
    <w:p w14:paraId="17F25EEE" w14:textId="4700F691" w:rsidR="00C42B7B" w:rsidRDefault="00C42B7B" w:rsidP="00C42B7B">
      <w:pPr>
        <w:pStyle w:val="Heading4"/>
      </w:pPr>
      <w:r>
        <w:t>A73</w:t>
      </w:r>
      <w:r>
        <w:tab/>
        <w:t xml:space="preserve">90th centile response time: HCP 4 hour </w:t>
      </w:r>
      <w:r w:rsidR="005315D3">
        <w:t>response</w:t>
      </w:r>
    </w:p>
    <w:p w14:paraId="483084E9" w14:textId="66DD10DF" w:rsidR="00C42B7B" w:rsidRPr="00C42B7B" w:rsidRDefault="00C42B7B" w:rsidP="00C42B7B">
      <w:pPr>
        <w:pStyle w:val="BodyText"/>
      </w:pPr>
      <w:r w:rsidRPr="00C42B7B">
        <w:t>Across all incidents in A</w:t>
      </w:r>
      <w:r w:rsidR="00781139">
        <w:t>61</w:t>
      </w:r>
      <w:r w:rsidRPr="00C42B7B">
        <w:t xml:space="preserve"> in the period, the </w:t>
      </w:r>
      <w:r>
        <w:t>90th centile response time.</w:t>
      </w:r>
    </w:p>
    <w:p w14:paraId="0EF7B4E5" w14:textId="77777777" w:rsidR="00C42B7B" w:rsidRDefault="00C42B7B" w:rsidP="00CF0604">
      <w:pPr>
        <w:pStyle w:val="BodyText"/>
        <w:spacing w:after="60"/>
        <w:ind w:left="0"/>
        <w:sectPr w:rsidR="00C42B7B" w:rsidSect="00B32AF1">
          <w:pgSz w:w="11906" w:h="16838"/>
          <w:pgMar w:top="1440" w:right="1440" w:bottom="1440" w:left="1440" w:header="708" w:footer="708" w:gutter="0"/>
          <w:cols w:space="708"/>
          <w:docGrid w:linePitch="360"/>
        </w:sectPr>
      </w:pPr>
    </w:p>
    <w:p w14:paraId="4FE361EC" w14:textId="77777777" w:rsidR="0018147A" w:rsidRDefault="00C34657" w:rsidP="00B32AF1">
      <w:pPr>
        <w:pStyle w:val="Heading1"/>
      </w:pPr>
      <w:r>
        <w:t>Section 7</w:t>
      </w:r>
      <w:r w:rsidR="00183015">
        <w:t xml:space="preserve">: </w:t>
      </w:r>
      <w:r w:rsidR="0018147A">
        <w:t>Re</w:t>
      </w:r>
      <w:r w:rsidR="00422934">
        <w:t>source allocation and arrival</w:t>
      </w:r>
    </w:p>
    <w:p w14:paraId="6130856E" w14:textId="0DE4D93B" w:rsidR="004D2BF5" w:rsidRDefault="00B47539" w:rsidP="00B47539">
      <w:pPr>
        <w:pStyle w:val="BodyText"/>
      </w:pPr>
      <w:r>
        <w:t xml:space="preserve">Counts of </w:t>
      </w:r>
      <w:r w:rsidRPr="004D2BF5">
        <w:t xml:space="preserve">resources assigned to incidents, regardless of whether they </w:t>
      </w:r>
      <w:r w:rsidRPr="00B47539">
        <w:t>arrive</w:t>
      </w:r>
      <w:r w:rsidR="00477DCC">
        <w:t>d</w:t>
      </w:r>
      <w:r w:rsidRPr="004D2BF5">
        <w:t xml:space="preserve"> on scene</w:t>
      </w:r>
      <w:r>
        <w:t>.</w:t>
      </w:r>
    </w:p>
    <w:p w14:paraId="1D7BBFFA" w14:textId="73C404C8" w:rsidR="00A45EA2" w:rsidRDefault="00FA35CA" w:rsidP="00B47539">
      <w:pPr>
        <w:pStyle w:val="BodyText"/>
      </w:pPr>
      <w:r>
        <w:t xml:space="preserve">Include </w:t>
      </w:r>
      <w:r w:rsidR="008F2FAE">
        <w:t xml:space="preserve">all trust-dispatched resources, and </w:t>
      </w:r>
      <w:r>
        <w:t xml:space="preserve">PAS or VAS. </w:t>
      </w:r>
    </w:p>
    <w:p w14:paraId="2F80ACB1" w14:textId="77777777" w:rsidR="00B47539" w:rsidRDefault="008834ED" w:rsidP="00B47539">
      <w:pPr>
        <w:pStyle w:val="BodyText"/>
      </w:pPr>
      <w:r>
        <w:t>Do not include</w:t>
      </w:r>
      <w:r w:rsidR="00B47539">
        <w:t xml:space="preserve"> CFR</w:t>
      </w:r>
      <w:r w:rsidR="00E16AFF">
        <w:t xml:space="preserve"> </w:t>
      </w:r>
      <w:r w:rsidR="00B5279E">
        <w:t>or</w:t>
      </w:r>
      <w:r w:rsidR="00E16AFF">
        <w:t xml:space="preserve"> </w:t>
      </w:r>
      <w:r w:rsidR="00502850">
        <w:t xml:space="preserve">co-responders such as police, military, </w:t>
      </w:r>
      <w:r w:rsidR="00B47539">
        <w:t>fire service.</w:t>
      </w:r>
    </w:p>
    <w:p w14:paraId="766DD817" w14:textId="77777777" w:rsidR="001C6AAD" w:rsidRDefault="001C6AAD" w:rsidP="00C876AE">
      <w:pPr>
        <w:pStyle w:val="Heading3"/>
      </w:pPr>
      <w:r>
        <w:t>Resources allocated to C1</w:t>
      </w:r>
    </w:p>
    <w:p w14:paraId="6F07E9BB" w14:textId="77777777" w:rsidR="00A45EA2" w:rsidRDefault="00A45EA2" w:rsidP="00A45EA2">
      <w:pPr>
        <w:pStyle w:val="BodyText"/>
      </w:pPr>
      <w:r>
        <w:t>For all incidents</w:t>
      </w:r>
      <w:r w:rsidRPr="00632149">
        <w:t xml:space="preserve"> </w:t>
      </w:r>
      <w:r>
        <w:t>in A8, total count of resources allocated</w:t>
      </w:r>
    </w:p>
    <w:p w14:paraId="1D9EA30C" w14:textId="77777777" w:rsidR="001C6AAD" w:rsidRDefault="001C6AAD" w:rsidP="00C876AE">
      <w:pPr>
        <w:pStyle w:val="Heading3"/>
      </w:pPr>
      <w:r>
        <w:t>Resources arriving to C1</w:t>
      </w:r>
    </w:p>
    <w:p w14:paraId="69E1BD6D" w14:textId="77777777" w:rsidR="00C876AE" w:rsidRDefault="00A45EA2" w:rsidP="001C6AAD">
      <w:pPr>
        <w:pStyle w:val="BodyText"/>
      </w:pPr>
      <w:r>
        <w:t>For all incidents</w:t>
      </w:r>
      <w:r w:rsidRPr="00632149">
        <w:t xml:space="preserve"> </w:t>
      </w:r>
      <w:r>
        <w:t>in A8, total count of resources that arrived on scene.</w:t>
      </w:r>
      <w:r w:rsidR="001C6AAD">
        <w:t xml:space="preserve"> </w:t>
      </w:r>
    </w:p>
    <w:p w14:paraId="142CF609" w14:textId="77777777" w:rsidR="0049089D" w:rsidRDefault="0049089D" w:rsidP="0049089D">
      <w:pPr>
        <w:pStyle w:val="BodyText"/>
      </w:pPr>
      <w:r>
        <w:t>A39 and A40 will be divided by A8 to give, respectively, mean allocations and mean arrivals on scene per C1 incident.</w:t>
      </w:r>
    </w:p>
    <w:p w14:paraId="1BE77F47" w14:textId="77777777" w:rsidR="001C6AAD" w:rsidRDefault="001C6AAD" w:rsidP="001C6AAD">
      <w:pPr>
        <w:pStyle w:val="Heading3"/>
      </w:pPr>
      <w:r>
        <w:t>Resources allocated to C1T</w:t>
      </w:r>
    </w:p>
    <w:p w14:paraId="1B0A8FA0" w14:textId="77777777" w:rsidR="00A45EA2" w:rsidRDefault="00A45EA2" w:rsidP="00A45EA2">
      <w:pPr>
        <w:pStyle w:val="BodyText"/>
      </w:pPr>
      <w:r>
        <w:t>For all incidents</w:t>
      </w:r>
      <w:r w:rsidRPr="00632149">
        <w:t xml:space="preserve"> </w:t>
      </w:r>
      <w:r>
        <w:t>in A9, total count of resources allocated</w:t>
      </w:r>
    </w:p>
    <w:p w14:paraId="7F34B5E0" w14:textId="77777777" w:rsidR="001C6AAD" w:rsidRDefault="001C6AAD" w:rsidP="001C6AAD">
      <w:pPr>
        <w:pStyle w:val="Heading3"/>
      </w:pPr>
      <w:r>
        <w:t>Resources arriving to C1T</w:t>
      </w:r>
    </w:p>
    <w:p w14:paraId="243260E4" w14:textId="77777777" w:rsidR="00A45EA2" w:rsidRDefault="00A45EA2" w:rsidP="00A45EA2">
      <w:pPr>
        <w:pStyle w:val="BodyText"/>
      </w:pPr>
      <w:r>
        <w:t>For all incidents</w:t>
      </w:r>
      <w:r w:rsidRPr="00632149">
        <w:t xml:space="preserve"> </w:t>
      </w:r>
      <w:r>
        <w:t xml:space="preserve">in A9, total count of resources that arrived on scene. </w:t>
      </w:r>
    </w:p>
    <w:p w14:paraId="3BBBD0E3" w14:textId="77777777" w:rsidR="0049089D" w:rsidRPr="00C876AE" w:rsidRDefault="0049089D" w:rsidP="0049089D">
      <w:pPr>
        <w:pStyle w:val="BodyText"/>
      </w:pPr>
      <w:r>
        <w:t>A41 and A42 will be divided by A9 to give, respectively, mean allocations and mean arrivals on scene per C1T incident.</w:t>
      </w:r>
    </w:p>
    <w:p w14:paraId="2F4967F0" w14:textId="77777777" w:rsidR="001C6AAD" w:rsidRDefault="001C6AAD" w:rsidP="001C6AAD">
      <w:pPr>
        <w:pStyle w:val="Heading3"/>
      </w:pPr>
      <w:r>
        <w:t>Resources allocated to C2</w:t>
      </w:r>
    </w:p>
    <w:p w14:paraId="2E252300" w14:textId="77777777" w:rsidR="00A45EA2" w:rsidRDefault="00A45EA2" w:rsidP="00A45EA2">
      <w:pPr>
        <w:pStyle w:val="BodyText"/>
      </w:pPr>
      <w:r>
        <w:t>For all incidents</w:t>
      </w:r>
      <w:r w:rsidRPr="00632149">
        <w:t xml:space="preserve"> </w:t>
      </w:r>
      <w:r>
        <w:t>in A10, total count of resources allocated</w:t>
      </w:r>
    </w:p>
    <w:p w14:paraId="61BC9568" w14:textId="77777777" w:rsidR="001C6AAD" w:rsidRDefault="001C6AAD" w:rsidP="001C6AAD">
      <w:pPr>
        <w:pStyle w:val="Heading3"/>
      </w:pPr>
      <w:r>
        <w:t>Resources arriving to C2</w:t>
      </w:r>
    </w:p>
    <w:p w14:paraId="1ABCB1E4" w14:textId="77777777" w:rsidR="00A45EA2" w:rsidRDefault="00A45EA2" w:rsidP="00A45EA2">
      <w:pPr>
        <w:pStyle w:val="BodyText"/>
      </w:pPr>
      <w:r>
        <w:t>For all incidents</w:t>
      </w:r>
      <w:r w:rsidRPr="00632149">
        <w:t xml:space="preserve"> </w:t>
      </w:r>
      <w:r>
        <w:t xml:space="preserve">in A10, total count of resources that arrived on scene. </w:t>
      </w:r>
    </w:p>
    <w:p w14:paraId="54013C03" w14:textId="77777777" w:rsidR="0049089D" w:rsidRPr="00C876AE" w:rsidRDefault="0049089D" w:rsidP="0049089D">
      <w:pPr>
        <w:pStyle w:val="BodyText"/>
      </w:pPr>
      <w:r>
        <w:t>A43 and A44 will be divided by A10 to give, respectively, mean allocations</w:t>
      </w:r>
      <w:r w:rsidRPr="0049089D">
        <w:t xml:space="preserve"> </w:t>
      </w:r>
      <w:r>
        <w:t>and per C2 incident.</w:t>
      </w:r>
    </w:p>
    <w:p w14:paraId="4E68242B" w14:textId="77777777" w:rsidR="001C6AAD" w:rsidRDefault="001C6AAD" w:rsidP="001C6AAD">
      <w:pPr>
        <w:pStyle w:val="Heading3"/>
      </w:pPr>
      <w:r>
        <w:t>Resources allocated to C3</w:t>
      </w:r>
    </w:p>
    <w:p w14:paraId="0C4060BD" w14:textId="77777777" w:rsidR="00A45EA2" w:rsidRDefault="00A45EA2" w:rsidP="00A45EA2">
      <w:pPr>
        <w:pStyle w:val="BodyText"/>
      </w:pPr>
      <w:r>
        <w:t>For all incidents</w:t>
      </w:r>
      <w:r w:rsidRPr="00632149">
        <w:t xml:space="preserve"> </w:t>
      </w:r>
      <w:r>
        <w:t>in A11, total count of resources allocated</w:t>
      </w:r>
    </w:p>
    <w:p w14:paraId="1CCBE158" w14:textId="77777777" w:rsidR="001C6AAD" w:rsidRDefault="001C6AAD" w:rsidP="001C6AAD">
      <w:pPr>
        <w:pStyle w:val="Heading3"/>
      </w:pPr>
      <w:r>
        <w:t>Resources arriving to C3</w:t>
      </w:r>
    </w:p>
    <w:p w14:paraId="5490A6AA" w14:textId="77777777" w:rsidR="001C6AAD" w:rsidRDefault="00A45EA2" w:rsidP="001C6AAD">
      <w:pPr>
        <w:pStyle w:val="BodyText"/>
      </w:pPr>
      <w:r>
        <w:t>For all incidents</w:t>
      </w:r>
      <w:r w:rsidRPr="00632149">
        <w:t xml:space="preserve"> </w:t>
      </w:r>
      <w:r>
        <w:t>in A11, total count of resources that arrived on scene.</w:t>
      </w:r>
    </w:p>
    <w:p w14:paraId="4C569C5A" w14:textId="77777777" w:rsidR="0049089D" w:rsidRPr="00C876AE" w:rsidRDefault="0049089D" w:rsidP="0049089D">
      <w:pPr>
        <w:pStyle w:val="BodyText"/>
      </w:pPr>
      <w:r>
        <w:t>A45 and A46 will be divided by A11 to give, respectively, mean allocations and mean arrivals on scene per C3 incident.</w:t>
      </w:r>
    </w:p>
    <w:p w14:paraId="31B9054F" w14:textId="77777777" w:rsidR="001C6AAD" w:rsidRDefault="001C6AAD" w:rsidP="001C6AAD">
      <w:pPr>
        <w:pStyle w:val="Heading3"/>
      </w:pPr>
      <w:r>
        <w:t>Resources allocated to C4</w:t>
      </w:r>
    </w:p>
    <w:p w14:paraId="220D6EA9" w14:textId="77777777" w:rsidR="001C6AAD" w:rsidRDefault="00A45EA2" w:rsidP="001C6AAD">
      <w:pPr>
        <w:pStyle w:val="BodyText"/>
      </w:pPr>
      <w:r>
        <w:t>For all incidents</w:t>
      </w:r>
      <w:r w:rsidRPr="00632149">
        <w:t xml:space="preserve"> </w:t>
      </w:r>
      <w:r>
        <w:t>in A12, total count of resources allocated</w:t>
      </w:r>
    </w:p>
    <w:p w14:paraId="785AFD64" w14:textId="77777777" w:rsidR="001C6AAD" w:rsidRDefault="001C6AAD" w:rsidP="001C6AAD">
      <w:pPr>
        <w:pStyle w:val="Heading3"/>
      </w:pPr>
      <w:r>
        <w:t>Resources arriving to C4</w:t>
      </w:r>
    </w:p>
    <w:p w14:paraId="55B7E7C7" w14:textId="77777777" w:rsidR="00A45EA2" w:rsidRDefault="00A45EA2" w:rsidP="00A45EA2">
      <w:pPr>
        <w:pStyle w:val="BodyText"/>
      </w:pPr>
      <w:r>
        <w:t>For all incidents</w:t>
      </w:r>
      <w:r w:rsidRPr="00632149">
        <w:t xml:space="preserve"> </w:t>
      </w:r>
      <w:r>
        <w:t xml:space="preserve">in A12, total count of resources that arrived on scene. </w:t>
      </w:r>
    </w:p>
    <w:p w14:paraId="3C68753F" w14:textId="760B0744" w:rsidR="00543AFA" w:rsidRDefault="0049089D" w:rsidP="006B7BB6">
      <w:pPr>
        <w:pStyle w:val="BodyText"/>
        <w:sectPr w:rsidR="00543AFA" w:rsidSect="00B32AF1">
          <w:pgSz w:w="11906" w:h="16838"/>
          <w:pgMar w:top="1440" w:right="1440" w:bottom="1440" w:left="1440" w:header="708" w:footer="708" w:gutter="0"/>
          <w:cols w:space="708"/>
          <w:docGrid w:linePitch="360"/>
        </w:sectPr>
      </w:pPr>
      <w:r>
        <w:t>A47 and A48 will be divided by A12 to give, respectively, mean allocation and mean arrivals on scene per C4 incident.</w:t>
      </w:r>
    </w:p>
    <w:p w14:paraId="0E66C73C" w14:textId="77777777" w:rsidR="00502850" w:rsidRDefault="008348B9" w:rsidP="00543AFA">
      <w:pPr>
        <w:pStyle w:val="Heading1"/>
      </w:pPr>
      <w:r>
        <w:t xml:space="preserve">Section </w:t>
      </w:r>
      <w:r w:rsidR="00C34657">
        <w:t>8</w:t>
      </w:r>
      <w:r>
        <w:t xml:space="preserve">: </w:t>
      </w:r>
      <w:r w:rsidR="00687FCC">
        <w:t xml:space="preserve">Cardio-Pulmonary Resuscitation (CPR) </w:t>
      </w:r>
      <w:r>
        <w:t>time</w:t>
      </w:r>
    </w:p>
    <w:p w14:paraId="17F5F801" w14:textId="77777777" w:rsidR="007C54BF" w:rsidRPr="007C54BF" w:rsidRDefault="00960A47" w:rsidP="007C54BF">
      <w:pPr>
        <w:pStyle w:val="BodyText"/>
      </w:pPr>
      <w:r>
        <w:t>For incidents w</w:t>
      </w:r>
      <w:r w:rsidR="007C54BF">
        <w:t>here a bystander has started CPR before call connect, include the incident in A49, and count zero time for A50, A51 and A52.</w:t>
      </w:r>
    </w:p>
    <w:p w14:paraId="52380279" w14:textId="77777777" w:rsidR="001C6AAD" w:rsidRDefault="001C6AAD" w:rsidP="00541CB5">
      <w:pPr>
        <w:pStyle w:val="Heading3"/>
      </w:pPr>
      <w:r>
        <w:t>Bystander CPR count</w:t>
      </w:r>
    </w:p>
    <w:p w14:paraId="49C3BA11" w14:textId="77777777" w:rsidR="00B47539" w:rsidRDefault="00303ABC" w:rsidP="001C6AAD">
      <w:pPr>
        <w:pStyle w:val="BodyText"/>
      </w:pPr>
      <w:r>
        <w:t xml:space="preserve">Count of incidents </w:t>
      </w:r>
      <w:r w:rsidR="001C6AAD">
        <w:t>where</w:t>
      </w:r>
      <w:r w:rsidR="00687FCC">
        <w:t xml:space="preserve"> CPR</w:t>
      </w:r>
      <w:r w:rsidR="001C6AAD">
        <w:t xml:space="preserve"> </w:t>
      </w:r>
      <w:r w:rsidR="00687FCC">
        <w:t xml:space="preserve">is </w:t>
      </w:r>
      <w:r w:rsidR="001C6AAD">
        <w:t>started by a bystander, including off-duty clinicians, before arrival of an ambulance response.</w:t>
      </w:r>
    </w:p>
    <w:p w14:paraId="74C5FD68" w14:textId="77777777" w:rsidR="0011775C" w:rsidRDefault="00DA6BE5" w:rsidP="001C6AAD">
      <w:pPr>
        <w:pStyle w:val="BodyText"/>
      </w:pPr>
      <w:r>
        <w:t xml:space="preserve">Definition: </w:t>
      </w:r>
      <w:r w:rsidR="0011775C">
        <w:t>A5</w:t>
      </w:r>
      <w:r w:rsidR="006144C5">
        <w:t>1</w:t>
      </w:r>
      <w:r w:rsidR="0011775C">
        <w:t xml:space="preserve"> = A5</w:t>
      </w:r>
      <w:r w:rsidR="006144C5">
        <w:t>0</w:t>
      </w:r>
      <w:r w:rsidR="0011775C">
        <w:t xml:space="preserve"> / A</w:t>
      </w:r>
      <w:r w:rsidR="006144C5">
        <w:t>49</w:t>
      </w:r>
    </w:p>
    <w:p w14:paraId="6A9779D0" w14:textId="77777777" w:rsidR="001C6AAD" w:rsidRDefault="001C6AAD" w:rsidP="00303ABC">
      <w:pPr>
        <w:pStyle w:val="Heading3"/>
      </w:pPr>
      <w:r>
        <w:t>Total time to bystander CPR</w:t>
      </w:r>
    </w:p>
    <w:p w14:paraId="5029044B" w14:textId="77777777" w:rsidR="00303ABC" w:rsidRDefault="00687FCC" w:rsidP="001C6AAD">
      <w:pPr>
        <w:pStyle w:val="BodyText"/>
      </w:pPr>
      <w:r>
        <w:t xml:space="preserve">For all </w:t>
      </w:r>
      <w:r w:rsidR="001C6AAD">
        <w:t xml:space="preserve">incidents in A49, total </w:t>
      </w:r>
      <w:r>
        <w:t xml:space="preserve">of </w:t>
      </w:r>
      <w:r w:rsidR="00303ABC">
        <w:t xml:space="preserve">time </w:t>
      </w:r>
      <w:r w:rsidR="00B559BE">
        <w:t xml:space="preserve">from call connect </w:t>
      </w:r>
      <w:r w:rsidR="001C6AAD">
        <w:t xml:space="preserve">until CPR </w:t>
      </w:r>
      <w:r>
        <w:t xml:space="preserve">is </w:t>
      </w:r>
      <w:r w:rsidR="001C6AAD">
        <w:t>started by a bystander</w:t>
      </w:r>
      <w:r w:rsidR="00B5279E">
        <w:t>.</w:t>
      </w:r>
    </w:p>
    <w:p w14:paraId="50968205" w14:textId="77777777" w:rsidR="00303ABC" w:rsidRDefault="00303ABC" w:rsidP="00303ABC">
      <w:pPr>
        <w:pStyle w:val="Heading3"/>
      </w:pPr>
      <w:r>
        <w:t xml:space="preserve">Mean time to </w:t>
      </w:r>
      <w:r w:rsidR="00B47539">
        <w:t xml:space="preserve">bystander </w:t>
      </w:r>
      <w:r>
        <w:t>CPR</w:t>
      </w:r>
    </w:p>
    <w:p w14:paraId="3906CC50" w14:textId="77777777" w:rsidR="001C6AAD" w:rsidRDefault="00687FCC" w:rsidP="001C6AAD">
      <w:pPr>
        <w:pStyle w:val="BodyText"/>
      </w:pPr>
      <w:r>
        <w:t>For all</w:t>
      </w:r>
      <w:r w:rsidR="001C6AAD">
        <w:t xml:space="preserve"> incidents in A49, the mean average time </w:t>
      </w:r>
      <w:r w:rsidR="00B559BE">
        <w:t xml:space="preserve">from call connect </w:t>
      </w:r>
      <w:r w:rsidR="001C6AAD">
        <w:t xml:space="preserve">until CPR </w:t>
      </w:r>
      <w:r>
        <w:t xml:space="preserve">is </w:t>
      </w:r>
      <w:r w:rsidR="001C6AAD">
        <w:t>started by a bystander</w:t>
      </w:r>
      <w:r w:rsidR="00B5279E">
        <w:t>.</w:t>
      </w:r>
    </w:p>
    <w:p w14:paraId="54D8F260" w14:textId="77777777" w:rsidR="00541CB5" w:rsidRDefault="00541CB5" w:rsidP="00541CB5">
      <w:pPr>
        <w:pStyle w:val="Heading3"/>
      </w:pPr>
      <w:r>
        <w:t xml:space="preserve">90th centile time to </w:t>
      </w:r>
      <w:r w:rsidR="00B47539">
        <w:t xml:space="preserve">bystander </w:t>
      </w:r>
      <w:r>
        <w:t>CPR</w:t>
      </w:r>
    </w:p>
    <w:p w14:paraId="21D73A7F" w14:textId="77777777" w:rsidR="00304231" w:rsidRDefault="00687FCC" w:rsidP="00C67692">
      <w:pPr>
        <w:pStyle w:val="BodyText"/>
        <w:sectPr w:rsidR="00304231" w:rsidSect="00B32AF1">
          <w:pgSz w:w="11906" w:h="16838"/>
          <w:pgMar w:top="1440" w:right="1440" w:bottom="1440" w:left="1440" w:header="708" w:footer="708" w:gutter="0"/>
          <w:cols w:space="708"/>
          <w:docGrid w:linePitch="360"/>
        </w:sectPr>
      </w:pPr>
      <w:r>
        <w:t xml:space="preserve">For </w:t>
      </w:r>
      <w:r w:rsidR="001C6AAD">
        <w:t xml:space="preserve">all incidents in A49, the 90th centile time </w:t>
      </w:r>
      <w:r w:rsidR="00B559BE">
        <w:t xml:space="preserve">from call connect </w:t>
      </w:r>
      <w:r w:rsidR="001C6AAD">
        <w:t>until CPR started by a bystander</w:t>
      </w:r>
      <w:r w:rsidR="00B5279E">
        <w:t>.</w:t>
      </w:r>
    </w:p>
    <w:p w14:paraId="58EBEA02" w14:textId="77777777" w:rsidR="00541CB5" w:rsidRDefault="00183015" w:rsidP="006852CF">
      <w:pPr>
        <w:pStyle w:val="Heading1"/>
      </w:pPr>
      <w:r>
        <w:t xml:space="preserve">Section </w:t>
      </w:r>
      <w:r w:rsidR="00C34657">
        <w:t>9</w:t>
      </w:r>
      <w:r>
        <w:t xml:space="preserve">: </w:t>
      </w:r>
      <w:r w:rsidR="00541CB5">
        <w:t>Transport</w:t>
      </w:r>
    </w:p>
    <w:p w14:paraId="6D7D40B1" w14:textId="77777777" w:rsidR="001C6AAD" w:rsidRDefault="001C6AAD" w:rsidP="001C6AAD">
      <w:pPr>
        <w:pStyle w:val="BodyText"/>
      </w:pPr>
      <w:r>
        <w:t>For A53 to A5</w:t>
      </w:r>
      <w:r w:rsidR="00413B1D">
        <w:t>6</w:t>
      </w:r>
      <w:r>
        <w:t>, count one for a single incident, even if there is more than one call to 999, and/or more than one patient transported.</w:t>
      </w:r>
    </w:p>
    <w:p w14:paraId="7927AAB4" w14:textId="1813F6C2" w:rsidR="00BE45B4" w:rsidRDefault="00BE45B4" w:rsidP="00BE45B4">
      <w:pPr>
        <w:pStyle w:val="BodyText"/>
      </w:pPr>
      <w:r>
        <w:t xml:space="preserve">The recommended See &amp; Convey rate is (A53+A54) / </w:t>
      </w:r>
      <w:r w:rsidR="003C2F59">
        <w:t>A7</w:t>
      </w:r>
      <w:r>
        <w:t>.</w:t>
      </w:r>
    </w:p>
    <w:p w14:paraId="01CCA485" w14:textId="725802FF" w:rsidR="00BE45B4" w:rsidRDefault="0014295B" w:rsidP="001C6AAD">
      <w:pPr>
        <w:pStyle w:val="BodyText"/>
      </w:pPr>
      <w:r>
        <w:t>The recommended See &amp; Treat rate is A55 /</w:t>
      </w:r>
      <w:r w:rsidR="00C56402">
        <w:t xml:space="preserve"> </w:t>
      </w:r>
      <w:r w:rsidR="003C2F59">
        <w:t>A7</w:t>
      </w:r>
      <w:r w:rsidR="00BE45B4">
        <w:t>.</w:t>
      </w:r>
    </w:p>
    <w:p w14:paraId="22D02FCD" w14:textId="568D7588" w:rsidR="001C6AAD" w:rsidRDefault="001C6AAD" w:rsidP="001C6AAD">
      <w:pPr>
        <w:pStyle w:val="BodyText"/>
      </w:pPr>
      <w:r w:rsidRPr="00AC532F">
        <w:t xml:space="preserve">Include only those incidents which resulted in a patient being conveyed as a result of </w:t>
      </w:r>
      <w:r>
        <w:t xml:space="preserve">a </w:t>
      </w:r>
      <w:r w:rsidRPr="00AC532F">
        <w:t xml:space="preserve">call made by a member of the public or organisation, or transferred </w:t>
      </w:r>
      <w:r w:rsidR="00196709" w:rsidRPr="00AC532F">
        <w:t xml:space="preserve">electronically </w:t>
      </w:r>
      <w:r w:rsidRPr="00AC532F">
        <w:t>to the CAD system from another CAD system</w:t>
      </w:r>
      <w:r>
        <w:t>, or</w:t>
      </w:r>
      <w:r w:rsidRPr="00AC532F">
        <w:t xml:space="preserve"> as a result of a referral by an HCP</w:t>
      </w:r>
      <w:r>
        <w:t>.</w:t>
      </w:r>
    </w:p>
    <w:p w14:paraId="27C688C5" w14:textId="77777777" w:rsidR="001C6AAD" w:rsidRDefault="001C6AAD" w:rsidP="00541CB5">
      <w:pPr>
        <w:pStyle w:val="Heading3"/>
      </w:pPr>
      <w:r>
        <w:t>Incidents with transport to ED</w:t>
      </w:r>
    </w:p>
    <w:p w14:paraId="0679A804" w14:textId="44A68FC0" w:rsidR="000569B7" w:rsidRDefault="00541CB5" w:rsidP="001C6AAD">
      <w:pPr>
        <w:pStyle w:val="BodyText"/>
      </w:pPr>
      <w:r>
        <w:t xml:space="preserve">Count of incidents with </w:t>
      </w:r>
      <w:r w:rsidR="001C6AAD">
        <w:t xml:space="preserve">any </w:t>
      </w:r>
      <w:r>
        <w:t xml:space="preserve">patients transported to </w:t>
      </w:r>
      <w:r w:rsidR="001C6AAD">
        <w:t xml:space="preserve">an </w:t>
      </w:r>
      <w:r w:rsidR="006A1280">
        <w:t>Emergency Department</w:t>
      </w:r>
      <w:r w:rsidR="008B309B">
        <w:t xml:space="preserve"> (ED)</w:t>
      </w:r>
      <w:r w:rsidR="000569B7">
        <w:t>, including</w:t>
      </w:r>
      <w:r w:rsidR="00F279AD" w:rsidRPr="00F279AD">
        <w:t xml:space="preserve"> </w:t>
      </w:r>
      <w:r w:rsidR="000569B7">
        <w:t>incidents where the department transported to is not specified.</w:t>
      </w:r>
      <w:r w:rsidR="000569B7" w:rsidRPr="00F279AD">
        <w:t xml:space="preserve"> </w:t>
      </w:r>
      <w:r w:rsidR="00F279AD" w:rsidRPr="00F279AD">
        <w:t xml:space="preserve">Include </w:t>
      </w:r>
      <w:hyperlink w:anchor="_Incidents_with_non-emergency" w:history="1">
        <w:r w:rsidR="006B7BB6" w:rsidRPr="005F05FF">
          <w:rPr>
            <w:rStyle w:val="Hyperlink"/>
          </w:rPr>
          <w:t>incidents with non-emergency conveyance</w:t>
        </w:r>
      </w:hyperlink>
      <w:r w:rsidR="00F279AD">
        <w:t xml:space="preserve"> </w:t>
      </w:r>
      <w:r w:rsidR="00F279AD" w:rsidRPr="00F279AD">
        <w:t>to ED</w:t>
      </w:r>
      <w:r w:rsidR="00F279AD">
        <w:t>.</w:t>
      </w:r>
    </w:p>
    <w:p w14:paraId="042F48A5" w14:textId="77777777" w:rsidR="00541CB5" w:rsidRDefault="008B309B" w:rsidP="001C6AAD">
      <w:pPr>
        <w:pStyle w:val="BodyText"/>
      </w:pPr>
      <w:r>
        <w:t>ED includes</w:t>
      </w:r>
      <w:r w:rsidRPr="008B309B">
        <w:t xml:space="preserve"> </w:t>
      </w:r>
      <w:r>
        <w:t xml:space="preserve">stroke </w:t>
      </w:r>
      <w:r w:rsidR="00381997">
        <w:t xml:space="preserve">and </w:t>
      </w:r>
      <w:r w:rsidRPr="008B309B">
        <w:t>Primary Percutaneous Coronary Intervention</w:t>
      </w:r>
      <w:r w:rsidR="00381997">
        <w:t xml:space="preserve"> units</w:t>
      </w:r>
      <w:r>
        <w:t>.</w:t>
      </w:r>
    </w:p>
    <w:p w14:paraId="25029558" w14:textId="77777777" w:rsidR="003934DC" w:rsidRDefault="00541CB5" w:rsidP="00541CB5">
      <w:pPr>
        <w:pStyle w:val="BodyText"/>
      </w:pPr>
      <w:r>
        <w:t>If a</w:t>
      </w:r>
      <w:r w:rsidR="00640EDF">
        <w:t xml:space="preserve"> single</w:t>
      </w:r>
      <w:r>
        <w:t xml:space="preserve"> incident ha</w:t>
      </w:r>
      <w:r w:rsidR="00477DCC">
        <w:t>d</w:t>
      </w:r>
      <w:r>
        <w:t xml:space="preserve"> one or more patients transported to </w:t>
      </w:r>
      <w:r w:rsidR="006A1280">
        <w:t xml:space="preserve">an </w:t>
      </w:r>
      <w:r w:rsidR="00694B64">
        <w:t>ED</w:t>
      </w:r>
      <w:r w:rsidR="00640EDF">
        <w:t>,</w:t>
      </w:r>
      <w:r>
        <w:t xml:space="preserve"> </w:t>
      </w:r>
      <w:r w:rsidR="00B43E9F">
        <w:t>but also one or</w:t>
      </w:r>
      <w:r>
        <w:t xml:space="preserve"> more patients transport</w:t>
      </w:r>
      <w:r w:rsidR="00640EDF">
        <w:t>ed</w:t>
      </w:r>
      <w:r>
        <w:t xml:space="preserve"> to another facility, </w:t>
      </w:r>
      <w:r w:rsidR="00640EDF">
        <w:t xml:space="preserve">count </w:t>
      </w:r>
      <w:r>
        <w:t>the inci</w:t>
      </w:r>
      <w:r w:rsidR="00640EDF">
        <w:t>dent only in A53</w:t>
      </w:r>
      <w:r w:rsidR="00B43E9F">
        <w:t>, and not in A54</w:t>
      </w:r>
      <w:r w:rsidR="003934DC">
        <w:t>.</w:t>
      </w:r>
    </w:p>
    <w:p w14:paraId="6F281BAB" w14:textId="77777777" w:rsidR="001C6AAD" w:rsidRDefault="001C6AAD" w:rsidP="00541CB5">
      <w:pPr>
        <w:pStyle w:val="Heading3"/>
      </w:pPr>
      <w:r>
        <w:t>Incidents with transport not to ED</w:t>
      </w:r>
    </w:p>
    <w:p w14:paraId="70BA72FE" w14:textId="77777777" w:rsidR="006A1280" w:rsidRDefault="00541CB5" w:rsidP="00541CB5">
      <w:pPr>
        <w:pStyle w:val="BodyText"/>
      </w:pPr>
      <w:r>
        <w:t xml:space="preserve">Count of incidents with </w:t>
      </w:r>
      <w:r w:rsidR="001C6AAD">
        <w:t xml:space="preserve">any </w:t>
      </w:r>
      <w:r>
        <w:t>patient</w:t>
      </w:r>
      <w:r w:rsidR="001C6AAD">
        <w:t>s</w:t>
      </w:r>
      <w:r>
        <w:t xml:space="preserve"> transported to </w:t>
      </w:r>
      <w:r w:rsidR="001C6AAD">
        <w:t xml:space="preserve">any </w:t>
      </w:r>
      <w:r>
        <w:t>facility</w:t>
      </w:r>
      <w:r w:rsidR="001C6AAD">
        <w:t xml:space="preserve"> other than an Emergency Department, including, but not limited to</w:t>
      </w:r>
      <w:r w:rsidR="006A1280">
        <w:t>:</w:t>
      </w:r>
    </w:p>
    <w:p w14:paraId="3BDA6E7D" w14:textId="1C9F14DC" w:rsidR="006A1280" w:rsidRDefault="00694B64" w:rsidP="006A1280">
      <w:pPr>
        <w:pStyle w:val="ListBullet2"/>
      </w:pPr>
      <w:r>
        <w:t xml:space="preserve">MIU, </w:t>
      </w:r>
      <w:r w:rsidR="003A3E69">
        <w:t xml:space="preserve">whether run by an </w:t>
      </w:r>
      <w:r w:rsidR="00E27E4E">
        <w:t>A</w:t>
      </w:r>
      <w:r w:rsidR="003A3E69">
        <w:t xml:space="preserve">cute </w:t>
      </w:r>
      <w:r w:rsidR="00E27E4E">
        <w:t>T</w:t>
      </w:r>
      <w:r w:rsidR="003A3E69">
        <w:t>ru</w:t>
      </w:r>
      <w:r>
        <w:t>st or primary care organisation</w:t>
      </w:r>
      <w:r w:rsidR="008B309B">
        <w:t>;</w:t>
      </w:r>
    </w:p>
    <w:p w14:paraId="45CD80C2" w14:textId="77777777" w:rsidR="00D66977" w:rsidRDefault="00D66977" w:rsidP="006A1280">
      <w:pPr>
        <w:pStyle w:val="ListBullet2"/>
      </w:pPr>
      <w:r>
        <w:t>Emergency, Medical</w:t>
      </w:r>
      <w:r w:rsidR="006A1280">
        <w:t>,</w:t>
      </w:r>
      <w:r>
        <w:t xml:space="preserve"> or Surgical Assessment Unit (EAU, MAU, SAU)</w:t>
      </w:r>
      <w:r w:rsidR="008B309B">
        <w:t>;</w:t>
      </w:r>
    </w:p>
    <w:p w14:paraId="77D17A06" w14:textId="77777777" w:rsidR="008B309B" w:rsidRDefault="00694B64" w:rsidP="008B309B">
      <w:pPr>
        <w:pStyle w:val="ListBullet2"/>
      </w:pPr>
      <w:r>
        <w:t>Walk-</w:t>
      </w:r>
      <w:r w:rsidR="006A1280">
        <w:t>in centres</w:t>
      </w:r>
      <w:r>
        <w:t>;</w:t>
      </w:r>
    </w:p>
    <w:p w14:paraId="3A43396F" w14:textId="77777777" w:rsidR="008B309B" w:rsidRDefault="006A1280" w:rsidP="008B309B">
      <w:pPr>
        <w:pStyle w:val="ListBullet2"/>
      </w:pPr>
      <w:r>
        <w:t>Transport from hospital to hospice</w:t>
      </w:r>
      <w:r w:rsidR="008B309B">
        <w:t>.</w:t>
      </w:r>
    </w:p>
    <w:p w14:paraId="3FFF178A" w14:textId="08218B1E" w:rsidR="008B309B" w:rsidRPr="006A1280" w:rsidRDefault="008B309B" w:rsidP="008B309B">
      <w:pPr>
        <w:pStyle w:val="BodyText"/>
      </w:pPr>
      <w:r w:rsidRPr="008B309B">
        <w:t xml:space="preserve">Include </w:t>
      </w:r>
      <w:hyperlink w:anchor="_Incidents_with_non-emergency" w:history="1">
        <w:r w:rsidR="00E753F4" w:rsidRPr="005F05FF">
          <w:rPr>
            <w:rStyle w:val="Hyperlink"/>
          </w:rPr>
          <w:t>incidents with non-emergency conveyance</w:t>
        </w:r>
      </w:hyperlink>
      <w:r w:rsidR="007E2FCB">
        <w:t xml:space="preserve"> </w:t>
      </w:r>
      <w:r w:rsidR="007E2FCB" w:rsidRPr="00F279AD">
        <w:t xml:space="preserve">to </w:t>
      </w:r>
      <w:r w:rsidRPr="008B309B">
        <w:t>any of these destinations</w:t>
      </w:r>
      <w:r>
        <w:t>.</w:t>
      </w:r>
    </w:p>
    <w:p w14:paraId="3836D629" w14:textId="77777777" w:rsidR="001C6AAD" w:rsidRDefault="001C6AAD" w:rsidP="00541CB5">
      <w:pPr>
        <w:pStyle w:val="Heading3"/>
      </w:pPr>
      <w:r>
        <w:t>Incidents with no transport</w:t>
      </w:r>
    </w:p>
    <w:p w14:paraId="2AC2B23F" w14:textId="77777777" w:rsidR="00AC532F" w:rsidRDefault="00541CB5" w:rsidP="008D7373">
      <w:pPr>
        <w:pStyle w:val="BodyText"/>
      </w:pPr>
      <w:r>
        <w:t xml:space="preserve">Count of incidents </w:t>
      </w:r>
      <w:r w:rsidR="00303ABC">
        <w:t xml:space="preserve">with </w:t>
      </w:r>
      <w:r w:rsidR="009328C6">
        <w:t>face-to-face</w:t>
      </w:r>
      <w:r w:rsidR="00303ABC">
        <w:t xml:space="preserve"> re</w:t>
      </w:r>
      <w:r w:rsidR="004F1F64">
        <w:t xml:space="preserve">sponse, but </w:t>
      </w:r>
      <w:r>
        <w:t>no patients transported</w:t>
      </w:r>
      <w:r w:rsidR="004F1F64">
        <w:t>, including</w:t>
      </w:r>
      <w:r w:rsidR="00AC532F">
        <w:t>:</w:t>
      </w:r>
    </w:p>
    <w:p w14:paraId="0A3CDC14" w14:textId="77777777" w:rsidR="008D7373" w:rsidRDefault="008D7373" w:rsidP="00AC532F">
      <w:pPr>
        <w:pStyle w:val="ListBullet2"/>
      </w:pPr>
      <w:r>
        <w:t xml:space="preserve">patient(s) </w:t>
      </w:r>
      <w:r w:rsidR="00262BCF">
        <w:t>refused treatment</w:t>
      </w:r>
      <w:r w:rsidR="00196709">
        <w:t>, deceased,</w:t>
      </w:r>
      <w:r w:rsidR="00FE2ED3">
        <w:t xml:space="preserve"> or</w:t>
      </w:r>
      <w:r w:rsidR="00262BCF">
        <w:t xml:space="preserve"> </w:t>
      </w:r>
      <w:r>
        <w:t>could not be found</w:t>
      </w:r>
      <w:r w:rsidR="00262BCF">
        <w:t>,</w:t>
      </w:r>
      <w:r>
        <w:t xml:space="preserve"> o</w:t>
      </w:r>
      <w:r w:rsidR="00AC532F">
        <w:t>r</w:t>
      </w:r>
      <w:r w:rsidR="00CC4A79" w:rsidRPr="00C81514">
        <w:rPr>
          <w:strike/>
          <w:color w:val="FF0000"/>
        </w:rPr>
        <w:t xml:space="preserve"> </w:t>
      </w:r>
    </w:p>
    <w:p w14:paraId="5BD39FCA" w14:textId="77777777" w:rsidR="00AC532F" w:rsidRDefault="00AC532F" w:rsidP="008D7373">
      <w:pPr>
        <w:pStyle w:val="ListBullet2"/>
      </w:pPr>
      <w:r>
        <w:t>Ambulance Service staff arranged an appointment</w:t>
      </w:r>
      <w:r w:rsidR="00CC4A79" w:rsidRPr="00CC4A79">
        <w:t xml:space="preserve"> </w:t>
      </w:r>
      <w:r w:rsidR="00CC4A79">
        <w:t>for the patient,</w:t>
      </w:r>
      <w:r>
        <w:t xml:space="preserve"> or </w:t>
      </w:r>
      <w:r w:rsidR="00CC4A79">
        <w:t xml:space="preserve">a follow-up </w:t>
      </w:r>
      <w:r>
        <w:t>home visit;</w:t>
      </w:r>
      <w:r w:rsidR="00CC4A79">
        <w:t xml:space="preserve"> or</w:t>
      </w:r>
    </w:p>
    <w:p w14:paraId="60A5EEE2" w14:textId="77777777" w:rsidR="00AC532F" w:rsidRDefault="00AC532F" w:rsidP="008D7373">
      <w:pPr>
        <w:pStyle w:val="ListBullet2"/>
      </w:pPr>
      <w:r>
        <w:t>Ambulance Service staff attended an incident and gave advice, without clinical intervention.</w:t>
      </w:r>
    </w:p>
    <w:p w14:paraId="58CA4086" w14:textId="77777777" w:rsidR="004D35A3" w:rsidRPr="008D7373" w:rsidRDefault="004D35A3" w:rsidP="004D35A3">
      <w:pPr>
        <w:pStyle w:val="Heading3"/>
      </w:pPr>
      <w:r>
        <w:t>Incidents with face to face response</w:t>
      </w:r>
    </w:p>
    <w:p w14:paraId="621A2826" w14:textId="77777777" w:rsidR="004D35A3" w:rsidRDefault="004D35A3" w:rsidP="004D35A3">
      <w:pPr>
        <w:pStyle w:val="BodyText"/>
      </w:pPr>
      <w:r>
        <w:t>Definition: A56 = A53 + A54 + A55</w:t>
      </w:r>
    </w:p>
    <w:p w14:paraId="0EF4CD53" w14:textId="77777777" w:rsidR="00105F46" w:rsidRDefault="00105F46" w:rsidP="006852CF">
      <w:pPr>
        <w:pStyle w:val="Heading1"/>
        <w:sectPr w:rsidR="00105F46" w:rsidSect="00B32AF1">
          <w:pgSz w:w="11906" w:h="16838"/>
          <w:pgMar w:top="1440" w:right="1440" w:bottom="1440" w:left="1440" w:header="708" w:footer="708" w:gutter="0"/>
          <w:cols w:space="708"/>
          <w:docGrid w:linePitch="360"/>
        </w:sectPr>
      </w:pPr>
    </w:p>
    <w:p w14:paraId="208320FC" w14:textId="791AA9E6" w:rsidR="00F31A96" w:rsidRDefault="00304231" w:rsidP="006852CF">
      <w:pPr>
        <w:pStyle w:val="Heading1"/>
      </w:pPr>
      <w:r>
        <w:t xml:space="preserve">Section </w:t>
      </w:r>
      <w:r w:rsidR="00C34657">
        <w:t>10</w:t>
      </w:r>
      <w:r>
        <w:t xml:space="preserve">: </w:t>
      </w:r>
      <w:r w:rsidR="00CF659B">
        <w:t>Abbreviations</w:t>
      </w:r>
      <w:r w:rsidR="00F056FF">
        <w:t>, glossary / data dictionary</w:t>
      </w:r>
    </w:p>
    <w:tbl>
      <w:tblPr>
        <w:tblStyle w:val="TableGrid"/>
        <w:tblW w:w="9071"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3005"/>
        <w:gridCol w:w="6066"/>
      </w:tblGrid>
      <w:tr w:rsidR="00FC740F" w14:paraId="182449EB" w14:textId="77777777" w:rsidTr="00821690">
        <w:trPr>
          <w:cantSplit/>
        </w:trPr>
        <w:tc>
          <w:tcPr>
            <w:tcW w:w="3005" w:type="dxa"/>
          </w:tcPr>
          <w:p w14:paraId="61951B97" w14:textId="77777777" w:rsidR="00FC740F" w:rsidRDefault="00FC740F" w:rsidP="0043657D">
            <w:pPr>
              <w:pStyle w:val="NoSpacing"/>
            </w:pPr>
            <w:r>
              <w:t>NEAS, NWAS, YAS, EMAS, WMAS, EastAmb, LAS, SECAmb, SCAS, SWAS, IOW</w:t>
            </w:r>
          </w:p>
        </w:tc>
        <w:tc>
          <w:tcPr>
            <w:tcW w:w="6066" w:type="dxa"/>
          </w:tcPr>
          <w:p w14:paraId="41A21EF1" w14:textId="77777777" w:rsidR="00105F46" w:rsidRDefault="00FC740F" w:rsidP="0043657D">
            <w:pPr>
              <w:pStyle w:val="NoSpacing"/>
            </w:pPr>
            <w:r>
              <w:t>Nor</w:t>
            </w:r>
            <w:r w:rsidR="00105F46">
              <w:t>th East, North West, Yorkshire,</w:t>
            </w:r>
          </w:p>
          <w:p w14:paraId="732CA193" w14:textId="77777777" w:rsidR="00105F46" w:rsidRDefault="00FC740F" w:rsidP="0043657D">
            <w:pPr>
              <w:pStyle w:val="NoSpacing"/>
            </w:pPr>
            <w:r>
              <w:t>East Midlands, West Midlands, East of England, London, S</w:t>
            </w:r>
            <w:r w:rsidR="00105F46">
              <w:t>outh East Coast, South Central,</w:t>
            </w:r>
          </w:p>
          <w:p w14:paraId="30506AF7" w14:textId="068B7143" w:rsidR="00FC740F" w:rsidRDefault="00FC740F" w:rsidP="00105F46">
            <w:pPr>
              <w:pStyle w:val="NoSpacing"/>
            </w:pPr>
            <w:r>
              <w:t xml:space="preserve">South Western, Isle of Wight Ambulance Services </w:t>
            </w:r>
          </w:p>
        </w:tc>
      </w:tr>
    </w:tbl>
    <w:p w14:paraId="43347B16" w14:textId="77777777" w:rsidR="00FC740F" w:rsidRPr="00FC740F" w:rsidRDefault="00FC740F" w:rsidP="00FC740F">
      <w:pPr>
        <w:pStyle w:val="NoSpacing"/>
      </w:pPr>
    </w:p>
    <w:tbl>
      <w:tblPr>
        <w:tblStyle w:val="TableGrid"/>
        <w:tblW w:w="9039" w:type="dxa"/>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959"/>
        <w:gridCol w:w="8080"/>
      </w:tblGrid>
      <w:tr w:rsidR="006D1CDB" w14:paraId="6826F140" w14:textId="77777777" w:rsidTr="00821690">
        <w:trPr>
          <w:cantSplit/>
        </w:trPr>
        <w:tc>
          <w:tcPr>
            <w:tcW w:w="959" w:type="dxa"/>
          </w:tcPr>
          <w:p w14:paraId="4F62D61B" w14:textId="77777777" w:rsidR="006D1CDB" w:rsidRDefault="006D1CDB" w:rsidP="007F00EC">
            <w:pPr>
              <w:pStyle w:val="NoSpacing"/>
            </w:pPr>
            <w:r>
              <w:t>AQI</w:t>
            </w:r>
          </w:p>
        </w:tc>
        <w:tc>
          <w:tcPr>
            <w:tcW w:w="8080" w:type="dxa"/>
          </w:tcPr>
          <w:p w14:paraId="1DBC9EDB" w14:textId="77777777" w:rsidR="006D1CDB" w:rsidRDefault="006D1CDB" w:rsidP="007F00EC">
            <w:pPr>
              <w:pStyle w:val="NoSpacing"/>
            </w:pPr>
            <w:r>
              <w:t>Ambulance Quality Indicators</w:t>
            </w:r>
          </w:p>
        </w:tc>
      </w:tr>
      <w:tr w:rsidR="006D1CDB" w14:paraId="7CB7DB9A" w14:textId="77777777" w:rsidTr="00821690">
        <w:trPr>
          <w:cantSplit/>
        </w:trPr>
        <w:tc>
          <w:tcPr>
            <w:tcW w:w="959" w:type="dxa"/>
          </w:tcPr>
          <w:p w14:paraId="39021F35" w14:textId="77777777" w:rsidR="006D1CDB" w:rsidRDefault="006D1CDB" w:rsidP="007F00EC">
            <w:pPr>
              <w:pStyle w:val="NoSpacing"/>
            </w:pPr>
            <w:r>
              <w:t>ARP</w:t>
            </w:r>
          </w:p>
        </w:tc>
        <w:tc>
          <w:tcPr>
            <w:tcW w:w="8080" w:type="dxa"/>
          </w:tcPr>
          <w:p w14:paraId="217410DE" w14:textId="77777777" w:rsidR="006D1CDB" w:rsidRDefault="006D1CDB" w:rsidP="007F00EC">
            <w:pPr>
              <w:pStyle w:val="NoSpacing"/>
            </w:pPr>
            <w:r>
              <w:t>Ambulance Response Programme</w:t>
            </w:r>
          </w:p>
        </w:tc>
      </w:tr>
      <w:tr w:rsidR="00F03FB2" w14:paraId="260458B0" w14:textId="77777777" w:rsidTr="00821690">
        <w:trPr>
          <w:cantSplit/>
        </w:trPr>
        <w:tc>
          <w:tcPr>
            <w:tcW w:w="959" w:type="dxa"/>
          </w:tcPr>
          <w:p w14:paraId="3470A3AC" w14:textId="77777777" w:rsidR="00F03FB2" w:rsidRDefault="00F03FB2" w:rsidP="007F00EC">
            <w:pPr>
              <w:pStyle w:val="NoSpacing"/>
            </w:pPr>
            <w:r>
              <w:t>BASIC</w:t>
            </w:r>
          </w:p>
        </w:tc>
        <w:tc>
          <w:tcPr>
            <w:tcW w:w="8080" w:type="dxa"/>
          </w:tcPr>
          <w:p w14:paraId="6043D9B8" w14:textId="77777777" w:rsidR="00F03FB2" w:rsidRDefault="00F03FB2" w:rsidP="00F03FB2">
            <w:pPr>
              <w:pStyle w:val="NoSpacing"/>
            </w:pPr>
            <w:r>
              <w:t>British Association for Immediate Care</w:t>
            </w:r>
          </w:p>
        </w:tc>
      </w:tr>
      <w:tr w:rsidR="006D1CDB" w14:paraId="33546A45" w14:textId="77777777" w:rsidTr="00821690">
        <w:trPr>
          <w:cantSplit/>
        </w:trPr>
        <w:tc>
          <w:tcPr>
            <w:tcW w:w="959" w:type="dxa"/>
          </w:tcPr>
          <w:p w14:paraId="0FCB208C" w14:textId="77777777" w:rsidR="006D1CDB" w:rsidRDefault="006D1CDB" w:rsidP="007F00EC">
            <w:pPr>
              <w:pStyle w:val="NoSpacing"/>
            </w:pPr>
            <w:r>
              <w:t>CAD</w:t>
            </w:r>
          </w:p>
        </w:tc>
        <w:tc>
          <w:tcPr>
            <w:tcW w:w="8080" w:type="dxa"/>
          </w:tcPr>
          <w:p w14:paraId="7EAC4EB5" w14:textId="77777777" w:rsidR="006D1CDB" w:rsidRDefault="006D1CDB" w:rsidP="007F00EC">
            <w:pPr>
              <w:pStyle w:val="NoSpacing"/>
            </w:pPr>
            <w:r>
              <w:t>Computer-Aided Dispatch</w:t>
            </w:r>
          </w:p>
        </w:tc>
      </w:tr>
      <w:tr w:rsidR="006D1CDB" w14:paraId="73AF7BA4" w14:textId="77777777" w:rsidTr="00821690">
        <w:trPr>
          <w:cantSplit/>
        </w:trPr>
        <w:tc>
          <w:tcPr>
            <w:tcW w:w="959" w:type="dxa"/>
          </w:tcPr>
          <w:p w14:paraId="487D9DED" w14:textId="77777777" w:rsidR="006D1CDB" w:rsidRDefault="006D1CDB" w:rsidP="007F00EC">
            <w:pPr>
              <w:pStyle w:val="NoSpacing"/>
            </w:pPr>
            <w:r>
              <w:t>CAS</w:t>
            </w:r>
          </w:p>
        </w:tc>
        <w:tc>
          <w:tcPr>
            <w:tcW w:w="8080" w:type="dxa"/>
          </w:tcPr>
          <w:p w14:paraId="1620642B" w14:textId="77777777" w:rsidR="006D1CDB" w:rsidRDefault="006D1CDB" w:rsidP="007F00EC">
            <w:pPr>
              <w:pStyle w:val="NoSpacing"/>
            </w:pPr>
            <w:r>
              <w:t>Clinical Assessment Service</w:t>
            </w:r>
          </w:p>
        </w:tc>
      </w:tr>
      <w:tr w:rsidR="006D1CDB" w14:paraId="1AF3C7FC" w14:textId="77777777" w:rsidTr="00821690">
        <w:trPr>
          <w:cantSplit/>
        </w:trPr>
        <w:tc>
          <w:tcPr>
            <w:tcW w:w="959" w:type="dxa"/>
          </w:tcPr>
          <w:p w14:paraId="2E27415C" w14:textId="77777777" w:rsidR="006D1CDB" w:rsidRDefault="006D1CDB" w:rsidP="007F00EC">
            <w:pPr>
              <w:pStyle w:val="NoSpacing"/>
            </w:pPr>
            <w:r>
              <w:t>CFR</w:t>
            </w:r>
          </w:p>
        </w:tc>
        <w:tc>
          <w:tcPr>
            <w:tcW w:w="8080" w:type="dxa"/>
          </w:tcPr>
          <w:p w14:paraId="330326C9" w14:textId="77777777" w:rsidR="006D1CDB" w:rsidRDefault="006D1CDB" w:rsidP="007F00EC">
            <w:pPr>
              <w:pStyle w:val="NoSpacing"/>
            </w:pPr>
            <w:r>
              <w:t>Community First Responder</w:t>
            </w:r>
          </w:p>
        </w:tc>
      </w:tr>
      <w:tr w:rsidR="006D1CDB" w14:paraId="3918B0F0" w14:textId="77777777" w:rsidTr="00821690">
        <w:trPr>
          <w:cantSplit/>
          <w:trHeight w:val="278"/>
        </w:trPr>
        <w:tc>
          <w:tcPr>
            <w:tcW w:w="959" w:type="dxa"/>
          </w:tcPr>
          <w:p w14:paraId="154BD5A8" w14:textId="77777777" w:rsidR="006D1CDB" w:rsidRDefault="006D1CDB" w:rsidP="0043657D">
            <w:pPr>
              <w:pStyle w:val="NoSpacing"/>
            </w:pPr>
            <w:r>
              <w:t>CRS</w:t>
            </w:r>
          </w:p>
        </w:tc>
        <w:tc>
          <w:tcPr>
            <w:tcW w:w="8080" w:type="dxa"/>
          </w:tcPr>
          <w:p w14:paraId="19504FF9" w14:textId="77777777" w:rsidR="006D1CDB" w:rsidRDefault="006D1CDB" w:rsidP="0043657D">
            <w:pPr>
              <w:pStyle w:val="NoSpacing"/>
            </w:pPr>
            <w:r>
              <w:t>Co-Responder Scheme</w:t>
            </w:r>
          </w:p>
        </w:tc>
      </w:tr>
      <w:tr w:rsidR="006D1CDB" w14:paraId="35B7760D" w14:textId="77777777" w:rsidTr="00821690">
        <w:trPr>
          <w:cantSplit/>
        </w:trPr>
        <w:tc>
          <w:tcPr>
            <w:tcW w:w="959" w:type="dxa"/>
          </w:tcPr>
          <w:p w14:paraId="0348CAD9" w14:textId="77777777" w:rsidR="006D1CDB" w:rsidRDefault="006D1CDB" w:rsidP="006D1CDB">
            <w:pPr>
              <w:pStyle w:val="NoSpacing"/>
            </w:pPr>
            <w:r>
              <w:t>Dx</w:t>
            </w:r>
          </w:p>
        </w:tc>
        <w:tc>
          <w:tcPr>
            <w:tcW w:w="8080" w:type="dxa"/>
          </w:tcPr>
          <w:p w14:paraId="1A9A8A47" w14:textId="77777777" w:rsidR="006D1CDB" w:rsidRDefault="006D1CDB" w:rsidP="006D1CDB">
            <w:pPr>
              <w:pStyle w:val="NoSpacing"/>
            </w:pPr>
            <w:r>
              <w:t>Disposition</w:t>
            </w:r>
          </w:p>
        </w:tc>
      </w:tr>
      <w:tr w:rsidR="006D1CDB" w14:paraId="19FF05AA" w14:textId="77777777" w:rsidTr="00821690">
        <w:trPr>
          <w:cantSplit/>
        </w:trPr>
        <w:tc>
          <w:tcPr>
            <w:tcW w:w="959" w:type="dxa"/>
          </w:tcPr>
          <w:p w14:paraId="5A389A4D" w14:textId="77777777" w:rsidR="006D1CDB" w:rsidRDefault="006D1CDB" w:rsidP="007F00EC">
            <w:pPr>
              <w:pStyle w:val="NoSpacing"/>
            </w:pPr>
            <w:r>
              <w:t>EAU</w:t>
            </w:r>
          </w:p>
        </w:tc>
        <w:tc>
          <w:tcPr>
            <w:tcW w:w="8080" w:type="dxa"/>
          </w:tcPr>
          <w:p w14:paraId="4884640C" w14:textId="77777777" w:rsidR="006D1CDB" w:rsidRDefault="006D1CDB" w:rsidP="007F00EC">
            <w:pPr>
              <w:pStyle w:val="NoSpacing"/>
            </w:pPr>
            <w:r>
              <w:t>Emergency Assessment Unit</w:t>
            </w:r>
          </w:p>
        </w:tc>
      </w:tr>
      <w:tr w:rsidR="006D1CDB" w14:paraId="2044E59F" w14:textId="77777777" w:rsidTr="00821690">
        <w:trPr>
          <w:cantSplit/>
        </w:trPr>
        <w:tc>
          <w:tcPr>
            <w:tcW w:w="959" w:type="dxa"/>
          </w:tcPr>
          <w:p w14:paraId="67891469" w14:textId="77777777" w:rsidR="006D1CDB" w:rsidRDefault="006D1CDB" w:rsidP="007F00EC">
            <w:pPr>
              <w:pStyle w:val="NoSpacing"/>
            </w:pPr>
            <w:r>
              <w:t>ED</w:t>
            </w:r>
          </w:p>
        </w:tc>
        <w:tc>
          <w:tcPr>
            <w:tcW w:w="8080" w:type="dxa"/>
          </w:tcPr>
          <w:p w14:paraId="10E0EF31" w14:textId="77777777" w:rsidR="006D1CDB" w:rsidRDefault="006D1CDB" w:rsidP="007F00EC">
            <w:pPr>
              <w:pStyle w:val="NoSpacing"/>
            </w:pPr>
            <w:r>
              <w:t>Emergency Department</w:t>
            </w:r>
          </w:p>
        </w:tc>
      </w:tr>
      <w:tr w:rsidR="006D1CDB" w14:paraId="10E8BEDC" w14:textId="77777777" w:rsidTr="00821690">
        <w:trPr>
          <w:cantSplit/>
          <w:trHeight w:val="233"/>
        </w:trPr>
        <w:tc>
          <w:tcPr>
            <w:tcW w:w="959" w:type="dxa"/>
          </w:tcPr>
          <w:p w14:paraId="0E29CECB" w14:textId="77777777" w:rsidR="006D1CDB" w:rsidRDefault="006D1CDB" w:rsidP="007F00EC">
            <w:pPr>
              <w:pStyle w:val="NoSpacing"/>
            </w:pPr>
            <w:r>
              <w:t>EOC</w:t>
            </w:r>
          </w:p>
        </w:tc>
        <w:tc>
          <w:tcPr>
            <w:tcW w:w="8080" w:type="dxa"/>
          </w:tcPr>
          <w:p w14:paraId="74EF06E7" w14:textId="77777777" w:rsidR="006D1CDB" w:rsidRDefault="006D1CDB" w:rsidP="007F00EC">
            <w:pPr>
              <w:pStyle w:val="NoSpacing"/>
            </w:pPr>
            <w:r>
              <w:t>Emergency Operations Centre</w:t>
            </w:r>
          </w:p>
        </w:tc>
      </w:tr>
      <w:tr w:rsidR="006D1CDB" w14:paraId="5087D019" w14:textId="77777777" w:rsidTr="00821690">
        <w:trPr>
          <w:cantSplit/>
          <w:trHeight w:val="173"/>
        </w:trPr>
        <w:tc>
          <w:tcPr>
            <w:tcW w:w="959" w:type="dxa"/>
          </w:tcPr>
          <w:p w14:paraId="4BEEC9F9" w14:textId="77777777" w:rsidR="006D1CDB" w:rsidRDefault="006D1CDB" w:rsidP="007F00EC">
            <w:pPr>
              <w:pStyle w:val="NoSpacing"/>
            </w:pPr>
            <w:r>
              <w:t>HCP</w:t>
            </w:r>
          </w:p>
        </w:tc>
        <w:tc>
          <w:tcPr>
            <w:tcW w:w="8080" w:type="dxa"/>
          </w:tcPr>
          <w:p w14:paraId="22C73D4F" w14:textId="77777777" w:rsidR="006D1CDB" w:rsidRDefault="006D1CDB" w:rsidP="007F00EC">
            <w:pPr>
              <w:pStyle w:val="NoSpacing"/>
            </w:pPr>
            <w:r>
              <w:t>Healthcare Professional</w:t>
            </w:r>
          </w:p>
        </w:tc>
      </w:tr>
      <w:tr w:rsidR="006D1CDB" w14:paraId="2FF6D1C0" w14:textId="77777777" w:rsidTr="00821690">
        <w:trPr>
          <w:cantSplit/>
          <w:trHeight w:val="173"/>
        </w:trPr>
        <w:tc>
          <w:tcPr>
            <w:tcW w:w="959" w:type="dxa"/>
          </w:tcPr>
          <w:p w14:paraId="0547251B" w14:textId="77777777" w:rsidR="006D1CDB" w:rsidRDefault="006D1CDB" w:rsidP="006D1CDB">
            <w:pPr>
              <w:pStyle w:val="NoSpacing"/>
            </w:pPr>
            <w:r>
              <w:t>IFT</w:t>
            </w:r>
          </w:p>
        </w:tc>
        <w:tc>
          <w:tcPr>
            <w:tcW w:w="8080" w:type="dxa"/>
          </w:tcPr>
          <w:p w14:paraId="15671E01" w14:textId="77777777" w:rsidR="006D1CDB" w:rsidRDefault="006D1CDB" w:rsidP="006D1CDB">
            <w:pPr>
              <w:pStyle w:val="NoSpacing"/>
            </w:pPr>
            <w:r>
              <w:t>Inter-Facility Transfer</w:t>
            </w:r>
          </w:p>
        </w:tc>
      </w:tr>
      <w:tr w:rsidR="006D1CDB" w14:paraId="5252D342" w14:textId="77777777" w:rsidTr="00821690">
        <w:trPr>
          <w:cantSplit/>
          <w:trHeight w:val="173"/>
        </w:trPr>
        <w:tc>
          <w:tcPr>
            <w:tcW w:w="959" w:type="dxa"/>
          </w:tcPr>
          <w:p w14:paraId="2AD96DDF" w14:textId="77777777" w:rsidR="006D1CDB" w:rsidRDefault="006D1CDB" w:rsidP="006D1CDB">
            <w:pPr>
              <w:pStyle w:val="NoSpacing"/>
            </w:pPr>
            <w:r>
              <w:t>ITK</w:t>
            </w:r>
          </w:p>
        </w:tc>
        <w:tc>
          <w:tcPr>
            <w:tcW w:w="8080" w:type="dxa"/>
          </w:tcPr>
          <w:p w14:paraId="7258C38C" w14:textId="77777777" w:rsidR="006D1CDB" w:rsidRDefault="006D1CDB" w:rsidP="006D1CDB">
            <w:pPr>
              <w:pStyle w:val="NoSpacing"/>
            </w:pPr>
            <w:r>
              <w:t>Interoperability Toolkit</w:t>
            </w:r>
          </w:p>
        </w:tc>
      </w:tr>
      <w:tr w:rsidR="006D1CDB" w14:paraId="2C23430D" w14:textId="77777777" w:rsidTr="00821690">
        <w:trPr>
          <w:cantSplit/>
          <w:trHeight w:val="173"/>
        </w:trPr>
        <w:tc>
          <w:tcPr>
            <w:tcW w:w="959" w:type="dxa"/>
          </w:tcPr>
          <w:p w14:paraId="4E7F7F7D" w14:textId="77777777" w:rsidR="006D1CDB" w:rsidRDefault="006D1CDB" w:rsidP="006D1CDB">
            <w:pPr>
              <w:pStyle w:val="NoSpacing"/>
            </w:pPr>
            <w:r>
              <w:t>MAU</w:t>
            </w:r>
          </w:p>
        </w:tc>
        <w:tc>
          <w:tcPr>
            <w:tcW w:w="8080" w:type="dxa"/>
          </w:tcPr>
          <w:p w14:paraId="0C4AC990" w14:textId="77777777" w:rsidR="006D1CDB" w:rsidRDefault="006D1CDB" w:rsidP="006D1CDB">
            <w:pPr>
              <w:pStyle w:val="NoSpacing"/>
            </w:pPr>
            <w:r>
              <w:t>Medical Assessment Unit</w:t>
            </w:r>
          </w:p>
        </w:tc>
      </w:tr>
      <w:tr w:rsidR="006D1CDB" w14:paraId="5C98D12F" w14:textId="77777777" w:rsidTr="00821690">
        <w:trPr>
          <w:cantSplit/>
          <w:trHeight w:val="173"/>
        </w:trPr>
        <w:tc>
          <w:tcPr>
            <w:tcW w:w="959" w:type="dxa"/>
          </w:tcPr>
          <w:p w14:paraId="5FD003DE" w14:textId="77777777" w:rsidR="006D1CDB" w:rsidRDefault="006D1CDB" w:rsidP="006D1CDB">
            <w:pPr>
              <w:pStyle w:val="NoSpacing"/>
            </w:pPr>
            <w:r>
              <w:t>MDT</w:t>
            </w:r>
          </w:p>
        </w:tc>
        <w:tc>
          <w:tcPr>
            <w:tcW w:w="8080" w:type="dxa"/>
          </w:tcPr>
          <w:p w14:paraId="4A3133B0" w14:textId="77777777" w:rsidR="006D1CDB" w:rsidRDefault="006D1CDB" w:rsidP="006D1CDB">
            <w:pPr>
              <w:pStyle w:val="NoSpacing"/>
            </w:pPr>
            <w:r>
              <w:t>Mobile Data Terminal</w:t>
            </w:r>
          </w:p>
        </w:tc>
      </w:tr>
      <w:tr w:rsidR="006D1CDB" w14:paraId="061213E6" w14:textId="77777777" w:rsidTr="00821690">
        <w:trPr>
          <w:cantSplit/>
          <w:trHeight w:val="173"/>
        </w:trPr>
        <w:tc>
          <w:tcPr>
            <w:tcW w:w="959" w:type="dxa"/>
          </w:tcPr>
          <w:p w14:paraId="6D9DE7A4" w14:textId="77777777" w:rsidR="006D1CDB" w:rsidRDefault="006D1CDB" w:rsidP="006D1CDB">
            <w:pPr>
              <w:pStyle w:val="NoSpacing"/>
            </w:pPr>
            <w:r>
              <w:t>MPDS</w:t>
            </w:r>
          </w:p>
        </w:tc>
        <w:tc>
          <w:tcPr>
            <w:tcW w:w="8080" w:type="dxa"/>
          </w:tcPr>
          <w:p w14:paraId="5DCC6A2C" w14:textId="77777777" w:rsidR="006D1CDB" w:rsidRDefault="006D1CDB" w:rsidP="006D1CDB">
            <w:pPr>
              <w:pStyle w:val="NoSpacing"/>
            </w:pPr>
            <w:r>
              <w:t>Medical Priority Dispatch System</w:t>
            </w:r>
          </w:p>
        </w:tc>
      </w:tr>
      <w:tr w:rsidR="006D1CDB" w14:paraId="5982ED94" w14:textId="77777777" w:rsidTr="00821690">
        <w:trPr>
          <w:cantSplit/>
          <w:trHeight w:val="173"/>
        </w:trPr>
        <w:tc>
          <w:tcPr>
            <w:tcW w:w="959" w:type="dxa"/>
          </w:tcPr>
          <w:p w14:paraId="7E91FFF8" w14:textId="77777777" w:rsidR="006D1CDB" w:rsidRDefault="006D1CDB" w:rsidP="006D1CDB">
            <w:pPr>
              <w:pStyle w:val="NoSpacing"/>
            </w:pPr>
            <w:r>
              <w:t>NAIG</w:t>
            </w:r>
          </w:p>
        </w:tc>
        <w:tc>
          <w:tcPr>
            <w:tcW w:w="8080" w:type="dxa"/>
          </w:tcPr>
          <w:p w14:paraId="4215CDBF" w14:textId="77777777" w:rsidR="006D1CDB" w:rsidRDefault="006D1CDB" w:rsidP="006D1CDB">
            <w:pPr>
              <w:pStyle w:val="NoSpacing"/>
            </w:pPr>
            <w:r>
              <w:t>National Ambulance Information Group</w:t>
            </w:r>
          </w:p>
        </w:tc>
      </w:tr>
      <w:tr w:rsidR="006D1CDB" w14:paraId="744BDA29" w14:textId="77777777" w:rsidTr="00821690">
        <w:trPr>
          <w:cantSplit/>
          <w:trHeight w:val="173"/>
        </w:trPr>
        <w:tc>
          <w:tcPr>
            <w:tcW w:w="959" w:type="dxa"/>
          </w:tcPr>
          <w:p w14:paraId="0EE134C4" w14:textId="77777777" w:rsidR="006D1CDB" w:rsidRDefault="006D1CDB" w:rsidP="006D1CDB">
            <w:pPr>
              <w:pStyle w:val="NoSpacing"/>
            </w:pPr>
            <w:r>
              <w:t>NoC</w:t>
            </w:r>
          </w:p>
        </w:tc>
        <w:tc>
          <w:tcPr>
            <w:tcW w:w="8080" w:type="dxa"/>
          </w:tcPr>
          <w:p w14:paraId="70B1E930" w14:textId="77777777" w:rsidR="006D1CDB" w:rsidRDefault="006D1CDB" w:rsidP="006D1CDB">
            <w:pPr>
              <w:pStyle w:val="NoSpacing"/>
            </w:pPr>
            <w:r>
              <w:t>Nature of Call (questions before NHS Pathways questions)</w:t>
            </w:r>
          </w:p>
        </w:tc>
      </w:tr>
      <w:tr w:rsidR="006D1CDB" w14:paraId="6C16F9FC" w14:textId="77777777" w:rsidTr="00821690">
        <w:trPr>
          <w:cantSplit/>
          <w:trHeight w:val="173"/>
        </w:trPr>
        <w:tc>
          <w:tcPr>
            <w:tcW w:w="959" w:type="dxa"/>
          </w:tcPr>
          <w:p w14:paraId="1CFD3D53" w14:textId="77777777" w:rsidR="006D1CDB" w:rsidRDefault="006D1CDB" w:rsidP="006D1CDB">
            <w:pPr>
              <w:pStyle w:val="NoSpacing"/>
            </w:pPr>
            <w:r>
              <w:t>PTS</w:t>
            </w:r>
          </w:p>
        </w:tc>
        <w:tc>
          <w:tcPr>
            <w:tcW w:w="8080" w:type="dxa"/>
          </w:tcPr>
          <w:p w14:paraId="3A265851" w14:textId="77777777" w:rsidR="006D1CDB" w:rsidRDefault="006D1CDB" w:rsidP="006D1CDB">
            <w:pPr>
              <w:pStyle w:val="NoSpacing"/>
            </w:pPr>
            <w:r>
              <w:t>Patient Transport Services</w:t>
            </w:r>
          </w:p>
        </w:tc>
      </w:tr>
      <w:tr w:rsidR="006D1CDB" w14:paraId="0913C294" w14:textId="77777777" w:rsidTr="00821690">
        <w:trPr>
          <w:cantSplit/>
          <w:trHeight w:val="173"/>
        </w:trPr>
        <w:tc>
          <w:tcPr>
            <w:tcW w:w="959" w:type="dxa"/>
          </w:tcPr>
          <w:p w14:paraId="48811B3A" w14:textId="77777777" w:rsidR="006D1CDB" w:rsidRDefault="006D1CDB" w:rsidP="006D1CDB">
            <w:pPr>
              <w:pStyle w:val="NoSpacing"/>
            </w:pPr>
            <w:r>
              <w:t>RRV</w:t>
            </w:r>
          </w:p>
        </w:tc>
        <w:tc>
          <w:tcPr>
            <w:tcW w:w="8080" w:type="dxa"/>
          </w:tcPr>
          <w:p w14:paraId="1BFE6274" w14:textId="77777777" w:rsidR="006D1CDB" w:rsidRDefault="006D1CDB" w:rsidP="006D1CDB">
            <w:pPr>
              <w:pStyle w:val="NoSpacing"/>
            </w:pPr>
            <w:r>
              <w:t>Rapid Response Vehicle</w:t>
            </w:r>
          </w:p>
        </w:tc>
      </w:tr>
      <w:tr w:rsidR="006D1CDB" w14:paraId="4E685CFC" w14:textId="77777777" w:rsidTr="00821690">
        <w:trPr>
          <w:cantSplit/>
          <w:trHeight w:val="173"/>
        </w:trPr>
        <w:tc>
          <w:tcPr>
            <w:tcW w:w="959" w:type="dxa"/>
          </w:tcPr>
          <w:p w14:paraId="561C515A" w14:textId="77777777" w:rsidR="006D1CDB" w:rsidRDefault="006D1CDB" w:rsidP="006D1CDB">
            <w:pPr>
              <w:pStyle w:val="NoSpacing"/>
            </w:pPr>
            <w:r>
              <w:t>SAU</w:t>
            </w:r>
          </w:p>
        </w:tc>
        <w:tc>
          <w:tcPr>
            <w:tcW w:w="8080" w:type="dxa"/>
          </w:tcPr>
          <w:p w14:paraId="1769BC45" w14:textId="77777777" w:rsidR="006D1CDB" w:rsidRDefault="006D1CDB" w:rsidP="006D1CDB">
            <w:pPr>
              <w:pStyle w:val="NoSpacing"/>
            </w:pPr>
            <w:r>
              <w:t>Surgical Assessment Unit</w:t>
            </w:r>
          </w:p>
        </w:tc>
      </w:tr>
    </w:tbl>
    <w:p w14:paraId="14C4190D" w14:textId="4420409C" w:rsidR="001B3084" w:rsidRDefault="001B3084" w:rsidP="000E6816">
      <w:r>
        <w:t xml:space="preserve">These items are defined in </w:t>
      </w:r>
      <w:hyperlink w:anchor="_Section_2:_General" w:history="1">
        <w:r w:rsidRPr="001B3084">
          <w:rPr>
            <w:rStyle w:val="Hyperlink"/>
          </w:rPr>
          <w:t xml:space="preserve">Section </w:t>
        </w:r>
        <w:r w:rsidR="003444C9">
          <w:rPr>
            <w:rStyle w:val="Hyperlink"/>
          </w:rPr>
          <w:t>2</w:t>
        </w:r>
        <w:r w:rsidRPr="001B3084">
          <w:rPr>
            <w:rStyle w:val="Hyperlink"/>
          </w:rPr>
          <w:t>: General concepts</w:t>
        </w:r>
      </w:hyperlink>
      <w:r>
        <w:t>:</w:t>
      </w:r>
    </w:p>
    <w:p w14:paraId="4201B19C" w14:textId="77777777" w:rsidR="004578CF" w:rsidRDefault="004578CF" w:rsidP="00443C47">
      <w:pPr>
        <w:pStyle w:val="ListBullet2"/>
      </w:pPr>
      <w:r w:rsidRPr="001B3084">
        <w:t>Call connect</w:t>
      </w:r>
    </w:p>
    <w:p w14:paraId="560775C0" w14:textId="77777777" w:rsidR="004578CF" w:rsidRDefault="004578CF" w:rsidP="00443C47">
      <w:pPr>
        <w:pStyle w:val="ListBullet2"/>
      </w:pPr>
      <w:r w:rsidRPr="001B3084">
        <w:t>Call answer</w:t>
      </w:r>
    </w:p>
    <w:p w14:paraId="773D3CE9" w14:textId="77777777" w:rsidR="001B3084" w:rsidRDefault="001B3084" w:rsidP="00443C47">
      <w:pPr>
        <w:pStyle w:val="ListBullet2"/>
      </w:pPr>
      <w:r w:rsidRPr="001B3084">
        <w:t>Cross-border calls</w:t>
      </w:r>
    </w:p>
    <w:p w14:paraId="0356A1A5" w14:textId="77777777" w:rsidR="007E2FCB" w:rsidRDefault="007E2FCB" w:rsidP="00443C47">
      <w:pPr>
        <w:pStyle w:val="ListBullet2"/>
      </w:pPr>
      <w:r>
        <w:t>Events</w:t>
      </w:r>
    </w:p>
    <w:p w14:paraId="2D83F91B" w14:textId="77777777" w:rsidR="001B3084" w:rsidRDefault="001B3084" w:rsidP="00443C47">
      <w:pPr>
        <w:pStyle w:val="ListBullet2"/>
      </w:pPr>
      <w:r w:rsidRPr="001B3084">
        <w:t>Time data</w:t>
      </w:r>
    </w:p>
    <w:p w14:paraId="3AF84332" w14:textId="77777777" w:rsidR="001B3084" w:rsidRDefault="001B3084" w:rsidP="00443C47">
      <w:pPr>
        <w:pStyle w:val="ListBullet2"/>
      </w:pPr>
      <w:r w:rsidRPr="001B3084">
        <w:t>Mean average times</w:t>
      </w:r>
    </w:p>
    <w:p w14:paraId="6136AC74" w14:textId="77777777" w:rsidR="001B3084" w:rsidRDefault="001B3084" w:rsidP="00443C47">
      <w:pPr>
        <w:pStyle w:val="ListBullet2"/>
      </w:pPr>
      <w:r w:rsidRPr="001B3084">
        <w:t>Medians and centiles</w:t>
      </w:r>
    </w:p>
    <w:p w14:paraId="0982CF70" w14:textId="77777777" w:rsidR="001B3084" w:rsidRDefault="00443C47" w:rsidP="001B3084">
      <w:r>
        <w:t xml:space="preserve">These items are defined in later places </w:t>
      </w:r>
      <w:r w:rsidR="001B3084">
        <w:t>in this document:</w:t>
      </w:r>
    </w:p>
    <w:p w14:paraId="7A5CA160" w14:textId="74341C15" w:rsidR="00953685" w:rsidRDefault="00762878" w:rsidP="00443C47">
      <w:pPr>
        <w:pStyle w:val="ListBullet2"/>
      </w:pPr>
      <w:hyperlink w:anchor="_Clock_start_–" w:history="1">
        <w:r w:rsidR="00953685" w:rsidRPr="00304231">
          <w:rPr>
            <w:rStyle w:val="Hyperlink"/>
          </w:rPr>
          <w:t>Clock star</w:t>
        </w:r>
        <w:r w:rsidR="00953685">
          <w:rPr>
            <w:rStyle w:val="Hyperlink"/>
          </w:rPr>
          <w:t>t</w:t>
        </w:r>
      </w:hyperlink>
    </w:p>
    <w:p w14:paraId="4EA7C7BA" w14:textId="0BDF8362" w:rsidR="00953685" w:rsidRPr="008B309B" w:rsidRDefault="00762878" w:rsidP="00443C47">
      <w:pPr>
        <w:pStyle w:val="ListBullet2"/>
        <w:rPr>
          <w:rStyle w:val="Hyperlink"/>
          <w:color w:val="auto"/>
          <w:u w:val="none"/>
        </w:rPr>
      </w:pPr>
      <w:hyperlink w:anchor="_Clock_stop_–" w:history="1">
        <w:r w:rsidR="00953685" w:rsidRPr="00304231">
          <w:rPr>
            <w:rStyle w:val="Hyperlink"/>
          </w:rPr>
          <w:t>Clock stop</w:t>
        </w:r>
      </w:hyperlink>
    </w:p>
    <w:p w14:paraId="15A5FB1F" w14:textId="357E4ED2" w:rsidR="00E753F4" w:rsidRPr="00E753F4" w:rsidRDefault="00762878" w:rsidP="00443C47">
      <w:pPr>
        <w:pStyle w:val="ListBullet2"/>
        <w:rPr>
          <w:rStyle w:val="Hyperlink"/>
          <w:color w:val="auto"/>
          <w:u w:val="none"/>
        </w:rPr>
      </w:pPr>
      <w:hyperlink w:anchor="_Incidents_with_non-emergency" w:history="1">
        <w:r w:rsidR="00E753F4">
          <w:rPr>
            <w:rStyle w:val="Hyperlink"/>
          </w:rPr>
          <w:t>I</w:t>
        </w:r>
        <w:r w:rsidR="00E753F4" w:rsidRPr="005F05FF">
          <w:rPr>
            <w:rStyle w:val="Hyperlink"/>
          </w:rPr>
          <w:t>ncidents with non-emergency conveyance</w:t>
        </w:r>
      </w:hyperlink>
    </w:p>
    <w:p w14:paraId="1B9F91DB" w14:textId="00C63664" w:rsidR="00953685" w:rsidRDefault="00762878" w:rsidP="00443C47">
      <w:pPr>
        <w:pStyle w:val="ListBullet2"/>
      </w:pPr>
      <w:hyperlink w:anchor="_Running_Incident" w:history="1">
        <w:r w:rsidR="00953685" w:rsidRPr="009D4E83">
          <w:rPr>
            <w:rStyle w:val="Hyperlink"/>
          </w:rPr>
          <w:t xml:space="preserve">Running </w:t>
        </w:r>
        <w:r w:rsidR="001B3084">
          <w:rPr>
            <w:rStyle w:val="Hyperlink"/>
          </w:rPr>
          <w:t>I</w:t>
        </w:r>
        <w:r w:rsidR="009D4E83">
          <w:rPr>
            <w:rStyle w:val="Hyperlink"/>
          </w:rPr>
          <w:t>ncidents</w:t>
        </w:r>
      </w:hyperlink>
    </w:p>
    <w:sectPr w:rsidR="00953685" w:rsidSect="00B32AF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EF3D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D3172" w14:textId="77777777" w:rsidR="00762878" w:rsidRDefault="00762878" w:rsidP="00D31E7B">
      <w:r>
        <w:separator/>
      </w:r>
    </w:p>
  </w:endnote>
  <w:endnote w:type="continuationSeparator" w:id="0">
    <w:p w14:paraId="4EB207D4" w14:textId="77777777" w:rsidR="00762878" w:rsidRDefault="00762878" w:rsidP="00D3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20DCE" w14:textId="552D59EC" w:rsidR="00762878" w:rsidRDefault="00762878">
    <w:pPr>
      <w:pStyle w:val="Footer"/>
    </w:pPr>
    <w:r>
      <w:t>Final</w:t>
    </w:r>
    <w:r>
      <w:tab/>
    </w:r>
    <w:r>
      <w:tab/>
      <w:t xml:space="preserve">Page </w:t>
    </w:r>
    <w:r>
      <w:fldChar w:fldCharType="begin"/>
    </w:r>
    <w:r>
      <w:instrText xml:space="preserve"> PAGE   \* MERGEFORMAT </w:instrText>
    </w:r>
    <w:r>
      <w:fldChar w:fldCharType="separate"/>
    </w:r>
    <w:r w:rsidR="00074E03">
      <w:rPr>
        <w:noProof/>
      </w:rPr>
      <w:t>2</w:t>
    </w:r>
    <w:r>
      <w:fldChar w:fldCharType="end"/>
    </w:r>
    <w:r>
      <w:t xml:space="preserve"> of </w:t>
    </w:r>
    <w:fldSimple w:instr=" NUMPAGES   \* MERGEFORMAT ">
      <w:r w:rsidR="00074E03">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B6783" w14:textId="77777777" w:rsidR="00762878" w:rsidRDefault="00762878" w:rsidP="00D31E7B">
      <w:r>
        <w:separator/>
      </w:r>
    </w:p>
  </w:footnote>
  <w:footnote w:type="continuationSeparator" w:id="0">
    <w:p w14:paraId="51AE6DCB" w14:textId="77777777" w:rsidR="00762878" w:rsidRDefault="00762878" w:rsidP="00D31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68AA5" w14:textId="3D991A49" w:rsidR="00762878" w:rsidRDefault="00762878" w:rsidP="005C014A">
    <w:pPr>
      <w:pStyle w:val="Footer"/>
    </w:pPr>
    <w:fldSimple w:instr=" FILENAME   \* MERGEFORMAT ">
      <w:r w:rsidR="00690558">
        <w:rPr>
          <w:noProof/>
        </w:rPr>
        <w:t>20170926 Ambulance System Indicators</w:t>
      </w:r>
    </w:fldSimple>
    <w:r>
      <w:rPr>
        <w:noProof/>
      </w:rPr>
      <w:tab/>
    </w:r>
    <w:r>
      <w:rPr>
        <w:noProof/>
      </w:rPr>
      <w:tab/>
    </w:r>
    <w:r w:rsidRPr="005C014A">
      <w:t>Section</w:t>
    </w:r>
    <w:r>
      <w:rPr>
        <w:noProof/>
      </w:rPr>
      <w:t xml:space="preserve"> </w:t>
    </w:r>
    <w:r>
      <w:rPr>
        <w:noProof/>
      </w:rPr>
      <w:fldChar w:fldCharType="begin"/>
    </w:r>
    <w:r>
      <w:rPr>
        <w:noProof/>
      </w:rPr>
      <w:instrText xml:space="preserve"> SECTION   \* MERGEFORMAT </w:instrText>
    </w:r>
    <w:r>
      <w:rPr>
        <w:noProof/>
      </w:rPr>
      <w:fldChar w:fldCharType="separate"/>
    </w:r>
    <w:r w:rsidR="00074E03">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174AD1C"/>
    <w:lvl w:ilvl="0">
      <w:start w:val="1"/>
      <w:numFmt w:val="bullet"/>
      <w:pStyle w:val="ListBullet"/>
      <w:lvlText w:val=""/>
      <w:lvlJc w:val="left"/>
      <w:pPr>
        <w:ind w:left="360" w:hanging="360"/>
      </w:pPr>
      <w:rPr>
        <w:rFonts w:ascii="Symbol" w:hAnsi="Symbol" w:hint="default"/>
      </w:rPr>
    </w:lvl>
  </w:abstractNum>
  <w:abstractNum w:abstractNumId="1">
    <w:nsid w:val="FFFFFF83"/>
    <w:multiLevelType w:val="singleLevel"/>
    <w:tmpl w:val="A9884A38"/>
    <w:lvl w:ilvl="0">
      <w:start w:val="1"/>
      <w:numFmt w:val="decimal"/>
      <w:lvlText w:val="%1."/>
      <w:lvlJc w:val="left"/>
      <w:pPr>
        <w:ind w:left="643" w:hanging="360"/>
      </w:pPr>
      <w:rPr>
        <w:rFonts w:hint="default"/>
        <w:b w:val="0"/>
        <w:i w:val="0"/>
        <w:color w:val="auto"/>
        <w:sz w:val="22"/>
      </w:rPr>
    </w:lvl>
  </w:abstractNum>
  <w:abstractNum w:abstractNumId="2">
    <w:nsid w:val="FFFFFF89"/>
    <w:multiLevelType w:val="singleLevel"/>
    <w:tmpl w:val="AF0CCC38"/>
    <w:lvl w:ilvl="0">
      <w:start w:val="1"/>
      <w:numFmt w:val="bullet"/>
      <w:pStyle w:val="ListBullet2"/>
      <w:lvlText w:val=""/>
      <w:lvlJc w:val="left"/>
      <w:pPr>
        <w:tabs>
          <w:tab w:val="num" w:pos="360"/>
        </w:tabs>
        <w:ind w:left="360" w:hanging="360"/>
      </w:pPr>
      <w:rPr>
        <w:rFonts w:ascii="Symbol" w:hAnsi="Symbol" w:hint="default"/>
      </w:rPr>
    </w:lvl>
  </w:abstractNum>
  <w:abstractNum w:abstractNumId="3">
    <w:nsid w:val="059B349D"/>
    <w:multiLevelType w:val="hybridMultilevel"/>
    <w:tmpl w:val="43FA414E"/>
    <w:lvl w:ilvl="0" w:tplc="21EA7BFE">
      <w:start w:val="1"/>
      <w:numFmt w:val="decimal"/>
      <w:lvlText w:val="%1."/>
      <w:lvlJc w:val="left"/>
      <w:pPr>
        <w:ind w:left="360" w:hanging="360"/>
      </w:pPr>
      <w:rPr>
        <w:rFonts w:hint="default"/>
        <w:b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8233E"/>
    <w:multiLevelType w:val="hybridMultilevel"/>
    <w:tmpl w:val="67A0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F60044"/>
    <w:multiLevelType w:val="hybridMultilevel"/>
    <w:tmpl w:val="E1ECA158"/>
    <w:lvl w:ilvl="0" w:tplc="E89405A8">
      <w:start w:val="1"/>
      <w:numFmt w:val="decimal"/>
      <w:pStyle w:val="Heading3"/>
      <w:lvlText w:val="A%1"/>
      <w:lvlJc w:val="left"/>
      <w:pPr>
        <w:ind w:left="3762" w:hanging="360"/>
      </w:pPr>
      <w:rPr>
        <w:rFonts w:ascii="Arial" w:hAnsi="Arial"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1E3022"/>
    <w:multiLevelType w:val="hybridMultilevel"/>
    <w:tmpl w:val="FB4C3762"/>
    <w:lvl w:ilvl="0" w:tplc="BA96BFA0">
      <w:start w:val="1"/>
      <w:numFmt w:val="decimal"/>
      <w:lvlText w:val="A%1"/>
      <w:lvlJc w:val="left"/>
      <w:pPr>
        <w:ind w:left="360" w:hanging="360"/>
      </w:pPr>
      <w:rPr>
        <w:rFonts w:ascii="Arial" w:hAnsi="Arial"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7B64A28"/>
    <w:multiLevelType w:val="hybridMultilevel"/>
    <w:tmpl w:val="55AC357C"/>
    <w:lvl w:ilvl="0" w:tplc="CC04410A">
      <w:start w:val="1"/>
      <w:numFmt w:val="decimal"/>
      <w:pStyle w:val="ListNumb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2D868A0"/>
    <w:multiLevelType w:val="hybridMultilevel"/>
    <w:tmpl w:val="FAD0AB32"/>
    <w:lvl w:ilvl="0" w:tplc="878468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F3322D2"/>
    <w:multiLevelType w:val="multilevel"/>
    <w:tmpl w:val="27869000"/>
    <w:lvl w:ilvl="0">
      <w:start w:val="1"/>
      <w:numFmt w:val="lowerRoman"/>
      <w:pStyle w:val="ListNumber2"/>
      <w:lvlText w:val="%1)"/>
      <w:lvlJc w:val="left"/>
      <w:pPr>
        <w:ind w:left="1154"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9"/>
  </w:num>
  <w:num w:numId="3">
    <w:abstractNumId w:val="1"/>
  </w:num>
  <w:num w:numId="4">
    <w:abstractNumId w:val="0"/>
  </w:num>
  <w:num w:numId="5">
    <w:abstractNumId w:val="7"/>
  </w:num>
  <w:num w:numId="6">
    <w:abstractNumId w:val="2"/>
  </w:num>
  <w:num w:numId="7">
    <w:abstractNumId w:val="9"/>
  </w:num>
  <w:num w:numId="8">
    <w:abstractNumId w:val="1"/>
  </w:num>
  <w:num w:numId="9">
    <w:abstractNumId w:val="0"/>
  </w:num>
  <w:num w:numId="10">
    <w:abstractNumId w:val="3"/>
  </w:num>
  <w:num w:numId="11">
    <w:abstractNumId w:val="2"/>
  </w:num>
  <w:num w:numId="12">
    <w:abstractNumId w:val="1"/>
  </w:num>
  <w:num w:numId="13">
    <w:abstractNumId w:val="9"/>
  </w:num>
  <w:num w:numId="14">
    <w:abstractNumId w:val="9"/>
  </w:num>
  <w:num w:numId="15">
    <w:abstractNumId w:val="1"/>
  </w:num>
  <w:num w:numId="16">
    <w:abstractNumId w:val="0"/>
  </w:num>
  <w:num w:numId="17">
    <w:abstractNumId w:val="7"/>
  </w:num>
  <w:num w:numId="18">
    <w:abstractNumId w:val="9"/>
  </w:num>
  <w:num w:numId="19">
    <w:abstractNumId w:val="1"/>
  </w:num>
  <w:num w:numId="20">
    <w:abstractNumId w:val="8"/>
  </w:num>
  <w:num w:numId="21">
    <w:abstractNumId w:val="6"/>
  </w:num>
  <w:num w:numId="22">
    <w:abstractNumId w:val="4"/>
  </w:num>
  <w:num w:numId="23">
    <w:abstractNumId w:val="5"/>
  </w:num>
  <w:num w:numId="2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Gore">
    <w15:presenceInfo w15:providerId="None" w15:userId="Daniel G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2D"/>
    <w:rsid w:val="00000A8A"/>
    <w:rsid w:val="00001365"/>
    <w:rsid w:val="0001790D"/>
    <w:rsid w:val="00021135"/>
    <w:rsid w:val="00021626"/>
    <w:rsid w:val="0002251A"/>
    <w:rsid w:val="000230F6"/>
    <w:rsid w:val="00031E6A"/>
    <w:rsid w:val="00034E44"/>
    <w:rsid w:val="00040E68"/>
    <w:rsid w:val="0004546C"/>
    <w:rsid w:val="0005672A"/>
    <w:rsid w:val="000569B7"/>
    <w:rsid w:val="00062BC6"/>
    <w:rsid w:val="00066770"/>
    <w:rsid w:val="00066C8F"/>
    <w:rsid w:val="0006779E"/>
    <w:rsid w:val="00071EC5"/>
    <w:rsid w:val="00074E03"/>
    <w:rsid w:val="000778BD"/>
    <w:rsid w:val="0008159E"/>
    <w:rsid w:val="000830C1"/>
    <w:rsid w:val="0008462A"/>
    <w:rsid w:val="0008778A"/>
    <w:rsid w:val="00091F09"/>
    <w:rsid w:val="00092629"/>
    <w:rsid w:val="000941B6"/>
    <w:rsid w:val="000946F6"/>
    <w:rsid w:val="000A0AA4"/>
    <w:rsid w:val="000A11AE"/>
    <w:rsid w:val="000A2CBB"/>
    <w:rsid w:val="000A5B54"/>
    <w:rsid w:val="000A7983"/>
    <w:rsid w:val="000B0E05"/>
    <w:rsid w:val="000B2197"/>
    <w:rsid w:val="000B3BCC"/>
    <w:rsid w:val="000B453B"/>
    <w:rsid w:val="000B53B2"/>
    <w:rsid w:val="000B69A9"/>
    <w:rsid w:val="000B7526"/>
    <w:rsid w:val="000C178A"/>
    <w:rsid w:val="000C3FC4"/>
    <w:rsid w:val="000C52D5"/>
    <w:rsid w:val="000C6201"/>
    <w:rsid w:val="000C62FD"/>
    <w:rsid w:val="000D79BC"/>
    <w:rsid w:val="000D7B09"/>
    <w:rsid w:val="000E6816"/>
    <w:rsid w:val="000F05F3"/>
    <w:rsid w:val="000F3326"/>
    <w:rsid w:val="000F77BF"/>
    <w:rsid w:val="000F7AC9"/>
    <w:rsid w:val="001003EE"/>
    <w:rsid w:val="00100A2C"/>
    <w:rsid w:val="0010175F"/>
    <w:rsid w:val="00101A29"/>
    <w:rsid w:val="0010363D"/>
    <w:rsid w:val="00104EE2"/>
    <w:rsid w:val="00105F46"/>
    <w:rsid w:val="00107036"/>
    <w:rsid w:val="00110B20"/>
    <w:rsid w:val="00111A8A"/>
    <w:rsid w:val="0011429C"/>
    <w:rsid w:val="00115045"/>
    <w:rsid w:val="00115F2A"/>
    <w:rsid w:val="0011775C"/>
    <w:rsid w:val="001207B8"/>
    <w:rsid w:val="00121BA2"/>
    <w:rsid w:val="001245A4"/>
    <w:rsid w:val="0012490B"/>
    <w:rsid w:val="00126658"/>
    <w:rsid w:val="00130294"/>
    <w:rsid w:val="00132F17"/>
    <w:rsid w:val="0013686E"/>
    <w:rsid w:val="00136FC1"/>
    <w:rsid w:val="0014295B"/>
    <w:rsid w:val="001437CE"/>
    <w:rsid w:val="00144EF2"/>
    <w:rsid w:val="001460A8"/>
    <w:rsid w:val="001502C4"/>
    <w:rsid w:val="0015149C"/>
    <w:rsid w:val="0015334A"/>
    <w:rsid w:val="00165A97"/>
    <w:rsid w:val="00166488"/>
    <w:rsid w:val="00167129"/>
    <w:rsid w:val="0017342D"/>
    <w:rsid w:val="001740FC"/>
    <w:rsid w:val="00177FD9"/>
    <w:rsid w:val="0018147A"/>
    <w:rsid w:val="001821FD"/>
    <w:rsid w:val="00183015"/>
    <w:rsid w:val="00185D89"/>
    <w:rsid w:val="00186201"/>
    <w:rsid w:val="00190E10"/>
    <w:rsid w:val="00195A96"/>
    <w:rsid w:val="00196709"/>
    <w:rsid w:val="001A0F41"/>
    <w:rsid w:val="001A4CA9"/>
    <w:rsid w:val="001B2BEA"/>
    <w:rsid w:val="001B3084"/>
    <w:rsid w:val="001B42BB"/>
    <w:rsid w:val="001B49A8"/>
    <w:rsid w:val="001B50AA"/>
    <w:rsid w:val="001C1D8A"/>
    <w:rsid w:val="001C34CD"/>
    <w:rsid w:val="001C6A4C"/>
    <w:rsid w:val="001C6AAD"/>
    <w:rsid w:val="001C7F2A"/>
    <w:rsid w:val="001D1AE6"/>
    <w:rsid w:val="001D45AD"/>
    <w:rsid w:val="001E4DAF"/>
    <w:rsid w:val="001F4710"/>
    <w:rsid w:val="001F4895"/>
    <w:rsid w:val="00200B74"/>
    <w:rsid w:val="002010E1"/>
    <w:rsid w:val="00201830"/>
    <w:rsid w:val="00202EE8"/>
    <w:rsid w:val="002159A0"/>
    <w:rsid w:val="00220673"/>
    <w:rsid w:val="002234DB"/>
    <w:rsid w:val="00224A89"/>
    <w:rsid w:val="00232443"/>
    <w:rsid w:val="00232BE3"/>
    <w:rsid w:val="00242CAB"/>
    <w:rsid w:val="002505C0"/>
    <w:rsid w:val="00252465"/>
    <w:rsid w:val="00253F35"/>
    <w:rsid w:val="00260EDE"/>
    <w:rsid w:val="00262BCF"/>
    <w:rsid w:val="002714AD"/>
    <w:rsid w:val="0028091A"/>
    <w:rsid w:val="00281C06"/>
    <w:rsid w:val="0028400F"/>
    <w:rsid w:val="0028543C"/>
    <w:rsid w:val="0028748C"/>
    <w:rsid w:val="00291FFA"/>
    <w:rsid w:val="002955A8"/>
    <w:rsid w:val="00295AFA"/>
    <w:rsid w:val="002A1F0E"/>
    <w:rsid w:val="002A2FE4"/>
    <w:rsid w:val="002A53FC"/>
    <w:rsid w:val="002B68A4"/>
    <w:rsid w:val="002C43F7"/>
    <w:rsid w:val="002D292B"/>
    <w:rsid w:val="002D5096"/>
    <w:rsid w:val="002D5E46"/>
    <w:rsid w:val="002E1781"/>
    <w:rsid w:val="002E21FA"/>
    <w:rsid w:val="002E4B12"/>
    <w:rsid w:val="002E6118"/>
    <w:rsid w:val="002F0070"/>
    <w:rsid w:val="002F06B1"/>
    <w:rsid w:val="002F79C4"/>
    <w:rsid w:val="00303ABC"/>
    <w:rsid w:val="00304231"/>
    <w:rsid w:val="00304920"/>
    <w:rsid w:val="00305130"/>
    <w:rsid w:val="00307376"/>
    <w:rsid w:val="00311575"/>
    <w:rsid w:val="003177AB"/>
    <w:rsid w:val="0032270F"/>
    <w:rsid w:val="0032704B"/>
    <w:rsid w:val="00332BF8"/>
    <w:rsid w:val="00337181"/>
    <w:rsid w:val="003424E6"/>
    <w:rsid w:val="003438EE"/>
    <w:rsid w:val="003444C9"/>
    <w:rsid w:val="00350817"/>
    <w:rsid w:val="00352C4C"/>
    <w:rsid w:val="00352D08"/>
    <w:rsid w:val="00356937"/>
    <w:rsid w:val="003648BF"/>
    <w:rsid w:val="0036721E"/>
    <w:rsid w:val="00376A51"/>
    <w:rsid w:val="00381997"/>
    <w:rsid w:val="003845A6"/>
    <w:rsid w:val="00384B67"/>
    <w:rsid w:val="00392620"/>
    <w:rsid w:val="003934DC"/>
    <w:rsid w:val="003954EF"/>
    <w:rsid w:val="003A0746"/>
    <w:rsid w:val="003A22A8"/>
    <w:rsid w:val="003A2EA4"/>
    <w:rsid w:val="003A3CFD"/>
    <w:rsid w:val="003A3E69"/>
    <w:rsid w:val="003A6468"/>
    <w:rsid w:val="003A677B"/>
    <w:rsid w:val="003A6F32"/>
    <w:rsid w:val="003B0173"/>
    <w:rsid w:val="003B4495"/>
    <w:rsid w:val="003B5447"/>
    <w:rsid w:val="003C1217"/>
    <w:rsid w:val="003C2CC4"/>
    <w:rsid w:val="003C2F59"/>
    <w:rsid w:val="003D5204"/>
    <w:rsid w:val="003D7E38"/>
    <w:rsid w:val="003E123E"/>
    <w:rsid w:val="003E29CA"/>
    <w:rsid w:val="003E3063"/>
    <w:rsid w:val="003F3B16"/>
    <w:rsid w:val="003F4160"/>
    <w:rsid w:val="00401547"/>
    <w:rsid w:val="004043B5"/>
    <w:rsid w:val="00413B1D"/>
    <w:rsid w:val="004170F5"/>
    <w:rsid w:val="00422934"/>
    <w:rsid w:val="00424DFC"/>
    <w:rsid w:val="00430E56"/>
    <w:rsid w:val="00432C6E"/>
    <w:rsid w:val="00432D3C"/>
    <w:rsid w:val="00434186"/>
    <w:rsid w:val="0043657D"/>
    <w:rsid w:val="004369C8"/>
    <w:rsid w:val="004408AC"/>
    <w:rsid w:val="00440D64"/>
    <w:rsid w:val="00442A09"/>
    <w:rsid w:val="004437BA"/>
    <w:rsid w:val="00443C47"/>
    <w:rsid w:val="0044639B"/>
    <w:rsid w:val="00451A55"/>
    <w:rsid w:val="004578CF"/>
    <w:rsid w:val="0046043E"/>
    <w:rsid w:val="004615DE"/>
    <w:rsid w:val="0046264C"/>
    <w:rsid w:val="004635EF"/>
    <w:rsid w:val="00473F85"/>
    <w:rsid w:val="00475647"/>
    <w:rsid w:val="00477909"/>
    <w:rsid w:val="00477DCC"/>
    <w:rsid w:val="00480A52"/>
    <w:rsid w:val="0048322A"/>
    <w:rsid w:val="00483CFE"/>
    <w:rsid w:val="0049089D"/>
    <w:rsid w:val="004939B7"/>
    <w:rsid w:val="00494D3C"/>
    <w:rsid w:val="00497D5B"/>
    <w:rsid w:val="004B17C5"/>
    <w:rsid w:val="004B2901"/>
    <w:rsid w:val="004B2D42"/>
    <w:rsid w:val="004C13E6"/>
    <w:rsid w:val="004C7D8C"/>
    <w:rsid w:val="004D2BF5"/>
    <w:rsid w:val="004D35A3"/>
    <w:rsid w:val="004D423E"/>
    <w:rsid w:val="004D5FC9"/>
    <w:rsid w:val="004E3535"/>
    <w:rsid w:val="004E6115"/>
    <w:rsid w:val="004E7387"/>
    <w:rsid w:val="004F1F64"/>
    <w:rsid w:val="004F22E5"/>
    <w:rsid w:val="004F39FB"/>
    <w:rsid w:val="004F572B"/>
    <w:rsid w:val="00502850"/>
    <w:rsid w:val="0050290E"/>
    <w:rsid w:val="00503B8C"/>
    <w:rsid w:val="00503C1D"/>
    <w:rsid w:val="00512E16"/>
    <w:rsid w:val="005173BF"/>
    <w:rsid w:val="00526EAF"/>
    <w:rsid w:val="005278C4"/>
    <w:rsid w:val="005301F6"/>
    <w:rsid w:val="005315D3"/>
    <w:rsid w:val="00533EBE"/>
    <w:rsid w:val="005370D1"/>
    <w:rsid w:val="00541CB5"/>
    <w:rsid w:val="00541D58"/>
    <w:rsid w:val="005427CE"/>
    <w:rsid w:val="00543AFA"/>
    <w:rsid w:val="00544BE1"/>
    <w:rsid w:val="005455A9"/>
    <w:rsid w:val="005464B9"/>
    <w:rsid w:val="00547BA3"/>
    <w:rsid w:val="00557520"/>
    <w:rsid w:val="005602CD"/>
    <w:rsid w:val="00577A1C"/>
    <w:rsid w:val="0058050A"/>
    <w:rsid w:val="00580B7E"/>
    <w:rsid w:val="005852E9"/>
    <w:rsid w:val="00585E29"/>
    <w:rsid w:val="00591138"/>
    <w:rsid w:val="005939C9"/>
    <w:rsid w:val="00596E74"/>
    <w:rsid w:val="00597EC3"/>
    <w:rsid w:val="005A404F"/>
    <w:rsid w:val="005A4551"/>
    <w:rsid w:val="005A45CA"/>
    <w:rsid w:val="005A79AB"/>
    <w:rsid w:val="005C014A"/>
    <w:rsid w:val="005C0650"/>
    <w:rsid w:val="005C7F21"/>
    <w:rsid w:val="005D239C"/>
    <w:rsid w:val="005D2918"/>
    <w:rsid w:val="005D29B4"/>
    <w:rsid w:val="005D30F5"/>
    <w:rsid w:val="005D6E07"/>
    <w:rsid w:val="005F05FF"/>
    <w:rsid w:val="005F2A87"/>
    <w:rsid w:val="005F4330"/>
    <w:rsid w:val="005F7C8E"/>
    <w:rsid w:val="00602266"/>
    <w:rsid w:val="00604693"/>
    <w:rsid w:val="006057D2"/>
    <w:rsid w:val="00605C33"/>
    <w:rsid w:val="00611A53"/>
    <w:rsid w:val="006137D4"/>
    <w:rsid w:val="006144C5"/>
    <w:rsid w:val="00614879"/>
    <w:rsid w:val="0061602F"/>
    <w:rsid w:val="00617379"/>
    <w:rsid w:val="00623937"/>
    <w:rsid w:val="00623C3B"/>
    <w:rsid w:val="006246E9"/>
    <w:rsid w:val="00625F6B"/>
    <w:rsid w:val="00626982"/>
    <w:rsid w:val="00627169"/>
    <w:rsid w:val="00632149"/>
    <w:rsid w:val="00640EDF"/>
    <w:rsid w:val="006461E6"/>
    <w:rsid w:val="0064653B"/>
    <w:rsid w:val="006472F6"/>
    <w:rsid w:val="00651229"/>
    <w:rsid w:val="00665C8C"/>
    <w:rsid w:val="00666FD2"/>
    <w:rsid w:val="00672EB5"/>
    <w:rsid w:val="00675C10"/>
    <w:rsid w:val="00682290"/>
    <w:rsid w:val="006852CF"/>
    <w:rsid w:val="00687FCC"/>
    <w:rsid w:val="00690558"/>
    <w:rsid w:val="0069112D"/>
    <w:rsid w:val="00691C5A"/>
    <w:rsid w:val="0069437B"/>
    <w:rsid w:val="00694B64"/>
    <w:rsid w:val="006A1280"/>
    <w:rsid w:val="006A1828"/>
    <w:rsid w:val="006A34A3"/>
    <w:rsid w:val="006A449A"/>
    <w:rsid w:val="006B4E2C"/>
    <w:rsid w:val="006B60FA"/>
    <w:rsid w:val="006B7BB6"/>
    <w:rsid w:val="006D0123"/>
    <w:rsid w:val="006D0FE6"/>
    <w:rsid w:val="006D1CDB"/>
    <w:rsid w:val="006D2031"/>
    <w:rsid w:val="006D32ED"/>
    <w:rsid w:val="006E157D"/>
    <w:rsid w:val="006E7F63"/>
    <w:rsid w:val="00700252"/>
    <w:rsid w:val="007066E0"/>
    <w:rsid w:val="00712C4C"/>
    <w:rsid w:val="0071605C"/>
    <w:rsid w:val="00724229"/>
    <w:rsid w:val="00725FF0"/>
    <w:rsid w:val="007269E7"/>
    <w:rsid w:val="00727B16"/>
    <w:rsid w:val="0073260D"/>
    <w:rsid w:val="00740C69"/>
    <w:rsid w:val="007520BE"/>
    <w:rsid w:val="00762878"/>
    <w:rsid w:val="00762D36"/>
    <w:rsid w:val="007635A0"/>
    <w:rsid w:val="0076681D"/>
    <w:rsid w:val="00770038"/>
    <w:rsid w:val="00772F1A"/>
    <w:rsid w:val="00774E6B"/>
    <w:rsid w:val="00781139"/>
    <w:rsid w:val="007811E8"/>
    <w:rsid w:val="00782C8A"/>
    <w:rsid w:val="00786A76"/>
    <w:rsid w:val="00786F4D"/>
    <w:rsid w:val="0079092F"/>
    <w:rsid w:val="00792AD8"/>
    <w:rsid w:val="007A153D"/>
    <w:rsid w:val="007A2FA1"/>
    <w:rsid w:val="007A34D6"/>
    <w:rsid w:val="007B19DF"/>
    <w:rsid w:val="007B432D"/>
    <w:rsid w:val="007C08AF"/>
    <w:rsid w:val="007C0DFF"/>
    <w:rsid w:val="007C2102"/>
    <w:rsid w:val="007C54BF"/>
    <w:rsid w:val="007D0440"/>
    <w:rsid w:val="007D31D4"/>
    <w:rsid w:val="007D7347"/>
    <w:rsid w:val="007E0A21"/>
    <w:rsid w:val="007E2C3B"/>
    <w:rsid w:val="007E2FCB"/>
    <w:rsid w:val="007E4441"/>
    <w:rsid w:val="007F00EC"/>
    <w:rsid w:val="007F07F1"/>
    <w:rsid w:val="007F32F1"/>
    <w:rsid w:val="007F4912"/>
    <w:rsid w:val="007F77FB"/>
    <w:rsid w:val="007F79AF"/>
    <w:rsid w:val="00800574"/>
    <w:rsid w:val="008013FC"/>
    <w:rsid w:val="0080315D"/>
    <w:rsid w:val="00803353"/>
    <w:rsid w:val="008064B0"/>
    <w:rsid w:val="008144AE"/>
    <w:rsid w:val="0082138B"/>
    <w:rsid w:val="00821690"/>
    <w:rsid w:val="0082389C"/>
    <w:rsid w:val="008256AB"/>
    <w:rsid w:val="00825A8C"/>
    <w:rsid w:val="00833980"/>
    <w:rsid w:val="00833ECD"/>
    <w:rsid w:val="008348B9"/>
    <w:rsid w:val="00836D06"/>
    <w:rsid w:val="00837377"/>
    <w:rsid w:val="008418E0"/>
    <w:rsid w:val="008429BA"/>
    <w:rsid w:val="008436E2"/>
    <w:rsid w:val="00846D0B"/>
    <w:rsid w:val="008509D8"/>
    <w:rsid w:val="00850F57"/>
    <w:rsid w:val="00860379"/>
    <w:rsid w:val="00870961"/>
    <w:rsid w:val="00875590"/>
    <w:rsid w:val="008834ED"/>
    <w:rsid w:val="00887652"/>
    <w:rsid w:val="0088765D"/>
    <w:rsid w:val="0089108D"/>
    <w:rsid w:val="00891DF9"/>
    <w:rsid w:val="00892751"/>
    <w:rsid w:val="00894712"/>
    <w:rsid w:val="008955B1"/>
    <w:rsid w:val="008A0A1E"/>
    <w:rsid w:val="008A5346"/>
    <w:rsid w:val="008B309B"/>
    <w:rsid w:val="008B36C7"/>
    <w:rsid w:val="008B47B2"/>
    <w:rsid w:val="008B5A27"/>
    <w:rsid w:val="008B5F19"/>
    <w:rsid w:val="008C111C"/>
    <w:rsid w:val="008C18D7"/>
    <w:rsid w:val="008C5F3F"/>
    <w:rsid w:val="008C62F0"/>
    <w:rsid w:val="008D0CAA"/>
    <w:rsid w:val="008D7373"/>
    <w:rsid w:val="008E3DE4"/>
    <w:rsid w:val="008F20E4"/>
    <w:rsid w:val="008F2FAE"/>
    <w:rsid w:val="008F36B5"/>
    <w:rsid w:val="008F3CBA"/>
    <w:rsid w:val="008F5CE6"/>
    <w:rsid w:val="008F64B4"/>
    <w:rsid w:val="00901583"/>
    <w:rsid w:val="009130B5"/>
    <w:rsid w:val="00914288"/>
    <w:rsid w:val="00916EC3"/>
    <w:rsid w:val="00921996"/>
    <w:rsid w:val="00924C66"/>
    <w:rsid w:val="00926607"/>
    <w:rsid w:val="00927C10"/>
    <w:rsid w:val="009328C6"/>
    <w:rsid w:val="00933E7D"/>
    <w:rsid w:val="00936243"/>
    <w:rsid w:val="0094033F"/>
    <w:rsid w:val="00945346"/>
    <w:rsid w:val="00953685"/>
    <w:rsid w:val="009539F6"/>
    <w:rsid w:val="00957135"/>
    <w:rsid w:val="00960A47"/>
    <w:rsid w:val="00963999"/>
    <w:rsid w:val="009644AD"/>
    <w:rsid w:val="00967D6A"/>
    <w:rsid w:val="00972899"/>
    <w:rsid w:val="00977FE1"/>
    <w:rsid w:val="0098030C"/>
    <w:rsid w:val="00986CAB"/>
    <w:rsid w:val="009A0BB4"/>
    <w:rsid w:val="009A1B22"/>
    <w:rsid w:val="009A589D"/>
    <w:rsid w:val="009A5C18"/>
    <w:rsid w:val="009B0500"/>
    <w:rsid w:val="009B1275"/>
    <w:rsid w:val="009B1EA5"/>
    <w:rsid w:val="009C73FA"/>
    <w:rsid w:val="009D13EA"/>
    <w:rsid w:val="009D4E83"/>
    <w:rsid w:val="009D5673"/>
    <w:rsid w:val="009D6DC1"/>
    <w:rsid w:val="009E0095"/>
    <w:rsid w:val="009E1DC1"/>
    <w:rsid w:val="009E36A9"/>
    <w:rsid w:val="009E4456"/>
    <w:rsid w:val="009E5842"/>
    <w:rsid w:val="009E71A4"/>
    <w:rsid w:val="009E7F43"/>
    <w:rsid w:val="009F1483"/>
    <w:rsid w:val="00A01179"/>
    <w:rsid w:val="00A01F7F"/>
    <w:rsid w:val="00A05A9A"/>
    <w:rsid w:val="00A1118B"/>
    <w:rsid w:val="00A12B96"/>
    <w:rsid w:val="00A14028"/>
    <w:rsid w:val="00A15195"/>
    <w:rsid w:val="00A15C74"/>
    <w:rsid w:val="00A15CE6"/>
    <w:rsid w:val="00A16168"/>
    <w:rsid w:val="00A21D57"/>
    <w:rsid w:val="00A35498"/>
    <w:rsid w:val="00A37521"/>
    <w:rsid w:val="00A4118E"/>
    <w:rsid w:val="00A41AEE"/>
    <w:rsid w:val="00A44D48"/>
    <w:rsid w:val="00A45EA2"/>
    <w:rsid w:val="00A522E5"/>
    <w:rsid w:val="00A5289E"/>
    <w:rsid w:val="00A60EB5"/>
    <w:rsid w:val="00A745BE"/>
    <w:rsid w:val="00A75C12"/>
    <w:rsid w:val="00A778D9"/>
    <w:rsid w:val="00A815B0"/>
    <w:rsid w:val="00A81C15"/>
    <w:rsid w:val="00A85413"/>
    <w:rsid w:val="00A92205"/>
    <w:rsid w:val="00A926A0"/>
    <w:rsid w:val="00A942E9"/>
    <w:rsid w:val="00AA0C54"/>
    <w:rsid w:val="00AA2F91"/>
    <w:rsid w:val="00AA5C89"/>
    <w:rsid w:val="00AA68BE"/>
    <w:rsid w:val="00AA7BCE"/>
    <w:rsid w:val="00AA7C9D"/>
    <w:rsid w:val="00AB43AE"/>
    <w:rsid w:val="00AB6A64"/>
    <w:rsid w:val="00AC15EB"/>
    <w:rsid w:val="00AC2314"/>
    <w:rsid w:val="00AC532F"/>
    <w:rsid w:val="00AC6084"/>
    <w:rsid w:val="00AC66F9"/>
    <w:rsid w:val="00AC727D"/>
    <w:rsid w:val="00AD25C5"/>
    <w:rsid w:val="00AD35AE"/>
    <w:rsid w:val="00AD409B"/>
    <w:rsid w:val="00AD4289"/>
    <w:rsid w:val="00AD7DA8"/>
    <w:rsid w:val="00AE00E6"/>
    <w:rsid w:val="00AE7DAB"/>
    <w:rsid w:val="00AE7F2C"/>
    <w:rsid w:val="00AF01E1"/>
    <w:rsid w:val="00AF269C"/>
    <w:rsid w:val="00B0711D"/>
    <w:rsid w:val="00B14434"/>
    <w:rsid w:val="00B2447F"/>
    <w:rsid w:val="00B252CE"/>
    <w:rsid w:val="00B2629F"/>
    <w:rsid w:val="00B2761B"/>
    <w:rsid w:val="00B32009"/>
    <w:rsid w:val="00B32AF1"/>
    <w:rsid w:val="00B370F5"/>
    <w:rsid w:val="00B410D7"/>
    <w:rsid w:val="00B419E1"/>
    <w:rsid w:val="00B41D6F"/>
    <w:rsid w:val="00B43E9F"/>
    <w:rsid w:val="00B46044"/>
    <w:rsid w:val="00B46BE1"/>
    <w:rsid w:val="00B47539"/>
    <w:rsid w:val="00B5279E"/>
    <w:rsid w:val="00B55169"/>
    <w:rsid w:val="00B559BE"/>
    <w:rsid w:val="00B55CCE"/>
    <w:rsid w:val="00B60602"/>
    <w:rsid w:val="00B62ECF"/>
    <w:rsid w:val="00B655A4"/>
    <w:rsid w:val="00B724CD"/>
    <w:rsid w:val="00B77636"/>
    <w:rsid w:val="00B80D60"/>
    <w:rsid w:val="00B81E0F"/>
    <w:rsid w:val="00B846F1"/>
    <w:rsid w:val="00B84BAD"/>
    <w:rsid w:val="00B86A00"/>
    <w:rsid w:val="00B86D9C"/>
    <w:rsid w:val="00B93AC1"/>
    <w:rsid w:val="00BA0808"/>
    <w:rsid w:val="00BA3D9E"/>
    <w:rsid w:val="00BA6DAC"/>
    <w:rsid w:val="00BA7CB0"/>
    <w:rsid w:val="00BB2416"/>
    <w:rsid w:val="00BB5CCF"/>
    <w:rsid w:val="00BB6E60"/>
    <w:rsid w:val="00BC67A3"/>
    <w:rsid w:val="00BC73D8"/>
    <w:rsid w:val="00BC74E0"/>
    <w:rsid w:val="00BD2018"/>
    <w:rsid w:val="00BE1283"/>
    <w:rsid w:val="00BE1D71"/>
    <w:rsid w:val="00BE3237"/>
    <w:rsid w:val="00BE45B4"/>
    <w:rsid w:val="00BE5934"/>
    <w:rsid w:val="00BE6FCE"/>
    <w:rsid w:val="00BF6882"/>
    <w:rsid w:val="00BF7F3C"/>
    <w:rsid w:val="00C02B6F"/>
    <w:rsid w:val="00C06161"/>
    <w:rsid w:val="00C10B23"/>
    <w:rsid w:val="00C12135"/>
    <w:rsid w:val="00C17957"/>
    <w:rsid w:val="00C308BB"/>
    <w:rsid w:val="00C31819"/>
    <w:rsid w:val="00C34657"/>
    <w:rsid w:val="00C42B7B"/>
    <w:rsid w:val="00C50CF4"/>
    <w:rsid w:val="00C523D9"/>
    <w:rsid w:val="00C56402"/>
    <w:rsid w:val="00C56CB4"/>
    <w:rsid w:val="00C576F5"/>
    <w:rsid w:val="00C62D70"/>
    <w:rsid w:val="00C6302B"/>
    <w:rsid w:val="00C67692"/>
    <w:rsid w:val="00C72D7F"/>
    <w:rsid w:val="00C7366D"/>
    <w:rsid w:val="00C80878"/>
    <w:rsid w:val="00C81514"/>
    <w:rsid w:val="00C829B3"/>
    <w:rsid w:val="00C83514"/>
    <w:rsid w:val="00C8423E"/>
    <w:rsid w:val="00C85E29"/>
    <w:rsid w:val="00C871A9"/>
    <w:rsid w:val="00C876AE"/>
    <w:rsid w:val="00C91151"/>
    <w:rsid w:val="00C935D3"/>
    <w:rsid w:val="00CA1DC7"/>
    <w:rsid w:val="00CA5225"/>
    <w:rsid w:val="00CA617F"/>
    <w:rsid w:val="00CA775E"/>
    <w:rsid w:val="00CB0131"/>
    <w:rsid w:val="00CB0A5D"/>
    <w:rsid w:val="00CB248C"/>
    <w:rsid w:val="00CB5B43"/>
    <w:rsid w:val="00CC2579"/>
    <w:rsid w:val="00CC4A79"/>
    <w:rsid w:val="00CC57C5"/>
    <w:rsid w:val="00CD0450"/>
    <w:rsid w:val="00CE4E6E"/>
    <w:rsid w:val="00CF0604"/>
    <w:rsid w:val="00CF2C45"/>
    <w:rsid w:val="00CF3D35"/>
    <w:rsid w:val="00CF4990"/>
    <w:rsid w:val="00CF659B"/>
    <w:rsid w:val="00CF75F0"/>
    <w:rsid w:val="00D139AD"/>
    <w:rsid w:val="00D148ED"/>
    <w:rsid w:val="00D14E65"/>
    <w:rsid w:val="00D23574"/>
    <w:rsid w:val="00D23F3F"/>
    <w:rsid w:val="00D24B54"/>
    <w:rsid w:val="00D31E7B"/>
    <w:rsid w:val="00D324DD"/>
    <w:rsid w:val="00D3505A"/>
    <w:rsid w:val="00D367FB"/>
    <w:rsid w:val="00D40812"/>
    <w:rsid w:val="00D41BB6"/>
    <w:rsid w:val="00D41BC2"/>
    <w:rsid w:val="00D432FA"/>
    <w:rsid w:val="00D433C8"/>
    <w:rsid w:val="00D45677"/>
    <w:rsid w:val="00D51C90"/>
    <w:rsid w:val="00D539C3"/>
    <w:rsid w:val="00D5775B"/>
    <w:rsid w:val="00D61132"/>
    <w:rsid w:val="00D62E8A"/>
    <w:rsid w:val="00D641F1"/>
    <w:rsid w:val="00D66977"/>
    <w:rsid w:val="00D677FF"/>
    <w:rsid w:val="00D751AE"/>
    <w:rsid w:val="00D8067C"/>
    <w:rsid w:val="00D8369E"/>
    <w:rsid w:val="00D925D2"/>
    <w:rsid w:val="00D9477A"/>
    <w:rsid w:val="00D9738F"/>
    <w:rsid w:val="00DA2285"/>
    <w:rsid w:val="00DA253C"/>
    <w:rsid w:val="00DA5365"/>
    <w:rsid w:val="00DA5490"/>
    <w:rsid w:val="00DA6BE5"/>
    <w:rsid w:val="00DB1799"/>
    <w:rsid w:val="00DB380D"/>
    <w:rsid w:val="00DB6C3B"/>
    <w:rsid w:val="00DC5C13"/>
    <w:rsid w:val="00DC5D1E"/>
    <w:rsid w:val="00DC600D"/>
    <w:rsid w:val="00DC71DD"/>
    <w:rsid w:val="00DD2A8E"/>
    <w:rsid w:val="00DD45A6"/>
    <w:rsid w:val="00DD5B75"/>
    <w:rsid w:val="00DF1644"/>
    <w:rsid w:val="00DF1D94"/>
    <w:rsid w:val="00DF395E"/>
    <w:rsid w:val="00DF463F"/>
    <w:rsid w:val="00E00F7F"/>
    <w:rsid w:val="00E03010"/>
    <w:rsid w:val="00E03EAB"/>
    <w:rsid w:val="00E12290"/>
    <w:rsid w:val="00E12AEC"/>
    <w:rsid w:val="00E16AFF"/>
    <w:rsid w:val="00E17219"/>
    <w:rsid w:val="00E175CA"/>
    <w:rsid w:val="00E202A6"/>
    <w:rsid w:val="00E215E7"/>
    <w:rsid w:val="00E27E4E"/>
    <w:rsid w:val="00E32A43"/>
    <w:rsid w:val="00E33A6B"/>
    <w:rsid w:val="00E33BA5"/>
    <w:rsid w:val="00E33EB8"/>
    <w:rsid w:val="00E34785"/>
    <w:rsid w:val="00E40E1E"/>
    <w:rsid w:val="00E43DDF"/>
    <w:rsid w:val="00E44E41"/>
    <w:rsid w:val="00E468E5"/>
    <w:rsid w:val="00E530C5"/>
    <w:rsid w:val="00E56732"/>
    <w:rsid w:val="00E5729B"/>
    <w:rsid w:val="00E703B3"/>
    <w:rsid w:val="00E74E79"/>
    <w:rsid w:val="00E753F4"/>
    <w:rsid w:val="00E813CF"/>
    <w:rsid w:val="00E81F73"/>
    <w:rsid w:val="00E83B0C"/>
    <w:rsid w:val="00E84DAC"/>
    <w:rsid w:val="00E90798"/>
    <w:rsid w:val="00E9079B"/>
    <w:rsid w:val="00E95BF4"/>
    <w:rsid w:val="00E976A0"/>
    <w:rsid w:val="00EA058D"/>
    <w:rsid w:val="00EA3E49"/>
    <w:rsid w:val="00EA43F6"/>
    <w:rsid w:val="00EA6734"/>
    <w:rsid w:val="00EB4509"/>
    <w:rsid w:val="00EB71B4"/>
    <w:rsid w:val="00EC4433"/>
    <w:rsid w:val="00EC69AC"/>
    <w:rsid w:val="00EC71A7"/>
    <w:rsid w:val="00EE3D87"/>
    <w:rsid w:val="00EE5817"/>
    <w:rsid w:val="00EE7435"/>
    <w:rsid w:val="00EF1FE0"/>
    <w:rsid w:val="00EF2027"/>
    <w:rsid w:val="00EF4AEB"/>
    <w:rsid w:val="00EF543C"/>
    <w:rsid w:val="00EF5C67"/>
    <w:rsid w:val="00EF5D77"/>
    <w:rsid w:val="00F0329D"/>
    <w:rsid w:val="00F03FB2"/>
    <w:rsid w:val="00F056FF"/>
    <w:rsid w:val="00F059CA"/>
    <w:rsid w:val="00F07CA6"/>
    <w:rsid w:val="00F20460"/>
    <w:rsid w:val="00F235E3"/>
    <w:rsid w:val="00F279AD"/>
    <w:rsid w:val="00F31A96"/>
    <w:rsid w:val="00F32759"/>
    <w:rsid w:val="00F3340E"/>
    <w:rsid w:val="00F34177"/>
    <w:rsid w:val="00F341F6"/>
    <w:rsid w:val="00F40D4E"/>
    <w:rsid w:val="00F41731"/>
    <w:rsid w:val="00F417B6"/>
    <w:rsid w:val="00F423F7"/>
    <w:rsid w:val="00F45B40"/>
    <w:rsid w:val="00F544C6"/>
    <w:rsid w:val="00F665FD"/>
    <w:rsid w:val="00F66CD6"/>
    <w:rsid w:val="00F82AE8"/>
    <w:rsid w:val="00F84DD7"/>
    <w:rsid w:val="00F859A4"/>
    <w:rsid w:val="00F86144"/>
    <w:rsid w:val="00F9095A"/>
    <w:rsid w:val="00F945AD"/>
    <w:rsid w:val="00F954FA"/>
    <w:rsid w:val="00F95755"/>
    <w:rsid w:val="00F97A93"/>
    <w:rsid w:val="00FA35CA"/>
    <w:rsid w:val="00FA3B24"/>
    <w:rsid w:val="00FA4862"/>
    <w:rsid w:val="00FA4EFA"/>
    <w:rsid w:val="00FA5A22"/>
    <w:rsid w:val="00FA6DE4"/>
    <w:rsid w:val="00FB1333"/>
    <w:rsid w:val="00FB258C"/>
    <w:rsid w:val="00FB5842"/>
    <w:rsid w:val="00FC3DAA"/>
    <w:rsid w:val="00FC636E"/>
    <w:rsid w:val="00FC6958"/>
    <w:rsid w:val="00FC740F"/>
    <w:rsid w:val="00FD07F3"/>
    <w:rsid w:val="00FD0972"/>
    <w:rsid w:val="00FD5BF2"/>
    <w:rsid w:val="00FE2ED3"/>
    <w:rsid w:val="00FE3327"/>
    <w:rsid w:val="00FE6A3A"/>
    <w:rsid w:val="00FF291E"/>
    <w:rsid w:val="00FF3858"/>
    <w:rsid w:val="00FF680D"/>
    <w:rsid w:val="00FF6A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List Bullet" w:semiHidden="0" w:unhideWhenUsed="0"/>
    <w:lsdException w:name="List Number" w:semiHidden="0" w:unhideWhenUsed="0"/>
    <w:lsdException w:name="List Bullet 2" w:semiHidden="0" w:unhideWhenUsed="0"/>
    <w:lsdException w:name="List Number 2"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Body Text 2" w:semiHidden="0" w:unhideWhenUsed="0"/>
    <w:lsdException w:name="Body Tex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74"/>
    <w:pPr>
      <w:spacing w:before="120" w:after="120" w:line="240" w:lineRule="auto"/>
    </w:pPr>
    <w:rPr>
      <w:rFonts w:ascii="Arial" w:hAnsi="Arial"/>
      <w:sz w:val="24"/>
    </w:rPr>
  </w:style>
  <w:style w:type="paragraph" w:styleId="Heading1">
    <w:name w:val="heading 1"/>
    <w:basedOn w:val="Normal"/>
    <w:next w:val="Normal"/>
    <w:link w:val="Heading1Char"/>
    <w:uiPriority w:val="9"/>
    <w:qFormat/>
    <w:rsid w:val="00304231"/>
    <w:pPr>
      <w:keepNext/>
      <w:keepLines/>
      <w:spacing w:before="0"/>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5C014A"/>
    <w:pPr>
      <w:keepNext/>
      <w:keepLines/>
      <w:spacing w:before="200" w:after="60"/>
      <w:outlineLvl w:val="1"/>
    </w:pPr>
    <w:rPr>
      <w:rFonts w:eastAsiaTheme="majorEastAsia" w:cstheme="majorBidi"/>
      <w:b/>
      <w:bCs/>
      <w:szCs w:val="26"/>
    </w:rPr>
  </w:style>
  <w:style w:type="paragraph" w:styleId="Heading3">
    <w:name w:val="heading 3"/>
    <w:basedOn w:val="Normal"/>
    <w:next w:val="BodyText"/>
    <w:link w:val="Heading3Char"/>
    <w:uiPriority w:val="9"/>
    <w:qFormat/>
    <w:rsid w:val="00091F09"/>
    <w:pPr>
      <w:keepNext/>
      <w:keepLines/>
      <w:numPr>
        <w:numId w:val="23"/>
      </w:numPr>
      <w:spacing w:after="60"/>
      <w:ind w:left="737" w:hanging="737"/>
      <w:contextualSpacing/>
      <w:outlineLvl w:val="2"/>
    </w:pPr>
    <w:rPr>
      <w:rFonts w:eastAsiaTheme="majorEastAsia" w:cstheme="majorBidi"/>
      <w:b/>
      <w:bCs/>
      <w:i/>
    </w:rPr>
  </w:style>
  <w:style w:type="paragraph" w:styleId="Heading4">
    <w:name w:val="heading 4"/>
    <w:basedOn w:val="Normal"/>
    <w:next w:val="BodyText"/>
    <w:link w:val="Heading4Char"/>
    <w:uiPriority w:val="9"/>
    <w:qFormat/>
    <w:rsid w:val="00091F09"/>
    <w:pPr>
      <w:keepNext/>
      <w:keepLines/>
      <w:spacing w:after="60"/>
      <w:ind w:left="737" w:hanging="737"/>
      <w:outlineLvl w:val="3"/>
    </w:pPr>
    <w:rPr>
      <w:rFonts w:eastAsiaTheme="majorEastAsia" w:cstheme="majorBidi"/>
      <w:b/>
      <w:bCs/>
      <w:i/>
      <w:iCs/>
    </w:rPr>
  </w:style>
  <w:style w:type="paragraph" w:styleId="Heading5">
    <w:name w:val="heading 5"/>
    <w:basedOn w:val="Normal"/>
    <w:next w:val="Normal"/>
    <w:link w:val="Heading5Char"/>
    <w:uiPriority w:val="9"/>
    <w:qFormat/>
    <w:rsid w:val="006852CF"/>
    <w:pPr>
      <w:keepNext/>
      <w:keepLines/>
      <w:spacing w:after="60"/>
      <w:outlineLvl w:val="4"/>
    </w:pPr>
    <w:rPr>
      <w:rFonts w:eastAsiaTheme="majorEastAsia" w:cstheme="majorBidi"/>
      <w:b/>
    </w:rPr>
  </w:style>
  <w:style w:type="paragraph" w:styleId="Heading6">
    <w:name w:val="heading 6"/>
    <w:basedOn w:val="Normal"/>
    <w:next w:val="Normal"/>
    <w:link w:val="Heading6Char"/>
    <w:uiPriority w:val="9"/>
    <w:unhideWhenUsed/>
    <w:qFormat/>
    <w:rsid w:val="006852CF"/>
    <w:pPr>
      <w:keepNext/>
      <w:keepLines/>
      <w:spacing w:after="60"/>
      <w:ind w:left="794"/>
      <w:outlineLvl w:val="5"/>
    </w:pPr>
    <w:rPr>
      <w:rFonts w:eastAsiaTheme="majorEastAsia" w:cstheme="majorBidi"/>
      <w:b/>
      <w:iCs/>
    </w:rPr>
  </w:style>
  <w:style w:type="paragraph" w:styleId="Heading7">
    <w:name w:val="heading 7"/>
    <w:basedOn w:val="Normal"/>
    <w:next w:val="Normal"/>
    <w:link w:val="Heading7Char"/>
    <w:uiPriority w:val="9"/>
    <w:unhideWhenUsed/>
    <w:qFormat/>
    <w:rsid w:val="009D4E83"/>
    <w:pPr>
      <w:keepNext/>
      <w:keepLines/>
      <w:spacing w:before="200"/>
      <w:outlineLvl w:val="6"/>
    </w:pPr>
    <w:rPr>
      <w:rFonts w:eastAsiaTheme="majorEastAsia" w:cstheme="majorBidi"/>
      <w:b/>
      <w:iCs/>
    </w:rPr>
  </w:style>
  <w:style w:type="paragraph" w:styleId="Heading8">
    <w:name w:val="heading 8"/>
    <w:basedOn w:val="Normal"/>
    <w:next w:val="Normal"/>
    <w:link w:val="Heading8Char"/>
    <w:uiPriority w:val="9"/>
    <w:unhideWhenUsed/>
    <w:qFormat/>
    <w:rsid w:val="00782C8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1F09"/>
    <w:rPr>
      <w:rFonts w:ascii="Arial" w:eastAsiaTheme="majorEastAsia" w:hAnsi="Arial" w:cstheme="majorBidi"/>
      <w:b/>
      <w:bCs/>
      <w:i/>
      <w:sz w:val="24"/>
    </w:rPr>
  </w:style>
  <w:style w:type="character" w:customStyle="1" w:styleId="Heading2Char">
    <w:name w:val="Heading 2 Char"/>
    <w:basedOn w:val="DefaultParagraphFont"/>
    <w:link w:val="Heading2"/>
    <w:uiPriority w:val="9"/>
    <w:rsid w:val="005C014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091F09"/>
    <w:rPr>
      <w:rFonts w:ascii="Arial" w:eastAsiaTheme="majorEastAsia" w:hAnsi="Arial" w:cstheme="majorBidi"/>
      <w:b/>
      <w:bCs/>
      <w:i/>
      <w:iCs/>
      <w:sz w:val="24"/>
    </w:rPr>
  </w:style>
  <w:style w:type="character" w:customStyle="1" w:styleId="Heading1Char">
    <w:name w:val="Heading 1 Char"/>
    <w:basedOn w:val="DefaultParagraphFont"/>
    <w:link w:val="Heading1"/>
    <w:uiPriority w:val="9"/>
    <w:rsid w:val="00304231"/>
    <w:rPr>
      <w:rFonts w:ascii="Arial" w:eastAsiaTheme="majorEastAsia" w:hAnsi="Arial" w:cstheme="majorBidi"/>
      <w:b/>
      <w:bCs/>
      <w:sz w:val="32"/>
      <w:szCs w:val="28"/>
    </w:rPr>
  </w:style>
  <w:style w:type="paragraph" w:styleId="BalloonText">
    <w:name w:val="Balloon Text"/>
    <w:basedOn w:val="Normal"/>
    <w:link w:val="BalloonTextChar"/>
    <w:uiPriority w:val="99"/>
    <w:semiHidden/>
    <w:unhideWhenUsed/>
    <w:rsid w:val="001A0F41"/>
    <w:rPr>
      <w:rFonts w:ascii="Tahoma" w:hAnsi="Tahoma" w:cs="Tahoma"/>
      <w:sz w:val="16"/>
      <w:szCs w:val="16"/>
    </w:rPr>
  </w:style>
  <w:style w:type="character" w:customStyle="1" w:styleId="BalloonTextChar">
    <w:name w:val="Balloon Text Char"/>
    <w:basedOn w:val="DefaultParagraphFont"/>
    <w:link w:val="BalloonText"/>
    <w:uiPriority w:val="99"/>
    <w:semiHidden/>
    <w:rsid w:val="001A0F41"/>
    <w:rPr>
      <w:rFonts w:ascii="Tahoma" w:hAnsi="Tahoma" w:cs="Tahoma"/>
      <w:sz w:val="16"/>
      <w:szCs w:val="16"/>
    </w:rPr>
  </w:style>
  <w:style w:type="paragraph" w:styleId="ListParagraph">
    <w:name w:val="List Paragraph"/>
    <w:basedOn w:val="Normal"/>
    <w:uiPriority w:val="34"/>
    <w:unhideWhenUsed/>
    <w:qFormat/>
    <w:rsid w:val="001A0F41"/>
    <w:pPr>
      <w:ind w:left="720"/>
      <w:contextualSpacing/>
    </w:pPr>
  </w:style>
  <w:style w:type="paragraph" w:styleId="Header">
    <w:name w:val="header"/>
    <w:basedOn w:val="Normal"/>
    <w:link w:val="HeaderChar"/>
    <w:uiPriority w:val="99"/>
    <w:unhideWhenUsed/>
    <w:rsid w:val="00304231"/>
    <w:pPr>
      <w:tabs>
        <w:tab w:val="center" w:pos="4513"/>
        <w:tab w:val="right" w:pos="9026"/>
      </w:tabs>
      <w:spacing w:before="0" w:after="0"/>
    </w:pPr>
    <w:rPr>
      <w:sz w:val="20"/>
    </w:rPr>
  </w:style>
  <w:style w:type="character" w:customStyle="1" w:styleId="HeaderChar">
    <w:name w:val="Header Char"/>
    <w:basedOn w:val="DefaultParagraphFont"/>
    <w:link w:val="Header"/>
    <w:uiPriority w:val="99"/>
    <w:rsid w:val="00304231"/>
    <w:rPr>
      <w:rFonts w:ascii="Arial" w:hAnsi="Arial"/>
      <w:sz w:val="20"/>
    </w:rPr>
  </w:style>
  <w:style w:type="paragraph" w:styleId="Footer">
    <w:name w:val="footer"/>
    <w:basedOn w:val="Normal"/>
    <w:link w:val="FooterChar"/>
    <w:uiPriority w:val="99"/>
    <w:rsid w:val="00304231"/>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304231"/>
    <w:rPr>
      <w:rFonts w:ascii="Arial" w:hAnsi="Arial"/>
      <w:sz w:val="20"/>
    </w:rPr>
  </w:style>
  <w:style w:type="paragraph" w:styleId="ListBullet">
    <w:name w:val="List Bullet"/>
    <w:basedOn w:val="Normal"/>
    <w:uiPriority w:val="99"/>
    <w:rsid w:val="00A21D57"/>
    <w:pPr>
      <w:numPr>
        <w:numId w:val="4"/>
      </w:numPr>
      <w:ind w:left="284" w:hanging="284"/>
      <w:contextualSpacing/>
    </w:pPr>
  </w:style>
  <w:style w:type="paragraph" w:styleId="NoSpacing">
    <w:name w:val="No Spacing"/>
    <w:uiPriority w:val="1"/>
    <w:qFormat/>
    <w:rsid w:val="001A0F41"/>
    <w:pPr>
      <w:spacing w:after="0" w:line="240" w:lineRule="auto"/>
    </w:pPr>
    <w:rPr>
      <w:rFonts w:ascii="Arial" w:hAnsi="Arial"/>
      <w:sz w:val="24"/>
    </w:rPr>
  </w:style>
  <w:style w:type="paragraph" w:styleId="ListBullet2">
    <w:name w:val="List Bullet 2"/>
    <w:basedOn w:val="ListBullet"/>
    <w:uiPriority w:val="99"/>
    <w:rsid w:val="00091F09"/>
    <w:pPr>
      <w:numPr>
        <w:numId w:val="6"/>
      </w:numPr>
      <w:tabs>
        <w:tab w:val="clear" w:pos="360"/>
        <w:tab w:val="num" w:pos="643"/>
      </w:tabs>
      <w:ind w:left="1021" w:hanging="284"/>
    </w:pPr>
  </w:style>
  <w:style w:type="paragraph" w:styleId="ListNumber2">
    <w:name w:val="List Number 2"/>
    <w:basedOn w:val="ListBullet2"/>
    <w:uiPriority w:val="99"/>
    <w:rsid w:val="00091F09"/>
    <w:pPr>
      <w:numPr>
        <w:numId w:val="7"/>
      </w:numPr>
      <w:spacing w:before="0" w:after="0"/>
      <w:ind w:left="1304" w:hanging="567"/>
    </w:pPr>
  </w:style>
  <w:style w:type="paragraph" w:styleId="FootnoteText">
    <w:name w:val="footnote text"/>
    <w:basedOn w:val="Normal"/>
    <w:link w:val="FootnoteTextChar"/>
    <w:uiPriority w:val="99"/>
    <w:semiHidden/>
    <w:unhideWhenUsed/>
    <w:rsid w:val="001A0F41"/>
    <w:rPr>
      <w:sz w:val="20"/>
      <w:szCs w:val="20"/>
    </w:rPr>
  </w:style>
  <w:style w:type="character" w:customStyle="1" w:styleId="FootnoteTextChar">
    <w:name w:val="Footnote Text Char"/>
    <w:basedOn w:val="DefaultParagraphFont"/>
    <w:link w:val="FootnoteText"/>
    <w:uiPriority w:val="99"/>
    <w:semiHidden/>
    <w:rsid w:val="001A0F41"/>
    <w:rPr>
      <w:rFonts w:ascii="Arial" w:hAnsi="Arial"/>
      <w:sz w:val="20"/>
      <w:szCs w:val="20"/>
    </w:rPr>
  </w:style>
  <w:style w:type="paragraph" w:customStyle="1" w:styleId="Draftingnote">
    <w:name w:val="Drafting note"/>
    <w:basedOn w:val="Normal"/>
    <w:next w:val="Normal"/>
    <w:qFormat/>
    <w:rsid w:val="009A589D"/>
    <w:pPr>
      <w:spacing w:before="60" w:after="60"/>
      <w:ind w:left="794"/>
    </w:pPr>
    <w:rPr>
      <w:rFonts w:ascii="Times New Roman" w:hAnsi="Times New Roman"/>
      <w:color w:val="005EB8"/>
    </w:rPr>
  </w:style>
  <w:style w:type="paragraph" w:customStyle="1" w:styleId="Default">
    <w:name w:val="Default"/>
    <w:rsid w:val="00C02B6F"/>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semiHidden/>
    <w:unhideWhenUsed/>
    <w:rsid w:val="001A0F41"/>
    <w:pPr>
      <w:spacing w:after="100"/>
      <w:ind w:left="240"/>
    </w:pPr>
  </w:style>
  <w:style w:type="character" w:styleId="FootnoteReference">
    <w:name w:val="footnote reference"/>
    <w:basedOn w:val="DefaultParagraphFont"/>
    <w:uiPriority w:val="99"/>
    <w:semiHidden/>
    <w:unhideWhenUsed/>
    <w:rsid w:val="001A0F41"/>
    <w:rPr>
      <w:vertAlign w:val="superscript"/>
    </w:rPr>
  </w:style>
  <w:style w:type="character" w:styleId="Hyperlink">
    <w:name w:val="Hyperlink"/>
    <w:basedOn w:val="DefaultParagraphFont"/>
    <w:uiPriority w:val="99"/>
    <w:unhideWhenUsed/>
    <w:rsid w:val="00200B74"/>
    <w:rPr>
      <w:color w:val="005EB8"/>
      <w:u w:val="single"/>
    </w:rPr>
  </w:style>
  <w:style w:type="paragraph" w:styleId="TOC3">
    <w:name w:val="toc 3"/>
    <w:basedOn w:val="Normal"/>
    <w:next w:val="Normal"/>
    <w:autoRedefine/>
    <w:uiPriority w:val="39"/>
    <w:semiHidden/>
    <w:unhideWhenUsed/>
    <w:rsid w:val="001A0F41"/>
    <w:pPr>
      <w:spacing w:after="100"/>
      <w:ind w:left="480"/>
    </w:pPr>
  </w:style>
  <w:style w:type="character" w:styleId="FollowedHyperlink">
    <w:name w:val="FollowedHyperlink"/>
    <w:basedOn w:val="DefaultParagraphFont"/>
    <w:uiPriority w:val="99"/>
    <w:rsid w:val="00200B74"/>
    <w:rPr>
      <w:color w:val="330072"/>
      <w:u w:val="single"/>
    </w:rPr>
  </w:style>
  <w:style w:type="paragraph" w:styleId="Quote">
    <w:name w:val="Quote"/>
    <w:basedOn w:val="Normal"/>
    <w:next w:val="Normal"/>
    <w:link w:val="QuoteChar"/>
    <w:uiPriority w:val="29"/>
    <w:semiHidden/>
    <w:unhideWhenUsed/>
    <w:qFormat/>
    <w:rsid w:val="001A0F41"/>
    <w:rPr>
      <w:i/>
      <w:iCs/>
      <w:color w:val="000000" w:themeColor="text1"/>
    </w:rPr>
  </w:style>
  <w:style w:type="character" w:customStyle="1" w:styleId="QuoteChar">
    <w:name w:val="Quote Char"/>
    <w:basedOn w:val="DefaultParagraphFont"/>
    <w:link w:val="Quote"/>
    <w:uiPriority w:val="29"/>
    <w:semiHidden/>
    <w:rsid w:val="001A0F41"/>
    <w:rPr>
      <w:rFonts w:ascii="Arial" w:hAnsi="Arial"/>
      <w:i/>
      <w:iCs/>
      <w:color w:val="000000" w:themeColor="text1"/>
      <w:sz w:val="24"/>
    </w:rPr>
  </w:style>
  <w:style w:type="paragraph" w:styleId="CommentText">
    <w:name w:val="annotation text"/>
    <w:basedOn w:val="Normal"/>
    <w:link w:val="CommentTextChar"/>
    <w:uiPriority w:val="99"/>
    <w:semiHidden/>
    <w:unhideWhenUsed/>
    <w:rsid w:val="001A0F41"/>
    <w:rPr>
      <w:sz w:val="20"/>
      <w:szCs w:val="20"/>
    </w:rPr>
  </w:style>
  <w:style w:type="character" w:customStyle="1" w:styleId="CommentTextChar">
    <w:name w:val="Comment Text Char"/>
    <w:basedOn w:val="DefaultParagraphFont"/>
    <w:link w:val="CommentText"/>
    <w:uiPriority w:val="99"/>
    <w:semiHidden/>
    <w:rsid w:val="001A0F41"/>
    <w:rPr>
      <w:rFonts w:ascii="Arial" w:hAnsi="Arial"/>
      <w:sz w:val="20"/>
      <w:szCs w:val="20"/>
    </w:rPr>
  </w:style>
  <w:style w:type="character" w:styleId="CommentReference">
    <w:name w:val="annotation reference"/>
    <w:basedOn w:val="DefaultParagraphFont"/>
    <w:uiPriority w:val="99"/>
    <w:semiHidden/>
    <w:unhideWhenUsed/>
    <w:rsid w:val="001A0F41"/>
    <w:rPr>
      <w:sz w:val="16"/>
      <w:szCs w:val="16"/>
    </w:rPr>
  </w:style>
  <w:style w:type="character" w:styleId="EndnoteReference">
    <w:name w:val="endnote reference"/>
    <w:basedOn w:val="DefaultParagraphFont"/>
    <w:uiPriority w:val="99"/>
    <w:semiHidden/>
    <w:unhideWhenUsed/>
    <w:rsid w:val="001A0F41"/>
    <w:rPr>
      <w:vertAlign w:val="superscript"/>
    </w:rPr>
  </w:style>
  <w:style w:type="paragraph" w:styleId="EndnoteText">
    <w:name w:val="endnote text"/>
    <w:basedOn w:val="Normal"/>
    <w:link w:val="EndnoteTextChar"/>
    <w:uiPriority w:val="99"/>
    <w:semiHidden/>
    <w:unhideWhenUsed/>
    <w:rsid w:val="001A0F41"/>
    <w:rPr>
      <w:sz w:val="20"/>
      <w:szCs w:val="20"/>
    </w:rPr>
  </w:style>
  <w:style w:type="character" w:customStyle="1" w:styleId="EndnoteTextChar">
    <w:name w:val="Endnote Text Char"/>
    <w:basedOn w:val="DefaultParagraphFont"/>
    <w:link w:val="EndnoteText"/>
    <w:uiPriority w:val="99"/>
    <w:semiHidden/>
    <w:rsid w:val="001A0F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0F41"/>
    <w:rPr>
      <w:b/>
      <w:bCs/>
    </w:rPr>
  </w:style>
  <w:style w:type="character" w:customStyle="1" w:styleId="CommentSubjectChar">
    <w:name w:val="Comment Subject Char"/>
    <w:basedOn w:val="CommentTextChar"/>
    <w:link w:val="CommentSubject"/>
    <w:uiPriority w:val="99"/>
    <w:semiHidden/>
    <w:rsid w:val="001A0F41"/>
    <w:rPr>
      <w:rFonts w:ascii="Arial" w:hAnsi="Arial"/>
      <w:b/>
      <w:bCs/>
      <w:sz w:val="20"/>
      <w:szCs w:val="20"/>
    </w:rPr>
  </w:style>
  <w:style w:type="table" w:styleId="TableGrid">
    <w:name w:val="Table Grid"/>
    <w:basedOn w:val="TableNormal"/>
    <w:uiPriority w:val="59"/>
    <w:rsid w:val="00C02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1A0F41"/>
    <w:pPr>
      <w:spacing w:after="100"/>
    </w:pPr>
  </w:style>
  <w:style w:type="paragraph" w:styleId="ListNumber">
    <w:name w:val="List Number"/>
    <w:basedOn w:val="Normal"/>
    <w:uiPriority w:val="99"/>
    <w:rsid w:val="001A0F41"/>
    <w:pPr>
      <w:numPr>
        <w:numId w:val="5"/>
      </w:numPr>
      <w:tabs>
        <w:tab w:val="num" w:pos="360"/>
      </w:tabs>
      <w:ind w:left="360"/>
      <w:contextualSpacing/>
    </w:pPr>
  </w:style>
  <w:style w:type="paragraph" w:styleId="TOCHeading">
    <w:name w:val="TOC Heading"/>
    <w:basedOn w:val="Heading1"/>
    <w:next w:val="Normal"/>
    <w:uiPriority w:val="39"/>
    <w:semiHidden/>
    <w:unhideWhenUsed/>
    <w:qFormat/>
    <w:rsid w:val="001A0F41"/>
    <w:pPr>
      <w:spacing w:before="480"/>
      <w:outlineLvl w:val="9"/>
    </w:pPr>
    <w:rPr>
      <w:rFonts w:asciiTheme="majorHAnsi" w:hAnsiTheme="majorHAnsi"/>
      <w:color w:val="365F91" w:themeColor="accent1" w:themeShade="BF"/>
      <w:sz w:val="28"/>
    </w:rPr>
  </w:style>
  <w:style w:type="paragraph" w:styleId="BodyText">
    <w:name w:val="Body Text"/>
    <w:basedOn w:val="Normal"/>
    <w:link w:val="BodyTextChar"/>
    <w:uiPriority w:val="99"/>
    <w:rsid w:val="00091F09"/>
    <w:pPr>
      <w:spacing w:before="0"/>
      <w:ind w:left="737"/>
    </w:pPr>
  </w:style>
  <w:style w:type="character" w:customStyle="1" w:styleId="BodyTextChar">
    <w:name w:val="Body Text Char"/>
    <w:basedOn w:val="DefaultParagraphFont"/>
    <w:link w:val="BodyText"/>
    <w:uiPriority w:val="99"/>
    <w:rsid w:val="00091F09"/>
    <w:rPr>
      <w:rFonts w:ascii="Arial" w:hAnsi="Arial"/>
      <w:sz w:val="24"/>
    </w:rPr>
  </w:style>
  <w:style w:type="character" w:styleId="SubtleEmphasis">
    <w:name w:val="Subtle Emphasis"/>
    <w:basedOn w:val="DefaultParagraphFont"/>
    <w:uiPriority w:val="19"/>
    <w:semiHidden/>
    <w:unhideWhenUsed/>
    <w:qFormat/>
    <w:rsid w:val="001A0F41"/>
    <w:rPr>
      <w:i/>
      <w:iCs/>
      <w:color w:val="808080" w:themeColor="text1" w:themeTint="7F"/>
    </w:rPr>
  </w:style>
  <w:style w:type="paragraph" w:styleId="PlainText">
    <w:name w:val="Plain Text"/>
    <w:basedOn w:val="Normal"/>
    <w:link w:val="PlainTextChar"/>
    <w:uiPriority w:val="99"/>
    <w:semiHidden/>
    <w:unhideWhenUsed/>
    <w:rsid w:val="001A0F41"/>
    <w:rPr>
      <w:rFonts w:ascii="Consolas" w:hAnsi="Consolas" w:cs="Consolas"/>
      <w:sz w:val="21"/>
      <w:szCs w:val="21"/>
    </w:rPr>
  </w:style>
  <w:style w:type="character" w:customStyle="1" w:styleId="PlainTextChar">
    <w:name w:val="Plain Text Char"/>
    <w:basedOn w:val="DefaultParagraphFont"/>
    <w:link w:val="PlainText"/>
    <w:uiPriority w:val="99"/>
    <w:semiHidden/>
    <w:rsid w:val="001A0F41"/>
    <w:rPr>
      <w:rFonts w:ascii="Consolas" w:hAnsi="Consolas" w:cs="Consolas"/>
      <w:sz w:val="21"/>
      <w:szCs w:val="21"/>
    </w:rPr>
  </w:style>
  <w:style w:type="paragraph" w:styleId="BodyText2">
    <w:name w:val="Body Text 2"/>
    <w:basedOn w:val="Draftingnote"/>
    <w:link w:val="BodyText2Char"/>
    <w:uiPriority w:val="99"/>
    <w:rsid w:val="00FD0972"/>
    <w:pPr>
      <w:ind w:left="0"/>
    </w:pPr>
  </w:style>
  <w:style w:type="character" w:customStyle="1" w:styleId="BodyText2Char">
    <w:name w:val="Body Text 2 Char"/>
    <w:basedOn w:val="DefaultParagraphFont"/>
    <w:link w:val="BodyText2"/>
    <w:uiPriority w:val="99"/>
    <w:rsid w:val="00FD0972"/>
    <w:rPr>
      <w:rFonts w:ascii="Times New Roman" w:hAnsi="Times New Roman"/>
      <w:color w:val="005EB8"/>
      <w:sz w:val="24"/>
    </w:rPr>
  </w:style>
  <w:style w:type="character" w:customStyle="1" w:styleId="Heading5Char">
    <w:name w:val="Heading 5 Char"/>
    <w:basedOn w:val="DefaultParagraphFont"/>
    <w:link w:val="Heading5"/>
    <w:uiPriority w:val="9"/>
    <w:rsid w:val="006852CF"/>
    <w:rPr>
      <w:rFonts w:ascii="Arial" w:eastAsiaTheme="majorEastAsia" w:hAnsi="Arial" w:cstheme="majorBidi"/>
      <w:b/>
      <w:sz w:val="24"/>
    </w:rPr>
  </w:style>
  <w:style w:type="character" w:customStyle="1" w:styleId="Heading6Char">
    <w:name w:val="Heading 6 Char"/>
    <w:basedOn w:val="DefaultParagraphFont"/>
    <w:link w:val="Heading6"/>
    <w:uiPriority w:val="9"/>
    <w:rsid w:val="006852CF"/>
    <w:rPr>
      <w:rFonts w:ascii="Arial" w:eastAsiaTheme="majorEastAsia" w:hAnsi="Arial" w:cstheme="majorBidi"/>
      <w:b/>
      <w:iCs/>
      <w:sz w:val="24"/>
    </w:rPr>
  </w:style>
  <w:style w:type="character" w:customStyle="1" w:styleId="Heading7Char">
    <w:name w:val="Heading 7 Char"/>
    <w:basedOn w:val="DefaultParagraphFont"/>
    <w:link w:val="Heading7"/>
    <w:uiPriority w:val="9"/>
    <w:rsid w:val="009D4E83"/>
    <w:rPr>
      <w:rFonts w:ascii="Arial" w:eastAsiaTheme="majorEastAsia" w:hAnsi="Arial" w:cstheme="majorBidi"/>
      <w:b/>
      <w:iCs/>
      <w:sz w:val="24"/>
    </w:rPr>
  </w:style>
  <w:style w:type="character" w:styleId="BookTitle">
    <w:name w:val="Book Title"/>
    <w:basedOn w:val="DefaultParagraphFont"/>
    <w:uiPriority w:val="33"/>
    <w:qFormat/>
    <w:rsid w:val="00A81C15"/>
    <w:rPr>
      <w:b/>
      <w:bCs/>
      <w:smallCaps/>
      <w:spacing w:val="5"/>
    </w:rPr>
  </w:style>
  <w:style w:type="character" w:customStyle="1" w:styleId="Heading8Char">
    <w:name w:val="Heading 8 Char"/>
    <w:basedOn w:val="DefaultParagraphFont"/>
    <w:link w:val="Heading8"/>
    <w:uiPriority w:val="9"/>
    <w:rsid w:val="00782C8A"/>
    <w:rPr>
      <w:rFonts w:asciiTheme="majorHAnsi" w:eastAsiaTheme="majorEastAsia" w:hAnsiTheme="majorHAnsi" w:cstheme="majorBidi"/>
      <w:color w:val="404040" w:themeColor="text1" w:themeTint="BF"/>
      <w:sz w:val="20"/>
      <w:szCs w:val="20"/>
    </w:rPr>
  </w:style>
  <w:style w:type="paragraph" w:styleId="BodyText3">
    <w:name w:val="Body Text 3"/>
    <w:basedOn w:val="BodyText"/>
    <w:link w:val="BodyText3Char"/>
    <w:uiPriority w:val="99"/>
    <w:rsid w:val="00BB6E60"/>
    <w:pPr>
      <w:spacing w:after="0"/>
      <w:ind w:left="1361"/>
    </w:pPr>
    <w:rPr>
      <w:szCs w:val="16"/>
    </w:rPr>
  </w:style>
  <w:style w:type="character" w:customStyle="1" w:styleId="BodyText3Char">
    <w:name w:val="Body Text 3 Char"/>
    <w:basedOn w:val="DefaultParagraphFont"/>
    <w:link w:val="BodyText3"/>
    <w:uiPriority w:val="99"/>
    <w:rsid w:val="00BB6E60"/>
    <w:rPr>
      <w:rFonts w:ascii="Arial" w:hAnsi="Arial"/>
      <w:sz w:val="24"/>
      <w:szCs w:val="16"/>
    </w:rPr>
  </w:style>
  <w:style w:type="paragraph" w:styleId="BlockText">
    <w:name w:val="Block Text"/>
    <w:basedOn w:val="Draftingnote"/>
    <w:uiPriority w:val="99"/>
    <w:rsid w:val="009A589D"/>
    <w:pPr>
      <w:spacing w:before="0" w:after="0"/>
      <w:ind w:left="0"/>
      <w:jc w:val="center"/>
    </w:pPr>
    <w:rPr>
      <w:rFonts w:eastAsiaTheme="minorEastAsia"/>
      <w:iCs/>
      <w:sz w:val="20"/>
    </w:rPr>
  </w:style>
  <w:style w:type="table" w:styleId="TableGrid1">
    <w:name w:val="Table Grid 1"/>
    <w:basedOn w:val="TableNormal"/>
    <w:uiPriority w:val="99"/>
    <w:semiHidden/>
    <w:unhideWhenUsed/>
    <w:rsid w:val="009A589D"/>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List Bullet" w:semiHidden="0" w:unhideWhenUsed="0"/>
    <w:lsdException w:name="List Number" w:semiHidden="0" w:unhideWhenUsed="0"/>
    <w:lsdException w:name="List Bullet 2" w:semiHidden="0" w:unhideWhenUsed="0"/>
    <w:lsdException w:name="List Number 2"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Body Text 2" w:semiHidden="0" w:unhideWhenUsed="0"/>
    <w:lsdException w:name="Body Text 3" w:semiHidden="0" w:unhideWhenUsed="0"/>
    <w:lsdException w:name="Block Text" w:semiHidden="0"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74"/>
    <w:pPr>
      <w:spacing w:before="120" w:after="120" w:line="240" w:lineRule="auto"/>
    </w:pPr>
    <w:rPr>
      <w:rFonts w:ascii="Arial" w:hAnsi="Arial"/>
      <w:sz w:val="24"/>
    </w:rPr>
  </w:style>
  <w:style w:type="paragraph" w:styleId="Heading1">
    <w:name w:val="heading 1"/>
    <w:basedOn w:val="Normal"/>
    <w:next w:val="Normal"/>
    <w:link w:val="Heading1Char"/>
    <w:uiPriority w:val="9"/>
    <w:qFormat/>
    <w:rsid w:val="00304231"/>
    <w:pPr>
      <w:keepNext/>
      <w:keepLines/>
      <w:spacing w:before="0"/>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5C014A"/>
    <w:pPr>
      <w:keepNext/>
      <w:keepLines/>
      <w:spacing w:before="200" w:after="60"/>
      <w:outlineLvl w:val="1"/>
    </w:pPr>
    <w:rPr>
      <w:rFonts w:eastAsiaTheme="majorEastAsia" w:cstheme="majorBidi"/>
      <w:b/>
      <w:bCs/>
      <w:szCs w:val="26"/>
    </w:rPr>
  </w:style>
  <w:style w:type="paragraph" w:styleId="Heading3">
    <w:name w:val="heading 3"/>
    <w:basedOn w:val="Normal"/>
    <w:next w:val="BodyText"/>
    <w:link w:val="Heading3Char"/>
    <w:uiPriority w:val="9"/>
    <w:qFormat/>
    <w:rsid w:val="00091F09"/>
    <w:pPr>
      <w:keepNext/>
      <w:keepLines/>
      <w:numPr>
        <w:numId w:val="23"/>
      </w:numPr>
      <w:spacing w:after="60"/>
      <w:ind w:left="737" w:hanging="737"/>
      <w:contextualSpacing/>
      <w:outlineLvl w:val="2"/>
    </w:pPr>
    <w:rPr>
      <w:rFonts w:eastAsiaTheme="majorEastAsia" w:cstheme="majorBidi"/>
      <w:b/>
      <w:bCs/>
      <w:i/>
    </w:rPr>
  </w:style>
  <w:style w:type="paragraph" w:styleId="Heading4">
    <w:name w:val="heading 4"/>
    <w:basedOn w:val="Normal"/>
    <w:next w:val="BodyText"/>
    <w:link w:val="Heading4Char"/>
    <w:uiPriority w:val="9"/>
    <w:qFormat/>
    <w:rsid w:val="00091F09"/>
    <w:pPr>
      <w:keepNext/>
      <w:keepLines/>
      <w:spacing w:after="60"/>
      <w:ind w:left="737" w:hanging="737"/>
      <w:outlineLvl w:val="3"/>
    </w:pPr>
    <w:rPr>
      <w:rFonts w:eastAsiaTheme="majorEastAsia" w:cstheme="majorBidi"/>
      <w:b/>
      <w:bCs/>
      <w:i/>
      <w:iCs/>
    </w:rPr>
  </w:style>
  <w:style w:type="paragraph" w:styleId="Heading5">
    <w:name w:val="heading 5"/>
    <w:basedOn w:val="Normal"/>
    <w:next w:val="Normal"/>
    <w:link w:val="Heading5Char"/>
    <w:uiPriority w:val="9"/>
    <w:qFormat/>
    <w:rsid w:val="006852CF"/>
    <w:pPr>
      <w:keepNext/>
      <w:keepLines/>
      <w:spacing w:after="60"/>
      <w:outlineLvl w:val="4"/>
    </w:pPr>
    <w:rPr>
      <w:rFonts w:eastAsiaTheme="majorEastAsia" w:cstheme="majorBidi"/>
      <w:b/>
    </w:rPr>
  </w:style>
  <w:style w:type="paragraph" w:styleId="Heading6">
    <w:name w:val="heading 6"/>
    <w:basedOn w:val="Normal"/>
    <w:next w:val="Normal"/>
    <w:link w:val="Heading6Char"/>
    <w:uiPriority w:val="9"/>
    <w:unhideWhenUsed/>
    <w:qFormat/>
    <w:rsid w:val="006852CF"/>
    <w:pPr>
      <w:keepNext/>
      <w:keepLines/>
      <w:spacing w:after="60"/>
      <w:ind w:left="794"/>
      <w:outlineLvl w:val="5"/>
    </w:pPr>
    <w:rPr>
      <w:rFonts w:eastAsiaTheme="majorEastAsia" w:cstheme="majorBidi"/>
      <w:b/>
      <w:iCs/>
    </w:rPr>
  </w:style>
  <w:style w:type="paragraph" w:styleId="Heading7">
    <w:name w:val="heading 7"/>
    <w:basedOn w:val="Normal"/>
    <w:next w:val="Normal"/>
    <w:link w:val="Heading7Char"/>
    <w:uiPriority w:val="9"/>
    <w:unhideWhenUsed/>
    <w:qFormat/>
    <w:rsid w:val="009D4E83"/>
    <w:pPr>
      <w:keepNext/>
      <w:keepLines/>
      <w:spacing w:before="200"/>
      <w:outlineLvl w:val="6"/>
    </w:pPr>
    <w:rPr>
      <w:rFonts w:eastAsiaTheme="majorEastAsia" w:cstheme="majorBidi"/>
      <w:b/>
      <w:iCs/>
    </w:rPr>
  </w:style>
  <w:style w:type="paragraph" w:styleId="Heading8">
    <w:name w:val="heading 8"/>
    <w:basedOn w:val="Normal"/>
    <w:next w:val="Normal"/>
    <w:link w:val="Heading8Char"/>
    <w:uiPriority w:val="9"/>
    <w:unhideWhenUsed/>
    <w:qFormat/>
    <w:rsid w:val="00782C8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1F09"/>
    <w:rPr>
      <w:rFonts w:ascii="Arial" w:eastAsiaTheme="majorEastAsia" w:hAnsi="Arial" w:cstheme="majorBidi"/>
      <w:b/>
      <w:bCs/>
      <w:i/>
      <w:sz w:val="24"/>
    </w:rPr>
  </w:style>
  <w:style w:type="character" w:customStyle="1" w:styleId="Heading2Char">
    <w:name w:val="Heading 2 Char"/>
    <w:basedOn w:val="DefaultParagraphFont"/>
    <w:link w:val="Heading2"/>
    <w:uiPriority w:val="9"/>
    <w:rsid w:val="005C014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091F09"/>
    <w:rPr>
      <w:rFonts w:ascii="Arial" w:eastAsiaTheme="majorEastAsia" w:hAnsi="Arial" w:cstheme="majorBidi"/>
      <w:b/>
      <w:bCs/>
      <w:i/>
      <w:iCs/>
      <w:sz w:val="24"/>
    </w:rPr>
  </w:style>
  <w:style w:type="character" w:customStyle="1" w:styleId="Heading1Char">
    <w:name w:val="Heading 1 Char"/>
    <w:basedOn w:val="DefaultParagraphFont"/>
    <w:link w:val="Heading1"/>
    <w:uiPriority w:val="9"/>
    <w:rsid w:val="00304231"/>
    <w:rPr>
      <w:rFonts w:ascii="Arial" w:eastAsiaTheme="majorEastAsia" w:hAnsi="Arial" w:cstheme="majorBidi"/>
      <w:b/>
      <w:bCs/>
      <w:sz w:val="32"/>
      <w:szCs w:val="28"/>
    </w:rPr>
  </w:style>
  <w:style w:type="paragraph" w:styleId="BalloonText">
    <w:name w:val="Balloon Text"/>
    <w:basedOn w:val="Normal"/>
    <w:link w:val="BalloonTextChar"/>
    <w:uiPriority w:val="99"/>
    <w:semiHidden/>
    <w:unhideWhenUsed/>
    <w:rsid w:val="001A0F41"/>
    <w:rPr>
      <w:rFonts w:ascii="Tahoma" w:hAnsi="Tahoma" w:cs="Tahoma"/>
      <w:sz w:val="16"/>
      <w:szCs w:val="16"/>
    </w:rPr>
  </w:style>
  <w:style w:type="character" w:customStyle="1" w:styleId="BalloonTextChar">
    <w:name w:val="Balloon Text Char"/>
    <w:basedOn w:val="DefaultParagraphFont"/>
    <w:link w:val="BalloonText"/>
    <w:uiPriority w:val="99"/>
    <w:semiHidden/>
    <w:rsid w:val="001A0F41"/>
    <w:rPr>
      <w:rFonts w:ascii="Tahoma" w:hAnsi="Tahoma" w:cs="Tahoma"/>
      <w:sz w:val="16"/>
      <w:szCs w:val="16"/>
    </w:rPr>
  </w:style>
  <w:style w:type="paragraph" w:styleId="ListParagraph">
    <w:name w:val="List Paragraph"/>
    <w:basedOn w:val="Normal"/>
    <w:uiPriority w:val="34"/>
    <w:unhideWhenUsed/>
    <w:qFormat/>
    <w:rsid w:val="001A0F41"/>
    <w:pPr>
      <w:ind w:left="720"/>
      <w:contextualSpacing/>
    </w:pPr>
  </w:style>
  <w:style w:type="paragraph" w:styleId="Header">
    <w:name w:val="header"/>
    <w:basedOn w:val="Normal"/>
    <w:link w:val="HeaderChar"/>
    <w:uiPriority w:val="99"/>
    <w:unhideWhenUsed/>
    <w:rsid w:val="00304231"/>
    <w:pPr>
      <w:tabs>
        <w:tab w:val="center" w:pos="4513"/>
        <w:tab w:val="right" w:pos="9026"/>
      </w:tabs>
      <w:spacing w:before="0" w:after="0"/>
    </w:pPr>
    <w:rPr>
      <w:sz w:val="20"/>
    </w:rPr>
  </w:style>
  <w:style w:type="character" w:customStyle="1" w:styleId="HeaderChar">
    <w:name w:val="Header Char"/>
    <w:basedOn w:val="DefaultParagraphFont"/>
    <w:link w:val="Header"/>
    <w:uiPriority w:val="99"/>
    <w:rsid w:val="00304231"/>
    <w:rPr>
      <w:rFonts w:ascii="Arial" w:hAnsi="Arial"/>
      <w:sz w:val="20"/>
    </w:rPr>
  </w:style>
  <w:style w:type="paragraph" w:styleId="Footer">
    <w:name w:val="footer"/>
    <w:basedOn w:val="Normal"/>
    <w:link w:val="FooterChar"/>
    <w:uiPriority w:val="99"/>
    <w:rsid w:val="00304231"/>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304231"/>
    <w:rPr>
      <w:rFonts w:ascii="Arial" w:hAnsi="Arial"/>
      <w:sz w:val="20"/>
    </w:rPr>
  </w:style>
  <w:style w:type="paragraph" w:styleId="ListBullet">
    <w:name w:val="List Bullet"/>
    <w:basedOn w:val="Normal"/>
    <w:uiPriority w:val="99"/>
    <w:rsid w:val="00A21D57"/>
    <w:pPr>
      <w:numPr>
        <w:numId w:val="4"/>
      </w:numPr>
      <w:ind w:left="284" w:hanging="284"/>
      <w:contextualSpacing/>
    </w:pPr>
  </w:style>
  <w:style w:type="paragraph" w:styleId="NoSpacing">
    <w:name w:val="No Spacing"/>
    <w:uiPriority w:val="1"/>
    <w:qFormat/>
    <w:rsid w:val="001A0F41"/>
    <w:pPr>
      <w:spacing w:after="0" w:line="240" w:lineRule="auto"/>
    </w:pPr>
    <w:rPr>
      <w:rFonts w:ascii="Arial" w:hAnsi="Arial"/>
      <w:sz w:val="24"/>
    </w:rPr>
  </w:style>
  <w:style w:type="paragraph" w:styleId="ListBullet2">
    <w:name w:val="List Bullet 2"/>
    <w:basedOn w:val="ListBullet"/>
    <w:uiPriority w:val="99"/>
    <w:rsid w:val="00091F09"/>
    <w:pPr>
      <w:numPr>
        <w:numId w:val="6"/>
      </w:numPr>
      <w:tabs>
        <w:tab w:val="clear" w:pos="360"/>
        <w:tab w:val="num" w:pos="643"/>
      </w:tabs>
      <w:ind w:left="1021" w:hanging="284"/>
    </w:pPr>
  </w:style>
  <w:style w:type="paragraph" w:styleId="ListNumber2">
    <w:name w:val="List Number 2"/>
    <w:basedOn w:val="ListBullet2"/>
    <w:uiPriority w:val="99"/>
    <w:rsid w:val="00091F09"/>
    <w:pPr>
      <w:numPr>
        <w:numId w:val="7"/>
      </w:numPr>
      <w:spacing w:before="0" w:after="0"/>
      <w:ind w:left="1304" w:hanging="567"/>
    </w:pPr>
  </w:style>
  <w:style w:type="paragraph" w:styleId="FootnoteText">
    <w:name w:val="footnote text"/>
    <w:basedOn w:val="Normal"/>
    <w:link w:val="FootnoteTextChar"/>
    <w:uiPriority w:val="99"/>
    <w:semiHidden/>
    <w:unhideWhenUsed/>
    <w:rsid w:val="001A0F41"/>
    <w:rPr>
      <w:sz w:val="20"/>
      <w:szCs w:val="20"/>
    </w:rPr>
  </w:style>
  <w:style w:type="character" w:customStyle="1" w:styleId="FootnoteTextChar">
    <w:name w:val="Footnote Text Char"/>
    <w:basedOn w:val="DefaultParagraphFont"/>
    <w:link w:val="FootnoteText"/>
    <w:uiPriority w:val="99"/>
    <w:semiHidden/>
    <w:rsid w:val="001A0F41"/>
    <w:rPr>
      <w:rFonts w:ascii="Arial" w:hAnsi="Arial"/>
      <w:sz w:val="20"/>
      <w:szCs w:val="20"/>
    </w:rPr>
  </w:style>
  <w:style w:type="paragraph" w:customStyle="1" w:styleId="Draftingnote">
    <w:name w:val="Drafting note"/>
    <w:basedOn w:val="Normal"/>
    <w:next w:val="Normal"/>
    <w:qFormat/>
    <w:rsid w:val="009A589D"/>
    <w:pPr>
      <w:spacing w:before="60" w:after="60"/>
      <w:ind w:left="794"/>
    </w:pPr>
    <w:rPr>
      <w:rFonts w:ascii="Times New Roman" w:hAnsi="Times New Roman"/>
      <w:color w:val="005EB8"/>
    </w:rPr>
  </w:style>
  <w:style w:type="paragraph" w:customStyle="1" w:styleId="Default">
    <w:name w:val="Default"/>
    <w:rsid w:val="00C02B6F"/>
    <w:pPr>
      <w:autoSpaceDE w:val="0"/>
      <w:autoSpaceDN w:val="0"/>
      <w:adjustRightInd w:val="0"/>
    </w:pPr>
    <w:rPr>
      <w:rFonts w:ascii="Arial" w:hAnsi="Arial" w:cs="Arial"/>
      <w:color w:val="000000"/>
      <w:sz w:val="24"/>
      <w:szCs w:val="24"/>
    </w:rPr>
  </w:style>
  <w:style w:type="paragraph" w:styleId="TOC2">
    <w:name w:val="toc 2"/>
    <w:basedOn w:val="Normal"/>
    <w:next w:val="Normal"/>
    <w:autoRedefine/>
    <w:uiPriority w:val="39"/>
    <w:semiHidden/>
    <w:unhideWhenUsed/>
    <w:rsid w:val="001A0F41"/>
    <w:pPr>
      <w:spacing w:after="100"/>
      <w:ind w:left="240"/>
    </w:pPr>
  </w:style>
  <w:style w:type="character" w:styleId="FootnoteReference">
    <w:name w:val="footnote reference"/>
    <w:basedOn w:val="DefaultParagraphFont"/>
    <w:uiPriority w:val="99"/>
    <w:semiHidden/>
    <w:unhideWhenUsed/>
    <w:rsid w:val="001A0F41"/>
    <w:rPr>
      <w:vertAlign w:val="superscript"/>
    </w:rPr>
  </w:style>
  <w:style w:type="character" w:styleId="Hyperlink">
    <w:name w:val="Hyperlink"/>
    <w:basedOn w:val="DefaultParagraphFont"/>
    <w:uiPriority w:val="99"/>
    <w:unhideWhenUsed/>
    <w:rsid w:val="00200B74"/>
    <w:rPr>
      <w:color w:val="005EB8"/>
      <w:u w:val="single"/>
    </w:rPr>
  </w:style>
  <w:style w:type="paragraph" w:styleId="TOC3">
    <w:name w:val="toc 3"/>
    <w:basedOn w:val="Normal"/>
    <w:next w:val="Normal"/>
    <w:autoRedefine/>
    <w:uiPriority w:val="39"/>
    <w:semiHidden/>
    <w:unhideWhenUsed/>
    <w:rsid w:val="001A0F41"/>
    <w:pPr>
      <w:spacing w:after="100"/>
      <w:ind w:left="480"/>
    </w:pPr>
  </w:style>
  <w:style w:type="character" w:styleId="FollowedHyperlink">
    <w:name w:val="FollowedHyperlink"/>
    <w:basedOn w:val="DefaultParagraphFont"/>
    <w:uiPriority w:val="99"/>
    <w:rsid w:val="00200B74"/>
    <w:rPr>
      <w:color w:val="330072"/>
      <w:u w:val="single"/>
    </w:rPr>
  </w:style>
  <w:style w:type="paragraph" w:styleId="Quote">
    <w:name w:val="Quote"/>
    <w:basedOn w:val="Normal"/>
    <w:next w:val="Normal"/>
    <w:link w:val="QuoteChar"/>
    <w:uiPriority w:val="29"/>
    <w:semiHidden/>
    <w:unhideWhenUsed/>
    <w:qFormat/>
    <w:rsid w:val="001A0F41"/>
    <w:rPr>
      <w:i/>
      <w:iCs/>
      <w:color w:val="000000" w:themeColor="text1"/>
    </w:rPr>
  </w:style>
  <w:style w:type="character" w:customStyle="1" w:styleId="QuoteChar">
    <w:name w:val="Quote Char"/>
    <w:basedOn w:val="DefaultParagraphFont"/>
    <w:link w:val="Quote"/>
    <w:uiPriority w:val="29"/>
    <w:semiHidden/>
    <w:rsid w:val="001A0F41"/>
    <w:rPr>
      <w:rFonts w:ascii="Arial" w:hAnsi="Arial"/>
      <w:i/>
      <w:iCs/>
      <w:color w:val="000000" w:themeColor="text1"/>
      <w:sz w:val="24"/>
    </w:rPr>
  </w:style>
  <w:style w:type="paragraph" w:styleId="CommentText">
    <w:name w:val="annotation text"/>
    <w:basedOn w:val="Normal"/>
    <w:link w:val="CommentTextChar"/>
    <w:uiPriority w:val="99"/>
    <w:semiHidden/>
    <w:unhideWhenUsed/>
    <w:rsid w:val="001A0F41"/>
    <w:rPr>
      <w:sz w:val="20"/>
      <w:szCs w:val="20"/>
    </w:rPr>
  </w:style>
  <w:style w:type="character" w:customStyle="1" w:styleId="CommentTextChar">
    <w:name w:val="Comment Text Char"/>
    <w:basedOn w:val="DefaultParagraphFont"/>
    <w:link w:val="CommentText"/>
    <w:uiPriority w:val="99"/>
    <w:semiHidden/>
    <w:rsid w:val="001A0F41"/>
    <w:rPr>
      <w:rFonts w:ascii="Arial" w:hAnsi="Arial"/>
      <w:sz w:val="20"/>
      <w:szCs w:val="20"/>
    </w:rPr>
  </w:style>
  <w:style w:type="character" w:styleId="CommentReference">
    <w:name w:val="annotation reference"/>
    <w:basedOn w:val="DefaultParagraphFont"/>
    <w:uiPriority w:val="99"/>
    <w:semiHidden/>
    <w:unhideWhenUsed/>
    <w:rsid w:val="001A0F41"/>
    <w:rPr>
      <w:sz w:val="16"/>
      <w:szCs w:val="16"/>
    </w:rPr>
  </w:style>
  <w:style w:type="character" w:styleId="EndnoteReference">
    <w:name w:val="endnote reference"/>
    <w:basedOn w:val="DefaultParagraphFont"/>
    <w:uiPriority w:val="99"/>
    <w:semiHidden/>
    <w:unhideWhenUsed/>
    <w:rsid w:val="001A0F41"/>
    <w:rPr>
      <w:vertAlign w:val="superscript"/>
    </w:rPr>
  </w:style>
  <w:style w:type="paragraph" w:styleId="EndnoteText">
    <w:name w:val="endnote text"/>
    <w:basedOn w:val="Normal"/>
    <w:link w:val="EndnoteTextChar"/>
    <w:uiPriority w:val="99"/>
    <w:semiHidden/>
    <w:unhideWhenUsed/>
    <w:rsid w:val="001A0F41"/>
    <w:rPr>
      <w:sz w:val="20"/>
      <w:szCs w:val="20"/>
    </w:rPr>
  </w:style>
  <w:style w:type="character" w:customStyle="1" w:styleId="EndnoteTextChar">
    <w:name w:val="Endnote Text Char"/>
    <w:basedOn w:val="DefaultParagraphFont"/>
    <w:link w:val="EndnoteText"/>
    <w:uiPriority w:val="99"/>
    <w:semiHidden/>
    <w:rsid w:val="001A0F4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0F41"/>
    <w:rPr>
      <w:b/>
      <w:bCs/>
    </w:rPr>
  </w:style>
  <w:style w:type="character" w:customStyle="1" w:styleId="CommentSubjectChar">
    <w:name w:val="Comment Subject Char"/>
    <w:basedOn w:val="CommentTextChar"/>
    <w:link w:val="CommentSubject"/>
    <w:uiPriority w:val="99"/>
    <w:semiHidden/>
    <w:rsid w:val="001A0F41"/>
    <w:rPr>
      <w:rFonts w:ascii="Arial" w:hAnsi="Arial"/>
      <w:b/>
      <w:bCs/>
      <w:sz w:val="20"/>
      <w:szCs w:val="20"/>
    </w:rPr>
  </w:style>
  <w:style w:type="table" w:styleId="TableGrid">
    <w:name w:val="Table Grid"/>
    <w:basedOn w:val="TableNormal"/>
    <w:uiPriority w:val="59"/>
    <w:rsid w:val="00C02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1A0F41"/>
    <w:pPr>
      <w:spacing w:after="100"/>
    </w:pPr>
  </w:style>
  <w:style w:type="paragraph" w:styleId="ListNumber">
    <w:name w:val="List Number"/>
    <w:basedOn w:val="Normal"/>
    <w:uiPriority w:val="99"/>
    <w:rsid w:val="001A0F41"/>
    <w:pPr>
      <w:numPr>
        <w:numId w:val="5"/>
      </w:numPr>
      <w:tabs>
        <w:tab w:val="num" w:pos="360"/>
      </w:tabs>
      <w:ind w:left="360"/>
      <w:contextualSpacing/>
    </w:pPr>
  </w:style>
  <w:style w:type="paragraph" w:styleId="TOCHeading">
    <w:name w:val="TOC Heading"/>
    <w:basedOn w:val="Heading1"/>
    <w:next w:val="Normal"/>
    <w:uiPriority w:val="39"/>
    <w:semiHidden/>
    <w:unhideWhenUsed/>
    <w:qFormat/>
    <w:rsid w:val="001A0F41"/>
    <w:pPr>
      <w:spacing w:before="480"/>
      <w:outlineLvl w:val="9"/>
    </w:pPr>
    <w:rPr>
      <w:rFonts w:asciiTheme="majorHAnsi" w:hAnsiTheme="majorHAnsi"/>
      <w:color w:val="365F91" w:themeColor="accent1" w:themeShade="BF"/>
      <w:sz w:val="28"/>
    </w:rPr>
  </w:style>
  <w:style w:type="paragraph" w:styleId="BodyText">
    <w:name w:val="Body Text"/>
    <w:basedOn w:val="Normal"/>
    <w:link w:val="BodyTextChar"/>
    <w:uiPriority w:val="99"/>
    <w:rsid w:val="00091F09"/>
    <w:pPr>
      <w:spacing w:before="0"/>
      <w:ind w:left="737"/>
    </w:pPr>
  </w:style>
  <w:style w:type="character" w:customStyle="1" w:styleId="BodyTextChar">
    <w:name w:val="Body Text Char"/>
    <w:basedOn w:val="DefaultParagraphFont"/>
    <w:link w:val="BodyText"/>
    <w:uiPriority w:val="99"/>
    <w:rsid w:val="00091F09"/>
    <w:rPr>
      <w:rFonts w:ascii="Arial" w:hAnsi="Arial"/>
      <w:sz w:val="24"/>
    </w:rPr>
  </w:style>
  <w:style w:type="character" w:styleId="SubtleEmphasis">
    <w:name w:val="Subtle Emphasis"/>
    <w:basedOn w:val="DefaultParagraphFont"/>
    <w:uiPriority w:val="19"/>
    <w:semiHidden/>
    <w:unhideWhenUsed/>
    <w:qFormat/>
    <w:rsid w:val="001A0F41"/>
    <w:rPr>
      <w:i/>
      <w:iCs/>
      <w:color w:val="808080" w:themeColor="text1" w:themeTint="7F"/>
    </w:rPr>
  </w:style>
  <w:style w:type="paragraph" w:styleId="PlainText">
    <w:name w:val="Plain Text"/>
    <w:basedOn w:val="Normal"/>
    <w:link w:val="PlainTextChar"/>
    <w:uiPriority w:val="99"/>
    <w:semiHidden/>
    <w:unhideWhenUsed/>
    <w:rsid w:val="001A0F41"/>
    <w:rPr>
      <w:rFonts w:ascii="Consolas" w:hAnsi="Consolas" w:cs="Consolas"/>
      <w:sz w:val="21"/>
      <w:szCs w:val="21"/>
    </w:rPr>
  </w:style>
  <w:style w:type="character" w:customStyle="1" w:styleId="PlainTextChar">
    <w:name w:val="Plain Text Char"/>
    <w:basedOn w:val="DefaultParagraphFont"/>
    <w:link w:val="PlainText"/>
    <w:uiPriority w:val="99"/>
    <w:semiHidden/>
    <w:rsid w:val="001A0F41"/>
    <w:rPr>
      <w:rFonts w:ascii="Consolas" w:hAnsi="Consolas" w:cs="Consolas"/>
      <w:sz w:val="21"/>
      <w:szCs w:val="21"/>
    </w:rPr>
  </w:style>
  <w:style w:type="paragraph" w:styleId="BodyText2">
    <w:name w:val="Body Text 2"/>
    <w:basedOn w:val="Draftingnote"/>
    <w:link w:val="BodyText2Char"/>
    <w:uiPriority w:val="99"/>
    <w:rsid w:val="00FD0972"/>
    <w:pPr>
      <w:ind w:left="0"/>
    </w:pPr>
  </w:style>
  <w:style w:type="character" w:customStyle="1" w:styleId="BodyText2Char">
    <w:name w:val="Body Text 2 Char"/>
    <w:basedOn w:val="DefaultParagraphFont"/>
    <w:link w:val="BodyText2"/>
    <w:uiPriority w:val="99"/>
    <w:rsid w:val="00FD0972"/>
    <w:rPr>
      <w:rFonts w:ascii="Times New Roman" w:hAnsi="Times New Roman"/>
      <w:color w:val="005EB8"/>
      <w:sz w:val="24"/>
    </w:rPr>
  </w:style>
  <w:style w:type="character" w:customStyle="1" w:styleId="Heading5Char">
    <w:name w:val="Heading 5 Char"/>
    <w:basedOn w:val="DefaultParagraphFont"/>
    <w:link w:val="Heading5"/>
    <w:uiPriority w:val="9"/>
    <w:rsid w:val="006852CF"/>
    <w:rPr>
      <w:rFonts w:ascii="Arial" w:eastAsiaTheme="majorEastAsia" w:hAnsi="Arial" w:cstheme="majorBidi"/>
      <w:b/>
      <w:sz w:val="24"/>
    </w:rPr>
  </w:style>
  <w:style w:type="character" w:customStyle="1" w:styleId="Heading6Char">
    <w:name w:val="Heading 6 Char"/>
    <w:basedOn w:val="DefaultParagraphFont"/>
    <w:link w:val="Heading6"/>
    <w:uiPriority w:val="9"/>
    <w:rsid w:val="006852CF"/>
    <w:rPr>
      <w:rFonts w:ascii="Arial" w:eastAsiaTheme="majorEastAsia" w:hAnsi="Arial" w:cstheme="majorBidi"/>
      <w:b/>
      <w:iCs/>
      <w:sz w:val="24"/>
    </w:rPr>
  </w:style>
  <w:style w:type="character" w:customStyle="1" w:styleId="Heading7Char">
    <w:name w:val="Heading 7 Char"/>
    <w:basedOn w:val="DefaultParagraphFont"/>
    <w:link w:val="Heading7"/>
    <w:uiPriority w:val="9"/>
    <w:rsid w:val="009D4E83"/>
    <w:rPr>
      <w:rFonts w:ascii="Arial" w:eastAsiaTheme="majorEastAsia" w:hAnsi="Arial" w:cstheme="majorBidi"/>
      <w:b/>
      <w:iCs/>
      <w:sz w:val="24"/>
    </w:rPr>
  </w:style>
  <w:style w:type="character" w:styleId="BookTitle">
    <w:name w:val="Book Title"/>
    <w:basedOn w:val="DefaultParagraphFont"/>
    <w:uiPriority w:val="33"/>
    <w:qFormat/>
    <w:rsid w:val="00A81C15"/>
    <w:rPr>
      <w:b/>
      <w:bCs/>
      <w:smallCaps/>
      <w:spacing w:val="5"/>
    </w:rPr>
  </w:style>
  <w:style w:type="character" w:customStyle="1" w:styleId="Heading8Char">
    <w:name w:val="Heading 8 Char"/>
    <w:basedOn w:val="DefaultParagraphFont"/>
    <w:link w:val="Heading8"/>
    <w:uiPriority w:val="9"/>
    <w:rsid w:val="00782C8A"/>
    <w:rPr>
      <w:rFonts w:asciiTheme="majorHAnsi" w:eastAsiaTheme="majorEastAsia" w:hAnsiTheme="majorHAnsi" w:cstheme="majorBidi"/>
      <w:color w:val="404040" w:themeColor="text1" w:themeTint="BF"/>
      <w:sz w:val="20"/>
      <w:szCs w:val="20"/>
    </w:rPr>
  </w:style>
  <w:style w:type="paragraph" w:styleId="BodyText3">
    <w:name w:val="Body Text 3"/>
    <w:basedOn w:val="BodyText"/>
    <w:link w:val="BodyText3Char"/>
    <w:uiPriority w:val="99"/>
    <w:rsid w:val="00BB6E60"/>
    <w:pPr>
      <w:spacing w:after="0"/>
      <w:ind w:left="1361"/>
    </w:pPr>
    <w:rPr>
      <w:szCs w:val="16"/>
    </w:rPr>
  </w:style>
  <w:style w:type="character" w:customStyle="1" w:styleId="BodyText3Char">
    <w:name w:val="Body Text 3 Char"/>
    <w:basedOn w:val="DefaultParagraphFont"/>
    <w:link w:val="BodyText3"/>
    <w:uiPriority w:val="99"/>
    <w:rsid w:val="00BB6E60"/>
    <w:rPr>
      <w:rFonts w:ascii="Arial" w:hAnsi="Arial"/>
      <w:sz w:val="24"/>
      <w:szCs w:val="16"/>
    </w:rPr>
  </w:style>
  <w:style w:type="paragraph" w:styleId="BlockText">
    <w:name w:val="Block Text"/>
    <w:basedOn w:val="Draftingnote"/>
    <w:uiPriority w:val="99"/>
    <w:rsid w:val="009A589D"/>
    <w:pPr>
      <w:spacing w:before="0" w:after="0"/>
      <w:ind w:left="0"/>
      <w:jc w:val="center"/>
    </w:pPr>
    <w:rPr>
      <w:rFonts w:eastAsiaTheme="minorEastAsia"/>
      <w:iCs/>
      <w:sz w:val="20"/>
    </w:rPr>
  </w:style>
  <w:style w:type="table" w:styleId="TableGrid1">
    <w:name w:val="Table Grid 1"/>
    <w:basedOn w:val="TableNormal"/>
    <w:uiPriority w:val="99"/>
    <w:semiHidden/>
    <w:unhideWhenUsed/>
    <w:rsid w:val="009A589D"/>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england.nhs.uk/statistics/statistical-work-areas/ambulance-quality-indicators" TargetMode="External"/><Relationship Id="rId4" Type="http://schemas.microsoft.com/office/2007/relationships/stylesWithEffects" Target="stylesWithEffects.xml"/><Relationship Id="rId9" Type="http://schemas.openxmlformats.org/officeDocument/2006/relationships/hyperlink" Target="http://www.england.nhs.uk/ourwork/qual-clin-lead/ar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17CE7-BFBD-4B90-89B5-FC85CBB9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20</Pages>
  <Words>5798</Words>
  <Characters>33052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I</dc:creator>
  <cp:lastModifiedBy>Kay, Ian</cp:lastModifiedBy>
  <cp:revision>5</cp:revision>
  <cp:lastPrinted>2017-09-26T15:31:00Z</cp:lastPrinted>
  <dcterms:created xsi:type="dcterms:W3CDTF">2017-09-26T10:34:00Z</dcterms:created>
  <dcterms:modified xsi:type="dcterms:W3CDTF">2017-09-26T16:42:00Z</dcterms:modified>
</cp:coreProperties>
</file>