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3A" w:rsidRPr="00596E2E" w:rsidRDefault="00C67EE6" w:rsidP="005A2593">
      <w:pPr>
        <w:jc w:val="center"/>
        <w:rPr>
          <w:rFonts w:ascii="Arial" w:hAnsi="Arial" w:cs="Arial"/>
        </w:rPr>
      </w:pPr>
      <w:r w:rsidRPr="00596E2E">
        <w:rPr>
          <w:rFonts w:ascii="Arial" w:hAnsi="Arial" w:cs="Arial"/>
          <w:noProof/>
          <w:lang w:eastAsia="en-GB"/>
        </w:rPr>
        <mc:AlternateContent>
          <mc:Choice Requires="wps">
            <w:drawing>
              <wp:anchor distT="0" distB="0" distL="114300" distR="114300" simplePos="0" relativeHeight="251664384" behindDoc="0" locked="0" layoutInCell="1" allowOverlap="1" wp14:anchorId="4FA89E0E" wp14:editId="12C46C8F">
                <wp:simplePos x="0" y="0"/>
                <wp:positionH relativeFrom="column">
                  <wp:posOffset>184150</wp:posOffset>
                </wp:positionH>
                <wp:positionV relativeFrom="paragraph">
                  <wp:posOffset>1138555</wp:posOffset>
                </wp:positionV>
                <wp:extent cx="4119880" cy="2486025"/>
                <wp:effectExtent l="0" t="0" r="0" b="0"/>
                <wp:wrapThrough wrapText="bothSides">
                  <wp:wrapPolygon edited="0">
                    <wp:start x="200" y="497"/>
                    <wp:lineTo x="200" y="21021"/>
                    <wp:lineTo x="21274" y="21021"/>
                    <wp:lineTo x="21274" y="497"/>
                    <wp:lineTo x="200" y="497"/>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248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F5D" w:rsidRPr="00C67EE6" w:rsidRDefault="00647F5D" w:rsidP="00C67EE6">
                            <w:pPr>
                              <w:pStyle w:val="DHTitle"/>
                              <w:rPr>
                                <w:color w:val="FFFFFF" w:themeColor="background1"/>
                                <w:sz w:val="34"/>
                                <w:szCs w:val="34"/>
                              </w:rPr>
                            </w:pPr>
                            <w:r w:rsidRPr="00C67EE6">
                              <w:rPr>
                                <w:color w:val="FFFFFF" w:themeColor="background1"/>
                                <w:sz w:val="34"/>
                                <w:szCs w:val="34"/>
                              </w:rPr>
                              <w:t>Templates for use with:</w:t>
                            </w:r>
                          </w:p>
                          <w:p w:rsidR="00647F5D" w:rsidRPr="00C67EE6" w:rsidRDefault="00647F5D" w:rsidP="00C67EE6">
                            <w:pPr>
                              <w:pStyle w:val="DHTitle"/>
                              <w:rPr>
                                <w:color w:val="FFFFFF" w:themeColor="background1"/>
                                <w:sz w:val="34"/>
                                <w:szCs w:val="34"/>
                              </w:rPr>
                            </w:pPr>
                            <w:r w:rsidRPr="00C67EE6">
                              <w:rPr>
                                <w:color w:val="FFFFFF" w:themeColor="background1"/>
                                <w:sz w:val="34"/>
                                <w:szCs w:val="34"/>
                              </w:rPr>
                              <w:t>NHS Standard Contract 2014/15 Technical Guidance and Commissioning for Quality and Innovation (CQUIN) 2014/15 Guidance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4.5pt;margin-top:89.65pt;width:324.4pt;height:19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" filled="f" stroked="f">
                <v:textbox inset=",7.2pt,,7.2pt">
                  <w:txbxContent>
                    <w:p w:rsidR="00647F5D" w:rsidRPr="00C67EE6" w:rsidRDefault="00647F5D" w:rsidP="00C67EE6">
                      <w:pPr>
                        <w:pStyle w:val="DHTitle"/>
                        <w:rPr>
                          <w:color w:val="FFFFFF" w:themeColor="background1"/>
                          <w:sz w:val="34"/>
                          <w:szCs w:val="34"/>
                        </w:rPr>
                      </w:pPr>
                      <w:r w:rsidRPr="00C67EE6">
                        <w:rPr>
                          <w:color w:val="FFFFFF" w:themeColor="background1"/>
                          <w:sz w:val="34"/>
                          <w:szCs w:val="34"/>
                        </w:rPr>
                        <w:t>Templates for use with:</w:t>
                      </w:r>
                    </w:p>
                    <w:p w:rsidR="00647F5D" w:rsidRPr="00C67EE6" w:rsidRDefault="00647F5D" w:rsidP="00C67EE6">
                      <w:pPr>
                        <w:pStyle w:val="DHTitle"/>
                        <w:rPr>
                          <w:color w:val="FFFFFF" w:themeColor="background1"/>
                          <w:sz w:val="34"/>
                          <w:szCs w:val="34"/>
                        </w:rPr>
                      </w:pPr>
                      <w:r w:rsidRPr="00C67EE6">
                        <w:rPr>
                          <w:color w:val="FFFFFF" w:themeColor="background1"/>
                          <w:sz w:val="34"/>
                          <w:szCs w:val="34"/>
                        </w:rPr>
                        <w:t>NHS Standard Contract 2014/15 Technical Guidance and Commissioning for Quality and Innovation (CQUIN) 2014/15 Guidance</w:t>
                      </w:r>
                    </w:p>
                  </w:txbxContent>
                </v:textbox>
                <w10:wrap type="through"/>
              </v:shape>
            </w:pict>
          </mc:Fallback>
        </mc:AlternateContent>
      </w:r>
      <w:r w:rsidRPr="009F4EE1">
        <w:rPr>
          <w:rFonts w:ascii="Arial" w:hAnsi="Arial" w:cs="Arial"/>
          <w:noProof/>
          <w:lang w:eastAsia="en-GB"/>
        </w:rPr>
        <w:drawing>
          <wp:anchor distT="0" distB="0" distL="114300" distR="114300" simplePos="0" relativeHeight="251662336" behindDoc="0" locked="0" layoutInCell="1" allowOverlap="1" wp14:anchorId="7E1D383F" wp14:editId="4203B8E8">
            <wp:simplePos x="0" y="0"/>
            <wp:positionH relativeFrom="column">
              <wp:posOffset>-279400</wp:posOffset>
            </wp:positionH>
            <wp:positionV relativeFrom="paragraph">
              <wp:posOffset>-638175</wp:posOffset>
            </wp:positionV>
            <wp:extent cx="7219315" cy="10210165"/>
            <wp:effectExtent l="0" t="0" r="635" b="635"/>
            <wp:wrapThrough wrapText="bothSides">
              <wp:wrapPolygon edited="0">
                <wp:start x="0" y="0"/>
                <wp:lineTo x="0" y="21561"/>
                <wp:lineTo x="21545" y="21561"/>
                <wp:lineTo x="2154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2.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7219315" cy="10210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398B" w:rsidRDefault="0021398B" w:rsidP="007A31E0">
      <w:pPr>
        <w:sectPr w:rsidR="0021398B">
          <w:pgSz w:w="11906" w:h="16838"/>
          <w:pgMar w:top="1701" w:right="907" w:bottom="1134" w:left="907" w:header="720" w:footer="720" w:gutter="0"/>
          <w:cols w:space="720"/>
          <w:formProt w:val="0"/>
        </w:sectPr>
      </w:pPr>
    </w:p>
    <w:p w:rsidR="0021398B" w:rsidRDefault="0021398B" w:rsidP="007A31E0">
      <w:pPr>
        <w:sectPr w:rsidR="0021398B">
          <w:pgSz w:w="11906" w:h="16838"/>
          <w:pgMar w:top="1701" w:right="907" w:bottom="1134" w:left="907" w:header="720" w:footer="720" w:gutter="0"/>
          <w:cols w:space="720"/>
          <w:formProt w:val="0"/>
        </w:sectPr>
      </w:pPr>
      <w:r w:rsidRPr="000A6B75">
        <w:rPr>
          <w:noProof/>
          <w:lang w:eastAsia="en-GB"/>
        </w:rPr>
        <w:lastRenderedPageBreak/>
        <w:drawing>
          <wp:inline distT="0" distB="0" distL="0" distR="0" wp14:anchorId="76A2BEC6" wp14:editId="5C7D9B81">
            <wp:extent cx="5731510" cy="813606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136061"/>
                    </a:xfrm>
                    <a:prstGeom prst="rect">
                      <a:avLst/>
                    </a:prstGeom>
                    <a:noFill/>
                    <a:ln>
                      <a:noFill/>
                    </a:ln>
                  </pic:spPr>
                </pic:pic>
              </a:graphicData>
            </a:graphic>
          </wp:inline>
        </w:drawing>
      </w:r>
    </w:p>
    <w:p w:rsidR="00C67EE6" w:rsidRDefault="00C67EE6" w:rsidP="007A31E0"/>
    <w:p w:rsidR="007A31E0" w:rsidRDefault="007A31E0" w:rsidP="007A31E0"/>
    <w:p w:rsidR="0017586C" w:rsidRPr="00596E2E" w:rsidRDefault="0017586C">
      <w:pPr>
        <w:rPr>
          <w:rFonts w:ascii="Arial" w:hAnsi="Arial" w:cs="Arial"/>
        </w:rPr>
      </w:pPr>
    </w:p>
    <w:p w:rsidR="00532F04" w:rsidRPr="00596E2E" w:rsidRDefault="00532F04" w:rsidP="00532F04">
      <w:pPr>
        <w:rPr>
          <w:rFonts w:ascii="Arial" w:hAnsi="Arial" w:cs="Arial"/>
        </w:rPr>
      </w:pPr>
    </w:p>
    <w:p w:rsidR="00532F04" w:rsidRPr="00596E2E" w:rsidRDefault="00596E2E" w:rsidP="00532F04">
      <w:pPr>
        <w:pStyle w:val="DHTitle"/>
        <w:rPr>
          <w:color w:val="003D80"/>
        </w:rPr>
      </w:pPr>
      <w:r w:rsidRPr="00596E2E">
        <w:rPr>
          <w:color w:val="003D80"/>
        </w:rPr>
        <w:t>Templates for use with:</w:t>
      </w:r>
    </w:p>
    <w:p w:rsidR="00596E2E" w:rsidRPr="00596E2E" w:rsidRDefault="00596E2E" w:rsidP="00532F04">
      <w:pPr>
        <w:pStyle w:val="DHTitle"/>
        <w:rPr>
          <w:color w:val="003D80"/>
        </w:rPr>
      </w:pPr>
    </w:p>
    <w:p w:rsidR="00596E2E" w:rsidRPr="00596E2E" w:rsidRDefault="00596E2E" w:rsidP="00596E2E">
      <w:pPr>
        <w:pStyle w:val="DHTitle"/>
        <w:rPr>
          <w:color w:val="003D80"/>
        </w:rPr>
      </w:pPr>
      <w:r w:rsidRPr="00596E2E">
        <w:rPr>
          <w:color w:val="003D80"/>
        </w:rPr>
        <w:t>NHS Standard Contract 2014/15 Technical Guidance</w:t>
      </w:r>
    </w:p>
    <w:p w:rsidR="00596E2E" w:rsidRPr="00596E2E" w:rsidRDefault="00596E2E" w:rsidP="00596E2E">
      <w:pPr>
        <w:pStyle w:val="DHTitle"/>
        <w:rPr>
          <w:color w:val="003D80"/>
        </w:rPr>
      </w:pPr>
      <w:proofErr w:type="gramStart"/>
      <w:r w:rsidRPr="00596E2E">
        <w:rPr>
          <w:color w:val="003D80"/>
        </w:rPr>
        <w:t>and</w:t>
      </w:r>
      <w:proofErr w:type="gramEnd"/>
    </w:p>
    <w:p w:rsidR="00596E2E" w:rsidRPr="00596E2E" w:rsidRDefault="00596E2E" w:rsidP="00596E2E">
      <w:pPr>
        <w:pStyle w:val="DHTitle"/>
        <w:rPr>
          <w:color w:val="003D80"/>
        </w:rPr>
      </w:pPr>
      <w:r w:rsidRPr="00596E2E">
        <w:rPr>
          <w:color w:val="003D80"/>
        </w:rPr>
        <w:t>Commissioning for Quality and Innovation (CQUIN) 2014/15 Guidance</w:t>
      </w:r>
    </w:p>
    <w:p w:rsidR="00596E2E" w:rsidRPr="00596E2E" w:rsidRDefault="00596E2E" w:rsidP="00532F04">
      <w:pPr>
        <w:pStyle w:val="DHTitle"/>
        <w:rPr>
          <w:color w:val="003D80"/>
        </w:rPr>
      </w:pPr>
    </w:p>
    <w:p w:rsidR="00532F04" w:rsidRPr="00596E2E" w:rsidRDefault="00532F04" w:rsidP="00532F04">
      <w:pPr>
        <w:pStyle w:val="DHSubtitle"/>
        <w:rPr>
          <w:rFonts w:ascii="Arial" w:hAnsi="Arial" w:cs="Arial"/>
        </w:rPr>
      </w:pPr>
    </w:p>
    <w:p w:rsidR="00532F04" w:rsidRPr="00596E2E" w:rsidRDefault="00532F04" w:rsidP="00532F04">
      <w:pPr>
        <w:pStyle w:val="DHBodycopy"/>
        <w:rPr>
          <w:rFonts w:cs="Arial"/>
        </w:rPr>
      </w:pPr>
    </w:p>
    <w:p w:rsidR="00532F04" w:rsidRPr="00596E2E" w:rsidRDefault="00532F04" w:rsidP="00532F04">
      <w:pPr>
        <w:pStyle w:val="DHBodycopy"/>
        <w:rPr>
          <w:rFonts w:cs="Arial"/>
        </w:rPr>
      </w:pPr>
      <w:r w:rsidRPr="00596E2E">
        <w:rPr>
          <w:rFonts w:cs="Arial"/>
        </w:rPr>
        <w:t>First published:</w:t>
      </w:r>
      <w:r w:rsidR="00097C2A">
        <w:rPr>
          <w:rFonts w:cs="Arial"/>
        </w:rPr>
        <w:tab/>
      </w:r>
      <w:r w:rsidR="00596E2E" w:rsidRPr="00596E2E">
        <w:rPr>
          <w:rFonts w:cs="Arial"/>
        </w:rPr>
        <w:t>December 2013</w:t>
      </w:r>
    </w:p>
    <w:p w:rsidR="00532F04" w:rsidRPr="00596E2E" w:rsidRDefault="00532F04" w:rsidP="00532F04">
      <w:pPr>
        <w:pStyle w:val="DHBodycopy"/>
        <w:rPr>
          <w:rFonts w:cs="Arial"/>
        </w:rPr>
      </w:pPr>
    </w:p>
    <w:p w:rsidR="00532F04" w:rsidRPr="00596E2E" w:rsidRDefault="00532F04" w:rsidP="00532F04">
      <w:pPr>
        <w:pStyle w:val="DHBodycopy"/>
        <w:rPr>
          <w:rFonts w:cs="Arial"/>
        </w:rPr>
      </w:pPr>
      <w:r w:rsidRPr="00596E2E">
        <w:rPr>
          <w:rFonts w:cs="Arial"/>
        </w:rPr>
        <w:t>Updated:</w:t>
      </w:r>
      <w:r w:rsidR="00097C2A">
        <w:rPr>
          <w:rFonts w:cs="Arial"/>
        </w:rPr>
        <w:tab/>
      </w:r>
      <w:r w:rsidR="00097C2A">
        <w:rPr>
          <w:rFonts w:cs="Arial"/>
        </w:rPr>
        <w:tab/>
      </w:r>
      <w:r w:rsidR="00C67EE6">
        <w:rPr>
          <w:rFonts w:cs="Arial"/>
        </w:rPr>
        <w:t>February 2014</w:t>
      </w:r>
    </w:p>
    <w:p w:rsidR="008226B3" w:rsidRDefault="00532F04" w:rsidP="008226B3">
      <w:pPr>
        <w:pStyle w:val="DHtitlepagetext"/>
      </w:pPr>
      <w:r w:rsidRPr="00596E2E">
        <w:t>Prepared by</w:t>
      </w:r>
      <w:r w:rsidR="00596E2E" w:rsidRPr="00596E2E">
        <w:t>:</w:t>
      </w:r>
      <w:r w:rsidR="00097C2A">
        <w:tab/>
      </w:r>
      <w:r w:rsidR="00596E2E" w:rsidRPr="00596E2E">
        <w:t>NHS Standard Contract Team</w:t>
      </w:r>
    </w:p>
    <w:p w:rsidR="008226B3" w:rsidRDefault="008226B3" w:rsidP="009F4EE1">
      <w:pPr>
        <w:pStyle w:val="Heading1"/>
      </w:pPr>
    </w:p>
    <w:p w:rsidR="008226B3" w:rsidRDefault="008226B3" w:rsidP="008226B3">
      <w:pPr>
        <w:rPr>
          <w:lang w:eastAsia="en-US"/>
        </w:rPr>
      </w:pPr>
    </w:p>
    <w:p w:rsidR="008226B3" w:rsidRDefault="008226B3" w:rsidP="008226B3">
      <w:pPr>
        <w:rPr>
          <w:lang w:eastAsia="en-US"/>
        </w:rPr>
      </w:pPr>
    </w:p>
    <w:p w:rsidR="008226B3" w:rsidRPr="008226B3" w:rsidRDefault="008226B3" w:rsidP="008226B3">
      <w:pPr>
        <w:rPr>
          <w:lang w:eastAsia="en-US"/>
        </w:rPr>
      </w:pPr>
    </w:p>
    <w:p w:rsidR="00097C2A" w:rsidRDefault="00097C2A" w:rsidP="009F4EE1">
      <w:pPr>
        <w:pStyle w:val="Heading1"/>
      </w:pPr>
      <w:bookmarkStart w:id="0" w:name="_Toc180303268"/>
      <w:bookmarkStart w:id="1" w:name="_Toc150919533"/>
    </w:p>
    <w:p w:rsidR="00097C2A" w:rsidRDefault="00097C2A" w:rsidP="009F4EE1">
      <w:pPr>
        <w:pStyle w:val="Heading1"/>
      </w:pPr>
    </w:p>
    <w:p w:rsidR="00532F04" w:rsidRPr="00596E2E" w:rsidRDefault="00532F04" w:rsidP="009F4EE1">
      <w:pPr>
        <w:pStyle w:val="Heading1"/>
      </w:pPr>
      <w:r w:rsidRPr="00596E2E">
        <w:lastRenderedPageBreak/>
        <w:t>Contents</w:t>
      </w:r>
      <w:bookmarkEnd w:id="0"/>
    </w:p>
    <w:p w:rsidR="00532F04" w:rsidRPr="00596E2E" w:rsidRDefault="00532F04" w:rsidP="0001303D">
      <w:pPr>
        <w:rPr>
          <w:rFonts w:ascii="Arial" w:hAnsi="Arial" w:cs="Arial"/>
          <w:b/>
        </w:rPr>
      </w:pPr>
    </w:p>
    <w:p w:rsidR="00532F04" w:rsidRPr="00596E2E" w:rsidRDefault="00B27985" w:rsidP="00532F04">
      <w:pPr>
        <w:tabs>
          <w:tab w:val="right" w:leader="dot" w:pos="9356"/>
        </w:tabs>
        <w:rPr>
          <w:rFonts w:ascii="Arial" w:hAnsi="Arial" w:cs="Arial"/>
        </w:rPr>
      </w:pPr>
      <w:r w:rsidRPr="00596E2E">
        <w:rPr>
          <w:rFonts w:ascii="Arial" w:eastAsia="Times New Roman" w:hAnsi="Arial" w:cs="Arial"/>
          <w:b/>
          <w:bCs/>
          <w:szCs w:val="24"/>
          <w:lang w:eastAsia="en-US"/>
        </w:rPr>
        <w:t>Publication template for sanction variations</w:t>
      </w:r>
      <w:r w:rsidR="0001303D">
        <w:rPr>
          <w:rFonts w:ascii="Arial" w:eastAsia="Times New Roman" w:hAnsi="Arial" w:cs="Arial"/>
          <w:b/>
          <w:bCs/>
          <w:szCs w:val="24"/>
          <w:lang w:eastAsia="en-US"/>
        </w:rPr>
        <w:tab/>
        <w:t>5</w:t>
      </w:r>
    </w:p>
    <w:p w:rsidR="00532F04" w:rsidRDefault="00B27985" w:rsidP="00532F04">
      <w:pPr>
        <w:tabs>
          <w:tab w:val="right" w:leader="dot" w:pos="9356"/>
        </w:tabs>
        <w:rPr>
          <w:rFonts w:ascii="Arial" w:eastAsia="Times New Roman" w:hAnsi="Arial" w:cs="Arial"/>
          <w:b/>
          <w:bCs/>
          <w:szCs w:val="24"/>
          <w:lang w:eastAsia="en-US"/>
        </w:rPr>
      </w:pPr>
      <w:r w:rsidRPr="00596E2E">
        <w:rPr>
          <w:rFonts w:ascii="Arial" w:eastAsia="Times New Roman" w:hAnsi="Arial" w:cs="Arial"/>
          <w:b/>
          <w:bCs/>
          <w:szCs w:val="24"/>
          <w:lang w:eastAsia="en-US"/>
        </w:rPr>
        <w:t>Publication template for CQUIN variations</w:t>
      </w:r>
      <w:r w:rsidR="0001303D">
        <w:rPr>
          <w:rFonts w:ascii="Arial" w:eastAsia="Times New Roman" w:hAnsi="Arial" w:cs="Arial"/>
          <w:b/>
          <w:bCs/>
          <w:szCs w:val="24"/>
          <w:lang w:eastAsia="en-US"/>
        </w:rPr>
        <w:tab/>
        <w:t>6</w:t>
      </w:r>
    </w:p>
    <w:p w:rsidR="0001303D" w:rsidRDefault="0001303D" w:rsidP="00532F04">
      <w:pPr>
        <w:tabs>
          <w:tab w:val="right" w:leader="dot" w:pos="9356"/>
        </w:tabs>
        <w:rPr>
          <w:rFonts w:ascii="Arial" w:eastAsia="Calibri" w:hAnsi="Arial" w:cs="Arial"/>
          <w:b/>
          <w:bCs/>
          <w:color w:val="000000"/>
          <w:szCs w:val="24"/>
          <w:lang w:eastAsia="en-US"/>
        </w:rPr>
      </w:pPr>
      <w:r>
        <w:rPr>
          <w:rFonts w:ascii="Arial" w:eastAsia="Calibri" w:hAnsi="Arial" w:cs="Arial"/>
          <w:b/>
          <w:bCs/>
          <w:color w:val="000000"/>
          <w:szCs w:val="24"/>
          <w:lang w:eastAsia="en-US"/>
        </w:rPr>
        <w:t>National CQUIN Templates: Friends and Family Test</w:t>
      </w:r>
      <w:r>
        <w:rPr>
          <w:rFonts w:ascii="Arial" w:eastAsia="Calibri" w:hAnsi="Arial" w:cs="Arial"/>
          <w:b/>
          <w:bCs/>
          <w:color w:val="000000"/>
          <w:szCs w:val="24"/>
          <w:lang w:eastAsia="en-US"/>
        </w:rPr>
        <w:tab/>
        <w:t>7</w:t>
      </w:r>
    </w:p>
    <w:p w:rsidR="0001303D" w:rsidRDefault="0001303D" w:rsidP="00532F04">
      <w:pPr>
        <w:tabs>
          <w:tab w:val="right" w:leader="dot" w:pos="9356"/>
        </w:tabs>
        <w:rPr>
          <w:rFonts w:ascii="Arial" w:eastAsia="Calibri" w:hAnsi="Arial" w:cs="Arial"/>
          <w:b/>
          <w:bCs/>
          <w:color w:val="000000"/>
          <w:szCs w:val="24"/>
          <w:lang w:eastAsia="en-US"/>
        </w:rPr>
      </w:pPr>
      <w:r>
        <w:rPr>
          <w:rFonts w:ascii="Arial" w:eastAsia="Calibri" w:hAnsi="Arial" w:cs="Arial"/>
          <w:b/>
          <w:bCs/>
          <w:color w:val="000000"/>
          <w:szCs w:val="24"/>
          <w:lang w:eastAsia="en-US"/>
        </w:rPr>
        <w:t xml:space="preserve">National CQUIN Templates: </w:t>
      </w:r>
      <w:r w:rsidRPr="00C96AB1">
        <w:rPr>
          <w:rFonts w:ascii="Arial" w:eastAsia="Calibri" w:hAnsi="Arial" w:cs="Arial"/>
          <w:b/>
          <w:bCs/>
          <w:color w:val="000000"/>
          <w:szCs w:val="24"/>
          <w:lang w:eastAsia="en-US"/>
        </w:rPr>
        <w:t>NHS Safety Thermometer</w:t>
      </w:r>
      <w:r>
        <w:rPr>
          <w:rFonts w:ascii="Arial" w:eastAsia="Calibri" w:hAnsi="Arial" w:cs="Arial"/>
          <w:b/>
          <w:bCs/>
          <w:color w:val="000000"/>
          <w:szCs w:val="24"/>
          <w:lang w:eastAsia="en-US"/>
        </w:rPr>
        <w:t xml:space="preserve"> Test</w:t>
      </w:r>
      <w:r>
        <w:rPr>
          <w:rFonts w:ascii="Arial" w:eastAsia="Calibri" w:hAnsi="Arial" w:cs="Arial"/>
          <w:b/>
          <w:bCs/>
          <w:color w:val="000000"/>
          <w:szCs w:val="24"/>
          <w:lang w:eastAsia="en-US"/>
        </w:rPr>
        <w:tab/>
        <w:t>1</w:t>
      </w:r>
      <w:r w:rsidR="0049145F">
        <w:rPr>
          <w:rFonts w:ascii="Arial" w:eastAsia="Calibri" w:hAnsi="Arial" w:cs="Arial"/>
          <w:b/>
          <w:bCs/>
          <w:color w:val="000000"/>
          <w:szCs w:val="24"/>
          <w:lang w:eastAsia="en-US"/>
        </w:rPr>
        <w:t>4</w:t>
      </w:r>
    </w:p>
    <w:p w:rsidR="0001303D" w:rsidRDefault="0001303D" w:rsidP="00532F04">
      <w:pPr>
        <w:tabs>
          <w:tab w:val="right" w:leader="dot" w:pos="9356"/>
        </w:tabs>
        <w:rPr>
          <w:rFonts w:ascii="Arial" w:eastAsia="Calibri" w:hAnsi="Arial" w:cs="Arial"/>
          <w:b/>
          <w:bCs/>
          <w:color w:val="000000"/>
          <w:szCs w:val="24"/>
          <w:lang w:eastAsia="en-US"/>
        </w:rPr>
      </w:pPr>
      <w:r>
        <w:rPr>
          <w:rFonts w:ascii="Arial" w:eastAsia="Calibri" w:hAnsi="Arial" w:cs="Arial"/>
          <w:b/>
          <w:bCs/>
          <w:color w:val="000000"/>
          <w:szCs w:val="24"/>
          <w:lang w:eastAsia="en-US"/>
        </w:rPr>
        <w:t>National CQUIN Templates: Dementia and Delirium</w:t>
      </w:r>
      <w:r>
        <w:rPr>
          <w:rFonts w:ascii="Arial" w:eastAsia="Calibri" w:hAnsi="Arial" w:cs="Arial"/>
          <w:b/>
          <w:bCs/>
          <w:color w:val="000000"/>
          <w:szCs w:val="24"/>
          <w:lang w:eastAsia="en-US"/>
        </w:rPr>
        <w:tab/>
        <w:t>1</w:t>
      </w:r>
      <w:r w:rsidR="0049145F">
        <w:rPr>
          <w:rFonts w:ascii="Arial" w:eastAsia="Calibri" w:hAnsi="Arial" w:cs="Arial"/>
          <w:b/>
          <w:bCs/>
          <w:color w:val="000000"/>
          <w:szCs w:val="24"/>
          <w:lang w:eastAsia="en-US"/>
        </w:rPr>
        <w:t>8</w:t>
      </w:r>
    </w:p>
    <w:p w:rsidR="0001303D" w:rsidRDefault="0001303D" w:rsidP="00532F04">
      <w:pPr>
        <w:tabs>
          <w:tab w:val="right" w:leader="dot" w:pos="9356"/>
        </w:tabs>
        <w:rPr>
          <w:rFonts w:ascii="Arial" w:eastAsia="Calibri" w:hAnsi="Arial" w:cs="Arial"/>
          <w:b/>
          <w:bCs/>
          <w:color w:val="000000"/>
          <w:szCs w:val="24"/>
          <w:lang w:eastAsia="en-US"/>
        </w:rPr>
      </w:pPr>
      <w:r>
        <w:rPr>
          <w:rFonts w:ascii="Arial" w:eastAsia="Calibri" w:hAnsi="Arial" w:cs="Arial"/>
          <w:b/>
          <w:bCs/>
          <w:color w:val="000000"/>
          <w:szCs w:val="24"/>
          <w:lang w:eastAsia="en-US"/>
        </w:rPr>
        <w:t xml:space="preserve">National CQUIN Templates: </w:t>
      </w:r>
      <w:r w:rsidRPr="00C96AB1">
        <w:rPr>
          <w:rFonts w:ascii="Arial" w:eastAsia="Calibri" w:hAnsi="Arial" w:cs="Arial"/>
          <w:b/>
          <w:bCs/>
          <w:color w:val="000000"/>
          <w:szCs w:val="24"/>
          <w:lang w:eastAsia="en-US"/>
        </w:rPr>
        <w:t>Improving physical healthcare to reduce premature mortality in people with Severe Mental Illness</w:t>
      </w:r>
      <w:r>
        <w:rPr>
          <w:rFonts w:ascii="Arial" w:eastAsia="Calibri" w:hAnsi="Arial" w:cs="Arial"/>
          <w:b/>
          <w:bCs/>
          <w:color w:val="000000"/>
          <w:szCs w:val="24"/>
          <w:lang w:eastAsia="en-US"/>
        </w:rPr>
        <w:tab/>
        <w:t>2</w:t>
      </w:r>
      <w:r w:rsidR="00DE31CC">
        <w:rPr>
          <w:rFonts w:ascii="Arial" w:eastAsia="Calibri" w:hAnsi="Arial" w:cs="Arial"/>
          <w:b/>
          <w:bCs/>
          <w:color w:val="000000"/>
          <w:szCs w:val="24"/>
          <w:lang w:eastAsia="en-US"/>
        </w:rPr>
        <w:t>2</w:t>
      </w:r>
    </w:p>
    <w:p w:rsidR="0001303D" w:rsidRPr="00596E2E" w:rsidRDefault="0001303D" w:rsidP="00532F04">
      <w:pPr>
        <w:tabs>
          <w:tab w:val="right" w:leader="dot" w:pos="9356"/>
        </w:tabs>
        <w:rPr>
          <w:rFonts w:ascii="Arial" w:hAnsi="Arial" w:cs="Arial"/>
        </w:rPr>
      </w:pPr>
      <w:r w:rsidRPr="0001303D">
        <w:rPr>
          <w:rFonts w:ascii="Arial" w:eastAsia="Times New Roman" w:hAnsi="Arial" w:cs="Arial"/>
          <w:b/>
          <w:bCs/>
          <w:szCs w:val="24"/>
        </w:rPr>
        <w:t>Template for indicators for local CQUINs</w:t>
      </w:r>
      <w:r w:rsidR="00A66E2C">
        <w:rPr>
          <w:rFonts w:ascii="Arial" w:eastAsia="Times New Roman" w:hAnsi="Arial" w:cs="Arial"/>
          <w:b/>
          <w:bCs/>
          <w:szCs w:val="24"/>
        </w:rPr>
        <w:tab/>
      </w:r>
      <w:r w:rsidR="00DE31CC">
        <w:rPr>
          <w:rFonts w:ascii="Arial" w:eastAsia="Times New Roman" w:hAnsi="Arial" w:cs="Arial"/>
          <w:b/>
          <w:bCs/>
          <w:szCs w:val="24"/>
        </w:rPr>
        <w:t>27</w:t>
      </w:r>
    </w:p>
    <w:bookmarkEnd w:id="1"/>
    <w:p w:rsidR="00C67EE6" w:rsidRDefault="00C67EE6" w:rsidP="00532F04">
      <w:pPr>
        <w:spacing w:after="0"/>
        <w:rPr>
          <w:rFonts w:ascii="Arial" w:hAnsi="Arial" w:cs="Arial"/>
        </w:rPr>
      </w:pPr>
    </w:p>
    <w:p w:rsidR="0049145F" w:rsidRDefault="0049145F" w:rsidP="00532F04">
      <w:pPr>
        <w:spacing w:after="0"/>
        <w:rPr>
          <w:rFonts w:ascii="Arial" w:hAnsi="Arial" w:cs="Arial"/>
        </w:rPr>
      </w:pPr>
    </w:p>
    <w:p w:rsidR="0049145F" w:rsidRDefault="0049145F" w:rsidP="00532F04">
      <w:pPr>
        <w:spacing w:after="0"/>
        <w:rPr>
          <w:rFonts w:ascii="Arial" w:hAnsi="Arial" w:cs="Arial"/>
        </w:rPr>
      </w:pPr>
    </w:p>
    <w:p w:rsidR="0049145F" w:rsidRDefault="0049145F" w:rsidP="00532F04">
      <w:pPr>
        <w:spacing w:after="0"/>
        <w:rPr>
          <w:rFonts w:ascii="Arial" w:hAnsi="Arial" w:cs="Arial"/>
        </w:rPr>
      </w:pPr>
    </w:p>
    <w:p w:rsidR="0049145F" w:rsidRDefault="0049145F" w:rsidP="00532F04">
      <w:pPr>
        <w:spacing w:after="0"/>
        <w:rPr>
          <w:rFonts w:ascii="Arial" w:hAnsi="Arial" w:cs="Arial"/>
        </w:rPr>
      </w:pPr>
    </w:p>
    <w:p w:rsidR="00C67EE6" w:rsidRDefault="00C67EE6" w:rsidP="00532F04">
      <w:pPr>
        <w:spacing w:after="0"/>
        <w:rPr>
          <w:rFonts w:ascii="Arial" w:hAnsi="Arial" w:cs="Arial"/>
        </w:rPr>
      </w:pPr>
      <w:r>
        <w:rPr>
          <w:rFonts w:ascii="Arial" w:hAnsi="Arial" w:cs="Arial"/>
        </w:rPr>
        <w:t xml:space="preserve">Please note that changes have been made to the </w:t>
      </w:r>
      <w:r w:rsidR="00097C2A">
        <w:rPr>
          <w:rFonts w:ascii="Arial" w:hAnsi="Arial" w:cs="Arial"/>
        </w:rPr>
        <w:t>following FFT templates:</w:t>
      </w:r>
    </w:p>
    <w:p w:rsidR="00097C2A" w:rsidRDefault="00097C2A" w:rsidP="00532F04">
      <w:pPr>
        <w:spacing w:after="0"/>
        <w:rPr>
          <w:rFonts w:ascii="Arial" w:hAnsi="Arial" w:cs="Arial"/>
        </w:rPr>
      </w:pPr>
    </w:p>
    <w:p w:rsidR="00C67EE6" w:rsidRPr="00097C2A" w:rsidRDefault="00FA590B" w:rsidP="00532F04">
      <w:pPr>
        <w:spacing w:after="0"/>
        <w:rPr>
          <w:rFonts w:ascii="Arial" w:hAnsi="Arial" w:cs="Arial"/>
        </w:rPr>
      </w:pPr>
      <w:r>
        <w:rPr>
          <w:rFonts w:ascii="Arial" w:hAnsi="Arial" w:cs="Arial"/>
        </w:rPr>
        <w:t>Template 1a i</w:t>
      </w:r>
      <w:r w:rsidR="00097C2A">
        <w:rPr>
          <w:rFonts w:ascii="Arial" w:hAnsi="Arial" w:cs="Arial"/>
        </w:rPr>
        <w:t>mplementation o</w:t>
      </w:r>
      <w:r>
        <w:rPr>
          <w:rFonts w:ascii="Arial" w:hAnsi="Arial" w:cs="Arial"/>
        </w:rPr>
        <w:t>f s</w:t>
      </w:r>
      <w:r w:rsidR="00097C2A" w:rsidRPr="00097C2A">
        <w:rPr>
          <w:rFonts w:ascii="Arial" w:hAnsi="Arial" w:cs="Arial"/>
        </w:rPr>
        <w:t>taff F</w:t>
      </w:r>
      <w:r w:rsidR="00097C2A">
        <w:rPr>
          <w:rFonts w:ascii="Arial" w:hAnsi="Arial" w:cs="Arial"/>
        </w:rPr>
        <w:t>FT</w:t>
      </w:r>
      <w:r w:rsidR="00097C2A" w:rsidRPr="00097C2A">
        <w:rPr>
          <w:rFonts w:ascii="Arial" w:hAnsi="Arial" w:cs="Arial"/>
        </w:rPr>
        <w:t xml:space="preserve"> - </w:t>
      </w:r>
      <w:r w:rsidR="00097C2A">
        <w:rPr>
          <w:rFonts w:ascii="Arial" w:hAnsi="Arial" w:cs="Arial"/>
        </w:rPr>
        <w:t>NHS</w:t>
      </w:r>
      <w:r>
        <w:rPr>
          <w:rFonts w:ascii="Arial" w:hAnsi="Arial" w:cs="Arial"/>
        </w:rPr>
        <w:t xml:space="preserve"> trusts o</w:t>
      </w:r>
      <w:r w:rsidR="00097C2A" w:rsidRPr="00097C2A">
        <w:rPr>
          <w:rFonts w:ascii="Arial" w:hAnsi="Arial" w:cs="Arial"/>
        </w:rPr>
        <w:t>nly</w:t>
      </w:r>
    </w:p>
    <w:p w:rsidR="00097C2A" w:rsidRDefault="0049145F" w:rsidP="00532F04">
      <w:pPr>
        <w:spacing w:after="0"/>
        <w:rPr>
          <w:rFonts w:ascii="Arial" w:hAnsi="Arial" w:cs="Arial"/>
        </w:rPr>
      </w:pPr>
      <w:r>
        <w:rPr>
          <w:rFonts w:ascii="Arial" w:hAnsi="Arial" w:cs="Arial"/>
        </w:rPr>
        <w:t>Template</w:t>
      </w:r>
      <w:r w:rsidRPr="00097C2A">
        <w:rPr>
          <w:rFonts w:ascii="Arial" w:hAnsi="Arial" w:cs="Arial"/>
        </w:rPr>
        <w:t xml:space="preserve"> </w:t>
      </w:r>
      <w:r w:rsidR="00097C2A" w:rsidRPr="00097C2A">
        <w:rPr>
          <w:rFonts w:ascii="Arial" w:hAnsi="Arial" w:cs="Arial"/>
        </w:rPr>
        <w:t xml:space="preserve">1c </w:t>
      </w:r>
      <w:r w:rsidR="00FA590B">
        <w:rPr>
          <w:rFonts w:ascii="Arial" w:hAnsi="Arial" w:cs="Arial"/>
        </w:rPr>
        <w:t>for m</w:t>
      </w:r>
      <w:r w:rsidR="00097C2A">
        <w:rPr>
          <w:rFonts w:ascii="Arial" w:hAnsi="Arial" w:cs="Arial"/>
        </w:rPr>
        <w:t xml:space="preserve">ental </w:t>
      </w:r>
      <w:r w:rsidR="00FA590B">
        <w:rPr>
          <w:rFonts w:ascii="Arial" w:hAnsi="Arial" w:cs="Arial"/>
        </w:rPr>
        <w:t>h</w:t>
      </w:r>
      <w:r w:rsidR="00097C2A">
        <w:rPr>
          <w:rFonts w:ascii="Arial" w:hAnsi="Arial" w:cs="Arial"/>
        </w:rPr>
        <w:t>ealth a</w:t>
      </w:r>
      <w:r w:rsidR="00FA590B">
        <w:rPr>
          <w:rFonts w:ascii="Arial" w:hAnsi="Arial" w:cs="Arial"/>
        </w:rPr>
        <w:t>nd community h</w:t>
      </w:r>
      <w:r w:rsidR="00097C2A" w:rsidRPr="00097C2A">
        <w:rPr>
          <w:rFonts w:ascii="Arial" w:hAnsi="Arial" w:cs="Arial"/>
        </w:rPr>
        <w:t xml:space="preserve">ealth </w:t>
      </w:r>
      <w:r w:rsidR="00FA590B">
        <w:rPr>
          <w:rFonts w:ascii="Arial" w:hAnsi="Arial" w:cs="Arial"/>
        </w:rPr>
        <w:t>p</w:t>
      </w:r>
      <w:r w:rsidR="00097C2A" w:rsidRPr="00097C2A">
        <w:rPr>
          <w:rFonts w:ascii="Arial" w:hAnsi="Arial" w:cs="Arial"/>
        </w:rPr>
        <w:t>roviders</w:t>
      </w:r>
      <w:r w:rsidR="00097C2A">
        <w:rPr>
          <w:rFonts w:ascii="Arial" w:hAnsi="Arial" w:cs="Arial"/>
        </w:rPr>
        <w:t>:</w:t>
      </w:r>
      <w:r w:rsidR="00FA590B">
        <w:rPr>
          <w:rFonts w:ascii="Arial" w:hAnsi="Arial" w:cs="Arial"/>
        </w:rPr>
        <w:t xml:space="preserve"> phased e</w:t>
      </w:r>
      <w:r w:rsidR="00097C2A" w:rsidRPr="00097C2A">
        <w:rPr>
          <w:rFonts w:ascii="Arial" w:hAnsi="Arial" w:cs="Arial"/>
        </w:rPr>
        <w:t>xpansion</w:t>
      </w:r>
    </w:p>
    <w:p w:rsidR="00097C2A" w:rsidRPr="00097C2A" w:rsidRDefault="0049145F" w:rsidP="00532F04">
      <w:pPr>
        <w:spacing w:after="0"/>
        <w:rPr>
          <w:rFonts w:ascii="Arial" w:hAnsi="Arial" w:cs="Arial"/>
        </w:rPr>
      </w:pPr>
      <w:r>
        <w:rPr>
          <w:rFonts w:ascii="Arial" w:hAnsi="Arial" w:cs="Arial"/>
        </w:rPr>
        <w:t>Template</w:t>
      </w:r>
      <w:r w:rsidRPr="00097C2A">
        <w:rPr>
          <w:rFonts w:ascii="Arial" w:hAnsi="Arial" w:cs="Arial"/>
        </w:rPr>
        <w:t xml:space="preserve"> </w:t>
      </w:r>
      <w:r w:rsidR="00097C2A" w:rsidRPr="00097C2A">
        <w:rPr>
          <w:rFonts w:ascii="Arial" w:hAnsi="Arial" w:cs="Arial"/>
        </w:rPr>
        <w:t xml:space="preserve">1c </w:t>
      </w:r>
      <w:r w:rsidR="00097C2A">
        <w:rPr>
          <w:rFonts w:ascii="Arial" w:hAnsi="Arial" w:cs="Arial"/>
        </w:rPr>
        <w:t>f</w:t>
      </w:r>
      <w:r w:rsidR="00FA590B">
        <w:rPr>
          <w:rFonts w:ascii="Arial" w:hAnsi="Arial" w:cs="Arial"/>
        </w:rPr>
        <w:t>or a</w:t>
      </w:r>
      <w:r w:rsidR="00097C2A" w:rsidRPr="00097C2A">
        <w:rPr>
          <w:rFonts w:ascii="Arial" w:hAnsi="Arial" w:cs="Arial"/>
        </w:rPr>
        <w:t xml:space="preserve">mbulance </w:t>
      </w:r>
      <w:r w:rsidR="00FA590B">
        <w:rPr>
          <w:rFonts w:ascii="Arial" w:hAnsi="Arial" w:cs="Arial"/>
        </w:rPr>
        <w:t>s</w:t>
      </w:r>
      <w:r w:rsidR="00097C2A" w:rsidRPr="00097C2A">
        <w:rPr>
          <w:rFonts w:ascii="Arial" w:hAnsi="Arial" w:cs="Arial"/>
        </w:rPr>
        <w:t xml:space="preserve">ervice </w:t>
      </w:r>
      <w:r w:rsidR="00FA590B">
        <w:rPr>
          <w:rFonts w:ascii="Arial" w:hAnsi="Arial" w:cs="Arial"/>
        </w:rPr>
        <w:t>p</w:t>
      </w:r>
      <w:r w:rsidR="00097C2A" w:rsidRPr="00097C2A">
        <w:rPr>
          <w:rFonts w:ascii="Arial" w:hAnsi="Arial" w:cs="Arial"/>
        </w:rPr>
        <w:t>roviders</w:t>
      </w:r>
      <w:r w:rsidR="00097C2A">
        <w:rPr>
          <w:rFonts w:ascii="Arial" w:hAnsi="Arial" w:cs="Arial"/>
        </w:rPr>
        <w:t xml:space="preserve">: </w:t>
      </w:r>
      <w:r w:rsidR="00FA590B">
        <w:rPr>
          <w:rFonts w:ascii="Arial" w:hAnsi="Arial" w:cs="Arial"/>
        </w:rPr>
        <w:t>phased e</w:t>
      </w:r>
      <w:r w:rsidR="00097C2A" w:rsidRPr="00097C2A">
        <w:rPr>
          <w:rFonts w:ascii="Arial" w:hAnsi="Arial" w:cs="Arial"/>
        </w:rPr>
        <w:t>xpansion</w:t>
      </w:r>
    </w:p>
    <w:p w:rsidR="00097C2A" w:rsidRDefault="0049145F" w:rsidP="00532F04">
      <w:pPr>
        <w:spacing w:after="0"/>
        <w:rPr>
          <w:rFonts w:ascii="Arial" w:hAnsi="Arial" w:cs="Arial"/>
        </w:rPr>
      </w:pPr>
      <w:r>
        <w:rPr>
          <w:rFonts w:ascii="Arial" w:hAnsi="Arial" w:cs="Arial"/>
        </w:rPr>
        <w:t>Template</w:t>
      </w:r>
      <w:r w:rsidRPr="00097C2A">
        <w:rPr>
          <w:rFonts w:ascii="Arial" w:hAnsi="Arial" w:cs="Arial"/>
        </w:rPr>
        <w:t xml:space="preserve"> </w:t>
      </w:r>
      <w:r w:rsidR="00097C2A" w:rsidRPr="00097C2A">
        <w:rPr>
          <w:rFonts w:ascii="Arial" w:hAnsi="Arial" w:cs="Arial"/>
        </w:rPr>
        <w:t>3</w:t>
      </w:r>
      <w:r w:rsidR="00097C2A">
        <w:rPr>
          <w:rFonts w:ascii="Arial" w:hAnsi="Arial" w:cs="Arial"/>
        </w:rPr>
        <w:t xml:space="preserve"> </w:t>
      </w:r>
      <w:r w:rsidR="00FA590B">
        <w:rPr>
          <w:rFonts w:ascii="Arial" w:hAnsi="Arial" w:cs="Arial"/>
        </w:rPr>
        <w:t>increased response r</w:t>
      </w:r>
      <w:r w:rsidR="00097C2A" w:rsidRPr="00097C2A">
        <w:rPr>
          <w:rFonts w:ascii="Arial" w:hAnsi="Arial" w:cs="Arial"/>
        </w:rPr>
        <w:t>ate F</w:t>
      </w:r>
      <w:r w:rsidR="00097C2A">
        <w:rPr>
          <w:rFonts w:ascii="Arial" w:hAnsi="Arial" w:cs="Arial"/>
        </w:rPr>
        <w:t>FT</w:t>
      </w:r>
      <w:r w:rsidR="00FA590B">
        <w:rPr>
          <w:rFonts w:ascii="Arial" w:hAnsi="Arial" w:cs="Arial"/>
        </w:rPr>
        <w:t xml:space="preserve"> In acute p</w:t>
      </w:r>
      <w:r w:rsidR="00097C2A" w:rsidRPr="00097C2A">
        <w:rPr>
          <w:rFonts w:ascii="Arial" w:hAnsi="Arial" w:cs="Arial"/>
        </w:rPr>
        <w:t>roviders</w:t>
      </w:r>
    </w:p>
    <w:p w:rsidR="00DE31CC" w:rsidRDefault="00DE31CC" w:rsidP="00532F04">
      <w:pPr>
        <w:spacing w:after="0"/>
        <w:rPr>
          <w:rFonts w:ascii="Arial" w:hAnsi="Arial" w:cs="Arial"/>
        </w:rPr>
      </w:pPr>
    </w:p>
    <w:p w:rsidR="00DE31CC" w:rsidRDefault="00DE31CC" w:rsidP="00DE31CC">
      <w:pPr>
        <w:spacing w:after="0"/>
        <w:rPr>
          <w:rFonts w:ascii="Arial" w:hAnsi="Arial" w:cs="Arial"/>
        </w:rPr>
      </w:pPr>
      <w:r>
        <w:rPr>
          <w:rFonts w:ascii="Arial" w:hAnsi="Arial" w:cs="Arial"/>
        </w:rPr>
        <w:t xml:space="preserve">Please note that </w:t>
      </w:r>
      <w:r w:rsidR="00F55111">
        <w:rPr>
          <w:rFonts w:ascii="Arial" w:hAnsi="Arial" w:cs="Arial"/>
        </w:rPr>
        <w:t xml:space="preserve">a </w:t>
      </w:r>
      <w:r>
        <w:rPr>
          <w:rFonts w:ascii="Arial" w:hAnsi="Arial" w:cs="Arial"/>
        </w:rPr>
        <w:t>change ha</w:t>
      </w:r>
      <w:r w:rsidR="00F55111">
        <w:rPr>
          <w:rFonts w:ascii="Arial" w:hAnsi="Arial" w:cs="Arial"/>
        </w:rPr>
        <w:t>s</w:t>
      </w:r>
      <w:r>
        <w:rPr>
          <w:rFonts w:ascii="Arial" w:hAnsi="Arial" w:cs="Arial"/>
        </w:rPr>
        <w:t xml:space="preserve"> been made to the </w:t>
      </w:r>
      <w:r>
        <w:rPr>
          <w:rFonts w:ascii="Arial" w:hAnsi="Arial" w:cs="Arial"/>
        </w:rPr>
        <w:t>following SMI template</w:t>
      </w:r>
      <w:r>
        <w:rPr>
          <w:rFonts w:ascii="Arial" w:hAnsi="Arial" w:cs="Arial"/>
        </w:rPr>
        <w:t>:</w:t>
      </w:r>
    </w:p>
    <w:p w:rsidR="00DE31CC" w:rsidRDefault="00DE31CC" w:rsidP="00532F04">
      <w:pPr>
        <w:spacing w:after="0"/>
        <w:rPr>
          <w:rFonts w:ascii="Arial" w:hAnsi="Arial" w:cs="Arial"/>
        </w:rPr>
      </w:pPr>
    </w:p>
    <w:p w:rsidR="00DE31CC" w:rsidRPr="00097C2A" w:rsidRDefault="00DE31CC" w:rsidP="00532F04">
      <w:pPr>
        <w:spacing w:after="0"/>
        <w:rPr>
          <w:rFonts w:ascii="Arial" w:hAnsi="Arial" w:cs="Arial"/>
        </w:rPr>
      </w:pPr>
      <w:r>
        <w:rPr>
          <w:rFonts w:ascii="Arial" w:hAnsi="Arial" w:cs="Arial"/>
        </w:rPr>
        <w:t>Template 1 removal of Hepatitis C parameter</w:t>
      </w:r>
    </w:p>
    <w:p w:rsidR="00097C2A" w:rsidRDefault="00097C2A" w:rsidP="00532F04">
      <w:pPr>
        <w:spacing w:after="0"/>
        <w:rPr>
          <w:rFonts w:ascii="Arial" w:hAnsi="Arial" w:cs="Arial"/>
          <w:b/>
          <w:bCs/>
          <w:color w:val="000000"/>
        </w:rPr>
      </w:pPr>
    </w:p>
    <w:p w:rsidR="00097C2A" w:rsidRPr="00596E2E" w:rsidRDefault="00097C2A" w:rsidP="00532F04">
      <w:pPr>
        <w:spacing w:after="0"/>
        <w:rPr>
          <w:rFonts w:ascii="Arial" w:hAnsi="Arial" w:cs="Arial"/>
        </w:rPr>
        <w:sectPr w:rsidR="00097C2A" w:rsidRPr="00596E2E">
          <w:pgSz w:w="11906" w:h="16838"/>
          <w:pgMar w:top="1701" w:right="907" w:bottom="1134" w:left="907" w:header="720" w:footer="720" w:gutter="0"/>
          <w:cols w:space="720"/>
          <w:formProt w:val="0"/>
        </w:sectPr>
      </w:pPr>
    </w:p>
    <w:p w:rsidR="005A2593" w:rsidRPr="00596E2E" w:rsidRDefault="005A2593" w:rsidP="005A2593">
      <w:pPr>
        <w:keepNext/>
        <w:keepLines/>
        <w:spacing w:after="240"/>
        <w:outlineLvl w:val="0"/>
        <w:rPr>
          <w:rFonts w:ascii="Arial" w:eastAsia="Times New Roman" w:hAnsi="Arial" w:cs="Arial"/>
          <w:b/>
          <w:bCs/>
          <w:szCs w:val="28"/>
          <w:lang w:eastAsia="en-US"/>
        </w:rPr>
      </w:pPr>
      <w:r w:rsidRPr="00596E2E">
        <w:rPr>
          <w:rFonts w:ascii="Arial" w:eastAsia="Times New Roman" w:hAnsi="Arial" w:cs="Arial"/>
          <w:b/>
          <w:bCs/>
          <w:szCs w:val="24"/>
          <w:lang w:eastAsia="en-US"/>
        </w:rPr>
        <w:lastRenderedPageBreak/>
        <w:t>Publication template for sanction variations</w:t>
      </w:r>
      <w:r w:rsidRPr="00596E2E">
        <w:rPr>
          <w:rFonts w:ascii="Arial" w:eastAsia="Times New Roman" w:hAnsi="Arial" w:cs="Arial"/>
          <w:b/>
          <w:bCs/>
          <w:szCs w:val="28"/>
          <w:lang w:eastAsia="en-US"/>
        </w:rPr>
        <w:t xml:space="preserve"> </w:t>
      </w:r>
      <w:r w:rsidR="00596E2E">
        <w:rPr>
          <w:rFonts w:ascii="Arial" w:eastAsia="Times New Roman" w:hAnsi="Arial" w:cs="Arial"/>
          <w:b/>
          <w:bCs/>
          <w:szCs w:val="28"/>
          <w:lang w:eastAsia="en-US"/>
        </w:rPr>
        <w:t>(</w:t>
      </w:r>
      <w:r w:rsidR="00B27985">
        <w:rPr>
          <w:rFonts w:ascii="Arial" w:eastAsia="Times New Roman" w:hAnsi="Arial" w:cs="Arial"/>
          <w:b/>
          <w:bCs/>
          <w:szCs w:val="28"/>
          <w:lang w:eastAsia="en-US"/>
        </w:rPr>
        <w:t xml:space="preserve">from </w:t>
      </w:r>
      <w:r w:rsidR="00596E2E">
        <w:rPr>
          <w:rFonts w:ascii="Arial" w:eastAsia="Times New Roman" w:hAnsi="Arial" w:cs="Arial"/>
          <w:b/>
          <w:bCs/>
          <w:szCs w:val="28"/>
          <w:lang w:eastAsia="en-US"/>
        </w:rPr>
        <w:t xml:space="preserve">Technical Guidance </w:t>
      </w:r>
      <w:r w:rsidR="00B27985">
        <w:rPr>
          <w:rFonts w:ascii="Arial" w:eastAsia="Times New Roman" w:hAnsi="Arial" w:cs="Arial"/>
          <w:b/>
          <w:bCs/>
          <w:szCs w:val="28"/>
          <w:lang w:eastAsia="en-US"/>
        </w:rPr>
        <w:t xml:space="preserve">Appendix </w:t>
      </w:r>
      <w:r w:rsidR="00647F5D">
        <w:rPr>
          <w:rFonts w:ascii="Arial" w:eastAsia="Times New Roman" w:hAnsi="Arial" w:cs="Arial"/>
          <w:b/>
          <w:bCs/>
          <w:szCs w:val="28"/>
          <w:lang w:eastAsia="en-US"/>
        </w:rPr>
        <w:t>8</w:t>
      </w:r>
      <w:r w:rsidR="00596E2E">
        <w:rPr>
          <w:rFonts w:ascii="Arial" w:eastAsia="Times New Roman" w:hAnsi="Arial" w:cs="Arial"/>
          <w:b/>
          <w:bCs/>
          <w:szCs w:val="28"/>
          <w:lang w:eastAsia="en-US"/>
        </w:rPr>
        <w:t>)</w:t>
      </w:r>
    </w:p>
    <w:p w:rsidR="005A2593" w:rsidRPr="00596E2E" w:rsidRDefault="005A2593" w:rsidP="005A2593">
      <w:pPr>
        <w:spacing w:after="0"/>
        <w:jc w:val="both"/>
        <w:rPr>
          <w:rFonts w:ascii="Arial" w:eastAsia="Calibri" w:hAnsi="Arial" w:cs="Arial"/>
          <w:szCs w:val="24"/>
          <w:lang w:eastAsia="en-US"/>
        </w:rPr>
      </w:pPr>
      <w:r w:rsidRPr="00596E2E">
        <w:rPr>
          <w:rFonts w:ascii="Arial" w:eastAsia="Calibri" w:hAnsi="Arial" w:cs="Arial"/>
          <w:szCs w:val="24"/>
          <w:lang w:eastAsia="en-US"/>
        </w:rPr>
        <w:t xml:space="preserve">Whenever the Commissioners and the Provider agree to vary or </w:t>
      </w:r>
      <w:proofErr w:type="spellStart"/>
      <w:r w:rsidRPr="00596E2E">
        <w:rPr>
          <w:rFonts w:ascii="Arial" w:eastAsia="Calibri" w:hAnsi="Arial" w:cs="Arial"/>
          <w:szCs w:val="24"/>
          <w:lang w:eastAsia="en-US"/>
        </w:rPr>
        <w:t>disapply</w:t>
      </w:r>
      <w:proofErr w:type="spellEnd"/>
      <w:r w:rsidRPr="00596E2E">
        <w:rPr>
          <w:rFonts w:ascii="Arial" w:eastAsia="Calibri" w:hAnsi="Arial" w:cs="Arial"/>
          <w:szCs w:val="24"/>
          <w:lang w:eastAsia="en-US"/>
        </w:rPr>
        <w:t xml:space="preserve"> the sanction applicable to any Operating Standard or National Quality Requirement in respect of any Contract this template should be completed by the Co-ordinating Commissioner and submitted to: </w:t>
      </w:r>
      <w:hyperlink r:id="rId11" w:history="1"/>
      <w:hyperlink r:id="rId12" w:history="1">
        <w:r w:rsidRPr="00596E2E">
          <w:rPr>
            <w:rFonts w:ascii="Arial" w:eastAsia="Calibri" w:hAnsi="Arial" w:cs="Arial"/>
            <w:color w:val="0000FF"/>
            <w:szCs w:val="24"/>
            <w:u w:val="single"/>
            <w:lang w:eastAsia="en-US"/>
          </w:rPr>
          <w:t>england</w:t>
        </w:r>
        <w:r w:rsidR="00297C97">
          <w:rPr>
            <w:rFonts w:ascii="Arial" w:eastAsia="Calibri" w:hAnsi="Arial" w:cs="Arial"/>
            <w:color w:val="0000FF"/>
            <w:szCs w:val="24"/>
            <w:u w:val="single"/>
            <w:lang w:eastAsia="en-US"/>
          </w:rPr>
          <w:t>.</w:t>
        </w:r>
        <w:r w:rsidRPr="00596E2E">
          <w:rPr>
            <w:rFonts w:ascii="Arial" w:eastAsia="Calibri" w:hAnsi="Arial" w:cs="Arial"/>
            <w:color w:val="0000FF"/>
            <w:szCs w:val="24"/>
            <w:u w:val="single"/>
            <w:lang w:eastAsia="en-US"/>
          </w:rPr>
          <w:t>sanctionvariation@nhs.net</w:t>
        </w:r>
      </w:hyperlink>
    </w:p>
    <w:p w:rsidR="005A2593" w:rsidRPr="00596E2E" w:rsidRDefault="005A2593" w:rsidP="005A2593">
      <w:pPr>
        <w:spacing w:after="0"/>
        <w:jc w:val="both"/>
        <w:rPr>
          <w:rFonts w:ascii="Arial" w:eastAsia="Calibri" w:hAnsi="Arial" w:cs="Arial"/>
          <w:i/>
          <w:szCs w:val="24"/>
          <w:lang w:eastAsia="en-US"/>
        </w:rPr>
      </w:pPr>
    </w:p>
    <w:tbl>
      <w:tblPr>
        <w:tblStyle w:val="TableGrid1"/>
        <w:tblpPr w:leftFromText="180" w:rightFromText="180" w:vertAnchor="text" w:horzAnchor="margin" w:tblpXSpec="center" w:tblpY="46"/>
        <w:tblW w:w="9385" w:type="dxa"/>
        <w:tblLook w:val="04A0" w:firstRow="1" w:lastRow="0" w:firstColumn="1" w:lastColumn="0" w:noHBand="0" w:noVBand="1"/>
      </w:tblPr>
      <w:tblGrid>
        <w:gridCol w:w="1728"/>
        <w:gridCol w:w="7657"/>
      </w:tblGrid>
      <w:tr w:rsidR="005A2593" w:rsidRPr="00596E2E" w:rsidTr="005F36AC">
        <w:trPr>
          <w:trHeight w:val="427"/>
        </w:trPr>
        <w:tc>
          <w:tcPr>
            <w:tcW w:w="9385" w:type="dxa"/>
            <w:gridSpan w:val="2"/>
            <w:vAlign w:val="center"/>
          </w:tcPr>
          <w:p w:rsidR="005A2593" w:rsidRPr="00596E2E" w:rsidRDefault="005A2593" w:rsidP="005A2593">
            <w:pPr>
              <w:rPr>
                <w:rFonts w:ascii="Arial" w:hAnsi="Arial" w:cs="Arial"/>
                <w:sz w:val="20"/>
              </w:rPr>
            </w:pPr>
            <w:r w:rsidRPr="00596E2E">
              <w:rPr>
                <w:rFonts w:ascii="Arial" w:hAnsi="Arial" w:cs="Arial"/>
                <w:sz w:val="20"/>
              </w:rPr>
              <w:t>BACKGROUND</w:t>
            </w:r>
          </w:p>
        </w:tc>
      </w:tr>
      <w:tr w:rsidR="005A2593" w:rsidRPr="00596E2E" w:rsidTr="005F36AC">
        <w:trPr>
          <w:trHeight w:val="888"/>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 xml:space="preserve">Overview </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 xml:space="preserve">Summary of and rationale for the service change that will be supported by varying or </w:t>
            </w:r>
            <w:proofErr w:type="spellStart"/>
            <w:r w:rsidRPr="00596E2E">
              <w:rPr>
                <w:rFonts w:ascii="Arial" w:hAnsi="Arial" w:cs="Arial"/>
                <w:i/>
                <w:sz w:val="20"/>
              </w:rPr>
              <w:t>disapplying</w:t>
            </w:r>
            <w:proofErr w:type="spellEnd"/>
            <w:r w:rsidRPr="00596E2E">
              <w:rPr>
                <w:rFonts w:ascii="Arial" w:hAnsi="Arial" w:cs="Arial"/>
                <w:i/>
                <w:sz w:val="20"/>
              </w:rPr>
              <w:t xml:space="preserve"> the national sanctions. Justify the new approach and explain how it is in patients’ best interests.</w:t>
            </w:r>
          </w:p>
        </w:tc>
      </w:tr>
      <w:tr w:rsidR="005A2593" w:rsidRPr="00596E2E" w:rsidTr="005F36AC">
        <w:trPr>
          <w:trHeight w:val="645"/>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Link to Local Variation to National Price</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Is this related to a Local Variation to a National Price?</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If Yes, attach completed Monitor submission template in respect of that Local Variation</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If full details of the variation to or disapplication of  national sanctions have been included in the attached Monitor submission template no further details need be provided in this template</w:t>
            </w:r>
          </w:p>
          <w:p w:rsidR="005A2593" w:rsidRPr="00596E2E" w:rsidRDefault="005A2593" w:rsidP="005A2593">
            <w:pPr>
              <w:rPr>
                <w:rFonts w:ascii="Arial" w:hAnsi="Arial" w:cs="Arial"/>
                <w:i/>
                <w:sz w:val="20"/>
              </w:rPr>
            </w:pPr>
          </w:p>
        </w:tc>
      </w:tr>
      <w:tr w:rsidR="005A2593" w:rsidRPr="00596E2E" w:rsidTr="005F36AC">
        <w:trPr>
          <w:trHeight w:val="420"/>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Operational Standards and/or National Quality Requirements affected</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List all affected</w:t>
            </w:r>
          </w:p>
        </w:tc>
      </w:tr>
      <w:tr w:rsidR="005A2593" w:rsidRPr="00596E2E" w:rsidTr="005F36AC">
        <w:trPr>
          <w:trHeight w:val="412"/>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Commissioner(s)</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Commissioner(s) party to the agreement (this must be all Commissioners who are parties to the relevant Contract)</w:t>
            </w:r>
          </w:p>
          <w:p w:rsidR="005A2593" w:rsidRPr="00596E2E" w:rsidRDefault="005A2593" w:rsidP="005A2593">
            <w:pPr>
              <w:rPr>
                <w:rFonts w:ascii="Arial" w:hAnsi="Arial" w:cs="Arial"/>
                <w:i/>
                <w:sz w:val="20"/>
              </w:rPr>
            </w:pPr>
          </w:p>
        </w:tc>
      </w:tr>
      <w:tr w:rsidR="005A2593" w:rsidRPr="00596E2E" w:rsidTr="005F36AC">
        <w:trPr>
          <w:trHeight w:val="493"/>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Provider</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 xml:space="preserve">Provider party to the agreement </w:t>
            </w:r>
          </w:p>
        </w:tc>
      </w:tr>
      <w:tr w:rsidR="005A2593" w:rsidRPr="00596E2E" w:rsidTr="005F36AC">
        <w:trPr>
          <w:trHeight w:val="555"/>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Proposed duration</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 xml:space="preserve">[          </w:t>
            </w:r>
            <w:proofErr w:type="gramStart"/>
            <w:r w:rsidRPr="00596E2E">
              <w:rPr>
                <w:rFonts w:ascii="Arial" w:hAnsi="Arial" w:cs="Arial"/>
                <w:i/>
                <w:sz w:val="20"/>
              </w:rPr>
              <w:t>]  years</w:t>
            </w:r>
            <w:proofErr w:type="gramEnd"/>
            <w:r w:rsidRPr="00596E2E">
              <w:rPr>
                <w:rFonts w:ascii="Arial" w:hAnsi="Arial" w:cs="Arial"/>
                <w:i/>
                <w:sz w:val="20"/>
              </w:rPr>
              <w:t xml:space="preserve"> [         ] months. </w:t>
            </w:r>
          </w:p>
          <w:p w:rsidR="005A2593" w:rsidRPr="00596E2E" w:rsidRDefault="005A2593" w:rsidP="005A2593">
            <w:pPr>
              <w:rPr>
                <w:rFonts w:ascii="Arial" w:hAnsi="Arial" w:cs="Arial"/>
                <w:i/>
                <w:sz w:val="20"/>
              </w:rPr>
            </w:pPr>
            <w:r w:rsidRPr="00596E2E">
              <w:rPr>
                <w:rFonts w:ascii="Arial" w:hAnsi="Arial" w:cs="Arial"/>
                <w:i/>
                <w:sz w:val="20"/>
              </w:rPr>
              <w:t>Commencing [     ]</w:t>
            </w:r>
          </w:p>
          <w:p w:rsidR="005A2593" w:rsidRPr="00596E2E" w:rsidRDefault="005A2593" w:rsidP="005A2593">
            <w:pPr>
              <w:rPr>
                <w:rFonts w:ascii="Arial" w:hAnsi="Arial" w:cs="Arial"/>
                <w:i/>
                <w:sz w:val="20"/>
              </w:rPr>
            </w:pPr>
            <w:r w:rsidRPr="00596E2E">
              <w:rPr>
                <w:rFonts w:ascii="Arial" w:hAnsi="Arial" w:cs="Arial"/>
                <w:i/>
                <w:sz w:val="20"/>
              </w:rPr>
              <w:t>Frequency of any planned reviews [          ]</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 xml:space="preserve">Note: The duration of any sanction variation or disapplication should not exceed (but may be less than) the remaining duration of the Contract in respect of which it is agreed. </w:t>
            </w:r>
          </w:p>
        </w:tc>
      </w:tr>
      <w:tr w:rsidR="005A2593" w:rsidRPr="00596E2E" w:rsidTr="005F36AC">
        <w:trPr>
          <w:trHeight w:val="437"/>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Impact</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 xml:space="preserve">How will the new approach impact the quality of care patients receive? </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What quality metrics are being monitored?</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Are there associated operational risks? How are these being managed?</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How will the new approach be evaluated?</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How will the variation or disapplication create more effective incentives for the Provider to achieve the desired outcome for patients?</w:t>
            </w:r>
          </w:p>
          <w:p w:rsidR="005A2593" w:rsidRPr="00596E2E" w:rsidRDefault="005A2593" w:rsidP="005A2593">
            <w:pPr>
              <w:rPr>
                <w:rFonts w:ascii="Arial" w:hAnsi="Arial" w:cs="Arial"/>
                <w:i/>
                <w:sz w:val="20"/>
              </w:rPr>
            </w:pPr>
          </w:p>
        </w:tc>
      </w:tr>
      <w:tr w:rsidR="005A2593" w:rsidRPr="00596E2E" w:rsidTr="005F36AC">
        <w:trPr>
          <w:trHeight w:val="416"/>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Contact</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Email address in case of follow up enquiries</w:t>
            </w:r>
          </w:p>
        </w:tc>
      </w:tr>
    </w:tbl>
    <w:p w:rsidR="005A2593" w:rsidRPr="00596E2E" w:rsidRDefault="005A2593" w:rsidP="005A2593">
      <w:pPr>
        <w:spacing w:after="0"/>
        <w:rPr>
          <w:rFonts w:ascii="Arial" w:eastAsia="Calibri" w:hAnsi="Arial" w:cs="Arial"/>
          <w:szCs w:val="24"/>
          <w:lang w:eastAsia="en-US"/>
        </w:rPr>
        <w:sectPr w:rsidR="005A2593" w:rsidRPr="00596E2E" w:rsidSect="005F36AC">
          <w:headerReference w:type="default" r:id="rId13"/>
          <w:pgSz w:w="11906" w:h="16838"/>
          <w:pgMar w:top="1134" w:right="1134" w:bottom="1134" w:left="1134" w:header="709" w:footer="709" w:gutter="0"/>
          <w:cols w:space="708"/>
          <w:docGrid w:linePitch="360"/>
        </w:sectPr>
      </w:pPr>
    </w:p>
    <w:p w:rsidR="005A2593" w:rsidRPr="00596E2E" w:rsidRDefault="005A2593" w:rsidP="005A2593">
      <w:pPr>
        <w:keepNext/>
        <w:keepLines/>
        <w:spacing w:before="480" w:after="0"/>
        <w:outlineLvl w:val="0"/>
        <w:rPr>
          <w:rFonts w:ascii="Arial" w:eastAsia="Times New Roman" w:hAnsi="Arial" w:cs="Arial"/>
          <w:b/>
          <w:bCs/>
          <w:szCs w:val="24"/>
          <w:lang w:eastAsia="en-US"/>
        </w:rPr>
      </w:pPr>
      <w:r w:rsidRPr="00596E2E">
        <w:rPr>
          <w:rFonts w:ascii="Arial" w:eastAsia="Times New Roman" w:hAnsi="Arial" w:cs="Arial"/>
          <w:b/>
          <w:bCs/>
          <w:szCs w:val="24"/>
          <w:lang w:eastAsia="en-US"/>
        </w:rPr>
        <w:lastRenderedPageBreak/>
        <w:t>Publication template for CQUIN variations</w:t>
      </w:r>
      <w:r w:rsidR="00596E2E" w:rsidRPr="00596E2E">
        <w:rPr>
          <w:rFonts w:ascii="Arial" w:eastAsia="Times New Roman" w:hAnsi="Arial" w:cs="Arial"/>
          <w:b/>
          <w:bCs/>
          <w:szCs w:val="24"/>
          <w:lang w:eastAsia="en-US"/>
        </w:rPr>
        <w:t xml:space="preserve"> (</w:t>
      </w:r>
      <w:r w:rsidR="00B27985">
        <w:rPr>
          <w:rFonts w:ascii="Arial" w:eastAsia="Times New Roman" w:hAnsi="Arial" w:cs="Arial"/>
          <w:b/>
          <w:bCs/>
          <w:szCs w:val="24"/>
          <w:lang w:eastAsia="en-US"/>
        </w:rPr>
        <w:t xml:space="preserve">from </w:t>
      </w:r>
      <w:r w:rsidR="00596E2E" w:rsidRPr="00596E2E">
        <w:rPr>
          <w:rFonts w:ascii="Arial" w:eastAsia="Times New Roman" w:hAnsi="Arial" w:cs="Arial"/>
          <w:b/>
          <w:bCs/>
          <w:szCs w:val="24"/>
          <w:lang w:eastAsia="en-US"/>
        </w:rPr>
        <w:t xml:space="preserve">CQUIN guidance Appendix </w:t>
      </w:r>
      <w:r w:rsidR="00596E2E">
        <w:rPr>
          <w:rFonts w:ascii="Arial" w:eastAsia="Times New Roman" w:hAnsi="Arial" w:cs="Arial"/>
          <w:b/>
          <w:bCs/>
          <w:szCs w:val="24"/>
          <w:lang w:eastAsia="en-US"/>
        </w:rPr>
        <w:t>A</w:t>
      </w:r>
      <w:r w:rsidR="00596E2E" w:rsidRPr="00596E2E">
        <w:rPr>
          <w:rFonts w:ascii="Arial" w:eastAsia="Times New Roman" w:hAnsi="Arial" w:cs="Arial"/>
          <w:b/>
          <w:bCs/>
          <w:szCs w:val="24"/>
          <w:lang w:eastAsia="en-US"/>
        </w:rPr>
        <w:t>)</w:t>
      </w:r>
    </w:p>
    <w:p w:rsidR="005A2593" w:rsidRPr="00596E2E" w:rsidRDefault="005A2593" w:rsidP="005A2593">
      <w:pPr>
        <w:keepNext/>
        <w:keepLines/>
        <w:spacing w:before="480" w:after="0"/>
        <w:outlineLvl w:val="0"/>
        <w:rPr>
          <w:rFonts w:ascii="Arial" w:eastAsia="Calibri" w:hAnsi="Arial" w:cs="Arial"/>
          <w:szCs w:val="24"/>
          <w:lang w:eastAsia="en-US"/>
        </w:rPr>
      </w:pPr>
      <w:r w:rsidRPr="00596E2E">
        <w:rPr>
          <w:rFonts w:ascii="Arial" w:eastAsia="Calibri" w:hAnsi="Arial" w:cs="Arial"/>
          <w:szCs w:val="24"/>
          <w:lang w:eastAsia="en-US"/>
        </w:rPr>
        <w:t>This template should be completed when commissioners and providers agree to vary from national CQUIN g</w:t>
      </w:r>
      <w:r w:rsidR="00596E2E" w:rsidRPr="00596E2E">
        <w:rPr>
          <w:rFonts w:ascii="Arial" w:eastAsia="Calibri" w:hAnsi="Arial" w:cs="Arial"/>
          <w:szCs w:val="24"/>
          <w:lang w:eastAsia="en-US"/>
        </w:rPr>
        <w:t xml:space="preserve">oals or rules and submitted to: </w:t>
      </w:r>
      <w:hyperlink r:id="rId14" w:history="1">
        <w:r w:rsidR="00596E2E" w:rsidRPr="00596E2E">
          <w:rPr>
            <w:rStyle w:val="Hyperlink"/>
            <w:rFonts w:ascii="Arial" w:eastAsia="Calibri" w:hAnsi="Arial" w:cs="Arial"/>
            <w:szCs w:val="24"/>
            <w:lang w:eastAsia="en-US"/>
          </w:rPr>
          <w:t>england.cquinvariation@nhs.net</w:t>
        </w:r>
      </w:hyperlink>
    </w:p>
    <w:p w:rsidR="005A2593" w:rsidRPr="00596E2E" w:rsidRDefault="005A2593" w:rsidP="005A2593">
      <w:pPr>
        <w:spacing w:after="0"/>
        <w:rPr>
          <w:rFonts w:ascii="Arial" w:eastAsia="Calibri" w:hAnsi="Arial" w:cs="Arial"/>
          <w:sz w:val="20"/>
          <w:lang w:eastAsia="en-US"/>
        </w:rPr>
      </w:pPr>
    </w:p>
    <w:tbl>
      <w:tblPr>
        <w:tblpPr w:leftFromText="180" w:rightFromText="180" w:vertAnchor="text" w:horzAnchor="margin" w:tblpXSpec="center"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843"/>
      </w:tblGrid>
      <w:tr w:rsidR="005A2593" w:rsidRPr="00596E2E" w:rsidTr="005F36AC">
        <w:trPr>
          <w:trHeight w:val="427"/>
        </w:trPr>
        <w:tc>
          <w:tcPr>
            <w:tcW w:w="9180" w:type="dxa"/>
            <w:gridSpan w:val="2"/>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b/>
                <w:sz w:val="20"/>
                <w:lang w:eastAsia="en-US"/>
              </w:rPr>
              <w:t>BACKGROUND</w:t>
            </w:r>
          </w:p>
        </w:tc>
      </w:tr>
      <w:tr w:rsidR="005A2593" w:rsidRPr="00596E2E" w:rsidTr="005F36AC">
        <w:trPr>
          <w:trHeight w:val="888"/>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 xml:space="preserve">Overview </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Summary of and rationale for the service change that will be supported by varying the national CQUIN goals or rules. Justify the new approach and explain how it is in patients’ best interests.</w:t>
            </w:r>
          </w:p>
        </w:tc>
      </w:tr>
      <w:tr w:rsidR="005A2593" w:rsidRPr="00596E2E" w:rsidTr="005F36AC">
        <w:trPr>
          <w:trHeight w:val="645"/>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Link to local variation of national price</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Is this related to a variation in national price?</w:t>
            </w: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If Yes, which one (refer to the unique reference number of the price variation)</w:t>
            </w:r>
          </w:p>
        </w:tc>
      </w:tr>
      <w:tr w:rsidR="005A2593" w:rsidRPr="00596E2E" w:rsidTr="005F36AC">
        <w:trPr>
          <w:trHeight w:val="420"/>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National goals affected</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National CQUIN goals affected</w:t>
            </w:r>
          </w:p>
        </w:tc>
      </w:tr>
      <w:tr w:rsidR="005A2593" w:rsidRPr="00596E2E" w:rsidTr="005F36AC">
        <w:trPr>
          <w:trHeight w:val="412"/>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National rules affected</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CQUIN rules affected</w:t>
            </w:r>
          </w:p>
        </w:tc>
      </w:tr>
      <w:tr w:rsidR="005A2593" w:rsidRPr="00596E2E" w:rsidTr="005F36AC">
        <w:trPr>
          <w:trHeight w:val="412"/>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Commissioner(s)</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Commissioner(s) party to the agreement</w:t>
            </w:r>
          </w:p>
        </w:tc>
      </w:tr>
      <w:tr w:rsidR="005A2593" w:rsidRPr="00596E2E" w:rsidTr="005F36AC">
        <w:trPr>
          <w:trHeight w:val="493"/>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Provider(s)</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 xml:space="preserve">Provider(s) party to the agreement </w:t>
            </w:r>
          </w:p>
        </w:tc>
      </w:tr>
      <w:tr w:rsidR="005A2593" w:rsidRPr="00596E2E" w:rsidTr="005F36AC">
        <w:trPr>
          <w:trHeight w:val="434"/>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Estimated value</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 xml:space="preserve">An estimate of the expected financial impact of the variation for the commissioner and provider, relative to the impact of a standard CQUIN scheme </w:t>
            </w:r>
          </w:p>
        </w:tc>
      </w:tr>
      <w:tr w:rsidR="005A2593" w:rsidRPr="00596E2E" w:rsidTr="005F36AC">
        <w:trPr>
          <w:trHeight w:val="555"/>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Proposed duration</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Number of years, including frequency of any planned reviews.</w:t>
            </w:r>
          </w:p>
          <w:p w:rsidR="005A2593" w:rsidRPr="00596E2E" w:rsidRDefault="005A2593" w:rsidP="005A2593">
            <w:pPr>
              <w:spacing w:after="0"/>
              <w:rPr>
                <w:rFonts w:ascii="Arial" w:eastAsia="Calibri" w:hAnsi="Arial" w:cs="Arial"/>
                <w:i/>
                <w:sz w:val="20"/>
                <w:lang w:eastAsia="en-US"/>
              </w:rPr>
            </w:pP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 xml:space="preserve">Note: The duration of any CQUIN variation should not exceed (but may be less than) the duration of the overall contract within which it is agreed. </w:t>
            </w:r>
          </w:p>
          <w:p w:rsidR="005A2593" w:rsidRPr="00596E2E" w:rsidRDefault="005A2593" w:rsidP="005A2593">
            <w:pPr>
              <w:spacing w:after="0"/>
              <w:rPr>
                <w:rFonts w:ascii="Arial" w:eastAsia="Calibri" w:hAnsi="Arial" w:cs="Arial"/>
                <w:i/>
                <w:sz w:val="20"/>
                <w:lang w:eastAsia="en-US"/>
              </w:rPr>
            </w:pP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 xml:space="preserve">Note: Commissioner and provider will need to agree how they will handle any future changes to </w:t>
            </w:r>
            <w:proofErr w:type="gramStart"/>
            <w:r w:rsidRPr="00596E2E">
              <w:rPr>
                <w:rFonts w:ascii="Arial" w:eastAsia="Calibri" w:hAnsi="Arial" w:cs="Arial"/>
                <w:i/>
                <w:sz w:val="20"/>
                <w:lang w:eastAsia="en-US"/>
              </w:rPr>
              <w:t>CQUIN  rules</w:t>
            </w:r>
            <w:proofErr w:type="gramEnd"/>
            <w:r w:rsidRPr="00596E2E">
              <w:rPr>
                <w:rFonts w:ascii="Arial" w:eastAsia="Calibri" w:hAnsi="Arial" w:cs="Arial"/>
                <w:i/>
                <w:sz w:val="20"/>
                <w:lang w:eastAsia="en-US"/>
              </w:rPr>
              <w:t xml:space="preserve"> for multi-year schemes, e.g. what happens if the total % available for CQUIN goes up or down.</w:t>
            </w:r>
          </w:p>
        </w:tc>
      </w:tr>
      <w:tr w:rsidR="005A2593" w:rsidRPr="00596E2E" w:rsidTr="005F36AC">
        <w:trPr>
          <w:trHeight w:val="1102"/>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Proposed duration</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Number of years, including frequency of any planned reviews.</w:t>
            </w:r>
          </w:p>
          <w:p w:rsidR="005A2593" w:rsidRPr="00596E2E" w:rsidRDefault="005A2593" w:rsidP="005A2593">
            <w:pPr>
              <w:spacing w:after="0"/>
              <w:rPr>
                <w:rFonts w:ascii="Arial" w:eastAsia="Calibri" w:hAnsi="Arial" w:cs="Arial"/>
                <w:i/>
                <w:sz w:val="20"/>
                <w:lang w:eastAsia="en-US"/>
              </w:rPr>
            </w:pP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 xml:space="preserve">Note: The duration of any CQUIN variation should not exceed (but may be less than) the duration of the overall contract within which it is agreed. </w:t>
            </w:r>
          </w:p>
        </w:tc>
      </w:tr>
      <w:tr w:rsidR="005A2593" w:rsidRPr="00596E2E" w:rsidTr="005F36AC">
        <w:trPr>
          <w:trHeight w:val="437"/>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Impact</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How will the new approach impact the quality of care patients receive? What quality metrics are being monitored?</w:t>
            </w: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Are there associated operational risks? How are these being managed?</w:t>
            </w: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How will the new approach be evaluated?</w:t>
            </w: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How will the variation create a more effective incentive for the provider(s) to achieve the desired outcomes for patients?</w:t>
            </w:r>
          </w:p>
          <w:p w:rsidR="005A2593" w:rsidRPr="00596E2E" w:rsidRDefault="005A2593" w:rsidP="005A2593">
            <w:pPr>
              <w:spacing w:after="0"/>
              <w:rPr>
                <w:rFonts w:ascii="Arial" w:eastAsia="Calibri" w:hAnsi="Arial" w:cs="Arial"/>
                <w:i/>
                <w:sz w:val="20"/>
                <w:lang w:eastAsia="en-US"/>
              </w:rPr>
            </w:pPr>
          </w:p>
        </w:tc>
      </w:tr>
      <w:tr w:rsidR="005A2593" w:rsidRPr="00596E2E" w:rsidTr="005F36AC">
        <w:trPr>
          <w:trHeight w:val="437"/>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Start date of agreement</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Date agreement begins</w:t>
            </w:r>
          </w:p>
        </w:tc>
      </w:tr>
      <w:tr w:rsidR="005A2593" w:rsidRPr="00596E2E" w:rsidTr="005F36AC">
        <w:trPr>
          <w:trHeight w:val="416"/>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 xml:space="preserve">End date of agreement </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Date agreement ends</w:t>
            </w:r>
          </w:p>
        </w:tc>
      </w:tr>
      <w:tr w:rsidR="005A2593" w:rsidRPr="00596E2E" w:rsidTr="005F36AC">
        <w:trPr>
          <w:trHeight w:val="416"/>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Contact</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Email address in case of follow up enquiries</w:t>
            </w:r>
          </w:p>
        </w:tc>
      </w:tr>
    </w:tbl>
    <w:p w:rsidR="005A2593" w:rsidRPr="00596E2E" w:rsidRDefault="005A2593" w:rsidP="005A2593">
      <w:pPr>
        <w:spacing w:after="0" w:line="200" w:lineRule="exact"/>
        <w:rPr>
          <w:rFonts w:ascii="Arial" w:eastAsia="Calibri" w:hAnsi="Arial" w:cs="Arial"/>
          <w:szCs w:val="24"/>
          <w:lang w:eastAsia="en-US"/>
        </w:rPr>
        <w:sectPr w:rsidR="005A2593" w:rsidRPr="00596E2E" w:rsidSect="005F36AC">
          <w:footerReference w:type="default" r:id="rId15"/>
          <w:pgSz w:w="11906" w:h="16838"/>
          <w:pgMar w:top="1440" w:right="1440" w:bottom="1440" w:left="1440" w:header="706" w:footer="706" w:gutter="0"/>
          <w:cols w:space="708"/>
          <w:docGrid w:linePitch="360"/>
        </w:sectPr>
      </w:pPr>
    </w:p>
    <w:p w:rsidR="005A2593" w:rsidRPr="00596E2E" w:rsidRDefault="00C96AB1" w:rsidP="00B27985">
      <w:pPr>
        <w:autoSpaceDE w:val="0"/>
        <w:autoSpaceDN w:val="0"/>
        <w:adjustRightInd w:val="0"/>
        <w:spacing w:after="0"/>
        <w:rPr>
          <w:rFonts w:ascii="Arial" w:eastAsia="Calibri" w:hAnsi="Arial" w:cs="Arial"/>
          <w:b/>
          <w:bCs/>
          <w:color w:val="000000"/>
          <w:szCs w:val="24"/>
          <w:lang w:eastAsia="en-US"/>
        </w:rPr>
      </w:pPr>
      <w:r>
        <w:rPr>
          <w:rFonts w:ascii="Arial" w:eastAsia="Calibri" w:hAnsi="Arial" w:cs="Arial"/>
          <w:b/>
          <w:bCs/>
          <w:color w:val="000000"/>
          <w:szCs w:val="24"/>
          <w:lang w:eastAsia="en-US"/>
        </w:rPr>
        <w:lastRenderedPageBreak/>
        <w:t xml:space="preserve">National </w:t>
      </w:r>
      <w:r w:rsidR="00B27985">
        <w:rPr>
          <w:rFonts w:ascii="Arial" w:eastAsia="Calibri" w:hAnsi="Arial" w:cs="Arial"/>
          <w:b/>
          <w:bCs/>
          <w:color w:val="000000"/>
          <w:szCs w:val="24"/>
          <w:lang w:eastAsia="en-US"/>
        </w:rPr>
        <w:t>CQUIN Templates</w:t>
      </w:r>
      <w:r>
        <w:rPr>
          <w:rFonts w:ascii="Arial" w:eastAsia="Calibri" w:hAnsi="Arial" w:cs="Arial"/>
          <w:b/>
          <w:bCs/>
          <w:color w:val="000000"/>
          <w:szCs w:val="24"/>
          <w:lang w:eastAsia="en-US"/>
        </w:rPr>
        <w:t>:</w:t>
      </w:r>
      <w:r w:rsidR="00B27985">
        <w:rPr>
          <w:rFonts w:ascii="Arial" w:eastAsia="Calibri" w:hAnsi="Arial" w:cs="Arial"/>
          <w:b/>
          <w:bCs/>
          <w:color w:val="000000"/>
          <w:szCs w:val="24"/>
          <w:lang w:eastAsia="en-US"/>
        </w:rPr>
        <w:t xml:space="preserve"> Friends and Family Test (from CQUIN Guidance </w:t>
      </w:r>
      <w:r>
        <w:rPr>
          <w:rFonts w:ascii="Arial" w:eastAsia="Calibri" w:hAnsi="Arial" w:cs="Arial"/>
          <w:b/>
          <w:bCs/>
          <w:color w:val="000000"/>
          <w:szCs w:val="24"/>
          <w:lang w:eastAsia="en-US"/>
        </w:rPr>
        <w:t>section 5)</w:t>
      </w:r>
    </w:p>
    <w:p w:rsidR="00097C2A" w:rsidRPr="0099216E" w:rsidRDefault="00097C2A" w:rsidP="00097C2A">
      <w:pPr>
        <w:autoSpaceDE w:val="0"/>
        <w:autoSpaceDN w:val="0"/>
        <w:adjustRightInd w:val="0"/>
        <w:spacing w:after="0"/>
        <w:jc w:val="center"/>
        <w:rPr>
          <w:rFonts w:ascii="Arial" w:hAnsi="Arial" w:cs="Arial"/>
          <w:b/>
          <w:bCs/>
          <w:color w:val="000000"/>
          <w:szCs w:val="24"/>
        </w:rPr>
      </w:pP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097C2A" w:rsidRPr="0099216E" w:rsidTr="005F38CA">
        <w:trPr>
          <w:cantSplit/>
          <w:trHeight w:val="300"/>
        </w:trPr>
        <w:tc>
          <w:tcPr>
            <w:tcW w:w="9077" w:type="dxa"/>
            <w:gridSpan w:val="2"/>
          </w:tcPr>
          <w:p w:rsidR="00097C2A" w:rsidRPr="0099216E" w:rsidRDefault="00097C2A" w:rsidP="005F38CA">
            <w:pPr>
              <w:keepNext/>
              <w:spacing w:after="0"/>
              <w:jc w:val="center"/>
              <w:rPr>
                <w:rFonts w:ascii="Arial" w:hAnsi="Arial" w:cs="Arial"/>
                <w:b/>
                <w:bCs/>
                <w:color w:val="000000"/>
              </w:rPr>
            </w:pPr>
            <w:r w:rsidRPr="0099216E">
              <w:rPr>
                <w:rFonts w:ascii="Arial" w:hAnsi="Arial" w:cs="Arial"/>
                <w:b/>
                <w:bCs/>
                <w:color w:val="000000"/>
              </w:rPr>
              <w:t>FRIENDS AND FAMILY TEST – IMPLEMENTATION OF STAFF FFT - NHS TRUSTS ONLY</w:t>
            </w:r>
          </w:p>
        </w:tc>
      </w:tr>
      <w:tr w:rsidR="00097C2A" w:rsidRPr="0099216E" w:rsidTr="005F38CA">
        <w:trPr>
          <w:cantSplit/>
          <w:trHeight w:val="300"/>
        </w:trPr>
        <w:tc>
          <w:tcPr>
            <w:tcW w:w="4145" w:type="dxa"/>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Indicator number</w:t>
            </w:r>
          </w:p>
        </w:tc>
        <w:tc>
          <w:tcPr>
            <w:tcW w:w="4932" w:type="dxa"/>
            <w:noWrap/>
          </w:tcPr>
          <w:p w:rsidR="00097C2A" w:rsidRPr="0099216E" w:rsidRDefault="00097C2A" w:rsidP="005F38CA">
            <w:pPr>
              <w:keepNext/>
              <w:spacing w:after="0"/>
              <w:rPr>
                <w:rFonts w:ascii="Arial" w:hAnsi="Arial" w:cs="Arial"/>
                <w:color w:val="000000"/>
              </w:rPr>
            </w:pPr>
            <w:r w:rsidRPr="0099216E">
              <w:rPr>
                <w:rFonts w:ascii="Arial" w:hAnsi="Arial" w:cs="Arial"/>
                <w:color w:val="000000"/>
              </w:rPr>
              <w:t>1a</w:t>
            </w:r>
          </w:p>
        </w:tc>
      </w:tr>
      <w:tr w:rsidR="00097C2A" w:rsidRPr="0099216E" w:rsidTr="005F38CA">
        <w:trPr>
          <w:cantSplit/>
          <w:trHeight w:val="300"/>
        </w:trPr>
        <w:tc>
          <w:tcPr>
            <w:tcW w:w="4145" w:type="dxa"/>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Indicator name</w:t>
            </w:r>
          </w:p>
        </w:tc>
        <w:tc>
          <w:tcPr>
            <w:tcW w:w="4932" w:type="dxa"/>
            <w:noWrap/>
          </w:tcPr>
          <w:p w:rsidR="00097C2A" w:rsidRPr="0099216E" w:rsidRDefault="00097C2A" w:rsidP="005F38CA">
            <w:pPr>
              <w:keepNext/>
              <w:spacing w:after="0"/>
              <w:rPr>
                <w:rFonts w:ascii="Arial" w:hAnsi="Arial" w:cs="Arial"/>
                <w:color w:val="000000"/>
              </w:rPr>
            </w:pPr>
            <w:r w:rsidRPr="0099216E">
              <w:rPr>
                <w:rFonts w:ascii="Arial" w:hAnsi="Arial" w:cs="Arial"/>
                <w:color w:val="000000"/>
              </w:rPr>
              <w:t xml:space="preserve">Friends and Family Test – Implementation of </w:t>
            </w:r>
            <w:r>
              <w:rPr>
                <w:rFonts w:ascii="Arial" w:hAnsi="Arial" w:cs="Arial"/>
                <w:color w:val="000000"/>
              </w:rPr>
              <w:t>S</w:t>
            </w:r>
            <w:r w:rsidRPr="0099216E">
              <w:rPr>
                <w:rFonts w:ascii="Arial" w:hAnsi="Arial" w:cs="Arial"/>
                <w:color w:val="000000"/>
              </w:rPr>
              <w:t>taff FFT</w:t>
            </w:r>
          </w:p>
        </w:tc>
      </w:tr>
      <w:tr w:rsidR="00097C2A" w:rsidRPr="0099216E" w:rsidTr="005F38CA">
        <w:trPr>
          <w:cantSplit/>
          <w:trHeight w:val="600"/>
        </w:trPr>
        <w:tc>
          <w:tcPr>
            <w:tcW w:w="4145" w:type="dxa"/>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 xml:space="preserve">Indicator weighting </w:t>
            </w:r>
            <w:r w:rsidRPr="0099216E">
              <w:rPr>
                <w:rFonts w:ascii="Arial" w:hAnsi="Arial" w:cs="Arial"/>
                <w:b/>
                <w:bCs/>
                <w:color w:val="000000"/>
              </w:rPr>
              <w:br/>
              <w:t>(% of CQUIN scheme available)</w:t>
            </w:r>
          </w:p>
        </w:tc>
        <w:tc>
          <w:tcPr>
            <w:tcW w:w="4932" w:type="dxa"/>
            <w:noWrap/>
          </w:tcPr>
          <w:p w:rsidR="00097C2A" w:rsidRPr="0099216E" w:rsidRDefault="00097C2A" w:rsidP="005F38CA">
            <w:pPr>
              <w:keepNext/>
              <w:spacing w:after="0"/>
              <w:rPr>
                <w:rFonts w:ascii="Arial" w:hAnsi="Arial" w:cs="Arial"/>
                <w:color w:val="000000"/>
              </w:rPr>
            </w:pPr>
            <w:r w:rsidRPr="0099216E">
              <w:rPr>
                <w:rFonts w:ascii="Arial" w:hAnsi="Arial" w:cs="Arial"/>
                <w:color w:val="000000"/>
              </w:rPr>
              <w:t>&lt;commissioner to complete – minimum 0.0375% of contract value&gt;</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Description of indicator</w:t>
            </w:r>
          </w:p>
        </w:tc>
        <w:tc>
          <w:tcPr>
            <w:tcW w:w="4932" w:type="dxa"/>
          </w:tcPr>
          <w:p w:rsidR="00097C2A" w:rsidRPr="0099216E" w:rsidRDefault="00097C2A" w:rsidP="005F38CA">
            <w:pPr>
              <w:keepNext/>
              <w:spacing w:after="0"/>
              <w:contextualSpacing/>
              <w:rPr>
                <w:rFonts w:ascii="Arial" w:hAnsi="Arial" w:cs="Arial"/>
                <w:color w:val="000000"/>
              </w:rPr>
            </w:pPr>
            <w:r w:rsidRPr="0099216E">
              <w:rPr>
                <w:rFonts w:ascii="Arial" w:hAnsi="Arial" w:cs="Arial"/>
                <w:color w:val="000000"/>
              </w:rPr>
              <w:t>Implementation of staff FFT as per guidance, according to the national timetable</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Numerator</w:t>
            </w:r>
          </w:p>
        </w:tc>
        <w:tc>
          <w:tcPr>
            <w:tcW w:w="4932" w:type="dxa"/>
          </w:tcPr>
          <w:p w:rsidR="00097C2A" w:rsidRPr="0099216E" w:rsidRDefault="00097C2A" w:rsidP="005F38CA">
            <w:pPr>
              <w:keepNext/>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Denominator</w:t>
            </w:r>
          </w:p>
        </w:tc>
        <w:tc>
          <w:tcPr>
            <w:tcW w:w="4932" w:type="dxa"/>
          </w:tcPr>
          <w:p w:rsidR="00097C2A" w:rsidRPr="0099216E" w:rsidRDefault="00097C2A" w:rsidP="005F38CA">
            <w:pPr>
              <w:keepNext/>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Rationale for inclusion</w:t>
            </w:r>
          </w:p>
        </w:tc>
        <w:tc>
          <w:tcPr>
            <w:tcW w:w="4932" w:type="dxa"/>
          </w:tcPr>
          <w:p w:rsidR="00097C2A" w:rsidRPr="0099216E" w:rsidRDefault="00097C2A" w:rsidP="005F38CA">
            <w:pPr>
              <w:keepNext/>
              <w:spacing w:after="0"/>
              <w:rPr>
                <w:rFonts w:ascii="Arial" w:hAnsi="Arial" w:cs="Arial"/>
                <w:color w:val="000000"/>
              </w:rPr>
            </w:pPr>
            <w:r w:rsidRPr="0099216E">
              <w:rPr>
                <w:rFonts w:ascii="Arial" w:hAnsi="Arial" w:cs="Arial"/>
                <w:color w:val="000000"/>
              </w:rPr>
              <w:t>National CQUIN scheme</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Data source</w:t>
            </w:r>
          </w:p>
        </w:tc>
        <w:tc>
          <w:tcPr>
            <w:tcW w:w="4932" w:type="dxa"/>
          </w:tcPr>
          <w:p w:rsidR="00097C2A" w:rsidRPr="0099216E" w:rsidRDefault="00097C2A" w:rsidP="005F38CA">
            <w:pPr>
              <w:keepNext/>
              <w:spacing w:after="0"/>
              <w:contextualSpacing/>
              <w:rPr>
                <w:rFonts w:ascii="Arial" w:hAnsi="Arial" w:cs="Arial"/>
                <w:color w:val="000000"/>
                <w:highlight w:val="yellow"/>
              </w:rPr>
            </w:pPr>
            <w:r w:rsidRPr="0099216E">
              <w:rPr>
                <w:rFonts w:ascii="Arial" w:hAnsi="Arial" w:cs="Arial"/>
                <w:color w:val="000000"/>
              </w:rPr>
              <w:t>Local provider response to local commissioners</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Frequency of data collection</w:t>
            </w:r>
          </w:p>
        </w:tc>
        <w:tc>
          <w:tcPr>
            <w:tcW w:w="4932" w:type="dxa"/>
          </w:tcPr>
          <w:p w:rsidR="00097C2A" w:rsidRPr="0099216E" w:rsidRDefault="00097C2A" w:rsidP="005F38CA">
            <w:pPr>
              <w:keepNext/>
              <w:spacing w:after="0"/>
              <w:contextualSpacing/>
              <w:rPr>
                <w:rFonts w:ascii="Arial" w:hAnsi="Arial" w:cs="Arial"/>
                <w:color w:val="000000"/>
              </w:rPr>
            </w:pPr>
            <w:r w:rsidRPr="0099216E">
              <w:rPr>
                <w:rFonts w:ascii="Arial" w:hAnsi="Arial" w:cs="Arial"/>
                <w:color w:val="000000"/>
              </w:rPr>
              <w:t xml:space="preserve">Check on implementation at end of </w:t>
            </w:r>
            <w:r>
              <w:rPr>
                <w:rFonts w:ascii="Arial" w:hAnsi="Arial" w:cs="Arial"/>
                <w:color w:val="000000"/>
              </w:rPr>
              <w:t>June</w:t>
            </w:r>
            <w:r w:rsidRPr="0099216E">
              <w:rPr>
                <w:rFonts w:ascii="Arial" w:hAnsi="Arial" w:cs="Arial"/>
                <w:color w:val="000000"/>
              </w:rPr>
              <w:t xml:space="preserve"> 2014</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Organisation responsible for data collection</w:t>
            </w:r>
          </w:p>
        </w:tc>
        <w:tc>
          <w:tcPr>
            <w:tcW w:w="4932" w:type="dxa"/>
          </w:tcPr>
          <w:p w:rsidR="00097C2A" w:rsidRPr="0099216E" w:rsidRDefault="00097C2A" w:rsidP="005F38CA">
            <w:pPr>
              <w:keepNext/>
              <w:spacing w:after="0"/>
              <w:contextualSpacing/>
              <w:rPr>
                <w:rFonts w:ascii="Arial" w:hAnsi="Arial" w:cs="Arial"/>
                <w:color w:val="000000"/>
              </w:rPr>
            </w:pPr>
            <w:r w:rsidRPr="0099216E">
              <w:rPr>
                <w:rFonts w:ascii="Arial" w:hAnsi="Arial" w:cs="Arial"/>
                <w:color w:val="000000"/>
              </w:rPr>
              <w:t>Provider</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Frequency of reporting to commissioner</w:t>
            </w:r>
          </w:p>
        </w:tc>
        <w:tc>
          <w:tcPr>
            <w:tcW w:w="4932" w:type="dxa"/>
          </w:tcPr>
          <w:p w:rsidR="00097C2A" w:rsidRPr="0099216E" w:rsidRDefault="00097C2A" w:rsidP="005F38CA">
            <w:pPr>
              <w:keepNext/>
              <w:tabs>
                <w:tab w:val="left" w:pos="1395"/>
              </w:tabs>
              <w:spacing w:after="0"/>
              <w:contextualSpacing/>
              <w:rPr>
                <w:rFonts w:ascii="Arial" w:hAnsi="Arial" w:cs="Arial"/>
                <w:color w:val="000000"/>
              </w:rPr>
            </w:pPr>
            <w:r w:rsidRPr="0099216E">
              <w:rPr>
                <w:rFonts w:ascii="Arial" w:hAnsi="Arial" w:cs="Arial"/>
                <w:color w:val="000000"/>
              </w:rPr>
              <w:t>One off</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Baseline period/date</w:t>
            </w:r>
          </w:p>
        </w:tc>
        <w:tc>
          <w:tcPr>
            <w:tcW w:w="4932" w:type="dxa"/>
          </w:tcPr>
          <w:p w:rsidR="00097C2A" w:rsidRPr="0099216E" w:rsidRDefault="00097C2A" w:rsidP="005F38CA">
            <w:pPr>
              <w:keepNext/>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Baseline value</w:t>
            </w:r>
          </w:p>
        </w:tc>
        <w:tc>
          <w:tcPr>
            <w:tcW w:w="4932" w:type="dxa"/>
          </w:tcPr>
          <w:p w:rsidR="00097C2A" w:rsidRPr="0099216E" w:rsidRDefault="00097C2A" w:rsidP="005F38CA">
            <w:pPr>
              <w:keepNext/>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cantSplit/>
          <w:trHeight w:val="546"/>
        </w:trPr>
        <w:tc>
          <w:tcPr>
            <w:tcW w:w="4145" w:type="dxa"/>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Final indicator period/date (on which payment is based)</w:t>
            </w:r>
          </w:p>
        </w:tc>
        <w:tc>
          <w:tcPr>
            <w:tcW w:w="4932" w:type="dxa"/>
            <w:shd w:val="clear" w:color="auto" w:fill="auto"/>
          </w:tcPr>
          <w:p w:rsidR="00097C2A" w:rsidRPr="0099216E" w:rsidRDefault="00097C2A" w:rsidP="005F38CA">
            <w:pPr>
              <w:autoSpaceDE w:val="0"/>
              <w:autoSpaceDN w:val="0"/>
              <w:adjustRightInd w:val="0"/>
              <w:spacing w:after="0"/>
              <w:contextualSpacing/>
              <w:rPr>
                <w:rFonts w:ascii="Arial" w:hAnsi="Arial" w:cs="Arial"/>
                <w:color w:val="000000"/>
              </w:rPr>
            </w:pPr>
            <w:r>
              <w:rPr>
                <w:rFonts w:ascii="Arial" w:hAnsi="Arial" w:cs="Arial"/>
                <w:color w:val="000000"/>
              </w:rPr>
              <w:t xml:space="preserve">Q1 </w:t>
            </w:r>
            <w:r w:rsidRPr="0099216E">
              <w:rPr>
                <w:rFonts w:ascii="Arial" w:hAnsi="Arial" w:cs="Arial"/>
                <w:color w:val="000000"/>
              </w:rPr>
              <w:t>2014</w:t>
            </w:r>
            <w:r>
              <w:rPr>
                <w:rFonts w:ascii="Arial" w:hAnsi="Arial" w:cs="Arial"/>
                <w:color w:val="000000"/>
              </w:rPr>
              <w:t>/15</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Final indicator value (payment threshold)</w:t>
            </w:r>
          </w:p>
        </w:tc>
        <w:tc>
          <w:tcPr>
            <w:tcW w:w="4932" w:type="dxa"/>
          </w:tcPr>
          <w:p w:rsidR="00097C2A" w:rsidRPr="0099216E" w:rsidRDefault="00097C2A" w:rsidP="005F38CA">
            <w:pPr>
              <w:autoSpaceDE w:val="0"/>
              <w:autoSpaceDN w:val="0"/>
              <w:adjustRightInd w:val="0"/>
              <w:spacing w:after="0"/>
              <w:contextualSpacing/>
              <w:rPr>
                <w:rFonts w:ascii="Arial" w:hAnsi="Arial" w:cs="Arial"/>
                <w:color w:val="000000"/>
              </w:rPr>
            </w:pPr>
            <w:r w:rsidRPr="0099216E">
              <w:rPr>
                <w:rFonts w:ascii="Arial" w:hAnsi="Arial" w:cs="Arial"/>
                <w:color w:val="000000"/>
              </w:rPr>
              <w:t>Provider to demonstrate to commissioner that staff FFT has been delivered across all staff groups as outlined in guidance</w:t>
            </w:r>
          </w:p>
        </w:tc>
      </w:tr>
      <w:tr w:rsidR="00097C2A" w:rsidRPr="0099216E" w:rsidTr="005F38CA">
        <w:trPr>
          <w:cantSplit/>
          <w:trHeight w:val="300"/>
        </w:trPr>
        <w:tc>
          <w:tcPr>
            <w:tcW w:w="4145" w:type="dxa"/>
            <w:noWrap/>
          </w:tcPr>
          <w:p w:rsidR="00097C2A" w:rsidRPr="0099216E" w:rsidRDefault="00097C2A" w:rsidP="005F38CA">
            <w:pPr>
              <w:keepNext/>
              <w:spacing w:after="0"/>
              <w:rPr>
                <w:rFonts w:ascii="Arial" w:hAnsi="Arial" w:cs="Arial"/>
                <w:b/>
                <w:bCs/>
              </w:rPr>
            </w:pPr>
            <w:r w:rsidRPr="0099216E">
              <w:rPr>
                <w:rFonts w:ascii="Arial" w:hAnsi="Arial" w:cs="Arial"/>
                <w:b/>
                <w:bCs/>
              </w:rPr>
              <w:t>Final indicator reporting date</w:t>
            </w:r>
          </w:p>
        </w:tc>
        <w:tc>
          <w:tcPr>
            <w:tcW w:w="4932" w:type="dxa"/>
          </w:tcPr>
          <w:p w:rsidR="00097C2A" w:rsidRPr="0099216E" w:rsidRDefault="00097C2A" w:rsidP="005F38CA">
            <w:pPr>
              <w:spacing w:after="0"/>
              <w:contextualSpacing/>
              <w:rPr>
                <w:rFonts w:ascii="Arial" w:hAnsi="Arial" w:cs="Arial"/>
              </w:rPr>
            </w:pPr>
            <w:r w:rsidRPr="0099216E">
              <w:rPr>
                <w:rFonts w:ascii="Arial" w:hAnsi="Arial" w:cs="Arial"/>
              </w:rPr>
              <w:t xml:space="preserve">Response from providers to commissioners by </w:t>
            </w:r>
            <w:r>
              <w:rPr>
                <w:rFonts w:ascii="Arial" w:hAnsi="Arial" w:cs="Arial"/>
              </w:rPr>
              <w:t xml:space="preserve"> 30 June</w:t>
            </w:r>
            <w:r w:rsidRPr="0099216E">
              <w:rPr>
                <w:rFonts w:ascii="Arial" w:hAnsi="Arial" w:cs="Arial"/>
              </w:rPr>
              <w:t xml:space="preserve"> 2014</w:t>
            </w:r>
          </w:p>
        </w:tc>
      </w:tr>
      <w:tr w:rsidR="00097C2A" w:rsidRPr="0099216E" w:rsidTr="005F38CA">
        <w:trPr>
          <w:cantSplit/>
          <w:trHeight w:val="615"/>
        </w:trPr>
        <w:tc>
          <w:tcPr>
            <w:tcW w:w="4145" w:type="dxa"/>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Are there rules for any agreed in-year milestones that result in payment?</w:t>
            </w:r>
          </w:p>
        </w:tc>
        <w:tc>
          <w:tcPr>
            <w:tcW w:w="4932" w:type="dxa"/>
          </w:tcPr>
          <w:p w:rsidR="00097C2A" w:rsidRPr="0099216E" w:rsidRDefault="00097C2A" w:rsidP="005F38CA">
            <w:pPr>
              <w:keepNext/>
              <w:autoSpaceDE w:val="0"/>
              <w:autoSpaceDN w:val="0"/>
              <w:adjustRightInd w:val="0"/>
              <w:spacing w:after="0"/>
              <w:contextualSpacing/>
              <w:rPr>
                <w:rFonts w:ascii="Arial" w:hAnsi="Arial" w:cs="Arial"/>
                <w:color w:val="000000"/>
              </w:rPr>
            </w:pPr>
            <w:r w:rsidRPr="0099216E">
              <w:rPr>
                <w:rFonts w:ascii="Arial" w:hAnsi="Arial" w:cs="Arial"/>
                <w:color w:val="000000"/>
              </w:rPr>
              <w:t xml:space="preserve">Funding payable once </w:t>
            </w:r>
            <w:r>
              <w:rPr>
                <w:rFonts w:ascii="Arial" w:hAnsi="Arial" w:cs="Arial"/>
                <w:color w:val="000000"/>
              </w:rPr>
              <w:t xml:space="preserve">June </w:t>
            </w:r>
            <w:r w:rsidRPr="0099216E">
              <w:rPr>
                <w:rFonts w:ascii="Arial" w:hAnsi="Arial" w:cs="Arial"/>
                <w:color w:val="000000"/>
              </w:rPr>
              <w:t>2014 indicator achieved</w:t>
            </w:r>
          </w:p>
        </w:tc>
      </w:tr>
      <w:tr w:rsidR="00097C2A" w:rsidRPr="0099216E" w:rsidTr="005F38CA">
        <w:trPr>
          <w:cantSplit/>
          <w:trHeight w:val="9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Are there any rules for partial achievement of the indicator at the final indicator period/date?</w:t>
            </w:r>
          </w:p>
        </w:tc>
        <w:tc>
          <w:tcPr>
            <w:tcW w:w="4932" w:type="dxa"/>
          </w:tcPr>
          <w:p w:rsidR="00097C2A" w:rsidRPr="0099216E" w:rsidRDefault="00097C2A" w:rsidP="005F38CA">
            <w:pPr>
              <w:spacing w:after="0"/>
              <w:rPr>
                <w:rFonts w:ascii="Arial" w:hAnsi="Arial" w:cs="Arial"/>
                <w:color w:val="000000"/>
              </w:rPr>
            </w:pPr>
            <w:r w:rsidRPr="0099216E">
              <w:rPr>
                <w:rFonts w:ascii="Arial" w:hAnsi="Arial" w:cs="Arial"/>
                <w:color w:val="000000"/>
              </w:rPr>
              <w:t>Not applicable</w:t>
            </w:r>
          </w:p>
        </w:tc>
      </w:tr>
    </w:tbl>
    <w:p w:rsidR="00097C2A" w:rsidRPr="0099216E" w:rsidRDefault="00097C2A" w:rsidP="00097C2A">
      <w:pPr>
        <w:autoSpaceDE w:val="0"/>
        <w:autoSpaceDN w:val="0"/>
        <w:adjustRightInd w:val="0"/>
        <w:spacing w:after="0"/>
        <w:rPr>
          <w:rFonts w:ascii="Arial" w:hAnsi="Arial" w:cs="Arial"/>
          <w:b/>
          <w:bCs/>
          <w:color w:val="000000"/>
          <w:szCs w:val="24"/>
        </w:rPr>
      </w:pPr>
    </w:p>
    <w:p w:rsidR="00D243BA" w:rsidRDefault="00D243BA" w:rsidP="00292106">
      <w:pPr>
        <w:autoSpaceDE w:val="0"/>
        <w:autoSpaceDN w:val="0"/>
        <w:adjustRightInd w:val="0"/>
        <w:spacing w:after="0"/>
        <w:rPr>
          <w:rFonts w:ascii="Arial" w:hAnsi="Arial" w:cs="Arial"/>
          <w:b/>
          <w:bCs/>
          <w:color w:val="000000"/>
          <w:szCs w:val="24"/>
        </w:rPr>
      </w:pPr>
      <w:r>
        <w:rPr>
          <w:rFonts w:ascii="Arial" w:hAnsi="Arial" w:cs="Arial"/>
          <w:b/>
          <w:bCs/>
          <w:color w:val="000000"/>
          <w:szCs w:val="24"/>
        </w:rPr>
        <w:br w:type="page"/>
      </w:r>
    </w:p>
    <w:p w:rsidR="00292106" w:rsidRPr="0042282C" w:rsidRDefault="00292106" w:rsidP="00292106">
      <w:pPr>
        <w:autoSpaceDE w:val="0"/>
        <w:autoSpaceDN w:val="0"/>
        <w:adjustRightInd w:val="0"/>
        <w:spacing w:after="0"/>
        <w:rPr>
          <w:rFonts w:ascii="Arial" w:hAnsi="Arial" w:cs="Arial"/>
          <w:b/>
          <w:bCs/>
          <w:color w:val="000000"/>
          <w:szCs w:val="24"/>
        </w:rPr>
      </w:pP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292106" w:rsidRPr="0042282C" w:rsidTr="004433C0">
        <w:trPr>
          <w:trHeight w:val="300"/>
        </w:trPr>
        <w:tc>
          <w:tcPr>
            <w:tcW w:w="9077" w:type="dxa"/>
            <w:gridSpan w:val="2"/>
          </w:tcPr>
          <w:p w:rsidR="00292106" w:rsidRPr="0042282C" w:rsidRDefault="00292106" w:rsidP="004433C0">
            <w:pPr>
              <w:spacing w:after="0"/>
              <w:jc w:val="center"/>
              <w:rPr>
                <w:rFonts w:ascii="Arial" w:hAnsi="Arial" w:cs="Arial"/>
                <w:b/>
                <w:bCs/>
                <w:color w:val="000000"/>
              </w:rPr>
            </w:pPr>
            <w:r w:rsidRPr="0042282C">
              <w:rPr>
                <w:rFonts w:ascii="Arial" w:hAnsi="Arial" w:cs="Arial"/>
                <w:b/>
                <w:bCs/>
                <w:color w:val="000000"/>
              </w:rPr>
              <w:t>FRIENDS AND FAMILY TEST: EARLY IMPLEMENTATION</w:t>
            </w:r>
          </w:p>
          <w:p w:rsidR="00292106" w:rsidRPr="0042282C" w:rsidRDefault="00292106" w:rsidP="004433C0">
            <w:pPr>
              <w:spacing w:after="0"/>
              <w:jc w:val="center"/>
              <w:rPr>
                <w:rFonts w:ascii="Arial" w:hAnsi="Arial" w:cs="Arial"/>
                <w:b/>
                <w:bCs/>
                <w:color w:val="000000"/>
                <w:szCs w:val="24"/>
              </w:rPr>
            </w:pPr>
          </w:p>
        </w:tc>
      </w:tr>
      <w:tr w:rsidR="00292106" w:rsidRPr="0042282C" w:rsidTr="004433C0">
        <w:trPr>
          <w:trHeight w:val="300"/>
        </w:trPr>
        <w:tc>
          <w:tcPr>
            <w:tcW w:w="4145" w:type="dxa"/>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Indicator number</w:t>
            </w:r>
          </w:p>
        </w:tc>
        <w:tc>
          <w:tcPr>
            <w:tcW w:w="4932" w:type="dxa"/>
            <w:noWrap/>
          </w:tcPr>
          <w:p w:rsidR="00292106" w:rsidRPr="0042282C" w:rsidRDefault="00292106" w:rsidP="004433C0">
            <w:pPr>
              <w:spacing w:after="0"/>
              <w:rPr>
                <w:rFonts w:ascii="Arial" w:hAnsi="Arial" w:cs="Arial"/>
                <w:color w:val="000000"/>
              </w:rPr>
            </w:pPr>
            <w:r w:rsidRPr="0042282C">
              <w:rPr>
                <w:rFonts w:ascii="Arial" w:hAnsi="Arial" w:cs="Arial"/>
                <w:color w:val="000000"/>
              </w:rPr>
              <w:t>1b</w:t>
            </w:r>
          </w:p>
        </w:tc>
      </w:tr>
      <w:tr w:rsidR="00292106" w:rsidRPr="0042282C" w:rsidTr="004433C0">
        <w:trPr>
          <w:trHeight w:val="300"/>
        </w:trPr>
        <w:tc>
          <w:tcPr>
            <w:tcW w:w="4145" w:type="dxa"/>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Indicator name</w:t>
            </w:r>
          </w:p>
        </w:tc>
        <w:tc>
          <w:tcPr>
            <w:tcW w:w="4932" w:type="dxa"/>
            <w:noWrap/>
          </w:tcPr>
          <w:p w:rsidR="00292106" w:rsidRPr="0042282C" w:rsidRDefault="00292106" w:rsidP="004433C0">
            <w:pPr>
              <w:spacing w:after="0"/>
              <w:contextualSpacing/>
              <w:rPr>
                <w:rFonts w:ascii="Arial" w:hAnsi="Arial" w:cs="Arial"/>
                <w:color w:val="000000"/>
              </w:rPr>
            </w:pPr>
            <w:r w:rsidRPr="0042282C">
              <w:rPr>
                <w:rFonts w:ascii="Arial" w:hAnsi="Arial" w:cs="Arial"/>
              </w:rPr>
              <w:t>Friends and Family Test – early implementation</w:t>
            </w:r>
          </w:p>
        </w:tc>
      </w:tr>
      <w:tr w:rsidR="00292106" w:rsidRPr="0042282C" w:rsidTr="004433C0">
        <w:trPr>
          <w:trHeight w:val="600"/>
        </w:trPr>
        <w:tc>
          <w:tcPr>
            <w:tcW w:w="4145" w:type="dxa"/>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 xml:space="preserve">Indicator weighting </w:t>
            </w:r>
            <w:r w:rsidRPr="0042282C">
              <w:rPr>
                <w:rFonts w:ascii="Arial" w:hAnsi="Arial" w:cs="Arial"/>
                <w:b/>
                <w:bCs/>
                <w:color w:val="000000"/>
              </w:rPr>
              <w:br/>
              <w:t>(% of CQUIN scheme available)</w:t>
            </w:r>
          </w:p>
        </w:tc>
        <w:tc>
          <w:tcPr>
            <w:tcW w:w="4932" w:type="dxa"/>
            <w:shd w:val="clear" w:color="auto" w:fill="auto"/>
            <w:noWrap/>
          </w:tcPr>
          <w:p w:rsidR="00292106" w:rsidRPr="0042282C" w:rsidRDefault="00292106" w:rsidP="004433C0">
            <w:pPr>
              <w:spacing w:after="0"/>
              <w:rPr>
                <w:rFonts w:ascii="Arial" w:hAnsi="Arial" w:cs="Arial"/>
              </w:rPr>
            </w:pPr>
            <w:r w:rsidRPr="0042282C">
              <w:rPr>
                <w:rFonts w:ascii="Arial" w:hAnsi="Arial" w:cs="Arial"/>
              </w:rPr>
              <w:t xml:space="preserve">&lt;commissioner to complete – </w:t>
            </w:r>
          </w:p>
          <w:p w:rsidR="00292106" w:rsidRPr="0042282C" w:rsidRDefault="00292106" w:rsidP="004433C0">
            <w:pPr>
              <w:spacing w:after="0"/>
              <w:rPr>
                <w:rFonts w:ascii="Arial" w:hAnsi="Arial" w:cs="Arial"/>
              </w:rPr>
            </w:pPr>
            <w:r w:rsidRPr="0042282C">
              <w:rPr>
                <w:rFonts w:ascii="Arial" w:hAnsi="Arial" w:cs="Arial"/>
              </w:rPr>
              <w:t>minimum 0.0188% of contract value for acute providers</w:t>
            </w:r>
          </w:p>
          <w:p w:rsidR="00292106" w:rsidRPr="0042282C" w:rsidRDefault="00292106" w:rsidP="004433C0">
            <w:pPr>
              <w:spacing w:after="0"/>
              <w:rPr>
                <w:rFonts w:ascii="Arial" w:hAnsi="Arial" w:cs="Arial"/>
                <w:color w:val="000000"/>
              </w:rPr>
            </w:pPr>
            <w:r w:rsidRPr="0042282C">
              <w:rPr>
                <w:rFonts w:ascii="Arial" w:hAnsi="Arial" w:cs="Arial"/>
              </w:rPr>
              <w:t>minimum of 0.05% for other providers&gt;</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Description of indicator</w:t>
            </w:r>
          </w:p>
        </w:tc>
        <w:tc>
          <w:tcPr>
            <w:tcW w:w="4932" w:type="dxa"/>
          </w:tcPr>
          <w:p w:rsidR="00292106" w:rsidRPr="0042282C" w:rsidRDefault="00292106" w:rsidP="004433C0">
            <w:pPr>
              <w:spacing w:after="0"/>
              <w:contextualSpacing/>
              <w:rPr>
                <w:rFonts w:ascii="Arial" w:hAnsi="Arial" w:cs="Arial"/>
                <w:color w:val="000000"/>
              </w:rPr>
            </w:pPr>
            <w:r w:rsidRPr="0042282C">
              <w:rPr>
                <w:rFonts w:ascii="Arial" w:hAnsi="Arial" w:cs="Arial"/>
                <w:color w:val="000000"/>
              </w:rPr>
              <w:t>Early implementation</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Numerator</w:t>
            </w:r>
          </w:p>
        </w:tc>
        <w:tc>
          <w:tcPr>
            <w:tcW w:w="4932" w:type="dxa"/>
          </w:tcPr>
          <w:p w:rsidR="00292106" w:rsidRPr="0042282C" w:rsidRDefault="00292106" w:rsidP="004433C0">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Denominator</w:t>
            </w:r>
          </w:p>
        </w:tc>
        <w:tc>
          <w:tcPr>
            <w:tcW w:w="4932" w:type="dxa"/>
          </w:tcPr>
          <w:p w:rsidR="00292106" w:rsidRPr="0042282C" w:rsidRDefault="00292106" w:rsidP="004433C0">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Rationale for inclusion</w:t>
            </w:r>
          </w:p>
        </w:tc>
        <w:tc>
          <w:tcPr>
            <w:tcW w:w="4932" w:type="dxa"/>
          </w:tcPr>
          <w:p w:rsidR="00292106" w:rsidRPr="0042282C" w:rsidRDefault="00292106" w:rsidP="004433C0">
            <w:pPr>
              <w:spacing w:after="0"/>
              <w:rPr>
                <w:rFonts w:ascii="Arial" w:hAnsi="Arial" w:cs="Arial"/>
                <w:color w:val="000000"/>
              </w:rPr>
            </w:pPr>
            <w:r w:rsidRPr="0042282C">
              <w:rPr>
                <w:rFonts w:ascii="Arial" w:hAnsi="Arial" w:cs="Arial"/>
                <w:color w:val="000000"/>
              </w:rPr>
              <w:t>National CQUIN scheme</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Data source</w:t>
            </w:r>
          </w:p>
        </w:tc>
        <w:tc>
          <w:tcPr>
            <w:tcW w:w="4932" w:type="dxa"/>
          </w:tcPr>
          <w:p w:rsidR="00292106" w:rsidRPr="0042282C" w:rsidRDefault="00292106" w:rsidP="004433C0">
            <w:pPr>
              <w:spacing w:after="0"/>
              <w:contextualSpacing/>
              <w:rPr>
                <w:rFonts w:ascii="Arial" w:hAnsi="Arial" w:cs="Arial"/>
                <w:color w:val="000000"/>
              </w:rPr>
            </w:pPr>
            <w:r w:rsidRPr="0042282C">
              <w:rPr>
                <w:rFonts w:ascii="Arial" w:hAnsi="Arial" w:cs="Arial"/>
                <w:color w:val="000000"/>
              </w:rPr>
              <w:t>Local provider response to local commissioners</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Frequency of data collection</w:t>
            </w:r>
          </w:p>
        </w:tc>
        <w:tc>
          <w:tcPr>
            <w:tcW w:w="4932" w:type="dxa"/>
          </w:tcPr>
          <w:p w:rsidR="00292106" w:rsidRPr="0042282C" w:rsidRDefault="00292106" w:rsidP="004433C0">
            <w:pPr>
              <w:spacing w:after="0"/>
              <w:contextualSpacing/>
              <w:rPr>
                <w:rFonts w:ascii="Arial" w:hAnsi="Arial" w:cs="Arial"/>
                <w:color w:val="000000"/>
              </w:rPr>
            </w:pPr>
            <w:r w:rsidRPr="0042282C">
              <w:rPr>
                <w:rFonts w:ascii="Arial" w:hAnsi="Arial" w:cs="Arial"/>
                <w:color w:val="000000"/>
              </w:rPr>
              <w:t>Check on implementation at end of October 2014</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Organisation responsible for data collection</w:t>
            </w:r>
          </w:p>
        </w:tc>
        <w:tc>
          <w:tcPr>
            <w:tcW w:w="4932" w:type="dxa"/>
          </w:tcPr>
          <w:p w:rsidR="00292106" w:rsidRPr="0042282C" w:rsidRDefault="00292106" w:rsidP="004433C0">
            <w:pPr>
              <w:spacing w:after="0"/>
              <w:contextualSpacing/>
              <w:rPr>
                <w:rFonts w:ascii="Arial" w:hAnsi="Arial" w:cs="Arial"/>
                <w:color w:val="000000"/>
              </w:rPr>
            </w:pPr>
            <w:r w:rsidRPr="0042282C">
              <w:rPr>
                <w:rFonts w:ascii="Arial" w:hAnsi="Arial" w:cs="Arial"/>
                <w:color w:val="000000"/>
              </w:rPr>
              <w:t>Provider</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Frequency of reporting to commissioner</w:t>
            </w:r>
          </w:p>
        </w:tc>
        <w:tc>
          <w:tcPr>
            <w:tcW w:w="4932" w:type="dxa"/>
          </w:tcPr>
          <w:p w:rsidR="00292106" w:rsidRPr="0042282C" w:rsidRDefault="00292106" w:rsidP="004433C0">
            <w:pPr>
              <w:spacing w:after="0"/>
              <w:contextualSpacing/>
              <w:rPr>
                <w:rFonts w:ascii="Arial" w:hAnsi="Arial" w:cs="Arial"/>
                <w:color w:val="000000"/>
              </w:rPr>
            </w:pPr>
            <w:r w:rsidRPr="0042282C">
              <w:rPr>
                <w:rFonts w:ascii="Arial" w:hAnsi="Arial" w:cs="Arial"/>
                <w:color w:val="000000"/>
              </w:rPr>
              <w:t>One off activity</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Baseline period/date</w:t>
            </w:r>
          </w:p>
        </w:tc>
        <w:tc>
          <w:tcPr>
            <w:tcW w:w="4932" w:type="dxa"/>
          </w:tcPr>
          <w:p w:rsidR="00292106" w:rsidRPr="0042282C" w:rsidRDefault="00292106" w:rsidP="004433C0">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Baseline value</w:t>
            </w:r>
          </w:p>
        </w:tc>
        <w:tc>
          <w:tcPr>
            <w:tcW w:w="4932" w:type="dxa"/>
          </w:tcPr>
          <w:p w:rsidR="00292106" w:rsidRPr="0042282C" w:rsidRDefault="00292106" w:rsidP="004433C0">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4433C0">
        <w:trPr>
          <w:trHeight w:val="546"/>
        </w:trPr>
        <w:tc>
          <w:tcPr>
            <w:tcW w:w="4145" w:type="dxa"/>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Final indicator period/date (on which payment is based)</w:t>
            </w:r>
          </w:p>
        </w:tc>
        <w:tc>
          <w:tcPr>
            <w:tcW w:w="4932" w:type="dxa"/>
          </w:tcPr>
          <w:p w:rsidR="00292106" w:rsidRPr="0042282C" w:rsidRDefault="00292106" w:rsidP="004433C0">
            <w:pPr>
              <w:autoSpaceDE w:val="0"/>
              <w:autoSpaceDN w:val="0"/>
              <w:adjustRightInd w:val="0"/>
              <w:spacing w:after="0"/>
              <w:contextualSpacing/>
              <w:rPr>
                <w:rFonts w:ascii="Arial" w:hAnsi="Arial" w:cs="Arial"/>
                <w:color w:val="000000"/>
              </w:rPr>
            </w:pPr>
            <w:r w:rsidRPr="0042282C">
              <w:rPr>
                <w:rFonts w:ascii="Arial" w:hAnsi="Arial" w:cs="Arial"/>
                <w:color w:val="000000"/>
              </w:rPr>
              <w:t>October 2014</w:t>
            </w: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Final indicator value (payment threshold)</w:t>
            </w:r>
          </w:p>
        </w:tc>
        <w:tc>
          <w:tcPr>
            <w:tcW w:w="4932" w:type="dxa"/>
          </w:tcPr>
          <w:p w:rsidR="00292106" w:rsidRPr="0042282C" w:rsidRDefault="00292106" w:rsidP="004433C0">
            <w:pPr>
              <w:autoSpaceDE w:val="0"/>
              <w:autoSpaceDN w:val="0"/>
              <w:adjustRightInd w:val="0"/>
              <w:spacing w:after="0"/>
              <w:contextualSpacing/>
              <w:rPr>
                <w:rFonts w:ascii="Arial" w:hAnsi="Arial" w:cs="Arial"/>
                <w:color w:val="000000"/>
              </w:rPr>
            </w:pPr>
            <w:r w:rsidRPr="0042282C">
              <w:rPr>
                <w:rFonts w:ascii="Arial" w:hAnsi="Arial" w:cs="Arial"/>
                <w:color w:val="000000"/>
              </w:rPr>
              <w:t>Full delivery of FFT across all services delivered by the provider as outlined in guidance</w:t>
            </w:r>
          </w:p>
        </w:tc>
      </w:tr>
      <w:tr w:rsidR="00292106" w:rsidRPr="0042282C" w:rsidTr="004433C0">
        <w:trPr>
          <w:trHeight w:val="1069"/>
        </w:trPr>
        <w:tc>
          <w:tcPr>
            <w:tcW w:w="4145" w:type="dxa"/>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Rules for calculation of payment due at final indicator period/date (including evidence to be supplied to commissioner)</w:t>
            </w:r>
          </w:p>
        </w:tc>
        <w:tc>
          <w:tcPr>
            <w:tcW w:w="4932" w:type="dxa"/>
          </w:tcPr>
          <w:p w:rsidR="00292106" w:rsidRPr="0042282C" w:rsidRDefault="00292106" w:rsidP="004433C0">
            <w:pPr>
              <w:autoSpaceDE w:val="0"/>
              <w:autoSpaceDN w:val="0"/>
              <w:adjustRightInd w:val="0"/>
              <w:spacing w:after="0"/>
              <w:contextualSpacing/>
              <w:rPr>
                <w:rFonts w:ascii="Arial" w:hAnsi="Arial" w:cs="Arial"/>
                <w:color w:val="000000"/>
              </w:rPr>
            </w:pPr>
            <w:r w:rsidRPr="0042282C">
              <w:rPr>
                <w:rFonts w:ascii="Arial" w:hAnsi="Arial" w:cs="Arial"/>
                <w:color w:val="000000"/>
              </w:rPr>
              <w:t>Provider to demonstrate to commissioner that milestone has been met</w:t>
            </w:r>
          </w:p>
          <w:p w:rsidR="00292106" w:rsidRPr="0042282C" w:rsidRDefault="00292106" w:rsidP="004433C0">
            <w:pPr>
              <w:autoSpaceDE w:val="0"/>
              <w:autoSpaceDN w:val="0"/>
              <w:adjustRightInd w:val="0"/>
              <w:spacing w:after="0"/>
              <w:rPr>
                <w:rFonts w:ascii="Arial" w:hAnsi="Arial" w:cs="Arial"/>
                <w:color w:val="000000"/>
              </w:rPr>
            </w:pPr>
          </w:p>
        </w:tc>
      </w:tr>
      <w:tr w:rsidR="00292106" w:rsidRPr="0042282C" w:rsidTr="004433C0">
        <w:trPr>
          <w:trHeight w:val="300"/>
        </w:trPr>
        <w:tc>
          <w:tcPr>
            <w:tcW w:w="4145" w:type="dxa"/>
            <w:noWrap/>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Final indicator reporting date</w:t>
            </w:r>
          </w:p>
        </w:tc>
        <w:tc>
          <w:tcPr>
            <w:tcW w:w="4932" w:type="dxa"/>
          </w:tcPr>
          <w:p w:rsidR="00292106" w:rsidRPr="0042282C" w:rsidRDefault="00292106" w:rsidP="004433C0">
            <w:pPr>
              <w:spacing w:after="0"/>
              <w:contextualSpacing/>
              <w:rPr>
                <w:rFonts w:ascii="Arial" w:hAnsi="Arial" w:cs="Arial"/>
                <w:color w:val="000000"/>
              </w:rPr>
            </w:pPr>
            <w:r w:rsidRPr="0042282C">
              <w:rPr>
                <w:rFonts w:ascii="Arial" w:hAnsi="Arial" w:cs="Arial"/>
                <w:color w:val="000000"/>
              </w:rPr>
              <w:t xml:space="preserve">Response from providers </w:t>
            </w:r>
            <w:r w:rsidRPr="003E3DDB">
              <w:rPr>
                <w:rFonts w:ascii="Arial" w:hAnsi="Arial" w:cs="Arial"/>
              </w:rPr>
              <w:t>to commissioners by 31  October 2014</w:t>
            </w:r>
          </w:p>
        </w:tc>
      </w:tr>
      <w:tr w:rsidR="00292106" w:rsidRPr="0042282C" w:rsidTr="004433C0">
        <w:trPr>
          <w:trHeight w:val="615"/>
        </w:trPr>
        <w:tc>
          <w:tcPr>
            <w:tcW w:w="4145" w:type="dxa"/>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Are there rules for any agreed in-year milestones that result in payment?</w:t>
            </w:r>
          </w:p>
        </w:tc>
        <w:tc>
          <w:tcPr>
            <w:tcW w:w="4932" w:type="dxa"/>
          </w:tcPr>
          <w:p w:rsidR="00292106" w:rsidRPr="0042282C" w:rsidRDefault="00292106" w:rsidP="004433C0">
            <w:pPr>
              <w:autoSpaceDE w:val="0"/>
              <w:autoSpaceDN w:val="0"/>
              <w:adjustRightInd w:val="0"/>
              <w:spacing w:after="0"/>
              <w:contextualSpacing/>
              <w:rPr>
                <w:rFonts w:ascii="Arial" w:hAnsi="Arial" w:cs="Arial"/>
                <w:color w:val="000000"/>
              </w:rPr>
            </w:pPr>
            <w:r w:rsidRPr="0042282C">
              <w:rPr>
                <w:rFonts w:ascii="Arial" w:hAnsi="Arial" w:cs="Arial"/>
                <w:color w:val="000000"/>
              </w:rPr>
              <w:t>Not applicable</w:t>
            </w:r>
          </w:p>
        </w:tc>
      </w:tr>
      <w:tr w:rsidR="00292106" w:rsidRPr="0042282C" w:rsidTr="004433C0">
        <w:trPr>
          <w:trHeight w:val="1463"/>
        </w:trPr>
        <w:tc>
          <w:tcPr>
            <w:tcW w:w="4145" w:type="dxa"/>
          </w:tcPr>
          <w:p w:rsidR="00292106" w:rsidRPr="0042282C" w:rsidRDefault="00292106" w:rsidP="004433C0">
            <w:pPr>
              <w:spacing w:after="0"/>
              <w:rPr>
                <w:rFonts w:ascii="Arial" w:hAnsi="Arial" w:cs="Arial"/>
                <w:b/>
                <w:bCs/>
                <w:color w:val="000000"/>
              </w:rPr>
            </w:pPr>
            <w:r w:rsidRPr="0042282C">
              <w:rPr>
                <w:rFonts w:ascii="Arial" w:hAnsi="Arial" w:cs="Arial"/>
                <w:b/>
                <w:bCs/>
                <w:color w:val="000000"/>
              </w:rPr>
              <w:t>Are there any rules for partial achievement of the indicator at the final indicator period/date?</w:t>
            </w:r>
          </w:p>
        </w:tc>
        <w:tc>
          <w:tcPr>
            <w:tcW w:w="4932" w:type="dxa"/>
          </w:tcPr>
          <w:p w:rsidR="00292106" w:rsidRPr="003E3DDB" w:rsidRDefault="00292106" w:rsidP="004433C0">
            <w:pPr>
              <w:autoSpaceDE w:val="0"/>
              <w:autoSpaceDN w:val="0"/>
              <w:adjustRightInd w:val="0"/>
              <w:spacing w:after="0"/>
              <w:contextualSpacing/>
              <w:rPr>
                <w:rFonts w:ascii="Arial" w:hAnsi="Arial" w:cs="Arial"/>
              </w:rPr>
            </w:pPr>
            <w:r w:rsidRPr="003E3DDB">
              <w:rPr>
                <w:rFonts w:ascii="Arial" w:hAnsi="Arial" w:cs="Arial"/>
              </w:rPr>
              <w:t>For acute providers, there will be no payment for partial achievement.</w:t>
            </w:r>
          </w:p>
          <w:p w:rsidR="00292106" w:rsidRPr="0042282C" w:rsidRDefault="00292106" w:rsidP="004433C0">
            <w:pPr>
              <w:autoSpaceDE w:val="0"/>
              <w:autoSpaceDN w:val="0"/>
              <w:adjustRightInd w:val="0"/>
              <w:spacing w:after="0"/>
              <w:contextualSpacing/>
              <w:rPr>
                <w:rFonts w:ascii="Arial" w:hAnsi="Arial" w:cs="Arial"/>
              </w:rPr>
            </w:pPr>
            <w:r w:rsidRPr="003E3DDB">
              <w:rPr>
                <w:rFonts w:ascii="Arial" w:hAnsi="Arial" w:cs="Arial"/>
              </w:rPr>
              <w:t>For other providers, partial implementation will result in receiving half of the funding available for the indicator (20% of the FFT CQUIN). There will be further guidance on the conditions for partial funding.</w:t>
            </w:r>
          </w:p>
        </w:tc>
      </w:tr>
    </w:tbl>
    <w:p w:rsidR="00292106" w:rsidRPr="0042282C" w:rsidRDefault="00292106" w:rsidP="00292106">
      <w:pPr>
        <w:spacing w:after="0"/>
        <w:jc w:val="center"/>
        <w:rPr>
          <w:rFonts w:ascii="Arial" w:hAnsi="Arial" w:cs="Arial"/>
          <w:szCs w:val="24"/>
        </w:rPr>
      </w:pPr>
    </w:p>
    <w:p w:rsidR="00292106" w:rsidRPr="0042282C" w:rsidRDefault="00292106" w:rsidP="00292106">
      <w:pPr>
        <w:spacing w:after="0"/>
        <w:jc w:val="center"/>
        <w:rPr>
          <w:rFonts w:ascii="Arial" w:hAnsi="Arial" w:cs="Arial"/>
          <w:szCs w:val="24"/>
        </w:rPr>
      </w:pPr>
      <w:r w:rsidRPr="0042282C">
        <w:rPr>
          <w:rFonts w:ascii="Arial" w:hAnsi="Arial" w:cs="Arial"/>
          <w:szCs w:val="24"/>
        </w:rPr>
        <w:br w:type="page"/>
      </w:r>
    </w:p>
    <w:p w:rsidR="00097C2A" w:rsidRPr="0099216E" w:rsidRDefault="00097C2A" w:rsidP="00097C2A">
      <w:pPr>
        <w:spacing w:after="0"/>
        <w:jc w:val="center"/>
        <w:rPr>
          <w:rFonts w:ascii="Arial" w:hAnsi="Arial" w:cs="Arial"/>
          <w:szCs w:val="24"/>
        </w:rPr>
      </w:pP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097C2A" w:rsidRPr="0099216E" w:rsidTr="005F38CA">
        <w:trPr>
          <w:cantSplit/>
          <w:trHeight w:val="300"/>
        </w:trPr>
        <w:tc>
          <w:tcPr>
            <w:tcW w:w="9077" w:type="dxa"/>
            <w:gridSpan w:val="2"/>
            <w:tcBorders>
              <w:top w:val="single" w:sz="8" w:space="0" w:color="auto"/>
              <w:left w:val="single" w:sz="8" w:space="0" w:color="auto"/>
              <w:bottom w:val="single" w:sz="8" w:space="0" w:color="auto"/>
              <w:right w:val="single" w:sz="8" w:space="0" w:color="auto"/>
            </w:tcBorders>
          </w:tcPr>
          <w:p w:rsidR="00097C2A" w:rsidRPr="0099216E" w:rsidRDefault="00097C2A" w:rsidP="005F38CA">
            <w:pPr>
              <w:spacing w:after="0"/>
              <w:jc w:val="center"/>
            </w:pPr>
            <w:r w:rsidRPr="0099216E">
              <w:rPr>
                <w:rFonts w:ascii="Arial" w:hAnsi="Arial" w:cs="Arial"/>
                <w:b/>
                <w:bCs/>
                <w:color w:val="000000"/>
              </w:rPr>
              <w:t>FRIENDS AND FAMILY TEST: PHASED EXPANSION</w:t>
            </w:r>
          </w:p>
        </w:tc>
      </w:tr>
      <w:tr w:rsidR="00097C2A" w:rsidRPr="0099216E" w:rsidTr="005F38CA">
        <w:trPr>
          <w:trHeight w:val="3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Indicator number</w:t>
            </w:r>
          </w:p>
        </w:tc>
        <w:tc>
          <w:tcPr>
            <w:tcW w:w="4932" w:type="dxa"/>
            <w:noWrap/>
          </w:tcPr>
          <w:p w:rsidR="00097C2A" w:rsidRPr="0099216E" w:rsidRDefault="00097C2A" w:rsidP="00FA590B">
            <w:pPr>
              <w:spacing w:after="0"/>
              <w:rPr>
                <w:rFonts w:ascii="Arial" w:hAnsi="Arial" w:cs="Arial"/>
                <w:color w:val="000000"/>
              </w:rPr>
            </w:pPr>
            <w:r w:rsidRPr="0099216E">
              <w:rPr>
                <w:rFonts w:ascii="Arial" w:hAnsi="Arial" w:cs="Arial"/>
                <w:color w:val="000000"/>
              </w:rPr>
              <w:t>1c</w:t>
            </w:r>
            <w:r w:rsidR="00FA590B">
              <w:rPr>
                <w:rFonts w:ascii="Arial" w:hAnsi="Arial" w:cs="Arial"/>
                <w:color w:val="000000"/>
              </w:rPr>
              <w:t xml:space="preserve"> for m</w:t>
            </w:r>
            <w:r>
              <w:rPr>
                <w:rFonts w:ascii="Arial" w:hAnsi="Arial" w:cs="Arial"/>
                <w:color w:val="000000"/>
              </w:rPr>
              <w:t xml:space="preserve">ental </w:t>
            </w:r>
            <w:r w:rsidR="00FA590B">
              <w:rPr>
                <w:rFonts w:ascii="Arial" w:hAnsi="Arial" w:cs="Arial"/>
                <w:color w:val="000000"/>
              </w:rPr>
              <w:t>h</w:t>
            </w:r>
            <w:r>
              <w:rPr>
                <w:rFonts w:ascii="Arial" w:hAnsi="Arial" w:cs="Arial"/>
                <w:color w:val="000000"/>
              </w:rPr>
              <w:t xml:space="preserve">ealth and </w:t>
            </w:r>
            <w:r w:rsidR="00FA590B">
              <w:rPr>
                <w:rFonts w:ascii="Arial" w:hAnsi="Arial" w:cs="Arial"/>
                <w:color w:val="000000"/>
              </w:rPr>
              <w:t>community h</w:t>
            </w:r>
            <w:r>
              <w:rPr>
                <w:rFonts w:ascii="Arial" w:hAnsi="Arial" w:cs="Arial"/>
                <w:color w:val="000000"/>
              </w:rPr>
              <w:t>ealth providers</w:t>
            </w:r>
          </w:p>
        </w:tc>
      </w:tr>
      <w:tr w:rsidR="00097C2A" w:rsidRPr="0099216E" w:rsidTr="005F38CA">
        <w:trPr>
          <w:trHeight w:val="3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Indicator name</w:t>
            </w:r>
          </w:p>
        </w:tc>
        <w:tc>
          <w:tcPr>
            <w:tcW w:w="4932" w:type="dxa"/>
            <w:noWrap/>
          </w:tcPr>
          <w:p w:rsidR="00097C2A" w:rsidRPr="0099216E" w:rsidRDefault="00097C2A" w:rsidP="005F38CA">
            <w:pPr>
              <w:spacing w:after="0"/>
              <w:contextualSpacing/>
              <w:rPr>
                <w:rFonts w:ascii="Arial" w:hAnsi="Arial" w:cs="Arial"/>
                <w:color w:val="000000"/>
              </w:rPr>
            </w:pPr>
            <w:r w:rsidRPr="0099216E">
              <w:rPr>
                <w:rFonts w:ascii="Arial" w:hAnsi="Arial" w:cs="Arial"/>
              </w:rPr>
              <w:t xml:space="preserve">Friends and Family Test - Phased </w:t>
            </w:r>
            <w:r>
              <w:rPr>
                <w:rFonts w:ascii="Arial" w:hAnsi="Arial" w:cs="Arial"/>
              </w:rPr>
              <w:t>E</w:t>
            </w:r>
            <w:r w:rsidRPr="0099216E">
              <w:rPr>
                <w:rFonts w:ascii="Arial" w:hAnsi="Arial" w:cs="Arial"/>
              </w:rPr>
              <w:t>xpansion</w:t>
            </w:r>
          </w:p>
        </w:tc>
      </w:tr>
      <w:tr w:rsidR="00097C2A" w:rsidRPr="0099216E" w:rsidTr="005F38CA">
        <w:trPr>
          <w:trHeight w:val="6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 xml:space="preserve">Indicator weighting </w:t>
            </w:r>
            <w:r w:rsidRPr="0099216E">
              <w:rPr>
                <w:rFonts w:ascii="Arial" w:hAnsi="Arial" w:cs="Arial"/>
                <w:b/>
                <w:bCs/>
                <w:color w:val="000000"/>
              </w:rPr>
              <w:br/>
              <w:t>(% of CQUIN scheme available)</w:t>
            </w:r>
          </w:p>
        </w:tc>
        <w:tc>
          <w:tcPr>
            <w:tcW w:w="4932" w:type="dxa"/>
            <w:noWrap/>
          </w:tcPr>
          <w:p w:rsidR="00097C2A" w:rsidRPr="0099216E" w:rsidRDefault="00097C2A" w:rsidP="005F38CA">
            <w:pPr>
              <w:spacing w:after="0"/>
              <w:rPr>
                <w:rFonts w:ascii="Arial" w:hAnsi="Arial" w:cs="Arial"/>
                <w:color w:val="000000"/>
              </w:rPr>
            </w:pPr>
            <w:r w:rsidRPr="0099216E">
              <w:rPr>
                <w:rFonts w:ascii="Arial" w:hAnsi="Arial" w:cs="Arial"/>
                <w:color w:val="000000"/>
              </w:rPr>
              <w:t>&lt;commissioner to complete – minimum 0.0375% of contract value&gt;</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Description of indicator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Phased expansion</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Numerator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Denominator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Rationale for inclusion</w:t>
            </w:r>
          </w:p>
        </w:tc>
        <w:tc>
          <w:tcPr>
            <w:tcW w:w="4932" w:type="dxa"/>
          </w:tcPr>
          <w:p w:rsidR="00097C2A" w:rsidRPr="0099216E" w:rsidRDefault="00097C2A" w:rsidP="005F38CA">
            <w:pPr>
              <w:spacing w:after="0"/>
              <w:rPr>
                <w:rFonts w:ascii="Arial" w:hAnsi="Arial" w:cs="Arial"/>
                <w:color w:val="000000"/>
              </w:rPr>
            </w:pPr>
            <w:r w:rsidRPr="0099216E">
              <w:rPr>
                <w:rFonts w:ascii="Arial" w:hAnsi="Arial" w:cs="Arial"/>
                <w:color w:val="000000"/>
              </w:rPr>
              <w:t>National CQUIN scheme</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Data source</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Local provider response to local commissioners</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Frequency of data collection</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Check on implementation at end of January 2015</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Organisation responsible for data collection</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Provider</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Frequency of reporting to commissioner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One off</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Baseline period/date</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Baseline value</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trHeight w:val="546"/>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Final indicator period/date (on which payment is based)</w:t>
            </w:r>
          </w:p>
        </w:tc>
        <w:tc>
          <w:tcPr>
            <w:tcW w:w="4932" w:type="dxa"/>
          </w:tcPr>
          <w:p w:rsidR="00097C2A" w:rsidRPr="0099216E" w:rsidRDefault="00097C2A" w:rsidP="005F38CA">
            <w:pPr>
              <w:autoSpaceDE w:val="0"/>
              <w:autoSpaceDN w:val="0"/>
              <w:adjustRightInd w:val="0"/>
              <w:spacing w:after="0"/>
              <w:contextualSpacing/>
              <w:rPr>
                <w:rFonts w:ascii="Arial" w:hAnsi="Arial" w:cs="Arial"/>
                <w:color w:val="000000"/>
              </w:rPr>
            </w:pPr>
            <w:r>
              <w:rPr>
                <w:rFonts w:ascii="Arial" w:hAnsi="Arial" w:cs="Arial"/>
                <w:color w:val="000000"/>
              </w:rPr>
              <w:t>December 2014</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Final indicator value (payment threshold)</w:t>
            </w:r>
          </w:p>
        </w:tc>
        <w:tc>
          <w:tcPr>
            <w:tcW w:w="4932" w:type="dxa"/>
          </w:tcPr>
          <w:p w:rsidR="00097C2A" w:rsidRPr="0099216E" w:rsidRDefault="00097C2A" w:rsidP="005F38CA">
            <w:pPr>
              <w:autoSpaceDE w:val="0"/>
              <w:autoSpaceDN w:val="0"/>
              <w:adjustRightInd w:val="0"/>
              <w:spacing w:after="0"/>
              <w:contextualSpacing/>
              <w:rPr>
                <w:rFonts w:ascii="Arial" w:hAnsi="Arial" w:cs="Arial"/>
                <w:color w:val="000000"/>
              </w:rPr>
            </w:pPr>
            <w:r w:rsidRPr="0099216E">
              <w:rPr>
                <w:rFonts w:ascii="Arial" w:hAnsi="Arial" w:cs="Arial"/>
                <w:color w:val="000000"/>
              </w:rPr>
              <w:t>Full delivery of the nationally set milestones</w:t>
            </w:r>
          </w:p>
        </w:tc>
      </w:tr>
      <w:tr w:rsidR="00097C2A" w:rsidRPr="0099216E" w:rsidTr="005F38CA">
        <w:trPr>
          <w:trHeight w:val="1069"/>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Rules for calculation of payment due at final indicator period/date (including evidence to be supplied to commissioner)</w:t>
            </w:r>
          </w:p>
        </w:tc>
        <w:tc>
          <w:tcPr>
            <w:tcW w:w="4932" w:type="dxa"/>
          </w:tcPr>
          <w:p w:rsidR="00097C2A" w:rsidRPr="0099216E" w:rsidRDefault="00097C2A" w:rsidP="005F38CA">
            <w:pPr>
              <w:autoSpaceDE w:val="0"/>
              <w:autoSpaceDN w:val="0"/>
              <w:adjustRightInd w:val="0"/>
              <w:spacing w:after="0"/>
              <w:contextualSpacing/>
              <w:rPr>
                <w:rFonts w:ascii="Arial" w:hAnsi="Arial" w:cs="Arial"/>
                <w:color w:val="000000"/>
              </w:rPr>
            </w:pPr>
            <w:r w:rsidRPr="0099216E">
              <w:rPr>
                <w:rFonts w:ascii="Arial" w:hAnsi="Arial" w:cs="Arial"/>
                <w:color w:val="000000"/>
              </w:rPr>
              <w:t>Provider to demonstrate to commissioner that milestones have been met</w:t>
            </w:r>
          </w:p>
          <w:p w:rsidR="00097C2A" w:rsidRPr="0099216E" w:rsidRDefault="00097C2A" w:rsidP="005F38CA">
            <w:pPr>
              <w:autoSpaceDE w:val="0"/>
              <w:autoSpaceDN w:val="0"/>
              <w:adjustRightInd w:val="0"/>
              <w:spacing w:after="0"/>
              <w:rPr>
                <w:rFonts w:ascii="Arial" w:hAnsi="Arial" w:cs="Arial"/>
                <w:color w:val="000000"/>
              </w:rPr>
            </w:pP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Final indicator reporting date</w:t>
            </w:r>
          </w:p>
        </w:tc>
        <w:tc>
          <w:tcPr>
            <w:tcW w:w="4932" w:type="dxa"/>
          </w:tcPr>
          <w:p w:rsidR="00097C2A" w:rsidRPr="0099216E" w:rsidRDefault="00097C2A" w:rsidP="005F38CA">
            <w:pPr>
              <w:spacing w:after="0"/>
              <w:contextualSpacing/>
              <w:rPr>
                <w:rFonts w:ascii="Arial" w:hAnsi="Arial" w:cs="Arial"/>
              </w:rPr>
            </w:pPr>
            <w:r w:rsidRPr="0099216E">
              <w:rPr>
                <w:rFonts w:ascii="Arial" w:hAnsi="Arial" w:cs="Arial"/>
              </w:rPr>
              <w:t xml:space="preserve">Response from providers to commissioners by </w:t>
            </w:r>
            <w:r>
              <w:rPr>
                <w:rFonts w:ascii="Arial" w:hAnsi="Arial" w:cs="Arial"/>
              </w:rPr>
              <w:t>31 December 2014</w:t>
            </w:r>
          </w:p>
        </w:tc>
      </w:tr>
      <w:tr w:rsidR="00097C2A" w:rsidRPr="0099216E" w:rsidTr="005F38CA">
        <w:trPr>
          <w:trHeight w:val="615"/>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Are there rules for any agreed in-year milestones that result in payment?</w:t>
            </w:r>
          </w:p>
        </w:tc>
        <w:tc>
          <w:tcPr>
            <w:tcW w:w="4932" w:type="dxa"/>
          </w:tcPr>
          <w:p w:rsidR="00097C2A" w:rsidRPr="0099216E" w:rsidRDefault="00097C2A" w:rsidP="005F38CA">
            <w:pPr>
              <w:autoSpaceDE w:val="0"/>
              <w:autoSpaceDN w:val="0"/>
              <w:adjustRightInd w:val="0"/>
              <w:spacing w:after="0"/>
              <w:contextualSpacing/>
              <w:rPr>
                <w:rFonts w:ascii="Arial" w:hAnsi="Arial" w:cs="Arial"/>
                <w:color w:val="000000"/>
              </w:rPr>
            </w:pPr>
            <w:r w:rsidRPr="0099216E">
              <w:rPr>
                <w:rFonts w:ascii="Arial" w:hAnsi="Arial" w:cs="Arial"/>
                <w:color w:val="000000"/>
              </w:rPr>
              <w:t>Not applicable</w:t>
            </w:r>
          </w:p>
          <w:p w:rsidR="00097C2A" w:rsidRPr="0099216E" w:rsidRDefault="00097C2A" w:rsidP="005F38CA">
            <w:pPr>
              <w:autoSpaceDE w:val="0"/>
              <w:autoSpaceDN w:val="0"/>
              <w:adjustRightInd w:val="0"/>
              <w:spacing w:after="0"/>
              <w:contextualSpacing/>
              <w:rPr>
                <w:rFonts w:ascii="Arial" w:hAnsi="Arial" w:cs="Arial"/>
                <w:color w:val="000000"/>
              </w:rPr>
            </w:pPr>
          </w:p>
        </w:tc>
      </w:tr>
      <w:tr w:rsidR="00097C2A" w:rsidRPr="0099216E" w:rsidTr="005F38CA">
        <w:trPr>
          <w:trHeight w:val="9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Are there any rules for partial achievement of the indicator at the final indicator period/date?</w:t>
            </w:r>
          </w:p>
        </w:tc>
        <w:tc>
          <w:tcPr>
            <w:tcW w:w="4932" w:type="dxa"/>
          </w:tcPr>
          <w:p w:rsidR="00097C2A" w:rsidRPr="0099216E" w:rsidRDefault="00097C2A" w:rsidP="005F38CA">
            <w:pPr>
              <w:spacing w:after="0"/>
              <w:rPr>
                <w:rFonts w:ascii="Arial" w:hAnsi="Arial" w:cs="Arial"/>
                <w:color w:val="000000"/>
              </w:rPr>
            </w:pPr>
            <w:r w:rsidRPr="0099216E">
              <w:rPr>
                <w:rFonts w:ascii="Arial" w:hAnsi="Arial" w:cs="Arial"/>
                <w:color w:val="000000"/>
              </w:rPr>
              <w:t>Not applicable</w:t>
            </w:r>
          </w:p>
        </w:tc>
      </w:tr>
    </w:tbl>
    <w:p w:rsidR="00097C2A" w:rsidRDefault="00097C2A" w:rsidP="00097C2A">
      <w:r>
        <w:br w:type="page"/>
      </w:r>
    </w:p>
    <w:p w:rsidR="00097C2A" w:rsidRDefault="00097C2A" w:rsidP="00097C2A"/>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097C2A" w:rsidRPr="0099216E" w:rsidTr="005F38CA">
        <w:trPr>
          <w:cantSplit/>
          <w:trHeight w:val="300"/>
        </w:trPr>
        <w:tc>
          <w:tcPr>
            <w:tcW w:w="9077" w:type="dxa"/>
            <w:gridSpan w:val="2"/>
            <w:tcBorders>
              <w:top w:val="single" w:sz="8" w:space="0" w:color="auto"/>
              <w:left w:val="single" w:sz="8" w:space="0" w:color="auto"/>
              <w:bottom w:val="single" w:sz="8" w:space="0" w:color="auto"/>
              <w:right w:val="single" w:sz="8" w:space="0" w:color="auto"/>
            </w:tcBorders>
          </w:tcPr>
          <w:p w:rsidR="00097C2A" w:rsidRPr="0099216E" w:rsidRDefault="00097C2A" w:rsidP="005F38CA">
            <w:pPr>
              <w:spacing w:after="0"/>
              <w:jc w:val="center"/>
            </w:pPr>
            <w:r w:rsidRPr="0099216E">
              <w:rPr>
                <w:rFonts w:ascii="Arial" w:hAnsi="Arial" w:cs="Arial"/>
                <w:b/>
                <w:bCs/>
                <w:color w:val="000000"/>
              </w:rPr>
              <w:t>FRIENDS AND FAMILY TEST: PHASED EXPANSION</w:t>
            </w:r>
          </w:p>
        </w:tc>
      </w:tr>
      <w:tr w:rsidR="00097C2A" w:rsidRPr="0099216E" w:rsidTr="005F38CA">
        <w:trPr>
          <w:trHeight w:val="3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Indicator number</w:t>
            </w:r>
          </w:p>
        </w:tc>
        <w:tc>
          <w:tcPr>
            <w:tcW w:w="4932" w:type="dxa"/>
            <w:noWrap/>
          </w:tcPr>
          <w:p w:rsidR="00097C2A" w:rsidRPr="0099216E" w:rsidRDefault="00097C2A" w:rsidP="005F38CA">
            <w:pPr>
              <w:spacing w:after="0"/>
              <w:rPr>
                <w:rFonts w:ascii="Arial" w:hAnsi="Arial" w:cs="Arial"/>
                <w:color w:val="000000"/>
              </w:rPr>
            </w:pPr>
            <w:r w:rsidRPr="0099216E">
              <w:rPr>
                <w:rFonts w:ascii="Arial" w:hAnsi="Arial" w:cs="Arial"/>
                <w:color w:val="000000"/>
              </w:rPr>
              <w:t>1c</w:t>
            </w:r>
            <w:r w:rsidR="00FA590B">
              <w:rPr>
                <w:rFonts w:ascii="Arial" w:hAnsi="Arial" w:cs="Arial"/>
                <w:color w:val="000000"/>
              </w:rPr>
              <w:t xml:space="preserve"> for ambulance s</w:t>
            </w:r>
            <w:r>
              <w:rPr>
                <w:rFonts w:ascii="Arial" w:hAnsi="Arial" w:cs="Arial"/>
                <w:color w:val="000000"/>
              </w:rPr>
              <w:t>ervice providers</w:t>
            </w:r>
          </w:p>
        </w:tc>
      </w:tr>
      <w:tr w:rsidR="00097C2A" w:rsidRPr="0099216E" w:rsidTr="005F38CA">
        <w:trPr>
          <w:trHeight w:val="3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Indicator name</w:t>
            </w:r>
          </w:p>
        </w:tc>
        <w:tc>
          <w:tcPr>
            <w:tcW w:w="4932" w:type="dxa"/>
            <w:noWrap/>
          </w:tcPr>
          <w:p w:rsidR="00097C2A" w:rsidRPr="0099216E" w:rsidRDefault="00097C2A" w:rsidP="005F38CA">
            <w:pPr>
              <w:spacing w:after="0"/>
              <w:contextualSpacing/>
              <w:rPr>
                <w:rFonts w:ascii="Arial" w:hAnsi="Arial" w:cs="Arial"/>
                <w:color w:val="000000"/>
              </w:rPr>
            </w:pPr>
            <w:r w:rsidRPr="0099216E">
              <w:rPr>
                <w:rFonts w:ascii="Arial" w:hAnsi="Arial" w:cs="Arial"/>
              </w:rPr>
              <w:t xml:space="preserve">Friends and Family Test - Phased </w:t>
            </w:r>
            <w:r>
              <w:rPr>
                <w:rFonts w:ascii="Arial" w:hAnsi="Arial" w:cs="Arial"/>
              </w:rPr>
              <w:t>E</w:t>
            </w:r>
            <w:r w:rsidRPr="0099216E">
              <w:rPr>
                <w:rFonts w:ascii="Arial" w:hAnsi="Arial" w:cs="Arial"/>
              </w:rPr>
              <w:t>xpansion</w:t>
            </w:r>
          </w:p>
        </w:tc>
      </w:tr>
      <w:tr w:rsidR="00097C2A" w:rsidRPr="0099216E" w:rsidTr="005F38CA">
        <w:trPr>
          <w:trHeight w:val="6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 xml:space="preserve">Indicator weighting </w:t>
            </w:r>
            <w:r w:rsidRPr="0099216E">
              <w:rPr>
                <w:rFonts w:ascii="Arial" w:hAnsi="Arial" w:cs="Arial"/>
                <w:b/>
                <w:bCs/>
                <w:color w:val="000000"/>
              </w:rPr>
              <w:br/>
              <w:t>(% of CQUIN scheme available)</w:t>
            </w:r>
          </w:p>
        </w:tc>
        <w:tc>
          <w:tcPr>
            <w:tcW w:w="4932" w:type="dxa"/>
            <w:noWrap/>
          </w:tcPr>
          <w:p w:rsidR="00097C2A" w:rsidRPr="0099216E" w:rsidRDefault="00097C2A" w:rsidP="005F38CA">
            <w:pPr>
              <w:spacing w:after="0"/>
              <w:rPr>
                <w:rFonts w:ascii="Arial" w:hAnsi="Arial" w:cs="Arial"/>
                <w:color w:val="000000"/>
              </w:rPr>
            </w:pPr>
            <w:r w:rsidRPr="0099216E">
              <w:rPr>
                <w:rFonts w:ascii="Arial" w:hAnsi="Arial" w:cs="Arial"/>
                <w:color w:val="000000"/>
              </w:rPr>
              <w:t>&lt;commissioner to complete – minimum 0.0375% of contract value&gt;</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Description of indicator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Phased expansion</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Numerator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Denominator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Rationale for inclusion</w:t>
            </w:r>
          </w:p>
        </w:tc>
        <w:tc>
          <w:tcPr>
            <w:tcW w:w="4932" w:type="dxa"/>
          </w:tcPr>
          <w:p w:rsidR="00097C2A" w:rsidRPr="0099216E" w:rsidRDefault="00097C2A" w:rsidP="005F38CA">
            <w:pPr>
              <w:spacing w:after="0"/>
              <w:rPr>
                <w:rFonts w:ascii="Arial" w:hAnsi="Arial" w:cs="Arial"/>
                <w:color w:val="000000"/>
              </w:rPr>
            </w:pPr>
            <w:r w:rsidRPr="0099216E">
              <w:rPr>
                <w:rFonts w:ascii="Arial" w:hAnsi="Arial" w:cs="Arial"/>
                <w:color w:val="000000"/>
              </w:rPr>
              <w:t>National CQUIN scheme</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Data source</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Local provider response to local commissioners</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Frequency of data collection</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 xml:space="preserve">Check on implementation at end of </w:t>
            </w:r>
            <w:r>
              <w:rPr>
                <w:rFonts w:ascii="Arial" w:hAnsi="Arial" w:cs="Arial"/>
                <w:color w:val="000000"/>
              </w:rPr>
              <w:t xml:space="preserve">April </w:t>
            </w:r>
            <w:r w:rsidRPr="0099216E">
              <w:rPr>
                <w:rFonts w:ascii="Arial" w:hAnsi="Arial" w:cs="Arial"/>
                <w:color w:val="000000"/>
              </w:rPr>
              <w:t>2015</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Organisation responsible for data collection</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Provider</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Frequency of reporting to commissioner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One off</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Baseline period/date</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Baseline value</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trHeight w:val="546"/>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Final indicator period/date (on which payment is based)</w:t>
            </w:r>
          </w:p>
        </w:tc>
        <w:tc>
          <w:tcPr>
            <w:tcW w:w="4932" w:type="dxa"/>
          </w:tcPr>
          <w:p w:rsidR="00097C2A" w:rsidRPr="0099216E" w:rsidRDefault="00097C2A" w:rsidP="005F38CA">
            <w:pPr>
              <w:autoSpaceDE w:val="0"/>
              <w:autoSpaceDN w:val="0"/>
              <w:adjustRightInd w:val="0"/>
              <w:spacing w:after="0"/>
              <w:contextualSpacing/>
              <w:rPr>
                <w:rFonts w:ascii="Arial" w:hAnsi="Arial" w:cs="Arial"/>
                <w:color w:val="000000"/>
              </w:rPr>
            </w:pPr>
            <w:r>
              <w:rPr>
                <w:rFonts w:ascii="Arial" w:hAnsi="Arial" w:cs="Arial"/>
                <w:color w:val="000000"/>
              </w:rPr>
              <w:t xml:space="preserve">March </w:t>
            </w:r>
            <w:r w:rsidRPr="0099216E">
              <w:rPr>
                <w:rFonts w:ascii="Arial" w:hAnsi="Arial" w:cs="Arial"/>
                <w:color w:val="000000"/>
              </w:rPr>
              <w:t>2015</w:t>
            </w: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Final indicator value (payment threshold)</w:t>
            </w:r>
          </w:p>
        </w:tc>
        <w:tc>
          <w:tcPr>
            <w:tcW w:w="4932" w:type="dxa"/>
          </w:tcPr>
          <w:p w:rsidR="00097C2A" w:rsidRPr="0099216E" w:rsidRDefault="00097C2A" w:rsidP="005F38CA">
            <w:pPr>
              <w:autoSpaceDE w:val="0"/>
              <w:autoSpaceDN w:val="0"/>
              <w:adjustRightInd w:val="0"/>
              <w:spacing w:after="0"/>
              <w:contextualSpacing/>
              <w:rPr>
                <w:rFonts w:ascii="Arial" w:hAnsi="Arial" w:cs="Arial"/>
                <w:color w:val="000000"/>
              </w:rPr>
            </w:pPr>
            <w:r w:rsidRPr="0099216E">
              <w:rPr>
                <w:rFonts w:ascii="Arial" w:hAnsi="Arial" w:cs="Arial"/>
                <w:color w:val="000000"/>
              </w:rPr>
              <w:t>Full delivery of the nationally set milestones</w:t>
            </w:r>
          </w:p>
        </w:tc>
      </w:tr>
      <w:tr w:rsidR="00097C2A" w:rsidRPr="0099216E" w:rsidTr="005F38CA">
        <w:trPr>
          <w:trHeight w:val="1069"/>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Rules for calculation of payment due at final indicator period/date (including evidence to be supplied to commissioner)</w:t>
            </w:r>
          </w:p>
        </w:tc>
        <w:tc>
          <w:tcPr>
            <w:tcW w:w="4932" w:type="dxa"/>
          </w:tcPr>
          <w:p w:rsidR="00097C2A" w:rsidRPr="0099216E" w:rsidRDefault="00097C2A" w:rsidP="005F38CA">
            <w:pPr>
              <w:autoSpaceDE w:val="0"/>
              <w:autoSpaceDN w:val="0"/>
              <w:adjustRightInd w:val="0"/>
              <w:spacing w:after="0"/>
              <w:contextualSpacing/>
              <w:rPr>
                <w:rFonts w:ascii="Arial" w:hAnsi="Arial" w:cs="Arial"/>
                <w:color w:val="000000"/>
              </w:rPr>
            </w:pPr>
            <w:r w:rsidRPr="0099216E">
              <w:rPr>
                <w:rFonts w:ascii="Arial" w:hAnsi="Arial" w:cs="Arial"/>
                <w:color w:val="000000"/>
              </w:rPr>
              <w:t>Provider to demonstrate to commissioner that milestones have been met</w:t>
            </w:r>
          </w:p>
          <w:p w:rsidR="00097C2A" w:rsidRPr="0099216E" w:rsidRDefault="00097C2A" w:rsidP="005F38CA">
            <w:pPr>
              <w:autoSpaceDE w:val="0"/>
              <w:autoSpaceDN w:val="0"/>
              <w:adjustRightInd w:val="0"/>
              <w:spacing w:after="0"/>
              <w:rPr>
                <w:rFonts w:ascii="Arial" w:hAnsi="Arial" w:cs="Arial"/>
                <w:color w:val="000000"/>
              </w:rPr>
            </w:pPr>
          </w:p>
        </w:tc>
      </w:tr>
      <w:tr w:rsidR="00097C2A" w:rsidRPr="0099216E" w:rsidTr="005F38CA">
        <w:trPr>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Final indicator reporting date</w:t>
            </w:r>
          </w:p>
        </w:tc>
        <w:tc>
          <w:tcPr>
            <w:tcW w:w="4932" w:type="dxa"/>
          </w:tcPr>
          <w:p w:rsidR="00097C2A" w:rsidRPr="0099216E" w:rsidRDefault="00097C2A" w:rsidP="005F38CA">
            <w:pPr>
              <w:spacing w:after="0"/>
              <w:contextualSpacing/>
              <w:rPr>
                <w:rFonts w:ascii="Arial" w:hAnsi="Arial" w:cs="Arial"/>
              </w:rPr>
            </w:pPr>
            <w:r w:rsidRPr="0099216E">
              <w:rPr>
                <w:rFonts w:ascii="Arial" w:hAnsi="Arial" w:cs="Arial"/>
              </w:rPr>
              <w:t xml:space="preserve">Response from providers to commissioners by </w:t>
            </w:r>
            <w:r>
              <w:rPr>
                <w:rFonts w:ascii="Arial" w:hAnsi="Arial" w:cs="Arial"/>
              </w:rPr>
              <w:t>end March 2015</w:t>
            </w:r>
          </w:p>
        </w:tc>
      </w:tr>
      <w:tr w:rsidR="00097C2A" w:rsidRPr="0099216E" w:rsidTr="005F38CA">
        <w:trPr>
          <w:trHeight w:val="615"/>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Are there rules for any agreed in-year milestones that result in payment?</w:t>
            </w:r>
          </w:p>
        </w:tc>
        <w:tc>
          <w:tcPr>
            <w:tcW w:w="4932" w:type="dxa"/>
          </w:tcPr>
          <w:p w:rsidR="00097C2A" w:rsidRPr="0099216E" w:rsidRDefault="00097C2A" w:rsidP="005F38CA">
            <w:pPr>
              <w:autoSpaceDE w:val="0"/>
              <w:autoSpaceDN w:val="0"/>
              <w:adjustRightInd w:val="0"/>
              <w:spacing w:after="0"/>
              <w:contextualSpacing/>
              <w:rPr>
                <w:rFonts w:ascii="Arial" w:hAnsi="Arial" w:cs="Arial"/>
                <w:color w:val="000000"/>
              </w:rPr>
            </w:pPr>
            <w:r w:rsidRPr="0099216E">
              <w:rPr>
                <w:rFonts w:ascii="Arial" w:hAnsi="Arial" w:cs="Arial"/>
                <w:color w:val="000000"/>
              </w:rPr>
              <w:t>Not applicable</w:t>
            </w:r>
          </w:p>
          <w:p w:rsidR="00097C2A" w:rsidRPr="0099216E" w:rsidRDefault="00097C2A" w:rsidP="005F38CA">
            <w:pPr>
              <w:autoSpaceDE w:val="0"/>
              <w:autoSpaceDN w:val="0"/>
              <w:adjustRightInd w:val="0"/>
              <w:spacing w:after="0"/>
              <w:contextualSpacing/>
              <w:rPr>
                <w:rFonts w:ascii="Arial" w:hAnsi="Arial" w:cs="Arial"/>
                <w:color w:val="000000"/>
              </w:rPr>
            </w:pPr>
          </w:p>
        </w:tc>
      </w:tr>
      <w:tr w:rsidR="00097C2A" w:rsidRPr="0099216E" w:rsidTr="005F38CA">
        <w:trPr>
          <w:trHeight w:val="9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Are there any rules for partial achievement of the indicator at the final indicator period/date?</w:t>
            </w:r>
          </w:p>
        </w:tc>
        <w:tc>
          <w:tcPr>
            <w:tcW w:w="4932" w:type="dxa"/>
          </w:tcPr>
          <w:p w:rsidR="00097C2A" w:rsidRPr="0099216E" w:rsidRDefault="00097C2A" w:rsidP="005F38CA">
            <w:pPr>
              <w:spacing w:after="0"/>
              <w:rPr>
                <w:rFonts w:ascii="Arial" w:hAnsi="Arial" w:cs="Arial"/>
                <w:color w:val="000000"/>
              </w:rPr>
            </w:pPr>
            <w:r w:rsidRPr="0099216E">
              <w:rPr>
                <w:rFonts w:ascii="Arial" w:hAnsi="Arial" w:cs="Arial"/>
                <w:color w:val="000000"/>
              </w:rPr>
              <w:t>Not applicable</w:t>
            </w:r>
          </w:p>
        </w:tc>
      </w:tr>
    </w:tbl>
    <w:p w:rsidR="00097C2A" w:rsidRDefault="00097C2A" w:rsidP="00097C2A"/>
    <w:p w:rsidR="00097C2A" w:rsidRDefault="00097C2A" w:rsidP="00097C2A">
      <w:r w:rsidRPr="0099216E">
        <w:br w:type="page"/>
      </w:r>
    </w:p>
    <w:p w:rsidR="00D243BA" w:rsidRPr="002E1395" w:rsidRDefault="00D243BA" w:rsidP="00D243BA"/>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D243BA" w:rsidRPr="002E1395" w:rsidTr="004433C0">
        <w:trPr>
          <w:cantSplit/>
          <w:trHeight w:val="360"/>
        </w:trPr>
        <w:tc>
          <w:tcPr>
            <w:tcW w:w="9077" w:type="dxa"/>
            <w:gridSpan w:val="2"/>
            <w:tcBorders>
              <w:top w:val="single" w:sz="4" w:space="0" w:color="auto"/>
            </w:tcBorders>
          </w:tcPr>
          <w:p w:rsidR="00D243BA" w:rsidRPr="002E1395" w:rsidRDefault="00D243BA" w:rsidP="004433C0">
            <w:pPr>
              <w:keepNext/>
              <w:spacing w:after="0"/>
              <w:jc w:val="center"/>
            </w:pPr>
            <w:r w:rsidRPr="002E1395">
              <w:rPr>
                <w:rFonts w:ascii="Arial" w:hAnsi="Arial" w:cs="Arial"/>
                <w:b/>
                <w:bCs/>
              </w:rPr>
              <w:t>FRIENDS AND FAMILY TEST: INCREASED RESPONSE RATE FFT IN ACUTE PROVIDERS</w:t>
            </w:r>
          </w:p>
        </w:tc>
      </w:tr>
      <w:tr w:rsidR="00D243BA" w:rsidRPr="002E1395" w:rsidTr="004433C0">
        <w:trPr>
          <w:cantSplit/>
          <w:trHeight w:val="300"/>
        </w:trPr>
        <w:tc>
          <w:tcPr>
            <w:tcW w:w="4145" w:type="dxa"/>
          </w:tcPr>
          <w:p w:rsidR="00D243BA" w:rsidRPr="002E1395" w:rsidRDefault="00D243BA" w:rsidP="004433C0">
            <w:pPr>
              <w:keepNext/>
              <w:spacing w:after="0"/>
              <w:rPr>
                <w:rFonts w:ascii="Arial" w:hAnsi="Arial" w:cs="Arial"/>
                <w:b/>
                <w:bCs/>
              </w:rPr>
            </w:pPr>
            <w:r w:rsidRPr="002E1395">
              <w:rPr>
                <w:rFonts w:ascii="Arial" w:hAnsi="Arial" w:cs="Arial"/>
                <w:b/>
                <w:bCs/>
              </w:rPr>
              <w:t>Indicator number</w:t>
            </w:r>
          </w:p>
        </w:tc>
        <w:tc>
          <w:tcPr>
            <w:tcW w:w="4932" w:type="dxa"/>
            <w:noWrap/>
          </w:tcPr>
          <w:p w:rsidR="00D243BA" w:rsidRPr="002E1395" w:rsidRDefault="00D243BA" w:rsidP="004433C0">
            <w:pPr>
              <w:keepNext/>
              <w:spacing w:after="0"/>
              <w:rPr>
                <w:rFonts w:ascii="Arial" w:hAnsi="Arial" w:cs="Arial"/>
              </w:rPr>
            </w:pPr>
            <w:r w:rsidRPr="002E1395">
              <w:rPr>
                <w:rFonts w:ascii="Arial" w:hAnsi="Arial" w:cs="Arial"/>
              </w:rPr>
              <w:t>2</w:t>
            </w:r>
          </w:p>
        </w:tc>
      </w:tr>
      <w:tr w:rsidR="00D243BA" w:rsidRPr="002E1395" w:rsidTr="004433C0">
        <w:trPr>
          <w:cantSplit/>
          <w:trHeight w:val="300"/>
        </w:trPr>
        <w:tc>
          <w:tcPr>
            <w:tcW w:w="4145" w:type="dxa"/>
          </w:tcPr>
          <w:p w:rsidR="00D243BA" w:rsidRPr="002E1395" w:rsidRDefault="00D243BA" w:rsidP="004433C0">
            <w:pPr>
              <w:keepNext/>
              <w:spacing w:after="0"/>
              <w:rPr>
                <w:rFonts w:ascii="Arial" w:hAnsi="Arial" w:cs="Arial"/>
                <w:b/>
                <w:bCs/>
              </w:rPr>
            </w:pPr>
            <w:r w:rsidRPr="002E1395">
              <w:rPr>
                <w:rFonts w:ascii="Arial" w:hAnsi="Arial" w:cs="Arial"/>
                <w:b/>
                <w:bCs/>
              </w:rPr>
              <w:t>Indicator name</w:t>
            </w:r>
          </w:p>
        </w:tc>
        <w:tc>
          <w:tcPr>
            <w:tcW w:w="4932" w:type="dxa"/>
            <w:noWrap/>
          </w:tcPr>
          <w:p w:rsidR="00D243BA" w:rsidRPr="002E1395" w:rsidRDefault="00D243BA" w:rsidP="004433C0">
            <w:pPr>
              <w:keepNext/>
              <w:spacing w:after="0"/>
              <w:rPr>
                <w:rFonts w:ascii="Arial" w:hAnsi="Arial" w:cs="Arial"/>
              </w:rPr>
            </w:pPr>
            <w:r w:rsidRPr="002E1395">
              <w:rPr>
                <w:rFonts w:ascii="Arial" w:hAnsi="Arial" w:cs="Arial"/>
              </w:rPr>
              <w:t>Friends and Family Test – Increased or Maintained Response Rate</w:t>
            </w:r>
          </w:p>
        </w:tc>
      </w:tr>
      <w:tr w:rsidR="00D243BA" w:rsidRPr="002E1395" w:rsidTr="004433C0">
        <w:trPr>
          <w:cantSplit/>
          <w:trHeight w:val="600"/>
        </w:trPr>
        <w:tc>
          <w:tcPr>
            <w:tcW w:w="4145" w:type="dxa"/>
          </w:tcPr>
          <w:p w:rsidR="00D243BA" w:rsidRPr="002E1395" w:rsidRDefault="00D243BA" w:rsidP="004433C0">
            <w:pPr>
              <w:spacing w:after="0"/>
              <w:rPr>
                <w:rFonts w:ascii="Arial" w:hAnsi="Arial" w:cs="Arial"/>
                <w:b/>
                <w:bCs/>
              </w:rPr>
            </w:pPr>
            <w:r w:rsidRPr="002E1395">
              <w:rPr>
                <w:rFonts w:ascii="Arial" w:hAnsi="Arial" w:cs="Arial"/>
                <w:b/>
                <w:bCs/>
              </w:rPr>
              <w:t xml:space="preserve">Indicator weighting </w:t>
            </w:r>
            <w:r w:rsidRPr="002E1395">
              <w:rPr>
                <w:rFonts w:ascii="Arial" w:hAnsi="Arial" w:cs="Arial"/>
                <w:b/>
                <w:bCs/>
              </w:rPr>
              <w:br/>
              <w:t>(% of CQUIN scheme available)</w:t>
            </w:r>
          </w:p>
        </w:tc>
        <w:tc>
          <w:tcPr>
            <w:tcW w:w="4932" w:type="dxa"/>
            <w:noWrap/>
          </w:tcPr>
          <w:p w:rsidR="00D243BA" w:rsidRPr="002E1395" w:rsidRDefault="00D243BA" w:rsidP="004433C0">
            <w:pPr>
              <w:spacing w:after="0"/>
              <w:rPr>
                <w:rFonts w:ascii="Arial" w:hAnsi="Arial" w:cs="Arial"/>
              </w:rPr>
            </w:pPr>
            <w:r w:rsidRPr="002E1395">
              <w:rPr>
                <w:rFonts w:ascii="Arial" w:hAnsi="Arial" w:cs="Arial"/>
              </w:rPr>
              <w:t>&lt;commissioner to complete – minimum 0.0188% of contract value&gt;</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Description of indicator</w:t>
            </w:r>
          </w:p>
        </w:tc>
        <w:tc>
          <w:tcPr>
            <w:tcW w:w="4932" w:type="dxa"/>
          </w:tcPr>
          <w:p w:rsidR="00D243BA" w:rsidRPr="002E1395" w:rsidRDefault="00D243BA" w:rsidP="004433C0">
            <w:pPr>
              <w:spacing w:after="0"/>
              <w:contextualSpacing/>
              <w:rPr>
                <w:rFonts w:ascii="Arial" w:hAnsi="Arial" w:cs="Arial"/>
              </w:rPr>
            </w:pPr>
            <w:r w:rsidRPr="002E1395">
              <w:rPr>
                <w:rFonts w:ascii="Arial" w:hAnsi="Arial" w:cs="Arial"/>
              </w:rPr>
              <w:t>Increased or maintained response rate</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Numerator</w:t>
            </w:r>
          </w:p>
        </w:tc>
        <w:tc>
          <w:tcPr>
            <w:tcW w:w="4932" w:type="dxa"/>
          </w:tcPr>
          <w:p w:rsidR="00D243BA" w:rsidRPr="002E1395" w:rsidRDefault="00D243BA" w:rsidP="004433C0">
            <w:pPr>
              <w:spacing w:after="0"/>
              <w:contextualSpacing/>
              <w:rPr>
                <w:rFonts w:ascii="Arial" w:hAnsi="Arial" w:cs="Arial"/>
              </w:rPr>
            </w:pPr>
            <w:r w:rsidRPr="002E1395">
              <w:rPr>
                <w:rFonts w:ascii="Arial" w:hAnsi="Arial" w:cs="Arial"/>
              </w:rPr>
              <w:t>Not applicable</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Denominator</w:t>
            </w:r>
          </w:p>
        </w:tc>
        <w:tc>
          <w:tcPr>
            <w:tcW w:w="4932" w:type="dxa"/>
          </w:tcPr>
          <w:p w:rsidR="00D243BA" w:rsidRPr="002E1395" w:rsidRDefault="00D243BA" w:rsidP="004433C0">
            <w:pPr>
              <w:spacing w:after="0"/>
              <w:contextualSpacing/>
              <w:rPr>
                <w:rFonts w:ascii="Arial" w:hAnsi="Arial" w:cs="Arial"/>
              </w:rPr>
            </w:pPr>
            <w:r w:rsidRPr="002E1395">
              <w:rPr>
                <w:rFonts w:ascii="Arial" w:hAnsi="Arial" w:cs="Arial"/>
              </w:rPr>
              <w:t>Not applicable</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Rationale for inclusion</w:t>
            </w:r>
          </w:p>
        </w:tc>
        <w:tc>
          <w:tcPr>
            <w:tcW w:w="4932" w:type="dxa"/>
          </w:tcPr>
          <w:p w:rsidR="00D243BA" w:rsidRPr="002E1395" w:rsidRDefault="00D243BA" w:rsidP="004433C0">
            <w:pPr>
              <w:spacing w:after="0"/>
              <w:rPr>
                <w:rFonts w:ascii="Arial" w:hAnsi="Arial" w:cs="Arial"/>
              </w:rPr>
            </w:pPr>
            <w:r w:rsidRPr="002E1395">
              <w:rPr>
                <w:rFonts w:ascii="Arial" w:hAnsi="Arial" w:cs="Arial"/>
              </w:rPr>
              <w:t>National CQUIN scheme</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Data source</w:t>
            </w:r>
          </w:p>
        </w:tc>
        <w:tc>
          <w:tcPr>
            <w:tcW w:w="4932" w:type="dxa"/>
          </w:tcPr>
          <w:p w:rsidR="00D243BA" w:rsidRPr="002E1395" w:rsidRDefault="00D243BA" w:rsidP="004433C0">
            <w:pPr>
              <w:spacing w:after="0"/>
              <w:contextualSpacing/>
              <w:rPr>
                <w:rFonts w:ascii="Arial" w:hAnsi="Arial" w:cs="Arial"/>
              </w:rPr>
            </w:pPr>
            <w:r w:rsidRPr="002E1395">
              <w:rPr>
                <w:rFonts w:ascii="Arial" w:hAnsi="Arial" w:cs="Arial"/>
              </w:rPr>
              <w:t>Provider submission via UNIFY data collection system</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Frequency of data collection</w:t>
            </w:r>
          </w:p>
        </w:tc>
        <w:tc>
          <w:tcPr>
            <w:tcW w:w="4932" w:type="dxa"/>
          </w:tcPr>
          <w:p w:rsidR="00D243BA" w:rsidRPr="002E1395" w:rsidRDefault="00D243BA" w:rsidP="004433C0">
            <w:pPr>
              <w:spacing w:after="0"/>
              <w:contextualSpacing/>
              <w:rPr>
                <w:rFonts w:ascii="Arial" w:hAnsi="Arial" w:cs="Arial"/>
              </w:rPr>
            </w:pPr>
            <w:r w:rsidRPr="002E1395">
              <w:rPr>
                <w:rFonts w:ascii="Arial" w:hAnsi="Arial" w:cs="Arial"/>
              </w:rPr>
              <w:t>Monthly return</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Organisation responsible for data collection</w:t>
            </w:r>
          </w:p>
        </w:tc>
        <w:tc>
          <w:tcPr>
            <w:tcW w:w="4932" w:type="dxa"/>
          </w:tcPr>
          <w:p w:rsidR="00D243BA" w:rsidRPr="002E1395" w:rsidRDefault="00D243BA" w:rsidP="004433C0">
            <w:pPr>
              <w:spacing w:after="0"/>
              <w:contextualSpacing/>
              <w:rPr>
                <w:rFonts w:ascii="Arial" w:hAnsi="Arial" w:cs="Arial"/>
              </w:rPr>
            </w:pPr>
            <w:r w:rsidRPr="002E1395">
              <w:rPr>
                <w:rFonts w:ascii="Arial" w:hAnsi="Arial" w:cs="Arial"/>
              </w:rPr>
              <w:t>Provider</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Frequency of reporting to commissioner</w:t>
            </w:r>
          </w:p>
        </w:tc>
        <w:tc>
          <w:tcPr>
            <w:tcW w:w="4932" w:type="dxa"/>
          </w:tcPr>
          <w:p w:rsidR="00D243BA" w:rsidRPr="002E1395" w:rsidRDefault="00D243BA" w:rsidP="004433C0">
            <w:pPr>
              <w:spacing w:after="0"/>
              <w:contextualSpacing/>
              <w:rPr>
                <w:rFonts w:ascii="Arial" w:hAnsi="Arial" w:cs="Arial"/>
              </w:rPr>
            </w:pPr>
            <w:r w:rsidRPr="002E1395">
              <w:rPr>
                <w:rFonts w:ascii="Arial" w:hAnsi="Arial" w:cs="Arial"/>
              </w:rPr>
              <w:t>Monthly</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Baseline period/date</w:t>
            </w:r>
          </w:p>
        </w:tc>
        <w:tc>
          <w:tcPr>
            <w:tcW w:w="4932" w:type="dxa"/>
          </w:tcPr>
          <w:p w:rsidR="00D243BA" w:rsidRPr="002E1395" w:rsidRDefault="00D243BA" w:rsidP="004433C0">
            <w:pPr>
              <w:spacing w:after="0"/>
              <w:contextualSpacing/>
              <w:rPr>
                <w:rFonts w:ascii="Arial" w:hAnsi="Arial" w:cs="Arial"/>
              </w:rPr>
            </w:pPr>
            <w:r w:rsidRPr="002E1395">
              <w:rPr>
                <w:rFonts w:ascii="Arial" w:hAnsi="Arial" w:cs="Arial"/>
              </w:rPr>
              <w:t>See below</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Baseline value</w:t>
            </w:r>
          </w:p>
        </w:tc>
        <w:tc>
          <w:tcPr>
            <w:tcW w:w="4932" w:type="dxa"/>
          </w:tcPr>
          <w:p w:rsidR="00D243BA" w:rsidRPr="002E1395" w:rsidRDefault="00D243BA" w:rsidP="004433C0">
            <w:pPr>
              <w:spacing w:after="0"/>
              <w:contextualSpacing/>
              <w:rPr>
                <w:rFonts w:ascii="Arial" w:hAnsi="Arial" w:cs="Arial"/>
              </w:rPr>
            </w:pPr>
            <w:r w:rsidRPr="002E1395">
              <w:rPr>
                <w:rFonts w:ascii="Arial" w:hAnsi="Arial" w:cs="Arial"/>
              </w:rPr>
              <w:t>See below</w:t>
            </w:r>
          </w:p>
        </w:tc>
      </w:tr>
      <w:tr w:rsidR="00D243BA" w:rsidRPr="002E1395" w:rsidTr="004433C0">
        <w:trPr>
          <w:cantSplit/>
          <w:trHeight w:val="546"/>
        </w:trPr>
        <w:tc>
          <w:tcPr>
            <w:tcW w:w="4145" w:type="dxa"/>
          </w:tcPr>
          <w:p w:rsidR="00D243BA" w:rsidRPr="002E1395" w:rsidRDefault="00D243BA" w:rsidP="004433C0">
            <w:pPr>
              <w:spacing w:after="0"/>
              <w:rPr>
                <w:rFonts w:ascii="Arial" w:hAnsi="Arial" w:cs="Arial"/>
                <w:b/>
                <w:bCs/>
              </w:rPr>
            </w:pPr>
            <w:r w:rsidRPr="002E1395">
              <w:rPr>
                <w:rFonts w:ascii="Arial" w:hAnsi="Arial" w:cs="Arial"/>
                <w:b/>
                <w:bCs/>
              </w:rPr>
              <w:t>Final indicator period/date (on which payment is based)</w:t>
            </w:r>
          </w:p>
        </w:tc>
        <w:tc>
          <w:tcPr>
            <w:tcW w:w="4932" w:type="dxa"/>
          </w:tcPr>
          <w:p w:rsidR="00D243BA" w:rsidRPr="002E1395" w:rsidRDefault="00D243BA" w:rsidP="004433C0">
            <w:pPr>
              <w:autoSpaceDE w:val="0"/>
              <w:autoSpaceDN w:val="0"/>
              <w:adjustRightInd w:val="0"/>
              <w:spacing w:after="0"/>
              <w:contextualSpacing/>
              <w:rPr>
                <w:rFonts w:ascii="Arial" w:hAnsi="Arial" w:cs="Arial"/>
              </w:rPr>
            </w:pPr>
            <w:r w:rsidRPr="002E1395">
              <w:rPr>
                <w:rFonts w:ascii="Arial" w:hAnsi="Arial" w:cs="Arial"/>
              </w:rPr>
              <w:t>Q4 in 2014/15</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Final indicator value (payment threshold)</w:t>
            </w:r>
          </w:p>
          <w:p w:rsidR="00D243BA" w:rsidRPr="002E1395" w:rsidRDefault="00D243BA" w:rsidP="004433C0">
            <w:pPr>
              <w:spacing w:after="0"/>
              <w:rPr>
                <w:rFonts w:ascii="Arial" w:hAnsi="Arial" w:cs="Arial"/>
                <w:b/>
                <w:bCs/>
              </w:rPr>
            </w:pPr>
          </w:p>
        </w:tc>
        <w:tc>
          <w:tcPr>
            <w:tcW w:w="4932" w:type="dxa"/>
          </w:tcPr>
          <w:p w:rsidR="00D243BA" w:rsidRPr="002E1395" w:rsidRDefault="00D243BA" w:rsidP="004433C0">
            <w:pPr>
              <w:autoSpaceDE w:val="0"/>
              <w:autoSpaceDN w:val="0"/>
              <w:adjustRightInd w:val="0"/>
              <w:spacing w:after="0"/>
              <w:contextualSpacing/>
              <w:rPr>
                <w:rFonts w:ascii="Arial" w:hAnsi="Arial" w:cs="Arial"/>
              </w:rPr>
            </w:pPr>
            <w:r w:rsidRPr="002E1395">
              <w:rPr>
                <w:rFonts w:ascii="Arial" w:hAnsi="Arial" w:cs="Arial"/>
              </w:rPr>
              <w:t xml:space="preserve">A response rate for Quarter 4 that is at least 20% for A&amp;E services and at least 30% for inpatient services </w:t>
            </w:r>
          </w:p>
        </w:tc>
      </w:tr>
      <w:tr w:rsidR="00D243BA" w:rsidRPr="002E1395" w:rsidTr="004433C0">
        <w:trPr>
          <w:cantSplit/>
          <w:trHeight w:val="300"/>
        </w:trPr>
        <w:tc>
          <w:tcPr>
            <w:tcW w:w="4145" w:type="dxa"/>
            <w:noWrap/>
          </w:tcPr>
          <w:p w:rsidR="00D243BA" w:rsidRPr="002E1395" w:rsidRDefault="00D243BA" w:rsidP="004433C0">
            <w:pPr>
              <w:spacing w:after="0"/>
              <w:rPr>
                <w:rFonts w:ascii="Arial" w:hAnsi="Arial" w:cs="Arial"/>
                <w:b/>
                <w:bCs/>
              </w:rPr>
            </w:pPr>
            <w:r w:rsidRPr="002E1395">
              <w:rPr>
                <w:rFonts w:ascii="Arial" w:hAnsi="Arial" w:cs="Arial"/>
                <w:b/>
                <w:bCs/>
              </w:rPr>
              <w:t>Final indicator reporting date</w:t>
            </w:r>
          </w:p>
        </w:tc>
        <w:tc>
          <w:tcPr>
            <w:tcW w:w="4932" w:type="dxa"/>
          </w:tcPr>
          <w:p w:rsidR="00D243BA" w:rsidRPr="002E1395" w:rsidRDefault="00D243BA" w:rsidP="004433C0">
            <w:pPr>
              <w:spacing w:after="0"/>
              <w:contextualSpacing/>
              <w:rPr>
                <w:rFonts w:ascii="Arial" w:hAnsi="Arial" w:cs="Arial"/>
              </w:rPr>
            </w:pPr>
            <w:r w:rsidRPr="002E1395">
              <w:rPr>
                <w:rFonts w:ascii="Arial" w:hAnsi="Arial" w:cs="Arial"/>
              </w:rPr>
              <w:t>Data available by end of April 2015 (for Q4)</w:t>
            </w:r>
          </w:p>
        </w:tc>
      </w:tr>
      <w:tr w:rsidR="00D243BA" w:rsidRPr="002E1395" w:rsidTr="004433C0">
        <w:trPr>
          <w:cantSplit/>
          <w:trHeight w:val="615"/>
        </w:trPr>
        <w:tc>
          <w:tcPr>
            <w:tcW w:w="4145" w:type="dxa"/>
          </w:tcPr>
          <w:p w:rsidR="00D243BA" w:rsidRPr="002E1395" w:rsidRDefault="00D243BA" w:rsidP="004433C0">
            <w:pPr>
              <w:spacing w:after="0"/>
              <w:rPr>
                <w:rFonts w:ascii="Arial" w:hAnsi="Arial" w:cs="Arial"/>
                <w:b/>
                <w:bCs/>
              </w:rPr>
            </w:pPr>
            <w:r w:rsidRPr="002E1395">
              <w:rPr>
                <w:rFonts w:ascii="Arial" w:hAnsi="Arial" w:cs="Arial"/>
                <w:b/>
                <w:bCs/>
              </w:rPr>
              <w:t>Are there rules for any agreed in-year milestones that result in payment?</w:t>
            </w:r>
          </w:p>
        </w:tc>
        <w:tc>
          <w:tcPr>
            <w:tcW w:w="4932" w:type="dxa"/>
          </w:tcPr>
          <w:p w:rsidR="00D243BA" w:rsidRPr="002E1395" w:rsidRDefault="00D243BA" w:rsidP="004433C0">
            <w:pPr>
              <w:autoSpaceDE w:val="0"/>
              <w:autoSpaceDN w:val="0"/>
              <w:adjustRightInd w:val="0"/>
              <w:spacing w:after="0"/>
              <w:contextualSpacing/>
              <w:rPr>
                <w:rFonts w:ascii="Arial" w:hAnsi="Arial" w:cs="Arial"/>
              </w:rPr>
            </w:pPr>
            <w:r w:rsidRPr="002E1395">
              <w:rPr>
                <w:rFonts w:ascii="Arial" w:hAnsi="Arial" w:cs="Arial"/>
              </w:rPr>
              <w:t>Yes – see below</w:t>
            </w:r>
          </w:p>
        </w:tc>
      </w:tr>
      <w:tr w:rsidR="00D243BA" w:rsidRPr="002E1395" w:rsidTr="004433C0">
        <w:trPr>
          <w:cantSplit/>
          <w:trHeight w:val="900"/>
        </w:trPr>
        <w:tc>
          <w:tcPr>
            <w:tcW w:w="4145" w:type="dxa"/>
          </w:tcPr>
          <w:p w:rsidR="00D243BA" w:rsidRPr="002E1395" w:rsidRDefault="00D243BA" w:rsidP="004433C0">
            <w:pPr>
              <w:spacing w:after="0"/>
              <w:rPr>
                <w:rFonts w:ascii="Arial" w:hAnsi="Arial" w:cs="Arial"/>
                <w:b/>
                <w:bCs/>
              </w:rPr>
            </w:pPr>
            <w:r w:rsidRPr="002E1395">
              <w:rPr>
                <w:rFonts w:ascii="Arial" w:hAnsi="Arial" w:cs="Arial"/>
                <w:b/>
                <w:bCs/>
              </w:rPr>
              <w:t>Are there any rules for partial achievement of the indicator at the final indicator period/date?</w:t>
            </w:r>
          </w:p>
        </w:tc>
        <w:tc>
          <w:tcPr>
            <w:tcW w:w="4932" w:type="dxa"/>
          </w:tcPr>
          <w:p w:rsidR="00D243BA" w:rsidRPr="002E1395" w:rsidRDefault="00D243BA" w:rsidP="004433C0">
            <w:pPr>
              <w:spacing w:after="0"/>
              <w:rPr>
                <w:rFonts w:ascii="Arial" w:hAnsi="Arial" w:cs="Arial"/>
              </w:rPr>
            </w:pPr>
            <w:r w:rsidRPr="002E1395">
              <w:rPr>
                <w:rFonts w:ascii="Arial" w:hAnsi="Arial" w:cs="Arial"/>
              </w:rPr>
              <w:t>No</w:t>
            </w:r>
          </w:p>
        </w:tc>
      </w:tr>
    </w:tbl>
    <w:p w:rsidR="00097C2A" w:rsidRDefault="00097C2A" w:rsidP="00D243BA">
      <w:pPr>
        <w:sectPr w:rsidR="00097C2A" w:rsidSect="004433C0">
          <w:footerReference w:type="default" r:id="rId16"/>
          <w:pgSz w:w="11906" w:h="16838"/>
          <w:pgMar w:top="1440" w:right="1440" w:bottom="1440" w:left="1440" w:header="706" w:footer="706" w:gutter="0"/>
          <w:cols w:space="708"/>
          <w:docGrid w:linePitch="360"/>
        </w:sectPr>
      </w:pPr>
    </w:p>
    <w:p w:rsidR="00097C2A" w:rsidRDefault="00097C2A" w:rsidP="00097C2A">
      <w:pPr>
        <w:spacing w:after="0"/>
        <w:rPr>
          <w:vanish/>
        </w:rPr>
      </w:pPr>
    </w:p>
    <w:tbl>
      <w:tblPr>
        <w:tblpPr w:leftFromText="180" w:rightFromText="180" w:vertAnchor="text" w:horzAnchor="margin" w:tblpY="43"/>
        <w:tblW w:w="90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097C2A" w:rsidRPr="0099216E" w:rsidTr="005F38CA">
        <w:trPr>
          <w:cantSplit/>
          <w:trHeight w:val="360"/>
        </w:trPr>
        <w:tc>
          <w:tcPr>
            <w:tcW w:w="9077" w:type="dxa"/>
            <w:gridSpan w:val="2"/>
            <w:tcBorders>
              <w:top w:val="single" w:sz="4" w:space="0" w:color="auto"/>
            </w:tcBorders>
          </w:tcPr>
          <w:p w:rsidR="00097C2A" w:rsidRPr="0099216E" w:rsidRDefault="00097C2A" w:rsidP="005F38CA">
            <w:pPr>
              <w:keepNext/>
              <w:spacing w:after="0"/>
              <w:jc w:val="center"/>
            </w:pPr>
            <w:r w:rsidRPr="0099216E">
              <w:rPr>
                <w:rFonts w:ascii="Arial" w:hAnsi="Arial" w:cs="Arial"/>
                <w:b/>
                <w:bCs/>
                <w:color w:val="000000"/>
              </w:rPr>
              <w:t>FRIENDS AND FAMILY TEST: INCREASED RESPONSE RATE FFT IN ACUTE PROVIDERS</w:t>
            </w:r>
          </w:p>
        </w:tc>
      </w:tr>
      <w:tr w:rsidR="00097C2A" w:rsidRPr="0099216E" w:rsidTr="005F38CA">
        <w:trPr>
          <w:cantSplit/>
          <w:trHeight w:val="300"/>
        </w:trPr>
        <w:tc>
          <w:tcPr>
            <w:tcW w:w="4145" w:type="dxa"/>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Indicator number</w:t>
            </w:r>
          </w:p>
        </w:tc>
        <w:tc>
          <w:tcPr>
            <w:tcW w:w="4932" w:type="dxa"/>
            <w:noWrap/>
          </w:tcPr>
          <w:p w:rsidR="00097C2A" w:rsidRPr="0099216E" w:rsidRDefault="00097C2A" w:rsidP="005F38CA">
            <w:pPr>
              <w:keepNext/>
              <w:spacing w:after="0"/>
              <w:rPr>
                <w:rFonts w:ascii="Arial" w:hAnsi="Arial" w:cs="Arial"/>
                <w:color w:val="000000"/>
              </w:rPr>
            </w:pPr>
            <w:r>
              <w:rPr>
                <w:rFonts w:ascii="Arial" w:hAnsi="Arial" w:cs="Arial"/>
                <w:color w:val="000000"/>
              </w:rPr>
              <w:t>3</w:t>
            </w:r>
          </w:p>
        </w:tc>
      </w:tr>
      <w:tr w:rsidR="00097C2A" w:rsidRPr="0099216E" w:rsidTr="005F38CA">
        <w:trPr>
          <w:cantSplit/>
          <w:trHeight w:val="300"/>
        </w:trPr>
        <w:tc>
          <w:tcPr>
            <w:tcW w:w="4145" w:type="dxa"/>
          </w:tcPr>
          <w:p w:rsidR="00097C2A" w:rsidRPr="0099216E" w:rsidRDefault="00097C2A" w:rsidP="005F38CA">
            <w:pPr>
              <w:keepNext/>
              <w:spacing w:after="0"/>
              <w:rPr>
                <w:rFonts w:ascii="Arial" w:hAnsi="Arial" w:cs="Arial"/>
                <w:b/>
                <w:bCs/>
                <w:color w:val="000000"/>
              </w:rPr>
            </w:pPr>
            <w:r w:rsidRPr="0099216E">
              <w:rPr>
                <w:rFonts w:ascii="Arial" w:hAnsi="Arial" w:cs="Arial"/>
                <w:b/>
                <w:bCs/>
                <w:color w:val="000000"/>
              </w:rPr>
              <w:t>Indicator name</w:t>
            </w:r>
          </w:p>
        </w:tc>
        <w:tc>
          <w:tcPr>
            <w:tcW w:w="4932" w:type="dxa"/>
            <w:noWrap/>
          </w:tcPr>
          <w:p w:rsidR="00097C2A" w:rsidRPr="0099216E" w:rsidRDefault="00097C2A" w:rsidP="005F38CA">
            <w:pPr>
              <w:keepNext/>
              <w:spacing w:after="0"/>
              <w:rPr>
                <w:rFonts w:ascii="Arial" w:hAnsi="Arial" w:cs="Arial"/>
                <w:color w:val="000000"/>
              </w:rPr>
            </w:pPr>
            <w:r w:rsidRPr="0099216E">
              <w:rPr>
                <w:rFonts w:ascii="Arial" w:hAnsi="Arial" w:cs="Arial"/>
                <w:color w:val="000000"/>
              </w:rPr>
              <w:t>Friends and Family Test – Increased Response Rate</w:t>
            </w:r>
            <w:r>
              <w:rPr>
                <w:rFonts w:ascii="Arial" w:hAnsi="Arial" w:cs="Arial"/>
                <w:color w:val="000000"/>
              </w:rPr>
              <w:t xml:space="preserve"> in acute inpatient services</w:t>
            </w:r>
          </w:p>
        </w:tc>
      </w:tr>
      <w:tr w:rsidR="00097C2A" w:rsidRPr="0099216E" w:rsidTr="005F38CA">
        <w:trPr>
          <w:cantSplit/>
          <w:trHeight w:val="6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 xml:space="preserve">Indicator weighting </w:t>
            </w:r>
            <w:r w:rsidRPr="0099216E">
              <w:rPr>
                <w:rFonts w:ascii="Arial" w:hAnsi="Arial" w:cs="Arial"/>
                <w:b/>
                <w:bCs/>
                <w:color w:val="000000"/>
              </w:rPr>
              <w:br/>
              <w:t>(% of CQUIN scheme available)</w:t>
            </w:r>
          </w:p>
        </w:tc>
        <w:tc>
          <w:tcPr>
            <w:tcW w:w="4932" w:type="dxa"/>
            <w:noWrap/>
          </w:tcPr>
          <w:p w:rsidR="00097C2A" w:rsidRPr="0099216E" w:rsidRDefault="00097C2A" w:rsidP="005F38CA">
            <w:pPr>
              <w:spacing w:after="0"/>
              <w:rPr>
                <w:rFonts w:ascii="Arial" w:hAnsi="Arial" w:cs="Arial"/>
                <w:color w:val="000000"/>
              </w:rPr>
            </w:pPr>
            <w:r w:rsidRPr="0099216E">
              <w:rPr>
                <w:rFonts w:ascii="Arial" w:hAnsi="Arial" w:cs="Arial"/>
                <w:color w:val="000000"/>
              </w:rPr>
              <w:t>&lt;commissioner to complete – minimum 0.0</w:t>
            </w:r>
            <w:r>
              <w:rPr>
                <w:rFonts w:ascii="Arial" w:hAnsi="Arial" w:cs="Arial"/>
                <w:color w:val="000000"/>
              </w:rPr>
              <w:t>5</w:t>
            </w:r>
            <w:r w:rsidRPr="0099216E">
              <w:rPr>
                <w:rFonts w:ascii="Arial" w:hAnsi="Arial" w:cs="Arial"/>
                <w:color w:val="000000"/>
              </w:rPr>
              <w:t>% of contract value&gt;</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Description of indicator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Increased response rate</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Numerator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Denominator</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Not applicable</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Rationale for inclusion</w:t>
            </w:r>
          </w:p>
        </w:tc>
        <w:tc>
          <w:tcPr>
            <w:tcW w:w="4932" w:type="dxa"/>
          </w:tcPr>
          <w:p w:rsidR="00097C2A" w:rsidRPr="0099216E" w:rsidRDefault="00097C2A" w:rsidP="005F38CA">
            <w:pPr>
              <w:spacing w:after="0"/>
              <w:rPr>
                <w:rFonts w:ascii="Arial" w:hAnsi="Arial" w:cs="Arial"/>
                <w:color w:val="000000"/>
              </w:rPr>
            </w:pPr>
            <w:r w:rsidRPr="0099216E">
              <w:rPr>
                <w:rFonts w:ascii="Arial" w:hAnsi="Arial" w:cs="Arial"/>
                <w:color w:val="000000"/>
              </w:rPr>
              <w:t>National CQUIN scheme</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Data source</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Provider submission via UNIFY</w:t>
            </w:r>
            <w:r>
              <w:rPr>
                <w:rFonts w:ascii="Arial" w:hAnsi="Arial" w:cs="Arial"/>
                <w:color w:val="000000"/>
              </w:rPr>
              <w:t>2</w:t>
            </w:r>
            <w:r w:rsidRPr="0099216E">
              <w:rPr>
                <w:rFonts w:ascii="Arial" w:hAnsi="Arial" w:cs="Arial"/>
                <w:color w:val="000000"/>
              </w:rPr>
              <w:t xml:space="preserve"> data collection system</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Frequency of data collection</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Monthly return</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Organisation responsible for data collection</w:t>
            </w:r>
          </w:p>
        </w:tc>
        <w:tc>
          <w:tcPr>
            <w:tcW w:w="4932" w:type="dxa"/>
          </w:tcPr>
          <w:p w:rsidR="00097C2A" w:rsidRPr="0099216E" w:rsidRDefault="00097C2A" w:rsidP="005F38CA">
            <w:pPr>
              <w:spacing w:after="0"/>
              <w:contextualSpacing/>
              <w:rPr>
                <w:rFonts w:ascii="Arial" w:hAnsi="Arial" w:cs="Arial"/>
                <w:color w:val="000000"/>
              </w:rPr>
            </w:pPr>
            <w:r w:rsidRPr="0099216E">
              <w:rPr>
                <w:rFonts w:ascii="Arial" w:hAnsi="Arial" w:cs="Arial"/>
                <w:color w:val="000000"/>
              </w:rPr>
              <w:t>Provider</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Frequency of reporting to commissioner</w:t>
            </w:r>
          </w:p>
        </w:tc>
        <w:tc>
          <w:tcPr>
            <w:tcW w:w="4932" w:type="dxa"/>
          </w:tcPr>
          <w:p w:rsidR="00097C2A" w:rsidRPr="00CC3577" w:rsidRDefault="00097C2A" w:rsidP="005F38CA">
            <w:pPr>
              <w:spacing w:after="0"/>
              <w:contextualSpacing/>
              <w:rPr>
                <w:rFonts w:ascii="Arial" w:hAnsi="Arial" w:cs="Arial"/>
              </w:rPr>
            </w:pPr>
            <w:r w:rsidRPr="00CC3577">
              <w:rPr>
                <w:rFonts w:ascii="Arial" w:hAnsi="Arial" w:cs="Arial"/>
              </w:rPr>
              <w:t>Monthly</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Baseline period/date</w:t>
            </w:r>
          </w:p>
        </w:tc>
        <w:tc>
          <w:tcPr>
            <w:tcW w:w="4932" w:type="dxa"/>
          </w:tcPr>
          <w:p w:rsidR="00097C2A" w:rsidRPr="00CC3577" w:rsidRDefault="00097C2A" w:rsidP="005F38CA">
            <w:pPr>
              <w:spacing w:after="0"/>
              <w:contextualSpacing/>
              <w:rPr>
                <w:rFonts w:ascii="Arial" w:hAnsi="Arial" w:cs="Arial"/>
              </w:rPr>
            </w:pPr>
            <w:r w:rsidRPr="00CC3577">
              <w:rPr>
                <w:rFonts w:ascii="Arial" w:hAnsi="Arial" w:cs="Arial"/>
              </w:rPr>
              <w:t>See below</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Baseline value</w:t>
            </w:r>
          </w:p>
        </w:tc>
        <w:tc>
          <w:tcPr>
            <w:tcW w:w="4932" w:type="dxa"/>
          </w:tcPr>
          <w:p w:rsidR="00097C2A" w:rsidRPr="00CC3577" w:rsidRDefault="00097C2A" w:rsidP="005F38CA">
            <w:pPr>
              <w:spacing w:after="0"/>
              <w:contextualSpacing/>
              <w:rPr>
                <w:rFonts w:ascii="Arial" w:hAnsi="Arial" w:cs="Arial"/>
              </w:rPr>
            </w:pPr>
            <w:r w:rsidRPr="00CC3577">
              <w:rPr>
                <w:rFonts w:ascii="Arial" w:hAnsi="Arial" w:cs="Arial"/>
              </w:rPr>
              <w:t>See below</w:t>
            </w:r>
          </w:p>
        </w:tc>
      </w:tr>
      <w:tr w:rsidR="00097C2A" w:rsidRPr="0099216E" w:rsidTr="005F38CA">
        <w:trPr>
          <w:cantSplit/>
          <w:trHeight w:val="546"/>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Final indicator period/date (on which payment is based)</w:t>
            </w:r>
          </w:p>
        </w:tc>
        <w:tc>
          <w:tcPr>
            <w:tcW w:w="4932" w:type="dxa"/>
          </w:tcPr>
          <w:p w:rsidR="00097C2A" w:rsidRPr="00CC3577" w:rsidRDefault="00097C2A" w:rsidP="005F38CA">
            <w:pPr>
              <w:autoSpaceDE w:val="0"/>
              <w:autoSpaceDN w:val="0"/>
              <w:adjustRightInd w:val="0"/>
              <w:spacing w:after="0"/>
              <w:contextualSpacing/>
              <w:rPr>
                <w:rFonts w:ascii="Arial" w:hAnsi="Arial" w:cs="Arial"/>
              </w:rPr>
            </w:pPr>
            <w:r>
              <w:rPr>
                <w:rFonts w:ascii="Arial" w:hAnsi="Arial" w:cs="Arial"/>
              </w:rPr>
              <w:t>March 2015</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Final indicator value (payment threshold)</w:t>
            </w:r>
          </w:p>
          <w:p w:rsidR="00097C2A" w:rsidRPr="0099216E" w:rsidRDefault="00097C2A" w:rsidP="005F38CA">
            <w:pPr>
              <w:spacing w:after="0"/>
              <w:rPr>
                <w:rFonts w:ascii="Arial" w:hAnsi="Arial" w:cs="Arial"/>
                <w:b/>
                <w:bCs/>
                <w:color w:val="000000"/>
              </w:rPr>
            </w:pPr>
          </w:p>
        </w:tc>
        <w:tc>
          <w:tcPr>
            <w:tcW w:w="4932" w:type="dxa"/>
          </w:tcPr>
          <w:p w:rsidR="00097C2A" w:rsidRPr="00CC3577" w:rsidRDefault="00097C2A" w:rsidP="005F38CA">
            <w:pPr>
              <w:autoSpaceDE w:val="0"/>
              <w:autoSpaceDN w:val="0"/>
              <w:adjustRightInd w:val="0"/>
              <w:spacing w:after="0"/>
              <w:contextualSpacing/>
              <w:rPr>
                <w:rFonts w:ascii="Arial" w:hAnsi="Arial" w:cs="Arial"/>
              </w:rPr>
            </w:pPr>
            <w:r>
              <w:rPr>
                <w:rFonts w:ascii="Arial" w:hAnsi="Arial" w:cs="Arial"/>
              </w:rPr>
              <w:t xml:space="preserve">A response rate of 40% (or more) for the month of March 2015 </w:t>
            </w:r>
          </w:p>
        </w:tc>
      </w:tr>
      <w:tr w:rsidR="00097C2A" w:rsidRPr="0099216E" w:rsidTr="005F38CA">
        <w:trPr>
          <w:cantSplit/>
          <w:trHeight w:val="300"/>
        </w:trPr>
        <w:tc>
          <w:tcPr>
            <w:tcW w:w="4145" w:type="dxa"/>
            <w:noWrap/>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Final indicator reporting date</w:t>
            </w:r>
          </w:p>
        </w:tc>
        <w:tc>
          <w:tcPr>
            <w:tcW w:w="4932" w:type="dxa"/>
          </w:tcPr>
          <w:p w:rsidR="00097C2A" w:rsidRPr="00CC3577" w:rsidRDefault="00097C2A" w:rsidP="005F38CA">
            <w:pPr>
              <w:spacing w:after="0"/>
              <w:contextualSpacing/>
              <w:rPr>
                <w:rFonts w:ascii="Arial" w:hAnsi="Arial" w:cs="Arial"/>
              </w:rPr>
            </w:pPr>
            <w:r w:rsidRPr="00CC3577">
              <w:rPr>
                <w:rFonts w:ascii="Arial" w:hAnsi="Arial" w:cs="Arial"/>
              </w:rPr>
              <w:t>Data availab</w:t>
            </w:r>
            <w:r>
              <w:rPr>
                <w:rFonts w:ascii="Arial" w:hAnsi="Arial" w:cs="Arial"/>
              </w:rPr>
              <w:t>le by end of April 2015 (for March 2015)</w:t>
            </w:r>
          </w:p>
        </w:tc>
      </w:tr>
      <w:tr w:rsidR="00097C2A" w:rsidRPr="0099216E" w:rsidTr="005F38CA">
        <w:trPr>
          <w:cantSplit/>
          <w:trHeight w:val="615"/>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Are there rules for any agreed in-year milestones that result in payment?</w:t>
            </w:r>
          </w:p>
        </w:tc>
        <w:tc>
          <w:tcPr>
            <w:tcW w:w="4932" w:type="dxa"/>
          </w:tcPr>
          <w:p w:rsidR="00097C2A" w:rsidRPr="0099216E" w:rsidRDefault="00097C2A" w:rsidP="005F38CA">
            <w:pPr>
              <w:autoSpaceDE w:val="0"/>
              <w:autoSpaceDN w:val="0"/>
              <w:adjustRightInd w:val="0"/>
              <w:spacing w:after="0"/>
              <w:contextualSpacing/>
              <w:rPr>
                <w:rFonts w:ascii="Arial" w:hAnsi="Arial" w:cs="Arial"/>
              </w:rPr>
            </w:pPr>
            <w:r>
              <w:rPr>
                <w:rFonts w:ascii="Arial" w:hAnsi="Arial" w:cs="Arial"/>
              </w:rPr>
              <w:t>No</w:t>
            </w:r>
          </w:p>
        </w:tc>
      </w:tr>
      <w:tr w:rsidR="00097C2A" w:rsidRPr="0099216E" w:rsidTr="005F38CA">
        <w:trPr>
          <w:cantSplit/>
          <w:trHeight w:val="900"/>
        </w:trPr>
        <w:tc>
          <w:tcPr>
            <w:tcW w:w="4145" w:type="dxa"/>
          </w:tcPr>
          <w:p w:rsidR="00097C2A" w:rsidRPr="0099216E" w:rsidRDefault="00097C2A" w:rsidP="005F38CA">
            <w:pPr>
              <w:spacing w:after="0"/>
              <w:rPr>
                <w:rFonts w:ascii="Arial" w:hAnsi="Arial" w:cs="Arial"/>
                <w:b/>
                <w:bCs/>
                <w:color w:val="000000"/>
              </w:rPr>
            </w:pPr>
            <w:r w:rsidRPr="0099216E">
              <w:rPr>
                <w:rFonts w:ascii="Arial" w:hAnsi="Arial" w:cs="Arial"/>
                <w:b/>
                <w:bCs/>
                <w:color w:val="000000"/>
              </w:rPr>
              <w:t>Are there any rules for partial achievement of the indicator at the final indicator period/date?</w:t>
            </w:r>
          </w:p>
        </w:tc>
        <w:tc>
          <w:tcPr>
            <w:tcW w:w="4932" w:type="dxa"/>
          </w:tcPr>
          <w:p w:rsidR="00097C2A" w:rsidRPr="0099216E" w:rsidRDefault="00097C2A" w:rsidP="005F38CA">
            <w:pPr>
              <w:spacing w:after="0"/>
              <w:rPr>
                <w:rFonts w:ascii="Arial" w:hAnsi="Arial" w:cs="Arial"/>
              </w:rPr>
            </w:pPr>
            <w:r>
              <w:rPr>
                <w:rFonts w:ascii="Arial" w:hAnsi="Arial" w:cs="Arial"/>
              </w:rPr>
              <w:t>No</w:t>
            </w:r>
          </w:p>
        </w:tc>
      </w:tr>
    </w:tbl>
    <w:p w:rsidR="00097C2A" w:rsidRPr="00677FC9" w:rsidRDefault="00097C2A" w:rsidP="00097C2A">
      <w:pPr>
        <w:spacing w:after="0"/>
        <w:rPr>
          <w:vanish/>
        </w:rPr>
      </w:pPr>
    </w:p>
    <w:p w:rsidR="00D243BA" w:rsidRPr="002E1395" w:rsidRDefault="00D243BA" w:rsidP="00D243BA">
      <w:r w:rsidRPr="002E1395">
        <w:br w:type="page"/>
      </w:r>
    </w:p>
    <w:p w:rsidR="00D243BA" w:rsidRPr="003E6CB5" w:rsidRDefault="00D243BA" w:rsidP="00D243BA">
      <w:pPr>
        <w:keepNext/>
        <w:spacing w:after="0"/>
        <w:rPr>
          <w:rFonts w:ascii="Arial" w:hAnsi="Arial" w:cs="Arial"/>
          <w:szCs w:val="24"/>
        </w:rPr>
      </w:pPr>
      <w:r w:rsidRPr="003E6CB5">
        <w:rPr>
          <w:rFonts w:ascii="Arial" w:hAnsi="Arial" w:cs="Arial"/>
          <w:b/>
          <w:bCs/>
          <w:szCs w:val="24"/>
        </w:rPr>
        <w:lastRenderedPageBreak/>
        <w:t>Milestones</w:t>
      </w:r>
    </w:p>
    <w:p w:rsidR="00D243BA" w:rsidRPr="003E6CB5" w:rsidRDefault="00D243BA" w:rsidP="00D243BA">
      <w:pPr>
        <w:spacing w:after="0"/>
        <w:rPr>
          <w:rFonts w:ascii="Arial" w:eastAsia="Times New Roman" w:hAnsi="Arial" w:cs="Arial"/>
          <w:b/>
          <w:szCs w:val="24"/>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8"/>
        <w:gridCol w:w="4431"/>
        <w:gridCol w:w="1689"/>
        <w:gridCol w:w="1414"/>
      </w:tblGrid>
      <w:tr w:rsidR="00D243BA" w:rsidRPr="003E6CB5" w:rsidTr="004433C0">
        <w:trPr>
          <w:cantSplit/>
          <w:trHeight w:val="782"/>
          <w:tblHeader/>
        </w:trPr>
        <w:tc>
          <w:tcPr>
            <w:tcW w:w="1440" w:type="dxa"/>
            <w:shd w:val="clear" w:color="auto" w:fill="C0C0C0"/>
            <w:noWrap/>
          </w:tcPr>
          <w:p w:rsidR="00D243BA" w:rsidRPr="003E6CB5" w:rsidRDefault="00D243BA" w:rsidP="004433C0">
            <w:pPr>
              <w:spacing w:after="0"/>
              <w:rPr>
                <w:rFonts w:ascii="Arial" w:hAnsi="Arial" w:cs="Arial"/>
                <w:b/>
                <w:bCs/>
              </w:rPr>
            </w:pPr>
            <w:r w:rsidRPr="003E6CB5">
              <w:rPr>
                <w:rFonts w:ascii="Arial" w:hAnsi="Arial" w:cs="Arial"/>
                <w:b/>
                <w:bCs/>
              </w:rPr>
              <w:t>Date/period milestone relates to</w:t>
            </w:r>
          </w:p>
        </w:tc>
        <w:tc>
          <w:tcPr>
            <w:tcW w:w="4514" w:type="dxa"/>
            <w:shd w:val="clear" w:color="auto" w:fill="C0C0C0"/>
          </w:tcPr>
          <w:p w:rsidR="00D243BA" w:rsidRPr="003E6CB5" w:rsidRDefault="00D243BA" w:rsidP="004433C0">
            <w:pPr>
              <w:spacing w:after="0"/>
              <w:rPr>
                <w:rFonts w:ascii="Arial" w:hAnsi="Arial" w:cs="Arial"/>
                <w:b/>
                <w:bCs/>
              </w:rPr>
            </w:pPr>
            <w:r w:rsidRPr="003E6CB5">
              <w:rPr>
                <w:rFonts w:ascii="Arial" w:hAnsi="Arial" w:cs="Arial"/>
                <w:b/>
                <w:bCs/>
              </w:rPr>
              <w:t>Rules for achievement of milestones (including evidence to be supplied to commissioner)</w:t>
            </w:r>
          </w:p>
        </w:tc>
        <w:tc>
          <w:tcPr>
            <w:tcW w:w="1701" w:type="dxa"/>
            <w:shd w:val="clear" w:color="auto" w:fill="C0C0C0"/>
          </w:tcPr>
          <w:p w:rsidR="00D243BA" w:rsidRPr="003E6CB5" w:rsidRDefault="00D243BA" w:rsidP="004433C0">
            <w:pPr>
              <w:spacing w:after="0"/>
              <w:rPr>
                <w:rFonts w:ascii="Arial" w:hAnsi="Arial" w:cs="Arial"/>
                <w:b/>
                <w:bCs/>
              </w:rPr>
            </w:pPr>
            <w:r w:rsidRPr="003E6CB5">
              <w:rPr>
                <w:rFonts w:ascii="Arial" w:hAnsi="Arial" w:cs="Arial"/>
                <w:b/>
                <w:bCs/>
              </w:rPr>
              <w:t>Date milestone to be reported</w:t>
            </w:r>
          </w:p>
        </w:tc>
        <w:tc>
          <w:tcPr>
            <w:tcW w:w="1417" w:type="dxa"/>
            <w:shd w:val="clear" w:color="auto" w:fill="C0C0C0"/>
          </w:tcPr>
          <w:p w:rsidR="00D243BA" w:rsidRPr="003E6CB5" w:rsidRDefault="00D243BA" w:rsidP="004433C0">
            <w:pPr>
              <w:spacing w:after="0"/>
              <w:rPr>
                <w:rFonts w:ascii="Arial" w:hAnsi="Arial" w:cs="Arial"/>
                <w:b/>
                <w:bCs/>
              </w:rPr>
            </w:pPr>
            <w:r w:rsidRPr="003E6CB5">
              <w:rPr>
                <w:rFonts w:ascii="Arial" w:hAnsi="Arial" w:cs="Arial"/>
                <w:b/>
                <w:bCs/>
              </w:rPr>
              <w:t>Milestone weighting (% of CQUIN scheme available)</w:t>
            </w:r>
          </w:p>
        </w:tc>
      </w:tr>
      <w:tr w:rsidR="00D243BA" w:rsidRPr="003E6CB5" w:rsidTr="004433C0">
        <w:trPr>
          <w:cantSplit/>
          <w:trHeight w:val="300"/>
        </w:trPr>
        <w:tc>
          <w:tcPr>
            <w:tcW w:w="1440" w:type="dxa"/>
          </w:tcPr>
          <w:p w:rsidR="00D243BA" w:rsidRPr="003E6CB5" w:rsidRDefault="00D243BA" w:rsidP="004433C0">
            <w:pPr>
              <w:spacing w:after="0"/>
              <w:rPr>
                <w:rFonts w:ascii="Arial" w:hAnsi="Arial" w:cs="Arial"/>
              </w:rPr>
            </w:pPr>
            <w:r w:rsidRPr="003E6CB5">
              <w:rPr>
                <w:rFonts w:ascii="Arial" w:hAnsi="Arial" w:cs="Arial"/>
              </w:rPr>
              <w:t>Quarter 1</w:t>
            </w:r>
          </w:p>
        </w:tc>
        <w:tc>
          <w:tcPr>
            <w:tcW w:w="4514" w:type="dxa"/>
          </w:tcPr>
          <w:p w:rsidR="00D243BA" w:rsidRPr="003E6CB5" w:rsidRDefault="00D243BA" w:rsidP="004433C0">
            <w:pPr>
              <w:spacing w:after="0"/>
              <w:rPr>
                <w:rFonts w:ascii="Arial" w:eastAsia="Times New Roman" w:hAnsi="Arial" w:cs="Arial"/>
                <w:lang w:eastAsia="en-GB"/>
              </w:rPr>
            </w:pPr>
            <w:r w:rsidRPr="003E6CB5">
              <w:rPr>
                <w:rFonts w:ascii="Arial" w:eastAsia="Times New Roman" w:hAnsi="Arial" w:cs="Arial"/>
                <w:lang w:eastAsia="en-GB"/>
              </w:rPr>
              <w:t>A response rate for Quarter 1 that is at least 15% for A&amp;E services and at least 25% for inpatient services</w:t>
            </w:r>
          </w:p>
        </w:tc>
        <w:tc>
          <w:tcPr>
            <w:tcW w:w="1701" w:type="dxa"/>
          </w:tcPr>
          <w:p w:rsidR="00D243BA" w:rsidRPr="003E6CB5" w:rsidRDefault="00D243BA" w:rsidP="004433C0">
            <w:pPr>
              <w:spacing w:after="0"/>
              <w:rPr>
                <w:rFonts w:ascii="Arial" w:hAnsi="Arial" w:cs="Arial"/>
              </w:rPr>
            </w:pPr>
            <w:r w:rsidRPr="003E6CB5">
              <w:rPr>
                <w:rFonts w:ascii="Arial" w:hAnsi="Arial" w:cs="Arial"/>
              </w:rPr>
              <w:t>31 July 2014</w:t>
            </w:r>
          </w:p>
        </w:tc>
        <w:tc>
          <w:tcPr>
            <w:tcW w:w="1417" w:type="dxa"/>
          </w:tcPr>
          <w:p w:rsidR="00D243BA" w:rsidRPr="003E6CB5" w:rsidRDefault="00D243BA" w:rsidP="004433C0">
            <w:pPr>
              <w:spacing w:after="0"/>
              <w:rPr>
                <w:rFonts w:ascii="Arial" w:hAnsi="Arial" w:cs="Arial"/>
              </w:rPr>
            </w:pPr>
            <w:r w:rsidRPr="003E6CB5">
              <w:rPr>
                <w:rFonts w:ascii="Arial" w:hAnsi="Arial" w:cs="Arial"/>
              </w:rPr>
              <w:t>50%</w:t>
            </w:r>
          </w:p>
        </w:tc>
      </w:tr>
      <w:tr w:rsidR="00D243BA" w:rsidRPr="002E1395" w:rsidTr="004433C0">
        <w:trPr>
          <w:cantSplit/>
          <w:trHeight w:val="300"/>
        </w:trPr>
        <w:tc>
          <w:tcPr>
            <w:tcW w:w="1440" w:type="dxa"/>
          </w:tcPr>
          <w:p w:rsidR="00D243BA" w:rsidRPr="003E6CB5" w:rsidRDefault="00D243BA" w:rsidP="004433C0">
            <w:pPr>
              <w:spacing w:after="0"/>
              <w:rPr>
                <w:rFonts w:ascii="Arial" w:hAnsi="Arial" w:cs="Arial"/>
              </w:rPr>
            </w:pPr>
            <w:r w:rsidRPr="003E6CB5">
              <w:rPr>
                <w:rFonts w:ascii="Arial" w:hAnsi="Arial" w:cs="Arial"/>
              </w:rPr>
              <w:t>Quarter 4</w:t>
            </w:r>
          </w:p>
        </w:tc>
        <w:tc>
          <w:tcPr>
            <w:tcW w:w="4514" w:type="dxa"/>
          </w:tcPr>
          <w:p w:rsidR="00D243BA" w:rsidRPr="003E6CB5" w:rsidRDefault="00D243BA" w:rsidP="004433C0">
            <w:pPr>
              <w:autoSpaceDE w:val="0"/>
              <w:autoSpaceDN w:val="0"/>
              <w:adjustRightInd w:val="0"/>
              <w:spacing w:after="0"/>
              <w:contextualSpacing/>
              <w:rPr>
                <w:rFonts w:ascii="Arial" w:hAnsi="Arial" w:cs="Arial"/>
              </w:rPr>
            </w:pPr>
            <w:r w:rsidRPr="003E6CB5">
              <w:rPr>
                <w:rFonts w:ascii="Arial" w:hAnsi="Arial" w:cs="Arial"/>
              </w:rPr>
              <w:t>A response rate for Quarter 4 that is at least 20% for A&amp;E services and at least 30% for inpatient services</w:t>
            </w:r>
          </w:p>
        </w:tc>
        <w:tc>
          <w:tcPr>
            <w:tcW w:w="1701" w:type="dxa"/>
          </w:tcPr>
          <w:p w:rsidR="00D243BA" w:rsidRPr="003E6CB5" w:rsidRDefault="00D243BA" w:rsidP="004433C0">
            <w:pPr>
              <w:spacing w:after="0"/>
              <w:rPr>
                <w:rFonts w:ascii="Arial" w:hAnsi="Arial" w:cs="Arial"/>
              </w:rPr>
            </w:pPr>
            <w:r w:rsidRPr="003E6CB5">
              <w:rPr>
                <w:rFonts w:ascii="Arial" w:hAnsi="Arial" w:cs="Arial"/>
              </w:rPr>
              <w:t xml:space="preserve">30 April 2015 </w:t>
            </w:r>
          </w:p>
        </w:tc>
        <w:tc>
          <w:tcPr>
            <w:tcW w:w="1417" w:type="dxa"/>
          </w:tcPr>
          <w:p w:rsidR="00D243BA" w:rsidRPr="002E1395" w:rsidRDefault="00D243BA" w:rsidP="004433C0">
            <w:pPr>
              <w:spacing w:after="0"/>
              <w:rPr>
                <w:rFonts w:ascii="Arial" w:hAnsi="Arial" w:cs="Arial"/>
              </w:rPr>
            </w:pPr>
            <w:r w:rsidRPr="003E6CB5">
              <w:rPr>
                <w:rFonts w:ascii="Arial" w:hAnsi="Arial" w:cs="Arial"/>
              </w:rPr>
              <w:t>50%</w:t>
            </w:r>
          </w:p>
        </w:tc>
      </w:tr>
    </w:tbl>
    <w:p w:rsidR="00D243BA" w:rsidRPr="002E1395" w:rsidRDefault="00D243BA" w:rsidP="00D243BA"/>
    <w:p w:rsidR="00D243BA" w:rsidRPr="002E1395" w:rsidRDefault="00D243BA" w:rsidP="00D243BA"/>
    <w:p w:rsidR="00D243BA" w:rsidRPr="0042282C" w:rsidRDefault="00D243BA" w:rsidP="00292106">
      <w:pPr>
        <w:spacing w:after="0"/>
        <w:jc w:val="center"/>
        <w:rPr>
          <w:rFonts w:ascii="Arial" w:hAnsi="Arial" w:cs="Arial"/>
          <w:szCs w:val="24"/>
        </w:rPr>
        <w:sectPr w:rsidR="00D243BA" w:rsidRPr="0042282C" w:rsidSect="004433C0">
          <w:pgSz w:w="11906" w:h="16838"/>
          <w:pgMar w:top="1440" w:right="1440" w:bottom="1440" w:left="1440" w:header="706" w:footer="706" w:gutter="0"/>
          <w:cols w:space="708"/>
          <w:docGrid w:linePitch="360"/>
        </w:sectPr>
      </w:pPr>
    </w:p>
    <w:p w:rsidR="00C96AB1" w:rsidRPr="00596E2E" w:rsidRDefault="00C96AB1" w:rsidP="00C96AB1">
      <w:pPr>
        <w:autoSpaceDE w:val="0"/>
        <w:autoSpaceDN w:val="0"/>
        <w:adjustRightInd w:val="0"/>
        <w:spacing w:after="0"/>
        <w:rPr>
          <w:rFonts w:ascii="Arial" w:eastAsia="Calibri" w:hAnsi="Arial" w:cs="Arial"/>
          <w:b/>
          <w:bCs/>
          <w:color w:val="000000"/>
          <w:szCs w:val="24"/>
          <w:lang w:eastAsia="en-US"/>
        </w:rPr>
      </w:pPr>
      <w:r>
        <w:rPr>
          <w:rFonts w:ascii="Arial" w:eastAsia="Calibri" w:hAnsi="Arial" w:cs="Arial"/>
          <w:b/>
          <w:bCs/>
          <w:color w:val="000000"/>
          <w:szCs w:val="24"/>
          <w:lang w:eastAsia="en-US"/>
        </w:rPr>
        <w:lastRenderedPageBreak/>
        <w:t xml:space="preserve">National CQUIN Templates: </w:t>
      </w:r>
      <w:r w:rsidRPr="00C96AB1">
        <w:rPr>
          <w:rFonts w:ascii="Arial" w:eastAsia="Calibri" w:hAnsi="Arial" w:cs="Arial"/>
          <w:b/>
          <w:bCs/>
          <w:color w:val="000000"/>
          <w:szCs w:val="24"/>
          <w:lang w:eastAsia="en-US"/>
        </w:rPr>
        <w:t>NHS Safety Thermometer</w:t>
      </w:r>
      <w:r>
        <w:rPr>
          <w:rFonts w:ascii="Arial" w:eastAsia="Calibri" w:hAnsi="Arial" w:cs="Arial"/>
          <w:b/>
          <w:bCs/>
          <w:color w:val="000000"/>
          <w:szCs w:val="24"/>
          <w:lang w:eastAsia="en-US"/>
        </w:rPr>
        <w:t xml:space="preserve"> Test (from CQUIN Guidance section 6)</w:t>
      </w:r>
    </w:p>
    <w:p w:rsidR="00C96AB1" w:rsidRDefault="00C96AB1"/>
    <w:tbl>
      <w:tblPr>
        <w:tblW w:w="8936"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791"/>
      </w:tblGrid>
      <w:tr w:rsidR="005A2593" w:rsidRPr="00596E2E" w:rsidTr="005F36AC">
        <w:trPr>
          <w:trHeight w:val="300"/>
        </w:trPr>
        <w:tc>
          <w:tcPr>
            <w:tcW w:w="8936" w:type="dxa"/>
            <w:gridSpan w:val="2"/>
          </w:tcPr>
          <w:p w:rsidR="005A2593" w:rsidRPr="00596E2E" w:rsidRDefault="005A2593" w:rsidP="005A2593">
            <w:pPr>
              <w:pageBreakBefore/>
              <w:spacing w:after="0"/>
              <w:jc w:val="center"/>
              <w:rPr>
                <w:rFonts w:ascii="Arial" w:eastAsia="Calibri" w:hAnsi="Arial" w:cs="Arial"/>
                <w:b/>
                <w:color w:val="000000"/>
                <w:szCs w:val="22"/>
                <w:lang w:eastAsia="en-US"/>
              </w:rPr>
            </w:pPr>
            <w:r w:rsidRPr="00596E2E">
              <w:rPr>
                <w:rFonts w:ascii="Arial" w:eastAsia="Calibri" w:hAnsi="Arial" w:cs="Arial"/>
                <w:b/>
                <w:bCs/>
                <w:color w:val="000000"/>
                <w:szCs w:val="24"/>
                <w:lang w:eastAsia="en-US"/>
              </w:rPr>
              <w:lastRenderedPageBreak/>
              <w:br w:type="page"/>
            </w:r>
            <w:r w:rsidRPr="00596E2E">
              <w:rPr>
                <w:rFonts w:ascii="Arial" w:eastAsia="Calibri" w:hAnsi="Arial" w:cs="Arial"/>
                <w:b/>
                <w:color w:val="000000"/>
                <w:szCs w:val="22"/>
                <w:lang w:eastAsia="en-US"/>
              </w:rPr>
              <w:t xml:space="preserve">NHS SAFETY THERMOMETER – </w:t>
            </w:r>
          </w:p>
          <w:p w:rsidR="005A2593" w:rsidRPr="00596E2E" w:rsidRDefault="005A2593" w:rsidP="005A2593">
            <w:pPr>
              <w:pageBreakBefore/>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t xml:space="preserve">IMPROVEMENT GOAL SPECIFICATION </w:t>
            </w:r>
          </w:p>
          <w:p w:rsidR="005A2593" w:rsidRPr="00596E2E" w:rsidRDefault="005A2593" w:rsidP="005A2593">
            <w:pPr>
              <w:pageBreakBefore/>
              <w:spacing w:after="0"/>
              <w:jc w:val="center"/>
              <w:rPr>
                <w:rFonts w:ascii="Arial" w:eastAsia="Calibri" w:hAnsi="Arial" w:cs="Arial"/>
                <w:color w:val="000000"/>
                <w:szCs w:val="22"/>
                <w:lang w:eastAsia="en-US"/>
              </w:rPr>
            </w:pPr>
            <w:r w:rsidRPr="00596E2E">
              <w:rPr>
                <w:rFonts w:ascii="Arial" w:eastAsia="Calibri" w:hAnsi="Arial" w:cs="Arial"/>
                <w:b/>
                <w:color w:val="000000"/>
                <w:szCs w:val="22"/>
                <w:lang w:eastAsia="en-US"/>
              </w:rPr>
              <w:t>(NOT MANDATORY – ORGANISATIONS CAN SET AN ALTERNATIVE NHS SAFETY THERMOMETER IMPROVEMENT GOAL)</w:t>
            </w:r>
          </w:p>
        </w:tc>
      </w:tr>
      <w:tr w:rsidR="005A2593" w:rsidRPr="00596E2E" w:rsidTr="005F36AC">
        <w:trPr>
          <w:trHeight w:val="300"/>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Indicator number</w:t>
            </w:r>
          </w:p>
        </w:tc>
        <w:tc>
          <w:tcPr>
            <w:tcW w:w="4791"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2.1</w:t>
            </w:r>
          </w:p>
        </w:tc>
      </w:tr>
      <w:tr w:rsidR="005A2593" w:rsidRPr="00596E2E" w:rsidTr="005F36AC">
        <w:trPr>
          <w:trHeight w:val="300"/>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Indicator name</w:t>
            </w:r>
          </w:p>
        </w:tc>
        <w:tc>
          <w:tcPr>
            <w:tcW w:w="4791"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NHS Safety Thermometer </w:t>
            </w:r>
          </w:p>
        </w:tc>
      </w:tr>
      <w:tr w:rsidR="005A2593" w:rsidRPr="00596E2E" w:rsidTr="005F36AC">
        <w:trPr>
          <w:trHeight w:val="600"/>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 xml:space="preserve">Indicator weighting </w:t>
            </w:r>
            <w:r w:rsidRPr="00596E2E">
              <w:rPr>
                <w:rFonts w:ascii="Arial" w:eastAsia="Calibri" w:hAnsi="Arial" w:cs="Arial"/>
                <w:bCs/>
                <w:color w:val="000000"/>
                <w:szCs w:val="22"/>
                <w:lang w:eastAsia="en-US"/>
              </w:rPr>
              <w:br/>
              <w:t>(% of CQUIN scheme available)</w:t>
            </w:r>
          </w:p>
        </w:tc>
        <w:tc>
          <w:tcPr>
            <w:tcW w:w="4791"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&lt;commissioner to complete – minimum 0.125% of contract value&gt;</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Description of indicator</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&lt;Reduction in the prevalence of pressure ulcers&gt;  </w:t>
            </w:r>
            <w:r w:rsidRPr="00596E2E">
              <w:rPr>
                <w:rFonts w:ascii="Arial" w:eastAsia="Calibri" w:hAnsi="Arial" w:cs="Arial"/>
                <w:i/>
                <w:color w:val="000000"/>
                <w:szCs w:val="22"/>
                <w:lang w:eastAsia="en-US"/>
              </w:rPr>
              <w:t>(non-mandatory, commissioners may agree a different improvement goal if pressure ulcer improvement is not appropriate)</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Numerator</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The number of patients recorded as having a category 2-4 pressure ulcer (old or new) as measured using the NHS Safety Thermometer on the day of each monthly survey</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Denominator</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Total number of patients surveyed on the day</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Rationale for inclusion</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National CQUIN scheme</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Data source</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Provider submission to the Information Centre which publishes the data at </w:t>
            </w:r>
            <w:r w:rsidRPr="00596E2E">
              <w:rPr>
                <w:rFonts w:ascii="Arial" w:eastAsia="Calibri" w:hAnsi="Arial" w:cs="Arial"/>
                <w:szCs w:val="22"/>
                <w:lang w:eastAsia="en-US"/>
              </w:rPr>
              <w:t>http://www.hscic.gov.uk/thermometer</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Frequency of data collection</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One day per month &lt;to agree locally which dates&gt;</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Organisation responsible for data collection</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Frequency of reporting to commissioner</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Monthly</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Baseline period/date</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Median of six consecutive monthly data points up to 31 March 2014</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Baseline value</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&lt;</w:t>
            </w:r>
            <w:proofErr w:type="gramStart"/>
            <w:r w:rsidRPr="00596E2E">
              <w:rPr>
                <w:rFonts w:ascii="Arial" w:eastAsia="Calibri" w:hAnsi="Arial" w:cs="Arial"/>
                <w:color w:val="000000"/>
                <w:szCs w:val="22"/>
                <w:lang w:eastAsia="en-US"/>
              </w:rPr>
              <w:t>commissioner</w:t>
            </w:r>
            <w:proofErr w:type="gramEnd"/>
            <w:r w:rsidRPr="00596E2E">
              <w:rPr>
                <w:rFonts w:ascii="Arial" w:eastAsia="Calibri" w:hAnsi="Arial" w:cs="Arial"/>
                <w:color w:val="000000"/>
                <w:szCs w:val="22"/>
                <w:lang w:eastAsia="en-US"/>
              </w:rPr>
              <w:t xml:space="preserve"> to complete&gt; Median of local data calculated as described above. National pressure ulcer prevalence data from the NHS Safety Thermometer suggests a prevalence of around 5% for all pressure ulcers (old and new) for the 2013/14 year to date.</w:t>
            </w:r>
          </w:p>
        </w:tc>
      </w:tr>
      <w:tr w:rsidR="005A2593" w:rsidRPr="00596E2E" w:rsidTr="005F36AC">
        <w:trPr>
          <w:trHeight w:val="546"/>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Final indicator period/date (on which payment is based)</w:t>
            </w:r>
          </w:p>
        </w:tc>
        <w:tc>
          <w:tcPr>
            <w:tcW w:w="4791"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szCs w:val="22"/>
                <w:lang w:eastAsia="en-US"/>
              </w:rPr>
              <w:t xml:space="preserve">Median of five consecutive monthly data points up to 31 March 2015. For this median value to count as improvement the 5 consecutive monthly data points have to be below the baseline median value (i.e. demonstrate improvement according to special cause variation rules) </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Final indicator value (payment threshold)</w:t>
            </w:r>
          </w:p>
        </w:tc>
        <w:tc>
          <w:tcPr>
            <w:tcW w:w="4791"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&lt;commissioner to complete, 50% reduction from baseline pressure ulcer </w:t>
            </w:r>
            <w:r w:rsidRPr="00596E2E">
              <w:rPr>
                <w:rFonts w:ascii="Arial" w:eastAsia="Calibri" w:hAnsi="Arial" w:cs="Arial"/>
                <w:color w:val="000000"/>
                <w:szCs w:val="22"/>
                <w:lang w:eastAsia="en-US"/>
              </w:rPr>
              <w:lastRenderedPageBreak/>
              <w:t>prevalence recommended&gt;</w:t>
            </w:r>
          </w:p>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p>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Note the requirement for the median value to have been re-set following special cause variation rules. This means that for the final indicator value to demonstrate improvement, it must be constructed from 5 consecutive monthly data points up to 31 March 2015 all of which are at a lower level than the baseline median value.</w:t>
            </w:r>
          </w:p>
        </w:tc>
      </w:tr>
      <w:tr w:rsidR="005A2593" w:rsidRPr="00596E2E" w:rsidTr="005F36AC">
        <w:trPr>
          <w:trHeight w:val="1069"/>
        </w:trPr>
        <w:tc>
          <w:tcPr>
            <w:tcW w:w="4145" w:type="dxa"/>
          </w:tcPr>
          <w:p w:rsidR="005A2593" w:rsidRPr="00596E2E" w:rsidRDefault="005A2593" w:rsidP="005A2593">
            <w:pPr>
              <w:keepNext/>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lastRenderedPageBreak/>
              <w:t>Rules for calculation of payment due at final indicator period/date (including evidence to be supplied to commissioner)</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szCs w:val="22"/>
                <w:lang w:eastAsia="en-US"/>
              </w:rPr>
              <w:t>Achievement of 95% or greater of the agreed improvement goal (shown through special cause</w:t>
            </w:r>
            <w:r w:rsidRPr="00596E2E">
              <w:rPr>
                <w:rFonts w:ascii="Arial" w:eastAsia="Calibri" w:hAnsi="Arial" w:cs="Arial"/>
                <w:szCs w:val="22"/>
                <w:vertAlign w:val="superscript"/>
                <w:lang w:eastAsia="en-US"/>
              </w:rPr>
              <w:footnoteReference w:id="1"/>
            </w:r>
            <w:r w:rsidRPr="00596E2E">
              <w:rPr>
                <w:rFonts w:ascii="Arial" w:eastAsia="Calibri" w:hAnsi="Arial" w:cs="Arial"/>
                <w:szCs w:val="22"/>
                <w:vertAlign w:val="superscript"/>
                <w:lang w:eastAsia="en-US"/>
              </w:rPr>
              <w:t>,</w:t>
            </w:r>
            <w:r w:rsidRPr="00596E2E">
              <w:rPr>
                <w:rFonts w:ascii="Arial" w:eastAsia="Calibri" w:hAnsi="Arial" w:cs="Arial"/>
                <w:szCs w:val="22"/>
                <w:vertAlign w:val="superscript"/>
                <w:lang w:eastAsia="en-US"/>
              </w:rPr>
              <w:footnoteReference w:id="2"/>
            </w:r>
            <w:r w:rsidRPr="00596E2E">
              <w:rPr>
                <w:rFonts w:ascii="Arial" w:eastAsia="Calibri" w:hAnsi="Arial" w:cs="Arial"/>
                <w:szCs w:val="22"/>
                <w:lang w:eastAsia="en-US"/>
              </w:rPr>
              <w:t>) will trigger full payment of the CQUIN.</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Final indicator reporting date</w:t>
            </w:r>
          </w:p>
        </w:tc>
        <w:tc>
          <w:tcPr>
            <w:tcW w:w="4791" w:type="dxa"/>
          </w:tcPr>
          <w:p w:rsidR="005A2593" w:rsidRPr="00596E2E" w:rsidRDefault="005A2593" w:rsidP="005A2593">
            <w:p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NHS Safety Thermometer data for March 2015 will be available on 15 April 2015</w:t>
            </w:r>
          </w:p>
        </w:tc>
      </w:tr>
      <w:tr w:rsidR="005A2593" w:rsidRPr="00596E2E" w:rsidTr="005F36AC">
        <w:trPr>
          <w:trHeight w:val="615"/>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Are there rules for any agreed in-year milestones that result in payment?</w:t>
            </w:r>
          </w:p>
        </w:tc>
        <w:tc>
          <w:tcPr>
            <w:tcW w:w="4791" w:type="dxa"/>
          </w:tcPr>
          <w:p w:rsidR="005A2593" w:rsidRPr="00596E2E" w:rsidRDefault="005A2593" w:rsidP="005A2593">
            <w:p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No</w:t>
            </w:r>
          </w:p>
          <w:p w:rsidR="005A2593" w:rsidRPr="00596E2E" w:rsidRDefault="005A2593" w:rsidP="005A2593">
            <w:pPr>
              <w:autoSpaceDE w:val="0"/>
              <w:autoSpaceDN w:val="0"/>
              <w:adjustRightInd w:val="0"/>
              <w:spacing w:after="0"/>
              <w:contextualSpacing/>
              <w:rPr>
                <w:rFonts w:ascii="Arial" w:eastAsia="Calibri" w:hAnsi="Arial" w:cs="Arial"/>
                <w:color w:val="000000"/>
                <w:szCs w:val="22"/>
                <w:lang w:eastAsia="en-US"/>
              </w:rPr>
            </w:pPr>
          </w:p>
          <w:p w:rsidR="005A2593" w:rsidRPr="00596E2E" w:rsidRDefault="005A2593" w:rsidP="005A2593">
            <w:pPr>
              <w:autoSpaceDE w:val="0"/>
              <w:autoSpaceDN w:val="0"/>
              <w:adjustRightInd w:val="0"/>
              <w:spacing w:after="0"/>
              <w:contextualSpacing/>
              <w:rPr>
                <w:rFonts w:ascii="Arial" w:eastAsia="Calibri" w:hAnsi="Arial" w:cs="Arial"/>
                <w:szCs w:val="22"/>
                <w:lang w:eastAsia="en-US"/>
              </w:rPr>
            </w:pPr>
            <w:r w:rsidRPr="00596E2E">
              <w:rPr>
                <w:rFonts w:ascii="Arial" w:eastAsia="Calibri" w:hAnsi="Arial" w:cs="Arial"/>
                <w:color w:val="000000"/>
                <w:szCs w:val="22"/>
                <w:lang w:eastAsia="en-US"/>
              </w:rPr>
              <w:t>To reduce complexity, organisations should be assessed on their achievement at year end as set out above.</w:t>
            </w:r>
          </w:p>
        </w:tc>
      </w:tr>
      <w:tr w:rsidR="005A2593" w:rsidRPr="00596E2E" w:rsidTr="005F36AC">
        <w:trPr>
          <w:trHeight w:val="900"/>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 xml:space="preserve">Are there any rules for partial achievement of the indicator at the final indicator period/date?  </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Yes </w:t>
            </w:r>
          </w:p>
          <w:p w:rsidR="005A2593" w:rsidRPr="00596E2E" w:rsidRDefault="005A2593" w:rsidP="005A2593">
            <w:pPr>
              <w:spacing w:after="0"/>
              <w:rPr>
                <w:rFonts w:ascii="Arial" w:eastAsia="Calibri" w:hAnsi="Arial" w:cs="Arial"/>
                <w:color w:val="000000"/>
                <w:szCs w:val="22"/>
                <w:lang w:eastAsia="en-US"/>
              </w:rPr>
            </w:pPr>
          </w:p>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A sliding scale of payment for partial achievement of the improvement goal should also operate so that improvement from baseline performance (shown through special cause) that does not fully meet the target is still rewarded to some extent: </w:t>
            </w:r>
          </w:p>
          <w:p w:rsidR="005A2593" w:rsidRPr="00596E2E" w:rsidRDefault="005A2593" w:rsidP="005A2593">
            <w:pPr>
              <w:numPr>
                <w:ilvl w:val="0"/>
                <w:numId w:val="5"/>
              </w:num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achievement of 80-95% of target = 40% payment</w:t>
            </w:r>
          </w:p>
          <w:p w:rsidR="005A2593" w:rsidRPr="00596E2E" w:rsidRDefault="005A2593" w:rsidP="005A2593">
            <w:pPr>
              <w:numPr>
                <w:ilvl w:val="0"/>
                <w:numId w:val="5"/>
              </w:num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achievement of 60-79% of target = 30% payment</w:t>
            </w:r>
          </w:p>
          <w:p w:rsidR="005A2593" w:rsidRPr="00596E2E" w:rsidRDefault="005A2593" w:rsidP="005A2593">
            <w:pPr>
              <w:numPr>
                <w:ilvl w:val="0"/>
                <w:numId w:val="5"/>
              </w:num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achievement of 40-59% of target = 20% payment</w:t>
            </w:r>
          </w:p>
          <w:p w:rsidR="005A2593" w:rsidRPr="00596E2E" w:rsidRDefault="005A2593" w:rsidP="005A2593">
            <w:pPr>
              <w:numPr>
                <w:ilvl w:val="0"/>
                <w:numId w:val="5"/>
              </w:num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achievement of 20-39% of target = 10% payment</w:t>
            </w:r>
          </w:p>
          <w:p w:rsidR="005A2593" w:rsidRPr="00596E2E" w:rsidRDefault="005A2593" w:rsidP="005A2593">
            <w:pPr>
              <w:numPr>
                <w:ilvl w:val="0"/>
                <w:numId w:val="5"/>
              </w:numPr>
              <w:spacing w:after="0"/>
              <w:rPr>
                <w:rFonts w:ascii="Arial" w:eastAsia="Calibri" w:hAnsi="Arial" w:cs="Arial"/>
                <w:color w:val="000000"/>
                <w:szCs w:val="22"/>
                <w:lang w:eastAsia="en-US"/>
              </w:rPr>
            </w:pPr>
            <w:proofErr w:type="gramStart"/>
            <w:r w:rsidRPr="00596E2E">
              <w:rPr>
                <w:rFonts w:ascii="Arial" w:eastAsia="Calibri" w:hAnsi="Arial" w:cs="Arial"/>
                <w:color w:val="000000"/>
                <w:szCs w:val="22"/>
                <w:lang w:eastAsia="en-US"/>
              </w:rPr>
              <w:t>achievement</w:t>
            </w:r>
            <w:proofErr w:type="gramEnd"/>
            <w:r w:rsidRPr="00596E2E">
              <w:rPr>
                <w:rFonts w:ascii="Arial" w:eastAsia="Calibri" w:hAnsi="Arial" w:cs="Arial"/>
                <w:color w:val="000000"/>
                <w:szCs w:val="22"/>
                <w:lang w:eastAsia="en-US"/>
              </w:rPr>
              <w:t xml:space="preserve"> of &lt;20% of target = 0% payment.</w:t>
            </w:r>
          </w:p>
        </w:tc>
      </w:tr>
    </w:tbl>
    <w:p w:rsidR="005A2593" w:rsidRPr="00596E2E" w:rsidRDefault="005A2593" w:rsidP="005A2593">
      <w:pPr>
        <w:spacing w:after="0"/>
        <w:rPr>
          <w:rFonts w:ascii="Arial" w:eastAsia="Calibri" w:hAnsi="Arial" w:cs="Arial"/>
          <w:szCs w:val="24"/>
          <w:lang w:eastAsia="en-US"/>
        </w:rPr>
      </w:pPr>
    </w:p>
    <w:p w:rsidR="00C96AB1" w:rsidRDefault="00C96AB1" w:rsidP="005A2593">
      <w:pPr>
        <w:spacing w:after="0"/>
        <w:rPr>
          <w:rFonts w:ascii="Arial" w:eastAsia="Calibri" w:hAnsi="Arial" w:cs="Arial"/>
          <w:b/>
          <w:bCs/>
          <w:szCs w:val="24"/>
          <w:lang w:eastAsia="en-US"/>
        </w:rPr>
      </w:pPr>
    </w:p>
    <w:p w:rsidR="00C96AB1" w:rsidRDefault="00C96AB1" w:rsidP="005A2593">
      <w:pPr>
        <w:spacing w:after="0"/>
        <w:rPr>
          <w:rFonts w:ascii="Arial" w:eastAsia="Calibri" w:hAnsi="Arial" w:cs="Arial"/>
          <w:b/>
          <w:bCs/>
          <w:szCs w:val="24"/>
          <w:lang w:eastAsia="en-US"/>
        </w:rPr>
      </w:pPr>
    </w:p>
    <w:p w:rsidR="00C96AB1" w:rsidRDefault="00C96AB1" w:rsidP="005A2593">
      <w:pPr>
        <w:spacing w:after="0"/>
        <w:rPr>
          <w:rFonts w:ascii="Arial" w:eastAsia="Calibri" w:hAnsi="Arial" w:cs="Arial"/>
          <w:b/>
          <w:bCs/>
          <w:szCs w:val="24"/>
          <w:lang w:eastAsia="en-US"/>
        </w:rPr>
      </w:pPr>
    </w:p>
    <w:p w:rsidR="005A2593" w:rsidRPr="00596E2E" w:rsidRDefault="005A2593" w:rsidP="005A2593">
      <w:pPr>
        <w:spacing w:after="0"/>
        <w:rPr>
          <w:rFonts w:ascii="Arial" w:eastAsia="Calibri" w:hAnsi="Arial" w:cs="Arial"/>
          <w:szCs w:val="24"/>
          <w:lang w:eastAsia="en-US"/>
        </w:rPr>
      </w:pPr>
      <w:r w:rsidRPr="00596E2E">
        <w:rPr>
          <w:rFonts w:ascii="Arial" w:eastAsia="Calibri" w:hAnsi="Arial" w:cs="Arial"/>
          <w:b/>
          <w:bCs/>
          <w:szCs w:val="24"/>
          <w:lang w:eastAsia="en-US"/>
        </w:rPr>
        <w:lastRenderedPageBreak/>
        <w:t xml:space="preserve">Milestones </w:t>
      </w:r>
      <w:r w:rsidRPr="00596E2E">
        <w:rPr>
          <w:rFonts w:ascii="Arial" w:eastAsia="Calibri" w:hAnsi="Arial" w:cs="Arial"/>
          <w:szCs w:val="24"/>
          <w:lang w:eastAsia="en-US"/>
        </w:rPr>
        <w:t>(only to be completed for indicators that contain in-year milestones)</w:t>
      </w:r>
    </w:p>
    <w:p w:rsidR="005A2593" w:rsidRPr="00596E2E" w:rsidRDefault="005A2593" w:rsidP="005A2593">
      <w:pPr>
        <w:spacing w:after="0"/>
        <w:rPr>
          <w:rFonts w:ascii="Arial" w:eastAsia="Calibri" w:hAnsi="Arial" w:cs="Arial"/>
          <w:vanish/>
          <w:szCs w:val="22"/>
          <w:lang w:eastAsia="en-US"/>
        </w:rPr>
      </w:pPr>
    </w:p>
    <w:tbl>
      <w:tblPr>
        <w:tblW w:w="8936"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25"/>
        <w:gridCol w:w="3960"/>
        <w:gridCol w:w="1620"/>
        <w:gridCol w:w="1731"/>
      </w:tblGrid>
      <w:tr w:rsidR="005A2593" w:rsidRPr="00596E2E" w:rsidTr="005F36AC">
        <w:trPr>
          <w:cantSplit/>
          <w:trHeight w:val="782"/>
          <w:tblHeader/>
        </w:trPr>
        <w:tc>
          <w:tcPr>
            <w:tcW w:w="1625" w:type="dxa"/>
            <w:shd w:val="clear" w:color="auto" w:fill="C0C0C0"/>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Date/period milestone relates to</w:t>
            </w:r>
          </w:p>
        </w:tc>
        <w:tc>
          <w:tcPr>
            <w:tcW w:w="3960"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Rules for achievement of milestones (including evidence to be supplied to commissioner)</w:t>
            </w:r>
          </w:p>
        </w:tc>
        <w:tc>
          <w:tcPr>
            <w:tcW w:w="1620"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Date milestone to be reported</w:t>
            </w:r>
          </w:p>
        </w:tc>
        <w:tc>
          <w:tcPr>
            <w:tcW w:w="1731"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Milestone weighting (% of CQUIN scheme available)</w:t>
            </w:r>
          </w:p>
        </w:tc>
      </w:tr>
      <w:tr w:rsidR="005A2593" w:rsidRPr="00596E2E" w:rsidTr="005F36AC">
        <w:tblPrEx>
          <w:tblLook w:val="01E0" w:firstRow="1" w:lastRow="1" w:firstColumn="1" w:lastColumn="1" w:noHBand="0" w:noVBand="0"/>
        </w:tblPrEx>
        <w:trPr>
          <w:trHeight w:val="300"/>
        </w:trPr>
        <w:tc>
          <w:tcPr>
            <w:tcW w:w="1625" w:type="dxa"/>
            <w:shd w:val="clear" w:color="auto" w:fill="auto"/>
          </w:tcPr>
          <w:p w:rsidR="005A2593" w:rsidRPr="00596E2E" w:rsidRDefault="005A2593" w:rsidP="005A2593">
            <w:pPr>
              <w:spacing w:after="0"/>
              <w:rPr>
                <w:rFonts w:ascii="Arial" w:eastAsia="Calibri" w:hAnsi="Arial" w:cs="Arial"/>
                <w:color w:val="000000"/>
                <w:szCs w:val="22"/>
                <w:lang w:eastAsia="en-US"/>
              </w:rPr>
            </w:pPr>
          </w:p>
        </w:tc>
        <w:tc>
          <w:tcPr>
            <w:tcW w:w="3960" w:type="dxa"/>
            <w:shd w:val="clear" w:color="auto" w:fill="auto"/>
          </w:tcPr>
          <w:p w:rsidR="005A2593" w:rsidRPr="00596E2E" w:rsidRDefault="005A2593" w:rsidP="005A2593">
            <w:pPr>
              <w:numPr>
                <w:ilvl w:val="0"/>
                <w:numId w:val="4"/>
              </w:numPr>
              <w:autoSpaceDE w:val="0"/>
              <w:autoSpaceDN w:val="0"/>
              <w:adjustRightInd w:val="0"/>
              <w:spacing w:after="0"/>
              <w:ind w:left="432"/>
              <w:contextualSpacing/>
              <w:rPr>
                <w:rFonts w:ascii="Arial" w:eastAsia="Calibri" w:hAnsi="Arial" w:cs="Arial"/>
                <w:color w:val="000000"/>
                <w:szCs w:val="22"/>
                <w:lang w:eastAsia="en-US"/>
              </w:rPr>
            </w:pPr>
          </w:p>
        </w:tc>
        <w:tc>
          <w:tcPr>
            <w:tcW w:w="1620" w:type="dxa"/>
            <w:shd w:val="clear" w:color="auto" w:fill="auto"/>
          </w:tcPr>
          <w:p w:rsidR="005A2593" w:rsidRPr="00596E2E" w:rsidRDefault="005A2593" w:rsidP="005A2593">
            <w:pPr>
              <w:spacing w:after="0"/>
              <w:rPr>
                <w:rFonts w:ascii="Arial" w:eastAsia="Calibri" w:hAnsi="Arial" w:cs="Arial"/>
                <w:color w:val="000000"/>
                <w:szCs w:val="22"/>
                <w:lang w:eastAsia="en-US"/>
              </w:rPr>
            </w:pPr>
          </w:p>
        </w:tc>
        <w:tc>
          <w:tcPr>
            <w:tcW w:w="1731" w:type="dxa"/>
            <w:shd w:val="clear" w:color="auto" w:fill="auto"/>
          </w:tcPr>
          <w:p w:rsidR="005A2593" w:rsidRPr="00596E2E" w:rsidRDefault="005A2593" w:rsidP="005A2593">
            <w:pPr>
              <w:spacing w:after="0"/>
              <w:rPr>
                <w:rFonts w:ascii="Arial" w:eastAsia="Calibri" w:hAnsi="Arial" w:cs="Arial"/>
                <w:color w:val="000000"/>
                <w:szCs w:val="22"/>
                <w:lang w:eastAsia="en-US"/>
              </w:rPr>
            </w:pPr>
          </w:p>
        </w:tc>
      </w:tr>
      <w:tr w:rsidR="005A2593" w:rsidRPr="00596E2E" w:rsidTr="005F36AC">
        <w:tblPrEx>
          <w:tblLook w:val="01E0" w:firstRow="1" w:lastRow="1" w:firstColumn="1" w:lastColumn="1" w:noHBand="0" w:noVBand="0"/>
        </w:tblPrEx>
        <w:trPr>
          <w:trHeight w:val="300"/>
        </w:trPr>
        <w:tc>
          <w:tcPr>
            <w:tcW w:w="1625" w:type="dxa"/>
            <w:shd w:val="clear" w:color="auto" w:fill="auto"/>
          </w:tcPr>
          <w:p w:rsidR="005A2593" w:rsidRPr="00596E2E" w:rsidRDefault="005A2593" w:rsidP="005A2593">
            <w:pPr>
              <w:spacing w:after="0"/>
              <w:rPr>
                <w:rFonts w:ascii="Arial" w:eastAsia="Calibri" w:hAnsi="Arial" w:cs="Arial"/>
                <w:color w:val="000000"/>
                <w:szCs w:val="22"/>
                <w:lang w:eastAsia="en-US"/>
              </w:rPr>
            </w:pPr>
          </w:p>
        </w:tc>
        <w:tc>
          <w:tcPr>
            <w:tcW w:w="3960" w:type="dxa"/>
            <w:shd w:val="clear" w:color="auto" w:fill="auto"/>
          </w:tcPr>
          <w:p w:rsidR="005A2593" w:rsidRPr="00596E2E" w:rsidRDefault="005A2593" w:rsidP="005A2593">
            <w:pPr>
              <w:numPr>
                <w:ilvl w:val="0"/>
                <w:numId w:val="4"/>
              </w:numPr>
              <w:autoSpaceDE w:val="0"/>
              <w:autoSpaceDN w:val="0"/>
              <w:adjustRightInd w:val="0"/>
              <w:spacing w:after="0"/>
              <w:ind w:left="432"/>
              <w:contextualSpacing/>
              <w:rPr>
                <w:rFonts w:ascii="Arial" w:eastAsia="Calibri" w:hAnsi="Arial" w:cs="Arial"/>
                <w:color w:val="000000"/>
                <w:szCs w:val="22"/>
                <w:lang w:eastAsia="en-US"/>
              </w:rPr>
            </w:pPr>
          </w:p>
        </w:tc>
        <w:tc>
          <w:tcPr>
            <w:tcW w:w="1620" w:type="dxa"/>
            <w:shd w:val="clear" w:color="auto" w:fill="auto"/>
          </w:tcPr>
          <w:p w:rsidR="005A2593" w:rsidRPr="00596E2E" w:rsidRDefault="005A2593" w:rsidP="005A2593">
            <w:pPr>
              <w:spacing w:after="0"/>
              <w:rPr>
                <w:rFonts w:ascii="Arial" w:eastAsia="Calibri" w:hAnsi="Arial" w:cs="Arial"/>
                <w:color w:val="000000"/>
                <w:szCs w:val="22"/>
                <w:lang w:eastAsia="en-US"/>
              </w:rPr>
            </w:pPr>
          </w:p>
        </w:tc>
        <w:tc>
          <w:tcPr>
            <w:tcW w:w="1731" w:type="dxa"/>
            <w:shd w:val="clear" w:color="auto" w:fill="auto"/>
          </w:tcPr>
          <w:p w:rsidR="005A2593" w:rsidRPr="00596E2E" w:rsidRDefault="005A2593" w:rsidP="005A2593">
            <w:pPr>
              <w:spacing w:after="0"/>
              <w:rPr>
                <w:rFonts w:ascii="Arial" w:eastAsia="Calibri" w:hAnsi="Arial" w:cs="Arial"/>
                <w:color w:val="000000"/>
                <w:szCs w:val="22"/>
                <w:lang w:eastAsia="en-US"/>
              </w:rPr>
            </w:pPr>
          </w:p>
        </w:tc>
      </w:tr>
    </w:tbl>
    <w:p w:rsidR="005A2593" w:rsidRPr="00596E2E" w:rsidRDefault="005A2593" w:rsidP="005A2593">
      <w:pPr>
        <w:spacing w:after="0"/>
        <w:rPr>
          <w:rFonts w:ascii="Arial" w:eastAsia="Calibri" w:hAnsi="Arial" w:cs="Arial"/>
          <w:szCs w:val="22"/>
          <w:lang w:eastAsia="en-US"/>
        </w:rPr>
      </w:pPr>
    </w:p>
    <w:p w:rsidR="005A2593" w:rsidRPr="00596E2E" w:rsidRDefault="005A2593" w:rsidP="005A2593">
      <w:pPr>
        <w:spacing w:after="0"/>
        <w:rPr>
          <w:rFonts w:ascii="Arial" w:eastAsia="Calibri" w:hAnsi="Arial" w:cs="Arial"/>
          <w:szCs w:val="22"/>
          <w:lang w:eastAsia="en-US"/>
        </w:rPr>
        <w:sectPr w:rsidR="005A2593" w:rsidRPr="00596E2E">
          <w:pgSz w:w="11906" w:h="16838"/>
          <w:pgMar w:top="1440" w:right="1440" w:bottom="1440" w:left="1440" w:header="708" w:footer="708" w:gutter="0"/>
          <w:cols w:space="708"/>
          <w:docGrid w:linePitch="360"/>
        </w:sectPr>
      </w:pPr>
    </w:p>
    <w:p w:rsidR="00C96AB1" w:rsidRPr="00596E2E" w:rsidRDefault="00C96AB1" w:rsidP="00C96AB1">
      <w:pPr>
        <w:autoSpaceDE w:val="0"/>
        <w:autoSpaceDN w:val="0"/>
        <w:adjustRightInd w:val="0"/>
        <w:spacing w:after="0"/>
        <w:rPr>
          <w:rFonts w:ascii="Arial" w:eastAsia="Calibri" w:hAnsi="Arial" w:cs="Arial"/>
          <w:b/>
          <w:bCs/>
          <w:color w:val="000000"/>
          <w:szCs w:val="24"/>
          <w:lang w:eastAsia="en-US"/>
        </w:rPr>
      </w:pPr>
      <w:r>
        <w:rPr>
          <w:rFonts w:ascii="Arial" w:eastAsia="Calibri" w:hAnsi="Arial" w:cs="Arial"/>
          <w:b/>
          <w:bCs/>
          <w:color w:val="000000"/>
          <w:szCs w:val="24"/>
          <w:lang w:eastAsia="en-US"/>
        </w:rPr>
        <w:lastRenderedPageBreak/>
        <w:t>National CQUIN Templates: Dementia and Delirium (from CQUIN Guidance section 7)</w:t>
      </w:r>
    </w:p>
    <w:p w:rsidR="005A2593" w:rsidRPr="00596E2E" w:rsidRDefault="005A2593" w:rsidP="005A2593">
      <w:pPr>
        <w:autoSpaceDE w:val="0"/>
        <w:autoSpaceDN w:val="0"/>
        <w:adjustRightInd w:val="0"/>
        <w:spacing w:after="0"/>
        <w:rPr>
          <w:rFonts w:ascii="Arial" w:eastAsia="Calibri" w:hAnsi="Arial" w:cs="Arial"/>
          <w:b/>
          <w:bCs/>
          <w:color w:val="000000"/>
          <w:szCs w:val="24"/>
          <w:lang w:eastAsia="en-US"/>
        </w:rPr>
      </w:pP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5A2593" w:rsidRPr="00596E2E" w:rsidTr="005F36AC">
        <w:trPr>
          <w:cantSplit/>
          <w:trHeight w:val="300"/>
        </w:trPr>
        <w:tc>
          <w:tcPr>
            <w:tcW w:w="9077" w:type="dxa"/>
            <w:gridSpan w:val="2"/>
          </w:tcPr>
          <w:p w:rsidR="005A2593" w:rsidRPr="00596E2E" w:rsidRDefault="005A2593" w:rsidP="005A2593">
            <w:pPr>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t>DEMENTIA – FIND, ASSESS, INVESTIGATE &amp; REFER</w:t>
            </w:r>
          </w:p>
        </w:tc>
      </w:tr>
      <w:tr w:rsidR="005A2593" w:rsidRPr="00596E2E" w:rsidTr="005F36AC">
        <w:trPr>
          <w:cantSplit/>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number</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3.1</w:t>
            </w:r>
          </w:p>
        </w:tc>
      </w:tr>
      <w:tr w:rsidR="005A2593" w:rsidRPr="00596E2E" w:rsidTr="005F36AC">
        <w:trPr>
          <w:cantSplit/>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name</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Dementia – Find, Assess, Investigate and Refer</w:t>
            </w:r>
          </w:p>
        </w:tc>
      </w:tr>
      <w:tr w:rsidR="005A2593" w:rsidRPr="00596E2E" w:rsidTr="005F36AC">
        <w:trPr>
          <w:cantSplit/>
          <w:trHeight w:val="6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Indicator weighting </w:t>
            </w:r>
            <w:r w:rsidRPr="00596E2E">
              <w:rPr>
                <w:rFonts w:ascii="Arial" w:eastAsia="Calibri" w:hAnsi="Arial" w:cs="Arial"/>
                <w:b/>
                <w:bCs/>
                <w:color w:val="000000"/>
                <w:szCs w:val="22"/>
                <w:lang w:eastAsia="en-US"/>
              </w:rPr>
              <w:br/>
              <w:t>(% of CQUIN scheme available)</w:t>
            </w:r>
          </w:p>
        </w:tc>
        <w:tc>
          <w:tcPr>
            <w:tcW w:w="4932" w:type="dxa"/>
            <w:noWrap/>
          </w:tcPr>
          <w:p w:rsidR="005A2593" w:rsidRPr="00596E2E" w:rsidRDefault="005A2593" w:rsidP="005A2593">
            <w:pPr>
              <w:spacing w:after="0"/>
              <w:rPr>
                <w:rFonts w:ascii="Arial" w:eastAsia="Times New Roman" w:hAnsi="Arial" w:cs="Arial"/>
                <w:color w:val="000000"/>
                <w:szCs w:val="22"/>
                <w:lang w:eastAsia="en-US"/>
              </w:rPr>
            </w:pPr>
            <w:r w:rsidRPr="00596E2E">
              <w:rPr>
                <w:rFonts w:ascii="Arial" w:eastAsia="Calibri" w:hAnsi="Arial" w:cs="Arial"/>
                <w:color w:val="000000"/>
                <w:szCs w:val="22"/>
                <w:lang w:eastAsia="en-US"/>
              </w:rPr>
              <w:t>&lt;</w:t>
            </w:r>
            <w:proofErr w:type="gramStart"/>
            <w:r w:rsidRPr="00596E2E">
              <w:rPr>
                <w:rFonts w:ascii="Arial" w:eastAsia="Calibri" w:hAnsi="Arial" w:cs="Arial"/>
                <w:color w:val="000000"/>
                <w:szCs w:val="22"/>
                <w:lang w:eastAsia="en-US"/>
              </w:rPr>
              <w:t>commissioner</w:t>
            </w:r>
            <w:proofErr w:type="gramEnd"/>
            <w:r w:rsidRPr="00596E2E">
              <w:rPr>
                <w:rFonts w:ascii="Arial" w:eastAsia="Calibri" w:hAnsi="Arial" w:cs="Arial"/>
                <w:color w:val="000000"/>
                <w:szCs w:val="22"/>
                <w:lang w:eastAsia="en-US"/>
              </w:rPr>
              <w:t xml:space="preserve"> to complete – minimum 0.075%&gt;</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Description of indicator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GB"/>
              </w:rPr>
              <w:t>The proportion of patients aged 75 and over to whom case finding is applied following emergency admission, the proportion of those identified as potentially having dementia who are appropriately assessed, and the number referred on to specialist services. Each patient admission can only be included once in each indicator but not necessarily in the same month, as the identification, assessment and referral stages may take place in different months.</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Numerator</w:t>
            </w:r>
          </w:p>
        </w:tc>
        <w:tc>
          <w:tcPr>
            <w:tcW w:w="4932" w:type="dxa"/>
          </w:tcPr>
          <w:p w:rsidR="005A2593" w:rsidRPr="00596E2E" w:rsidRDefault="005A2593" w:rsidP="005A2593">
            <w:pPr>
              <w:numPr>
                <w:ilvl w:val="0"/>
                <w:numId w:val="6"/>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patients &gt;75 admitted as an emergency who are reported as having: known diagnosis of dementia or clinical diagnosis of delirium, or who have been asked the dementia case finding question, excluding those for whom the case finding question cannot be completed for clinical reasons (e.g. coma).</w:t>
            </w:r>
          </w:p>
          <w:p w:rsidR="005A2593" w:rsidRPr="00596E2E" w:rsidRDefault="005A2593" w:rsidP="005A2593">
            <w:pPr>
              <w:numPr>
                <w:ilvl w:val="0"/>
                <w:numId w:val="6"/>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above patients reported as having had a diagnostic assessment including investigations</w:t>
            </w:r>
          </w:p>
          <w:p w:rsidR="005A2593" w:rsidRPr="00596E2E" w:rsidRDefault="005A2593" w:rsidP="005A2593">
            <w:pPr>
              <w:numPr>
                <w:ilvl w:val="0"/>
                <w:numId w:val="6"/>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above patients referred for further diagnostic advice in line with local pathways agreed with commissioners</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Denominator</w:t>
            </w:r>
          </w:p>
        </w:tc>
        <w:tc>
          <w:tcPr>
            <w:tcW w:w="4932" w:type="dxa"/>
          </w:tcPr>
          <w:p w:rsidR="005A2593" w:rsidRPr="00596E2E" w:rsidRDefault="005A2593" w:rsidP="005A2593">
            <w:pPr>
              <w:numPr>
                <w:ilvl w:val="0"/>
                <w:numId w:val="7"/>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patients &gt;75 admitted as an emergency, with length of stay &gt;72 hours, excluding those for whom the case finding question cannot be completed for clinical reasons (e.g. coma)</w:t>
            </w:r>
          </w:p>
          <w:p w:rsidR="005A2593" w:rsidRPr="00596E2E" w:rsidRDefault="005A2593" w:rsidP="005A2593">
            <w:pPr>
              <w:numPr>
                <w:ilvl w:val="0"/>
                <w:numId w:val="7"/>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above patients with clinical diagnosis of delirium or who answered positively on the dementia case finding question</w:t>
            </w:r>
          </w:p>
          <w:p w:rsidR="005A2593" w:rsidRPr="00596E2E" w:rsidRDefault="005A2593" w:rsidP="005A2593">
            <w:pPr>
              <w:numPr>
                <w:ilvl w:val="0"/>
                <w:numId w:val="7"/>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above patients who underwent a diagnostic assessment for dementia in whom the outcome was either positive or inconclusive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lastRenderedPageBreak/>
              <w:t>Rationale for inclusion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National CQUIN scheme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Data source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UNIFY 2</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Monthly</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Organisation responsible for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reporting to commissioner</w:t>
            </w:r>
          </w:p>
        </w:tc>
        <w:tc>
          <w:tcPr>
            <w:tcW w:w="4932"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Quarterly</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period/date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value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546"/>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period/date (on which payment is based)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April 2014 – March 2015</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value (payment threshold)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90%</w:t>
            </w:r>
          </w:p>
        </w:tc>
      </w:tr>
      <w:tr w:rsidR="005A2593" w:rsidRPr="00596E2E" w:rsidTr="005F36AC">
        <w:trPr>
          <w:cantSplit/>
          <w:trHeight w:val="1069"/>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Rules for calculation of payment due at final indicator period/date (including evidence to be supplied to commissioner)</w:t>
            </w:r>
          </w:p>
        </w:tc>
        <w:tc>
          <w:tcPr>
            <w:tcW w:w="4932" w:type="dxa"/>
          </w:tcPr>
          <w:p w:rsidR="005A2593" w:rsidRPr="00596E2E" w:rsidRDefault="005A2593" w:rsidP="005A2593">
            <w:pPr>
              <w:autoSpaceDE w:val="0"/>
              <w:autoSpaceDN w:val="0"/>
              <w:adjustRightInd w:val="0"/>
              <w:spacing w:after="0"/>
              <w:rPr>
                <w:rFonts w:ascii="Arial" w:eastAsia="Calibri" w:hAnsi="Arial" w:cs="Arial"/>
                <w:szCs w:val="22"/>
                <w:lang w:eastAsia="en-US"/>
              </w:rPr>
            </w:pPr>
            <w:r w:rsidRPr="00596E2E">
              <w:rPr>
                <w:rFonts w:ascii="Arial" w:eastAsia="Calibri" w:hAnsi="Arial" w:cs="Arial"/>
                <w:szCs w:val="22"/>
                <w:lang w:eastAsia="en-US"/>
              </w:rPr>
              <w:t>Provider achieves 90% or more for each element of the indicator for Quarter 4 of 2014/15, taken as a whole.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reporting date</w:t>
            </w:r>
          </w:p>
        </w:tc>
        <w:tc>
          <w:tcPr>
            <w:tcW w:w="4932"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30 April 2015</w:t>
            </w:r>
          </w:p>
        </w:tc>
      </w:tr>
      <w:tr w:rsidR="005A2593" w:rsidRPr="00596E2E" w:rsidTr="005F36AC">
        <w:trPr>
          <w:cantSplit/>
          <w:trHeight w:val="615"/>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Are there rules for any agreed in-year milestones that result in payment?</w:t>
            </w:r>
          </w:p>
        </w:tc>
        <w:tc>
          <w:tcPr>
            <w:tcW w:w="4932" w:type="dxa"/>
          </w:tcPr>
          <w:p w:rsidR="005A2593" w:rsidRPr="00596E2E" w:rsidRDefault="005A2593" w:rsidP="005A2593">
            <w:pPr>
              <w:autoSpaceDE w:val="0"/>
              <w:autoSpaceDN w:val="0"/>
              <w:adjustRightInd w:val="0"/>
              <w:spacing w:after="0"/>
              <w:rPr>
                <w:rFonts w:ascii="Arial" w:eastAsia="Calibri" w:hAnsi="Arial" w:cs="Arial"/>
                <w:szCs w:val="22"/>
                <w:lang w:eastAsia="en-US"/>
              </w:rPr>
            </w:pPr>
            <w:r w:rsidRPr="00596E2E">
              <w:rPr>
                <w:rFonts w:ascii="Arial" w:eastAsia="Calibri" w:hAnsi="Arial" w:cs="Arial"/>
                <w:szCs w:val="22"/>
                <w:lang w:eastAsia="en-US"/>
              </w:rPr>
              <w:t>Yes – see below</w:t>
            </w:r>
          </w:p>
        </w:tc>
      </w:tr>
      <w:tr w:rsidR="005A2593" w:rsidRPr="00596E2E" w:rsidTr="005F36AC">
        <w:trPr>
          <w:cantSplit/>
          <w:trHeight w:val="9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Are there any rules for partial achievement of the indicator at the final indicator period/date?  </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bl>
    <w:p w:rsidR="005A2593" w:rsidRPr="00596E2E" w:rsidRDefault="005A2593" w:rsidP="005A2593">
      <w:pPr>
        <w:spacing w:after="0"/>
        <w:rPr>
          <w:rFonts w:ascii="Arial" w:eastAsia="Calibri" w:hAnsi="Arial" w:cs="Arial"/>
          <w:szCs w:val="24"/>
          <w:lang w:eastAsia="en-US"/>
        </w:rPr>
      </w:pPr>
    </w:p>
    <w:p w:rsidR="005A2593" w:rsidRPr="00596E2E" w:rsidRDefault="005A2593" w:rsidP="005A2593">
      <w:pPr>
        <w:keepNext/>
        <w:spacing w:after="0"/>
        <w:rPr>
          <w:rFonts w:ascii="Arial" w:eastAsia="Calibri" w:hAnsi="Arial" w:cs="Arial"/>
          <w:szCs w:val="24"/>
          <w:lang w:eastAsia="en-US"/>
        </w:rPr>
      </w:pPr>
      <w:r w:rsidRPr="00596E2E">
        <w:rPr>
          <w:rFonts w:ascii="Arial" w:eastAsia="Calibri" w:hAnsi="Arial" w:cs="Arial"/>
          <w:b/>
          <w:bCs/>
          <w:szCs w:val="24"/>
          <w:lang w:eastAsia="en-US"/>
        </w:rPr>
        <w:t>Milestones</w:t>
      </w:r>
    </w:p>
    <w:p w:rsidR="005A2593" w:rsidRPr="00596E2E" w:rsidRDefault="005A2593" w:rsidP="005A2593">
      <w:pPr>
        <w:spacing w:after="0"/>
        <w:rPr>
          <w:rFonts w:ascii="Arial" w:eastAsia="Times New Roman" w:hAnsi="Arial" w:cs="Arial"/>
          <w:b/>
          <w:szCs w:val="24"/>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8"/>
        <w:gridCol w:w="4431"/>
        <w:gridCol w:w="1689"/>
        <w:gridCol w:w="1414"/>
      </w:tblGrid>
      <w:tr w:rsidR="005A2593" w:rsidRPr="00596E2E" w:rsidTr="005F36AC">
        <w:trPr>
          <w:cantSplit/>
          <w:trHeight w:val="782"/>
          <w:tblHeader/>
        </w:trPr>
        <w:tc>
          <w:tcPr>
            <w:tcW w:w="1440" w:type="dxa"/>
            <w:shd w:val="clear" w:color="auto" w:fill="C0C0C0"/>
            <w:noWrap/>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Date/period milestone relates to</w:t>
            </w:r>
          </w:p>
        </w:tc>
        <w:tc>
          <w:tcPr>
            <w:tcW w:w="4514" w:type="dxa"/>
            <w:shd w:val="clear" w:color="auto" w:fill="C0C0C0"/>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Rules for achievement of milestones (including evidence to be supplied to commissioner)</w:t>
            </w:r>
          </w:p>
        </w:tc>
        <w:tc>
          <w:tcPr>
            <w:tcW w:w="1701" w:type="dxa"/>
            <w:shd w:val="clear" w:color="auto" w:fill="C0C0C0"/>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Date milestone to be reported</w:t>
            </w:r>
          </w:p>
        </w:tc>
        <w:tc>
          <w:tcPr>
            <w:tcW w:w="1417" w:type="dxa"/>
            <w:shd w:val="clear" w:color="auto" w:fill="C0C0C0"/>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Milestone weighting (% of CQUIN scheme available)</w:t>
            </w:r>
          </w:p>
        </w:tc>
      </w:tr>
      <w:tr w:rsidR="005A2593" w:rsidRPr="00596E2E" w:rsidTr="005F36AC">
        <w:trPr>
          <w:cantSplit/>
          <w:trHeight w:val="300"/>
        </w:trPr>
        <w:tc>
          <w:tcPr>
            <w:tcW w:w="1440"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1</w:t>
            </w:r>
          </w:p>
        </w:tc>
        <w:tc>
          <w:tcPr>
            <w:tcW w:w="4514" w:type="dxa"/>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Provider achieves 90% or more for each element of the indicator for Quarter 1 of 2014/15, taken as a whole</w:t>
            </w:r>
          </w:p>
        </w:tc>
        <w:tc>
          <w:tcPr>
            <w:tcW w:w="1701"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31 July 2014</w:t>
            </w:r>
          </w:p>
        </w:tc>
        <w:tc>
          <w:tcPr>
            <w:tcW w:w="1417"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25%</w:t>
            </w:r>
          </w:p>
        </w:tc>
      </w:tr>
      <w:tr w:rsidR="005A2593" w:rsidRPr="00596E2E" w:rsidTr="005F36AC">
        <w:trPr>
          <w:cantSplit/>
          <w:trHeight w:val="300"/>
        </w:trPr>
        <w:tc>
          <w:tcPr>
            <w:tcW w:w="1440"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2</w:t>
            </w:r>
          </w:p>
        </w:tc>
        <w:tc>
          <w:tcPr>
            <w:tcW w:w="4514"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Provider achieves 90% or more for each element of the indicator for Quarter 2 of 2014/15, taken as a whole</w:t>
            </w:r>
          </w:p>
        </w:tc>
        <w:tc>
          <w:tcPr>
            <w:tcW w:w="1701"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 xml:space="preserve">31 October 2014 </w:t>
            </w:r>
          </w:p>
        </w:tc>
        <w:tc>
          <w:tcPr>
            <w:tcW w:w="1417"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25%</w:t>
            </w:r>
          </w:p>
        </w:tc>
      </w:tr>
      <w:tr w:rsidR="005A2593" w:rsidRPr="00596E2E" w:rsidTr="005F36AC">
        <w:trPr>
          <w:cantSplit/>
          <w:trHeight w:val="300"/>
        </w:trPr>
        <w:tc>
          <w:tcPr>
            <w:tcW w:w="1440"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3</w:t>
            </w:r>
          </w:p>
        </w:tc>
        <w:tc>
          <w:tcPr>
            <w:tcW w:w="4514" w:type="dxa"/>
          </w:tcPr>
          <w:p w:rsidR="005A2593" w:rsidRPr="00596E2E" w:rsidRDefault="005A2593" w:rsidP="005A2593">
            <w:pPr>
              <w:autoSpaceDE w:val="0"/>
              <w:autoSpaceDN w:val="0"/>
              <w:adjustRightInd w:val="0"/>
              <w:spacing w:after="0"/>
              <w:rPr>
                <w:rFonts w:ascii="Arial" w:eastAsia="Calibri" w:hAnsi="Arial" w:cs="Arial"/>
                <w:szCs w:val="22"/>
                <w:lang w:eastAsia="en-US"/>
              </w:rPr>
            </w:pPr>
            <w:r w:rsidRPr="00596E2E">
              <w:rPr>
                <w:rFonts w:ascii="Arial" w:eastAsia="Calibri" w:hAnsi="Arial" w:cs="Arial"/>
                <w:szCs w:val="22"/>
                <w:lang w:eastAsia="en-US"/>
              </w:rPr>
              <w:t>Provider achieves 90% or more for each element of the indicator for Quarter 3 of 2014/15, taken as a whole</w:t>
            </w:r>
          </w:p>
        </w:tc>
        <w:tc>
          <w:tcPr>
            <w:tcW w:w="1701"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31 January 2015</w:t>
            </w:r>
          </w:p>
        </w:tc>
        <w:tc>
          <w:tcPr>
            <w:tcW w:w="1417"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25%</w:t>
            </w:r>
          </w:p>
        </w:tc>
      </w:tr>
      <w:tr w:rsidR="005A2593" w:rsidRPr="00596E2E" w:rsidTr="005F36AC">
        <w:trPr>
          <w:cantSplit/>
          <w:trHeight w:val="300"/>
        </w:trPr>
        <w:tc>
          <w:tcPr>
            <w:tcW w:w="1440"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4</w:t>
            </w:r>
          </w:p>
        </w:tc>
        <w:tc>
          <w:tcPr>
            <w:tcW w:w="4514" w:type="dxa"/>
          </w:tcPr>
          <w:p w:rsidR="005A2593" w:rsidRPr="00596E2E" w:rsidRDefault="005A2593" w:rsidP="005A2593">
            <w:pPr>
              <w:autoSpaceDE w:val="0"/>
              <w:autoSpaceDN w:val="0"/>
              <w:adjustRightInd w:val="0"/>
              <w:spacing w:after="0"/>
              <w:contextualSpacing/>
              <w:rPr>
                <w:rFonts w:ascii="Arial" w:eastAsia="Calibri" w:hAnsi="Arial" w:cs="Arial"/>
                <w:szCs w:val="22"/>
                <w:lang w:eastAsia="en-US"/>
              </w:rPr>
            </w:pPr>
            <w:r w:rsidRPr="00596E2E">
              <w:rPr>
                <w:rFonts w:ascii="Arial" w:eastAsia="Calibri" w:hAnsi="Arial" w:cs="Arial"/>
                <w:szCs w:val="22"/>
                <w:lang w:eastAsia="en-US"/>
              </w:rPr>
              <w:t>Provider achieves 90% or more for each element of the indicator for Quarter 4 of 2014/15, taken as a whole</w:t>
            </w:r>
          </w:p>
        </w:tc>
        <w:tc>
          <w:tcPr>
            <w:tcW w:w="1701"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 xml:space="preserve">30 April 2015 </w:t>
            </w:r>
          </w:p>
        </w:tc>
        <w:tc>
          <w:tcPr>
            <w:tcW w:w="1417"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25%</w:t>
            </w:r>
          </w:p>
        </w:tc>
      </w:tr>
    </w:tbl>
    <w:p w:rsidR="005A2593" w:rsidRPr="00596E2E" w:rsidRDefault="005A2593" w:rsidP="005A2593">
      <w:pPr>
        <w:spacing w:after="0"/>
        <w:rPr>
          <w:rFonts w:ascii="Arial" w:eastAsia="Times New Roman" w:hAnsi="Arial" w:cs="Arial"/>
          <w:b/>
          <w:szCs w:val="24"/>
          <w:lang w:eastAsia="en-GB"/>
        </w:rPr>
      </w:pPr>
    </w:p>
    <w:p w:rsidR="005A2593" w:rsidRPr="00596E2E" w:rsidRDefault="005A2593" w:rsidP="005A2593">
      <w:pPr>
        <w:spacing w:after="0"/>
        <w:rPr>
          <w:rFonts w:ascii="Arial" w:eastAsia="Times New Roman" w:hAnsi="Arial" w:cs="Arial"/>
          <w:b/>
          <w:color w:val="000000"/>
          <w:szCs w:val="24"/>
          <w:lang w:eastAsia="en-GB"/>
        </w:rPr>
      </w:pP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5A2593" w:rsidRPr="00596E2E" w:rsidTr="005F36AC">
        <w:trPr>
          <w:cantSplit/>
          <w:trHeight w:val="300"/>
        </w:trPr>
        <w:tc>
          <w:tcPr>
            <w:tcW w:w="9077" w:type="dxa"/>
            <w:gridSpan w:val="2"/>
          </w:tcPr>
          <w:p w:rsidR="005A2593" w:rsidRPr="00596E2E" w:rsidRDefault="005A2593" w:rsidP="005A2593">
            <w:pPr>
              <w:pageBreakBefore/>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lastRenderedPageBreak/>
              <w:t>DEMENTIA – CLINICAL LEADERSHIP</w:t>
            </w:r>
          </w:p>
        </w:tc>
      </w:tr>
      <w:tr w:rsidR="005A2593" w:rsidRPr="00596E2E" w:rsidTr="005F36AC">
        <w:trPr>
          <w:cantSplit/>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number</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3.2</w:t>
            </w:r>
          </w:p>
        </w:tc>
      </w:tr>
      <w:tr w:rsidR="005A2593" w:rsidRPr="00596E2E" w:rsidTr="005F36AC">
        <w:trPr>
          <w:cantSplit/>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name</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Dementia – Clinical Leadership</w:t>
            </w:r>
          </w:p>
        </w:tc>
      </w:tr>
      <w:tr w:rsidR="005A2593" w:rsidRPr="00596E2E" w:rsidTr="005F36AC">
        <w:trPr>
          <w:cantSplit/>
          <w:trHeight w:val="6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Indicator weighting </w:t>
            </w:r>
            <w:r w:rsidRPr="00596E2E">
              <w:rPr>
                <w:rFonts w:ascii="Arial" w:eastAsia="Calibri" w:hAnsi="Arial" w:cs="Arial"/>
                <w:b/>
                <w:bCs/>
                <w:color w:val="000000"/>
                <w:szCs w:val="22"/>
                <w:lang w:eastAsia="en-US"/>
              </w:rPr>
              <w:br/>
              <w:t>(% of CQUIN scheme available)</w:t>
            </w:r>
          </w:p>
        </w:tc>
        <w:tc>
          <w:tcPr>
            <w:tcW w:w="4932" w:type="dxa"/>
            <w:noWrap/>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color w:val="000000"/>
                <w:szCs w:val="22"/>
                <w:lang w:eastAsia="en-US"/>
              </w:rPr>
              <w:t>&lt;commissioner to complete – minimum 0.0125% of contract value&gt;</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Description of indicator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GB"/>
              </w:rPr>
              <w:t>Named lead clinician for dementia and appropriate training for staff</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Numerator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Denominator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Rationale for inclusion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National CQUIN scheme.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Data source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Annual</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Organisation responsible for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reporting to commissioner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Twice (pre-April 2014, March 2015)</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period/date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value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546"/>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period/date (on which payment is based)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April 2014 – March 2015</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value (payment threshold)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1069"/>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Rules for calculation of payment due at final indicator period/date (including evidence to be supplied to commissioner)</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 must confirm named lead clinician and the planned training programme (to be determined locally) for dementia for the coming year. Payment will be made at the end of the year, provided the planned training programme has been undertaken.</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reporting 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March 2015</w:t>
            </w:r>
          </w:p>
        </w:tc>
      </w:tr>
      <w:tr w:rsidR="005A2593" w:rsidRPr="00596E2E" w:rsidTr="005F36AC">
        <w:trPr>
          <w:cantSplit/>
          <w:trHeight w:val="615"/>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Are there rules for any agreed in-year milestones that result in payment?</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r w:rsidR="005A2593" w:rsidRPr="00596E2E" w:rsidTr="005F36AC">
        <w:trPr>
          <w:cantSplit/>
          <w:trHeight w:val="9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Are there any rules for partial achievement of the indicator at the final indicator period/date?  </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bl>
    <w:p w:rsidR="005A2593" w:rsidRPr="00596E2E" w:rsidRDefault="005A2593" w:rsidP="005A2593">
      <w:pPr>
        <w:spacing w:after="0"/>
        <w:rPr>
          <w:rFonts w:ascii="Arial" w:eastAsia="Times New Roman" w:hAnsi="Arial" w:cs="Arial"/>
          <w:b/>
          <w:color w:val="000000"/>
          <w:szCs w:val="24"/>
          <w:lang w:eastAsia="en-GB"/>
        </w:rPr>
      </w:pPr>
      <w:r w:rsidRPr="00596E2E">
        <w:rPr>
          <w:rFonts w:ascii="Arial" w:eastAsia="Times New Roman" w:hAnsi="Arial" w:cs="Arial"/>
          <w:b/>
          <w:color w:val="000000"/>
          <w:szCs w:val="24"/>
          <w:lang w:eastAsia="en-GB"/>
        </w:rPr>
        <w:br w:type="page"/>
      </w: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5A2593" w:rsidRPr="00596E2E" w:rsidTr="005F36AC">
        <w:trPr>
          <w:trHeight w:val="300"/>
        </w:trPr>
        <w:tc>
          <w:tcPr>
            <w:tcW w:w="9077" w:type="dxa"/>
            <w:gridSpan w:val="2"/>
          </w:tcPr>
          <w:p w:rsidR="005A2593" w:rsidRPr="00596E2E" w:rsidRDefault="005A2593" w:rsidP="005A2593">
            <w:pPr>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lastRenderedPageBreak/>
              <w:t>DEMENTIA – SUPPORTING CARERS</w:t>
            </w:r>
          </w:p>
        </w:tc>
      </w:tr>
      <w:tr w:rsidR="005A2593" w:rsidRPr="00596E2E" w:rsidTr="005F36AC">
        <w:trPr>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number</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3.3</w:t>
            </w:r>
          </w:p>
        </w:tc>
      </w:tr>
      <w:tr w:rsidR="005A2593" w:rsidRPr="00596E2E" w:rsidTr="005F36AC">
        <w:trPr>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name</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Dementia – Supporting Carers of People with Dementia</w:t>
            </w:r>
          </w:p>
        </w:tc>
      </w:tr>
      <w:tr w:rsidR="005A2593" w:rsidRPr="00596E2E" w:rsidTr="005F36AC">
        <w:trPr>
          <w:trHeight w:val="7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Indicator weighting </w:t>
            </w:r>
            <w:r w:rsidRPr="00596E2E">
              <w:rPr>
                <w:rFonts w:ascii="Arial" w:eastAsia="Calibri" w:hAnsi="Arial" w:cs="Arial"/>
                <w:b/>
                <w:bCs/>
                <w:color w:val="000000"/>
                <w:szCs w:val="22"/>
                <w:lang w:eastAsia="en-US"/>
              </w:rPr>
              <w:br/>
              <w:t>(% of CQUIN scheme available)</w:t>
            </w:r>
          </w:p>
        </w:tc>
        <w:tc>
          <w:tcPr>
            <w:tcW w:w="4932" w:type="dxa"/>
            <w:noWrap/>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color w:val="000000"/>
                <w:szCs w:val="22"/>
                <w:lang w:eastAsia="en-US"/>
              </w:rPr>
              <w:t>&lt;commissioner to complete – minimum 0.0375% of contract value&gt;</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Description of indicator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GB"/>
              </w:rPr>
              <w:t>Ensuring carers feel supported</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Numerator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Denominator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Rationale for inclusion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National CQUIN scheme </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Data source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 report to provider Board</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Monthly</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Organisation responsible for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reporting to commissioner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Bi-annually</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period/date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value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trHeight w:val="546"/>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period/date (on which payment is based)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April 2014 – March 2015</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value (payment threshold)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trHeight w:val="1069"/>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Rules for calculation of payment due at final indicator period/date (including evidence to be supplied to commissioner)</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 must demonstrate that they have undertaken a monthly audit of carers of people with dementia to test whether they feel supported and reported the results to the Board. Provider and commissioner should work together to agree the content of the audit.</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reporting 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March 2015</w:t>
            </w:r>
          </w:p>
        </w:tc>
      </w:tr>
      <w:tr w:rsidR="005A2593" w:rsidRPr="00596E2E" w:rsidTr="005F36AC">
        <w:trPr>
          <w:trHeight w:val="615"/>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Are there rules for any agreed in-year milestones that result in payment?</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r w:rsidR="005A2593" w:rsidRPr="00596E2E" w:rsidTr="005F36AC">
        <w:trPr>
          <w:trHeight w:val="9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Are there any rules for partial achievement of the indicator at the final indicator period/date?  </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bl>
    <w:p w:rsidR="005A2593" w:rsidRPr="00596E2E" w:rsidRDefault="005A2593" w:rsidP="005A2593">
      <w:pPr>
        <w:spacing w:after="0"/>
        <w:rPr>
          <w:rFonts w:ascii="Arial" w:eastAsia="Times New Roman" w:hAnsi="Arial" w:cs="Arial"/>
          <w:b/>
          <w:color w:val="000000"/>
          <w:szCs w:val="24"/>
          <w:lang w:eastAsia="en-GB"/>
        </w:rPr>
      </w:pPr>
    </w:p>
    <w:p w:rsidR="005A2593" w:rsidRPr="00596E2E" w:rsidRDefault="005A2593" w:rsidP="005A2593">
      <w:pPr>
        <w:spacing w:after="0"/>
        <w:rPr>
          <w:rFonts w:ascii="Arial" w:eastAsia="Calibri" w:hAnsi="Arial" w:cs="Arial"/>
          <w:szCs w:val="22"/>
          <w:lang w:eastAsia="en-US"/>
        </w:rPr>
        <w:sectPr w:rsidR="005A2593" w:rsidRPr="00596E2E">
          <w:pgSz w:w="11906" w:h="16838"/>
          <w:pgMar w:top="1440" w:right="1440" w:bottom="1440" w:left="1440" w:header="708" w:footer="708" w:gutter="0"/>
          <w:cols w:space="708"/>
          <w:docGrid w:linePitch="360"/>
        </w:sectPr>
      </w:pPr>
    </w:p>
    <w:p w:rsidR="005F38CA" w:rsidRDefault="005F38CA" w:rsidP="005F38CA">
      <w:pPr>
        <w:autoSpaceDE w:val="0"/>
        <w:autoSpaceDN w:val="0"/>
        <w:adjustRightInd w:val="0"/>
        <w:spacing w:after="0"/>
        <w:rPr>
          <w:rFonts w:ascii="Arial" w:eastAsia="Calibri" w:hAnsi="Arial" w:cs="Arial"/>
          <w:b/>
          <w:bCs/>
          <w:color w:val="000000"/>
          <w:szCs w:val="24"/>
          <w:lang w:eastAsia="en-US"/>
        </w:rPr>
      </w:pPr>
      <w:bookmarkStart w:id="2" w:name="_GoBack"/>
      <w:bookmarkEnd w:id="2"/>
      <w:r>
        <w:rPr>
          <w:rFonts w:ascii="Arial" w:eastAsia="Calibri" w:hAnsi="Arial" w:cs="Arial"/>
          <w:b/>
          <w:bCs/>
          <w:color w:val="000000"/>
          <w:szCs w:val="24"/>
          <w:lang w:eastAsia="en-US"/>
        </w:rPr>
        <w:lastRenderedPageBreak/>
        <w:t xml:space="preserve">National CQUIN Templates: </w:t>
      </w:r>
      <w:r w:rsidRPr="00C96AB1">
        <w:rPr>
          <w:rFonts w:ascii="Arial" w:eastAsia="Calibri" w:hAnsi="Arial" w:cs="Arial"/>
          <w:b/>
          <w:bCs/>
          <w:color w:val="000000"/>
          <w:szCs w:val="24"/>
          <w:lang w:eastAsia="en-US"/>
        </w:rPr>
        <w:t>Improving physical healthcare to reduce premature mortality in people with Severe Mental Illness (SMI)</w:t>
      </w:r>
      <w:r>
        <w:rPr>
          <w:rFonts w:ascii="Arial" w:eastAsia="Calibri" w:hAnsi="Arial" w:cs="Arial"/>
          <w:b/>
          <w:bCs/>
          <w:color w:val="000000"/>
          <w:szCs w:val="24"/>
          <w:lang w:eastAsia="en-US"/>
        </w:rPr>
        <w:t xml:space="preserve"> (from CQUIN Guidance section 8)</w:t>
      </w:r>
    </w:p>
    <w:p w:rsidR="005F38CA" w:rsidRDefault="005F38CA" w:rsidP="005A2593">
      <w:pPr>
        <w:spacing w:after="0"/>
        <w:rPr>
          <w:rFonts w:ascii="Arial" w:eastAsia="Calibri" w:hAnsi="Arial" w:cs="Arial"/>
          <w:szCs w:val="22"/>
          <w:lang w:eastAsia="en-US"/>
        </w:rPr>
      </w:pP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424"/>
        <w:gridCol w:w="4932"/>
      </w:tblGrid>
      <w:tr w:rsidR="00AD71FC" w:rsidRPr="0042282C" w:rsidTr="00647F5D">
        <w:trPr>
          <w:cantSplit/>
          <w:trHeight w:val="300"/>
        </w:trPr>
        <w:tc>
          <w:tcPr>
            <w:tcW w:w="9356" w:type="dxa"/>
            <w:gridSpan w:val="2"/>
          </w:tcPr>
          <w:p w:rsidR="00AD71FC" w:rsidRPr="0042282C" w:rsidRDefault="00AD71FC" w:rsidP="00647F5D">
            <w:pPr>
              <w:spacing w:after="0"/>
              <w:jc w:val="center"/>
              <w:rPr>
                <w:rFonts w:ascii="Arial" w:hAnsi="Arial" w:cs="Arial"/>
                <w:b/>
                <w:color w:val="000000"/>
              </w:rPr>
            </w:pPr>
            <w:r w:rsidRPr="0042282C">
              <w:rPr>
                <w:rFonts w:ascii="Arial" w:hAnsi="Arial" w:cs="Arial"/>
                <w:b/>
                <w:color w:val="000000"/>
              </w:rPr>
              <w:t>CARDIO METABOLIC ASSESSMENT FOR PATIENTS WITH SCHIZOPHRENIA</w:t>
            </w:r>
          </w:p>
        </w:tc>
      </w:tr>
      <w:tr w:rsidR="00AD71FC" w:rsidRPr="0042282C" w:rsidTr="00647F5D">
        <w:trPr>
          <w:cantSplit/>
          <w:trHeight w:val="300"/>
        </w:trPr>
        <w:tc>
          <w:tcPr>
            <w:tcW w:w="4424" w:type="dxa"/>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Indicator number</w:t>
            </w:r>
          </w:p>
        </w:tc>
        <w:tc>
          <w:tcPr>
            <w:tcW w:w="4932" w:type="dxa"/>
            <w:noWrap/>
          </w:tcPr>
          <w:p w:rsidR="00AD71FC" w:rsidRPr="0042282C" w:rsidRDefault="00AD71FC" w:rsidP="00647F5D">
            <w:pPr>
              <w:spacing w:after="0"/>
              <w:rPr>
                <w:rFonts w:ascii="Arial" w:hAnsi="Arial" w:cs="Arial"/>
                <w:color w:val="000000"/>
              </w:rPr>
            </w:pPr>
            <w:r w:rsidRPr="0042282C">
              <w:rPr>
                <w:rFonts w:ascii="Arial" w:hAnsi="Arial" w:cs="Arial"/>
                <w:color w:val="000000"/>
              </w:rPr>
              <w:t>1</w:t>
            </w:r>
          </w:p>
        </w:tc>
      </w:tr>
      <w:tr w:rsidR="00AD71FC" w:rsidRPr="0042282C" w:rsidTr="00647F5D">
        <w:trPr>
          <w:cantSplit/>
          <w:trHeight w:val="300"/>
        </w:trPr>
        <w:tc>
          <w:tcPr>
            <w:tcW w:w="4424" w:type="dxa"/>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Indicator name</w:t>
            </w:r>
          </w:p>
        </w:tc>
        <w:tc>
          <w:tcPr>
            <w:tcW w:w="4932" w:type="dxa"/>
            <w:noWrap/>
          </w:tcPr>
          <w:p w:rsidR="00AD71FC" w:rsidRPr="0042282C" w:rsidRDefault="00AD71FC" w:rsidP="00647F5D">
            <w:pPr>
              <w:spacing w:after="0"/>
              <w:rPr>
                <w:rFonts w:ascii="Arial" w:hAnsi="Arial" w:cs="Arial"/>
                <w:color w:val="000000"/>
              </w:rPr>
            </w:pPr>
            <w:r w:rsidRPr="0042282C">
              <w:rPr>
                <w:rFonts w:ascii="Arial" w:hAnsi="Arial" w:cs="Arial"/>
                <w:color w:val="000000"/>
              </w:rPr>
              <w:t xml:space="preserve">Cardio </w:t>
            </w:r>
            <w:r>
              <w:rPr>
                <w:rFonts w:ascii="Arial" w:hAnsi="Arial" w:cs="Arial"/>
                <w:color w:val="000000"/>
              </w:rPr>
              <w:t>M</w:t>
            </w:r>
            <w:r w:rsidRPr="0042282C">
              <w:rPr>
                <w:rFonts w:ascii="Arial" w:hAnsi="Arial" w:cs="Arial"/>
                <w:color w:val="000000"/>
              </w:rPr>
              <w:t xml:space="preserve">etabolic </w:t>
            </w:r>
            <w:r>
              <w:rPr>
                <w:rFonts w:ascii="Arial" w:hAnsi="Arial" w:cs="Arial"/>
                <w:color w:val="000000"/>
              </w:rPr>
              <w:t>A</w:t>
            </w:r>
            <w:r w:rsidRPr="0042282C">
              <w:rPr>
                <w:rFonts w:ascii="Arial" w:hAnsi="Arial" w:cs="Arial"/>
                <w:color w:val="000000"/>
              </w:rPr>
              <w:t xml:space="preserve">ssessment for </w:t>
            </w:r>
            <w:r>
              <w:rPr>
                <w:rFonts w:ascii="Arial" w:hAnsi="Arial" w:cs="Arial"/>
                <w:color w:val="000000"/>
              </w:rPr>
              <w:t>P</w:t>
            </w:r>
            <w:r w:rsidRPr="0042282C">
              <w:rPr>
                <w:rFonts w:ascii="Arial" w:hAnsi="Arial" w:cs="Arial"/>
                <w:color w:val="000000"/>
              </w:rPr>
              <w:t xml:space="preserve">atients with </w:t>
            </w:r>
            <w:r>
              <w:rPr>
                <w:rFonts w:ascii="Arial" w:hAnsi="Arial" w:cs="Arial"/>
                <w:color w:val="000000"/>
              </w:rPr>
              <w:t>S</w:t>
            </w:r>
            <w:r w:rsidRPr="0042282C">
              <w:rPr>
                <w:rFonts w:ascii="Arial" w:hAnsi="Arial" w:cs="Arial"/>
                <w:color w:val="000000"/>
              </w:rPr>
              <w:t>chizophrenia</w:t>
            </w:r>
          </w:p>
        </w:tc>
      </w:tr>
      <w:tr w:rsidR="00AD71FC" w:rsidRPr="0042282C" w:rsidTr="00647F5D">
        <w:trPr>
          <w:cantSplit/>
          <w:trHeight w:val="600"/>
        </w:trPr>
        <w:tc>
          <w:tcPr>
            <w:tcW w:w="4424" w:type="dxa"/>
          </w:tcPr>
          <w:p w:rsidR="00AD71FC" w:rsidRPr="0042282C" w:rsidRDefault="00AD71FC" w:rsidP="00647F5D">
            <w:pPr>
              <w:spacing w:after="0"/>
              <w:rPr>
                <w:rFonts w:ascii="Arial" w:hAnsi="Arial" w:cs="Arial"/>
                <w:b/>
                <w:bCs/>
              </w:rPr>
            </w:pPr>
            <w:r w:rsidRPr="0042282C">
              <w:rPr>
                <w:rFonts w:ascii="Arial" w:hAnsi="Arial" w:cs="Arial"/>
                <w:b/>
                <w:bCs/>
              </w:rPr>
              <w:t xml:space="preserve">Indicator weighting </w:t>
            </w:r>
            <w:r w:rsidRPr="0042282C">
              <w:rPr>
                <w:rFonts w:ascii="Arial" w:hAnsi="Arial" w:cs="Arial"/>
                <w:b/>
                <w:bCs/>
              </w:rPr>
              <w:br/>
              <w:t>(% of CQUIN scheme available)</w:t>
            </w:r>
          </w:p>
        </w:tc>
        <w:tc>
          <w:tcPr>
            <w:tcW w:w="4932" w:type="dxa"/>
            <w:noWrap/>
          </w:tcPr>
          <w:p w:rsidR="00AD71FC" w:rsidRPr="0042282C" w:rsidRDefault="00AD71FC" w:rsidP="00647F5D">
            <w:pPr>
              <w:spacing w:after="0"/>
              <w:rPr>
                <w:rFonts w:ascii="Arial" w:hAnsi="Arial" w:cs="Arial"/>
              </w:rPr>
            </w:pPr>
            <w:r w:rsidRPr="0042282C">
              <w:rPr>
                <w:rFonts w:ascii="Arial" w:hAnsi="Arial" w:cs="Arial"/>
              </w:rPr>
              <w:t>0.08125%</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Description of indicator</w:t>
            </w:r>
          </w:p>
        </w:tc>
        <w:tc>
          <w:tcPr>
            <w:tcW w:w="4932" w:type="dxa"/>
          </w:tcPr>
          <w:p w:rsidR="00AD71FC" w:rsidRPr="0042282C" w:rsidRDefault="00AD71FC" w:rsidP="00647F5D">
            <w:pPr>
              <w:spacing w:after="0"/>
              <w:rPr>
                <w:rFonts w:ascii="Arial" w:hAnsi="Arial" w:cs="Arial"/>
                <w:color w:val="000000"/>
              </w:rPr>
            </w:pPr>
            <w:r w:rsidRPr="0042282C">
              <w:rPr>
                <w:rFonts w:ascii="Arial" w:hAnsi="Arial" w:cs="Arial"/>
                <w:color w:val="000000"/>
                <w:lang w:eastAsia="en-GB"/>
              </w:rPr>
              <w:t>To d</w:t>
            </w:r>
            <w:r w:rsidRPr="0042282C">
              <w:rPr>
                <w:rFonts w:ascii="Arial" w:hAnsi="Arial" w:cs="Arial"/>
                <w:color w:val="000000"/>
              </w:rPr>
              <w:t xml:space="preserve">emonstrate, through </w:t>
            </w:r>
            <w:r>
              <w:rPr>
                <w:rFonts w:ascii="Arial" w:hAnsi="Arial" w:cs="Arial"/>
                <w:color w:val="000000"/>
              </w:rPr>
              <w:t xml:space="preserve">a national audit process similar to </w:t>
            </w:r>
            <w:r w:rsidRPr="0042282C">
              <w:rPr>
                <w:rFonts w:ascii="Arial" w:hAnsi="Arial" w:cs="Arial"/>
                <w:color w:val="000000"/>
              </w:rPr>
              <w:t>the National Audit of Schizophrenia, full implementation of appropriate processes for assessing, documenting and acting on cardio metabolic risk factors</w:t>
            </w:r>
            <w:r>
              <w:rPr>
                <w:rFonts w:ascii="Arial" w:hAnsi="Arial" w:cs="Arial"/>
                <w:color w:val="000000"/>
              </w:rPr>
              <w:t xml:space="preserve"> in patients with schizophrenia</w:t>
            </w:r>
          </w:p>
          <w:p w:rsidR="00AD71FC" w:rsidRPr="0042282C" w:rsidRDefault="00AD71FC" w:rsidP="00647F5D">
            <w:pPr>
              <w:spacing w:after="0"/>
              <w:rPr>
                <w:rFonts w:ascii="Arial" w:hAnsi="Arial" w:cs="Arial"/>
                <w:color w:val="000000"/>
                <w:lang w:eastAsia="en-GB"/>
              </w:rPr>
            </w:pPr>
          </w:p>
          <w:p w:rsidR="00AD71FC" w:rsidRPr="0042282C" w:rsidRDefault="00AD71FC" w:rsidP="00647F5D">
            <w:pPr>
              <w:spacing w:after="0"/>
              <w:rPr>
                <w:rFonts w:ascii="Arial" w:hAnsi="Arial" w:cs="Arial"/>
                <w:color w:val="000000"/>
                <w:lang w:eastAsia="en-GB"/>
              </w:rPr>
            </w:pPr>
            <w:r w:rsidRPr="0042282C">
              <w:rPr>
                <w:rFonts w:ascii="Arial" w:hAnsi="Arial" w:cs="Arial"/>
                <w:color w:val="000000"/>
                <w:lang w:eastAsia="en-GB"/>
              </w:rPr>
              <w:t xml:space="preserve">The audit sample must cover all relevant services provided by the provider </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Numerator</w:t>
            </w:r>
          </w:p>
        </w:tc>
        <w:tc>
          <w:tcPr>
            <w:tcW w:w="4932" w:type="dxa"/>
          </w:tcPr>
          <w:p w:rsidR="00AD71FC" w:rsidRPr="0042282C" w:rsidRDefault="00AD71FC" w:rsidP="00647F5D">
            <w:pPr>
              <w:spacing w:after="0"/>
              <w:rPr>
                <w:rFonts w:ascii="Arial" w:hAnsi="Arial" w:cs="Arial"/>
                <w:color w:val="000000"/>
              </w:rPr>
            </w:pPr>
            <w:r w:rsidRPr="0042282C">
              <w:rPr>
                <w:rFonts w:ascii="Arial" w:hAnsi="Arial" w:cs="Arial"/>
                <w:color w:val="000000"/>
              </w:rPr>
              <w:t>As set out in the National Audit of Schizophrenia</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Denominator</w:t>
            </w:r>
          </w:p>
        </w:tc>
        <w:tc>
          <w:tcPr>
            <w:tcW w:w="4932" w:type="dxa"/>
          </w:tcPr>
          <w:p w:rsidR="00AD71FC" w:rsidRPr="0042282C" w:rsidRDefault="00AD71FC" w:rsidP="00647F5D">
            <w:pPr>
              <w:spacing w:after="0"/>
              <w:rPr>
                <w:rFonts w:ascii="Arial" w:hAnsi="Arial" w:cs="Arial"/>
                <w:color w:val="000000"/>
              </w:rPr>
            </w:pPr>
            <w:r w:rsidRPr="0042282C">
              <w:rPr>
                <w:rFonts w:ascii="Arial" w:hAnsi="Arial" w:cs="Arial"/>
                <w:color w:val="000000"/>
              </w:rPr>
              <w:t>As set out in the National Audit of Schizophrenia</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rPr>
            </w:pPr>
            <w:r w:rsidRPr="0042282C">
              <w:rPr>
                <w:rFonts w:ascii="Arial" w:hAnsi="Arial" w:cs="Arial"/>
                <w:b/>
                <w:bCs/>
              </w:rPr>
              <w:t>Rationale for inclusion</w:t>
            </w:r>
          </w:p>
        </w:tc>
        <w:tc>
          <w:tcPr>
            <w:tcW w:w="4932" w:type="dxa"/>
          </w:tcPr>
          <w:p w:rsidR="00AD71FC" w:rsidRPr="0042282C" w:rsidRDefault="00AD71FC" w:rsidP="00647F5D">
            <w:pPr>
              <w:spacing w:after="0"/>
              <w:rPr>
                <w:rFonts w:ascii="Arial" w:hAnsi="Arial" w:cs="Arial"/>
              </w:rPr>
            </w:pPr>
            <w:r w:rsidRPr="0042282C">
              <w:rPr>
                <w:rFonts w:ascii="Arial" w:hAnsi="Arial" w:cs="Arial"/>
              </w:rPr>
              <w:t>National CQUIN scheme</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Data source</w:t>
            </w:r>
          </w:p>
        </w:tc>
        <w:tc>
          <w:tcPr>
            <w:tcW w:w="4932" w:type="dxa"/>
          </w:tcPr>
          <w:p w:rsidR="00AD71FC" w:rsidRPr="0042282C" w:rsidRDefault="00AD71FC" w:rsidP="00647F5D">
            <w:pPr>
              <w:spacing w:after="0"/>
              <w:rPr>
                <w:rFonts w:ascii="Arial" w:hAnsi="Arial" w:cs="Arial"/>
                <w:color w:val="000000"/>
              </w:rPr>
            </w:pPr>
            <w:r w:rsidRPr="0042282C">
              <w:rPr>
                <w:rFonts w:ascii="Arial" w:hAnsi="Arial" w:cs="Arial"/>
                <w:color w:val="000000"/>
              </w:rPr>
              <w:t xml:space="preserve">National </w:t>
            </w:r>
            <w:r>
              <w:rPr>
                <w:rFonts w:ascii="Arial" w:hAnsi="Arial" w:cs="Arial"/>
                <w:color w:val="000000"/>
              </w:rPr>
              <w:t>a</w:t>
            </w:r>
            <w:r w:rsidRPr="0042282C">
              <w:rPr>
                <w:rFonts w:ascii="Arial" w:hAnsi="Arial" w:cs="Arial"/>
                <w:color w:val="000000"/>
              </w:rPr>
              <w:t xml:space="preserve">udit </w:t>
            </w:r>
            <w:r>
              <w:rPr>
                <w:rFonts w:ascii="Arial" w:hAnsi="Arial" w:cs="Arial"/>
                <w:color w:val="000000"/>
              </w:rPr>
              <w:t>process</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Frequency of data collection</w:t>
            </w:r>
          </w:p>
        </w:tc>
        <w:tc>
          <w:tcPr>
            <w:tcW w:w="4932" w:type="dxa"/>
          </w:tcPr>
          <w:p w:rsidR="00AD71FC" w:rsidRPr="0042282C" w:rsidRDefault="00AD71FC" w:rsidP="00647F5D">
            <w:pPr>
              <w:spacing w:after="0"/>
              <w:rPr>
                <w:rFonts w:ascii="Arial" w:hAnsi="Arial" w:cs="Arial"/>
                <w:color w:val="000000"/>
              </w:rPr>
            </w:pPr>
            <w:r w:rsidRPr="0042282C">
              <w:rPr>
                <w:rFonts w:ascii="Arial" w:hAnsi="Arial" w:cs="Arial"/>
                <w:color w:val="000000"/>
              </w:rPr>
              <w:t>One-off, expected to be during Quarter 3 of 2014/15</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Organisation responsible for data collection</w:t>
            </w:r>
          </w:p>
        </w:tc>
        <w:tc>
          <w:tcPr>
            <w:tcW w:w="4932" w:type="dxa"/>
          </w:tcPr>
          <w:p w:rsidR="00AD71FC" w:rsidRPr="0042282C" w:rsidRDefault="00AD71FC" w:rsidP="00647F5D">
            <w:pPr>
              <w:spacing w:after="0"/>
              <w:rPr>
                <w:rFonts w:ascii="Arial" w:hAnsi="Arial" w:cs="Arial"/>
                <w:color w:val="000000"/>
              </w:rPr>
            </w:pPr>
            <w:r w:rsidRPr="0042282C">
              <w:rPr>
                <w:rFonts w:ascii="Arial" w:hAnsi="Arial" w:cs="Arial"/>
                <w:color w:val="000000"/>
              </w:rPr>
              <w:t>Provider</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Frequency of reporting to commissioner</w:t>
            </w:r>
          </w:p>
        </w:tc>
        <w:tc>
          <w:tcPr>
            <w:tcW w:w="4932" w:type="dxa"/>
          </w:tcPr>
          <w:p w:rsidR="00AD71FC" w:rsidRPr="0042282C" w:rsidRDefault="00AD71FC" w:rsidP="00647F5D">
            <w:pPr>
              <w:spacing w:after="0"/>
              <w:rPr>
                <w:rFonts w:ascii="Arial" w:hAnsi="Arial" w:cs="Arial"/>
              </w:rPr>
            </w:pPr>
            <w:r w:rsidRPr="0042282C">
              <w:rPr>
                <w:rFonts w:ascii="Arial" w:hAnsi="Arial" w:cs="Arial"/>
              </w:rPr>
              <w:t xml:space="preserve">One-off, through </w:t>
            </w:r>
            <w:r>
              <w:rPr>
                <w:rFonts w:ascii="Arial" w:hAnsi="Arial" w:cs="Arial"/>
              </w:rPr>
              <w:t>a national audit process</w:t>
            </w:r>
            <w:r w:rsidRPr="0042282C">
              <w:rPr>
                <w:rFonts w:ascii="Arial" w:hAnsi="Arial" w:cs="Arial"/>
              </w:rPr>
              <w:t>, expected to be during Quarter 4 of 2014/15</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Baseline period/date</w:t>
            </w:r>
          </w:p>
        </w:tc>
        <w:tc>
          <w:tcPr>
            <w:tcW w:w="4932" w:type="dxa"/>
          </w:tcPr>
          <w:p w:rsidR="00AD71FC" w:rsidRPr="0042282C" w:rsidRDefault="00AD71FC" w:rsidP="00647F5D">
            <w:pPr>
              <w:spacing w:after="0"/>
              <w:rPr>
                <w:rFonts w:ascii="Arial" w:hAnsi="Arial" w:cs="Arial"/>
                <w:color w:val="000000"/>
              </w:rPr>
            </w:pPr>
            <w:r w:rsidRPr="0042282C">
              <w:rPr>
                <w:rFonts w:ascii="Arial" w:hAnsi="Arial" w:cs="Arial"/>
                <w:color w:val="000000"/>
              </w:rPr>
              <w:t>Not applicable</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Baseline value</w:t>
            </w:r>
          </w:p>
        </w:tc>
        <w:tc>
          <w:tcPr>
            <w:tcW w:w="4932" w:type="dxa"/>
          </w:tcPr>
          <w:p w:rsidR="00AD71FC" w:rsidRPr="0042282C" w:rsidRDefault="00AD71FC" w:rsidP="00647F5D">
            <w:pPr>
              <w:spacing w:after="0"/>
              <w:rPr>
                <w:rFonts w:ascii="Arial" w:hAnsi="Arial" w:cs="Arial"/>
                <w:color w:val="000000"/>
              </w:rPr>
            </w:pPr>
            <w:r w:rsidRPr="0042282C">
              <w:rPr>
                <w:rFonts w:ascii="Arial" w:hAnsi="Arial" w:cs="Arial"/>
                <w:color w:val="000000"/>
              </w:rPr>
              <w:t>Not applicable</w:t>
            </w:r>
          </w:p>
        </w:tc>
      </w:tr>
      <w:tr w:rsidR="00AD71FC" w:rsidRPr="0042282C" w:rsidTr="00647F5D">
        <w:trPr>
          <w:cantSplit/>
          <w:trHeight w:val="546"/>
        </w:trPr>
        <w:tc>
          <w:tcPr>
            <w:tcW w:w="4424" w:type="dxa"/>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Final indicator period/date (on which payment is based)</w:t>
            </w:r>
          </w:p>
        </w:tc>
        <w:tc>
          <w:tcPr>
            <w:tcW w:w="4932" w:type="dxa"/>
          </w:tcPr>
          <w:p w:rsidR="00AD71FC" w:rsidRPr="0042282C" w:rsidRDefault="00AD71FC" w:rsidP="00647F5D">
            <w:pPr>
              <w:autoSpaceDE w:val="0"/>
              <w:autoSpaceDN w:val="0"/>
              <w:adjustRightInd w:val="0"/>
              <w:spacing w:after="0"/>
              <w:rPr>
                <w:rFonts w:ascii="Arial" w:hAnsi="Arial" w:cs="Arial"/>
                <w:color w:val="000000"/>
              </w:rPr>
            </w:pPr>
            <w:r w:rsidRPr="0042282C">
              <w:rPr>
                <w:rFonts w:ascii="Arial" w:hAnsi="Arial" w:cs="Arial"/>
                <w:color w:val="000000"/>
              </w:rPr>
              <w:t>October – December 2014</w:t>
            </w: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Final indicator value (payment threshold)</w:t>
            </w:r>
          </w:p>
        </w:tc>
        <w:tc>
          <w:tcPr>
            <w:tcW w:w="4932" w:type="dxa"/>
          </w:tcPr>
          <w:p w:rsidR="00AD71FC" w:rsidRPr="0042282C" w:rsidRDefault="00AD71FC" w:rsidP="00647F5D">
            <w:pPr>
              <w:autoSpaceDE w:val="0"/>
              <w:autoSpaceDN w:val="0"/>
              <w:adjustRightInd w:val="0"/>
              <w:spacing w:after="0"/>
              <w:rPr>
                <w:rFonts w:ascii="Arial" w:hAnsi="Arial" w:cs="Arial"/>
                <w:color w:val="000000"/>
              </w:rPr>
            </w:pPr>
            <w:r w:rsidRPr="0042282C">
              <w:rPr>
                <w:rFonts w:ascii="Arial" w:hAnsi="Arial" w:cs="Arial"/>
              </w:rPr>
              <w:t>90.0%</w:t>
            </w:r>
          </w:p>
        </w:tc>
      </w:tr>
      <w:tr w:rsidR="00AD71FC" w:rsidRPr="0042282C" w:rsidTr="00647F5D">
        <w:trPr>
          <w:cantSplit/>
          <w:trHeight w:val="1069"/>
        </w:trPr>
        <w:tc>
          <w:tcPr>
            <w:tcW w:w="4424" w:type="dxa"/>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lastRenderedPageBreak/>
              <w:t>Rules for calculation of payment due at final indicator period/date (including evidence to be supplied to commissioner)</w:t>
            </w:r>
          </w:p>
        </w:tc>
        <w:tc>
          <w:tcPr>
            <w:tcW w:w="4932" w:type="dxa"/>
          </w:tcPr>
          <w:p w:rsidR="00AD71FC" w:rsidRPr="0042282C" w:rsidRDefault="00AD71FC" w:rsidP="00647F5D">
            <w:pPr>
              <w:autoSpaceDE w:val="0"/>
              <w:autoSpaceDN w:val="0"/>
              <w:adjustRightInd w:val="0"/>
              <w:spacing w:after="0"/>
              <w:rPr>
                <w:rFonts w:ascii="Arial" w:hAnsi="Arial" w:cs="Arial"/>
                <w:color w:val="000000"/>
              </w:rPr>
            </w:pPr>
            <w:r w:rsidRPr="0042282C">
              <w:rPr>
                <w:rFonts w:ascii="Arial" w:hAnsi="Arial" w:cs="Arial"/>
                <w:color w:val="000000"/>
              </w:rPr>
              <w:t xml:space="preserve">The provider’s results from </w:t>
            </w:r>
            <w:r>
              <w:rPr>
                <w:rFonts w:ascii="Arial" w:hAnsi="Arial" w:cs="Arial"/>
                <w:color w:val="000000"/>
              </w:rPr>
              <w:t xml:space="preserve">a national audit </w:t>
            </w:r>
            <w:r w:rsidRPr="0042282C">
              <w:rPr>
                <w:rFonts w:ascii="Arial" w:hAnsi="Arial" w:cs="Arial"/>
                <w:color w:val="000000"/>
              </w:rPr>
              <w:t>demonstrate that, for 90% of patients audited, the provider has undertaken an assessment of each of the following key cardio metabolic parameters (as per the 'Lester tool'), with the results recorded in the patient's notes/care plan/discharge documentation as appropriate, together with a record of associated interventions (</w:t>
            </w:r>
            <w:proofErr w:type="spellStart"/>
            <w:r w:rsidRPr="0042282C">
              <w:rPr>
                <w:rFonts w:ascii="Arial" w:hAnsi="Arial" w:cs="Arial"/>
                <w:color w:val="000000"/>
              </w:rPr>
              <w:t>eg</w:t>
            </w:r>
            <w:proofErr w:type="spellEnd"/>
            <w:r w:rsidRPr="0042282C">
              <w:rPr>
                <w:rFonts w:ascii="Arial" w:hAnsi="Arial" w:cs="Arial"/>
                <w:color w:val="000000"/>
              </w:rPr>
              <w:t xml:space="preserve"> smoking cessation programme, lifestyle advice, medication review, treatment according to NICE guidelines or onward referral to another clinician for assessment, diagnosis, and treatment)</w:t>
            </w:r>
          </w:p>
          <w:p w:rsidR="00AD71FC" w:rsidRPr="0042282C" w:rsidRDefault="00AD71FC" w:rsidP="00647F5D">
            <w:pPr>
              <w:autoSpaceDE w:val="0"/>
              <w:autoSpaceDN w:val="0"/>
              <w:adjustRightInd w:val="0"/>
              <w:spacing w:after="0"/>
              <w:rPr>
                <w:rFonts w:ascii="Arial" w:hAnsi="Arial" w:cs="Arial"/>
                <w:color w:val="000000"/>
              </w:rPr>
            </w:pPr>
            <w:r w:rsidRPr="0042282C">
              <w:rPr>
                <w:rFonts w:ascii="Arial" w:hAnsi="Arial" w:cs="Arial"/>
                <w:color w:val="000000"/>
              </w:rPr>
              <w:t>The parameters are:</w:t>
            </w:r>
          </w:p>
          <w:p w:rsidR="00AD71FC" w:rsidRPr="0042282C" w:rsidRDefault="00AD71FC" w:rsidP="00AD71FC">
            <w:pPr>
              <w:numPr>
                <w:ilvl w:val="0"/>
                <w:numId w:val="9"/>
              </w:numPr>
              <w:autoSpaceDE w:val="0"/>
              <w:autoSpaceDN w:val="0"/>
              <w:adjustRightInd w:val="0"/>
              <w:spacing w:after="0"/>
              <w:contextualSpacing/>
              <w:rPr>
                <w:rFonts w:ascii="Arial" w:hAnsi="Arial" w:cs="Arial"/>
                <w:color w:val="000000"/>
              </w:rPr>
            </w:pPr>
            <w:r w:rsidRPr="0042282C">
              <w:rPr>
                <w:rFonts w:ascii="Arial" w:hAnsi="Arial" w:cs="Arial"/>
                <w:color w:val="000000"/>
              </w:rPr>
              <w:t>Smoking status</w:t>
            </w:r>
          </w:p>
          <w:p w:rsidR="00AD71FC" w:rsidRPr="0042282C" w:rsidRDefault="00AD71FC" w:rsidP="00AD71FC">
            <w:pPr>
              <w:numPr>
                <w:ilvl w:val="0"/>
                <w:numId w:val="9"/>
              </w:numPr>
              <w:autoSpaceDE w:val="0"/>
              <w:autoSpaceDN w:val="0"/>
              <w:adjustRightInd w:val="0"/>
              <w:spacing w:after="0"/>
              <w:contextualSpacing/>
              <w:rPr>
                <w:rFonts w:ascii="Arial" w:hAnsi="Arial" w:cs="Arial"/>
                <w:color w:val="000000"/>
              </w:rPr>
            </w:pPr>
            <w:r w:rsidRPr="0042282C">
              <w:rPr>
                <w:rFonts w:ascii="Arial" w:hAnsi="Arial" w:cs="Arial"/>
                <w:color w:val="000000"/>
              </w:rPr>
              <w:t>Lifestyle (including exercise</w:t>
            </w:r>
            <w:r>
              <w:rPr>
                <w:rFonts w:ascii="Arial" w:hAnsi="Arial" w:cs="Arial"/>
                <w:color w:val="000000"/>
              </w:rPr>
              <w:t>,</w:t>
            </w:r>
            <w:r w:rsidRPr="0042282C">
              <w:rPr>
                <w:rFonts w:ascii="Arial" w:hAnsi="Arial" w:cs="Arial"/>
                <w:color w:val="000000"/>
              </w:rPr>
              <w:t xml:space="preserve"> diet</w:t>
            </w:r>
            <w:r>
              <w:rPr>
                <w:rFonts w:ascii="Arial" w:hAnsi="Arial" w:cs="Arial"/>
                <w:color w:val="000000"/>
              </w:rPr>
              <w:t xml:space="preserve"> alcohol and drugs</w:t>
            </w:r>
            <w:r w:rsidRPr="0042282C">
              <w:rPr>
                <w:rFonts w:ascii="Arial" w:hAnsi="Arial" w:cs="Arial"/>
                <w:color w:val="000000"/>
              </w:rPr>
              <w:t>)</w:t>
            </w:r>
          </w:p>
          <w:p w:rsidR="00AD71FC" w:rsidRPr="0042282C" w:rsidRDefault="00AD71FC" w:rsidP="00AD71FC">
            <w:pPr>
              <w:numPr>
                <w:ilvl w:val="0"/>
                <w:numId w:val="9"/>
              </w:numPr>
              <w:autoSpaceDE w:val="0"/>
              <w:autoSpaceDN w:val="0"/>
              <w:adjustRightInd w:val="0"/>
              <w:spacing w:after="0"/>
              <w:contextualSpacing/>
              <w:rPr>
                <w:rFonts w:ascii="Arial" w:hAnsi="Arial" w:cs="Arial"/>
                <w:color w:val="000000"/>
              </w:rPr>
            </w:pPr>
            <w:r w:rsidRPr="0042282C">
              <w:rPr>
                <w:rFonts w:ascii="Arial" w:hAnsi="Arial" w:cs="Arial"/>
                <w:color w:val="000000"/>
              </w:rPr>
              <w:t>Body Mass Index</w:t>
            </w:r>
          </w:p>
          <w:p w:rsidR="00AD71FC" w:rsidRPr="0042282C" w:rsidRDefault="00AD71FC" w:rsidP="00AD71FC">
            <w:pPr>
              <w:numPr>
                <w:ilvl w:val="0"/>
                <w:numId w:val="9"/>
              </w:numPr>
              <w:autoSpaceDE w:val="0"/>
              <w:autoSpaceDN w:val="0"/>
              <w:adjustRightInd w:val="0"/>
              <w:spacing w:after="0"/>
              <w:contextualSpacing/>
              <w:rPr>
                <w:rFonts w:ascii="Arial" w:hAnsi="Arial" w:cs="Arial"/>
                <w:color w:val="000000"/>
              </w:rPr>
            </w:pPr>
            <w:r w:rsidRPr="0042282C">
              <w:rPr>
                <w:rFonts w:ascii="Arial" w:hAnsi="Arial" w:cs="Arial"/>
                <w:color w:val="000000"/>
              </w:rPr>
              <w:t>Blood pressure</w:t>
            </w:r>
          </w:p>
          <w:p w:rsidR="00AD71FC" w:rsidRPr="0042282C" w:rsidRDefault="00AD71FC" w:rsidP="00AD71FC">
            <w:pPr>
              <w:numPr>
                <w:ilvl w:val="0"/>
                <w:numId w:val="9"/>
              </w:numPr>
              <w:autoSpaceDE w:val="0"/>
              <w:autoSpaceDN w:val="0"/>
              <w:adjustRightInd w:val="0"/>
              <w:spacing w:after="0"/>
              <w:contextualSpacing/>
              <w:rPr>
                <w:rFonts w:ascii="Arial" w:hAnsi="Arial" w:cs="Arial"/>
                <w:color w:val="000000"/>
              </w:rPr>
            </w:pPr>
            <w:r w:rsidRPr="0042282C">
              <w:rPr>
                <w:rFonts w:ascii="Arial" w:hAnsi="Arial" w:cs="Arial"/>
                <w:color w:val="000000"/>
              </w:rPr>
              <w:t>Glucose regulation (HbA1c or fasting glucose or random glucose as appropriate)</w:t>
            </w:r>
          </w:p>
          <w:p w:rsidR="00AD71FC" w:rsidRDefault="00AD71FC" w:rsidP="00AD71FC">
            <w:pPr>
              <w:numPr>
                <w:ilvl w:val="0"/>
                <w:numId w:val="9"/>
              </w:numPr>
              <w:autoSpaceDE w:val="0"/>
              <w:autoSpaceDN w:val="0"/>
              <w:adjustRightInd w:val="0"/>
              <w:spacing w:after="0"/>
              <w:contextualSpacing/>
              <w:rPr>
                <w:rFonts w:ascii="Arial" w:hAnsi="Arial" w:cs="Arial"/>
                <w:color w:val="000000"/>
              </w:rPr>
            </w:pPr>
            <w:r>
              <w:rPr>
                <w:rFonts w:ascii="Arial" w:hAnsi="Arial" w:cs="Arial"/>
                <w:color w:val="000000"/>
              </w:rPr>
              <w:t>Blood lipids</w:t>
            </w:r>
          </w:p>
          <w:p w:rsidR="00AD71FC" w:rsidRPr="0042282C" w:rsidRDefault="00AD71FC" w:rsidP="00647F5D">
            <w:pPr>
              <w:autoSpaceDE w:val="0"/>
              <w:autoSpaceDN w:val="0"/>
              <w:adjustRightInd w:val="0"/>
              <w:spacing w:after="0"/>
              <w:contextualSpacing/>
              <w:rPr>
                <w:rFonts w:ascii="Arial" w:hAnsi="Arial" w:cs="Arial"/>
                <w:color w:val="000000"/>
              </w:rPr>
            </w:pPr>
          </w:p>
        </w:tc>
      </w:tr>
      <w:tr w:rsidR="00AD71FC" w:rsidRPr="0042282C" w:rsidTr="00647F5D">
        <w:trPr>
          <w:cantSplit/>
          <w:trHeight w:val="300"/>
        </w:trPr>
        <w:tc>
          <w:tcPr>
            <w:tcW w:w="4424" w:type="dxa"/>
            <w:noWrap/>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Final indicator reporting date</w:t>
            </w:r>
          </w:p>
        </w:tc>
        <w:tc>
          <w:tcPr>
            <w:tcW w:w="4932" w:type="dxa"/>
          </w:tcPr>
          <w:p w:rsidR="00AD71FC" w:rsidRPr="0042282C" w:rsidRDefault="00AD71FC" w:rsidP="00647F5D">
            <w:pPr>
              <w:spacing w:after="0"/>
              <w:rPr>
                <w:rFonts w:ascii="Arial" w:hAnsi="Arial" w:cs="Arial"/>
                <w:color w:val="000000"/>
              </w:rPr>
            </w:pPr>
            <w:r w:rsidRPr="0042282C">
              <w:rPr>
                <w:rFonts w:ascii="Arial" w:hAnsi="Arial" w:cs="Arial"/>
                <w:color w:val="000000"/>
              </w:rPr>
              <w:t xml:space="preserve">30 April 2015 </w:t>
            </w:r>
          </w:p>
        </w:tc>
      </w:tr>
      <w:tr w:rsidR="00AD71FC" w:rsidRPr="0042282C" w:rsidTr="00647F5D">
        <w:trPr>
          <w:cantSplit/>
          <w:trHeight w:val="615"/>
        </w:trPr>
        <w:tc>
          <w:tcPr>
            <w:tcW w:w="4424" w:type="dxa"/>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Are there rules for any agreed in-year milestones that result in payment?</w:t>
            </w:r>
          </w:p>
        </w:tc>
        <w:tc>
          <w:tcPr>
            <w:tcW w:w="4932" w:type="dxa"/>
          </w:tcPr>
          <w:p w:rsidR="00AD71FC" w:rsidRPr="0042282C" w:rsidRDefault="00AD71FC" w:rsidP="00647F5D">
            <w:pPr>
              <w:autoSpaceDE w:val="0"/>
              <w:autoSpaceDN w:val="0"/>
              <w:adjustRightInd w:val="0"/>
              <w:spacing w:after="0"/>
              <w:rPr>
                <w:rFonts w:ascii="Arial" w:hAnsi="Arial" w:cs="Arial"/>
                <w:color w:val="000000"/>
              </w:rPr>
            </w:pPr>
            <w:r w:rsidRPr="0042282C">
              <w:rPr>
                <w:rFonts w:ascii="Arial" w:hAnsi="Arial" w:cs="Arial"/>
                <w:color w:val="000000"/>
              </w:rPr>
              <w:t>No</w:t>
            </w:r>
          </w:p>
        </w:tc>
      </w:tr>
      <w:tr w:rsidR="00AD71FC" w:rsidRPr="0042282C" w:rsidTr="00647F5D">
        <w:trPr>
          <w:cantSplit/>
          <w:trHeight w:val="900"/>
        </w:trPr>
        <w:tc>
          <w:tcPr>
            <w:tcW w:w="4424" w:type="dxa"/>
          </w:tcPr>
          <w:p w:rsidR="00AD71FC" w:rsidRPr="0042282C" w:rsidRDefault="00AD71FC" w:rsidP="00647F5D">
            <w:pPr>
              <w:spacing w:after="0"/>
              <w:rPr>
                <w:rFonts w:ascii="Arial" w:hAnsi="Arial" w:cs="Arial"/>
                <w:b/>
                <w:bCs/>
                <w:color w:val="000000"/>
              </w:rPr>
            </w:pPr>
            <w:r w:rsidRPr="0042282C">
              <w:rPr>
                <w:rFonts w:ascii="Arial" w:hAnsi="Arial" w:cs="Arial"/>
                <w:b/>
                <w:bCs/>
                <w:color w:val="000000"/>
              </w:rPr>
              <w:t xml:space="preserve">Are there any rules for partial achievement of the indicator at the final indicator period/date? </w:t>
            </w:r>
          </w:p>
        </w:tc>
        <w:tc>
          <w:tcPr>
            <w:tcW w:w="4932" w:type="dxa"/>
          </w:tcPr>
          <w:p w:rsidR="00AD71FC" w:rsidRPr="0042282C" w:rsidRDefault="00AD71FC" w:rsidP="00647F5D">
            <w:pPr>
              <w:spacing w:after="0"/>
              <w:rPr>
                <w:rFonts w:ascii="Arial" w:hAnsi="Arial" w:cs="Arial"/>
                <w:color w:val="000000"/>
              </w:rPr>
            </w:pPr>
            <w:r w:rsidRPr="0042282C">
              <w:rPr>
                <w:rFonts w:ascii="Arial" w:hAnsi="Arial" w:cs="Arial"/>
                <w:color w:val="000000"/>
              </w:rPr>
              <w:t>Yes – see below</w:t>
            </w:r>
          </w:p>
        </w:tc>
      </w:tr>
    </w:tbl>
    <w:p w:rsidR="00AD71FC" w:rsidRPr="0042282C" w:rsidRDefault="00AD71FC" w:rsidP="00AD71FC">
      <w:pPr>
        <w:spacing w:after="0"/>
        <w:rPr>
          <w:rFonts w:ascii="Arial" w:hAnsi="Arial" w:cs="Arial"/>
          <w:szCs w:val="24"/>
        </w:rPr>
      </w:pPr>
    </w:p>
    <w:p w:rsidR="00AD71FC" w:rsidRDefault="00AD71FC" w:rsidP="005A2593">
      <w:pPr>
        <w:spacing w:after="0"/>
        <w:rPr>
          <w:rFonts w:ascii="Arial" w:eastAsia="Calibri" w:hAnsi="Arial" w:cs="Arial"/>
          <w:szCs w:val="22"/>
          <w:lang w:eastAsia="en-US"/>
        </w:rPr>
      </w:pPr>
    </w:p>
    <w:p w:rsidR="005A2593" w:rsidRPr="00596E2E" w:rsidRDefault="005A2593" w:rsidP="005A2593">
      <w:pPr>
        <w:spacing w:after="0"/>
        <w:rPr>
          <w:rFonts w:ascii="Arial" w:eastAsia="Calibri" w:hAnsi="Arial" w:cs="Arial"/>
          <w:szCs w:val="22"/>
          <w:lang w:eastAsia="en-US"/>
        </w:rPr>
      </w:pPr>
    </w:p>
    <w:p w:rsidR="005A2593" w:rsidRPr="00596E2E" w:rsidRDefault="005A2593" w:rsidP="005A2593">
      <w:pPr>
        <w:spacing w:after="0"/>
        <w:rPr>
          <w:rFonts w:ascii="Arial" w:eastAsia="Times New Roman" w:hAnsi="Arial" w:cs="Arial"/>
          <w:color w:val="000000"/>
          <w:szCs w:val="22"/>
          <w:lang w:eastAsia="en-GB"/>
        </w:rPr>
      </w:pPr>
      <w:r w:rsidRPr="00596E2E">
        <w:rPr>
          <w:rFonts w:ascii="Arial" w:eastAsia="Times New Roman" w:hAnsi="Arial" w:cs="Arial"/>
          <w:b/>
          <w:bCs/>
          <w:color w:val="000000"/>
          <w:szCs w:val="22"/>
          <w:lang w:eastAsia="en-GB"/>
        </w:rPr>
        <w:t>Rules for partial achievement at final indicator period/date</w:t>
      </w:r>
      <w:r w:rsidRPr="00596E2E">
        <w:rPr>
          <w:rFonts w:ascii="Arial" w:eastAsia="Times New Roman" w:hAnsi="Arial" w:cs="Arial"/>
          <w:color w:val="000000"/>
          <w:szCs w:val="22"/>
          <w:lang w:eastAsia="en-GB"/>
        </w:rPr>
        <w:t xml:space="preserve"> </w:t>
      </w:r>
    </w:p>
    <w:p w:rsidR="005A2593" w:rsidRPr="00596E2E" w:rsidRDefault="005A2593" w:rsidP="005A2593">
      <w:pPr>
        <w:spacing w:after="0"/>
        <w:rPr>
          <w:rFonts w:ascii="Arial" w:eastAsia="Times New Roman" w:hAnsi="Arial" w:cs="Arial"/>
          <w:b/>
          <w:szCs w:val="22"/>
          <w:lang w:eastAsia="en-GB"/>
        </w:rPr>
      </w:pPr>
    </w:p>
    <w:tbl>
      <w:tblPr>
        <w:tblW w:w="9356" w:type="dxa"/>
        <w:tblInd w:w="-176" w:type="dxa"/>
        <w:tblLook w:val="0000" w:firstRow="0" w:lastRow="0" w:firstColumn="0" w:lastColumn="0" w:noHBand="0" w:noVBand="0"/>
      </w:tblPr>
      <w:tblGrid>
        <w:gridCol w:w="4395"/>
        <w:gridCol w:w="4961"/>
      </w:tblGrid>
      <w:tr w:rsidR="005A2593" w:rsidRPr="00596E2E" w:rsidTr="005F36AC">
        <w:trPr>
          <w:trHeight w:val="300"/>
          <w:tblHeader/>
        </w:trPr>
        <w:tc>
          <w:tcPr>
            <w:tcW w:w="4395" w:type="dxa"/>
            <w:tcBorders>
              <w:top w:val="single" w:sz="4" w:space="0" w:color="auto"/>
              <w:left w:val="single" w:sz="4" w:space="0" w:color="auto"/>
              <w:bottom w:val="single" w:sz="4" w:space="0" w:color="auto"/>
              <w:right w:val="nil"/>
            </w:tcBorders>
            <w:shd w:val="clear" w:color="auto" w:fill="C0C0C0"/>
            <w:noWrap/>
          </w:tcPr>
          <w:p w:rsidR="005A2593" w:rsidRPr="00596E2E" w:rsidRDefault="005A2593" w:rsidP="005A2593">
            <w:pPr>
              <w:spacing w:after="0"/>
              <w:rPr>
                <w:rFonts w:ascii="Arial" w:eastAsia="Times New Roman" w:hAnsi="Arial" w:cs="Arial"/>
                <w:b/>
                <w:bCs/>
                <w:color w:val="000000"/>
                <w:szCs w:val="22"/>
                <w:lang w:eastAsia="en-GB"/>
              </w:rPr>
            </w:pPr>
            <w:r w:rsidRPr="00596E2E">
              <w:rPr>
                <w:rFonts w:ascii="Arial" w:eastAsia="Times New Roman" w:hAnsi="Arial" w:cs="Arial"/>
                <w:b/>
                <w:bCs/>
                <w:color w:val="000000"/>
                <w:szCs w:val="22"/>
                <w:lang w:eastAsia="en-GB"/>
              </w:rPr>
              <w:t>Final indicator value for the partial achievement threshold</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5A2593" w:rsidRPr="00596E2E" w:rsidRDefault="005A2593" w:rsidP="005A2593">
            <w:pPr>
              <w:spacing w:after="0"/>
              <w:rPr>
                <w:rFonts w:ascii="Arial" w:eastAsia="Times New Roman" w:hAnsi="Arial" w:cs="Arial"/>
                <w:b/>
                <w:bCs/>
                <w:color w:val="000000"/>
                <w:szCs w:val="22"/>
                <w:lang w:eastAsia="en-GB"/>
              </w:rPr>
            </w:pPr>
            <w:r w:rsidRPr="00596E2E">
              <w:rPr>
                <w:rFonts w:ascii="Arial" w:eastAsia="Times New Roman" w:hAnsi="Arial" w:cs="Arial"/>
                <w:b/>
                <w:bCs/>
                <w:color w:val="000000"/>
                <w:szCs w:val="22"/>
                <w:lang w:eastAsia="en-GB"/>
              </w:rPr>
              <w:t>% of CQUIN scheme available for meeting final indicator value</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49.9% or less</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No payment</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50.0% to 69.9%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25 % payment</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70.0% to 79.9%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50% payment</w:t>
            </w:r>
          </w:p>
        </w:tc>
      </w:tr>
      <w:tr w:rsidR="005A2593" w:rsidRPr="00596E2E" w:rsidTr="005F36AC">
        <w:trPr>
          <w:trHeight w:val="379"/>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80.0% to 89.9%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75% payment</w:t>
            </w:r>
          </w:p>
        </w:tc>
      </w:tr>
      <w:tr w:rsidR="005A2593" w:rsidRPr="00596E2E" w:rsidTr="005F36AC">
        <w:trPr>
          <w:trHeight w:val="347"/>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90.0% or above</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100% payment</w:t>
            </w:r>
          </w:p>
        </w:tc>
      </w:tr>
    </w:tbl>
    <w:p w:rsidR="005A2593" w:rsidRPr="00596E2E" w:rsidRDefault="005A2593" w:rsidP="005A2593">
      <w:pPr>
        <w:spacing w:after="0"/>
        <w:rPr>
          <w:rFonts w:ascii="Arial" w:eastAsia="Calibri" w:hAnsi="Arial" w:cs="Arial"/>
          <w:szCs w:val="24"/>
          <w:lang w:eastAsia="en-US"/>
        </w:rPr>
      </w:pPr>
    </w:p>
    <w:p w:rsidR="005A2593" w:rsidRPr="00596E2E" w:rsidRDefault="005A2593" w:rsidP="005A2593">
      <w:pPr>
        <w:spacing w:after="0"/>
        <w:rPr>
          <w:rFonts w:ascii="Arial" w:eastAsia="Calibri" w:hAnsi="Arial" w:cs="Arial"/>
          <w:szCs w:val="24"/>
          <w:lang w:eastAsia="en-US"/>
        </w:rPr>
      </w:pPr>
    </w:p>
    <w:p w:rsidR="005A2593" w:rsidRPr="00596E2E" w:rsidRDefault="005A2593" w:rsidP="005A2593">
      <w:pPr>
        <w:spacing w:after="0"/>
        <w:rPr>
          <w:rFonts w:ascii="Arial" w:eastAsia="Calibri" w:hAnsi="Arial" w:cs="Arial"/>
          <w:szCs w:val="24"/>
          <w:lang w:eastAsia="en-US"/>
        </w:rPr>
      </w:pPr>
      <w:r w:rsidRPr="00596E2E">
        <w:rPr>
          <w:rFonts w:ascii="Arial" w:eastAsia="Calibri" w:hAnsi="Arial" w:cs="Arial"/>
          <w:szCs w:val="22"/>
          <w:lang w:eastAsia="en-US"/>
        </w:rPr>
        <w:br w:type="page"/>
      </w: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424"/>
        <w:gridCol w:w="4932"/>
      </w:tblGrid>
      <w:tr w:rsidR="005A2593" w:rsidRPr="00596E2E" w:rsidTr="005F36AC">
        <w:trPr>
          <w:cantSplit/>
          <w:trHeight w:val="300"/>
        </w:trPr>
        <w:tc>
          <w:tcPr>
            <w:tcW w:w="9356" w:type="dxa"/>
            <w:gridSpan w:val="2"/>
          </w:tcPr>
          <w:p w:rsidR="005A2593" w:rsidRPr="00596E2E" w:rsidRDefault="005A2593" w:rsidP="00C96AB1">
            <w:pPr>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lastRenderedPageBreak/>
              <w:t>COMMUNICA</w:t>
            </w:r>
            <w:r w:rsidR="00C96AB1">
              <w:rPr>
                <w:rFonts w:ascii="Arial" w:eastAsia="Calibri" w:hAnsi="Arial" w:cs="Arial"/>
                <w:b/>
                <w:color w:val="000000"/>
                <w:szCs w:val="22"/>
                <w:lang w:eastAsia="en-US"/>
              </w:rPr>
              <w:t>TION WITH GENERAL PRACTITIONERS</w:t>
            </w:r>
          </w:p>
        </w:tc>
      </w:tr>
      <w:tr w:rsidR="005A2593" w:rsidRPr="00596E2E" w:rsidTr="005F36AC">
        <w:trPr>
          <w:cantSplit/>
          <w:trHeight w:val="300"/>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number</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2</w:t>
            </w:r>
          </w:p>
        </w:tc>
      </w:tr>
      <w:tr w:rsidR="005A2593" w:rsidRPr="00596E2E" w:rsidTr="005F36AC">
        <w:trPr>
          <w:cantSplit/>
          <w:trHeight w:val="300"/>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name</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Communication with General Practitioners</w:t>
            </w:r>
          </w:p>
        </w:tc>
      </w:tr>
      <w:tr w:rsidR="005A2593" w:rsidRPr="00596E2E" w:rsidTr="005F36AC">
        <w:trPr>
          <w:cantSplit/>
          <w:trHeight w:val="600"/>
        </w:trPr>
        <w:tc>
          <w:tcPr>
            <w:tcW w:w="4424" w:type="dxa"/>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 xml:space="preserve">Indicator weighting </w:t>
            </w:r>
            <w:r w:rsidRPr="00596E2E">
              <w:rPr>
                <w:rFonts w:ascii="Arial" w:eastAsia="Calibri" w:hAnsi="Arial" w:cs="Arial"/>
                <w:b/>
                <w:bCs/>
                <w:szCs w:val="22"/>
                <w:lang w:eastAsia="en-US"/>
              </w:rPr>
              <w:br/>
              <w:t>(% of CQUIN scheme available)</w:t>
            </w:r>
          </w:p>
        </w:tc>
        <w:tc>
          <w:tcPr>
            <w:tcW w:w="4932" w:type="dxa"/>
            <w:noWrap/>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0.04375%</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Description of indicator</w:t>
            </w:r>
          </w:p>
        </w:tc>
        <w:tc>
          <w:tcPr>
            <w:tcW w:w="4932" w:type="dxa"/>
          </w:tcPr>
          <w:p w:rsidR="005A2593" w:rsidRPr="00596E2E" w:rsidRDefault="005A2593" w:rsidP="005A2593">
            <w:pPr>
              <w:spacing w:after="0"/>
              <w:rPr>
                <w:rFonts w:ascii="Arial" w:eastAsia="Calibri" w:hAnsi="Arial" w:cs="Arial"/>
                <w:color w:val="000000"/>
                <w:szCs w:val="22"/>
                <w:lang w:eastAsia="en-GB"/>
              </w:rPr>
            </w:pPr>
            <w:r w:rsidRPr="00596E2E">
              <w:rPr>
                <w:rFonts w:ascii="Arial" w:eastAsia="Calibri" w:hAnsi="Arial" w:cs="Arial"/>
                <w:color w:val="000000"/>
                <w:szCs w:val="22"/>
                <w:lang w:eastAsia="en-GB"/>
              </w:rPr>
              <w:t>Completion of a programme of local audit of communication with patents’ GPs, focussing on patients on CPA, demonstrating by quarter 4 that, for 90% of patients audited, an up-to-date care plan has been shared with the GP, including ICD codes for all primary and secondary mental and physical health diagnoses, medications prescribed and monitoring requirements, physical health condition and ongoing monitoring and treatment needs.</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Numerator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The number of patients in the audit sample for whom the provider has provided to the GP an up-to-date copy of the patient’s care plan, which sets out appropriate details of all of the following:</w:t>
            </w:r>
          </w:p>
          <w:p w:rsidR="005A2593" w:rsidRPr="00596E2E" w:rsidRDefault="005A2593" w:rsidP="005A2593">
            <w:pPr>
              <w:numPr>
                <w:ilvl w:val="0"/>
                <w:numId w:val="8"/>
              </w:numPr>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all primary and secondary mental and physical health diagnosis, including ICD codes;</w:t>
            </w:r>
          </w:p>
          <w:p w:rsidR="005A2593" w:rsidRPr="00596E2E" w:rsidRDefault="005A2593" w:rsidP="005A2593">
            <w:pPr>
              <w:numPr>
                <w:ilvl w:val="0"/>
                <w:numId w:val="8"/>
              </w:numPr>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medications prescribed and monitoring requirements; and</w:t>
            </w:r>
          </w:p>
          <w:p w:rsidR="005A2593" w:rsidRPr="00596E2E" w:rsidRDefault="005A2593" w:rsidP="005A2593">
            <w:pPr>
              <w:numPr>
                <w:ilvl w:val="0"/>
                <w:numId w:val="8"/>
              </w:numPr>
              <w:spacing w:after="0"/>
              <w:contextualSpacing/>
              <w:rPr>
                <w:rFonts w:ascii="Arial" w:eastAsia="Calibri" w:hAnsi="Arial" w:cs="Arial"/>
                <w:color w:val="000000"/>
                <w:szCs w:val="22"/>
                <w:lang w:eastAsia="en-US"/>
              </w:rPr>
            </w:pPr>
            <w:proofErr w:type="gramStart"/>
            <w:r w:rsidRPr="00596E2E">
              <w:rPr>
                <w:rFonts w:ascii="Arial" w:eastAsia="Calibri" w:hAnsi="Arial" w:cs="Arial"/>
                <w:color w:val="000000"/>
                <w:szCs w:val="22"/>
                <w:lang w:eastAsia="en-US"/>
              </w:rPr>
              <w:t>physical</w:t>
            </w:r>
            <w:proofErr w:type="gramEnd"/>
            <w:r w:rsidRPr="00596E2E">
              <w:rPr>
                <w:rFonts w:ascii="Arial" w:eastAsia="Calibri" w:hAnsi="Arial" w:cs="Arial"/>
                <w:color w:val="000000"/>
                <w:szCs w:val="22"/>
                <w:lang w:eastAsia="en-US"/>
              </w:rPr>
              <w:t xml:space="preserve"> health condition and ongoing monitoring and treatment needs.</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Denominator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 sample of 100 patients who are subject to the Care Programme Approach and who have been under the care of the Provider for at least 100 days at the time of the audit</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Rationale for inclusion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National CQUIN scheme</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Data source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Local audit</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Two audits, one in Quarter 2, one in Quarter 4</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Organisation responsible for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reporting to commissioner</w:t>
            </w:r>
          </w:p>
        </w:tc>
        <w:tc>
          <w:tcPr>
            <w:tcW w:w="4932"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Reports required in respect of Quarter 2 and Quarter 4</w:t>
            </w:r>
          </w:p>
          <w:p w:rsidR="005A2593" w:rsidRPr="00596E2E" w:rsidRDefault="005A2593" w:rsidP="005A2593">
            <w:pPr>
              <w:spacing w:after="0"/>
              <w:rPr>
                <w:rFonts w:ascii="Arial" w:eastAsia="Calibri" w:hAnsi="Arial" w:cs="Arial"/>
                <w:szCs w:val="22"/>
                <w:lang w:eastAsia="en-US"/>
              </w:rPr>
            </w:pP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period/date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value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546"/>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period/date (on which payment is based)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January – March 2015</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Final indicator value (payment threshold)</w:t>
            </w:r>
          </w:p>
        </w:tc>
        <w:tc>
          <w:tcPr>
            <w:tcW w:w="4932" w:type="dxa"/>
          </w:tcPr>
          <w:p w:rsidR="005A2593" w:rsidRPr="00596E2E" w:rsidRDefault="005A2593" w:rsidP="005A2593">
            <w:pPr>
              <w:autoSpaceDE w:val="0"/>
              <w:autoSpaceDN w:val="0"/>
              <w:adjustRightInd w:val="0"/>
              <w:spacing w:after="0"/>
              <w:rPr>
                <w:rFonts w:ascii="Arial" w:eastAsia="Calibri" w:hAnsi="Arial" w:cs="Arial"/>
                <w:szCs w:val="22"/>
                <w:lang w:eastAsia="en-US"/>
              </w:rPr>
            </w:pPr>
            <w:r w:rsidRPr="00596E2E">
              <w:rPr>
                <w:rFonts w:ascii="Arial" w:eastAsia="Calibri" w:hAnsi="Arial" w:cs="Arial"/>
                <w:szCs w:val="22"/>
                <w:lang w:eastAsia="en-US"/>
              </w:rPr>
              <w:t>90.0%</w:t>
            </w:r>
          </w:p>
        </w:tc>
      </w:tr>
      <w:tr w:rsidR="005A2593" w:rsidRPr="00596E2E" w:rsidTr="005F36AC">
        <w:trPr>
          <w:cantSplit/>
          <w:trHeight w:val="1069"/>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lastRenderedPageBreak/>
              <w:t>Rules for calculation of payment due at final indicator period/date (including evidence to be supplied to commissioner)</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Quarter 4 audit demonstrates that, for 90% of patients audited during the period, the provider has provided to the GP an up-to-date copy of the patient’s care plan, which sets out appropriate details of all of the following:</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all primary and secondary mental and physical health diagnosis, including ICD codes;</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medications prescribed and monitoring requirements; and</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proofErr w:type="gramStart"/>
            <w:r w:rsidRPr="00596E2E">
              <w:rPr>
                <w:rFonts w:ascii="Arial" w:eastAsia="Calibri" w:hAnsi="Arial" w:cs="Arial"/>
                <w:color w:val="000000"/>
                <w:szCs w:val="22"/>
                <w:lang w:eastAsia="en-US"/>
              </w:rPr>
              <w:t>physical</w:t>
            </w:r>
            <w:proofErr w:type="gramEnd"/>
            <w:r w:rsidRPr="00596E2E">
              <w:rPr>
                <w:rFonts w:ascii="Arial" w:eastAsia="Calibri" w:hAnsi="Arial" w:cs="Arial"/>
                <w:color w:val="000000"/>
                <w:szCs w:val="22"/>
                <w:lang w:eastAsia="en-US"/>
              </w:rPr>
              <w:t xml:space="preserve"> health condition and ongoing monitoring and treatment needs.</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reporting 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30 April 2015 </w:t>
            </w:r>
          </w:p>
        </w:tc>
      </w:tr>
      <w:tr w:rsidR="005A2593" w:rsidRPr="00596E2E" w:rsidTr="005F36AC">
        <w:trPr>
          <w:cantSplit/>
          <w:trHeight w:val="615"/>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Are there rules for any agreed in-year milestones that result in payment?</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Yes – see below</w:t>
            </w:r>
          </w:p>
        </w:tc>
      </w:tr>
      <w:tr w:rsidR="005A2593" w:rsidRPr="00596E2E" w:rsidTr="005F36AC">
        <w:trPr>
          <w:cantSplit/>
          <w:trHeight w:val="900"/>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Are there any rules for partial achievement of the indicator at the final indicator period/date?  </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Yes – see below</w:t>
            </w:r>
          </w:p>
        </w:tc>
      </w:tr>
    </w:tbl>
    <w:p w:rsidR="005A2593" w:rsidRPr="00596E2E" w:rsidRDefault="005A2593" w:rsidP="005A2593">
      <w:pPr>
        <w:spacing w:after="0"/>
        <w:rPr>
          <w:rFonts w:ascii="Arial" w:eastAsia="Calibri" w:hAnsi="Arial" w:cs="Arial"/>
          <w:szCs w:val="24"/>
          <w:lang w:eastAsia="en-US"/>
        </w:rPr>
      </w:pPr>
    </w:p>
    <w:p w:rsidR="005A2593" w:rsidRPr="00596E2E" w:rsidRDefault="005A2593" w:rsidP="005A2593">
      <w:pPr>
        <w:keepNext/>
        <w:spacing w:after="0"/>
        <w:rPr>
          <w:rFonts w:ascii="Arial" w:eastAsia="Calibri" w:hAnsi="Arial" w:cs="Arial"/>
          <w:b/>
          <w:bCs/>
          <w:szCs w:val="24"/>
          <w:lang w:eastAsia="en-US"/>
        </w:rPr>
      </w:pPr>
      <w:r w:rsidRPr="00596E2E">
        <w:rPr>
          <w:rFonts w:ascii="Arial" w:eastAsia="Calibri" w:hAnsi="Arial" w:cs="Arial"/>
          <w:b/>
          <w:bCs/>
          <w:szCs w:val="24"/>
          <w:lang w:eastAsia="en-US"/>
        </w:rPr>
        <w:t>Milestones</w:t>
      </w:r>
    </w:p>
    <w:p w:rsidR="005A2593" w:rsidRPr="00596E2E" w:rsidRDefault="005A2593" w:rsidP="005A2593">
      <w:pPr>
        <w:keepNext/>
        <w:spacing w:after="0"/>
        <w:rPr>
          <w:rFonts w:ascii="Arial" w:eastAsia="Calibri" w:hAnsi="Arial" w:cs="Arial"/>
          <w:szCs w:val="24"/>
          <w:lang w:eastAsia="en-US"/>
        </w:rPr>
      </w:pP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24"/>
        <w:gridCol w:w="4514"/>
        <w:gridCol w:w="1701"/>
        <w:gridCol w:w="1417"/>
      </w:tblGrid>
      <w:tr w:rsidR="005A2593" w:rsidRPr="00596E2E" w:rsidTr="005F36AC">
        <w:trPr>
          <w:cantSplit/>
          <w:trHeight w:val="782"/>
          <w:tblHeader/>
        </w:trPr>
        <w:tc>
          <w:tcPr>
            <w:tcW w:w="1724" w:type="dxa"/>
            <w:shd w:val="clear" w:color="auto" w:fill="C0C0C0"/>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Date/period milestone relates to</w:t>
            </w:r>
          </w:p>
        </w:tc>
        <w:tc>
          <w:tcPr>
            <w:tcW w:w="4514"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Rules for achievement of milestones (including evidence to be supplied to commissioner)</w:t>
            </w:r>
          </w:p>
        </w:tc>
        <w:tc>
          <w:tcPr>
            <w:tcW w:w="1701"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Date milestone to be reported</w:t>
            </w:r>
          </w:p>
        </w:tc>
        <w:tc>
          <w:tcPr>
            <w:tcW w:w="1417"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Milestone weighting (% of CQUIN scheme available)</w:t>
            </w:r>
          </w:p>
        </w:tc>
      </w:tr>
      <w:tr w:rsidR="005A2593" w:rsidRPr="00596E2E" w:rsidTr="005F36AC">
        <w:trPr>
          <w:cantSplit/>
          <w:trHeight w:val="300"/>
        </w:trPr>
        <w:tc>
          <w:tcPr>
            <w:tcW w:w="1724"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2</w:t>
            </w:r>
          </w:p>
        </w:tc>
        <w:tc>
          <w:tcPr>
            <w:tcW w:w="4514"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Times New Roman" w:hAnsi="Arial" w:cs="Arial"/>
                <w:color w:val="000000"/>
                <w:szCs w:val="22"/>
                <w:lang w:eastAsia="en-GB"/>
              </w:rPr>
              <w:t>Audit methodology and sampling approach agreed, baseline</w:t>
            </w:r>
            <w:r w:rsidRPr="00596E2E">
              <w:rPr>
                <w:rFonts w:ascii="Arial" w:eastAsia="Calibri" w:hAnsi="Arial" w:cs="Arial"/>
                <w:color w:val="000000"/>
                <w:szCs w:val="22"/>
                <w:lang w:eastAsia="en-US"/>
              </w:rPr>
              <w:t xml:space="preserve"> audit completed and findings reported</w:t>
            </w:r>
          </w:p>
        </w:tc>
        <w:tc>
          <w:tcPr>
            <w:tcW w:w="170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31 October 2014 </w:t>
            </w:r>
          </w:p>
        </w:tc>
        <w:tc>
          <w:tcPr>
            <w:tcW w:w="1417"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30%</w:t>
            </w:r>
          </w:p>
        </w:tc>
      </w:tr>
      <w:tr w:rsidR="005A2593" w:rsidRPr="00596E2E" w:rsidTr="005F36AC">
        <w:trPr>
          <w:cantSplit/>
          <w:trHeight w:val="300"/>
        </w:trPr>
        <w:tc>
          <w:tcPr>
            <w:tcW w:w="1724"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4</w:t>
            </w:r>
          </w:p>
        </w:tc>
        <w:tc>
          <w:tcPr>
            <w:tcW w:w="4514"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szCs w:val="22"/>
                <w:lang w:eastAsia="en-US"/>
              </w:rPr>
              <w:t xml:space="preserve">Final audit demonstrates that, for 90.0% of patients audited during the period, the provider </w:t>
            </w:r>
            <w:r w:rsidRPr="00596E2E">
              <w:rPr>
                <w:rFonts w:ascii="Arial" w:eastAsia="Calibri" w:hAnsi="Arial" w:cs="Arial"/>
                <w:color w:val="000000"/>
                <w:szCs w:val="22"/>
                <w:lang w:eastAsia="en-US"/>
              </w:rPr>
              <w:t>has provided to the GP an up-to-date copy of the patient’s care plan, which sets out appropriate details of all of the following:</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all primary and secondary mental and physical health diagnosis, including ICD codes;</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medications prescribed and monitoring requirements; and</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proofErr w:type="gramStart"/>
            <w:r w:rsidRPr="00596E2E">
              <w:rPr>
                <w:rFonts w:ascii="Arial" w:eastAsia="Calibri" w:hAnsi="Arial" w:cs="Arial"/>
                <w:color w:val="000000"/>
                <w:szCs w:val="22"/>
                <w:lang w:eastAsia="en-US"/>
              </w:rPr>
              <w:t>physical</w:t>
            </w:r>
            <w:proofErr w:type="gramEnd"/>
            <w:r w:rsidRPr="00596E2E">
              <w:rPr>
                <w:rFonts w:ascii="Arial" w:eastAsia="Calibri" w:hAnsi="Arial" w:cs="Arial"/>
                <w:color w:val="000000"/>
                <w:szCs w:val="22"/>
                <w:lang w:eastAsia="en-US"/>
              </w:rPr>
              <w:t xml:space="preserve"> health condition and ongoing monitoring and treatment needs.</w:t>
            </w:r>
          </w:p>
        </w:tc>
        <w:tc>
          <w:tcPr>
            <w:tcW w:w="1701"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 xml:space="preserve">30 April 2015 </w:t>
            </w:r>
          </w:p>
        </w:tc>
        <w:tc>
          <w:tcPr>
            <w:tcW w:w="1417"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70%</w:t>
            </w:r>
          </w:p>
        </w:tc>
      </w:tr>
    </w:tbl>
    <w:p w:rsidR="005A2593" w:rsidRPr="00596E2E" w:rsidRDefault="005A2593" w:rsidP="005A2593">
      <w:pPr>
        <w:spacing w:after="0"/>
        <w:rPr>
          <w:rFonts w:ascii="Arial" w:eastAsia="Calibri" w:hAnsi="Arial" w:cs="Arial"/>
          <w:szCs w:val="22"/>
          <w:lang w:eastAsia="en-US"/>
        </w:rPr>
      </w:pPr>
    </w:p>
    <w:p w:rsidR="005A2593" w:rsidRPr="00596E2E" w:rsidRDefault="005A2593" w:rsidP="005A2593">
      <w:pPr>
        <w:spacing w:after="0"/>
        <w:rPr>
          <w:rFonts w:ascii="Arial" w:eastAsia="Times New Roman" w:hAnsi="Arial" w:cs="Arial"/>
          <w:color w:val="000000"/>
          <w:szCs w:val="22"/>
          <w:lang w:eastAsia="en-GB"/>
        </w:rPr>
      </w:pPr>
      <w:r w:rsidRPr="00596E2E">
        <w:rPr>
          <w:rFonts w:ascii="Arial" w:eastAsia="Calibri" w:hAnsi="Arial" w:cs="Arial"/>
          <w:szCs w:val="22"/>
          <w:lang w:eastAsia="en-US"/>
        </w:rPr>
        <w:br w:type="page"/>
      </w:r>
      <w:r w:rsidRPr="00596E2E">
        <w:rPr>
          <w:rFonts w:ascii="Arial" w:eastAsia="Times New Roman" w:hAnsi="Arial" w:cs="Arial"/>
          <w:b/>
          <w:bCs/>
          <w:color w:val="000000"/>
          <w:szCs w:val="22"/>
          <w:lang w:eastAsia="en-GB"/>
        </w:rPr>
        <w:lastRenderedPageBreak/>
        <w:t>Rules for partial achievement at final indicator period/date</w:t>
      </w:r>
      <w:r w:rsidRPr="00596E2E">
        <w:rPr>
          <w:rFonts w:ascii="Arial" w:eastAsia="Times New Roman" w:hAnsi="Arial" w:cs="Arial"/>
          <w:color w:val="000000"/>
          <w:szCs w:val="22"/>
          <w:lang w:eastAsia="en-GB"/>
        </w:rPr>
        <w:t xml:space="preserve"> </w:t>
      </w:r>
    </w:p>
    <w:p w:rsidR="005A2593" w:rsidRPr="00596E2E" w:rsidRDefault="005A2593" w:rsidP="005A2593">
      <w:pPr>
        <w:spacing w:after="0"/>
        <w:rPr>
          <w:rFonts w:ascii="Arial" w:eastAsia="Times New Roman" w:hAnsi="Arial" w:cs="Arial"/>
          <w:color w:val="000000"/>
          <w:szCs w:val="22"/>
          <w:lang w:eastAsia="en-GB"/>
        </w:rPr>
      </w:pPr>
    </w:p>
    <w:p w:rsidR="005A2593" w:rsidRPr="00596E2E" w:rsidRDefault="005A2593" w:rsidP="005A2593">
      <w:pPr>
        <w:spacing w:after="0"/>
        <w:rPr>
          <w:rFonts w:ascii="Arial" w:eastAsia="Times New Roman" w:hAnsi="Arial" w:cs="Arial"/>
          <w:color w:val="000000"/>
          <w:szCs w:val="22"/>
          <w:lang w:eastAsia="en-GB"/>
        </w:rPr>
      </w:pPr>
      <w:r w:rsidRPr="00596E2E">
        <w:rPr>
          <w:rFonts w:ascii="Arial" w:eastAsia="Times New Roman" w:hAnsi="Arial" w:cs="Arial"/>
          <w:color w:val="000000"/>
          <w:szCs w:val="22"/>
          <w:lang w:eastAsia="en-GB"/>
        </w:rPr>
        <w:t xml:space="preserve">This provides for a sliding scale of payment in relation to the 70% element of the indicator which is payable on the basis of the actual audit results for Quarter 4. </w:t>
      </w:r>
    </w:p>
    <w:p w:rsidR="005A2593" w:rsidRPr="00596E2E" w:rsidRDefault="005A2593" w:rsidP="005A2593">
      <w:pPr>
        <w:spacing w:after="0"/>
        <w:rPr>
          <w:rFonts w:ascii="Arial" w:eastAsia="Times New Roman" w:hAnsi="Arial" w:cs="Arial"/>
          <w:b/>
          <w:szCs w:val="22"/>
          <w:lang w:eastAsia="en-GB"/>
        </w:rPr>
      </w:pPr>
    </w:p>
    <w:tbl>
      <w:tblPr>
        <w:tblW w:w="9356" w:type="dxa"/>
        <w:tblInd w:w="-176" w:type="dxa"/>
        <w:tblLook w:val="0000" w:firstRow="0" w:lastRow="0" w:firstColumn="0" w:lastColumn="0" w:noHBand="0" w:noVBand="0"/>
      </w:tblPr>
      <w:tblGrid>
        <w:gridCol w:w="4395"/>
        <w:gridCol w:w="4961"/>
      </w:tblGrid>
      <w:tr w:rsidR="005A2593" w:rsidRPr="00596E2E" w:rsidTr="005F36AC">
        <w:trPr>
          <w:trHeight w:val="300"/>
          <w:tblHeader/>
        </w:trPr>
        <w:tc>
          <w:tcPr>
            <w:tcW w:w="4395" w:type="dxa"/>
            <w:tcBorders>
              <w:top w:val="single" w:sz="4" w:space="0" w:color="auto"/>
              <w:left w:val="single" w:sz="4" w:space="0" w:color="auto"/>
              <w:bottom w:val="single" w:sz="4" w:space="0" w:color="auto"/>
              <w:right w:val="nil"/>
            </w:tcBorders>
            <w:shd w:val="clear" w:color="auto" w:fill="C0C0C0"/>
            <w:noWrap/>
          </w:tcPr>
          <w:p w:rsidR="005A2593" w:rsidRPr="00596E2E" w:rsidRDefault="005A2593" w:rsidP="005A2593">
            <w:pPr>
              <w:spacing w:after="0"/>
              <w:rPr>
                <w:rFonts w:ascii="Arial" w:eastAsia="Times New Roman" w:hAnsi="Arial" w:cs="Arial"/>
                <w:b/>
                <w:bCs/>
                <w:color w:val="000000"/>
                <w:szCs w:val="22"/>
                <w:lang w:eastAsia="en-GB"/>
              </w:rPr>
            </w:pPr>
            <w:r w:rsidRPr="00596E2E">
              <w:rPr>
                <w:rFonts w:ascii="Arial" w:eastAsia="Times New Roman" w:hAnsi="Arial" w:cs="Arial"/>
                <w:b/>
                <w:bCs/>
                <w:color w:val="000000"/>
                <w:szCs w:val="22"/>
                <w:lang w:eastAsia="en-GB"/>
              </w:rPr>
              <w:t>Final indicator value for the partial achievement threshold</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5A2593" w:rsidRPr="00596E2E" w:rsidRDefault="005A2593" w:rsidP="005A2593">
            <w:pPr>
              <w:spacing w:after="0"/>
              <w:rPr>
                <w:rFonts w:ascii="Arial" w:eastAsia="Times New Roman" w:hAnsi="Arial" w:cs="Arial"/>
                <w:b/>
                <w:bCs/>
                <w:color w:val="000000"/>
                <w:szCs w:val="22"/>
                <w:lang w:eastAsia="en-GB"/>
              </w:rPr>
            </w:pPr>
            <w:r w:rsidRPr="00596E2E">
              <w:rPr>
                <w:rFonts w:ascii="Arial" w:eastAsia="Times New Roman" w:hAnsi="Arial" w:cs="Arial"/>
                <w:b/>
                <w:bCs/>
                <w:color w:val="000000"/>
                <w:szCs w:val="22"/>
                <w:lang w:eastAsia="en-GB"/>
              </w:rPr>
              <w:t>% of CQUIN scheme available for meeting final indicator value</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49.9% or less</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No payment</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50.0% to 69.9%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25 % payment</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70.0% to 79.9%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50% payment</w:t>
            </w:r>
          </w:p>
        </w:tc>
      </w:tr>
      <w:tr w:rsidR="005A2593" w:rsidRPr="00596E2E" w:rsidTr="005F36AC">
        <w:trPr>
          <w:trHeight w:val="379"/>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80.0% to 89.9%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75% payment</w:t>
            </w:r>
          </w:p>
        </w:tc>
      </w:tr>
      <w:tr w:rsidR="005A2593" w:rsidRPr="00596E2E" w:rsidTr="005F36AC">
        <w:trPr>
          <w:trHeight w:val="347"/>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90.0% or above</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100% payment</w:t>
            </w:r>
          </w:p>
        </w:tc>
      </w:tr>
    </w:tbl>
    <w:p w:rsidR="005A2593" w:rsidRPr="00596E2E" w:rsidRDefault="005A2593" w:rsidP="005A2593">
      <w:pPr>
        <w:spacing w:after="0"/>
        <w:rPr>
          <w:rFonts w:ascii="Arial" w:eastAsia="Calibri" w:hAnsi="Arial" w:cs="Arial"/>
          <w:szCs w:val="22"/>
          <w:lang w:eastAsia="en-US"/>
        </w:rPr>
        <w:sectPr w:rsidR="005A2593" w:rsidRPr="00596E2E">
          <w:pgSz w:w="11906" w:h="16838"/>
          <w:pgMar w:top="1440" w:right="1440" w:bottom="1440" w:left="1440" w:header="708" w:footer="708" w:gutter="0"/>
          <w:cols w:space="708"/>
          <w:docGrid w:linePitch="360"/>
        </w:sectPr>
      </w:pPr>
    </w:p>
    <w:p w:rsidR="0001303D" w:rsidRPr="0001303D" w:rsidRDefault="0001303D" w:rsidP="0001303D">
      <w:pPr>
        <w:rPr>
          <w:szCs w:val="24"/>
        </w:rPr>
      </w:pPr>
      <w:r w:rsidRPr="0001303D">
        <w:rPr>
          <w:rFonts w:ascii="Arial" w:eastAsia="Times New Roman" w:hAnsi="Arial" w:cs="Arial"/>
          <w:b/>
          <w:bCs/>
          <w:szCs w:val="24"/>
        </w:rPr>
        <w:lastRenderedPageBreak/>
        <w:t>Template for indicators for local CQUINs (from CQUIN Guidance Appendix C)</w:t>
      </w: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01303D" w:rsidRPr="002200EB" w:rsidTr="004433C0">
        <w:trPr>
          <w:cantSplit/>
          <w:trHeight w:val="300"/>
        </w:trPr>
        <w:tc>
          <w:tcPr>
            <w:tcW w:w="9077" w:type="dxa"/>
            <w:gridSpan w:val="2"/>
          </w:tcPr>
          <w:p w:rsidR="0001303D" w:rsidRPr="002200EB" w:rsidRDefault="0001303D" w:rsidP="004433C0">
            <w:pPr>
              <w:keepNext/>
              <w:spacing w:after="0"/>
              <w:jc w:val="center"/>
              <w:rPr>
                <w:rFonts w:ascii="Arial" w:hAnsi="Arial" w:cs="Arial"/>
                <w:b/>
                <w:bCs/>
                <w:color w:val="000000"/>
              </w:rPr>
            </w:pPr>
            <w:r>
              <w:rPr>
                <w:rFonts w:ascii="Arial" w:hAnsi="Arial" w:cs="Arial"/>
                <w:b/>
                <w:bCs/>
                <w:color w:val="000000"/>
              </w:rPr>
              <w:t>Indicator</w:t>
            </w:r>
          </w:p>
        </w:tc>
      </w:tr>
      <w:tr w:rsidR="0001303D" w:rsidRPr="002200EB" w:rsidTr="004433C0">
        <w:trPr>
          <w:cantSplit/>
          <w:trHeight w:val="300"/>
        </w:trPr>
        <w:tc>
          <w:tcPr>
            <w:tcW w:w="4145" w:type="dxa"/>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Indicator number</w:t>
            </w:r>
          </w:p>
        </w:tc>
        <w:tc>
          <w:tcPr>
            <w:tcW w:w="4932" w:type="dxa"/>
            <w:noWrap/>
          </w:tcPr>
          <w:p w:rsidR="0001303D" w:rsidRPr="002200EB" w:rsidRDefault="0001303D" w:rsidP="004433C0">
            <w:pPr>
              <w:keepNext/>
              <w:spacing w:after="0"/>
              <w:rPr>
                <w:rFonts w:ascii="Arial" w:hAnsi="Arial" w:cs="Arial"/>
                <w:color w:val="000000"/>
              </w:rPr>
            </w:pPr>
          </w:p>
        </w:tc>
      </w:tr>
      <w:tr w:rsidR="0001303D" w:rsidRPr="002200EB" w:rsidTr="004433C0">
        <w:trPr>
          <w:cantSplit/>
          <w:trHeight w:val="300"/>
        </w:trPr>
        <w:tc>
          <w:tcPr>
            <w:tcW w:w="4145" w:type="dxa"/>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Indicator name</w:t>
            </w:r>
          </w:p>
        </w:tc>
        <w:tc>
          <w:tcPr>
            <w:tcW w:w="4932" w:type="dxa"/>
            <w:noWrap/>
          </w:tcPr>
          <w:p w:rsidR="0001303D" w:rsidRPr="002200EB" w:rsidRDefault="0001303D" w:rsidP="004433C0">
            <w:pPr>
              <w:keepNext/>
              <w:spacing w:after="0"/>
              <w:rPr>
                <w:rFonts w:ascii="Arial" w:hAnsi="Arial" w:cs="Arial"/>
                <w:color w:val="000000"/>
              </w:rPr>
            </w:pPr>
          </w:p>
        </w:tc>
      </w:tr>
      <w:tr w:rsidR="0001303D" w:rsidRPr="002200EB" w:rsidTr="004433C0">
        <w:trPr>
          <w:cantSplit/>
          <w:trHeight w:val="600"/>
        </w:trPr>
        <w:tc>
          <w:tcPr>
            <w:tcW w:w="4145" w:type="dxa"/>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 xml:space="preserve">Indicator weighting </w:t>
            </w:r>
            <w:r w:rsidRPr="002200EB">
              <w:rPr>
                <w:rFonts w:ascii="Arial" w:hAnsi="Arial" w:cs="Arial"/>
                <w:b/>
                <w:bCs/>
                <w:color w:val="000000"/>
              </w:rPr>
              <w:br/>
              <w:t>(% of CQUIN scheme available)</w:t>
            </w:r>
          </w:p>
        </w:tc>
        <w:tc>
          <w:tcPr>
            <w:tcW w:w="4932" w:type="dxa"/>
            <w:noWrap/>
          </w:tcPr>
          <w:p w:rsidR="0001303D" w:rsidRPr="002200EB" w:rsidRDefault="0001303D" w:rsidP="004433C0">
            <w:pPr>
              <w:keepNext/>
              <w:spacing w:after="0"/>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Description of indicator</w:t>
            </w:r>
          </w:p>
        </w:tc>
        <w:tc>
          <w:tcPr>
            <w:tcW w:w="4932" w:type="dxa"/>
          </w:tcPr>
          <w:p w:rsidR="0001303D" w:rsidRPr="002200EB" w:rsidRDefault="0001303D" w:rsidP="004433C0">
            <w:pPr>
              <w:keepNext/>
              <w:spacing w:after="0"/>
              <w:contextualSpacing/>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Numerator</w:t>
            </w:r>
          </w:p>
        </w:tc>
        <w:tc>
          <w:tcPr>
            <w:tcW w:w="4932" w:type="dxa"/>
          </w:tcPr>
          <w:p w:rsidR="0001303D" w:rsidRPr="002200EB" w:rsidRDefault="0001303D" w:rsidP="004433C0">
            <w:pPr>
              <w:keepNext/>
              <w:spacing w:after="0"/>
              <w:contextualSpacing/>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Denominator</w:t>
            </w:r>
          </w:p>
        </w:tc>
        <w:tc>
          <w:tcPr>
            <w:tcW w:w="4932" w:type="dxa"/>
          </w:tcPr>
          <w:p w:rsidR="0001303D" w:rsidRPr="002200EB" w:rsidRDefault="0001303D" w:rsidP="004433C0">
            <w:pPr>
              <w:keepNext/>
              <w:spacing w:after="0"/>
              <w:contextualSpacing/>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Rationale for inclusion</w:t>
            </w:r>
          </w:p>
        </w:tc>
        <w:tc>
          <w:tcPr>
            <w:tcW w:w="4932" w:type="dxa"/>
          </w:tcPr>
          <w:p w:rsidR="0001303D" w:rsidRPr="002200EB" w:rsidRDefault="0001303D" w:rsidP="004433C0">
            <w:pPr>
              <w:keepNext/>
              <w:spacing w:after="0"/>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Data source</w:t>
            </w:r>
          </w:p>
        </w:tc>
        <w:tc>
          <w:tcPr>
            <w:tcW w:w="4932" w:type="dxa"/>
          </w:tcPr>
          <w:p w:rsidR="0001303D" w:rsidRPr="002200EB" w:rsidRDefault="0001303D" w:rsidP="004433C0">
            <w:pPr>
              <w:keepNext/>
              <w:spacing w:after="0"/>
              <w:contextualSpacing/>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Frequency of data collection</w:t>
            </w:r>
          </w:p>
        </w:tc>
        <w:tc>
          <w:tcPr>
            <w:tcW w:w="4932" w:type="dxa"/>
          </w:tcPr>
          <w:p w:rsidR="0001303D" w:rsidRPr="002200EB" w:rsidRDefault="0001303D" w:rsidP="004433C0">
            <w:pPr>
              <w:keepNext/>
              <w:spacing w:after="0"/>
              <w:contextualSpacing/>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Organisation responsible for data collection</w:t>
            </w:r>
          </w:p>
        </w:tc>
        <w:tc>
          <w:tcPr>
            <w:tcW w:w="4932" w:type="dxa"/>
          </w:tcPr>
          <w:p w:rsidR="0001303D" w:rsidRPr="002200EB" w:rsidRDefault="0001303D" w:rsidP="004433C0">
            <w:pPr>
              <w:keepNext/>
              <w:spacing w:after="0"/>
              <w:contextualSpacing/>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Frequency of reporting to commissioner</w:t>
            </w:r>
          </w:p>
        </w:tc>
        <w:tc>
          <w:tcPr>
            <w:tcW w:w="4932" w:type="dxa"/>
          </w:tcPr>
          <w:p w:rsidR="0001303D" w:rsidRPr="002200EB" w:rsidRDefault="0001303D" w:rsidP="004433C0">
            <w:pPr>
              <w:keepNext/>
              <w:spacing w:after="0"/>
              <w:contextualSpacing/>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Baseline period/date</w:t>
            </w:r>
          </w:p>
        </w:tc>
        <w:tc>
          <w:tcPr>
            <w:tcW w:w="4932" w:type="dxa"/>
          </w:tcPr>
          <w:p w:rsidR="0001303D" w:rsidRPr="002200EB" w:rsidRDefault="0001303D" w:rsidP="004433C0">
            <w:pPr>
              <w:keepNext/>
              <w:spacing w:after="0"/>
              <w:contextualSpacing/>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Baseline value</w:t>
            </w:r>
          </w:p>
        </w:tc>
        <w:tc>
          <w:tcPr>
            <w:tcW w:w="4932" w:type="dxa"/>
          </w:tcPr>
          <w:p w:rsidR="0001303D" w:rsidRPr="002200EB" w:rsidRDefault="0001303D" w:rsidP="004433C0">
            <w:pPr>
              <w:keepNext/>
              <w:spacing w:after="0"/>
              <w:contextualSpacing/>
              <w:rPr>
                <w:rFonts w:ascii="Arial" w:hAnsi="Arial" w:cs="Arial"/>
                <w:color w:val="000000"/>
              </w:rPr>
            </w:pPr>
          </w:p>
        </w:tc>
      </w:tr>
      <w:tr w:rsidR="0001303D" w:rsidRPr="002200EB" w:rsidTr="004433C0">
        <w:trPr>
          <w:cantSplit/>
          <w:trHeight w:val="546"/>
        </w:trPr>
        <w:tc>
          <w:tcPr>
            <w:tcW w:w="4145" w:type="dxa"/>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Final indicator period/date (on which payment is based)</w:t>
            </w:r>
          </w:p>
        </w:tc>
        <w:tc>
          <w:tcPr>
            <w:tcW w:w="4932" w:type="dxa"/>
          </w:tcPr>
          <w:p w:rsidR="0001303D" w:rsidRPr="002200EB" w:rsidRDefault="0001303D" w:rsidP="004433C0">
            <w:pPr>
              <w:keepNext/>
              <w:autoSpaceDE w:val="0"/>
              <w:autoSpaceDN w:val="0"/>
              <w:adjustRightInd w:val="0"/>
              <w:spacing w:after="0"/>
              <w:contextualSpacing/>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Final indicator value (payment threshold)</w:t>
            </w:r>
          </w:p>
        </w:tc>
        <w:tc>
          <w:tcPr>
            <w:tcW w:w="4932" w:type="dxa"/>
          </w:tcPr>
          <w:p w:rsidR="0001303D" w:rsidRPr="002200EB" w:rsidRDefault="0001303D" w:rsidP="004433C0">
            <w:pPr>
              <w:keepNext/>
              <w:autoSpaceDE w:val="0"/>
              <w:autoSpaceDN w:val="0"/>
              <w:adjustRightInd w:val="0"/>
              <w:spacing w:after="0"/>
              <w:contextualSpacing/>
              <w:rPr>
                <w:rFonts w:ascii="Arial" w:hAnsi="Arial" w:cs="Arial"/>
                <w:color w:val="000000"/>
              </w:rPr>
            </w:pPr>
          </w:p>
        </w:tc>
      </w:tr>
      <w:tr w:rsidR="0001303D" w:rsidRPr="002200EB" w:rsidTr="004433C0">
        <w:trPr>
          <w:cantSplit/>
          <w:trHeight w:val="300"/>
        </w:trPr>
        <w:tc>
          <w:tcPr>
            <w:tcW w:w="4145" w:type="dxa"/>
            <w:noWrap/>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Final indicator reporting date</w:t>
            </w:r>
          </w:p>
        </w:tc>
        <w:tc>
          <w:tcPr>
            <w:tcW w:w="4932" w:type="dxa"/>
          </w:tcPr>
          <w:p w:rsidR="0001303D" w:rsidRPr="004D7FDF" w:rsidRDefault="0001303D" w:rsidP="004433C0">
            <w:pPr>
              <w:keepNext/>
              <w:spacing w:after="0"/>
              <w:contextualSpacing/>
              <w:rPr>
                <w:rFonts w:ascii="Arial" w:hAnsi="Arial" w:cs="Arial"/>
              </w:rPr>
            </w:pPr>
          </w:p>
        </w:tc>
      </w:tr>
      <w:tr w:rsidR="0001303D" w:rsidRPr="002200EB" w:rsidTr="004433C0">
        <w:trPr>
          <w:cantSplit/>
          <w:trHeight w:val="615"/>
        </w:trPr>
        <w:tc>
          <w:tcPr>
            <w:tcW w:w="4145" w:type="dxa"/>
          </w:tcPr>
          <w:p w:rsidR="0001303D" w:rsidRPr="002200EB" w:rsidRDefault="0001303D" w:rsidP="004433C0">
            <w:pPr>
              <w:keepNext/>
              <w:spacing w:after="0"/>
              <w:rPr>
                <w:rFonts w:ascii="Arial" w:hAnsi="Arial" w:cs="Arial"/>
                <w:b/>
                <w:bCs/>
                <w:color w:val="000000"/>
              </w:rPr>
            </w:pPr>
            <w:r w:rsidRPr="002200EB">
              <w:rPr>
                <w:rFonts w:ascii="Arial" w:hAnsi="Arial" w:cs="Arial"/>
                <w:b/>
                <w:bCs/>
                <w:color w:val="000000"/>
              </w:rPr>
              <w:t>Are there rules for any agreed in-year milestones that result in payment?</w:t>
            </w:r>
          </w:p>
        </w:tc>
        <w:tc>
          <w:tcPr>
            <w:tcW w:w="4932" w:type="dxa"/>
          </w:tcPr>
          <w:p w:rsidR="0001303D" w:rsidRPr="004D7FDF" w:rsidRDefault="0001303D" w:rsidP="004433C0">
            <w:pPr>
              <w:keepNext/>
              <w:autoSpaceDE w:val="0"/>
              <w:autoSpaceDN w:val="0"/>
              <w:adjustRightInd w:val="0"/>
              <w:spacing w:after="0"/>
              <w:contextualSpacing/>
              <w:rPr>
                <w:rFonts w:ascii="Arial" w:hAnsi="Arial" w:cs="Arial"/>
              </w:rPr>
            </w:pPr>
          </w:p>
        </w:tc>
      </w:tr>
      <w:tr w:rsidR="0001303D" w:rsidRPr="002200EB" w:rsidTr="004433C0">
        <w:trPr>
          <w:cantSplit/>
          <w:trHeight w:val="900"/>
        </w:trPr>
        <w:tc>
          <w:tcPr>
            <w:tcW w:w="4145" w:type="dxa"/>
          </w:tcPr>
          <w:p w:rsidR="0001303D" w:rsidRPr="002200EB" w:rsidRDefault="0001303D" w:rsidP="004433C0">
            <w:pPr>
              <w:spacing w:after="0"/>
              <w:rPr>
                <w:rFonts w:ascii="Arial" w:hAnsi="Arial" w:cs="Arial"/>
                <w:b/>
                <w:bCs/>
                <w:color w:val="000000"/>
              </w:rPr>
            </w:pPr>
            <w:r w:rsidRPr="002200EB">
              <w:rPr>
                <w:rFonts w:ascii="Arial" w:hAnsi="Arial" w:cs="Arial"/>
                <w:b/>
                <w:bCs/>
                <w:color w:val="000000"/>
              </w:rPr>
              <w:t>Are there any rules for partial achievement of the indicator at the final indicator period/date?</w:t>
            </w:r>
          </w:p>
        </w:tc>
        <w:tc>
          <w:tcPr>
            <w:tcW w:w="4932" w:type="dxa"/>
          </w:tcPr>
          <w:p w:rsidR="0001303D" w:rsidRPr="002200EB" w:rsidRDefault="0001303D" w:rsidP="004433C0">
            <w:pPr>
              <w:spacing w:after="0"/>
              <w:rPr>
                <w:rFonts w:ascii="Arial" w:hAnsi="Arial" w:cs="Arial"/>
                <w:color w:val="000000"/>
              </w:rPr>
            </w:pPr>
          </w:p>
        </w:tc>
      </w:tr>
    </w:tbl>
    <w:p w:rsidR="0001303D" w:rsidRPr="002200EB" w:rsidRDefault="0001303D" w:rsidP="0001303D">
      <w:pPr>
        <w:rPr>
          <w:rFonts w:ascii="Arial" w:hAnsi="Arial" w:cs="Arial"/>
          <w:szCs w:val="24"/>
        </w:rPr>
      </w:pPr>
      <w:r>
        <w:rPr>
          <w:rFonts w:ascii="Arial" w:hAnsi="Arial" w:cs="Arial"/>
          <w:b/>
          <w:bCs/>
          <w:szCs w:val="24"/>
        </w:rPr>
        <w:br w:type="page"/>
      </w:r>
      <w:r w:rsidRPr="002200EB">
        <w:rPr>
          <w:rFonts w:ascii="Arial" w:hAnsi="Arial" w:cs="Arial"/>
          <w:b/>
          <w:bCs/>
          <w:szCs w:val="24"/>
        </w:rPr>
        <w:lastRenderedPageBreak/>
        <w:t>Milestones</w:t>
      </w:r>
    </w:p>
    <w:p w:rsidR="0001303D" w:rsidRPr="002200EB" w:rsidRDefault="0001303D" w:rsidP="0001303D">
      <w:pPr>
        <w:spacing w:after="0"/>
        <w:rPr>
          <w:rFonts w:ascii="Arial" w:eastAsia="Times New Roman" w:hAnsi="Arial" w:cs="Arial"/>
          <w:b/>
          <w:color w:val="000000"/>
          <w:szCs w:val="24"/>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8"/>
        <w:gridCol w:w="4431"/>
        <w:gridCol w:w="1689"/>
        <w:gridCol w:w="1414"/>
      </w:tblGrid>
      <w:tr w:rsidR="0001303D" w:rsidRPr="002200EB" w:rsidTr="004433C0">
        <w:trPr>
          <w:cantSplit/>
          <w:trHeight w:val="782"/>
          <w:tblHeader/>
        </w:trPr>
        <w:tc>
          <w:tcPr>
            <w:tcW w:w="1440" w:type="dxa"/>
            <w:shd w:val="clear" w:color="auto" w:fill="C0C0C0"/>
            <w:noWrap/>
          </w:tcPr>
          <w:p w:rsidR="0001303D" w:rsidRPr="002200EB" w:rsidRDefault="0001303D" w:rsidP="004433C0">
            <w:pPr>
              <w:spacing w:after="0"/>
              <w:rPr>
                <w:rFonts w:ascii="Arial" w:hAnsi="Arial" w:cs="Arial"/>
                <w:b/>
                <w:bCs/>
              </w:rPr>
            </w:pPr>
            <w:r w:rsidRPr="002200EB">
              <w:rPr>
                <w:rFonts w:ascii="Arial" w:hAnsi="Arial" w:cs="Arial"/>
                <w:b/>
                <w:bCs/>
              </w:rPr>
              <w:t>Date/period milestone relates to</w:t>
            </w:r>
          </w:p>
        </w:tc>
        <w:tc>
          <w:tcPr>
            <w:tcW w:w="4514" w:type="dxa"/>
            <w:shd w:val="clear" w:color="auto" w:fill="C0C0C0"/>
          </w:tcPr>
          <w:p w:rsidR="0001303D" w:rsidRPr="002200EB" w:rsidRDefault="0001303D" w:rsidP="004433C0">
            <w:pPr>
              <w:spacing w:after="0"/>
              <w:rPr>
                <w:rFonts w:ascii="Arial" w:hAnsi="Arial" w:cs="Arial"/>
                <w:b/>
                <w:bCs/>
              </w:rPr>
            </w:pPr>
            <w:r w:rsidRPr="002200EB">
              <w:rPr>
                <w:rFonts w:ascii="Arial" w:hAnsi="Arial" w:cs="Arial"/>
                <w:b/>
                <w:bCs/>
              </w:rPr>
              <w:t>Rules for achievement of milestones (including evidence to be supplied to commissioner)</w:t>
            </w:r>
          </w:p>
        </w:tc>
        <w:tc>
          <w:tcPr>
            <w:tcW w:w="1701" w:type="dxa"/>
            <w:shd w:val="clear" w:color="auto" w:fill="C0C0C0"/>
          </w:tcPr>
          <w:p w:rsidR="0001303D" w:rsidRPr="002200EB" w:rsidRDefault="0001303D" w:rsidP="004433C0">
            <w:pPr>
              <w:spacing w:after="0"/>
              <w:rPr>
                <w:rFonts w:ascii="Arial" w:hAnsi="Arial" w:cs="Arial"/>
                <w:b/>
                <w:bCs/>
              </w:rPr>
            </w:pPr>
            <w:r w:rsidRPr="002200EB">
              <w:rPr>
                <w:rFonts w:ascii="Arial" w:hAnsi="Arial" w:cs="Arial"/>
                <w:b/>
                <w:bCs/>
              </w:rPr>
              <w:t>Date milestone to be reported</w:t>
            </w:r>
          </w:p>
        </w:tc>
        <w:tc>
          <w:tcPr>
            <w:tcW w:w="1417" w:type="dxa"/>
            <w:shd w:val="clear" w:color="auto" w:fill="C0C0C0"/>
          </w:tcPr>
          <w:p w:rsidR="0001303D" w:rsidRPr="002200EB" w:rsidRDefault="0001303D" w:rsidP="004433C0">
            <w:pPr>
              <w:spacing w:after="0"/>
              <w:rPr>
                <w:rFonts w:ascii="Arial" w:hAnsi="Arial" w:cs="Arial"/>
                <w:b/>
                <w:bCs/>
              </w:rPr>
            </w:pPr>
            <w:r w:rsidRPr="002200EB">
              <w:rPr>
                <w:rFonts w:ascii="Arial" w:hAnsi="Arial" w:cs="Arial"/>
                <w:b/>
                <w:bCs/>
              </w:rPr>
              <w:t>Milestone weighting (% of CQUIN scheme available)</w:t>
            </w:r>
          </w:p>
        </w:tc>
      </w:tr>
      <w:tr w:rsidR="0001303D" w:rsidRPr="002200EB" w:rsidTr="004433C0">
        <w:trPr>
          <w:cantSplit/>
          <w:trHeight w:val="300"/>
        </w:trPr>
        <w:tc>
          <w:tcPr>
            <w:tcW w:w="1440" w:type="dxa"/>
          </w:tcPr>
          <w:p w:rsidR="0001303D" w:rsidRPr="002200EB" w:rsidRDefault="0001303D" w:rsidP="004433C0">
            <w:pPr>
              <w:spacing w:after="0"/>
              <w:rPr>
                <w:rFonts w:ascii="Arial" w:hAnsi="Arial" w:cs="Arial"/>
              </w:rPr>
            </w:pPr>
            <w:r w:rsidRPr="002200EB">
              <w:rPr>
                <w:rFonts w:ascii="Arial" w:hAnsi="Arial" w:cs="Arial"/>
              </w:rPr>
              <w:t>Quarter 1</w:t>
            </w:r>
          </w:p>
        </w:tc>
        <w:tc>
          <w:tcPr>
            <w:tcW w:w="4514" w:type="dxa"/>
          </w:tcPr>
          <w:p w:rsidR="0001303D" w:rsidRPr="002200EB" w:rsidRDefault="0001303D" w:rsidP="004433C0">
            <w:pPr>
              <w:spacing w:after="0"/>
              <w:rPr>
                <w:rFonts w:ascii="Arial" w:eastAsia="Times New Roman" w:hAnsi="Arial" w:cs="Arial"/>
                <w:lang w:eastAsia="en-GB"/>
              </w:rPr>
            </w:pPr>
          </w:p>
        </w:tc>
        <w:tc>
          <w:tcPr>
            <w:tcW w:w="1701" w:type="dxa"/>
          </w:tcPr>
          <w:p w:rsidR="0001303D" w:rsidRPr="002200EB" w:rsidRDefault="0001303D" w:rsidP="004433C0">
            <w:pPr>
              <w:spacing w:after="0"/>
              <w:rPr>
                <w:rFonts w:ascii="Arial" w:hAnsi="Arial" w:cs="Arial"/>
              </w:rPr>
            </w:pPr>
          </w:p>
        </w:tc>
        <w:tc>
          <w:tcPr>
            <w:tcW w:w="1417" w:type="dxa"/>
          </w:tcPr>
          <w:p w:rsidR="0001303D" w:rsidRPr="002200EB" w:rsidRDefault="0001303D" w:rsidP="004433C0">
            <w:pPr>
              <w:spacing w:after="0"/>
              <w:rPr>
                <w:rFonts w:ascii="Arial" w:hAnsi="Arial" w:cs="Arial"/>
              </w:rPr>
            </w:pPr>
          </w:p>
        </w:tc>
      </w:tr>
      <w:tr w:rsidR="0001303D" w:rsidRPr="002200EB" w:rsidTr="004433C0">
        <w:trPr>
          <w:cantSplit/>
          <w:trHeight w:val="300"/>
        </w:trPr>
        <w:tc>
          <w:tcPr>
            <w:tcW w:w="1440" w:type="dxa"/>
          </w:tcPr>
          <w:p w:rsidR="0001303D" w:rsidRPr="002200EB" w:rsidRDefault="0001303D" w:rsidP="004433C0">
            <w:pPr>
              <w:spacing w:after="0"/>
              <w:rPr>
                <w:rFonts w:ascii="Arial" w:hAnsi="Arial" w:cs="Arial"/>
              </w:rPr>
            </w:pPr>
            <w:r w:rsidRPr="002200EB">
              <w:rPr>
                <w:rFonts w:ascii="Arial" w:hAnsi="Arial" w:cs="Arial"/>
              </w:rPr>
              <w:t>Quarter 2</w:t>
            </w:r>
          </w:p>
        </w:tc>
        <w:tc>
          <w:tcPr>
            <w:tcW w:w="4514" w:type="dxa"/>
          </w:tcPr>
          <w:p w:rsidR="0001303D" w:rsidRPr="002200EB" w:rsidRDefault="0001303D" w:rsidP="004433C0">
            <w:pPr>
              <w:spacing w:after="0"/>
              <w:rPr>
                <w:rFonts w:ascii="Arial" w:hAnsi="Arial" w:cs="Arial"/>
              </w:rPr>
            </w:pPr>
          </w:p>
        </w:tc>
        <w:tc>
          <w:tcPr>
            <w:tcW w:w="1701" w:type="dxa"/>
          </w:tcPr>
          <w:p w:rsidR="0001303D" w:rsidRPr="002200EB" w:rsidRDefault="0001303D" w:rsidP="004433C0">
            <w:pPr>
              <w:spacing w:after="0"/>
              <w:rPr>
                <w:rFonts w:ascii="Arial" w:hAnsi="Arial" w:cs="Arial"/>
              </w:rPr>
            </w:pPr>
          </w:p>
        </w:tc>
        <w:tc>
          <w:tcPr>
            <w:tcW w:w="1417" w:type="dxa"/>
          </w:tcPr>
          <w:p w:rsidR="0001303D" w:rsidRPr="002200EB" w:rsidRDefault="0001303D" w:rsidP="004433C0">
            <w:pPr>
              <w:spacing w:after="0"/>
              <w:rPr>
                <w:rFonts w:ascii="Arial" w:hAnsi="Arial" w:cs="Arial"/>
              </w:rPr>
            </w:pPr>
          </w:p>
        </w:tc>
      </w:tr>
      <w:tr w:rsidR="0001303D" w:rsidRPr="002200EB" w:rsidTr="004433C0">
        <w:trPr>
          <w:cantSplit/>
          <w:trHeight w:val="300"/>
        </w:trPr>
        <w:tc>
          <w:tcPr>
            <w:tcW w:w="1440" w:type="dxa"/>
          </w:tcPr>
          <w:p w:rsidR="0001303D" w:rsidRPr="002200EB" w:rsidRDefault="0001303D" w:rsidP="004433C0">
            <w:pPr>
              <w:spacing w:after="0"/>
              <w:rPr>
                <w:rFonts w:ascii="Arial" w:hAnsi="Arial" w:cs="Arial"/>
              </w:rPr>
            </w:pPr>
            <w:r w:rsidRPr="002200EB">
              <w:rPr>
                <w:rFonts w:ascii="Arial" w:hAnsi="Arial" w:cs="Arial"/>
              </w:rPr>
              <w:t>Quarter 3</w:t>
            </w:r>
          </w:p>
        </w:tc>
        <w:tc>
          <w:tcPr>
            <w:tcW w:w="4514" w:type="dxa"/>
          </w:tcPr>
          <w:p w:rsidR="0001303D" w:rsidRPr="002200EB" w:rsidRDefault="0001303D" w:rsidP="004433C0">
            <w:pPr>
              <w:autoSpaceDE w:val="0"/>
              <w:autoSpaceDN w:val="0"/>
              <w:adjustRightInd w:val="0"/>
              <w:spacing w:after="0"/>
              <w:rPr>
                <w:rFonts w:ascii="Arial" w:hAnsi="Arial" w:cs="Arial"/>
              </w:rPr>
            </w:pPr>
          </w:p>
        </w:tc>
        <w:tc>
          <w:tcPr>
            <w:tcW w:w="1701" w:type="dxa"/>
          </w:tcPr>
          <w:p w:rsidR="0001303D" w:rsidRPr="002200EB" w:rsidRDefault="0001303D" w:rsidP="004433C0">
            <w:pPr>
              <w:spacing w:after="0"/>
              <w:rPr>
                <w:rFonts w:ascii="Arial" w:hAnsi="Arial" w:cs="Arial"/>
              </w:rPr>
            </w:pPr>
          </w:p>
        </w:tc>
        <w:tc>
          <w:tcPr>
            <w:tcW w:w="1417" w:type="dxa"/>
          </w:tcPr>
          <w:p w:rsidR="0001303D" w:rsidRPr="002200EB" w:rsidRDefault="0001303D" w:rsidP="004433C0">
            <w:pPr>
              <w:spacing w:after="0"/>
              <w:rPr>
                <w:rFonts w:ascii="Arial" w:hAnsi="Arial" w:cs="Arial"/>
              </w:rPr>
            </w:pPr>
          </w:p>
        </w:tc>
      </w:tr>
      <w:tr w:rsidR="0001303D" w:rsidRPr="002200EB" w:rsidTr="004433C0">
        <w:trPr>
          <w:cantSplit/>
          <w:trHeight w:val="300"/>
        </w:trPr>
        <w:tc>
          <w:tcPr>
            <w:tcW w:w="1440" w:type="dxa"/>
          </w:tcPr>
          <w:p w:rsidR="0001303D" w:rsidRPr="002200EB" w:rsidRDefault="0001303D" w:rsidP="004433C0">
            <w:pPr>
              <w:spacing w:after="0"/>
              <w:rPr>
                <w:rFonts w:ascii="Arial" w:hAnsi="Arial" w:cs="Arial"/>
              </w:rPr>
            </w:pPr>
            <w:r w:rsidRPr="002200EB">
              <w:rPr>
                <w:rFonts w:ascii="Arial" w:hAnsi="Arial" w:cs="Arial"/>
              </w:rPr>
              <w:t>Quarter 4</w:t>
            </w:r>
          </w:p>
        </w:tc>
        <w:tc>
          <w:tcPr>
            <w:tcW w:w="4514" w:type="dxa"/>
          </w:tcPr>
          <w:p w:rsidR="0001303D" w:rsidRPr="002200EB" w:rsidRDefault="0001303D" w:rsidP="004433C0">
            <w:pPr>
              <w:autoSpaceDE w:val="0"/>
              <w:autoSpaceDN w:val="0"/>
              <w:adjustRightInd w:val="0"/>
              <w:spacing w:after="0"/>
              <w:contextualSpacing/>
              <w:rPr>
                <w:rFonts w:ascii="Arial" w:hAnsi="Arial" w:cs="Arial"/>
              </w:rPr>
            </w:pPr>
          </w:p>
        </w:tc>
        <w:tc>
          <w:tcPr>
            <w:tcW w:w="1701" w:type="dxa"/>
          </w:tcPr>
          <w:p w:rsidR="0001303D" w:rsidRPr="002200EB" w:rsidRDefault="0001303D" w:rsidP="004433C0">
            <w:pPr>
              <w:spacing w:after="0"/>
              <w:rPr>
                <w:rFonts w:ascii="Arial" w:hAnsi="Arial" w:cs="Arial"/>
              </w:rPr>
            </w:pPr>
          </w:p>
        </w:tc>
        <w:tc>
          <w:tcPr>
            <w:tcW w:w="1417" w:type="dxa"/>
          </w:tcPr>
          <w:p w:rsidR="0001303D" w:rsidRPr="002200EB" w:rsidRDefault="0001303D" w:rsidP="004433C0">
            <w:pPr>
              <w:spacing w:after="0"/>
              <w:rPr>
                <w:rFonts w:ascii="Arial" w:hAnsi="Arial" w:cs="Arial"/>
              </w:rPr>
            </w:pPr>
          </w:p>
        </w:tc>
      </w:tr>
    </w:tbl>
    <w:p w:rsidR="0001303D" w:rsidRDefault="0001303D" w:rsidP="0001303D"/>
    <w:p w:rsidR="0001303D" w:rsidRPr="002200EB" w:rsidRDefault="0001303D" w:rsidP="0001303D">
      <w:pPr>
        <w:spacing w:after="0"/>
        <w:rPr>
          <w:rFonts w:ascii="Arial" w:eastAsia="Times New Roman" w:hAnsi="Arial" w:cs="Arial"/>
          <w:color w:val="000000"/>
          <w:lang w:eastAsia="en-GB"/>
        </w:rPr>
      </w:pPr>
      <w:r w:rsidRPr="002200EB">
        <w:rPr>
          <w:rFonts w:ascii="Arial" w:eastAsia="Times New Roman" w:hAnsi="Arial" w:cs="Arial"/>
          <w:b/>
          <w:bCs/>
          <w:color w:val="000000"/>
          <w:lang w:eastAsia="en-GB"/>
        </w:rPr>
        <w:t>Rules for partial achievement at final indicator period/date</w:t>
      </w:r>
      <w:r w:rsidRPr="002200EB">
        <w:rPr>
          <w:rFonts w:ascii="Arial" w:eastAsia="Times New Roman" w:hAnsi="Arial" w:cs="Arial"/>
          <w:color w:val="000000"/>
          <w:lang w:eastAsia="en-GB"/>
        </w:rPr>
        <w:t xml:space="preserve"> </w:t>
      </w:r>
    </w:p>
    <w:p w:rsidR="0001303D" w:rsidRPr="002200EB" w:rsidRDefault="0001303D" w:rsidP="0001303D">
      <w:pPr>
        <w:spacing w:after="0"/>
        <w:rPr>
          <w:rFonts w:ascii="Arial" w:eastAsia="Times New Roman" w:hAnsi="Arial" w:cs="Arial"/>
          <w:b/>
          <w:lang w:eastAsia="en-GB"/>
        </w:rPr>
      </w:pPr>
    </w:p>
    <w:tbl>
      <w:tblPr>
        <w:tblW w:w="9072" w:type="dxa"/>
        <w:tblInd w:w="108" w:type="dxa"/>
        <w:tblLook w:val="0000" w:firstRow="0" w:lastRow="0" w:firstColumn="0" w:lastColumn="0" w:noHBand="0" w:noVBand="0"/>
      </w:tblPr>
      <w:tblGrid>
        <w:gridCol w:w="4111"/>
        <w:gridCol w:w="4961"/>
      </w:tblGrid>
      <w:tr w:rsidR="0001303D" w:rsidRPr="002200EB" w:rsidTr="004433C0">
        <w:trPr>
          <w:trHeight w:val="300"/>
          <w:tblHeader/>
        </w:trPr>
        <w:tc>
          <w:tcPr>
            <w:tcW w:w="4111" w:type="dxa"/>
            <w:tcBorders>
              <w:top w:val="single" w:sz="4" w:space="0" w:color="auto"/>
              <w:left w:val="single" w:sz="4" w:space="0" w:color="auto"/>
              <w:bottom w:val="single" w:sz="4" w:space="0" w:color="auto"/>
              <w:right w:val="nil"/>
            </w:tcBorders>
            <w:shd w:val="clear" w:color="auto" w:fill="C0C0C0"/>
            <w:noWrap/>
          </w:tcPr>
          <w:p w:rsidR="0001303D" w:rsidRPr="002200EB" w:rsidRDefault="0001303D" w:rsidP="004433C0">
            <w:pPr>
              <w:spacing w:after="0"/>
              <w:rPr>
                <w:rFonts w:ascii="Arial" w:eastAsia="Times New Roman" w:hAnsi="Arial" w:cs="Arial"/>
                <w:b/>
                <w:bCs/>
                <w:color w:val="000000"/>
                <w:lang w:eastAsia="en-GB"/>
              </w:rPr>
            </w:pPr>
            <w:r w:rsidRPr="002200EB">
              <w:rPr>
                <w:rFonts w:ascii="Arial" w:eastAsia="Times New Roman" w:hAnsi="Arial" w:cs="Arial"/>
                <w:b/>
                <w:bCs/>
                <w:color w:val="000000"/>
                <w:lang w:eastAsia="en-GB"/>
              </w:rPr>
              <w:t>Final indicator value for the partial achievement threshold</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01303D" w:rsidRPr="002200EB" w:rsidRDefault="0001303D" w:rsidP="004433C0">
            <w:pPr>
              <w:spacing w:after="0"/>
              <w:rPr>
                <w:rFonts w:ascii="Arial" w:eastAsia="Times New Roman" w:hAnsi="Arial" w:cs="Arial"/>
                <w:b/>
                <w:bCs/>
                <w:color w:val="000000"/>
                <w:lang w:eastAsia="en-GB"/>
              </w:rPr>
            </w:pPr>
            <w:r w:rsidRPr="002200EB">
              <w:rPr>
                <w:rFonts w:ascii="Arial" w:eastAsia="Times New Roman" w:hAnsi="Arial" w:cs="Arial"/>
                <w:b/>
                <w:bCs/>
                <w:color w:val="000000"/>
                <w:lang w:eastAsia="en-GB"/>
              </w:rPr>
              <w:t>% of CQUIN scheme available for meeting final indicator value</w:t>
            </w:r>
          </w:p>
        </w:tc>
      </w:tr>
      <w:tr w:rsidR="0001303D" w:rsidRPr="002200EB" w:rsidTr="004433C0">
        <w:trPr>
          <w:trHeight w:val="300"/>
        </w:trPr>
        <w:tc>
          <w:tcPr>
            <w:tcW w:w="4111" w:type="dxa"/>
            <w:tcBorders>
              <w:top w:val="nil"/>
              <w:left w:val="single" w:sz="4" w:space="0" w:color="auto"/>
              <w:bottom w:val="single" w:sz="4" w:space="0" w:color="auto"/>
              <w:right w:val="nil"/>
            </w:tcBorders>
          </w:tcPr>
          <w:p w:rsidR="0001303D" w:rsidRPr="002200EB" w:rsidRDefault="0001303D" w:rsidP="004433C0">
            <w:pPr>
              <w:spacing w:after="0"/>
              <w:rPr>
                <w:rFonts w:ascii="Arial" w:eastAsia="Times New Roman" w:hAnsi="Arial" w:cs="Arial"/>
                <w:lang w:eastAsia="en-GB"/>
              </w:rPr>
            </w:pPr>
          </w:p>
        </w:tc>
        <w:tc>
          <w:tcPr>
            <w:tcW w:w="4961" w:type="dxa"/>
            <w:tcBorders>
              <w:top w:val="nil"/>
              <w:left w:val="single" w:sz="4" w:space="0" w:color="auto"/>
              <w:bottom w:val="single" w:sz="4" w:space="0" w:color="auto"/>
              <w:right w:val="single" w:sz="4" w:space="0" w:color="auto"/>
            </w:tcBorders>
          </w:tcPr>
          <w:p w:rsidR="0001303D" w:rsidRPr="002200EB" w:rsidRDefault="0001303D" w:rsidP="004433C0">
            <w:pPr>
              <w:spacing w:after="0"/>
              <w:rPr>
                <w:rFonts w:ascii="Arial" w:eastAsia="Times New Roman" w:hAnsi="Arial" w:cs="Arial"/>
                <w:lang w:eastAsia="en-GB"/>
              </w:rPr>
            </w:pPr>
          </w:p>
        </w:tc>
      </w:tr>
      <w:tr w:rsidR="0001303D" w:rsidRPr="002200EB" w:rsidTr="004433C0">
        <w:trPr>
          <w:trHeight w:val="300"/>
        </w:trPr>
        <w:tc>
          <w:tcPr>
            <w:tcW w:w="4111" w:type="dxa"/>
            <w:tcBorders>
              <w:top w:val="nil"/>
              <w:left w:val="single" w:sz="4" w:space="0" w:color="auto"/>
              <w:bottom w:val="single" w:sz="4" w:space="0" w:color="auto"/>
              <w:right w:val="nil"/>
            </w:tcBorders>
          </w:tcPr>
          <w:p w:rsidR="0001303D" w:rsidRPr="002200EB" w:rsidRDefault="0001303D" w:rsidP="004433C0">
            <w:pPr>
              <w:spacing w:after="0"/>
              <w:rPr>
                <w:rFonts w:ascii="Arial" w:eastAsia="Times New Roman" w:hAnsi="Arial" w:cs="Arial"/>
                <w:lang w:eastAsia="en-GB"/>
              </w:rPr>
            </w:pPr>
          </w:p>
        </w:tc>
        <w:tc>
          <w:tcPr>
            <w:tcW w:w="4961" w:type="dxa"/>
            <w:tcBorders>
              <w:top w:val="nil"/>
              <w:left w:val="single" w:sz="4" w:space="0" w:color="auto"/>
              <w:bottom w:val="single" w:sz="4" w:space="0" w:color="auto"/>
              <w:right w:val="single" w:sz="4" w:space="0" w:color="auto"/>
            </w:tcBorders>
          </w:tcPr>
          <w:p w:rsidR="0001303D" w:rsidRPr="002200EB" w:rsidRDefault="0001303D" w:rsidP="004433C0">
            <w:pPr>
              <w:spacing w:after="0"/>
              <w:rPr>
                <w:rFonts w:ascii="Arial" w:eastAsia="Times New Roman" w:hAnsi="Arial" w:cs="Arial"/>
                <w:lang w:eastAsia="en-GB"/>
              </w:rPr>
            </w:pPr>
          </w:p>
        </w:tc>
      </w:tr>
      <w:tr w:rsidR="0001303D" w:rsidRPr="002200EB" w:rsidTr="004433C0">
        <w:trPr>
          <w:trHeight w:val="300"/>
        </w:trPr>
        <w:tc>
          <w:tcPr>
            <w:tcW w:w="4111" w:type="dxa"/>
            <w:tcBorders>
              <w:top w:val="nil"/>
              <w:left w:val="single" w:sz="4" w:space="0" w:color="auto"/>
              <w:bottom w:val="single" w:sz="4" w:space="0" w:color="auto"/>
              <w:right w:val="nil"/>
            </w:tcBorders>
          </w:tcPr>
          <w:p w:rsidR="0001303D" w:rsidRPr="002200EB" w:rsidRDefault="0001303D" w:rsidP="004433C0">
            <w:pPr>
              <w:spacing w:after="0"/>
              <w:rPr>
                <w:rFonts w:ascii="Arial" w:eastAsia="Times New Roman" w:hAnsi="Arial" w:cs="Arial"/>
                <w:lang w:eastAsia="en-GB"/>
              </w:rPr>
            </w:pPr>
          </w:p>
        </w:tc>
        <w:tc>
          <w:tcPr>
            <w:tcW w:w="4961" w:type="dxa"/>
            <w:tcBorders>
              <w:top w:val="nil"/>
              <w:left w:val="single" w:sz="4" w:space="0" w:color="auto"/>
              <w:bottom w:val="single" w:sz="4" w:space="0" w:color="auto"/>
              <w:right w:val="single" w:sz="4" w:space="0" w:color="auto"/>
            </w:tcBorders>
          </w:tcPr>
          <w:p w:rsidR="0001303D" w:rsidRPr="002200EB" w:rsidRDefault="0001303D" w:rsidP="004433C0">
            <w:pPr>
              <w:spacing w:after="0"/>
              <w:rPr>
                <w:rFonts w:ascii="Arial" w:eastAsia="Times New Roman" w:hAnsi="Arial" w:cs="Arial"/>
                <w:lang w:eastAsia="en-GB"/>
              </w:rPr>
            </w:pPr>
          </w:p>
        </w:tc>
      </w:tr>
      <w:tr w:rsidR="0001303D" w:rsidRPr="002200EB" w:rsidTr="004433C0">
        <w:trPr>
          <w:trHeight w:val="379"/>
        </w:trPr>
        <w:tc>
          <w:tcPr>
            <w:tcW w:w="4111" w:type="dxa"/>
            <w:tcBorders>
              <w:top w:val="nil"/>
              <w:left w:val="single" w:sz="4" w:space="0" w:color="auto"/>
              <w:bottom w:val="single" w:sz="4" w:space="0" w:color="auto"/>
              <w:right w:val="nil"/>
            </w:tcBorders>
          </w:tcPr>
          <w:p w:rsidR="0001303D" w:rsidRPr="002200EB" w:rsidRDefault="0001303D" w:rsidP="004433C0">
            <w:pPr>
              <w:spacing w:after="0"/>
              <w:rPr>
                <w:rFonts w:ascii="Arial" w:eastAsia="Times New Roman" w:hAnsi="Arial" w:cs="Arial"/>
                <w:lang w:eastAsia="en-GB"/>
              </w:rPr>
            </w:pPr>
          </w:p>
        </w:tc>
        <w:tc>
          <w:tcPr>
            <w:tcW w:w="4961" w:type="dxa"/>
            <w:tcBorders>
              <w:top w:val="nil"/>
              <w:left w:val="single" w:sz="4" w:space="0" w:color="auto"/>
              <w:bottom w:val="single" w:sz="4" w:space="0" w:color="auto"/>
              <w:right w:val="single" w:sz="4" w:space="0" w:color="auto"/>
            </w:tcBorders>
          </w:tcPr>
          <w:p w:rsidR="0001303D" w:rsidRPr="002200EB" w:rsidRDefault="0001303D" w:rsidP="004433C0">
            <w:pPr>
              <w:spacing w:after="0"/>
              <w:rPr>
                <w:rFonts w:ascii="Arial" w:eastAsia="Times New Roman" w:hAnsi="Arial" w:cs="Arial"/>
                <w:lang w:eastAsia="en-GB"/>
              </w:rPr>
            </w:pPr>
          </w:p>
        </w:tc>
      </w:tr>
      <w:tr w:rsidR="0001303D" w:rsidRPr="002200EB" w:rsidTr="004433C0">
        <w:trPr>
          <w:trHeight w:val="347"/>
        </w:trPr>
        <w:tc>
          <w:tcPr>
            <w:tcW w:w="4111" w:type="dxa"/>
            <w:tcBorders>
              <w:top w:val="nil"/>
              <w:left w:val="single" w:sz="4" w:space="0" w:color="auto"/>
              <w:bottom w:val="single" w:sz="4" w:space="0" w:color="auto"/>
              <w:right w:val="nil"/>
            </w:tcBorders>
          </w:tcPr>
          <w:p w:rsidR="0001303D" w:rsidRPr="002200EB" w:rsidRDefault="0001303D" w:rsidP="004433C0">
            <w:pPr>
              <w:spacing w:after="0"/>
              <w:rPr>
                <w:rFonts w:ascii="Arial" w:eastAsia="Times New Roman" w:hAnsi="Arial" w:cs="Arial"/>
                <w:lang w:eastAsia="en-GB"/>
              </w:rPr>
            </w:pPr>
          </w:p>
        </w:tc>
        <w:tc>
          <w:tcPr>
            <w:tcW w:w="4961" w:type="dxa"/>
            <w:tcBorders>
              <w:top w:val="nil"/>
              <w:left w:val="single" w:sz="4" w:space="0" w:color="auto"/>
              <w:bottom w:val="single" w:sz="4" w:space="0" w:color="auto"/>
              <w:right w:val="single" w:sz="4" w:space="0" w:color="auto"/>
            </w:tcBorders>
          </w:tcPr>
          <w:p w:rsidR="0001303D" w:rsidRPr="002200EB" w:rsidRDefault="0001303D" w:rsidP="004433C0">
            <w:pPr>
              <w:spacing w:after="0"/>
              <w:rPr>
                <w:rFonts w:ascii="Arial" w:eastAsia="Times New Roman" w:hAnsi="Arial" w:cs="Arial"/>
                <w:lang w:eastAsia="en-GB"/>
              </w:rPr>
            </w:pPr>
          </w:p>
        </w:tc>
      </w:tr>
    </w:tbl>
    <w:p w:rsidR="00C96AB1" w:rsidRPr="00596E2E" w:rsidRDefault="00C96AB1" w:rsidP="00C96AB1">
      <w:pPr>
        <w:rPr>
          <w:rFonts w:ascii="Arial" w:hAnsi="Arial" w:cs="Arial"/>
        </w:rPr>
      </w:pPr>
    </w:p>
    <w:sectPr w:rsidR="00C96AB1" w:rsidRPr="00596E2E" w:rsidSect="00CE0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5D" w:rsidRDefault="00647F5D" w:rsidP="005A2593">
      <w:pPr>
        <w:spacing w:after="0"/>
      </w:pPr>
      <w:r>
        <w:separator/>
      </w:r>
    </w:p>
  </w:endnote>
  <w:endnote w:type="continuationSeparator" w:id="0">
    <w:p w:rsidR="00647F5D" w:rsidRDefault="00647F5D" w:rsidP="005A2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5D" w:rsidRPr="00830FF5" w:rsidRDefault="00647F5D" w:rsidP="005F36AC">
    <w:pPr>
      <w:pStyle w:val="Footer"/>
      <w:jc w:val="center"/>
      <w:rPr>
        <w:rFonts w:ascii="Arial" w:hAnsi="Arial"/>
        <w:sz w:val="24"/>
        <w:szCs w:val="24"/>
      </w:rPr>
    </w:pPr>
    <w:r w:rsidRPr="00830FF5">
      <w:rPr>
        <w:rFonts w:ascii="Arial" w:hAnsi="Arial"/>
        <w:sz w:val="24"/>
        <w:szCs w:val="24"/>
      </w:rPr>
      <w:fldChar w:fldCharType="begin"/>
    </w:r>
    <w:r w:rsidRPr="00830FF5">
      <w:rPr>
        <w:rFonts w:ascii="Arial" w:hAnsi="Arial"/>
        <w:sz w:val="24"/>
        <w:szCs w:val="24"/>
      </w:rPr>
      <w:instrText xml:space="preserve"> PAGE </w:instrText>
    </w:r>
    <w:r w:rsidRPr="00830FF5">
      <w:rPr>
        <w:rFonts w:ascii="Arial" w:hAnsi="Arial"/>
        <w:sz w:val="24"/>
        <w:szCs w:val="24"/>
      </w:rPr>
      <w:fldChar w:fldCharType="separate"/>
    </w:r>
    <w:r w:rsidR="00DE31CC">
      <w:rPr>
        <w:rFonts w:ascii="Arial" w:hAnsi="Arial"/>
        <w:noProof/>
        <w:sz w:val="24"/>
        <w:szCs w:val="24"/>
      </w:rPr>
      <w:t>6</w:t>
    </w:r>
    <w:r w:rsidRPr="00830FF5">
      <w:rPr>
        <w:rFonts w:ascii="Arial" w:hAnsi="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5D" w:rsidRDefault="00647F5D" w:rsidP="004433C0">
    <w:pPr>
      <w:pStyle w:val="Footer"/>
      <w:jc w:val="center"/>
    </w:pPr>
    <w:r w:rsidRPr="00D84802">
      <w:rPr>
        <w:rFonts w:ascii="Arial" w:hAnsi="Arial" w:cs="Arial"/>
        <w:sz w:val="24"/>
        <w:szCs w:val="24"/>
      </w:rPr>
      <w:fldChar w:fldCharType="begin"/>
    </w:r>
    <w:r w:rsidRPr="00D84802">
      <w:rPr>
        <w:rFonts w:ascii="Arial" w:hAnsi="Arial" w:cs="Arial"/>
        <w:sz w:val="24"/>
        <w:szCs w:val="24"/>
      </w:rPr>
      <w:instrText xml:space="preserve"> PAGE   \* MERGEFORMAT </w:instrText>
    </w:r>
    <w:r w:rsidRPr="00D84802">
      <w:rPr>
        <w:rFonts w:ascii="Arial" w:hAnsi="Arial" w:cs="Arial"/>
        <w:sz w:val="24"/>
        <w:szCs w:val="24"/>
      </w:rPr>
      <w:fldChar w:fldCharType="separate"/>
    </w:r>
    <w:r w:rsidR="00F55111">
      <w:rPr>
        <w:rFonts w:ascii="Arial" w:hAnsi="Arial" w:cs="Arial"/>
        <w:noProof/>
        <w:sz w:val="24"/>
        <w:szCs w:val="24"/>
      </w:rPr>
      <w:t>22</w:t>
    </w:r>
    <w:r w:rsidRPr="00D84802">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5D" w:rsidRDefault="00647F5D" w:rsidP="005A2593">
      <w:pPr>
        <w:spacing w:after="0"/>
      </w:pPr>
      <w:r>
        <w:separator/>
      </w:r>
    </w:p>
  </w:footnote>
  <w:footnote w:type="continuationSeparator" w:id="0">
    <w:p w:rsidR="00647F5D" w:rsidRDefault="00647F5D" w:rsidP="005A2593">
      <w:pPr>
        <w:spacing w:after="0"/>
      </w:pPr>
      <w:r>
        <w:continuationSeparator/>
      </w:r>
    </w:p>
  </w:footnote>
  <w:footnote w:id="1">
    <w:p w:rsidR="00647F5D" w:rsidRPr="00C96AB1" w:rsidRDefault="00647F5D" w:rsidP="005A2593">
      <w:pPr>
        <w:pStyle w:val="FootnoteText"/>
        <w:rPr>
          <w:rFonts w:ascii="Arial" w:hAnsi="Arial" w:cs="Arial"/>
        </w:rPr>
      </w:pPr>
      <w:r w:rsidRPr="00C96AB1">
        <w:rPr>
          <w:rStyle w:val="FootnoteReference"/>
          <w:rFonts w:ascii="Arial" w:hAnsi="Arial" w:cs="Arial"/>
        </w:rPr>
        <w:footnoteRef/>
      </w:r>
      <w:r w:rsidRPr="00C96AB1">
        <w:rPr>
          <w:rFonts w:ascii="Arial" w:hAnsi="Arial" w:cs="Arial"/>
        </w:rPr>
        <w:t xml:space="preserve"> </w:t>
      </w:r>
      <w:hyperlink r:id="rId1" w:history="1">
        <w:r w:rsidRPr="00C96AB1">
          <w:rPr>
            <w:rStyle w:val="Hyperlink"/>
            <w:rFonts w:ascii="Arial" w:hAnsi="Arial" w:cs="Arial"/>
          </w:rPr>
          <w:t>http://harmfreecare.org/measurement/nhs-safety-thermometer/</w:t>
        </w:r>
      </w:hyperlink>
    </w:p>
  </w:footnote>
  <w:footnote w:id="2">
    <w:p w:rsidR="00647F5D" w:rsidRPr="00C96AB1" w:rsidRDefault="00647F5D" w:rsidP="00C96AB1">
      <w:pPr>
        <w:rPr>
          <w:rFonts w:ascii="Arial" w:eastAsia="Times New Roman" w:hAnsi="Arial" w:cs="Arial"/>
          <w:color w:val="000000"/>
          <w:sz w:val="20"/>
        </w:rPr>
      </w:pPr>
      <w:r w:rsidRPr="00C96AB1">
        <w:rPr>
          <w:rStyle w:val="FootnoteReference"/>
          <w:rFonts w:ascii="Arial" w:hAnsi="Arial" w:cs="Arial"/>
          <w:sz w:val="20"/>
        </w:rPr>
        <w:footnoteRef/>
      </w:r>
      <w:r w:rsidRPr="00C96AB1">
        <w:rPr>
          <w:rFonts w:ascii="Arial" w:hAnsi="Arial" w:cs="Arial"/>
          <w:sz w:val="20"/>
        </w:rPr>
        <w:t xml:space="preserve"> </w:t>
      </w:r>
      <w:hyperlink r:id="rId2" w:history="1">
        <w:r w:rsidRPr="00C96AB1">
          <w:rPr>
            <w:rStyle w:val="Hyperlink"/>
            <w:rFonts w:ascii="Arial" w:eastAsia="Times New Roman" w:hAnsi="Arial" w:cs="Arial"/>
            <w:sz w:val="20"/>
          </w:rPr>
          <w:t>http://www.qualityobservatory.nhs.uk/index.php?option=com_cat&amp;view=item&amp;Itemid=28&amp;cat_id=588</w:t>
        </w:r>
      </w:hyperlink>
      <w:r>
        <w:rPr>
          <w:rFonts w:ascii="Arial" w:eastAsia="Times New Roman" w:hAnsi="Arial" w:cs="Arial"/>
          <w:color w:val="000000"/>
          <w:sz w:val="20"/>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5D" w:rsidRDefault="00647F5D" w:rsidP="005F36AC">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357"/>
    <w:multiLevelType w:val="hybridMultilevel"/>
    <w:tmpl w:val="08F2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A7BF7"/>
    <w:multiLevelType w:val="hybridMultilevel"/>
    <w:tmpl w:val="C05E4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C6599"/>
    <w:multiLevelType w:val="hybridMultilevel"/>
    <w:tmpl w:val="E5D8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50471D"/>
    <w:multiLevelType w:val="multilevel"/>
    <w:tmpl w:val="3C5CDF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19830E0"/>
    <w:multiLevelType w:val="hybridMultilevel"/>
    <w:tmpl w:val="E75C5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0244578"/>
    <w:multiLevelType w:val="multilevel"/>
    <w:tmpl w:val="3C5CDF7C"/>
    <w:styleLink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3274550"/>
    <w:multiLevelType w:val="hybridMultilevel"/>
    <w:tmpl w:val="9F04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6AC60329"/>
    <w:multiLevelType w:val="hybridMultilevel"/>
    <w:tmpl w:val="7EBA2D6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8356DFF"/>
    <w:multiLevelType w:val="hybridMultilevel"/>
    <w:tmpl w:val="5848508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1"/>
  </w:num>
  <w:num w:numId="5">
    <w:abstractNumId w:val="4"/>
  </w:num>
  <w:num w:numId="6">
    <w:abstractNumId w:val="8"/>
  </w:num>
  <w:num w:numId="7">
    <w:abstractNumId w:val="9"/>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1303D"/>
    <w:rsid w:val="00030B9A"/>
    <w:rsid w:val="00097C2A"/>
    <w:rsid w:val="000D0BB4"/>
    <w:rsid w:val="000F0B1B"/>
    <w:rsid w:val="00141C20"/>
    <w:rsid w:val="0017586C"/>
    <w:rsid w:val="00195267"/>
    <w:rsid w:val="001D4C25"/>
    <w:rsid w:val="0021398B"/>
    <w:rsid w:val="00251109"/>
    <w:rsid w:val="00292106"/>
    <w:rsid w:val="00297C97"/>
    <w:rsid w:val="002D3518"/>
    <w:rsid w:val="003E2B9E"/>
    <w:rsid w:val="003E5E42"/>
    <w:rsid w:val="003E6CB5"/>
    <w:rsid w:val="00431CA5"/>
    <w:rsid w:val="004433C0"/>
    <w:rsid w:val="004708C3"/>
    <w:rsid w:val="00477775"/>
    <w:rsid w:val="0049145F"/>
    <w:rsid w:val="0049512B"/>
    <w:rsid w:val="00497D24"/>
    <w:rsid w:val="004C0AF2"/>
    <w:rsid w:val="004E1BDB"/>
    <w:rsid w:val="00532F04"/>
    <w:rsid w:val="00554D20"/>
    <w:rsid w:val="00596E2E"/>
    <w:rsid w:val="005A2593"/>
    <w:rsid w:val="005F36AC"/>
    <w:rsid w:val="005F38CA"/>
    <w:rsid w:val="00647F5D"/>
    <w:rsid w:val="00741EE2"/>
    <w:rsid w:val="00761E1B"/>
    <w:rsid w:val="0076623B"/>
    <w:rsid w:val="0077236B"/>
    <w:rsid w:val="007A31E0"/>
    <w:rsid w:val="00816A3A"/>
    <w:rsid w:val="008226B3"/>
    <w:rsid w:val="008B2198"/>
    <w:rsid w:val="009C3738"/>
    <w:rsid w:val="009F4EE1"/>
    <w:rsid w:val="00A66E2C"/>
    <w:rsid w:val="00AD71FC"/>
    <w:rsid w:val="00B27985"/>
    <w:rsid w:val="00B4693B"/>
    <w:rsid w:val="00C24DB4"/>
    <w:rsid w:val="00C67EE6"/>
    <w:rsid w:val="00C96AB1"/>
    <w:rsid w:val="00CD2F4F"/>
    <w:rsid w:val="00CE0D33"/>
    <w:rsid w:val="00CE2EDF"/>
    <w:rsid w:val="00CF4F09"/>
    <w:rsid w:val="00D243BA"/>
    <w:rsid w:val="00D37A0E"/>
    <w:rsid w:val="00DA136D"/>
    <w:rsid w:val="00DA3FA2"/>
    <w:rsid w:val="00DE31CC"/>
    <w:rsid w:val="00EE53F5"/>
    <w:rsid w:val="00F55111"/>
    <w:rsid w:val="00FA2EA9"/>
    <w:rsid w:val="00FA590B"/>
    <w:rsid w:val="00FF6AF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rPr>
      <w:sz w:val="24"/>
    </w:rPr>
  </w:style>
  <w:style w:type="paragraph" w:styleId="Heading1">
    <w:name w:val="heading 1"/>
    <w:basedOn w:val="DHChapterHead"/>
    <w:next w:val="Normal"/>
    <w:link w:val="Heading1Char"/>
    <w:uiPriority w:val="99"/>
    <w:qFormat/>
    <w:rsid w:val="009F4EE1"/>
    <w:pPr>
      <w:outlineLvl w:val="0"/>
    </w:pPr>
    <w:rPr>
      <w:b/>
      <w:color w:val="auto"/>
      <w:sz w:val="28"/>
      <w:szCs w:val="28"/>
    </w:rPr>
  </w:style>
  <w:style w:type="paragraph" w:styleId="Heading2">
    <w:name w:val="heading 2"/>
    <w:basedOn w:val="Normal"/>
    <w:next w:val="Normal"/>
    <w:link w:val="Heading2Char"/>
    <w:uiPriority w:val="99"/>
    <w:semiHidden/>
    <w:unhideWhenUsed/>
    <w:qFormat/>
    <w:rsid w:val="005A2593"/>
    <w:pPr>
      <w:keepNext/>
      <w:keepLines/>
      <w:spacing w:before="200" w:after="0"/>
      <w:outlineLvl w:val="1"/>
    </w:pPr>
    <w:rPr>
      <w:rFonts w:ascii="Arial" w:eastAsia="Times New Roman" w:hAnsi="Arial" w:cs="Times New Roman"/>
      <w:bCs/>
      <w:szCs w:val="26"/>
    </w:rPr>
  </w:style>
  <w:style w:type="paragraph" w:styleId="Heading3">
    <w:name w:val="heading 3"/>
    <w:basedOn w:val="Normal"/>
    <w:next w:val="Normal"/>
    <w:link w:val="Heading3Char"/>
    <w:uiPriority w:val="99"/>
    <w:semiHidden/>
    <w:unhideWhenUsed/>
    <w:qFormat/>
    <w:rsid w:val="005A2593"/>
    <w:pPr>
      <w:keepNext/>
      <w:keepLines/>
      <w:spacing w:before="200" w:after="0"/>
      <w:outlineLvl w:val="2"/>
    </w:pPr>
    <w:rPr>
      <w:rFonts w:ascii="Arial" w:eastAsia="Times New Roman" w:hAnsi="Arial"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semiHidden/>
    <w:unhideWhenUsed/>
    <w:rsid w:val="00532F04"/>
    <w:pPr>
      <w:spacing w:after="0"/>
    </w:pPr>
    <w:rPr>
      <w:rFonts w:ascii="Arial" w:eastAsia="Times New Roman" w:hAnsi="Arial" w:cs="Arial"/>
      <w:lang w:eastAsia="en-US"/>
    </w:rPr>
  </w:style>
  <w:style w:type="character" w:customStyle="1" w:styleId="DHTitleChar">
    <w:name w:val="DH Title Char"/>
    <w:link w:val="DHTitle"/>
    <w:locked/>
    <w:rsid w:val="00532F04"/>
    <w:rPr>
      <w:rFonts w:ascii="Arial" w:hAnsi="Arial" w:cs="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eastAsia="en-US"/>
    </w:rPr>
  </w:style>
  <w:style w:type="paragraph" w:customStyle="1" w:styleId="DHChapterHead">
    <w:name w:val="DH Chapter Head"/>
    <w:basedOn w:val="DHTitle"/>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character" w:customStyle="1" w:styleId="Heading1Char">
    <w:name w:val="Heading 1 Char"/>
    <w:basedOn w:val="DefaultParagraphFont"/>
    <w:link w:val="Heading1"/>
    <w:uiPriority w:val="99"/>
    <w:rsid w:val="009F4EE1"/>
    <w:rPr>
      <w:rFonts w:ascii="Arial" w:hAnsi="Arial" w:cs="Arial"/>
      <w:b/>
      <w:sz w:val="28"/>
      <w:szCs w:val="28"/>
      <w:lang w:eastAsia="en-US"/>
    </w:rPr>
  </w:style>
  <w:style w:type="paragraph" w:customStyle="1" w:styleId="Heading21">
    <w:name w:val="Heading 21"/>
    <w:basedOn w:val="Normal"/>
    <w:next w:val="Normal"/>
    <w:uiPriority w:val="99"/>
    <w:unhideWhenUsed/>
    <w:qFormat/>
    <w:rsid w:val="005A2593"/>
    <w:pPr>
      <w:keepNext/>
      <w:keepLines/>
      <w:spacing w:after="240"/>
      <w:ind w:left="851" w:hanging="851"/>
      <w:outlineLvl w:val="1"/>
    </w:pPr>
    <w:rPr>
      <w:rFonts w:ascii="Arial" w:eastAsia="Times New Roman" w:hAnsi="Arial" w:cs="Times New Roman"/>
      <w:bCs/>
      <w:szCs w:val="26"/>
      <w:lang w:eastAsia="en-US"/>
    </w:rPr>
  </w:style>
  <w:style w:type="paragraph" w:customStyle="1" w:styleId="Heading31">
    <w:name w:val="Heading 31"/>
    <w:basedOn w:val="Normal"/>
    <w:next w:val="Normal"/>
    <w:uiPriority w:val="99"/>
    <w:unhideWhenUsed/>
    <w:qFormat/>
    <w:rsid w:val="005A2593"/>
    <w:pPr>
      <w:keepNext/>
      <w:keepLines/>
      <w:spacing w:after="240"/>
      <w:ind w:left="1531" w:hanging="397"/>
      <w:outlineLvl w:val="2"/>
    </w:pPr>
    <w:rPr>
      <w:rFonts w:ascii="Arial" w:eastAsia="Times New Roman" w:hAnsi="Arial" w:cs="Times New Roman"/>
      <w:bCs/>
      <w:szCs w:val="22"/>
      <w:lang w:eastAsia="en-US"/>
    </w:rPr>
  </w:style>
  <w:style w:type="numbering" w:customStyle="1" w:styleId="NoList1">
    <w:name w:val="No List1"/>
    <w:next w:val="NoList"/>
    <w:uiPriority w:val="99"/>
    <w:semiHidden/>
    <w:unhideWhenUsed/>
    <w:rsid w:val="005A2593"/>
  </w:style>
  <w:style w:type="character" w:customStyle="1" w:styleId="Heading2Char">
    <w:name w:val="Heading 2 Char"/>
    <w:basedOn w:val="DefaultParagraphFont"/>
    <w:link w:val="Heading2"/>
    <w:uiPriority w:val="99"/>
    <w:rsid w:val="005A2593"/>
    <w:rPr>
      <w:rFonts w:ascii="Arial" w:eastAsia="Times New Roman" w:hAnsi="Arial" w:cs="Times New Roman"/>
      <w:bCs/>
      <w:sz w:val="24"/>
      <w:szCs w:val="26"/>
    </w:rPr>
  </w:style>
  <w:style w:type="character" w:customStyle="1" w:styleId="Heading3Char">
    <w:name w:val="Heading 3 Char"/>
    <w:basedOn w:val="DefaultParagraphFont"/>
    <w:link w:val="Heading3"/>
    <w:uiPriority w:val="99"/>
    <w:rsid w:val="005A2593"/>
    <w:rPr>
      <w:rFonts w:ascii="Arial" w:eastAsia="Times New Roman" w:hAnsi="Arial" w:cs="Times New Roman"/>
      <w:bCs/>
      <w:sz w:val="24"/>
    </w:rPr>
  </w:style>
  <w:style w:type="numbering" w:customStyle="1" w:styleId="Headings">
    <w:name w:val="Headings"/>
    <w:uiPriority w:val="99"/>
    <w:rsid w:val="005A2593"/>
    <w:pPr>
      <w:numPr>
        <w:numId w:val="2"/>
      </w:numPr>
    </w:pPr>
  </w:style>
  <w:style w:type="paragraph" w:customStyle="1" w:styleId="Header1">
    <w:name w:val="Header1"/>
    <w:basedOn w:val="Normal"/>
    <w:next w:val="Header"/>
    <w:link w:val="HeaderChar"/>
    <w:uiPriority w:val="99"/>
    <w:unhideWhenUsed/>
    <w:rsid w:val="005A2593"/>
    <w:pPr>
      <w:tabs>
        <w:tab w:val="center" w:pos="4513"/>
        <w:tab w:val="right" w:pos="9026"/>
      </w:tabs>
      <w:spacing w:after="0"/>
    </w:pPr>
    <w:rPr>
      <w:rFonts w:ascii="Arial" w:hAnsi="Arial"/>
    </w:rPr>
  </w:style>
  <w:style w:type="character" w:customStyle="1" w:styleId="HeaderChar">
    <w:name w:val="Header Char"/>
    <w:basedOn w:val="DefaultParagraphFont"/>
    <w:link w:val="Header1"/>
    <w:uiPriority w:val="99"/>
    <w:rsid w:val="005A2593"/>
    <w:rPr>
      <w:rFonts w:ascii="Arial" w:hAnsi="Arial"/>
      <w:sz w:val="24"/>
    </w:rPr>
  </w:style>
  <w:style w:type="table" w:customStyle="1" w:styleId="TableGrid1">
    <w:name w:val="Table Grid1"/>
    <w:basedOn w:val="TableNormal"/>
    <w:next w:val="TableGrid"/>
    <w:uiPriority w:val="59"/>
    <w:rsid w:val="005A2593"/>
    <w:pPr>
      <w:spacing w:after="0"/>
    </w:pPr>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A2593"/>
    <w:pPr>
      <w:tabs>
        <w:tab w:val="center" w:pos="4153"/>
        <w:tab w:val="right" w:pos="8306"/>
      </w:tabs>
      <w:spacing w:line="276" w:lineRule="auto"/>
    </w:pPr>
    <w:rPr>
      <w:rFonts w:ascii="Calibri" w:eastAsia="Calibri" w:hAnsi="Calibri" w:cs="Times New Roman"/>
      <w:sz w:val="22"/>
      <w:szCs w:val="22"/>
      <w:lang w:eastAsia="en-US"/>
    </w:rPr>
  </w:style>
  <w:style w:type="character" w:customStyle="1" w:styleId="FooterChar">
    <w:name w:val="Footer Char"/>
    <w:basedOn w:val="DefaultParagraphFont"/>
    <w:link w:val="Footer"/>
    <w:uiPriority w:val="99"/>
    <w:rsid w:val="005A2593"/>
    <w:rPr>
      <w:rFonts w:ascii="Calibri" w:eastAsia="Calibri" w:hAnsi="Calibri" w:cs="Times New Roman"/>
      <w:sz w:val="22"/>
      <w:szCs w:val="22"/>
      <w:lang w:eastAsia="en-US"/>
    </w:rPr>
  </w:style>
  <w:style w:type="paragraph" w:styleId="ListParagraph">
    <w:name w:val="List Paragraph"/>
    <w:basedOn w:val="Normal"/>
    <w:qFormat/>
    <w:rsid w:val="005A2593"/>
    <w:pPr>
      <w:spacing w:line="276" w:lineRule="auto"/>
      <w:ind w:left="720"/>
      <w:contextualSpacing/>
    </w:pPr>
    <w:rPr>
      <w:rFonts w:ascii="Calibri" w:eastAsia="Calibri" w:hAnsi="Calibri" w:cs="Times New Roman"/>
      <w:sz w:val="22"/>
      <w:szCs w:val="22"/>
      <w:lang w:eastAsia="en-US"/>
    </w:rPr>
  </w:style>
  <w:style w:type="paragraph" w:styleId="FootnoteText">
    <w:name w:val="footnote text"/>
    <w:basedOn w:val="Normal"/>
    <w:link w:val="FootnoteTextChar"/>
    <w:semiHidden/>
    <w:rsid w:val="005A2593"/>
    <w:pPr>
      <w:spacing w:line="276" w:lineRule="auto"/>
    </w:pPr>
    <w:rPr>
      <w:rFonts w:ascii="Calibri" w:eastAsia="Calibri" w:hAnsi="Calibri" w:cs="Times New Roman"/>
      <w:sz w:val="20"/>
      <w:lang w:eastAsia="en-US"/>
    </w:rPr>
  </w:style>
  <w:style w:type="character" w:customStyle="1" w:styleId="FootnoteTextChar">
    <w:name w:val="Footnote Text Char"/>
    <w:basedOn w:val="DefaultParagraphFont"/>
    <w:link w:val="FootnoteText"/>
    <w:semiHidden/>
    <w:rsid w:val="005A2593"/>
    <w:rPr>
      <w:rFonts w:ascii="Calibri" w:eastAsia="Calibri" w:hAnsi="Calibri" w:cs="Times New Roman"/>
      <w:lang w:eastAsia="en-US"/>
    </w:rPr>
  </w:style>
  <w:style w:type="character" w:styleId="FootnoteReference">
    <w:name w:val="footnote reference"/>
    <w:uiPriority w:val="99"/>
    <w:semiHidden/>
    <w:rsid w:val="005A2593"/>
    <w:rPr>
      <w:vertAlign w:val="superscript"/>
    </w:rPr>
  </w:style>
  <w:style w:type="character" w:customStyle="1" w:styleId="Heading2Char1">
    <w:name w:val="Heading 2 Char1"/>
    <w:basedOn w:val="DefaultParagraphFont"/>
    <w:uiPriority w:val="9"/>
    <w:semiHidden/>
    <w:rsid w:val="005A259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A2593"/>
    <w:rPr>
      <w:rFonts w:asciiTheme="majorHAnsi" w:eastAsiaTheme="majorEastAsia" w:hAnsiTheme="majorHAnsi" w:cstheme="majorBidi"/>
      <w:b/>
      <w:bCs/>
      <w:color w:val="4F81BD" w:themeColor="accent1"/>
      <w:sz w:val="24"/>
    </w:rPr>
  </w:style>
  <w:style w:type="paragraph" w:styleId="Header">
    <w:name w:val="header"/>
    <w:basedOn w:val="Normal"/>
    <w:link w:val="HeaderChar1"/>
    <w:uiPriority w:val="99"/>
    <w:unhideWhenUsed/>
    <w:rsid w:val="005A2593"/>
    <w:pPr>
      <w:tabs>
        <w:tab w:val="center" w:pos="4513"/>
        <w:tab w:val="right" w:pos="9026"/>
      </w:tabs>
      <w:spacing w:after="0"/>
    </w:pPr>
  </w:style>
  <w:style w:type="character" w:customStyle="1" w:styleId="HeaderChar1">
    <w:name w:val="Header Char1"/>
    <w:basedOn w:val="DefaultParagraphFont"/>
    <w:link w:val="Header"/>
    <w:uiPriority w:val="99"/>
    <w:rsid w:val="005A2593"/>
    <w:rPr>
      <w:sz w:val="24"/>
    </w:rPr>
  </w:style>
  <w:style w:type="table" w:styleId="TableGrid">
    <w:name w:val="Table Grid"/>
    <w:basedOn w:val="TableNormal"/>
    <w:uiPriority w:val="59"/>
    <w:rsid w:val="005A259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rPr>
      <w:sz w:val="24"/>
    </w:rPr>
  </w:style>
  <w:style w:type="paragraph" w:styleId="Heading1">
    <w:name w:val="heading 1"/>
    <w:basedOn w:val="DHChapterHead"/>
    <w:next w:val="Normal"/>
    <w:link w:val="Heading1Char"/>
    <w:uiPriority w:val="99"/>
    <w:qFormat/>
    <w:rsid w:val="009F4EE1"/>
    <w:pPr>
      <w:outlineLvl w:val="0"/>
    </w:pPr>
    <w:rPr>
      <w:b/>
      <w:color w:val="auto"/>
      <w:sz w:val="28"/>
      <w:szCs w:val="28"/>
    </w:rPr>
  </w:style>
  <w:style w:type="paragraph" w:styleId="Heading2">
    <w:name w:val="heading 2"/>
    <w:basedOn w:val="Normal"/>
    <w:next w:val="Normal"/>
    <w:link w:val="Heading2Char"/>
    <w:uiPriority w:val="99"/>
    <w:semiHidden/>
    <w:unhideWhenUsed/>
    <w:qFormat/>
    <w:rsid w:val="005A2593"/>
    <w:pPr>
      <w:keepNext/>
      <w:keepLines/>
      <w:spacing w:before="200" w:after="0"/>
      <w:outlineLvl w:val="1"/>
    </w:pPr>
    <w:rPr>
      <w:rFonts w:ascii="Arial" w:eastAsia="Times New Roman" w:hAnsi="Arial" w:cs="Times New Roman"/>
      <w:bCs/>
      <w:szCs w:val="26"/>
    </w:rPr>
  </w:style>
  <w:style w:type="paragraph" w:styleId="Heading3">
    <w:name w:val="heading 3"/>
    <w:basedOn w:val="Normal"/>
    <w:next w:val="Normal"/>
    <w:link w:val="Heading3Char"/>
    <w:uiPriority w:val="99"/>
    <w:semiHidden/>
    <w:unhideWhenUsed/>
    <w:qFormat/>
    <w:rsid w:val="005A2593"/>
    <w:pPr>
      <w:keepNext/>
      <w:keepLines/>
      <w:spacing w:before="200" w:after="0"/>
      <w:outlineLvl w:val="2"/>
    </w:pPr>
    <w:rPr>
      <w:rFonts w:ascii="Arial" w:eastAsia="Times New Roman" w:hAnsi="Arial"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semiHidden/>
    <w:unhideWhenUsed/>
    <w:rsid w:val="00532F04"/>
    <w:pPr>
      <w:spacing w:after="0"/>
    </w:pPr>
    <w:rPr>
      <w:rFonts w:ascii="Arial" w:eastAsia="Times New Roman" w:hAnsi="Arial" w:cs="Arial"/>
      <w:lang w:eastAsia="en-US"/>
    </w:rPr>
  </w:style>
  <w:style w:type="character" w:customStyle="1" w:styleId="DHTitleChar">
    <w:name w:val="DH Title Char"/>
    <w:link w:val="DHTitle"/>
    <w:locked/>
    <w:rsid w:val="00532F04"/>
    <w:rPr>
      <w:rFonts w:ascii="Arial" w:hAnsi="Arial" w:cs="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eastAsia="en-US"/>
    </w:rPr>
  </w:style>
  <w:style w:type="paragraph" w:customStyle="1" w:styleId="DHChapterHead">
    <w:name w:val="DH Chapter Head"/>
    <w:basedOn w:val="DHTitle"/>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character" w:customStyle="1" w:styleId="Heading1Char">
    <w:name w:val="Heading 1 Char"/>
    <w:basedOn w:val="DefaultParagraphFont"/>
    <w:link w:val="Heading1"/>
    <w:uiPriority w:val="99"/>
    <w:rsid w:val="009F4EE1"/>
    <w:rPr>
      <w:rFonts w:ascii="Arial" w:hAnsi="Arial" w:cs="Arial"/>
      <w:b/>
      <w:sz w:val="28"/>
      <w:szCs w:val="28"/>
      <w:lang w:eastAsia="en-US"/>
    </w:rPr>
  </w:style>
  <w:style w:type="paragraph" w:customStyle="1" w:styleId="Heading21">
    <w:name w:val="Heading 21"/>
    <w:basedOn w:val="Normal"/>
    <w:next w:val="Normal"/>
    <w:uiPriority w:val="99"/>
    <w:unhideWhenUsed/>
    <w:qFormat/>
    <w:rsid w:val="005A2593"/>
    <w:pPr>
      <w:keepNext/>
      <w:keepLines/>
      <w:spacing w:after="240"/>
      <w:ind w:left="851" w:hanging="851"/>
      <w:outlineLvl w:val="1"/>
    </w:pPr>
    <w:rPr>
      <w:rFonts w:ascii="Arial" w:eastAsia="Times New Roman" w:hAnsi="Arial" w:cs="Times New Roman"/>
      <w:bCs/>
      <w:szCs w:val="26"/>
      <w:lang w:eastAsia="en-US"/>
    </w:rPr>
  </w:style>
  <w:style w:type="paragraph" w:customStyle="1" w:styleId="Heading31">
    <w:name w:val="Heading 31"/>
    <w:basedOn w:val="Normal"/>
    <w:next w:val="Normal"/>
    <w:uiPriority w:val="99"/>
    <w:unhideWhenUsed/>
    <w:qFormat/>
    <w:rsid w:val="005A2593"/>
    <w:pPr>
      <w:keepNext/>
      <w:keepLines/>
      <w:spacing w:after="240"/>
      <w:ind w:left="1531" w:hanging="397"/>
      <w:outlineLvl w:val="2"/>
    </w:pPr>
    <w:rPr>
      <w:rFonts w:ascii="Arial" w:eastAsia="Times New Roman" w:hAnsi="Arial" w:cs="Times New Roman"/>
      <w:bCs/>
      <w:szCs w:val="22"/>
      <w:lang w:eastAsia="en-US"/>
    </w:rPr>
  </w:style>
  <w:style w:type="numbering" w:customStyle="1" w:styleId="NoList1">
    <w:name w:val="No List1"/>
    <w:next w:val="NoList"/>
    <w:uiPriority w:val="99"/>
    <w:semiHidden/>
    <w:unhideWhenUsed/>
    <w:rsid w:val="005A2593"/>
  </w:style>
  <w:style w:type="character" w:customStyle="1" w:styleId="Heading2Char">
    <w:name w:val="Heading 2 Char"/>
    <w:basedOn w:val="DefaultParagraphFont"/>
    <w:link w:val="Heading2"/>
    <w:uiPriority w:val="99"/>
    <w:rsid w:val="005A2593"/>
    <w:rPr>
      <w:rFonts w:ascii="Arial" w:eastAsia="Times New Roman" w:hAnsi="Arial" w:cs="Times New Roman"/>
      <w:bCs/>
      <w:sz w:val="24"/>
      <w:szCs w:val="26"/>
    </w:rPr>
  </w:style>
  <w:style w:type="character" w:customStyle="1" w:styleId="Heading3Char">
    <w:name w:val="Heading 3 Char"/>
    <w:basedOn w:val="DefaultParagraphFont"/>
    <w:link w:val="Heading3"/>
    <w:uiPriority w:val="99"/>
    <w:rsid w:val="005A2593"/>
    <w:rPr>
      <w:rFonts w:ascii="Arial" w:eastAsia="Times New Roman" w:hAnsi="Arial" w:cs="Times New Roman"/>
      <w:bCs/>
      <w:sz w:val="24"/>
    </w:rPr>
  </w:style>
  <w:style w:type="numbering" w:customStyle="1" w:styleId="Headings">
    <w:name w:val="Headings"/>
    <w:uiPriority w:val="99"/>
    <w:rsid w:val="005A2593"/>
    <w:pPr>
      <w:numPr>
        <w:numId w:val="2"/>
      </w:numPr>
    </w:pPr>
  </w:style>
  <w:style w:type="paragraph" w:customStyle="1" w:styleId="Header1">
    <w:name w:val="Header1"/>
    <w:basedOn w:val="Normal"/>
    <w:next w:val="Header"/>
    <w:link w:val="HeaderChar"/>
    <w:uiPriority w:val="99"/>
    <w:unhideWhenUsed/>
    <w:rsid w:val="005A2593"/>
    <w:pPr>
      <w:tabs>
        <w:tab w:val="center" w:pos="4513"/>
        <w:tab w:val="right" w:pos="9026"/>
      </w:tabs>
      <w:spacing w:after="0"/>
    </w:pPr>
    <w:rPr>
      <w:rFonts w:ascii="Arial" w:hAnsi="Arial"/>
    </w:rPr>
  </w:style>
  <w:style w:type="character" w:customStyle="1" w:styleId="HeaderChar">
    <w:name w:val="Header Char"/>
    <w:basedOn w:val="DefaultParagraphFont"/>
    <w:link w:val="Header1"/>
    <w:uiPriority w:val="99"/>
    <w:rsid w:val="005A2593"/>
    <w:rPr>
      <w:rFonts w:ascii="Arial" w:hAnsi="Arial"/>
      <w:sz w:val="24"/>
    </w:rPr>
  </w:style>
  <w:style w:type="table" w:customStyle="1" w:styleId="TableGrid1">
    <w:name w:val="Table Grid1"/>
    <w:basedOn w:val="TableNormal"/>
    <w:next w:val="TableGrid"/>
    <w:uiPriority w:val="59"/>
    <w:rsid w:val="005A2593"/>
    <w:pPr>
      <w:spacing w:after="0"/>
    </w:pPr>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A2593"/>
    <w:pPr>
      <w:tabs>
        <w:tab w:val="center" w:pos="4153"/>
        <w:tab w:val="right" w:pos="8306"/>
      </w:tabs>
      <w:spacing w:line="276" w:lineRule="auto"/>
    </w:pPr>
    <w:rPr>
      <w:rFonts w:ascii="Calibri" w:eastAsia="Calibri" w:hAnsi="Calibri" w:cs="Times New Roman"/>
      <w:sz w:val="22"/>
      <w:szCs w:val="22"/>
      <w:lang w:eastAsia="en-US"/>
    </w:rPr>
  </w:style>
  <w:style w:type="character" w:customStyle="1" w:styleId="FooterChar">
    <w:name w:val="Footer Char"/>
    <w:basedOn w:val="DefaultParagraphFont"/>
    <w:link w:val="Footer"/>
    <w:uiPriority w:val="99"/>
    <w:rsid w:val="005A2593"/>
    <w:rPr>
      <w:rFonts w:ascii="Calibri" w:eastAsia="Calibri" w:hAnsi="Calibri" w:cs="Times New Roman"/>
      <w:sz w:val="22"/>
      <w:szCs w:val="22"/>
      <w:lang w:eastAsia="en-US"/>
    </w:rPr>
  </w:style>
  <w:style w:type="paragraph" w:styleId="ListParagraph">
    <w:name w:val="List Paragraph"/>
    <w:basedOn w:val="Normal"/>
    <w:qFormat/>
    <w:rsid w:val="005A2593"/>
    <w:pPr>
      <w:spacing w:line="276" w:lineRule="auto"/>
      <w:ind w:left="720"/>
      <w:contextualSpacing/>
    </w:pPr>
    <w:rPr>
      <w:rFonts w:ascii="Calibri" w:eastAsia="Calibri" w:hAnsi="Calibri" w:cs="Times New Roman"/>
      <w:sz w:val="22"/>
      <w:szCs w:val="22"/>
      <w:lang w:eastAsia="en-US"/>
    </w:rPr>
  </w:style>
  <w:style w:type="paragraph" w:styleId="FootnoteText">
    <w:name w:val="footnote text"/>
    <w:basedOn w:val="Normal"/>
    <w:link w:val="FootnoteTextChar"/>
    <w:semiHidden/>
    <w:rsid w:val="005A2593"/>
    <w:pPr>
      <w:spacing w:line="276" w:lineRule="auto"/>
    </w:pPr>
    <w:rPr>
      <w:rFonts w:ascii="Calibri" w:eastAsia="Calibri" w:hAnsi="Calibri" w:cs="Times New Roman"/>
      <w:sz w:val="20"/>
      <w:lang w:eastAsia="en-US"/>
    </w:rPr>
  </w:style>
  <w:style w:type="character" w:customStyle="1" w:styleId="FootnoteTextChar">
    <w:name w:val="Footnote Text Char"/>
    <w:basedOn w:val="DefaultParagraphFont"/>
    <w:link w:val="FootnoteText"/>
    <w:semiHidden/>
    <w:rsid w:val="005A2593"/>
    <w:rPr>
      <w:rFonts w:ascii="Calibri" w:eastAsia="Calibri" w:hAnsi="Calibri" w:cs="Times New Roman"/>
      <w:lang w:eastAsia="en-US"/>
    </w:rPr>
  </w:style>
  <w:style w:type="character" w:styleId="FootnoteReference">
    <w:name w:val="footnote reference"/>
    <w:uiPriority w:val="99"/>
    <w:semiHidden/>
    <w:rsid w:val="005A2593"/>
    <w:rPr>
      <w:vertAlign w:val="superscript"/>
    </w:rPr>
  </w:style>
  <w:style w:type="character" w:customStyle="1" w:styleId="Heading2Char1">
    <w:name w:val="Heading 2 Char1"/>
    <w:basedOn w:val="DefaultParagraphFont"/>
    <w:uiPriority w:val="9"/>
    <w:semiHidden/>
    <w:rsid w:val="005A259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A2593"/>
    <w:rPr>
      <w:rFonts w:asciiTheme="majorHAnsi" w:eastAsiaTheme="majorEastAsia" w:hAnsiTheme="majorHAnsi" w:cstheme="majorBidi"/>
      <w:b/>
      <w:bCs/>
      <w:color w:val="4F81BD" w:themeColor="accent1"/>
      <w:sz w:val="24"/>
    </w:rPr>
  </w:style>
  <w:style w:type="paragraph" w:styleId="Header">
    <w:name w:val="header"/>
    <w:basedOn w:val="Normal"/>
    <w:link w:val="HeaderChar1"/>
    <w:uiPriority w:val="99"/>
    <w:unhideWhenUsed/>
    <w:rsid w:val="005A2593"/>
    <w:pPr>
      <w:tabs>
        <w:tab w:val="center" w:pos="4513"/>
        <w:tab w:val="right" w:pos="9026"/>
      </w:tabs>
      <w:spacing w:after="0"/>
    </w:pPr>
  </w:style>
  <w:style w:type="character" w:customStyle="1" w:styleId="HeaderChar1">
    <w:name w:val="Header Char1"/>
    <w:basedOn w:val="DefaultParagraphFont"/>
    <w:link w:val="Header"/>
    <w:uiPriority w:val="99"/>
    <w:rsid w:val="005A2593"/>
    <w:rPr>
      <w:sz w:val="24"/>
    </w:rPr>
  </w:style>
  <w:style w:type="table" w:styleId="TableGrid">
    <w:name w:val="Table Grid"/>
    <w:basedOn w:val="TableNormal"/>
    <w:uiPriority w:val="59"/>
    <w:rsid w:val="005A259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glandsanctionvariation@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england.cquinvariation@nhs.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qualityobservatory.nhs.uk/index.php?option=com_cat&amp;view=item&amp;Itemid=28&amp;cat_id=588" TargetMode="External"/><Relationship Id="rId1" Type="http://schemas.openxmlformats.org/officeDocument/2006/relationships/hyperlink" Target="http://harmfreecare.org/measurement/nhs-safety-thermom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F6A5-4EB6-4EEB-8D2E-F7760350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4795</Words>
  <Characters>27334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32065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Michelle Coleman</cp:lastModifiedBy>
  <cp:revision>5</cp:revision>
  <cp:lastPrinted>2014-02-19T19:37:00Z</cp:lastPrinted>
  <dcterms:created xsi:type="dcterms:W3CDTF">2014-02-26T14:10:00Z</dcterms:created>
  <dcterms:modified xsi:type="dcterms:W3CDTF">2014-02-26T15:32:00Z</dcterms:modified>
</cp:coreProperties>
</file>