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46" w:rsidRDefault="005B1C46" w:rsidP="008903E6">
      <w:pPr>
        <w:rPr>
          <w:b/>
          <w:bCs w:val="0"/>
          <w:sz w:val="23"/>
          <w:szCs w:val="23"/>
        </w:rPr>
      </w:pPr>
    </w:p>
    <w:p w:rsidR="00AD4E55" w:rsidRPr="005724D5" w:rsidRDefault="008903E6" w:rsidP="008903E6">
      <w:pPr>
        <w:rPr>
          <w:b/>
        </w:rPr>
      </w:pPr>
      <w:r>
        <w:rPr>
          <w:b/>
          <w:bCs w:val="0"/>
          <w:sz w:val="23"/>
          <w:szCs w:val="23"/>
        </w:rPr>
        <w:t>Gateway ref 02298</w:t>
      </w:r>
    </w:p>
    <w:p w:rsidR="001A5B8C" w:rsidRPr="005724D5" w:rsidRDefault="001A5B8C" w:rsidP="000B0B09">
      <w:pPr>
        <w:rPr>
          <w:b/>
        </w:rPr>
      </w:pPr>
    </w:p>
    <w:p w:rsidR="00AE1898" w:rsidRPr="005724D5" w:rsidRDefault="007C40F0" w:rsidP="000B0B09">
      <w:pPr>
        <w:rPr>
          <w:b/>
        </w:rPr>
      </w:pPr>
      <w:r w:rsidRPr="005724D5">
        <w:rPr>
          <w:b/>
        </w:rPr>
        <w:t>Model Variation Agreement for RTT backlog clearance activity</w:t>
      </w:r>
    </w:p>
    <w:p w:rsidR="00685216" w:rsidRPr="005724D5" w:rsidRDefault="008903E6" w:rsidP="008903E6">
      <w:pPr>
        <w:jc w:val="center"/>
        <w:rPr>
          <w:rFonts w:cs="Arial"/>
          <w:b/>
          <w:sz w:val="28"/>
          <w:szCs w:val="28"/>
        </w:rPr>
      </w:pPr>
      <w:r>
        <w:rPr>
          <w:b/>
        </w:rPr>
        <w:br w:type="page"/>
      </w:r>
      <w:r w:rsidR="00685216" w:rsidRPr="005724D5">
        <w:rPr>
          <w:rFonts w:cs="Arial"/>
          <w:b/>
          <w:sz w:val="28"/>
          <w:szCs w:val="28"/>
        </w:rPr>
        <w:t>VARIATION AGREEMENT</w:t>
      </w:r>
    </w:p>
    <w:p w:rsidR="00685216" w:rsidRPr="005724D5" w:rsidRDefault="00685216" w:rsidP="00685216">
      <w:pPr>
        <w:rPr>
          <w:rFonts w:cs="Arial"/>
        </w:rPr>
      </w:pPr>
    </w:p>
    <w:p w:rsidR="00685216" w:rsidRPr="005724D5" w:rsidRDefault="00685216" w:rsidP="00685216">
      <w:pPr>
        <w:rPr>
          <w:rFonts w:cs="Arial"/>
        </w:rPr>
      </w:pPr>
    </w:p>
    <w:p w:rsidR="00685216" w:rsidRPr="005724D5" w:rsidRDefault="00685216" w:rsidP="00685216">
      <w:pPr>
        <w:jc w:val="both"/>
        <w:rPr>
          <w:rFonts w:cs="Arial"/>
          <w:sz w:val="20"/>
          <w:szCs w:val="20"/>
        </w:rPr>
      </w:pPr>
      <w:r w:rsidRPr="005724D5">
        <w:rPr>
          <w:rFonts w:cs="Arial"/>
          <w:b/>
          <w:sz w:val="20"/>
          <w:szCs w:val="20"/>
        </w:rPr>
        <w:t>Contract/Variation Reference</w:t>
      </w:r>
      <w:r w:rsidRPr="005724D5">
        <w:rPr>
          <w:rFonts w:cs="Arial"/>
          <w:sz w:val="20"/>
          <w:szCs w:val="20"/>
        </w:rPr>
        <w:t>:</w:t>
      </w:r>
    </w:p>
    <w:p w:rsidR="00685216" w:rsidRPr="005724D5" w:rsidRDefault="00685216" w:rsidP="00685216">
      <w:pPr>
        <w:jc w:val="both"/>
        <w:rPr>
          <w:rFonts w:cs="Arial"/>
          <w:sz w:val="20"/>
          <w:szCs w:val="20"/>
        </w:rPr>
      </w:pPr>
    </w:p>
    <w:p w:rsidR="00685216" w:rsidRPr="005724D5" w:rsidRDefault="00685216" w:rsidP="00685216">
      <w:pPr>
        <w:jc w:val="both"/>
        <w:rPr>
          <w:rFonts w:cs="Arial"/>
          <w:sz w:val="20"/>
          <w:szCs w:val="20"/>
        </w:rPr>
      </w:pPr>
    </w:p>
    <w:p w:rsidR="00685216" w:rsidRPr="005724D5" w:rsidRDefault="00685216" w:rsidP="00685216">
      <w:pPr>
        <w:ind w:left="2880" w:hanging="2880"/>
        <w:rPr>
          <w:rFonts w:cs="Arial"/>
          <w:sz w:val="20"/>
          <w:szCs w:val="20"/>
        </w:rPr>
      </w:pPr>
      <w:r w:rsidRPr="005724D5">
        <w:rPr>
          <w:rFonts w:cs="Arial"/>
          <w:b/>
          <w:sz w:val="20"/>
          <w:szCs w:val="20"/>
        </w:rPr>
        <w:t>Proposed by</w:t>
      </w:r>
      <w:r w:rsidRPr="005724D5">
        <w:rPr>
          <w:rFonts w:cs="Arial"/>
          <w:sz w:val="20"/>
          <w:szCs w:val="20"/>
        </w:rPr>
        <w:t>:</w:t>
      </w:r>
      <w:r w:rsidRPr="005724D5">
        <w:rPr>
          <w:rFonts w:cs="Arial"/>
          <w:sz w:val="20"/>
          <w:szCs w:val="20"/>
        </w:rPr>
        <w:tab/>
        <w:t>Co-ordinating Commissioner on behalf of NHS England/Co-ordinating Commissioner on behalf of the Commissioners/Provider (</w:t>
      </w:r>
      <w:r w:rsidRPr="005724D5">
        <w:rPr>
          <w:rFonts w:cs="Arial"/>
          <w:i/>
          <w:sz w:val="20"/>
          <w:szCs w:val="20"/>
        </w:rPr>
        <w:t>delete as applicable</w:t>
      </w:r>
      <w:r w:rsidRPr="005724D5">
        <w:rPr>
          <w:rFonts w:cs="Arial"/>
          <w:sz w:val="20"/>
          <w:szCs w:val="20"/>
        </w:rPr>
        <w:t>)</w:t>
      </w:r>
    </w:p>
    <w:p w:rsidR="00685216" w:rsidRPr="005724D5" w:rsidRDefault="00685216" w:rsidP="00685216">
      <w:pPr>
        <w:ind w:left="2880" w:hanging="2880"/>
        <w:jc w:val="both"/>
        <w:rPr>
          <w:rFonts w:cs="Arial"/>
          <w:sz w:val="20"/>
          <w:szCs w:val="20"/>
        </w:rPr>
      </w:pPr>
    </w:p>
    <w:p w:rsidR="00685216" w:rsidRPr="005724D5" w:rsidRDefault="00685216" w:rsidP="00685216">
      <w:pPr>
        <w:ind w:left="2880" w:hanging="2880"/>
        <w:jc w:val="both"/>
        <w:rPr>
          <w:rFonts w:cs="Arial"/>
          <w:sz w:val="20"/>
          <w:szCs w:val="20"/>
        </w:rPr>
      </w:pPr>
      <w:r w:rsidRPr="005724D5">
        <w:rPr>
          <w:rFonts w:cs="Arial"/>
          <w:b/>
          <w:sz w:val="20"/>
          <w:szCs w:val="20"/>
        </w:rPr>
        <w:t>Date of Proposal</w:t>
      </w:r>
      <w:r w:rsidRPr="005724D5">
        <w:rPr>
          <w:rFonts w:cs="Arial"/>
          <w:sz w:val="20"/>
          <w:szCs w:val="20"/>
        </w:rPr>
        <w:t>:</w:t>
      </w:r>
    </w:p>
    <w:p w:rsidR="00685216" w:rsidRPr="005724D5" w:rsidRDefault="00685216" w:rsidP="00685216">
      <w:pPr>
        <w:ind w:left="2880" w:hanging="2880"/>
        <w:jc w:val="both"/>
        <w:rPr>
          <w:rFonts w:cs="Arial"/>
          <w:sz w:val="20"/>
          <w:szCs w:val="20"/>
        </w:rPr>
      </w:pPr>
    </w:p>
    <w:p w:rsidR="00685216" w:rsidRPr="005724D5" w:rsidRDefault="00685216" w:rsidP="00685216">
      <w:pPr>
        <w:ind w:left="2880" w:hanging="2880"/>
        <w:jc w:val="both"/>
        <w:rPr>
          <w:rFonts w:cs="Arial"/>
          <w:sz w:val="20"/>
          <w:szCs w:val="20"/>
        </w:rPr>
      </w:pPr>
      <w:r w:rsidRPr="005724D5">
        <w:rPr>
          <w:rFonts w:cs="Arial"/>
          <w:b/>
          <w:sz w:val="20"/>
          <w:szCs w:val="20"/>
        </w:rPr>
        <w:t>Date of Variation Agreement</w:t>
      </w:r>
      <w:r w:rsidRPr="005724D5">
        <w:rPr>
          <w:rFonts w:cs="Arial"/>
          <w:sz w:val="20"/>
          <w:szCs w:val="20"/>
        </w:rPr>
        <w:t>:</w:t>
      </w:r>
    </w:p>
    <w:p w:rsidR="00685216" w:rsidRPr="005724D5" w:rsidRDefault="00685216" w:rsidP="00685216">
      <w:pPr>
        <w:ind w:left="2880" w:hanging="2880"/>
        <w:jc w:val="both"/>
        <w:rPr>
          <w:rFonts w:cs="Arial"/>
          <w:sz w:val="20"/>
          <w:szCs w:val="20"/>
        </w:rPr>
      </w:pPr>
    </w:p>
    <w:p w:rsidR="00685216" w:rsidRPr="005724D5" w:rsidRDefault="00685216" w:rsidP="00685216">
      <w:pPr>
        <w:jc w:val="both"/>
        <w:rPr>
          <w:rFonts w:cs="Arial"/>
          <w:sz w:val="20"/>
          <w:szCs w:val="20"/>
        </w:rPr>
      </w:pPr>
      <w:r w:rsidRPr="005724D5">
        <w:rPr>
          <w:rFonts w:cs="Arial"/>
          <w:sz w:val="20"/>
          <w:szCs w:val="20"/>
        </w:rPr>
        <w:t>Capitalised words and phrases in this Variation Agreement have the meanings given to them in the Contract referred to above, or, where appropriate, in this Variation Agreement.</w:t>
      </w:r>
    </w:p>
    <w:p w:rsidR="00685216" w:rsidRPr="005724D5" w:rsidRDefault="00685216" w:rsidP="00685216">
      <w:pPr>
        <w:jc w:val="both"/>
        <w:rPr>
          <w:rFonts w:cs="Arial"/>
          <w:sz w:val="20"/>
          <w:szCs w:val="20"/>
        </w:rPr>
      </w:pPr>
    </w:p>
    <w:p w:rsidR="00685216" w:rsidRPr="005724D5" w:rsidRDefault="00AE1898" w:rsidP="00930BA2">
      <w:pPr>
        <w:jc w:val="both"/>
        <w:rPr>
          <w:rFonts w:cs="Arial"/>
          <w:sz w:val="20"/>
          <w:szCs w:val="20"/>
        </w:rPr>
      </w:pPr>
      <w:r w:rsidRPr="005724D5">
        <w:rPr>
          <w:rFonts w:cs="Arial"/>
          <w:sz w:val="20"/>
          <w:szCs w:val="20"/>
        </w:rPr>
        <w:t>1</w:t>
      </w:r>
      <w:r w:rsidRPr="005724D5">
        <w:rPr>
          <w:rFonts w:cs="Arial"/>
          <w:sz w:val="20"/>
          <w:szCs w:val="20"/>
        </w:rPr>
        <w:tab/>
      </w:r>
      <w:r w:rsidR="00685216" w:rsidRPr="005724D5">
        <w:rPr>
          <w:rFonts w:cs="Arial"/>
          <w:sz w:val="20"/>
          <w:szCs w:val="20"/>
        </w:rPr>
        <w:t>The Parties have agreed the Variation summarised below:</w:t>
      </w:r>
    </w:p>
    <w:p w:rsidR="00685216" w:rsidRPr="005724D5" w:rsidRDefault="00685216" w:rsidP="00685216">
      <w:pPr>
        <w:pStyle w:val="ListParagraph"/>
        <w:ind w:left="567"/>
        <w:jc w:val="both"/>
        <w:rPr>
          <w:rFonts w:cs="Arial"/>
          <w:sz w:val="20"/>
          <w:szCs w:val="20"/>
        </w:rPr>
      </w:pPr>
    </w:p>
    <w:tbl>
      <w:tblPr>
        <w:tblStyle w:val="TableGrid"/>
        <w:tblW w:w="0" w:type="auto"/>
        <w:tblLook w:val="04A0" w:firstRow="1" w:lastRow="0" w:firstColumn="1" w:lastColumn="0" w:noHBand="0" w:noVBand="1"/>
      </w:tblPr>
      <w:tblGrid>
        <w:gridCol w:w="9180"/>
      </w:tblGrid>
      <w:tr w:rsidR="005724D5" w:rsidRPr="005724D5" w:rsidTr="00AA4EC3">
        <w:tc>
          <w:tcPr>
            <w:tcW w:w="9180" w:type="dxa"/>
          </w:tcPr>
          <w:p w:rsidR="00685216" w:rsidRPr="005724D5" w:rsidRDefault="00685216" w:rsidP="00D77EE7">
            <w:pPr>
              <w:jc w:val="both"/>
              <w:rPr>
                <w:rFonts w:cs="Arial"/>
                <w:sz w:val="20"/>
                <w:szCs w:val="20"/>
              </w:rPr>
            </w:pPr>
          </w:p>
          <w:p w:rsidR="00685216" w:rsidRPr="005724D5" w:rsidRDefault="00685216" w:rsidP="00D77EE7">
            <w:pPr>
              <w:jc w:val="both"/>
              <w:rPr>
                <w:rFonts w:cs="Arial"/>
                <w:b/>
                <w:sz w:val="20"/>
                <w:szCs w:val="20"/>
              </w:rPr>
            </w:pPr>
            <w:r w:rsidRPr="005724D5">
              <w:rPr>
                <w:rFonts w:cs="Arial"/>
                <w:b/>
                <w:sz w:val="20"/>
                <w:szCs w:val="20"/>
              </w:rPr>
              <w:t>Detail of the agreed Variation</w:t>
            </w:r>
          </w:p>
          <w:p w:rsidR="00685216" w:rsidRPr="005724D5" w:rsidRDefault="00685216" w:rsidP="00D77EE7">
            <w:pPr>
              <w:jc w:val="both"/>
              <w:rPr>
                <w:rFonts w:cs="Arial"/>
                <w:sz w:val="20"/>
                <w:szCs w:val="20"/>
              </w:rPr>
            </w:pPr>
          </w:p>
          <w:p w:rsidR="00685216" w:rsidRPr="005724D5" w:rsidRDefault="00685216" w:rsidP="00001413">
            <w:pPr>
              <w:jc w:val="both"/>
              <w:rPr>
                <w:rFonts w:cs="Arial"/>
                <w:sz w:val="20"/>
                <w:szCs w:val="20"/>
              </w:rPr>
            </w:pPr>
          </w:p>
          <w:p w:rsidR="0055084A" w:rsidRPr="005724D5" w:rsidRDefault="0055084A" w:rsidP="0055084A">
            <w:pPr>
              <w:pStyle w:val="Heading1"/>
              <w:rPr>
                <w:color w:val="auto"/>
                <w:sz w:val="20"/>
                <w:szCs w:val="20"/>
              </w:rPr>
            </w:pPr>
            <w:r w:rsidRPr="005724D5">
              <w:rPr>
                <w:color w:val="auto"/>
                <w:sz w:val="20"/>
                <w:szCs w:val="20"/>
              </w:rPr>
              <w:t>Introduction</w:t>
            </w:r>
          </w:p>
          <w:p w:rsidR="0055084A" w:rsidRPr="005724D5" w:rsidRDefault="0055084A" w:rsidP="0055084A">
            <w:pPr>
              <w:jc w:val="both"/>
              <w:rPr>
                <w:rFonts w:cs="Arial"/>
                <w:sz w:val="20"/>
                <w:szCs w:val="20"/>
              </w:rPr>
            </w:pPr>
          </w:p>
          <w:p w:rsidR="0055084A" w:rsidRPr="005724D5" w:rsidRDefault="0055084A" w:rsidP="0055084A">
            <w:pPr>
              <w:pStyle w:val="Heading2"/>
              <w:spacing w:line="240" w:lineRule="auto"/>
              <w:ind w:left="578" w:hanging="578"/>
              <w:rPr>
                <w:b w:val="0"/>
                <w:color w:val="auto"/>
                <w:sz w:val="20"/>
                <w:szCs w:val="20"/>
              </w:rPr>
            </w:pPr>
            <w:r w:rsidRPr="005724D5">
              <w:rPr>
                <w:b w:val="0"/>
                <w:color w:val="auto"/>
                <w:sz w:val="20"/>
                <w:szCs w:val="20"/>
              </w:rPr>
              <w:t>This Variation has been agreed in order that the Provider shall undertake additional Activity, at higher prices than those set out in the Contract and with protection against the financial consequences which the Commissioners could impose in relation to its achievement of the 18 Weeks Referral-to-Treatment Standards. The Provider agrees that the intention of the Variation is that, by undertaking the additional Activity, it will reduce waiting list backlogs so that it will be in a position to achieve the 18 Weeks Referral-to-Treatment Standards in full from 1 December 2014 onwards.</w:t>
            </w:r>
          </w:p>
          <w:p w:rsidR="0055084A" w:rsidRPr="005724D5" w:rsidRDefault="0055084A" w:rsidP="0055084A"/>
          <w:p w:rsidR="0055084A" w:rsidRPr="005724D5" w:rsidRDefault="0055084A" w:rsidP="0055084A"/>
          <w:p w:rsidR="00685216" w:rsidRPr="005724D5" w:rsidRDefault="00685216" w:rsidP="00001413">
            <w:pPr>
              <w:pStyle w:val="Heading1"/>
              <w:rPr>
                <w:color w:val="auto"/>
                <w:sz w:val="20"/>
                <w:szCs w:val="20"/>
              </w:rPr>
            </w:pPr>
            <w:r w:rsidRPr="005724D5">
              <w:rPr>
                <w:color w:val="auto"/>
                <w:sz w:val="20"/>
                <w:szCs w:val="20"/>
              </w:rPr>
              <w:t>Variation Period</w:t>
            </w:r>
          </w:p>
          <w:p w:rsidR="00685216" w:rsidRPr="005724D5" w:rsidRDefault="00685216" w:rsidP="00001413">
            <w:pPr>
              <w:jc w:val="both"/>
              <w:rPr>
                <w:rFonts w:cs="Arial"/>
                <w:sz w:val="20"/>
                <w:szCs w:val="20"/>
              </w:rPr>
            </w:pPr>
          </w:p>
          <w:p w:rsidR="00685216" w:rsidRPr="005724D5" w:rsidRDefault="00685216" w:rsidP="00001413">
            <w:pPr>
              <w:pStyle w:val="Heading2"/>
              <w:spacing w:line="240" w:lineRule="auto"/>
              <w:ind w:left="578" w:hanging="578"/>
              <w:jc w:val="both"/>
              <w:rPr>
                <w:rFonts w:cs="Arial"/>
                <w:b w:val="0"/>
                <w:color w:val="auto"/>
                <w:sz w:val="20"/>
                <w:szCs w:val="20"/>
              </w:rPr>
            </w:pPr>
            <w:r w:rsidRPr="005724D5">
              <w:rPr>
                <w:rFonts w:cs="Arial"/>
                <w:b w:val="0"/>
                <w:color w:val="auto"/>
                <w:sz w:val="20"/>
                <w:szCs w:val="20"/>
              </w:rPr>
              <w:t>This Variation applies only to Services provided and Activity undertaken during the period from 1 October 2014 to 30 November 2014 inclusive (the Variation Period). It applies only to Services covered by the 18 Weeks Referral-to-Treatment Standard; that is, elective outpatient</w:t>
            </w:r>
            <w:r w:rsidR="00CF59B6" w:rsidRPr="005724D5">
              <w:rPr>
                <w:rFonts w:cs="Arial"/>
                <w:b w:val="0"/>
                <w:color w:val="auto"/>
                <w:sz w:val="20"/>
                <w:szCs w:val="20"/>
              </w:rPr>
              <w:t>, diagnostic</w:t>
            </w:r>
            <w:r w:rsidRPr="005724D5">
              <w:rPr>
                <w:rFonts w:cs="Arial"/>
                <w:b w:val="0"/>
                <w:color w:val="auto"/>
                <w:sz w:val="20"/>
                <w:szCs w:val="20"/>
              </w:rPr>
              <w:t xml:space="preserve"> and elective inpatient</w:t>
            </w:r>
            <w:r w:rsidR="00CF59B6" w:rsidRPr="005724D5">
              <w:rPr>
                <w:rFonts w:cs="Arial"/>
                <w:b w:val="0"/>
                <w:color w:val="auto"/>
                <w:sz w:val="20"/>
                <w:szCs w:val="20"/>
              </w:rPr>
              <w:t xml:space="preserve"> </w:t>
            </w:r>
            <w:r w:rsidRPr="005724D5">
              <w:rPr>
                <w:rFonts w:cs="Arial"/>
                <w:b w:val="0"/>
                <w:color w:val="auto"/>
                <w:sz w:val="20"/>
                <w:szCs w:val="20"/>
              </w:rPr>
              <w:t>/</w:t>
            </w:r>
            <w:r w:rsidR="00CF59B6" w:rsidRPr="005724D5">
              <w:rPr>
                <w:rFonts w:cs="Arial"/>
                <w:b w:val="0"/>
                <w:color w:val="auto"/>
                <w:sz w:val="20"/>
                <w:szCs w:val="20"/>
              </w:rPr>
              <w:t xml:space="preserve"> </w:t>
            </w:r>
            <w:r w:rsidR="00890444" w:rsidRPr="005724D5">
              <w:rPr>
                <w:rFonts w:cs="Arial"/>
                <w:b w:val="0"/>
                <w:color w:val="auto"/>
                <w:sz w:val="20"/>
                <w:szCs w:val="20"/>
              </w:rPr>
              <w:t>day case</w:t>
            </w:r>
            <w:r w:rsidRPr="005724D5">
              <w:rPr>
                <w:rFonts w:cs="Arial"/>
                <w:b w:val="0"/>
                <w:color w:val="auto"/>
                <w:sz w:val="20"/>
                <w:szCs w:val="20"/>
              </w:rPr>
              <w:t xml:space="preserve"> activity (referred to in this Variation Agreement as Elective Services</w:t>
            </w:r>
            <w:r w:rsidR="00930BA2" w:rsidRPr="005724D5">
              <w:rPr>
                <w:rFonts w:cs="Arial"/>
                <w:b w:val="0"/>
                <w:color w:val="auto"/>
                <w:sz w:val="20"/>
                <w:szCs w:val="20"/>
              </w:rPr>
              <w:t>).</w:t>
            </w:r>
          </w:p>
          <w:p w:rsidR="00685216" w:rsidRPr="005724D5" w:rsidRDefault="00685216" w:rsidP="00001413">
            <w:pPr>
              <w:pStyle w:val="Heading2"/>
              <w:numPr>
                <w:ilvl w:val="0"/>
                <w:numId w:val="0"/>
              </w:numPr>
              <w:spacing w:line="240" w:lineRule="auto"/>
              <w:ind w:left="576"/>
              <w:rPr>
                <w:rFonts w:cs="Arial"/>
                <w:b w:val="0"/>
                <w:color w:val="auto"/>
                <w:sz w:val="20"/>
                <w:szCs w:val="20"/>
              </w:rPr>
            </w:pPr>
          </w:p>
          <w:p w:rsidR="00001413" w:rsidRPr="005724D5" w:rsidRDefault="00001413" w:rsidP="00001413">
            <w:pPr>
              <w:rPr>
                <w:rFonts w:cs="Arial"/>
                <w:sz w:val="20"/>
                <w:szCs w:val="20"/>
              </w:rPr>
            </w:pPr>
          </w:p>
          <w:p w:rsidR="00685216" w:rsidRPr="005724D5" w:rsidRDefault="00685216" w:rsidP="00001413">
            <w:pPr>
              <w:pStyle w:val="Heading1"/>
              <w:rPr>
                <w:color w:val="auto"/>
                <w:sz w:val="20"/>
                <w:szCs w:val="20"/>
              </w:rPr>
            </w:pPr>
            <w:r w:rsidRPr="005724D5">
              <w:rPr>
                <w:color w:val="auto"/>
                <w:sz w:val="20"/>
                <w:szCs w:val="20"/>
              </w:rPr>
              <w:t>Indicative Activity Plan</w:t>
            </w:r>
          </w:p>
          <w:p w:rsidR="00685216" w:rsidRPr="005724D5" w:rsidRDefault="00685216" w:rsidP="00001413">
            <w:pPr>
              <w:pStyle w:val="Heading2"/>
              <w:numPr>
                <w:ilvl w:val="0"/>
                <w:numId w:val="0"/>
              </w:numPr>
              <w:spacing w:line="240" w:lineRule="auto"/>
              <w:ind w:left="576" w:hanging="576"/>
              <w:rPr>
                <w:rFonts w:cs="Arial"/>
                <w:b w:val="0"/>
                <w:color w:val="auto"/>
                <w:sz w:val="20"/>
                <w:szCs w:val="20"/>
              </w:rPr>
            </w:pPr>
          </w:p>
          <w:p w:rsidR="00685216"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 xml:space="preserve">A revised Indicative Activity Plan for Elective Services has been agreed and is included as Schedule A to this Variation Agreement. </w:t>
            </w:r>
          </w:p>
          <w:p w:rsidR="00685216" w:rsidRPr="005724D5" w:rsidRDefault="00685216" w:rsidP="00AA4EC3">
            <w:pPr>
              <w:pStyle w:val="Heading2"/>
              <w:numPr>
                <w:ilvl w:val="0"/>
                <w:numId w:val="0"/>
              </w:numPr>
              <w:spacing w:line="240" w:lineRule="auto"/>
              <w:jc w:val="both"/>
              <w:rPr>
                <w:rFonts w:cs="Arial"/>
                <w:b w:val="0"/>
                <w:color w:val="auto"/>
                <w:sz w:val="20"/>
                <w:szCs w:val="20"/>
              </w:rPr>
            </w:pPr>
          </w:p>
          <w:p w:rsidR="00685216"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This revised Indicative Activity Plan sets out, at Commissioner and specialty level, specific revised expectations for Elective Services Activity to be carried out during October and November 2014. It sets out, separately for each of these two months:</w:t>
            </w:r>
          </w:p>
          <w:p w:rsidR="00930BA2" w:rsidRPr="005724D5" w:rsidRDefault="00930BA2" w:rsidP="00AA4EC3">
            <w:pPr>
              <w:pStyle w:val="Heading2"/>
              <w:numPr>
                <w:ilvl w:val="0"/>
                <w:numId w:val="0"/>
              </w:numPr>
              <w:spacing w:line="240" w:lineRule="auto"/>
              <w:jc w:val="both"/>
              <w:rPr>
                <w:rFonts w:cs="Arial"/>
                <w:b w:val="0"/>
                <w:color w:val="auto"/>
                <w:sz w:val="20"/>
                <w:szCs w:val="20"/>
              </w:rPr>
            </w:pPr>
          </w:p>
          <w:p w:rsidR="00685216" w:rsidRPr="005724D5" w:rsidRDefault="00685216" w:rsidP="00AA4EC3">
            <w:pPr>
              <w:pStyle w:val="Heading3"/>
              <w:spacing w:line="240" w:lineRule="auto"/>
              <w:ind w:left="1296"/>
              <w:jc w:val="both"/>
              <w:rPr>
                <w:rFonts w:cs="Arial"/>
                <w:b w:val="0"/>
                <w:sz w:val="20"/>
                <w:szCs w:val="20"/>
              </w:rPr>
            </w:pPr>
            <w:r w:rsidRPr="005724D5">
              <w:rPr>
                <w:rFonts w:cs="Arial"/>
                <w:b w:val="0"/>
                <w:sz w:val="20"/>
                <w:szCs w:val="20"/>
              </w:rPr>
              <w:t>The Baseline Activity Level – Here meaning the level of costed activity projected in the original Indicative Activity Plan for the Contract for the months of October and November 2014.</w:t>
            </w:r>
          </w:p>
          <w:p w:rsidR="00AE1898" w:rsidRPr="005724D5" w:rsidRDefault="00AE1898" w:rsidP="00AE1898"/>
          <w:p w:rsidR="00685216" w:rsidRPr="005724D5" w:rsidRDefault="00685216" w:rsidP="00AA4EC3">
            <w:pPr>
              <w:pStyle w:val="Heading3"/>
              <w:spacing w:line="240" w:lineRule="auto"/>
              <w:ind w:left="1296"/>
              <w:jc w:val="both"/>
              <w:rPr>
                <w:rFonts w:cs="Arial"/>
                <w:b w:val="0"/>
                <w:sz w:val="20"/>
                <w:szCs w:val="20"/>
              </w:rPr>
            </w:pPr>
            <w:r w:rsidRPr="005724D5">
              <w:rPr>
                <w:rFonts w:cs="Arial"/>
                <w:b w:val="0"/>
                <w:sz w:val="20"/>
                <w:szCs w:val="20"/>
              </w:rPr>
              <w:t>The Required Activity Level – Here meaning the revised total level of costed Activity which the Provider has now committed to deliver.</w:t>
            </w:r>
          </w:p>
          <w:p w:rsidR="00685216" w:rsidRPr="005724D5" w:rsidRDefault="00685216" w:rsidP="00AA4EC3">
            <w:pPr>
              <w:pStyle w:val="Heading3"/>
              <w:numPr>
                <w:ilvl w:val="0"/>
                <w:numId w:val="0"/>
              </w:numPr>
              <w:spacing w:line="240" w:lineRule="auto"/>
              <w:ind w:left="1296"/>
              <w:jc w:val="both"/>
              <w:rPr>
                <w:rFonts w:cs="Arial"/>
                <w:b w:val="0"/>
                <w:sz w:val="20"/>
                <w:szCs w:val="20"/>
              </w:rPr>
            </w:pPr>
          </w:p>
          <w:p w:rsidR="00685216" w:rsidRPr="005724D5" w:rsidRDefault="00685216" w:rsidP="00AA4EC3">
            <w:pPr>
              <w:pStyle w:val="Heading3"/>
              <w:spacing w:line="240" w:lineRule="auto"/>
              <w:ind w:left="1296"/>
              <w:jc w:val="both"/>
              <w:rPr>
                <w:rFonts w:cs="Arial"/>
                <w:b w:val="0"/>
                <w:sz w:val="20"/>
                <w:szCs w:val="20"/>
              </w:rPr>
            </w:pPr>
            <w:r w:rsidRPr="005724D5">
              <w:rPr>
                <w:rFonts w:cs="Arial"/>
                <w:b w:val="0"/>
                <w:sz w:val="20"/>
                <w:szCs w:val="20"/>
              </w:rPr>
              <w:t xml:space="preserve">The Activity Increase – Here meaning the additional costed Activity the Provider has committed to deliver. Further details on the approach to pricing are set out in 6-12 below. </w:t>
            </w:r>
          </w:p>
          <w:p w:rsidR="00685216" w:rsidRPr="005724D5" w:rsidRDefault="00685216" w:rsidP="00AA4EC3">
            <w:pPr>
              <w:pStyle w:val="Heading2"/>
              <w:numPr>
                <w:ilvl w:val="0"/>
                <w:numId w:val="0"/>
              </w:numPr>
              <w:spacing w:line="240" w:lineRule="auto"/>
              <w:ind w:left="576"/>
              <w:jc w:val="both"/>
              <w:rPr>
                <w:rFonts w:cs="Arial"/>
                <w:b w:val="0"/>
                <w:color w:val="auto"/>
                <w:sz w:val="20"/>
                <w:szCs w:val="20"/>
              </w:rPr>
            </w:pPr>
          </w:p>
          <w:p w:rsidR="00685216"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 xml:space="preserve">The Provider agrees to use all reasonable endeavours to deliver this Activity Increase. </w:t>
            </w:r>
          </w:p>
          <w:p w:rsidR="00685216" w:rsidRPr="005724D5" w:rsidRDefault="00685216" w:rsidP="00001413">
            <w:pPr>
              <w:jc w:val="both"/>
              <w:rPr>
                <w:rFonts w:cs="Arial"/>
                <w:sz w:val="20"/>
                <w:szCs w:val="20"/>
              </w:rPr>
            </w:pPr>
          </w:p>
          <w:p w:rsidR="00685216" w:rsidRPr="005724D5" w:rsidRDefault="00685216" w:rsidP="00001413">
            <w:pPr>
              <w:jc w:val="both"/>
              <w:rPr>
                <w:rFonts w:cs="Arial"/>
                <w:sz w:val="20"/>
                <w:szCs w:val="20"/>
              </w:rPr>
            </w:pPr>
          </w:p>
          <w:p w:rsidR="00685216" w:rsidRPr="005724D5" w:rsidRDefault="00685216" w:rsidP="00001413">
            <w:pPr>
              <w:pStyle w:val="Heading1"/>
              <w:rPr>
                <w:color w:val="auto"/>
                <w:sz w:val="20"/>
                <w:szCs w:val="20"/>
              </w:rPr>
            </w:pPr>
            <w:r w:rsidRPr="005724D5">
              <w:rPr>
                <w:color w:val="auto"/>
                <w:sz w:val="20"/>
                <w:szCs w:val="20"/>
              </w:rPr>
              <w:t>Expected Annual Contract Value</w:t>
            </w:r>
          </w:p>
          <w:p w:rsidR="00685216" w:rsidRPr="005724D5" w:rsidRDefault="00685216" w:rsidP="00001413">
            <w:pPr>
              <w:pStyle w:val="Heading2"/>
              <w:numPr>
                <w:ilvl w:val="0"/>
                <w:numId w:val="0"/>
              </w:numPr>
              <w:spacing w:line="240" w:lineRule="auto"/>
              <w:ind w:left="576" w:hanging="576"/>
              <w:rPr>
                <w:rFonts w:cs="Arial"/>
                <w:b w:val="0"/>
                <w:color w:val="auto"/>
                <w:sz w:val="20"/>
                <w:szCs w:val="20"/>
              </w:rPr>
            </w:pPr>
          </w:p>
          <w:p w:rsidR="00685216"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A revised Expected Annual Contract Value has been agreed, consistent with this revised Indicative Activity Plan. This is included as Schedule B to this Variation Agreement.</w:t>
            </w:r>
          </w:p>
          <w:p w:rsidR="00103949" w:rsidRPr="005724D5" w:rsidRDefault="00103949" w:rsidP="00001413">
            <w:pPr>
              <w:rPr>
                <w:rFonts w:cs="Arial"/>
                <w:sz w:val="20"/>
                <w:szCs w:val="20"/>
              </w:rPr>
            </w:pPr>
          </w:p>
          <w:p w:rsidR="009F73E9" w:rsidRPr="005724D5" w:rsidRDefault="009F73E9" w:rsidP="00001413">
            <w:pPr>
              <w:rPr>
                <w:rFonts w:cs="Arial"/>
                <w:sz w:val="20"/>
                <w:szCs w:val="20"/>
              </w:rPr>
            </w:pPr>
          </w:p>
          <w:p w:rsidR="00685216" w:rsidRPr="005724D5" w:rsidRDefault="00685216" w:rsidP="00001413">
            <w:pPr>
              <w:pStyle w:val="Heading1"/>
              <w:rPr>
                <w:color w:val="auto"/>
                <w:sz w:val="20"/>
                <w:szCs w:val="20"/>
              </w:rPr>
            </w:pPr>
            <w:r w:rsidRPr="005724D5">
              <w:rPr>
                <w:color w:val="auto"/>
                <w:sz w:val="20"/>
                <w:szCs w:val="20"/>
              </w:rPr>
              <w:t>Payment Terms</w:t>
            </w:r>
          </w:p>
          <w:p w:rsidR="00685216" w:rsidRPr="005724D5" w:rsidRDefault="00685216" w:rsidP="00001413">
            <w:pPr>
              <w:pStyle w:val="Heading2"/>
              <w:numPr>
                <w:ilvl w:val="0"/>
                <w:numId w:val="0"/>
              </w:numPr>
              <w:spacing w:line="240" w:lineRule="auto"/>
              <w:ind w:left="576" w:hanging="576"/>
              <w:rPr>
                <w:rFonts w:cs="Arial"/>
                <w:b w:val="0"/>
                <w:color w:val="auto"/>
                <w:sz w:val="20"/>
                <w:szCs w:val="20"/>
              </w:rPr>
            </w:pPr>
          </w:p>
          <w:p w:rsidR="00685216" w:rsidRPr="005724D5" w:rsidRDefault="00685216" w:rsidP="00001413">
            <w:pPr>
              <w:pStyle w:val="Heading2"/>
              <w:numPr>
                <w:ilvl w:val="0"/>
                <w:numId w:val="0"/>
              </w:numPr>
              <w:spacing w:line="240" w:lineRule="auto"/>
              <w:ind w:left="576"/>
              <w:rPr>
                <w:rFonts w:cs="Arial"/>
                <w:b w:val="0"/>
                <w:color w:val="auto"/>
                <w:sz w:val="20"/>
                <w:szCs w:val="20"/>
                <w:u w:val="single"/>
              </w:rPr>
            </w:pPr>
            <w:r w:rsidRPr="005724D5">
              <w:rPr>
                <w:rFonts w:cs="Arial"/>
                <w:b w:val="0"/>
                <w:color w:val="auto"/>
                <w:sz w:val="20"/>
                <w:szCs w:val="20"/>
                <w:u w:val="single"/>
              </w:rPr>
              <w:t>Prices</w:t>
            </w:r>
          </w:p>
          <w:p w:rsidR="009A67EA" w:rsidRPr="005724D5" w:rsidRDefault="009A67EA" w:rsidP="009A67EA">
            <w:pPr>
              <w:pStyle w:val="Heading2"/>
              <w:numPr>
                <w:ilvl w:val="0"/>
                <w:numId w:val="0"/>
              </w:numPr>
              <w:spacing w:line="240" w:lineRule="auto"/>
              <w:ind w:left="576" w:hanging="576"/>
              <w:rPr>
                <w:rFonts w:cs="Arial"/>
                <w:b w:val="0"/>
                <w:color w:val="auto"/>
                <w:sz w:val="20"/>
                <w:szCs w:val="20"/>
              </w:rPr>
            </w:pPr>
          </w:p>
          <w:p w:rsidR="00D77EE7" w:rsidRPr="00A20AE8" w:rsidRDefault="00D77EE7" w:rsidP="00A20AE8">
            <w:pPr>
              <w:pStyle w:val="Heading2"/>
              <w:spacing w:line="240" w:lineRule="auto"/>
              <w:rPr>
                <w:rFonts w:cs="Arial"/>
                <w:b w:val="0"/>
                <w:color w:val="auto"/>
                <w:sz w:val="20"/>
                <w:szCs w:val="20"/>
              </w:rPr>
            </w:pPr>
            <w:r w:rsidRPr="00A20AE8">
              <w:rPr>
                <w:rFonts w:cs="Arial"/>
                <w:b w:val="0"/>
                <w:color w:val="auto"/>
                <w:sz w:val="20"/>
                <w:szCs w:val="20"/>
              </w:rPr>
              <w:t xml:space="preserve">The Activity Increase has been costed using increased prices which are subject to agreement of </w:t>
            </w:r>
            <w:r w:rsidR="009A67EA" w:rsidRPr="00A20AE8">
              <w:rPr>
                <w:rFonts w:cs="Arial"/>
                <w:b w:val="0"/>
                <w:color w:val="auto"/>
                <w:sz w:val="20"/>
                <w:szCs w:val="20"/>
              </w:rPr>
              <w:t>L</w:t>
            </w:r>
            <w:r w:rsidRPr="00A20AE8">
              <w:rPr>
                <w:rFonts w:cs="Arial"/>
                <w:b w:val="0"/>
                <w:color w:val="auto"/>
                <w:sz w:val="20"/>
                <w:szCs w:val="20"/>
              </w:rPr>
              <w:t xml:space="preserve">ocal </w:t>
            </w:r>
            <w:r w:rsidR="009A67EA" w:rsidRPr="00A20AE8">
              <w:rPr>
                <w:rFonts w:cs="Arial"/>
                <w:b w:val="0"/>
                <w:color w:val="auto"/>
                <w:sz w:val="20"/>
                <w:szCs w:val="20"/>
              </w:rPr>
              <w:t>V</w:t>
            </w:r>
            <w:r w:rsidRPr="00A20AE8">
              <w:rPr>
                <w:rFonts w:cs="Arial"/>
                <w:b w:val="0"/>
                <w:color w:val="auto"/>
                <w:sz w:val="20"/>
                <w:szCs w:val="20"/>
              </w:rPr>
              <w:t xml:space="preserve">ariations to </w:t>
            </w:r>
            <w:r w:rsidR="009A67EA" w:rsidRPr="00A20AE8">
              <w:rPr>
                <w:rFonts w:cs="Arial"/>
                <w:b w:val="0"/>
                <w:color w:val="auto"/>
                <w:sz w:val="20"/>
                <w:szCs w:val="20"/>
              </w:rPr>
              <w:t>N</w:t>
            </w:r>
            <w:r w:rsidRPr="00A20AE8">
              <w:rPr>
                <w:rFonts w:cs="Arial"/>
                <w:b w:val="0"/>
                <w:color w:val="auto"/>
                <w:sz w:val="20"/>
                <w:szCs w:val="20"/>
              </w:rPr>
              <w:t xml:space="preserve">ational </w:t>
            </w:r>
            <w:r w:rsidR="009A67EA" w:rsidRPr="00A20AE8">
              <w:rPr>
                <w:rFonts w:cs="Arial"/>
                <w:b w:val="0"/>
                <w:color w:val="auto"/>
                <w:sz w:val="20"/>
                <w:szCs w:val="20"/>
              </w:rPr>
              <w:t>P</w:t>
            </w:r>
            <w:r w:rsidRPr="00A20AE8">
              <w:rPr>
                <w:rFonts w:cs="Arial"/>
                <w:b w:val="0"/>
                <w:color w:val="auto"/>
                <w:sz w:val="20"/>
                <w:szCs w:val="20"/>
              </w:rPr>
              <w:t xml:space="preserve">rices for any Elective Services that are subject to </w:t>
            </w:r>
            <w:r w:rsidR="009A67EA" w:rsidRPr="00A20AE8">
              <w:rPr>
                <w:rFonts w:cs="Arial"/>
                <w:b w:val="0"/>
                <w:color w:val="auto"/>
                <w:sz w:val="20"/>
                <w:szCs w:val="20"/>
              </w:rPr>
              <w:t>N</w:t>
            </w:r>
            <w:r w:rsidRPr="00A20AE8">
              <w:rPr>
                <w:rFonts w:cs="Arial"/>
                <w:b w:val="0"/>
                <w:color w:val="auto"/>
                <w:sz w:val="20"/>
                <w:szCs w:val="20"/>
              </w:rPr>
              <w:t xml:space="preserve">ational </w:t>
            </w:r>
            <w:r w:rsidR="009A67EA" w:rsidRPr="00A20AE8">
              <w:rPr>
                <w:rFonts w:cs="Arial"/>
                <w:b w:val="0"/>
                <w:color w:val="auto"/>
                <w:sz w:val="20"/>
                <w:szCs w:val="20"/>
              </w:rPr>
              <w:t>P</w:t>
            </w:r>
            <w:r w:rsidRPr="00A20AE8">
              <w:rPr>
                <w:rFonts w:cs="Arial"/>
                <w:b w:val="0"/>
                <w:color w:val="auto"/>
                <w:sz w:val="20"/>
                <w:szCs w:val="20"/>
              </w:rPr>
              <w:t>rices and the increased prices for any Elective Services that are subject to local pricing. The increased prices are</w:t>
            </w:r>
          </w:p>
          <w:p w:rsidR="00D77EE7" w:rsidRPr="005724D5" w:rsidRDefault="00D77EE7" w:rsidP="00A20AE8">
            <w:pPr>
              <w:rPr>
                <w:rFonts w:ascii="Calibri" w:hAnsi="Calibri"/>
                <w:sz w:val="20"/>
                <w:szCs w:val="20"/>
              </w:rPr>
            </w:pPr>
          </w:p>
          <w:p w:rsidR="00D77EE7" w:rsidRPr="005724D5" w:rsidRDefault="00D77EE7" w:rsidP="00A20AE8">
            <w:pPr>
              <w:pStyle w:val="Heading3"/>
              <w:spacing w:line="240" w:lineRule="auto"/>
              <w:ind w:left="1296"/>
              <w:jc w:val="both"/>
              <w:rPr>
                <w:rFonts w:cs="Arial"/>
                <w:b w:val="0"/>
                <w:sz w:val="20"/>
                <w:szCs w:val="20"/>
              </w:rPr>
            </w:pPr>
            <w:r w:rsidRPr="005724D5">
              <w:rPr>
                <w:rFonts w:cs="Arial"/>
                <w:b w:val="0"/>
                <w:sz w:val="20"/>
                <w:szCs w:val="20"/>
              </w:rPr>
              <w:t xml:space="preserve">National Prices as set out in the 2014/15 National Tariff Payment System (subject to any </w:t>
            </w:r>
            <w:r w:rsidR="009A67EA" w:rsidRPr="005724D5">
              <w:rPr>
                <w:rFonts w:cs="Arial"/>
                <w:b w:val="0"/>
                <w:sz w:val="20"/>
                <w:szCs w:val="20"/>
              </w:rPr>
              <w:t>L</w:t>
            </w:r>
            <w:r w:rsidRPr="005724D5">
              <w:rPr>
                <w:rFonts w:cs="Arial"/>
                <w:b w:val="0"/>
                <w:sz w:val="20"/>
                <w:szCs w:val="20"/>
              </w:rPr>
              <w:t xml:space="preserve">ocal </w:t>
            </w:r>
            <w:r w:rsidR="009A67EA" w:rsidRPr="005724D5">
              <w:rPr>
                <w:rFonts w:cs="Arial"/>
                <w:b w:val="0"/>
                <w:sz w:val="20"/>
                <w:szCs w:val="20"/>
              </w:rPr>
              <w:t>V</w:t>
            </w:r>
            <w:r w:rsidRPr="005724D5">
              <w:rPr>
                <w:rFonts w:cs="Arial"/>
                <w:b w:val="0"/>
                <w:sz w:val="20"/>
                <w:szCs w:val="20"/>
              </w:rPr>
              <w:t xml:space="preserve">ariation that has already been agreed or any </w:t>
            </w:r>
            <w:r w:rsidR="009A67EA" w:rsidRPr="005724D5">
              <w:rPr>
                <w:rFonts w:cs="Arial"/>
                <w:b w:val="0"/>
                <w:sz w:val="20"/>
                <w:szCs w:val="20"/>
              </w:rPr>
              <w:t>L</w:t>
            </w:r>
            <w:r w:rsidRPr="005724D5">
              <w:rPr>
                <w:rFonts w:cs="Arial"/>
                <w:b w:val="0"/>
                <w:sz w:val="20"/>
                <w:szCs w:val="20"/>
              </w:rPr>
              <w:t xml:space="preserve">ocal </w:t>
            </w:r>
            <w:r w:rsidR="009A67EA" w:rsidRPr="005724D5">
              <w:rPr>
                <w:rFonts w:cs="Arial"/>
                <w:b w:val="0"/>
                <w:sz w:val="20"/>
                <w:szCs w:val="20"/>
              </w:rPr>
              <w:t>M</w:t>
            </w:r>
            <w:r w:rsidRPr="005724D5">
              <w:rPr>
                <w:rFonts w:cs="Arial"/>
                <w:b w:val="0"/>
                <w:sz w:val="20"/>
                <w:szCs w:val="20"/>
              </w:rPr>
              <w:t>odification that has been approved or granted by Monitor),increased by 15%</w:t>
            </w:r>
          </w:p>
          <w:p w:rsidR="00D77EE7" w:rsidRPr="005724D5" w:rsidRDefault="00D77EE7" w:rsidP="00A20AE8">
            <w:pPr>
              <w:pStyle w:val="Heading3"/>
              <w:spacing w:line="240" w:lineRule="auto"/>
              <w:ind w:left="1296"/>
              <w:jc w:val="both"/>
              <w:rPr>
                <w:rFonts w:cs="Arial"/>
                <w:b w:val="0"/>
                <w:sz w:val="20"/>
                <w:szCs w:val="20"/>
              </w:rPr>
            </w:pPr>
            <w:r w:rsidRPr="005724D5">
              <w:rPr>
                <w:rFonts w:cs="Arial"/>
                <w:b w:val="0"/>
                <w:sz w:val="20"/>
                <w:szCs w:val="20"/>
              </w:rPr>
              <w:t>Local Prices, as set out in Schedule 3A of the Contract, increased by 15%.</w:t>
            </w:r>
          </w:p>
          <w:p w:rsidR="00685216" w:rsidRPr="005724D5" w:rsidRDefault="00685216" w:rsidP="00A20AE8">
            <w:pPr>
              <w:pStyle w:val="Heading2"/>
              <w:numPr>
                <w:ilvl w:val="0"/>
                <w:numId w:val="0"/>
              </w:numPr>
              <w:spacing w:line="240" w:lineRule="auto"/>
              <w:ind w:left="576"/>
              <w:jc w:val="both"/>
              <w:rPr>
                <w:rFonts w:cs="Arial"/>
                <w:b w:val="0"/>
                <w:color w:val="auto"/>
                <w:sz w:val="20"/>
                <w:szCs w:val="20"/>
              </w:rPr>
            </w:pPr>
          </w:p>
          <w:p w:rsidR="00685216" w:rsidRPr="005724D5" w:rsidRDefault="00685216" w:rsidP="00A20AE8">
            <w:pPr>
              <w:pStyle w:val="Heading2"/>
              <w:spacing w:line="240" w:lineRule="auto"/>
              <w:jc w:val="both"/>
              <w:rPr>
                <w:rFonts w:cs="Arial"/>
                <w:b w:val="0"/>
                <w:color w:val="auto"/>
                <w:sz w:val="20"/>
                <w:szCs w:val="20"/>
              </w:rPr>
            </w:pPr>
            <w:r w:rsidRPr="005724D5">
              <w:rPr>
                <w:rFonts w:cs="Arial"/>
                <w:b w:val="0"/>
                <w:color w:val="auto"/>
                <w:sz w:val="20"/>
                <w:szCs w:val="20"/>
              </w:rPr>
              <w:t>For Activity delivered by the Provider during the Variation Period, the Commissioners will pay</w:t>
            </w:r>
          </w:p>
          <w:p w:rsidR="00685216" w:rsidRPr="005724D5" w:rsidRDefault="00685216" w:rsidP="00A20AE8">
            <w:pPr>
              <w:pStyle w:val="Heading2"/>
              <w:numPr>
                <w:ilvl w:val="0"/>
                <w:numId w:val="0"/>
              </w:numPr>
              <w:spacing w:line="240" w:lineRule="auto"/>
              <w:ind w:left="576"/>
              <w:jc w:val="both"/>
              <w:rPr>
                <w:rFonts w:cs="Arial"/>
                <w:b w:val="0"/>
                <w:color w:val="auto"/>
                <w:sz w:val="20"/>
                <w:szCs w:val="20"/>
              </w:rPr>
            </w:pPr>
          </w:p>
          <w:p w:rsidR="00685216" w:rsidRPr="005724D5" w:rsidRDefault="00685216" w:rsidP="00A20AE8">
            <w:pPr>
              <w:pStyle w:val="Heading3"/>
              <w:spacing w:line="240" w:lineRule="auto"/>
              <w:ind w:left="1296"/>
              <w:jc w:val="both"/>
              <w:rPr>
                <w:rFonts w:cs="Arial"/>
                <w:b w:val="0"/>
                <w:sz w:val="20"/>
                <w:szCs w:val="20"/>
              </w:rPr>
            </w:pPr>
            <w:proofErr w:type="gramStart"/>
            <w:r w:rsidRPr="005724D5">
              <w:rPr>
                <w:rFonts w:cs="Arial"/>
                <w:b w:val="0"/>
                <w:sz w:val="20"/>
                <w:szCs w:val="20"/>
              </w:rPr>
              <w:t>at</w:t>
            </w:r>
            <w:proofErr w:type="gramEnd"/>
            <w:r w:rsidRPr="005724D5">
              <w:rPr>
                <w:rFonts w:cs="Arial"/>
                <w:b w:val="0"/>
                <w:sz w:val="20"/>
                <w:szCs w:val="20"/>
              </w:rPr>
              <w:t xml:space="preserve"> the normal Prices (</w:t>
            </w:r>
            <w:r w:rsidR="005E74B7" w:rsidRPr="005724D5">
              <w:rPr>
                <w:rFonts w:cs="Arial"/>
                <w:b w:val="0"/>
                <w:sz w:val="20"/>
                <w:szCs w:val="20"/>
              </w:rPr>
              <w:t>i.e.</w:t>
            </w:r>
            <w:r w:rsidRPr="005724D5">
              <w:rPr>
                <w:rFonts w:cs="Arial"/>
                <w:b w:val="0"/>
                <w:sz w:val="20"/>
                <w:szCs w:val="20"/>
              </w:rPr>
              <w:t xml:space="preserve"> those provided for in the Contract) for Activity up to the Baseline Activity Level</w:t>
            </w:r>
          </w:p>
          <w:p w:rsidR="00685216" w:rsidRPr="005724D5" w:rsidRDefault="00685216" w:rsidP="00A20AE8">
            <w:pPr>
              <w:pStyle w:val="Heading3"/>
              <w:numPr>
                <w:ilvl w:val="0"/>
                <w:numId w:val="0"/>
              </w:numPr>
              <w:spacing w:line="240" w:lineRule="auto"/>
              <w:ind w:left="576"/>
              <w:jc w:val="both"/>
              <w:rPr>
                <w:rFonts w:cs="Arial"/>
                <w:b w:val="0"/>
                <w:sz w:val="20"/>
                <w:szCs w:val="20"/>
              </w:rPr>
            </w:pPr>
          </w:p>
          <w:p w:rsidR="00685216" w:rsidRPr="005724D5" w:rsidRDefault="00685216" w:rsidP="00A20AE8">
            <w:pPr>
              <w:pStyle w:val="Heading3"/>
              <w:spacing w:line="240" w:lineRule="auto"/>
              <w:ind w:left="1296"/>
              <w:jc w:val="both"/>
              <w:rPr>
                <w:rFonts w:cs="Arial"/>
                <w:b w:val="0"/>
                <w:sz w:val="20"/>
                <w:szCs w:val="20"/>
              </w:rPr>
            </w:pPr>
            <w:proofErr w:type="gramStart"/>
            <w:r w:rsidRPr="005724D5">
              <w:rPr>
                <w:rFonts w:cs="Arial"/>
                <w:b w:val="0"/>
                <w:sz w:val="20"/>
                <w:szCs w:val="20"/>
              </w:rPr>
              <w:t>at</w:t>
            </w:r>
            <w:proofErr w:type="gramEnd"/>
            <w:r w:rsidRPr="005724D5">
              <w:rPr>
                <w:rFonts w:cs="Arial"/>
                <w:b w:val="0"/>
                <w:sz w:val="20"/>
                <w:szCs w:val="20"/>
              </w:rPr>
              <w:t xml:space="preserve"> the Increased </w:t>
            </w:r>
            <w:r w:rsidR="005E74B7" w:rsidRPr="005724D5">
              <w:rPr>
                <w:rFonts w:cs="Arial"/>
                <w:b w:val="0"/>
                <w:sz w:val="20"/>
                <w:szCs w:val="20"/>
              </w:rPr>
              <w:t>Prices for</w:t>
            </w:r>
            <w:r w:rsidRPr="005724D5">
              <w:rPr>
                <w:rFonts w:cs="Arial"/>
                <w:b w:val="0"/>
                <w:sz w:val="20"/>
                <w:szCs w:val="20"/>
              </w:rPr>
              <w:t xml:space="preserve"> Activity above the Baseline Activity Level up to and including the Required Activity Level</w:t>
            </w:r>
          </w:p>
          <w:p w:rsidR="00685216" w:rsidRPr="005724D5" w:rsidRDefault="00685216" w:rsidP="00A20AE8">
            <w:pPr>
              <w:pStyle w:val="Heading3"/>
              <w:numPr>
                <w:ilvl w:val="0"/>
                <w:numId w:val="0"/>
              </w:numPr>
              <w:spacing w:line="240" w:lineRule="auto"/>
              <w:ind w:left="576"/>
              <w:jc w:val="both"/>
              <w:rPr>
                <w:rFonts w:cs="Arial"/>
                <w:b w:val="0"/>
                <w:sz w:val="20"/>
                <w:szCs w:val="20"/>
              </w:rPr>
            </w:pPr>
          </w:p>
          <w:p w:rsidR="00685216" w:rsidRPr="005724D5" w:rsidRDefault="00685216" w:rsidP="00A20AE8">
            <w:pPr>
              <w:pStyle w:val="Heading3"/>
              <w:spacing w:line="240" w:lineRule="auto"/>
              <w:ind w:left="1296"/>
              <w:jc w:val="both"/>
              <w:rPr>
                <w:rFonts w:cs="Arial"/>
                <w:b w:val="0"/>
                <w:sz w:val="20"/>
                <w:szCs w:val="20"/>
              </w:rPr>
            </w:pPr>
            <w:proofErr w:type="gramStart"/>
            <w:r w:rsidRPr="005724D5">
              <w:rPr>
                <w:rFonts w:cs="Arial"/>
                <w:b w:val="0"/>
                <w:sz w:val="20"/>
                <w:szCs w:val="20"/>
              </w:rPr>
              <w:t>at</w:t>
            </w:r>
            <w:proofErr w:type="gramEnd"/>
            <w:r w:rsidRPr="005724D5">
              <w:rPr>
                <w:rFonts w:cs="Arial"/>
                <w:b w:val="0"/>
                <w:sz w:val="20"/>
                <w:szCs w:val="20"/>
              </w:rPr>
              <w:t xml:space="preserve"> the normal Prices (</w:t>
            </w:r>
            <w:r w:rsidR="005E74B7" w:rsidRPr="005724D5">
              <w:rPr>
                <w:rFonts w:cs="Arial"/>
                <w:b w:val="0"/>
                <w:sz w:val="20"/>
                <w:szCs w:val="20"/>
              </w:rPr>
              <w:t>i.e.</w:t>
            </w:r>
            <w:r w:rsidRPr="005724D5">
              <w:rPr>
                <w:rFonts w:cs="Arial"/>
                <w:b w:val="0"/>
                <w:sz w:val="20"/>
                <w:szCs w:val="20"/>
              </w:rPr>
              <w:t xml:space="preserve"> those provided for in the Contract) for Activity above the Required Activity Level.</w:t>
            </w:r>
          </w:p>
          <w:p w:rsidR="00103949" w:rsidRPr="005724D5" w:rsidRDefault="00103949" w:rsidP="00A20AE8">
            <w:pPr>
              <w:pStyle w:val="Heading2"/>
              <w:numPr>
                <w:ilvl w:val="0"/>
                <w:numId w:val="0"/>
              </w:numPr>
              <w:spacing w:line="240" w:lineRule="auto"/>
              <w:ind w:left="576"/>
              <w:rPr>
                <w:rFonts w:cs="Arial"/>
                <w:b w:val="0"/>
                <w:color w:val="auto"/>
                <w:sz w:val="20"/>
                <w:szCs w:val="20"/>
              </w:rPr>
            </w:pPr>
          </w:p>
          <w:p w:rsidR="00685216" w:rsidRPr="005724D5" w:rsidRDefault="00685216" w:rsidP="00A20AE8">
            <w:pPr>
              <w:pStyle w:val="Heading2"/>
              <w:numPr>
                <w:ilvl w:val="0"/>
                <w:numId w:val="0"/>
              </w:numPr>
              <w:spacing w:line="240" w:lineRule="auto"/>
              <w:ind w:left="576"/>
              <w:rPr>
                <w:rFonts w:cs="Arial"/>
                <w:b w:val="0"/>
                <w:color w:val="auto"/>
                <w:sz w:val="20"/>
                <w:szCs w:val="20"/>
                <w:u w:val="single"/>
              </w:rPr>
            </w:pPr>
            <w:r w:rsidRPr="005724D5">
              <w:rPr>
                <w:rFonts w:cs="Arial"/>
                <w:b w:val="0"/>
                <w:color w:val="auto"/>
                <w:sz w:val="20"/>
                <w:szCs w:val="20"/>
                <w:u w:val="single"/>
              </w:rPr>
              <w:t xml:space="preserve">Local Variation </w:t>
            </w:r>
          </w:p>
          <w:p w:rsidR="00685216" w:rsidRPr="005724D5" w:rsidRDefault="00685216" w:rsidP="00A20AE8">
            <w:pPr>
              <w:pStyle w:val="Heading2"/>
              <w:numPr>
                <w:ilvl w:val="0"/>
                <w:numId w:val="0"/>
              </w:numPr>
              <w:spacing w:line="240" w:lineRule="auto"/>
              <w:ind w:left="576"/>
              <w:rPr>
                <w:rFonts w:cs="Arial"/>
                <w:b w:val="0"/>
                <w:color w:val="auto"/>
                <w:sz w:val="20"/>
                <w:szCs w:val="20"/>
              </w:rPr>
            </w:pPr>
          </w:p>
          <w:p w:rsidR="002A58D4" w:rsidRPr="005724D5" w:rsidRDefault="002A58D4" w:rsidP="000761BD">
            <w:pPr>
              <w:pStyle w:val="Heading2"/>
              <w:spacing w:line="240" w:lineRule="auto"/>
              <w:rPr>
                <w:b w:val="0"/>
                <w:color w:val="auto"/>
                <w:sz w:val="20"/>
                <w:szCs w:val="20"/>
              </w:rPr>
            </w:pPr>
            <w:r w:rsidRPr="005724D5">
              <w:rPr>
                <w:b w:val="0"/>
                <w:color w:val="auto"/>
                <w:sz w:val="20"/>
                <w:szCs w:val="20"/>
              </w:rPr>
              <w:t xml:space="preserve">In accordance with section 7 the </w:t>
            </w:r>
            <w:r w:rsidRPr="005724D5">
              <w:rPr>
                <w:b w:val="0"/>
                <w:i/>
                <w:color w:val="auto"/>
                <w:sz w:val="20"/>
                <w:szCs w:val="20"/>
              </w:rPr>
              <w:t>2014/15 National Tariff Payment System</w:t>
            </w:r>
            <w:r w:rsidRPr="005724D5">
              <w:rPr>
                <w:b w:val="0"/>
                <w:color w:val="auto"/>
                <w:sz w:val="20"/>
                <w:szCs w:val="20"/>
              </w:rPr>
              <w:t xml:space="preserve"> the </w:t>
            </w:r>
            <w:r w:rsidR="009A67EA" w:rsidRPr="005724D5">
              <w:rPr>
                <w:b w:val="0"/>
                <w:color w:val="auto"/>
                <w:sz w:val="20"/>
                <w:szCs w:val="20"/>
              </w:rPr>
              <w:t>C</w:t>
            </w:r>
            <w:r w:rsidRPr="005724D5">
              <w:rPr>
                <w:b w:val="0"/>
                <w:color w:val="auto"/>
                <w:sz w:val="20"/>
                <w:szCs w:val="20"/>
              </w:rPr>
              <w:t xml:space="preserve">ommissioner must agree </w:t>
            </w:r>
            <w:r w:rsidR="009A67EA" w:rsidRPr="005724D5">
              <w:rPr>
                <w:b w:val="0"/>
                <w:color w:val="auto"/>
                <w:sz w:val="20"/>
                <w:szCs w:val="20"/>
              </w:rPr>
              <w:t>L</w:t>
            </w:r>
            <w:r w:rsidRPr="005724D5">
              <w:rPr>
                <w:b w:val="0"/>
                <w:color w:val="auto"/>
                <w:sz w:val="20"/>
                <w:szCs w:val="20"/>
              </w:rPr>
              <w:t xml:space="preserve">ocal </w:t>
            </w:r>
            <w:r w:rsidR="009A67EA" w:rsidRPr="005724D5">
              <w:rPr>
                <w:b w:val="0"/>
                <w:color w:val="auto"/>
                <w:sz w:val="20"/>
                <w:szCs w:val="20"/>
              </w:rPr>
              <w:t>V</w:t>
            </w:r>
            <w:r w:rsidRPr="005724D5">
              <w:rPr>
                <w:b w:val="0"/>
                <w:color w:val="auto"/>
                <w:sz w:val="20"/>
                <w:szCs w:val="20"/>
              </w:rPr>
              <w:t xml:space="preserve">ariations to the </w:t>
            </w:r>
            <w:r w:rsidR="009A67EA" w:rsidRPr="005724D5">
              <w:rPr>
                <w:b w:val="0"/>
                <w:color w:val="auto"/>
                <w:sz w:val="20"/>
                <w:szCs w:val="20"/>
              </w:rPr>
              <w:t>N</w:t>
            </w:r>
            <w:r w:rsidRPr="005724D5">
              <w:rPr>
                <w:b w:val="0"/>
                <w:color w:val="auto"/>
                <w:sz w:val="20"/>
                <w:szCs w:val="20"/>
              </w:rPr>
              <w:t xml:space="preserve">ational </w:t>
            </w:r>
            <w:r w:rsidR="009A67EA" w:rsidRPr="005724D5">
              <w:rPr>
                <w:b w:val="0"/>
                <w:color w:val="auto"/>
                <w:sz w:val="20"/>
                <w:szCs w:val="20"/>
              </w:rPr>
              <w:t>P</w:t>
            </w:r>
            <w:r w:rsidRPr="005724D5">
              <w:rPr>
                <w:b w:val="0"/>
                <w:color w:val="auto"/>
                <w:sz w:val="20"/>
                <w:szCs w:val="20"/>
              </w:rPr>
              <w:t xml:space="preserve">rices for any Elective Services that are subject to </w:t>
            </w:r>
            <w:r w:rsidR="009A67EA" w:rsidRPr="005724D5">
              <w:rPr>
                <w:b w:val="0"/>
                <w:color w:val="auto"/>
                <w:sz w:val="20"/>
                <w:szCs w:val="20"/>
              </w:rPr>
              <w:t>N</w:t>
            </w:r>
            <w:r w:rsidRPr="005724D5">
              <w:rPr>
                <w:b w:val="0"/>
                <w:color w:val="auto"/>
                <w:sz w:val="20"/>
                <w:szCs w:val="20"/>
              </w:rPr>
              <w:t xml:space="preserve">ational </w:t>
            </w:r>
            <w:r w:rsidR="009A67EA" w:rsidRPr="005724D5">
              <w:rPr>
                <w:b w:val="0"/>
                <w:color w:val="auto"/>
                <w:sz w:val="20"/>
                <w:szCs w:val="20"/>
              </w:rPr>
              <w:t>P</w:t>
            </w:r>
            <w:r w:rsidRPr="005724D5">
              <w:rPr>
                <w:b w:val="0"/>
                <w:color w:val="auto"/>
                <w:sz w:val="20"/>
                <w:szCs w:val="20"/>
              </w:rPr>
              <w:t xml:space="preserve">rices and submit the relevant template to </w:t>
            </w:r>
            <w:proofErr w:type="gramStart"/>
            <w:r w:rsidRPr="005724D5">
              <w:rPr>
                <w:b w:val="0"/>
                <w:color w:val="auto"/>
                <w:sz w:val="20"/>
                <w:szCs w:val="20"/>
              </w:rPr>
              <w:t>Monitor</w:t>
            </w:r>
            <w:proofErr w:type="gramEnd"/>
            <w:r w:rsidRPr="005724D5">
              <w:rPr>
                <w:b w:val="0"/>
                <w:color w:val="auto"/>
                <w:sz w:val="20"/>
                <w:szCs w:val="20"/>
              </w:rPr>
              <w:t>.</w:t>
            </w:r>
          </w:p>
          <w:p w:rsidR="00685216" w:rsidRPr="005724D5" w:rsidRDefault="00685216" w:rsidP="00A20AE8">
            <w:pPr>
              <w:pStyle w:val="Heading2"/>
              <w:numPr>
                <w:ilvl w:val="0"/>
                <w:numId w:val="0"/>
              </w:numPr>
              <w:spacing w:line="240" w:lineRule="auto"/>
              <w:ind w:left="576"/>
              <w:rPr>
                <w:rFonts w:cs="Arial"/>
                <w:b w:val="0"/>
                <w:color w:val="auto"/>
                <w:sz w:val="20"/>
                <w:szCs w:val="20"/>
              </w:rPr>
            </w:pPr>
          </w:p>
          <w:p w:rsidR="00685216" w:rsidRPr="005724D5" w:rsidRDefault="00685216" w:rsidP="00A20AE8">
            <w:pPr>
              <w:pStyle w:val="Heading2"/>
              <w:numPr>
                <w:ilvl w:val="0"/>
                <w:numId w:val="0"/>
              </w:numPr>
              <w:spacing w:line="240" w:lineRule="auto"/>
              <w:ind w:left="576"/>
              <w:rPr>
                <w:rFonts w:cs="Arial"/>
                <w:b w:val="0"/>
                <w:color w:val="auto"/>
                <w:sz w:val="20"/>
                <w:szCs w:val="20"/>
                <w:u w:val="single"/>
              </w:rPr>
            </w:pPr>
            <w:r w:rsidRPr="005724D5">
              <w:rPr>
                <w:rFonts w:cs="Arial"/>
                <w:b w:val="0"/>
                <w:color w:val="auto"/>
                <w:sz w:val="20"/>
                <w:szCs w:val="20"/>
                <w:u w:val="single"/>
              </w:rPr>
              <w:t>Payment on account and reconciliation</w:t>
            </w:r>
          </w:p>
          <w:p w:rsidR="00685216" w:rsidRPr="005724D5" w:rsidRDefault="00685216" w:rsidP="00A20AE8">
            <w:pPr>
              <w:pStyle w:val="Heading2"/>
              <w:numPr>
                <w:ilvl w:val="0"/>
                <w:numId w:val="0"/>
              </w:numPr>
              <w:spacing w:line="240" w:lineRule="auto"/>
              <w:ind w:left="576"/>
              <w:rPr>
                <w:rFonts w:cs="Arial"/>
                <w:b w:val="0"/>
                <w:color w:val="auto"/>
                <w:sz w:val="20"/>
                <w:szCs w:val="20"/>
              </w:rPr>
            </w:pPr>
          </w:p>
          <w:p w:rsidR="00685216" w:rsidRPr="005724D5" w:rsidRDefault="00685216" w:rsidP="00A20AE8">
            <w:pPr>
              <w:pStyle w:val="Heading2"/>
              <w:spacing w:line="240" w:lineRule="auto"/>
              <w:jc w:val="both"/>
              <w:rPr>
                <w:rFonts w:cs="Arial"/>
                <w:b w:val="0"/>
                <w:color w:val="auto"/>
                <w:sz w:val="20"/>
                <w:szCs w:val="20"/>
              </w:rPr>
            </w:pPr>
            <w:r w:rsidRPr="005724D5">
              <w:rPr>
                <w:rFonts w:cs="Arial"/>
                <w:b w:val="0"/>
                <w:color w:val="auto"/>
                <w:sz w:val="20"/>
                <w:szCs w:val="20"/>
              </w:rPr>
              <w:t xml:space="preserve">The payments on account to be made by Commissioners to the Provider under Service Condition 36.33 to 36.36 will not be amended to reflect the revised Estimated Annual Contract Value. Rather, Commissioners will continue to make payments on account based on the original Estimated Annual Contract Value set out in Schedule 3F of the Contract. </w:t>
            </w:r>
          </w:p>
          <w:p w:rsidR="00685216" w:rsidRPr="005724D5" w:rsidRDefault="00685216" w:rsidP="00A20AE8">
            <w:pPr>
              <w:pStyle w:val="Heading2"/>
              <w:numPr>
                <w:ilvl w:val="0"/>
                <w:numId w:val="0"/>
              </w:numPr>
              <w:spacing w:line="240" w:lineRule="auto"/>
              <w:jc w:val="both"/>
              <w:rPr>
                <w:rFonts w:cs="Arial"/>
                <w:b w:val="0"/>
                <w:color w:val="auto"/>
                <w:sz w:val="20"/>
                <w:szCs w:val="20"/>
              </w:rPr>
            </w:pPr>
          </w:p>
          <w:p w:rsidR="00685216" w:rsidRPr="005724D5" w:rsidRDefault="00685216" w:rsidP="00A20AE8">
            <w:pPr>
              <w:pStyle w:val="Heading2"/>
              <w:spacing w:line="240" w:lineRule="auto"/>
              <w:jc w:val="both"/>
              <w:rPr>
                <w:rFonts w:cs="Arial"/>
                <w:b w:val="0"/>
                <w:color w:val="auto"/>
                <w:sz w:val="20"/>
                <w:szCs w:val="20"/>
              </w:rPr>
            </w:pPr>
            <w:r w:rsidRPr="005724D5">
              <w:rPr>
                <w:rFonts w:cs="Arial"/>
                <w:b w:val="0"/>
                <w:color w:val="auto"/>
                <w:sz w:val="20"/>
                <w:szCs w:val="20"/>
              </w:rPr>
              <w:t>The process for financial reconciliation set out in Service Conditions 36.37 to 36.46 of the Contract will operate on a different basis for Elective Services during the Variation Period.</w:t>
            </w:r>
          </w:p>
          <w:p w:rsidR="00685216" w:rsidRPr="005724D5" w:rsidRDefault="00685216" w:rsidP="00A20AE8">
            <w:pPr>
              <w:pStyle w:val="Heading2"/>
              <w:numPr>
                <w:ilvl w:val="0"/>
                <w:numId w:val="0"/>
              </w:numPr>
              <w:spacing w:line="240" w:lineRule="auto"/>
              <w:jc w:val="both"/>
              <w:rPr>
                <w:rFonts w:cs="Arial"/>
                <w:b w:val="0"/>
                <w:color w:val="auto"/>
                <w:sz w:val="20"/>
                <w:szCs w:val="20"/>
              </w:rPr>
            </w:pPr>
          </w:p>
          <w:p w:rsidR="00685216" w:rsidRPr="005724D5" w:rsidRDefault="00685216" w:rsidP="00A20AE8">
            <w:pPr>
              <w:pStyle w:val="Heading3"/>
              <w:spacing w:line="240" w:lineRule="auto"/>
              <w:ind w:left="1296"/>
              <w:jc w:val="both"/>
              <w:rPr>
                <w:rFonts w:cs="Arial"/>
                <w:b w:val="0"/>
                <w:sz w:val="20"/>
                <w:szCs w:val="20"/>
              </w:rPr>
            </w:pPr>
            <w:r w:rsidRPr="005724D5">
              <w:rPr>
                <w:rFonts w:cs="Arial"/>
                <w:b w:val="0"/>
                <w:sz w:val="20"/>
                <w:szCs w:val="20"/>
              </w:rPr>
              <w:t>The two months of October and November 2014 will be treated as one single reconciliation period.</w:t>
            </w:r>
          </w:p>
          <w:p w:rsidR="00685216" w:rsidRPr="005724D5" w:rsidRDefault="00685216" w:rsidP="00A20AE8">
            <w:pPr>
              <w:pStyle w:val="Heading3"/>
              <w:numPr>
                <w:ilvl w:val="0"/>
                <w:numId w:val="0"/>
              </w:numPr>
              <w:spacing w:line="240" w:lineRule="auto"/>
              <w:ind w:left="576"/>
              <w:jc w:val="both"/>
              <w:rPr>
                <w:rFonts w:cs="Arial"/>
                <w:b w:val="0"/>
                <w:sz w:val="20"/>
                <w:szCs w:val="20"/>
              </w:rPr>
            </w:pPr>
          </w:p>
          <w:p w:rsidR="00685216" w:rsidRPr="005724D5" w:rsidRDefault="00685216" w:rsidP="00A20AE8">
            <w:pPr>
              <w:pStyle w:val="Heading3"/>
              <w:spacing w:line="240" w:lineRule="auto"/>
              <w:ind w:left="1296"/>
              <w:jc w:val="both"/>
              <w:rPr>
                <w:rFonts w:cs="Arial"/>
                <w:b w:val="0"/>
                <w:sz w:val="20"/>
                <w:szCs w:val="20"/>
              </w:rPr>
            </w:pPr>
            <w:r w:rsidRPr="005724D5">
              <w:rPr>
                <w:rFonts w:cs="Arial"/>
                <w:b w:val="0"/>
                <w:sz w:val="20"/>
                <w:szCs w:val="20"/>
              </w:rPr>
              <w:t xml:space="preserve">Reconciliation will be carried out by comparing the actual value of Activity for Elective Services carried out during the Variation Period against the estimated value for the same period derived from the original Estimated Annual Contract Value in Schedule 3F. </w:t>
            </w:r>
          </w:p>
          <w:p w:rsidR="00685216" w:rsidRPr="005724D5" w:rsidRDefault="00685216" w:rsidP="00A20AE8">
            <w:pPr>
              <w:pStyle w:val="Heading3"/>
              <w:numPr>
                <w:ilvl w:val="0"/>
                <w:numId w:val="0"/>
              </w:numPr>
              <w:spacing w:line="240" w:lineRule="auto"/>
              <w:ind w:left="576"/>
              <w:jc w:val="both"/>
              <w:rPr>
                <w:rFonts w:cs="Arial"/>
                <w:b w:val="0"/>
                <w:sz w:val="20"/>
                <w:szCs w:val="20"/>
              </w:rPr>
            </w:pPr>
          </w:p>
          <w:p w:rsidR="00685216" w:rsidRPr="005724D5" w:rsidRDefault="00685216" w:rsidP="00A20AE8">
            <w:pPr>
              <w:pStyle w:val="Heading3"/>
              <w:spacing w:line="240" w:lineRule="auto"/>
              <w:ind w:left="1296"/>
              <w:jc w:val="both"/>
              <w:rPr>
                <w:rFonts w:cs="Arial"/>
                <w:b w:val="0"/>
                <w:sz w:val="20"/>
                <w:szCs w:val="20"/>
              </w:rPr>
            </w:pPr>
            <w:r w:rsidRPr="005724D5">
              <w:rPr>
                <w:rFonts w:cs="Arial"/>
                <w:b w:val="0"/>
                <w:sz w:val="20"/>
                <w:szCs w:val="20"/>
              </w:rPr>
              <w:t xml:space="preserve">Actual Activity will be priced using the pricing approach set out </w:t>
            </w:r>
            <w:r w:rsidR="00AE1898" w:rsidRPr="005724D5">
              <w:rPr>
                <w:rFonts w:cs="Arial"/>
                <w:b w:val="0"/>
                <w:sz w:val="20"/>
                <w:szCs w:val="20"/>
              </w:rPr>
              <w:t>in 4.1 to 4.2</w:t>
            </w:r>
            <w:r w:rsidRPr="005724D5">
              <w:rPr>
                <w:rFonts w:cs="Arial"/>
                <w:b w:val="0"/>
                <w:sz w:val="20"/>
                <w:szCs w:val="20"/>
              </w:rPr>
              <w:t xml:space="preserve"> above; this will be applied based on Activity levels for the Contract as a whole, rather than individually for each Commissioner.</w:t>
            </w:r>
          </w:p>
          <w:p w:rsidR="00685216" w:rsidRPr="005724D5" w:rsidRDefault="00685216" w:rsidP="00A20AE8">
            <w:pPr>
              <w:pStyle w:val="Heading2"/>
              <w:numPr>
                <w:ilvl w:val="0"/>
                <w:numId w:val="0"/>
              </w:numPr>
              <w:spacing w:line="240" w:lineRule="auto"/>
              <w:jc w:val="both"/>
              <w:rPr>
                <w:rFonts w:cs="Arial"/>
                <w:b w:val="0"/>
                <w:color w:val="auto"/>
                <w:sz w:val="20"/>
                <w:szCs w:val="20"/>
              </w:rPr>
            </w:pPr>
          </w:p>
          <w:p w:rsidR="00685216" w:rsidRPr="005724D5" w:rsidRDefault="00685216" w:rsidP="00A20AE8">
            <w:pPr>
              <w:pStyle w:val="Heading2"/>
              <w:spacing w:line="240" w:lineRule="auto"/>
              <w:jc w:val="both"/>
              <w:rPr>
                <w:rFonts w:cs="Arial"/>
                <w:b w:val="0"/>
                <w:color w:val="auto"/>
                <w:sz w:val="20"/>
                <w:szCs w:val="20"/>
              </w:rPr>
            </w:pPr>
            <w:r w:rsidRPr="005724D5">
              <w:rPr>
                <w:rFonts w:cs="Arial"/>
                <w:b w:val="0"/>
                <w:color w:val="auto"/>
                <w:sz w:val="20"/>
                <w:szCs w:val="20"/>
              </w:rPr>
              <w:t xml:space="preserve">The Commissioners will thus make a reconciliation payment to the Provider after the Final Reconciliation Date for November 2014, which reimburses the Provider at the </w:t>
            </w:r>
            <w:r w:rsidR="00AE1898" w:rsidRPr="005724D5">
              <w:rPr>
                <w:rFonts w:cs="Arial"/>
                <w:b w:val="0"/>
                <w:color w:val="auto"/>
                <w:sz w:val="20"/>
                <w:szCs w:val="20"/>
              </w:rPr>
              <w:t>prices referred to in 4.1 to 4.2</w:t>
            </w:r>
            <w:r w:rsidRPr="005724D5">
              <w:rPr>
                <w:rFonts w:cs="Arial"/>
                <w:b w:val="0"/>
                <w:color w:val="auto"/>
                <w:sz w:val="20"/>
                <w:szCs w:val="20"/>
              </w:rPr>
              <w:t xml:space="preserve"> above for all relevant Activity carried out during the Variation Period. </w:t>
            </w:r>
          </w:p>
          <w:p w:rsidR="00685216" w:rsidRPr="005724D5" w:rsidRDefault="00685216" w:rsidP="00A20AE8">
            <w:pPr>
              <w:pStyle w:val="Heading2"/>
              <w:numPr>
                <w:ilvl w:val="0"/>
                <w:numId w:val="0"/>
              </w:numPr>
              <w:spacing w:line="240" w:lineRule="auto"/>
              <w:rPr>
                <w:rFonts w:cs="Arial"/>
                <w:b w:val="0"/>
                <w:color w:val="auto"/>
                <w:sz w:val="20"/>
                <w:szCs w:val="20"/>
              </w:rPr>
            </w:pPr>
          </w:p>
          <w:p w:rsidR="00001413" w:rsidRPr="005724D5" w:rsidRDefault="00001413" w:rsidP="00001413">
            <w:pPr>
              <w:rPr>
                <w:rFonts w:cs="Arial"/>
                <w:sz w:val="20"/>
                <w:szCs w:val="20"/>
              </w:rPr>
            </w:pPr>
          </w:p>
          <w:p w:rsidR="00685216" w:rsidRPr="005724D5" w:rsidRDefault="00685216" w:rsidP="00001413">
            <w:pPr>
              <w:pStyle w:val="Heading1"/>
              <w:rPr>
                <w:color w:val="auto"/>
                <w:sz w:val="20"/>
                <w:szCs w:val="20"/>
              </w:rPr>
            </w:pPr>
            <w:r w:rsidRPr="005724D5">
              <w:rPr>
                <w:color w:val="auto"/>
                <w:sz w:val="20"/>
                <w:szCs w:val="20"/>
              </w:rPr>
              <w:t>Operational Standards and Contract Management</w:t>
            </w:r>
          </w:p>
          <w:p w:rsidR="00685216" w:rsidRPr="005724D5" w:rsidRDefault="00685216" w:rsidP="00001413">
            <w:pPr>
              <w:pStyle w:val="Heading2"/>
              <w:numPr>
                <w:ilvl w:val="0"/>
                <w:numId w:val="0"/>
              </w:numPr>
              <w:spacing w:line="240" w:lineRule="auto"/>
              <w:ind w:left="576"/>
              <w:rPr>
                <w:rFonts w:cs="Arial"/>
                <w:b w:val="0"/>
                <w:color w:val="auto"/>
                <w:sz w:val="20"/>
                <w:szCs w:val="20"/>
              </w:rPr>
            </w:pPr>
          </w:p>
          <w:p w:rsidR="00685216"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The Operational Standards set out in Schedule 4A of the Contract will continue to apply during the Variation Period.</w:t>
            </w:r>
          </w:p>
          <w:p w:rsidR="00685216" w:rsidRPr="005724D5" w:rsidRDefault="00685216" w:rsidP="00AA4EC3">
            <w:pPr>
              <w:pStyle w:val="Heading2"/>
              <w:numPr>
                <w:ilvl w:val="0"/>
                <w:numId w:val="0"/>
              </w:numPr>
              <w:spacing w:line="240" w:lineRule="auto"/>
              <w:jc w:val="both"/>
              <w:rPr>
                <w:rFonts w:cs="Arial"/>
                <w:b w:val="0"/>
                <w:color w:val="auto"/>
                <w:sz w:val="20"/>
                <w:szCs w:val="20"/>
              </w:rPr>
            </w:pPr>
          </w:p>
          <w:p w:rsidR="00211E00"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 xml:space="preserve">However, in relation to any breach </w:t>
            </w:r>
            <w:r w:rsidR="00211E00" w:rsidRPr="005724D5">
              <w:rPr>
                <w:rFonts w:cs="Arial"/>
                <w:b w:val="0"/>
                <w:color w:val="auto"/>
                <w:sz w:val="20"/>
                <w:szCs w:val="20"/>
              </w:rPr>
              <w:t xml:space="preserve">of </w:t>
            </w:r>
            <w:r w:rsidRPr="005724D5">
              <w:rPr>
                <w:rFonts w:cs="Arial"/>
                <w:b w:val="0"/>
                <w:color w:val="auto"/>
                <w:sz w:val="20"/>
                <w:szCs w:val="20"/>
              </w:rPr>
              <w:t xml:space="preserve">any of the three Operational Standards which deal with the 18 Weeks Referral-to-Treatment Standard (CB_B1, CB_B2 and CB_B3), </w:t>
            </w:r>
          </w:p>
          <w:p w:rsidR="00211E00" w:rsidRPr="005724D5" w:rsidRDefault="00211E00" w:rsidP="00211E00">
            <w:pPr>
              <w:pStyle w:val="Heading2"/>
              <w:numPr>
                <w:ilvl w:val="0"/>
                <w:numId w:val="0"/>
              </w:numPr>
              <w:spacing w:line="240" w:lineRule="auto"/>
              <w:jc w:val="both"/>
              <w:rPr>
                <w:rFonts w:cs="Arial"/>
                <w:b w:val="0"/>
                <w:color w:val="auto"/>
                <w:sz w:val="20"/>
                <w:szCs w:val="20"/>
              </w:rPr>
            </w:pPr>
          </w:p>
          <w:p w:rsidR="00211E00" w:rsidRPr="005724D5" w:rsidRDefault="00685216" w:rsidP="00211E00">
            <w:pPr>
              <w:pStyle w:val="Heading3"/>
              <w:spacing w:line="240" w:lineRule="auto"/>
              <w:ind w:left="1296"/>
              <w:rPr>
                <w:b w:val="0"/>
                <w:sz w:val="20"/>
                <w:szCs w:val="20"/>
              </w:rPr>
            </w:pPr>
            <w:proofErr w:type="gramStart"/>
            <w:r w:rsidRPr="005724D5">
              <w:rPr>
                <w:b w:val="0"/>
                <w:sz w:val="20"/>
                <w:szCs w:val="20"/>
              </w:rPr>
              <w:t>for</w:t>
            </w:r>
            <w:proofErr w:type="gramEnd"/>
            <w:r w:rsidRPr="005724D5">
              <w:rPr>
                <w:b w:val="0"/>
                <w:sz w:val="20"/>
                <w:szCs w:val="20"/>
              </w:rPr>
              <w:t xml:space="preserve"> the duration of the Variation Period only, </w:t>
            </w:r>
            <w:r w:rsidR="00211E00" w:rsidRPr="005724D5">
              <w:rPr>
                <w:b w:val="0"/>
                <w:sz w:val="20"/>
                <w:szCs w:val="20"/>
              </w:rPr>
              <w:t>and</w:t>
            </w:r>
          </w:p>
          <w:p w:rsidR="00211E00" w:rsidRPr="005724D5" w:rsidRDefault="00211E00" w:rsidP="00211E00">
            <w:pPr>
              <w:pStyle w:val="Heading3"/>
              <w:numPr>
                <w:ilvl w:val="0"/>
                <w:numId w:val="0"/>
              </w:numPr>
              <w:spacing w:line="240" w:lineRule="auto"/>
              <w:ind w:left="576"/>
              <w:rPr>
                <w:b w:val="0"/>
                <w:sz w:val="20"/>
                <w:szCs w:val="20"/>
              </w:rPr>
            </w:pPr>
          </w:p>
          <w:p w:rsidR="00211E00" w:rsidRPr="005724D5" w:rsidRDefault="00211E00" w:rsidP="00211E00">
            <w:pPr>
              <w:pStyle w:val="Heading3"/>
              <w:spacing w:line="240" w:lineRule="auto"/>
              <w:ind w:left="1296"/>
              <w:rPr>
                <w:b w:val="0"/>
                <w:sz w:val="20"/>
                <w:szCs w:val="20"/>
              </w:rPr>
            </w:pPr>
            <w:proofErr w:type="gramStart"/>
            <w:r w:rsidRPr="005724D5">
              <w:rPr>
                <w:b w:val="0"/>
                <w:sz w:val="20"/>
                <w:szCs w:val="20"/>
              </w:rPr>
              <w:t>where</w:t>
            </w:r>
            <w:proofErr w:type="gramEnd"/>
            <w:r w:rsidRPr="005724D5">
              <w:rPr>
                <w:b w:val="0"/>
                <w:sz w:val="20"/>
                <w:szCs w:val="20"/>
              </w:rPr>
              <w:t xml:space="preserve"> the Provider has delivered at least 80% of the Activity Increase over the Variation Period as a whole,</w:t>
            </w:r>
          </w:p>
          <w:p w:rsidR="00211E00" w:rsidRPr="005724D5" w:rsidRDefault="00211E00" w:rsidP="00211E00"/>
          <w:p w:rsidR="00685216" w:rsidRPr="005724D5" w:rsidRDefault="009F73E9" w:rsidP="00AA4EC3">
            <w:pPr>
              <w:pStyle w:val="Heading2"/>
              <w:spacing w:line="240" w:lineRule="auto"/>
              <w:jc w:val="both"/>
              <w:rPr>
                <w:rFonts w:cs="Arial"/>
                <w:b w:val="0"/>
                <w:color w:val="auto"/>
                <w:sz w:val="20"/>
                <w:szCs w:val="20"/>
              </w:rPr>
            </w:pPr>
            <w:r w:rsidRPr="005724D5">
              <w:rPr>
                <w:rFonts w:cs="Arial"/>
                <w:b w:val="0"/>
                <w:color w:val="auto"/>
                <w:sz w:val="20"/>
                <w:szCs w:val="20"/>
              </w:rPr>
              <w:t>The</w:t>
            </w:r>
            <w:r w:rsidR="00685216" w:rsidRPr="005724D5">
              <w:rPr>
                <w:rFonts w:cs="Arial"/>
                <w:b w:val="0"/>
                <w:color w:val="auto"/>
                <w:sz w:val="20"/>
                <w:szCs w:val="20"/>
              </w:rPr>
              <w:t xml:space="preserve"> Commissioners will not apply the financial consequences set out in Schedule 4A (</w:t>
            </w:r>
            <w:r w:rsidR="00685216" w:rsidRPr="005724D5">
              <w:rPr>
                <w:rFonts w:cs="Arial"/>
                <w:b w:val="0"/>
                <w:i/>
                <w:color w:val="auto"/>
                <w:sz w:val="20"/>
                <w:szCs w:val="20"/>
              </w:rPr>
              <w:t>Operational Standards</w:t>
            </w:r>
            <w:r w:rsidR="00685216" w:rsidRPr="005724D5">
              <w:rPr>
                <w:rFonts w:cs="Arial"/>
                <w:b w:val="0"/>
                <w:color w:val="auto"/>
                <w:sz w:val="20"/>
                <w:szCs w:val="20"/>
              </w:rPr>
              <w:t>) or apply the provisions of General Condition 9 (</w:t>
            </w:r>
            <w:r w:rsidR="00685216" w:rsidRPr="005724D5">
              <w:rPr>
                <w:rFonts w:cs="Arial"/>
                <w:b w:val="0"/>
                <w:i/>
                <w:color w:val="auto"/>
                <w:sz w:val="20"/>
                <w:szCs w:val="20"/>
              </w:rPr>
              <w:t>Contract Management</w:t>
            </w:r>
            <w:r w:rsidR="00685216" w:rsidRPr="005724D5">
              <w:rPr>
                <w:rFonts w:cs="Arial"/>
                <w:b w:val="0"/>
                <w:color w:val="auto"/>
                <w:sz w:val="20"/>
                <w:szCs w:val="20"/>
              </w:rPr>
              <w:t>).</w:t>
            </w:r>
          </w:p>
          <w:p w:rsidR="00DC5724" w:rsidRPr="005724D5" w:rsidRDefault="00DC5724" w:rsidP="00DC5724"/>
          <w:p w:rsidR="00DC5724" w:rsidRPr="005724D5" w:rsidRDefault="00DC5724" w:rsidP="00DC5724">
            <w:pPr>
              <w:pStyle w:val="Heading2"/>
              <w:spacing w:line="240" w:lineRule="auto"/>
              <w:ind w:left="578" w:hanging="578"/>
              <w:rPr>
                <w:b w:val="0"/>
                <w:color w:val="auto"/>
                <w:sz w:val="20"/>
                <w:szCs w:val="20"/>
              </w:rPr>
            </w:pPr>
            <w:r w:rsidRPr="005724D5">
              <w:rPr>
                <w:b w:val="0"/>
                <w:color w:val="auto"/>
                <w:sz w:val="20"/>
                <w:szCs w:val="20"/>
              </w:rPr>
              <w:t>The Provider must ensure that the Activity Increase is targeted at</w:t>
            </w:r>
            <w:r w:rsidR="00A40A32" w:rsidRPr="005724D5">
              <w:rPr>
                <w:b w:val="0"/>
                <w:color w:val="auto"/>
                <w:sz w:val="20"/>
                <w:szCs w:val="20"/>
              </w:rPr>
              <w:t xml:space="preserve"> Service Users</w:t>
            </w:r>
            <w:r w:rsidRPr="005724D5">
              <w:rPr>
                <w:b w:val="0"/>
                <w:color w:val="auto"/>
                <w:sz w:val="20"/>
                <w:szCs w:val="20"/>
              </w:rPr>
              <w:t xml:space="preserve"> who have waited over 16 weeks.</w:t>
            </w:r>
          </w:p>
          <w:p w:rsidR="00211E00" w:rsidRPr="005724D5" w:rsidRDefault="00211E00" w:rsidP="00001413">
            <w:pPr>
              <w:rPr>
                <w:rFonts w:cs="Arial"/>
                <w:sz w:val="20"/>
                <w:szCs w:val="20"/>
              </w:rPr>
            </w:pPr>
          </w:p>
          <w:p w:rsidR="00001413" w:rsidRPr="005724D5" w:rsidRDefault="00001413" w:rsidP="00001413">
            <w:pPr>
              <w:rPr>
                <w:rFonts w:cs="Arial"/>
                <w:sz w:val="20"/>
                <w:szCs w:val="20"/>
              </w:rPr>
            </w:pPr>
          </w:p>
          <w:p w:rsidR="00685216" w:rsidRPr="005724D5" w:rsidRDefault="00685216" w:rsidP="00001413">
            <w:pPr>
              <w:pStyle w:val="Heading1"/>
              <w:rPr>
                <w:color w:val="auto"/>
                <w:sz w:val="20"/>
                <w:szCs w:val="20"/>
              </w:rPr>
            </w:pPr>
            <w:r w:rsidRPr="005724D5">
              <w:rPr>
                <w:color w:val="auto"/>
                <w:sz w:val="20"/>
                <w:szCs w:val="20"/>
              </w:rPr>
              <w:t>CQUIN</w:t>
            </w:r>
          </w:p>
          <w:p w:rsidR="00685216" w:rsidRPr="005724D5" w:rsidRDefault="00685216" w:rsidP="00AA4EC3">
            <w:pPr>
              <w:pStyle w:val="Heading2"/>
              <w:numPr>
                <w:ilvl w:val="0"/>
                <w:numId w:val="0"/>
              </w:numPr>
              <w:spacing w:line="240" w:lineRule="auto"/>
              <w:ind w:left="576" w:hanging="576"/>
              <w:jc w:val="both"/>
              <w:rPr>
                <w:rFonts w:cs="Arial"/>
                <w:b w:val="0"/>
                <w:color w:val="auto"/>
                <w:sz w:val="20"/>
                <w:szCs w:val="20"/>
              </w:rPr>
            </w:pPr>
          </w:p>
          <w:p w:rsidR="00685216"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In line with CQUIN Guidance, CQUIN will continue to be payable on the value of Elective Services delivered. The level of actual payment will depend on the Provider’s performance against the agreed CQUIN scheme. However, the maximum value of CQUIN for Elective Services during the Variation Period will</w:t>
            </w:r>
            <w:r w:rsidR="00001413" w:rsidRPr="005724D5">
              <w:rPr>
                <w:rFonts w:cs="Arial"/>
                <w:b w:val="0"/>
                <w:color w:val="auto"/>
                <w:sz w:val="20"/>
                <w:szCs w:val="20"/>
              </w:rPr>
              <w:t xml:space="preserve"> be calculated on the basis of </w:t>
            </w:r>
            <w:r w:rsidRPr="005724D5">
              <w:rPr>
                <w:rFonts w:cs="Arial"/>
                <w:b w:val="0"/>
                <w:color w:val="auto"/>
                <w:sz w:val="20"/>
                <w:szCs w:val="20"/>
              </w:rPr>
              <w:t xml:space="preserve">the Prices set out or referred to in the original Contract, not the Increased Prices set out in this Variation Agreement. </w:t>
            </w:r>
          </w:p>
          <w:p w:rsidR="00685216" w:rsidRPr="005724D5" w:rsidRDefault="00685216" w:rsidP="00001413">
            <w:pPr>
              <w:pStyle w:val="Heading2"/>
              <w:numPr>
                <w:ilvl w:val="0"/>
                <w:numId w:val="0"/>
              </w:numPr>
              <w:spacing w:line="240" w:lineRule="auto"/>
              <w:rPr>
                <w:rFonts w:cs="Arial"/>
                <w:b w:val="0"/>
                <w:color w:val="auto"/>
                <w:sz w:val="20"/>
                <w:szCs w:val="20"/>
              </w:rPr>
            </w:pPr>
          </w:p>
          <w:p w:rsidR="00685216" w:rsidRPr="005724D5" w:rsidRDefault="00685216" w:rsidP="00001413">
            <w:pPr>
              <w:pStyle w:val="Heading2"/>
              <w:numPr>
                <w:ilvl w:val="0"/>
                <w:numId w:val="0"/>
              </w:numPr>
              <w:spacing w:line="240" w:lineRule="auto"/>
              <w:rPr>
                <w:rFonts w:cs="Arial"/>
                <w:b w:val="0"/>
                <w:color w:val="auto"/>
                <w:sz w:val="20"/>
                <w:szCs w:val="20"/>
              </w:rPr>
            </w:pPr>
          </w:p>
          <w:p w:rsidR="00685216" w:rsidRPr="005724D5" w:rsidRDefault="00685216" w:rsidP="00001413">
            <w:pPr>
              <w:pStyle w:val="Heading1"/>
              <w:rPr>
                <w:color w:val="auto"/>
                <w:sz w:val="20"/>
                <w:szCs w:val="20"/>
              </w:rPr>
            </w:pPr>
            <w:r w:rsidRPr="005724D5">
              <w:rPr>
                <w:color w:val="auto"/>
                <w:sz w:val="20"/>
                <w:szCs w:val="20"/>
              </w:rPr>
              <w:t>Reporting Requirements</w:t>
            </w:r>
          </w:p>
          <w:p w:rsidR="00685216" w:rsidRPr="005724D5" w:rsidRDefault="00685216" w:rsidP="00001413">
            <w:pPr>
              <w:pStyle w:val="Heading2"/>
              <w:numPr>
                <w:ilvl w:val="0"/>
                <w:numId w:val="0"/>
              </w:numPr>
              <w:spacing w:line="240" w:lineRule="auto"/>
              <w:ind w:left="576" w:hanging="576"/>
              <w:rPr>
                <w:rFonts w:cs="Arial"/>
                <w:b w:val="0"/>
                <w:color w:val="auto"/>
                <w:sz w:val="20"/>
                <w:szCs w:val="20"/>
              </w:rPr>
            </w:pPr>
          </w:p>
          <w:p w:rsidR="00685216" w:rsidRPr="005724D5" w:rsidRDefault="00685216" w:rsidP="00AA4EC3">
            <w:pPr>
              <w:pStyle w:val="Heading2"/>
              <w:spacing w:line="240" w:lineRule="auto"/>
              <w:jc w:val="both"/>
              <w:rPr>
                <w:rFonts w:cs="Arial"/>
                <w:b w:val="0"/>
                <w:color w:val="auto"/>
                <w:sz w:val="20"/>
                <w:szCs w:val="20"/>
              </w:rPr>
            </w:pPr>
            <w:r w:rsidRPr="005724D5">
              <w:rPr>
                <w:rFonts w:cs="Arial"/>
                <w:b w:val="0"/>
                <w:color w:val="auto"/>
                <w:sz w:val="20"/>
                <w:szCs w:val="20"/>
              </w:rPr>
              <w:t xml:space="preserve">The Provider must, by 3 </w:t>
            </w:r>
            <w:r w:rsidR="00AE63DF" w:rsidRPr="005724D5">
              <w:rPr>
                <w:rFonts w:cs="Arial"/>
                <w:b w:val="0"/>
                <w:color w:val="auto"/>
                <w:sz w:val="20"/>
                <w:szCs w:val="20"/>
              </w:rPr>
              <w:t>October</w:t>
            </w:r>
            <w:r w:rsidRPr="005724D5">
              <w:rPr>
                <w:rFonts w:cs="Arial"/>
                <w:b w:val="0"/>
                <w:color w:val="auto"/>
                <w:sz w:val="20"/>
                <w:szCs w:val="20"/>
              </w:rPr>
              <w:t xml:space="preserve"> 2014, using the templates provided on Unify:</w:t>
            </w:r>
          </w:p>
          <w:p w:rsidR="00685216" w:rsidRPr="005724D5" w:rsidRDefault="00685216" w:rsidP="00AA4EC3">
            <w:pPr>
              <w:pStyle w:val="Heading2"/>
              <w:numPr>
                <w:ilvl w:val="0"/>
                <w:numId w:val="0"/>
              </w:numPr>
              <w:spacing w:line="240" w:lineRule="auto"/>
              <w:jc w:val="both"/>
              <w:rPr>
                <w:rFonts w:cs="Arial"/>
                <w:b w:val="0"/>
                <w:color w:val="auto"/>
                <w:sz w:val="20"/>
                <w:szCs w:val="20"/>
              </w:rPr>
            </w:pPr>
          </w:p>
          <w:p w:rsidR="00685216" w:rsidRPr="005724D5" w:rsidRDefault="00685216" w:rsidP="00AA4EC3">
            <w:pPr>
              <w:pStyle w:val="Heading3"/>
              <w:spacing w:line="240" w:lineRule="auto"/>
              <w:ind w:left="1296"/>
              <w:jc w:val="both"/>
              <w:rPr>
                <w:rFonts w:cs="Arial"/>
                <w:b w:val="0"/>
                <w:sz w:val="20"/>
                <w:szCs w:val="20"/>
              </w:rPr>
            </w:pPr>
            <w:r w:rsidRPr="005724D5">
              <w:rPr>
                <w:rFonts w:cs="Arial"/>
                <w:b w:val="0"/>
                <w:sz w:val="20"/>
                <w:szCs w:val="20"/>
              </w:rPr>
              <w:t xml:space="preserve">upload weekly admitted and non-admitted Activity profiles for Elective Services to Unify for the period from 1 </w:t>
            </w:r>
            <w:r w:rsidR="00AE63DF" w:rsidRPr="005724D5">
              <w:rPr>
                <w:rFonts w:cs="Arial"/>
                <w:b w:val="0"/>
                <w:sz w:val="20"/>
                <w:szCs w:val="20"/>
              </w:rPr>
              <w:t>October</w:t>
            </w:r>
            <w:r w:rsidRPr="005724D5">
              <w:rPr>
                <w:rFonts w:cs="Arial"/>
                <w:b w:val="0"/>
                <w:sz w:val="20"/>
                <w:szCs w:val="20"/>
              </w:rPr>
              <w:t xml:space="preserve"> to 30 November 2014; and</w:t>
            </w:r>
          </w:p>
          <w:p w:rsidR="00685216" w:rsidRPr="005724D5" w:rsidRDefault="00685216" w:rsidP="00AA4EC3">
            <w:pPr>
              <w:pStyle w:val="Heading3"/>
              <w:numPr>
                <w:ilvl w:val="0"/>
                <w:numId w:val="0"/>
              </w:numPr>
              <w:spacing w:line="240" w:lineRule="auto"/>
              <w:ind w:left="576"/>
              <w:jc w:val="both"/>
              <w:rPr>
                <w:rFonts w:cs="Arial"/>
                <w:b w:val="0"/>
                <w:sz w:val="20"/>
                <w:szCs w:val="20"/>
              </w:rPr>
            </w:pPr>
          </w:p>
          <w:p w:rsidR="00685216" w:rsidRPr="005724D5" w:rsidRDefault="00685216" w:rsidP="00AA4EC3">
            <w:pPr>
              <w:pStyle w:val="Heading3"/>
              <w:spacing w:line="240" w:lineRule="auto"/>
              <w:ind w:left="1296"/>
              <w:jc w:val="both"/>
              <w:rPr>
                <w:rFonts w:cs="Arial"/>
                <w:b w:val="0"/>
                <w:sz w:val="20"/>
                <w:szCs w:val="20"/>
              </w:rPr>
            </w:pPr>
            <w:proofErr w:type="gramStart"/>
            <w:r w:rsidRPr="005724D5">
              <w:rPr>
                <w:rFonts w:cs="Arial"/>
                <w:b w:val="0"/>
                <w:sz w:val="20"/>
                <w:szCs w:val="20"/>
              </w:rPr>
              <w:t>upload</w:t>
            </w:r>
            <w:proofErr w:type="gramEnd"/>
            <w:r w:rsidRPr="005724D5">
              <w:rPr>
                <w:rFonts w:cs="Arial"/>
                <w:b w:val="0"/>
                <w:sz w:val="20"/>
                <w:szCs w:val="20"/>
              </w:rPr>
              <w:t xml:space="preserve"> monthly admitted and non-admitted Activity profiles for Elective Services to Unify for the period from 1 December 2014 to 31 March 2015.</w:t>
            </w:r>
          </w:p>
          <w:p w:rsidR="00685216" w:rsidRPr="005724D5" w:rsidRDefault="00685216" w:rsidP="00AA4EC3">
            <w:pPr>
              <w:pStyle w:val="Heading2"/>
              <w:numPr>
                <w:ilvl w:val="0"/>
                <w:numId w:val="0"/>
              </w:numPr>
              <w:spacing w:line="240" w:lineRule="auto"/>
              <w:jc w:val="both"/>
              <w:rPr>
                <w:rFonts w:cs="Arial"/>
                <w:b w:val="0"/>
                <w:color w:val="auto"/>
                <w:sz w:val="20"/>
                <w:szCs w:val="20"/>
              </w:rPr>
            </w:pPr>
          </w:p>
          <w:p w:rsidR="00685216" w:rsidRPr="005724D5" w:rsidRDefault="00685216" w:rsidP="00AA4EC3">
            <w:pPr>
              <w:pStyle w:val="Heading2"/>
              <w:jc w:val="both"/>
              <w:rPr>
                <w:rFonts w:cs="Arial"/>
                <w:b w:val="0"/>
                <w:color w:val="auto"/>
                <w:sz w:val="20"/>
                <w:szCs w:val="20"/>
              </w:rPr>
            </w:pPr>
            <w:r w:rsidRPr="005724D5">
              <w:rPr>
                <w:rFonts w:cs="Arial"/>
                <w:b w:val="0"/>
                <w:color w:val="auto"/>
                <w:sz w:val="20"/>
                <w:szCs w:val="20"/>
              </w:rPr>
              <w:t>The Provider must upload weekly PTL data to Unify each week.</w:t>
            </w:r>
          </w:p>
          <w:p w:rsidR="00685216" w:rsidRPr="005724D5" w:rsidRDefault="00685216" w:rsidP="00D77EE7">
            <w:pPr>
              <w:jc w:val="both"/>
              <w:rPr>
                <w:rFonts w:cs="Arial"/>
                <w:sz w:val="20"/>
                <w:szCs w:val="20"/>
              </w:rPr>
            </w:pPr>
          </w:p>
          <w:p w:rsidR="00685216" w:rsidRPr="005724D5" w:rsidRDefault="00685216" w:rsidP="00D77EE7">
            <w:pPr>
              <w:jc w:val="both"/>
              <w:rPr>
                <w:rFonts w:cs="Arial"/>
                <w:sz w:val="20"/>
                <w:szCs w:val="20"/>
              </w:rPr>
            </w:pPr>
          </w:p>
        </w:tc>
      </w:tr>
    </w:tbl>
    <w:p w:rsidR="00685216" w:rsidRPr="005724D5" w:rsidRDefault="00685216" w:rsidP="00685216">
      <w:pPr>
        <w:jc w:val="both"/>
        <w:rPr>
          <w:rFonts w:cs="Arial"/>
          <w:sz w:val="20"/>
          <w:szCs w:val="20"/>
        </w:rPr>
      </w:pPr>
    </w:p>
    <w:p w:rsidR="00AA4EC3" w:rsidRPr="005724D5" w:rsidRDefault="00AA4EC3" w:rsidP="00685216">
      <w:pPr>
        <w:jc w:val="both"/>
        <w:rPr>
          <w:rFonts w:cs="Arial"/>
          <w:sz w:val="20"/>
          <w:szCs w:val="20"/>
        </w:rPr>
      </w:pPr>
    </w:p>
    <w:p w:rsidR="00685216" w:rsidRPr="005724D5" w:rsidRDefault="00AE1898" w:rsidP="00AE1898">
      <w:pPr>
        <w:rPr>
          <w:sz w:val="20"/>
          <w:szCs w:val="20"/>
        </w:rPr>
      </w:pPr>
      <w:r w:rsidRPr="005724D5">
        <w:rPr>
          <w:sz w:val="20"/>
          <w:szCs w:val="20"/>
        </w:rPr>
        <w:t>2</w:t>
      </w:r>
      <w:r w:rsidRPr="005724D5">
        <w:rPr>
          <w:sz w:val="20"/>
          <w:szCs w:val="20"/>
        </w:rPr>
        <w:tab/>
      </w:r>
      <w:r w:rsidR="00685216" w:rsidRPr="005724D5">
        <w:rPr>
          <w:sz w:val="20"/>
          <w:szCs w:val="20"/>
        </w:rPr>
        <w:t xml:space="preserve">The Variation takes effect on </w:t>
      </w:r>
      <w:r w:rsidR="005E74B7" w:rsidRPr="005724D5">
        <w:rPr>
          <w:sz w:val="20"/>
          <w:szCs w:val="20"/>
        </w:rPr>
        <w:t>[1</w:t>
      </w:r>
      <w:r w:rsidR="00685216" w:rsidRPr="005724D5">
        <w:rPr>
          <w:sz w:val="20"/>
          <w:szCs w:val="20"/>
        </w:rPr>
        <w:t xml:space="preserve"> October </w:t>
      </w:r>
      <w:r w:rsidR="005E74B7" w:rsidRPr="005724D5">
        <w:rPr>
          <w:sz w:val="20"/>
          <w:szCs w:val="20"/>
        </w:rPr>
        <w:t>2014]</w:t>
      </w:r>
      <w:r w:rsidR="00685216" w:rsidRPr="005724D5">
        <w:rPr>
          <w:sz w:val="20"/>
          <w:szCs w:val="20"/>
        </w:rPr>
        <w:t>.</w:t>
      </w:r>
    </w:p>
    <w:p w:rsidR="00685216" w:rsidRPr="005724D5" w:rsidRDefault="00685216" w:rsidP="00AE1898">
      <w:pPr>
        <w:rPr>
          <w:sz w:val="20"/>
          <w:szCs w:val="20"/>
        </w:rPr>
      </w:pPr>
    </w:p>
    <w:p w:rsidR="00685216" w:rsidRPr="005724D5" w:rsidRDefault="00AE1898" w:rsidP="00AE1898">
      <w:pPr>
        <w:rPr>
          <w:sz w:val="20"/>
          <w:szCs w:val="20"/>
        </w:rPr>
      </w:pPr>
      <w:r w:rsidRPr="005724D5">
        <w:rPr>
          <w:sz w:val="20"/>
          <w:szCs w:val="20"/>
        </w:rPr>
        <w:t>3</w:t>
      </w:r>
      <w:r w:rsidRPr="005724D5">
        <w:rPr>
          <w:sz w:val="20"/>
          <w:szCs w:val="20"/>
        </w:rPr>
        <w:tab/>
      </w:r>
      <w:r w:rsidR="00685216" w:rsidRPr="005724D5">
        <w:rPr>
          <w:sz w:val="20"/>
          <w:szCs w:val="20"/>
        </w:rPr>
        <w:t>[The Co-ordinating Commissioner is authorised by all Commissioners to sign this Agreement on their behalf.]*</w:t>
      </w:r>
    </w:p>
    <w:p w:rsidR="00685216" w:rsidRPr="005724D5" w:rsidRDefault="00685216" w:rsidP="00685216">
      <w:pPr>
        <w:pStyle w:val="ListParagraph"/>
        <w:rPr>
          <w:rFonts w:cs="Arial"/>
          <w:sz w:val="20"/>
          <w:szCs w:val="20"/>
        </w:rPr>
      </w:pPr>
    </w:p>
    <w:p w:rsidR="00685216" w:rsidRPr="005724D5" w:rsidRDefault="00685216" w:rsidP="00685216">
      <w:pPr>
        <w:jc w:val="both"/>
        <w:rPr>
          <w:rFonts w:cs="Arial"/>
          <w:sz w:val="20"/>
          <w:szCs w:val="20"/>
        </w:rPr>
      </w:pPr>
    </w:p>
    <w:p w:rsidR="00E55327" w:rsidRPr="005724D5" w:rsidRDefault="00E55327" w:rsidP="00685216">
      <w:pPr>
        <w:jc w:val="both"/>
        <w:rPr>
          <w:rFonts w:cs="Arial"/>
          <w:sz w:val="20"/>
          <w:szCs w:val="20"/>
        </w:rPr>
      </w:pPr>
    </w:p>
    <w:p w:rsidR="00E55327" w:rsidRPr="005724D5" w:rsidRDefault="00E55327" w:rsidP="00685216">
      <w:pPr>
        <w:jc w:val="both"/>
        <w:rPr>
          <w:rFonts w:cs="Arial"/>
          <w:sz w:val="20"/>
          <w:szCs w:val="20"/>
        </w:rPr>
      </w:pPr>
    </w:p>
    <w:p w:rsidR="00685216" w:rsidRPr="005724D5" w:rsidRDefault="00685216" w:rsidP="00685216">
      <w:pPr>
        <w:pStyle w:val="ListParagraph"/>
        <w:ind w:left="567"/>
        <w:jc w:val="both"/>
        <w:rPr>
          <w:rFonts w:cs="Arial"/>
          <w:sz w:val="20"/>
          <w:szCs w:val="20"/>
        </w:rPr>
      </w:pPr>
    </w:p>
    <w:p w:rsidR="00685216" w:rsidRPr="005724D5" w:rsidRDefault="00CF59B6" w:rsidP="00685216">
      <w:pPr>
        <w:pStyle w:val="ListParagraph"/>
        <w:ind w:left="0"/>
        <w:jc w:val="both"/>
        <w:rPr>
          <w:rFonts w:cs="Arial"/>
          <w:sz w:val="20"/>
          <w:szCs w:val="20"/>
        </w:rPr>
      </w:pPr>
      <w:r w:rsidRPr="005724D5">
        <w:rPr>
          <w:rFonts w:cs="Arial"/>
          <w:b/>
          <w:sz w:val="20"/>
          <w:szCs w:val="20"/>
        </w:rPr>
        <w:br w:type="page"/>
      </w:r>
      <w:r w:rsidR="00685216" w:rsidRPr="005724D5">
        <w:rPr>
          <w:rFonts w:cs="Arial"/>
          <w:b/>
          <w:sz w:val="20"/>
          <w:szCs w:val="20"/>
        </w:rPr>
        <w:t>IN WITNESS OF WHICH the Parties named below have signed this Variation Agreement on the date(s) shown below</w:t>
      </w:r>
    </w:p>
    <w:p w:rsidR="00685216" w:rsidRPr="005724D5" w:rsidRDefault="00685216" w:rsidP="00685216">
      <w:pPr>
        <w:pStyle w:val="ListParagraph"/>
        <w:ind w:left="993"/>
        <w:jc w:val="both"/>
        <w:rPr>
          <w:rFonts w:cs="Arial"/>
          <w:sz w:val="20"/>
          <w:szCs w:val="20"/>
        </w:rPr>
      </w:pPr>
    </w:p>
    <w:p w:rsidR="00685216" w:rsidRPr="005724D5" w:rsidRDefault="00685216" w:rsidP="00685216">
      <w:pPr>
        <w:pStyle w:val="ListParagraph"/>
        <w:ind w:left="993"/>
        <w:jc w:val="both"/>
        <w:rPr>
          <w:rFonts w:cs="Arial"/>
          <w:sz w:val="20"/>
          <w:szCs w:val="20"/>
        </w:rPr>
      </w:pPr>
    </w:p>
    <w:tbl>
      <w:tblPr>
        <w:tblStyle w:val="TableGrid"/>
        <w:tblW w:w="0" w:type="auto"/>
        <w:tblLook w:val="04A0" w:firstRow="1" w:lastRow="0" w:firstColumn="1" w:lastColumn="0" w:noHBand="0" w:noVBand="1"/>
      </w:tblPr>
      <w:tblGrid>
        <w:gridCol w:w="2235"/>
        <w:gridCol w:w="6287"/>
      </w:tblGrid>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Signed by</w:t>
            </w:r>
          </w:p>
          <w:p w:rsidR="00E55327" w:rsidRPr="005724D5" w:rsidRDefault="00E55327" w:rsidP="00D77EE7">
            <w:pPr>
              <w:jc w:val="both"/>
              <w:rPr>
                <w:rFonts w:cs="Arial"/>
                <w:b/>
                <w:sz w:val="20"/>
                <w:szCs w:val="20"/>
              </w:rPr>
            </w:pPr>
          </w:p>
        </w:tc>
        <w:tc>
          <w:tcPr>
            <w:tcW w:w="6287" w:type="dxa"/>
          </w:tcPr>
          <w:p w:rsidR="00CF59B6" w:rsidRPr="005724D5" w:rsidRDefault="00CF59B6" w:rsidP="00D77EE7">
            <w:pPr>
              <w:jc w:val="both"/>
              <w:rPr>
                <w:rFonts w:cs="Arial"/>
                <w:sz w:val="20"/>
                <w:szCs w:val="20"/>
              </w:rPr>
            </w:pPr>
          </w:p>
          <w:p w:rsidR="00685216" w:rsidRPr="005724D5" w:rsidRDefault="00685216" w:rsidP="00D77EE7">
            <w:pPr>
              <w:jc w:val="both"/>
              <w:rPr>
                <w:rFonts w:cs="Arial"/>
                <w:sz w:val="20"/>
                <w:szCs w:val="20"/>
              </w:rPr>
            </w:pPr>
            <w:r w:rsidRPr="005724D5">
              <w:rPr>
                <w:rFonts w:cs="Arial"/>
                <w:sz w:val="20"/>
                <w:szCs w:val="20"/>
              </w:rPr>
              <w:t>[INSERT CO-ORDINATING COMMISSIONER’S AUTHORISED SIGNATORY’S NAME]</w:t>
            </w:r>
          </w:p>
          <w:p w:rsidR="00E55327" w:rsidRPr="005724D5" w:rsidRDefault="00E55327" w:rsidP="00D77EE7">
            <w:pPr>
              <w:jc w:val="both"/>
              <w:rPr>
                <w:rFonts w:cs="Arial"/>
                <w:sz w:val="20"/>
                <w:szCs w:val="20"/>
              </w:rPr>
            </w:pPr>
          </w:p>
        </w:tc>
      </w:tr>
      <w:tr w:rsidR="005724D5" w:rsidRPr="005724D5" w:rsidTr="00D77EE7">
        <w:tc>
          <w:tcPr>
            <w:tcW w:w="8522" w:type="dxa"/>
            <w:gridSpan w:val="2"/>
          </w:tcPr>
          <w:p w:rsidR="00CF59B6" w:rsidRPr="005724D5" w:rsidRDefault="00CF59B6"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for and on behalf of THE CO-ORDINATING COMMISSIONER*</w:t>
            </w:r>
          </w:p>
          <w:p w:rsidR="00CF59B6" w:rsidRPr="005724D5" w:rsidRDefault="00CF59B6" w:rsidP="00D77EE7">
            <w:pPr>
              <w:jc w:val="both"/>
              <w:rPr>
                <w:rFonts w:cs="Arial"/>
                <w:b/>
                <w:sz w:val="20"/>
                <w:szCs w:val="20"/>
              </w:rPr>
            </w:pPr>
          </w:p>
        </w:tc>
      </w:tr>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Signature</w:t>
            </w:r>
          </w:p>
          <w:p w:rsidR="00E55327" w:rsidRPr="005724D5" w:rsidRDefault="00E55327" w:rsidP="00D77EE7">
            <w:pPr>
              <w:jc w:val="both"/>
              <w:rPr>
                <w:rFonts w:cs="Arial"/>
                <w:b/>
                <w:sz w:val="20"/>
                <w:szCs w:val="20"/>
              </w:rPr>
            </w:pPr>
          </w:p>
        </w:tc>
        <w:tc>
          <w:tcPr>
            <w:tcW w:w="6287" w:type="dxa"/>
          </w:tcPr>
          <w:p w:rsidR="00685216" w:rsidRPr="005724D5" w:rsidRDefault="00685216" w:rsidP="00D77EE7">
            <w:pPr>
              <w:jc w:val="both"/>
              <w:rPr>
                <w:rFonts w:cs="Arial"/>
                <w:sz w:val="20"/>
                <w:szCs w:val="20"/>
              </w:rPr>
            </w:pPr>
          </w:p>
          <w:p w:rsidR="00E55327" w:rsidRPr="005724D5" w:rsidRDefault="00E55327" w:rsidP="00D77EE7">
            <w:pPr>
              <w:jc w:val="both"/>
              <w:rPr>
                <w:rFonts w:cs="Arial"/>
                <w:sz w:val="20"/>
                <w:szCs w:val="20"/>
              </w:rPr>
            </w:pPr>
          </w:p>
        </w:tc>
      </w:tr>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Title</w:t>
            </w:r>
          </w:p>
          <w:p w:rsidR="00E55327" w:rsidRPr="005724D5" w:rsidRDefault="00E55327" w:rsidP="00D77EE7">
            <w:pPr>
              <w:jc w:val="both"/>
              <w:rPr>
                <w:rFonts w:cs="Arial"/>
                <w:b/>
                <w:sz w:val="20"/>
                <w:szCs w:val="20"/>
              </w:rPr>
            </w:pPr>
          </w:p>
        </w:tc>
        <w:tc>
          <w:tcPr>
            <w:tcW w:w="6287" w:type="dxa"/>
          </w:tcPr>
          <w:p w:rsidR="00685216" w:rsidRPr="005724D5" w:rsidRDefault="00685216" w:rsidP="00D77EE7">
            <w:pPr>
              <w:jc w:val="both"/>
              <w:rPr>
                <w:rFonts w:cs="Arial"/>
                <w:sz w:val="20"/>
                <w:szCs w:val="20"/>
              </w:rPr>
            </w:pPr>
          </w:p>
        </w:tc>
      </w:tr>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Date</w:t>
            </w:r>
          </w:p>
          <w:p w:rsidR="00E55327" w:rsidRPr="005724D5" w:rsidRDefault="00E55327" w:rsidP="00D77EE7">
            <w:pPr>
              <w:jc w:val="both"/>
              <w:rPr>
                <w:rFonts w:cs="Arial"/>
                <w:b/>
                <w:sz w:val="20"/>
                <w:szCs w:val="20"/>
              </w:rPr>
            </w:pPr>
          </w:p>
        </w:tc>
        <w:tc>
          <w:tcPr>
            <w:tcW w:w="6287" w:type="dxa"/>
          </w:tcPr>
          <w:p w:rsidR="00685216" w:rsidRPr="005724D5" w:rsidRDefault="00685216" w:rsidP="00D77EE7">
            <w:pPr>
              <w:jc w:val="both"/>
              <w:rPr>
                <w:rFonts w:cs="Arial"/>
                <w:sz w:val="20"/>
                <w:szCs w:val="20"/>
              </w:rPr>
            </w:pPr>
          </w:p>
        </w:tc>
      </w:tr>
    </w:tbl>
    <w:p w:rsidR="00685216" w:rsidRPr="005724D5" w:rsidRDefault="00685216" w:rsidP="00685216">
      <w:pPr>
        <w:jc w:val="both"/>
        <w:rPr>
          <w:rFonts w:cs="Arial"/>
          <w:sz w:val="20"/>
          <w:szCs w:val="20"/>
        </w:rPr>
      </w:pPr>
    </w:p>
    <w:p w:rsidR="00685216" w:rsidRPr="005724D5" w:rsidRDefault="00685216" w:rsidP="00685216">
      <w:pPr>
        <w:jc w:val="both"/>
        <w:rPr>
          <w:rFonts w:cs="Arial"/>
          <w:b/>
          <w:sz w:val="20"/>
          <w:szCs w:val="20"/>
        </w:rPr>
      </w:pPr>
      <w:r w:rsidRPr="005724D5">
        <w:rPr>
          <w:rFonts w:cs="Arial"/>
          <w:b/>
          <w:sz w:val="20"/>
          <w:szCs w:val="20"/>
        </w:rPr>
        <w:t>[INSERT AS ABOVE FOR EACH COMMISSIONER]*</w:t>
      </w:r>
    </w:p>
    <w:p w:rsidR="00685216" w:rsidRPr="005724D5" w:rsidRDefault="00685216" w:rsidP="00685216">
      <w:pPr>
        <w:rPr>
          <w:rFonts w:cs="Arial"/>
          <w:sz w:val="20"/>
          <w:szCs w:val="20"/>
        </w:rPr>
      </w:pPr>
    </w:p>
    <w:p w:rsidR="00685216" w:rsidRPr="005724D5" w:rsidRDefault="00685216" w:rsidP="00685216">
      <w:pPr>
        <w:rPr>
          <w:rFonts w:cs="Arial"/>
          <w:sz w:val="20"/>
          <w:szCs w:val="20"/>
        </w:rPr>
      </w:pPr>
      <w:r w:rsidRPr="005724D5">
        <w:rPr>
          <w:rFonts w:cs="Arial"/>
          <w:sz w:val="20"/>
          <w:szCs w:val="20"/>
        </w:rPr>
        <w:t>*If the Contract being varied is in the form of the NHS Standard Contract 2014/15 (and all Commissioners have agreed, via their Collaborative Commissioning Agreement or otherwise, that the Co-ordinating Commissioner may sign the Variation Agreement on their behalf), only the Co-ordinating Commissioner need sign. In all other circumstances, all Commissioners must sign the Variation Agreement. Delete/complete as appropriate.</w:t>
      </w:r>
    </w:p>
    <w:p w:rsidR="00685216" w:rsidRPr="005724D5" w:rsidRDefault="00685216" w:rsidP="00685216">
      <w:pPr>
        <w:rPr>
          <w:sz w:val="20"/>
          <w:szCs w:val="20"/>
        </w:rPr>
      </w:pPr>
    </w:p>
    <w:p w:rsidR="00685216" w:rsidRPr="005724D5" w:rsidRDefault="00685216" w:rsidP="00685216">
      <w:pPr>
        <w:pStyle w:val="ListParagraph"/>
        <w:ind w:left="993"/>
        <w:jc w:val="both"/>
        <w:rPr>
          <w:rFonts w:cs="Arial"/>
          <w:sz w:val="20"/>
          <w:szCs w:val="20"/>
        </w:rPr>
      </w:pPr>
    </w:p>
    <w:tbl>
      <w:tblPr>
        <w:tblStyle w:val="TableGrid"/>
        <w:tblW w:w="0" w:type="auto"/>
        <w:tblLook w:val="04A0" w:firstRow="1" w:lastRow="0" w:firstColumn="1" w:lastColumn="0" w:noHBand="0" w:noVBand="1"/>
      </w:tblPr>
      <w:tblGrid>
        <w:gridCol w:w="2235"/>
        <w:gridCol w:w="6287"/>
      </w:tblGrid>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Signed by</w:t>
            </w:r>
          </w:p>
          <w:p w:rsidR="00E55327" w:rsidRPr="005724D5" w:rsidRDefault="00E55327" w:rsidP="00D77EE7">
            <w:pPr>
              <w:jc w:val="both"/>
              <w:rPr>
                <w:rFonts w:cs="Arial"/>
                <w:b/>
                <w:sz w:val="20"/>
                <w:szCs w:val="20"/>
              </w:rPr>
            </w:pPr>
          </w:p>
        </w:tc>
        <w:tc>
          <w:tcPr>
            <w:tcW w:w="6287" w:type="dxa"/>
          </w:tcPr>
          <w:p w:rsidR="00E55327" w:rsidRPr="005724D5" w:rsidRDefault="00E55327" w:rsidP="00D77EE7">
            <w:pPr>
              <w:jc w:val="both"/>
              <w:rPr>
                <w:rFonts w:cs="Arial"/>
                <w:sz w:val="20"/>
                <w:szCs w:val="20"/>
              </w:rPr>
            </w:pPr>
          </w:p>
          <w:p w:rsidR="00685216" w:rsidRPr="005724D5" w:rsidRDefault="00685216" w:rsidP="00D77EE7">
            <w:pPr>
              <w:jc w:val="both"/>
              <w:rPr>
                <w:rFonts w:cs="Arial"/>
                <w:sz w:val="20"/>
                <w:szCs w:val="20"/>
              </w:rPr>
            </w:pPr>
            <w:r w:rsidRPr="005724D5">
              <w:rPr>
                <w:rFonts w:cs="Arial"/>
                <w:sz w:val="20"/>
                <w:szCs w:val="20"/>
              </w:rPr>
              <w:t>[INSERT AUTHORISED SIGNATORY’S NAME]</w:t>
            </w:r>
          </w:p>
        </w:tc>
      </w:tr>
      <w:tr w:rsidR="005724D5" w:rsidRPr="005724D5" w:rsidTr="00D77EE7">
        <w:tc>
          <w:tcPr>
            <w:tcW w:w="2235" w:type="dxa"/>
          </w:tcPr>
          <w:p w:rsidR="00CF59B6" w:rsidRPr="005724D5" w:rsidRDefault="00CF59B6"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for and on behalf of</w:t>
            </w:r>
          </w:p>
          <w:p w:rsidR="00CF59B6" w:rsidRPr="005724D5" w:rsidRDefault="00CF59B6" w:rsidP="00D77EE7">
            <w:pPr>
              <w:jc w:val="both"/>
              <w:rPr>
                <w:rFonts w:cs="Arial"/>
                <w:b/>
                <w:sz w:val="20"/>
                <w:szCs w:val="20"/>
              </w:rPr>
            </w:pPr>
          </w:p>
        </w:tc>
        <w:tc>
          <w:tcPr>
            <w:tcW w:w="6287" w:type="dxa"/>
          </w:tcPr>
          <w:p w:rsidR="00CF59B6" w:rsidRPr="005724D5" w:rsidRDefault="00CF59B6" w:rsidP="00D77EE7">
            <w:pPr>
              <w:jc w:val="both"/>
              <w:rPr>
                <w:rFonts w:cs="Arial"/>
                <w:sz w:val="20"/>
                <w:szCs w:val="20"/>
              </w:rPr>
            </w:pPr>
          </w:p>
          <w:p w:rsidR="00685216" w:rsidRPr="005724D5" w:rsidRDefault="00685216" w:rsidP="00D77EE7">
            <w:pPr>
              <w:jc w:val="both"/>
              <w:rPr>
                <w:rFonts w:cs="Arial"/>
                <w:sz w:val="20"/>
                <w:szCs w:val="20"/>
              </w:rPr>
            </w:pPr>
            <w:r w:rsidRPr="005724D5">
              <w:rPr>
                <w:rFonts w:cs="Arial"/>
                <w:sz w:val="20"/>
                <w:szCs w:val="20"/>
              </w:rPr>
              <w:t>[INSERT PROVIDER’S NAME]</w:t>
            </w:r>
          </w:p>
        </w:tc>
      </w:tr>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Signature</w:t>
            </w:r>
          </w:p>
          <w:p w:rsidR="00E55327" w:rsidRPr="005724D5" w:rsidRDefault="00E55327" w:rsidP="00D77EE7">
            <w:pPr>
              <w:jc w:val="both"/>
              <w:rPr>
                <w:rFonts w:cs="Arial"/>
                <w:b/>
                <w:sz w:val="20"/>
                <w:szCs w:val="20"/>
              </w:rPr>
            </w:pPr>
          </w:p>
        </w:tc>
        <w:tc>
          <w:tcPr>
            <w:tcW w:w="6287" w:type="dxa"/>
          </w:tcPr>
          <w:p w:rsidR="00685216" w:rsidRPr="005724D5" w:rsidRDefault="00685216" w:rsidP="00D77EE7">
            <w:pPr>
              <w:jc w:val="both"/>
              <w:rPr>
                <w:rFonts w:cs="Arial"/>
                <w:sz w:val="20"/>
                <w:szCs w:val="20"/>
              </w:rPr>
            </w:pPr>
          </w:p>
        </w:tc>
      </w:tr>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Title</w:t>
            </w:r>
          </w:p>
          <w:p w:rsidR="00E55327" w:rsidRPr="005724D5" w:rsidRDefault="00E55327" w:rsidP="00D77EE7">
            <w:pPr>
              <w:jc w:val="both"/>
              <w:rPr>
                <w:rFonts w:cs="Arial"/>
                <w:b/>
                <w:sz w:val="20"/>
                <w:szCs w:val="20"/>
              </w:rPr>
            </w:pPr>
          </w:p>
        </w:tc>
        <w:tc>
          <w:tcPr>
            <w:tcW w:w="6287" w:type="dxa"/>
          </w:tcPr>
          <w:p w:rsidR="00685216" w:rsidRPr="005724D5" w:rsidRDefault="00685216" w:rsidP="00D77EE7">
            <w:pPr>
              <w:jc w:val="both"/>
              <w:rPr>
                <w:rFonts w:cs="Arial"/>
                <w:sz w:val="20"/>
                <w:szCs w:val="20"/>
              </w:rPr>
            </w:pPr>
          </w:p>
        </w:tc>
      </w:tr>
      <w:tr w:rsidR="005724D5" w:rsidRPr="005724D5" w:rsidTr="00D77EE7">
        <w:tc>
          <w:tcPr>
            <w:tcW w:w="2235" w:type="dxa"/>
          </w:tcPr>
          <w:p w:rsidR="00E55327" w:rsidRPr="005724D5" w:rsidRDefault="00E55327" w:rsidP="00D77EE7">
            <w:pPr>
              <w:jc w:val="both"/>
              <w:rPr>
                <w:rFonts w:cs="Arial"/>
                <w:b/>
                <w:sz w:val="20"/>
                <w:szCs w:val="20"/>
              </w:rPr>
            </w:pPr>
          </w:p>
          <w:p w:rsidR="00685216" w:rsidRPr="005724D5" w:rsidRDefault="00685216" w:rsidP="00D77EE7">
            <w:pPr>
              <w:jc w:val="both"/>
              <w:rPr>
                <w:rFonts w:cs="Arial"/>
                <w:b/>
                <w:sz w:val="20"/>
                <w:szCs w:val="20"/>
              </w:rPr>
            </w:pPr>
            <w:r w:rsidRPr="005724D5">
              <w:rPr>
                <w:rFonts w:cs="Arial"/>
                <w:b/>
                <w:sz w:val="20"/>
                <w:szCs w:val="20"/>
              </w:rPr>
              <w:t>Date</w:t>
            </w:r>
          </w:p>
          <w:p w:rsidR="00E55327" w:rsidRPr="005724D5" w:rsidRDefault="00E55327" w:rsidP="00D77EE7">
            <w:pPr>
              <w:jc w:val="both"/>
              <w:rPr>
                <w:rFonts w:cs="Arial"/>
                <w:b/>
                <w:sz w:val="20"/>
                <w:szCs w:val="20"/>
              </w:rPr>
            </w:pPr>
          </w:p>
        </w:tc>
        <w:tc>
          <w:tcPr>
            <w:tcW w:w="6287" w:type="dxa"/>
          </w:tcPr>
          <w:p w:rsidR="00685216" w:rsidRPr="005724D5" w:rsidRDefault="00685216" w:rsidP="00D77EE7">
            <w:pPr>
              <w:jc w:val="both"/>
              <w:rPr>
                <w:rFonts w:cs="Arial"/>
                <w:sz w:val="20"/>
                <w:szCs w:val="20"/>
              </w:rPr>
            </w:pPr>
          </w:p>
        </w:tc>
      </w:tr>
    </w:tbl>
    <w:p w:rsidR="00BD0523" w:rsidRPr="005724D5" w:rsidRDefault="00BD0523" w:rsidP="00685216">
      <w:pPr>
        <w:jc w:val="both"/>
      </w:pPr>
    </w:p>
    <w:sectPr w:rsidR="00BD0523" w:rsidRPr="005724D5" w:rsidSect="002C3573">
      <w:footerReference w:type="even" r:id="rId13"/>
      <w:footerReference w:type="default" r:id="rId14"/>
      <w:pgSz w:w="11900" w:h="16840"/>
      <w:pgMar w:top="737" w:right="1418" w:bottom="1418"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4D" w:rsidRDefault="0003704D" w:rsidP="00A716D1">
      <w:r>
        <w:separator/>
      </w:r>
    </w:p>
  </w:endnote>
  <w:endnote w:type="continuationSeparator" w:id="0">
    <w:p w:rsidR="0003704D" w:rsidRDefault="0003704D"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E7" w:rsidRDefault="00D77EE7"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77EE7" w:rsidRDefault="00D77EE7"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E7" w:rsidRPr="00E01309" w:rsidRDefault="00D77EE7"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5B1C46">
      <w:rPr>
        <w:rStyle w:val="PageNumber"/>
        <w:noProof/>
        <w:color w:val="A00054"/>
        <w:sz w:val="18"/>
        <w:szCs w:val="18"/>
      </w:rPr>
      <w:t>1</w:t>
    </w:r>
    <w:r w:rsidRPr="00E01309">
      <w:rPr>
        <w:rStyle w:val="PageNumber"/>
        <w:color w:val="A00054"/>
        <w:sz w:val="18"/>
        <w:szCs w:val="18"/>
      </w:rPr>
      <w:fldChar w:fldCharType="end"/>
    </w:r>
  </w:p>
  <w:p w:rsidR="00D77EE7" w:rsidRDefault="00D77EE7"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4D" w:rsidRDefault="0003704D" w:rsidP="00A716D1">
      <w:r>
        <w:separator/>
      </w:r>
    </w:p>
  </w:footnote>
  <w:footnote w:type="continuationSeparator" w:id="0">
    <w:p w:rsidR="0003704D" w:rsidRDefault="0003704D" w:rsidP="00A7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610DC"/>
    <w:lvl w:ilvl="0">
      <w:start w:val="1"/>
      <w:numFmt w:val="decimal"/>
      <w:lvlText w:val="%1."/>
      <w:lvlJc w:val="left"/>
      <w:pPr>
        <w:tabs>
          <w:tab w:val="num" w:pos="1492"/>
        </w:tabs>
        <w:ind w:left="1492" w:hanging="360"/>
      </w:pPr>
    </w:lvl>
  </w:abstractNum>
  <w:abstractNum w:abstractNumId="1">
    <w:nsid w:val="FFFFFF7D"/>
    <w:multiLevelType w:val="singleLevel"/>
    <w:tmpl w:val="CFBA8960"/>
    <w:lvl w:ilvl="0">
      <w:start w:val="1"/>
      <w:numFmt w:val="decimal"/>
      <w:lvlText w:val="%1."/>
      <w:lvlJc w:val="left"/>
      <w:pPr>
        <w:tabs>
          <w:tab w:val="num" w:pos="1209"/>
        </w:tabs>
        <w:ind w:left="1209" w:hanging="360"/>
      </w:pPr>
    </w:lvl>
  </w:abstractNum>
  <w:abstractNum w:abstractNumId="2">
    <w:nsid w:val="FFFFFF7E"/>
    <w:multiLevelType w:val="singleLevel"/>
    <w:tmpl w:val="8AE63320"/>
    <w:lvl w:ilvl="0">
      <w:start w:val="1"/>
      <w:numFmt w:val="decimal"/>
      <w:lvlText w:val="%1."/>
      <w:lvlJc w:val="left"/>
      <w:pPr>
        <w:tabs>
          <w:tab w:val="num" w:pos="926"/>
        </w:tabs>
        <w:ind w:left="926" w:hanging="360"/>
      </w:pPr>
    </w:lvl>
  </w:abstractNum>
  <w:abstractNum w:abstractNumId="3">
    <w:nsid w:val="FFFFFF7F"/>
    <w:multiLevelType w:val="singleLevel"/>
    <w:tmpl w:val="065A0BEA"/>
    <w:lvl w:ilvl="0">
      <w:start w:val="1"/>
      <w:numFmt w:val="decimal"/>
      <w:lvlText w:val="%1."/>
      <w:lvlJc w:val="left"/>
      <w:pPr>
        <w:tabs>
          <w:tab w:val="num" w:pos="643"/>
        </w:tabs>
        <w:ind w:left="643" w:hanging="360"/>
      </w:pPr>
    </w:lvl>
  </w:abstractNum>
  <w:abstractNum w:abstractNumId="4">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150"/>
    <w:lvl w:ilvl="0">
      <w:start w:val="1"/>
      <w:numFmt w:val="decimal"/>
      <w:lvlText w:val="%1."/>
      <w:lvlJc w:val="left"/>
      <w:pPr>
        <w:tabs>
          <w:tab w:val="num" w:pos="360"/>
        </w:tabs>
        <w:ind w:left="360" w:hanging="360"/>
      </w:pPr>
    </w:lvl>
  </w:abstractNum>
  <w:abstractNum w:abstractNumId="9">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32659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697CC7"/>
    <w:multiLevelType w:val="hybridMultilevel"/>
    <w:tmpl w:val="2D3E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28AB6045"/>
    <w:multiLevelType w:val="hybridMultilevel"/>
    <w:tmpl w:val="4062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6">
    <w:nsid w:val="4810412A"/>
    <w:multiLevelType w:val="hybridMultilevel"/>
    <w:tmpl w:val="FC642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8">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277CB2"/>
    <w:multiLevelType w:val="hybridMultilevel"/>
    <w:tmpl w:val="F45ABB34"/>
    <w:lvl w:ilvl="0" w:tplc="ABCC27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1">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3C3B36"/>
    <w:multiLevelType w:val="hybridMultilevel"/>
    <w:tmpl w:val="359C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28"/>
  </w:num>
  <w:num w:numId="4">
    <w:abstractNumId w:val="36"/>
  </w:num>
  <w:num w:numId="5">
    <w:abstractNumId w:val="35"/>
  </w:num>
  <w:num w:numId="6">
    <w:abstractNumId w:val="37"/>
  </w:num>
  <w:num w:numId="7">
    <w:abstractNumId w:val="24"/>
  </w:num>
  <w:num w:numId="8">
    <w:abstractNumId w:val="32"/>
  </w:num>
  <w:num w:numId="9">
    <w:abstractNumId w:val="31"/>
  </w:num>
  <w:num w:numId="10">
    <w:abstractNumId w:val="33"/>
  </w:num>
  <w:num w:numId="11">
    <w:abstractNumId w:val="18"/>
  </w:num>
  <w:num w:numId="12">
    <w:abstractNumId w:val="21"/>
  </w:num>
  <w:num w:numId="13">
    <w:abstractNumId w:val="13"/>
  </w:num>
  <w:num w:numId="14">
    <w:abstractNumId w:val="19"/>
  </w:num>
  <w:num w:numId="15">
    <w:abstractNumId w:val="27"/>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0"/>
  </w:num>
  <w:num w:numId="28">
    <w:abstractNumId w:val="34"/>
  </w:num>
  <w:num w:numId="29">
    <w:abstractNumId w:val="10"/>
  </w:num>
  <w:num w:numId="30">
    <w:abstractNumId w:val="23"/>
  </w:num>
  <w:num w:numId="31">
    <w:abstractNumId w:val="14"/>
  </w:num>
  <w:num w:numId="32">
    <w:abstractNumId w:val="39"/>
  </w:num>
  <w:num w:numId="33">
    <w:abstractNumId w:val="20"/>
  </w:num>
  <w:num w:numId="34">
    <w:abstractNumId w:val="12"/>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5"/>
  </w:num>
  <w:num w:numId="40">
    <w:abstractNumId w:val="38"/>
  </w:num>
  <w:num w:numId="41">
    <w:abstractNumId w:val="26"/>
  </w:num>
  <w:num w:numId="42">
    <w:abstractNumId w:val="17"/>
    <w:lvlOverride w:ilvl="0">
      <w:startOverride w:val="2"/>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1413"/>
    <w:rsid w:val="00011419"/>
    <w:rsid w:val="0002174B"/>
    <w:rsid w:val="00023944"/>
    <w:rsid w:val="00031797"/>
    <w:rsid w:val="000325BD"/>
    <w:rsid w:val="0003704D"/>
    <w:rsid w:val="000419B4"/>
    <w:rsid w:val="00055930"/>
    <w:rsid w:val="000761BD"/>
    <w:rsid w:val="000B0B09"/>
    <w:rsid w:val="00102A99"/>
    <w:rsid w:val="00103949"/>
    <w:rsid w:val="00106D49"/>
    <w:rsid w:val="00152FB6"/>
    <w:rsid w:val="00174767"/>
    <w:rsid w:val="001A3439"/>
    <w:rsid w:val="001A5B8C"/>
    <w:rsid w:val="001E477C"/>
    <w:rsid w:val="00211E00"/>
    <w:rsid w:val="00222A7E"/>
    <w:rsid w:val="00235893"/>
    <w:rsid w:val="00243B7D"/>
    <w:rsid w:val="0025692A"/>
    <w:rsid w:val="002A0C8D"/>
    <w:rsid w:val="002A58D4"/>
    <w:rsid w:val="002C3573"/>
    <w:rsid w:val="002C542F"/>
    <w:rsid w:val="002E4212"/>
    <w:rsid w:val="003357B2"/>
    <w:rsid w:val="00344C9D"/>
    <w:rsid w:val="00397E3E"/>
    <w:rsid w:val="003A13D3"/>
    <w:rsid w:val="003B2D5D"/>
    <w:rsid w:val="003B511C"/>
    <w:rsid w:val="003C2541"/>
    <w:rsid w:val="003E1C1F"/>
    <w:rsid w:val="003F4F0A"/>
    <w:rsid w:val="004062F0"/>
    <w:rsid w:val="004409E2"/>
    <w:rsid w:val="0044105E"/>
    <w:rsid w:val="004704A2"/>
    <w:rsid w:val="00473A07"/>
    <w:rsid w:val="004863FB"/>
    <w:rsid w:val="0049631F"/>
    <w:rsid w:val="004E2398"/>
    <w:rsid w:val="005045B3"/>
    <w:rsid w:val="005056E3"/>
    <w:rsid w:val="0055084A"/>
    <w:rsid w:val="005629D1"/>
    <w:rsid w:val="005724D5"/>
    <w:rsid w:val="005A1B5C"/>
    <w:rsid w:val="005B1C46"/>
    <w:rsid w:val="005B40B1"/>
    <w:rsid w:val="005D6B38"/>
    <w:rsid w:val="005E6144"/>
    <w:rsid w:val="005E65DC"/>
    <w:rsid w:val="005E74B7"/>
    <w:rsid w:val="00655362"/>
    <w:rsid w:val="00667E6C"/>
    <w:rsid w:val="00685216"/>
    <w:rsid w:val="0069518C"/>
    <w:rsid w:val="006A0B73"/>
    <w:rsid w:val="006C5902"/>
    <w:rsid w:val="006D4362"/>
    <w:rsid w:val="006F595D"/>
    <w:rsid w:val="006F6EE6"/>
    <w:rsid w:val="0070581C"/>
    <w:rsid w:val="0071074D"/>
    <w:rsid w:val="00727C19"/>
    <w:rsid w:val="00731517"/>
    <w:rsid w:val="007509E8"/>
    <w:rsid w:val="00785EED"/>
    <w:rsid w:val="007C40F0"/>
    <w:rsid w:val="007E08F7"/>
    <w:rsid w:val="00821E02"/>
    <w:rsid w:val="008903E6"/>
    <w:rsid w:val="00890444"/>
    <w:rsid w:val="00890B37"/>
    <w:rsid w:val="00894880"/>
    <w:rsid w:val="008A477A"/>
    <w:rsid w:val="008A4B40"/>
    <w:rsid w:val="008B5C23"/>
    <w:rsid w:val="008B71E5"/>
    <w:rsid w:val="008C174F"/>
    <w:rsid w:val="008C50A9"/>
    <w:rsid w:val="008D1D3C"/>
    <w:rsid w:val="0090040F"/>
    <w:rsid w:val="00930BA2"/>
    <w:rsid w:val="00947CBB"/>
    <w:rsid w:val="009553ED"/>
    <w:rsid w:val="009615FA"/>
    <w:rsid w:val="009737AB"/>
    <w:rsid w:val="00990557"/>
    <w:rsid w:val="009A3546"/>
    <w:rsid w:val="009A67EA"/>
    <w:rsid w:val="009C3A3D"/>
    <w:rsid w:val="009D0885"/>
    <w:rsid w:val="009D7A81"/>
    <w:rsid w:val="009F73E9"/>
    <w:rsid w:val="00A2093B"/>
    <w:rsid w:val="00A20AE8"/>
    <w:rsid w:val="00A27854"/>
    <w:rsid w:val="00A40A32"/>
    <w:rsid w:val="00A4250E"/>
    <w:rsid w:val="00A55267"/>
    <w:rsid w:val="00A716D1"/>
    <w:rsid w:val="00A71B20"/>
    <w:rsid w:val="00A85FD4"/>
    <w:rsid w:val="00AA4EC3"/>
    <w:rsid w:val="00AB549D"/>
    <w:rsid w:val="00AD3D77"/>
    <w:rsid w:val="00AD4E55"/>
    <w:rsid w:val="00AE0D75"/>
    <w:rsid w:val="00AE1898"/>
    <w:rsid w:val="00AE3334"/>
    <w:rsid w:val="00AE63DF"/>
    <w:rsid w:val="00B429DF"/>
    <w:rsid w:val="00B51CDD"/>
    <w:rsid w:val="00B6042E"/>
    <w:rsid w:val="00B875DD"/>
    <w:rsid w:val="00B961B8"/>
    <w:rsid w:val="00BA1EF6"/>
    <w:rsid w:val="00BD0523"/>
    <w:rsid w:val="00BF4DE0"/>
    <w:rsid w:val="00C16200"/>
    <w:rsid w:val="00C94F2C"/>
    <w:rsid w:val="00C953C8"/>
    <w:rsid w:val="00CD478E"/>
    <w:rsid w:val="00CE2F07"/>
    <w:rsid w:val="00CE3904"/>
    <w:rsid w:val="00CF59B6"/>
    <w:rsid w:val="00D04A3A"/>
    <w:rsid w:val="00D77EE7"/>
    <w:rsid w:val="00D86A05"/>
    <w:rsid w:val="00D9536A"/>
    <w:rsid w:val="00DA2AB7"/>
    <w:rsid w:val="00DC5724"/>
    <w:rsid w:val="00DF3BDD"/>
    <w:rsid w:val="00DF52A7"/>
    <w:rsid w:val="00E01309"/>
    <w:rsid w:val="00E033C2"/>
    <w:rsid w:val="00E3236C"/>
    <w:rsid w:val="00E52ACB"/>
    <w:rsid w:val="00E55327"/>
    <w:rsid w:val="00E72C89"/>
    <w:rsid w:val="00E9155B"/>
    <w:rsid w:val="00EB549C"/>
    <w:rsid w:val="00EC41D7"/>
    <w:rsid w:val="00F119E7"/>
    <w:rsid w:val="00F11B7F"/>
    <w:rsid w:val="00F76189"/>
    <w:rsid w:val="00F775D6"/>
    <w:rsid w:val="00FA7A04"/>
    <w:rsid w:val="00FA7FDE"/>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8903E6"/>
    <w:pPr>
      <w:autoSpaceDE w:val="0"/>
      <w:autoSpaceDN w:val="0"/>
      <w:adjustRightInd w:val="0"/>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8903E6"/>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32277">
      <w:bodyDiv w:val="1"/>
      <w:marLeft w:val="0"/>
      <w:marRight w:val="0"/>
      <w:marTop w:val="0"/>
      <w:marBottom w:val="0"/>
      <w:divBdr>
        <w:top w:val="none" w:sz="0" w:space="0" w:color="auto"/>
        <w:left w:val="none" w:sz="0" w:space="0" w:color="auto"/>
        <w:bottom w:val="none" w:sz="0" w:space="0" w:color="auto"/>
        <w:right w:val="none" w:sz="0" w:space="0" w:color="auto"/>
      </w:divBdr>
    </w:div>
    <w:div w:id="1774085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K57F673QWXRZ-1374-48</_dlc_DocId>
    <_dlc_DocIdUrl xmlns="51367701-27c8-403e-a234-85855c5cd73e">
      <Url>https://nhsengland.sharepoint.com/TeamCentre/VisionandValues/_layouts/15/DocIdRedir.aspx?ID=K57F673QWXRZ-1374-48</Url>
      <Description>K57F673QWXRZ-1374-48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DC97-4BBD-400C-BFD4-938699E95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B6293-BE03-4F7D-9BE4-2F2DA091EE11}">
  <ds:schemaRefs>
    <ds:schemaRef ds:uri="http://schemas.microsoft.com/office/2006/metadata/properties"/>
    <ds:schemaRef ds:uri="http://schemas.microsoft.com/office/infopath/2007/PartnerControls"/>
    <ds:schemaRef ds:uri="51367701-27c8-403e-a234-85855c5cd73e"/>
  </ds:schemaRefs>
</ds:datastoreItem>
</file>

<file path=customXml/itemProps3.xml><?xml version="1.0" encoding="utf-8"?>
<ds:datastoreItem xmlns:ds="http://schemas.openxmlformats.org/officeDocument/2006/customXml" ds:itemID="{B501A9CD-6230-4DC9-9FB6-8D6F011B35EE}">
  <ds:schemaRefs>
    <ds:schemaRef ds:uri="http://schemas.microsoft.com/sharepoint/events"/>
  </ds:schemaRefs>
</ds:datastoreItem>
</file>

<file path=customXml/itemProps4.xml><?xml version="1.0" encoding="utf-8"?>
<ds:datastoreItem xmlns:ds="http://schemas.openxmlformats.org/officeDocument/2006/customXml" ds:itemID="{3DC6C0DC-4113-477E-B617-A6CD598D214B}">
  <ds:schemaRefs>
    <ds:schemaRef ds:uri="http://schemas.microsoft.com/sharepoint/v3/contenttype/forms"/>
  </ds:schemaRefs>
</ds:datastoreItem>
</file>

<file path=customXml/itemProps5.xml><?xml version="1.0" encoding="utf-8"?>
<ds:datastoreItem xmlns:ds="http://schemas.openxmlformats.org/officeDocument/2006/customXml" ds:itemID="{E9F677BB-6301-42D2-BA29-DF6EA44C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2</TotalTime>
  <Pages>1</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NHS England Report Template 4 - standard length title</vt:lpstr>
    </vt:vector>
  </TitlesOfParts>
  <Company>Smith &amp; Milton</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4 - standard length title</dc:title>
  <dc:creator>Sarah Hunter</dc:creator>
  <cp:lastModifiedBy>Michelle Coleman</cp:lastModifiedBy>
  <cp:revision>3</cp:revision>
  <cp:lastPrinted>2014-09-26T14:57:00Z</cp:lastPrinted>
  <dcterms:created xsi:type="dcterms:W3CDTF">2014-10-09T09:37:00Z</dcterms:created>
  <dcterms:modified xsi:type="dcterms:W3CDTF">2014-10-09T09:39:00Z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f8005847-7b80-4360-922e-0042a9e1e0e2</vt:lpwstr>
  </property>
</Properties>
</file>