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296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194" w:lineRule="auto"/>
        <w:ind w:right="681"/>
        <w:jc w:val="left"/>
        <w:rPr>
          <w:b w:val="0"/>
          <w:bCs w:val="0"/>
        </w:rPr>
      </w:pPr>
      <w:r>
        <w:rPr>
          <w:color w:val="0071BB"/>
          <w:spacing w:val="-57"/>
          <w:w w:val="80"/>
        </w:rPr>
        <w:t>PATIENT-LED</w:t>
      </w:r>
      <w:r>
        <w:rPr>
          <w:color w:val="0071BB"/>
          <w:spacing w:val="-109"/>
          <w:w w:val="80"/>
        </w:rPr>
        <w:t> </w:t>
      </w:r>
      <w:r>
        <w:rPr>
          <w:color w:val="0071BB"/>
          <w:spacing w:val="-36"/>
          <w:w w:val="80"/>
        </w:rPr>
        <w:t>ASSESSMENTS</w:t>
      </w:r>
      <w:r>
        <w:rPr>
          <w:color w:val="0071BB"/>
          <w:w w:val="73"/>
        </w:rPr>
        <w:t> </w:t>
      </w:r>
      <w:r>
        <w:rPr>
          <w:color w:val="0071BB"/>
          <w:w w:val="73"/>
        </w:rPr>
        <w:t> </w:t>
      </w:r>
      <w:r>
        <w:rPr>
          <w:color w:val="0071BB"/>
          <w:spacing w:val="-25"/>
          <w:w w:val="75"/>
        </w:rPr>
        <w:t>OF </w:t>
      </w:r>
      <w:r>
        <w:rPr>
          <w:color w:val="0071BB"/>
          <w:spacing w:val="-31"/>
          <w:w w:val="75"/>
        </w:rPr>
        <w:t>THE </w:t>
      </w:r>
      <w:r>
        <w:rPr>
          <w:color w:val="0071BB"/>
          <w:spacing w:val="-32"/>
          <w:w w:val="75"/>
        </w:rPr>
        <w:t>CARE</w:t>
      </w:r>
      <w:r>
        <w:rPr>
          <w:color w:val="0071BB"/>
          <w:spacing w:val="-66"/>
          <w:w w:val="75"/>
        </w:rPr>
        <w:t> </w:t>
      </w:r>
      <w:r>
        <w:rPr>
          <w:color w:val="0071BB"/>
          <w:spacing w:val="-45"/>
          <w:w w:val="75"/>
        </w:rPr>
        <w:t>ENVIRONMENT</w:t>
      </w:r>
      <w:r>
        <w:rPr>
          <w:color w:val="0071BB"/>
          <w:w w:val="67"/>
        </w:rPr>
        <w:t> </w:t>
      </w:r>
      <w:r>
        <w:rPr>
          <w:color w:val="FFFFFF"/>
          <w:w w:val="65"/>
        </w:rPr>
      </w:r>
      <w:r>
        <w:rPr>
          <w:color w:val="FFFFFF"/>
          <w:spacing w:val="-45"/>
          <w:w w:val="70"/>
          <w:shd w:fill="C10070" w:color="auto" w:val="clear"/>
        </w:rPr>
        <w:t>ORGANISATIONAL</w:t>
      </w:r>
      <w:r>
        <w:rPr>
          <w:color w:val="FFFFFF"/>
          <w:spacing w:val="-35"/>
          <w:w w:val="70"/>
          <w:shd w:fill="C10070" w:color="auto" w:val="clear"/>
        </w:rPr>
        <w:t> </w:t>
      </w:r>
      <w:r>
        <w:rPr>
          <w:color w:val="FFFFFF"/>
          <w:spacing w:val="-43"/>
          <w:w w:val="70"/>
          <w:shd w:fill="C10070" w:color="auto" w:val="clear"/>
        </w:rPr>
        <w:t>QUESTIONS</w:t>
      </w:r>
      <w:r>
        <w:rPr>
          <w:color w:val="FFFFFF"/>
          <w:spacing w:val="5"/>
          <w:w w:val="70"/>
          <w:shd w:fill="C10070" w:color="auto" w:val="clear"/>
        </w:rPr>
        <w:t> </w:t>
      </w:r>
      <w:r>
        <w:rPr>
          <w:color w:val="FFFFFF"/>
          <w:w w:val="70"/>
          <w:shd w:fill="C10070" w:color="auto" w:val="clear"/>
        </w:rPr>
        <w:t>–</w:t>
      </w:r>
      <w:r>
        <w:rPr>
          <w:color w:val="FFFFFF"/>
          <w:spacing w:val="-131"/>
          <w:w w:val="70"/>
          <w:shd w:fill="C10070" w:color="auto" w:val="clear"/>
        </w:rPr>
        <w:t> </w:t>
      </w:r>
      <w:r>
        <w:rPr>
          <w:color w:val="FFFFFF"/>
          <w:spacing w:val="-131"/>
          <w:w w:val="70"/>
        </w:rPr>
      </w:r>
      <w:r>
        <w:rPr>
          <w:color w:val="FFFFFF"/>
          <w:spacing w:val="-131"/>
          <w:w w:val="70"/>
        </w:rPr>
      </w:r>
      <w:r>
        <w:rPr>
          <w:color w:val="FFFFFF"/>
          <w:spacing w:val="-42"/>
          <w:w w:val="85"/>
          <w:shd w:fill="C10070" w:color="auto" w:val="clear"/>
        </w:rPr>
        <w:t>FOOD </w:t>
      </w:r>
      <w:r>
        <w:rPr>
          <w:color w:val="FFFFFF"/>
          <w:spacing w:val="-27"/>
          <w:w w:val="85"/>
          <w:shd w:fill="C10070" w:color="auto" w:val="clear"/>
        </w:rPr>
        <w:t>AND </w:t>
      </w:r>
      <w:r>
        <w:rPr>
          <w:color w:val="FFFFFF"/>
          <w:spacing w:val="-35"/>
          <w:w w:val="85"/>
          <w:shd w:fill="C10070" w:color="auto" w:val="clear"/>
        </w:rPr>
        <w:t>DRINK</w:t>
      </w:r>
      <w:r>
        <w:rPr>
          <w:color w:val="FFFFFF"/>
          <w:spacing w:val="-106"/>
          <w:w w:val="85"/>
          <w:shd w:fill="C10070" w:color="auto" w:val="clear"/>
        </w:rPr>
        <w:t> </w:t>
      </w:r>
      <w:r>
        <w:rPr>
          <w:color w:val="FFFFFF"/>
          <w:w w:val="85"/>
          <w:shd w:fill="C10070" w:color="auto" w:val="clear"/>
        </w:rPr>
        <w:t>–</w:t>
      </w:r>
      <w:r>
        <w:rPr>
          <w:color w:val="FFFFFF"/>
          <w:spacing w:val="22"/>
          <w:shd w:fill="C10070" w:color="auto" w:val="clear"/>
        </w:rPr>
        <w:t> </w:t>
      </w:r>
      <w:r>
        <w:rPr>
          <w:color w:val="FFFFFF"/>
          <w:spacing w:val="22"/>
        </w:rPr>
      </w:r>
      <w:r>
        <w:rPr>
          <w:color w:val="FFFFFF"/>
          <w:spacing w:val="22"/>
        </w:rPr>
        <w:t> </w:t>
      </w:r>
      <w:r>
        <w:rPr>
          <w:color w:val="FFFFFF"/>
          <w:spacing w:val="22"/>
          <w:w w:val="70"/>
        </w:rPr>
      </w:r>
      <w:r>
        <w:rPr>
          <w:color w:val="FFFFFF"/>
          <w:spacing w:val="-50"/>
          <w:w w:val="70"/>
          <w:shd w:fill="C10070" w:color="auto" w:val="clear"/>
        </w:rPr>
        <w:t>TREATMENT    </w:t>
      </w:r>
      <w:r>
        <w:rPr>
          <w:color w:val="FFFFFF"/>
          <w:spacing w:val="-48"/>
          <w:w w:val="70"/>
          <w:shd w:fill="C10070" w:color="auto" w:val="clear"/>
        </w:rPr>
        <w:t> </w:t>
      </w:r>
      <w:r>
        <w:rPr>
          <w:color w:val="FFFFFF"/>
          <w:spacing w:val="-41"/>
          <w:w w:val="70"/>
          <w:shd w:fill="C10070" w:color="auto" w:val="clear"/>
        </w:rPr>
        <w:t>CENTRES</w:t>
      </w:r>
      <w:r>
        <w:rPr>
          <w:color w:val="FFFFFF"/>
          <w:spacing w:val="-41"/>
          <w:w w:val="70"/>
        </w:rPr>
      </w:r>
      <w:r>
        <w:rPr>
          <w:b w:val="0"/>
          <w:bCs w:val="0"/>
          <w:spacing w:val="-41"/>
        </w:rPr>
      </w:r>
    </w:p>
    <w:p>
      <w:pPr>
        <w:spacing w:after="0" w:line="194" w:lineRule="auto"/>
        <w:jc w:val="left"/>
        <w:sectPr>
          <w:type w:val="continuous"/>
          <w:pgSz w:w="11910" w:h="16840"/>
          <w:pgMar w:top="1580" w:bottom="280" w:left="620" w:right="1680"/>
        </w:sectPr>
      </w:pPr>
    </w:p>
    <w:p>
      <w:pPr>
        <w:tabs>
          <w:tab w:pos="5838" w:val="left" w:leader="none"/>
        </w:tabs>
        <w:spacing w:before="52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pacing w:val="-3"/>
          <w:sz w:val="24"/>
        </w:rPr>
        <w:t>Ward</w:t>
      </w:r>
      <w:r>
        <w:rPr>
          <w:rFonts w:ascii="Arial"/>
          <w:b/>
          <w:color w:val="1A1A18"/>
          <w:spacing w:val="3"/>
          <w:sz w:val="24"/>
        </w:rPr>
        <w:t> </w:t>
      </w:r>
      <w:r>
        <w:rPr>
          <w:rFonts w:ascii="Arial"/>
          <w:b/>
          <w:color w:val="1A1A18"/>
          <w:sz w:val="24"/>
        </w:rPr>
        <w:t>name/type </w:t>
      </w:r>
      <w:r>
        <w:rPr>
          <w:rFonts w:ascii="Arial"/>
          <w:b/>
          <w:color w:val="1A1A18"/>
          <w:spacing w:val="24"/>
          <w:sz w:val="24"/>
        </w:rPr>
        <w:t> </w:t>
      </w:r>
      <w:r>
        <w:rPr>
          <w:rFonts w:ascii="Arial"/>
          <w:b/>
          <w:color w:val="1A1A18"/>
          <w:sz w:val="24"/>
          <w:u w:val="thick" w:color="191917"/>
        </w:rPr>
        <w:t> </w:t>
        <w:tab/>
      </w:r>
      <w:r>
        <w:rPr>
          <w:rFonts w:ascii="Arial"/>
          <w:b/>
          <w:color w:val="1A1A18"/>
          <w:sz w:val="24"/>
        </w:rPr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4"/>
        <w:gridCol w:w="1317"/>
      </w:tblGrid>
      <w:tr>
        <w:trPr>
          <w:trHeight w:val="1720" w:hRule="exact"/>
        </w:trPr>
        <w:tc>
          <w:tcPr>
            <w:tcW w:w="9154" w:type="dxa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66" w:lineRule="auto" w:before="29"/>
              <w:ind w:left="75" w:right="38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pacing w:val="-3"/>
                <w:sz w:val="22"/>
              </w:rPr>
              <w:t>Enter </w:t>
            </w:r>
            <w:r>
              <w:rPr>
                <w:rFonts w:ascii="Arial"/>
                <w:color w:val="1A1A18"/>
                <w:sz w:val="22"/>
              </w:rPr>
              <w:t>Y</w:t>
            </w:r>
            <w:r>
              <w:rPr>
                <w:rFonts w:ascii="Arial"/>
                <w:color w:val="1A1A18"/>
                <w:spacing w:val="-55"/>
                <w:sz w:val="22"/>
              </w:rPr>
              <w:t> </w:t>
            </w:r>
            <w:r>
              <w:rPr>
                <w:rFonts w:ascii="Arial"/>
                <w:color w:val="1A1A18"/>
                <w:spacing w:val="-55"/>
                <w:sz w:val="22"/>
              </w:rPr>
            </w:r>
            <w:r>
              <w:rPr>
                <w:rFonts w:ascii="Arial"/>
                <w:color w:val="1A1A18"/>
                <w:sz w:val="22"/>
              </w:rPr>
              <w:t>against</w:t>
            </w:r>
            <w:r>
              <w:rPr>
                <w:rFonts w:ascii="Arial"/>
                <w:color w:val="1A1A18"/>
                <w:sz w:val="22"/>
              </w:rPr>
              <w:t> ONE OPTION </w:t>
            </w:r>
            <w:r>
              <w:rPr>
                <w:rFonts w:ascii="Arial"/>
                <w:color w:val="1A1A18"/>
                <w:spacing w:val="-11"/>
                <w:sz w:val="22"/>
              </w:rPr>
              <w:t>ONLY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below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15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10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Patients </w:t>
            </w:r>
            <w:r>
              <w:rPr>
                <w:rFonts w:ascii="Arial"/>
                <w:color w:val="1A1A18"/>
                <w:sz w:val="24"/>
              </w:rPr>
              <w:t>can choose from a range of light meals and snacks, </w:t>
            </w:r>
            <w:r>
              <w:rPr>
                <w:rFonts w:ascii="Arial"/>
                <w:color w:val="1A1A18"/>
                <w:spacing w:val="-4"/>
                <w:sz w:val="24"/>
              </w:rPr>
              <w:t>e.g </w:t>
            </w:r>
            <w:r>
              <w:rPr>
                <w:rFonts w:ascii="Arial"/>
                <w:color w:val="1A1A18"/>
                <w:spacing w:val="-3"/>
                <w:sz w:val="24"/>
              </w:rPr>
              <w:t>baked potato,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pasta,</w:t>
            </w:r>
            <w:r>
              <w:rPr>
                <w:rFonts w:ascii="Arial"/>
                <w:color w:val="1A1A18"/>
                <w:sz w:val="24"/>
              </w:rPr>
              <w:t> salad, </w:t>
            </w:r>
            <w:r>
              <w:rPr>
                <w:rFonts w:ascii="Arial"/>
                <w:color w:val="1A1A18"/>
                <w:spacing w:val="-3"/>
                <w:sz w:val="24"/>
              </w:rPr>
              <w:t>toasted </w:t>
            </w:r>
            <w:r>
              <w:rPr>
                <w:rFonts w:ascii="Arial"/>
                <w:color w:val="1A1A18"/>
                <w:sz w:val="24"/>
              </w:rPr>
              <w:t>sandwich, cheese or beans on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toast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0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8"/>
              <w:ind w:left="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Patients can choose from a range of substantial snacks, </w:t>
            </w:r>
            <w:r>
              <w:rPr>
                <w:rFonts w:ascii="Arial"/>
                <w:color w:val="1A1A18"/>
                <w:spacing w:val="-3"/>
                <w:sz w:val="22"/>
              </w:rPr>
              <w:t>e.g </w:t>
            </w:r>
            <w:r>
              <w:rPr>
                <w:rFonts w:ascii="Arial"/>
                <w:color w:val="1A1A18"/>
                <w:sz w:val="22"/>
              </w:rPr>
              <w:t>sandwiches or filled rolls,</w:t>
            </w:r>
            <w:r>
              <w:rPr>
                <w:rFonts w:ascii="Arial"/>
                <w:color w:val="1A1A18"/>
                <w:spacing w:val="-40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toast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left="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with a range of</w:t>
            </w:r>
            <w:r>
              <w:rPr>
                <w:rFonts w:ascii="Arial"/>
                <w:color w:val="1A1A18"/>
                <w:spacing w:val="-12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toppings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8"/>
              <w:ind w:left="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Patients are offered a light snack, </w:t>
            </w:r>
            <w:r>
              <w:rPr>
                <w:rFonts w:ascii="Arial"/>
                <w:color w:val="1A1A18"/>
                <w:spacing w:val="-3"/>
                <w:sz w:val="22"/>
              </w:rPr>
              <w:t>e.g. </w:t>
            </w:r>
            <w:r>
              <w:rPr>
                <w:rFonts w:ascii="Arial"/>
                <w:color w:val="1A1A18"/>
                <w:sz w:val="22"/>
              </w:rPr>
              <w:t>cheese and biscuits, sweet biscuits,</w:t>
            </w:r>
            <w:r>
              <w:rPr>
                <w:rFonts w:ascii="Arial"/>
                <w:color w:val="1A1A18"/>
                <w:spacing w:val="-37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confectionery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8"/>
              <w:ind w:left="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There is no food</w:t>
            </w:r>
            <w:r>
              <w:rPr>
                <w:rFonts w:ascii="Arial"/>
                <w:color w:val="1A1A18"/>
                <w:spacing w:val="-21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available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72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66" w:lineRule="auto" w:before="28"/>
              <w:ind w:left="75" w:right="38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pacing w:val="-3"/>
                <w:sz w:val="22"/>
              </w:rPr>
              <w:t>Enter </w:t>
            </w:r>
            <w:r>
              <w:rPr>
                <w:rFonts w:ascii="Arial"/>
                <w:color w:val="1A1A18"/>
                <w:sz w:val="22"/>
              </w:rPr>
              <w:t>Y</w:t>
            </w:r>
            <w:r>
              <w:rPr>
                <w:rFonts w:ascii="Arial"/>
                <w:color w:val="1A1A18"/>
                <w:spacing w:val="-55"/>
                <w:sz w:val="22"/>
              </w:rPr>
              <w:t> </w:t>
            </w:r>
            <w:r>
              <w:rPr>
                <w:rFonts w:ascii="Arial"/>
                <w:color w:val="1A1A18"/>
                <w:spacing w:val="-55"/>
                <w:sz w:val="22"/>
              </w:rPr>
            </w:r>
            <w:r>
              <w:rPr>
                <w:rFonts w:ascii="Arial"/>
                <w:color w:val="1A1A18"/>
                <w:sz w:val="22"/>
              </w:rPr>
              <w:t>against</w:t>
            </w:r>
            <w:r>
              <w:rPr>
                <w:rFonts w:ascii="Arial"/>
                <w:color w:val="1A1A18"/>
                <w:sz w:val="22"/>
              </w:rPr>
              <w:t> ONE OPTION </w:t>
            </w:r>
            <w:r>
              <w:rPr>
                <w:rFonts w:ascii="Arial"/>
                <w:color w:val="1A1A18"/>
                <w:spacing w:val="-11"/>
                <w:sz w:val="22"/>
              </w:rPr>
              <w:t>ONLY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below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88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66" w:lineRule="auto" w:before="29"/>
              <w:ind w:left="75" w:right="75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Patients can choose from a range of tea and coffee (including decaffeinated</w:t>
            </w:r>
            <w:r>
              <w:rPr>
                <w:rFonts w:ascii="Arial"/>
                <w:color w:val="1A1A18"/>
                <w:spacing w:val="-15"/>
                <w:sz w:val="22"/>
              </w:rPr>
              <w:t> </w:t>
            </w:r>
            <w:r>
              <w:rPr>
                <w:rFonts w:ascii="Arial"/>
                <w:color w:val="1A1A18"/>
                <w:spacing w:val="-3"/>
                <w:sz w:val="22"/>
              </w:rPr>
              <w:t>versions)</w:t>
            </w:r>
            <w:r>
              <w:rPr>
                <w:rFonts w:ascii="Arial"/>
                <w:color w:val="1A1A18"/>
                <w:sz w:val="22"/>
              </w:rPr>
              <w:t> and 2 other hot and/or cold drinks, for example herbal teas, fruit-based drinks</w:t>
            </w:r>
            <w:r>
              <w:rPr>
                <w:rFonts w:ascii="Arial"/>
                <w:color w:val="1A1A18"/>
                <w:spacing w:val="-31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and</w:t>
            </w:r>
            <w:r>
              <w:rPr>
                <w:rFonts w:ascii="Arial"/>
                <w:color w:val="1A1A18"/>
                <w:sz w:val="22"/>
              </w:rPr>
              <w:t> milk-based</w:t>
            </w:r>
            <w:r>
              <w:rPr>
                <w:rFonts w:ascii="Arial"/>
                <w:color w:val="1A1A18"/>
                <w:spacing w:val="-17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drinks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0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66" w:lineRule="auto" w:before="29"/>
              <w:ind w:left="74" w:right="10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Patients can choose from a range of tea and coffee (including decaffeinated </w:t>
            </w:r>
            <w:r>
              <w:rPr>
                <w:rFonts w:ascii="Arial"/>
                <w:color w:val="1A1A18"/>
                <w:spacing w:val="-3"/>
                <w:sz w:val="22"/>
              </w:rPr>
              <w:t>versions)</w:t>
            </w:r>
            <w:r>
              <w:rPr>
                <w:rFonts w:ascii="Arial"/>
                <w:color w:val="1A1A18"/>
                <w:spacing w:val="-13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and</w:t>
            </w:r>
            <w:r>
              <w:rPr>
                <w:rFonts w:ascii="Arial"/>
                <w:color w:val="1A1A18"/>
                <w:sz w:val="22"/>
              </w:rPr>
              <w:t> one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other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hot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or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cold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drink,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for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example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herbal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teas,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fruit-based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drinks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and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milk-based</w:t>
            </w:r>
            <w:r>
              <w:rPr>
                <w:rFonts w:ascii="Arial"/>
                <w:color w:val="1A1A18"/>
                <w:spacing w:val="-4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drinks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Patients can choose from a range of tea and coffee (including decaffeinated </w:t>
            </w:r>
            <w:r>
              <w:rPr>
                <w:rFonts w:ascii="Arial"/>
                <w:color w:val="1A1A18"/>
                <w:spacing w:val="-3"/>
                <w:sz w:val="22"/>
              </w:rPr>
              <w:t>versions)</w:t>
            </w:r>
            <w:r>
              <w:rPr>
                <w:rFonts w:ascii="Arial"/>
                <w:color w:val="1A1A18"/>
                <w:spacing w:val="-17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only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91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8"/>
              <w:ind w:left="7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A1A18"/>
                <w:sz w:val="22"/>
              </w:rPr>
              <w:t>Patients can choose from a range of tea and coffee </w:t>
            </w:r>
            <w:r>
              <w:rPr>
                <w:rFonts w:ascii="Arial"/>
                <w:color w:val="1A1A18"/>
                <w:spacing w:val="-3"/>
                <w:sz w:val="22"/>
              </w:rPr>
              <w:t>(excluding </w:t>
            </w:r>
            <w:r>
              <w:rPr>
                <w:rFonts w:ascii="Arial"/>
                <w:color w:val="1A1A18"/>
                <w:sz w:val="22"/>
              </w:rPr>
              <w:t>decaffeinated </w:t>
            </w:r>
            <w:r>
              <w:rPr>
                <w:rFonts w:ascii="Arial"/>
                <w:color w:val="1A1A18"/>
                <w:spacing w:val="-3"/>
                <w:sz w:val="22"/>
              </w:rPr>
              <w:t>versions)</w:t>
            </w:r>
            <w:r>
              <w:rPr>
                <w:rFonts w:ascii="Arial"/>
                <w:color w:val="1A1A18"/>
                <w:spacing w:val="-1"/>
                <w:sz w:val="22"/>
              </w:rPr>
              <w:t> </w:t>
            </w:r>
            <w:r>
              <w:rPr>
                <w:rFonts w:ascii="Arial"/>
                <w:color w:val="1A1A18"/>
                <w:sz w:val="22"/>
              </w:rPr>
              <w:t>only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1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10565" w:val="right" w:leader="none"/>
        </w:tabs>
        <w:spacing w:before="251"/>
        <w:ind w:left="1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A1A18"/>
          <w:sz w:val="18"/>
          <w:szCs w:val="18"/>
        </w:rPr>
        <w:t>Organisational questions – food and drink – Treatment</w:t>
      </w:r>
      <w:r>
        <w:rPr>
          <w:rFonts w:ascii="Arial" w:hAnsi="Arial" w:cs="Arial" w:eastAsia="Arial"/>
          <w:color w:val="1A1A18"/>
          <w:spacing w:val="1"/>
          <w:sz w:val="18"/>
          <w:szCs w:val="18"/>
        </w:rPr>
        <w:t> </w:t>
      </w:r>
      <w:r>
        <w:rPr>
          <w:rFonts w:ascii="Arial" w:hAnsi="Arial" w:cs="Arial" w:eastAsia="Arial"/>
          <w:color w:val="1A1A18"/>
          <w:sz w:val="18"/>
          <w:szCs w:val="18"/>
        </w:rPr>
        <w:t>Centres</w:t>
        <w:tab/>
        <w:t>2</w:t>
      </w:r>
      <w:r>
        <w:rPr>
          <w:rFonts w:ascii="Arial" w:hAnsi="Arial" w:cs="Arial" w:eastAsia="Arial"/>
          <w:sz w:val="18"/>
          <w:szCs w:val="18"/>
        </w:rPr>
      </w:r>
    </w:p>
    <w:sectPr>
      <w:pgSz w:w="11910" w:h="16840"/>
      <w:pgMar w:top="60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35"/>
      <w:ind w:left="100"/>
    </w:pPr>
    <w:rPr>
      <w:rFonts w:ascii="Cambria" w:hAnsi="Cambria" w:eastAsia="Cambria"/>
      <w:b/>
      <w:bCs/>
      <w:sz w:val="92"/>
      <w:szCs w:val="9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2015-02-06T10:54:19Z</dcterms:created>
  <dcterms:modified xsi:type="dcterms:W3CDTF">2015-02-06T10:54:19Z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2014-11-20T00:00:00Z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