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06" w:rsidRPr="00C20C74" w:rsidRDefault="00CF6901">
      <w:pPr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7B4273A" wp14:editId="75518AF9">
            <wp:simplePos x="0" y="0"/>
            <wp:positionH relativeFrom="page">
              <wp:posOffset>6047740</wp:posOffset>
            </wp:positionH>
            <wp:positionV relativeFrom="page">
              <wp:posOffset>504190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35" name="Picture 2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606" w:rsidRPr="00C20C74" w:rsidRDefault="00A20606" w:rsidP="00532F04">
      <w:pPr>
        <w:rPr>
          <w:rFonts w:ascii="Arial" w:hAnsi="Arial" w:cs="Arial"/>
        </w:rPr>
      </w:pPr>
    </w:p>
    <w:p w:rsidR="00A20606" w:rsidRPr="00C20C74" w:rsidRDefault="00CF6901" w:rsidP="00532F04">
      <w:pPr>
        <w:pStyle w:val="DHBodycopy"/>
        <w:rPr>
          <w:rFonts w:cs="Arial"/>
        </w:rPr>
      </w:pPr>
      <w:r w:rsidRPr="00CF6901">
        <w:rPr>
          <w:rFonts w:eastAsia="Times New Roman"/>
          <w:bCs/>
          <w:noProof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D676B" wp14:editId="3885628A">
                <wp:simplePos x="0" y="0"/>
                <wp:positionH relativeFrom="column">
                  <wp:posOffset>176530</wp:posOffset>
                </wp:positionH>
                <wp:positionV relativeFrom="paragraph">
                  <wp:posOffset>5429885</wp:posOffset>
                </wp:positionV>
                <wp:extent cx="6419850" cy="3324225"/>
                <wp:effectExtent l="0" t="0" r="0" b="0"/>
                <wp:wrapThrough wrapText="bothSides">
                  <wp:wrapPolygon edited="0">
                    <wp:start x="128" y="371"/>
                    <wp:lineTo x="128" y="21167"/>
                    <wp:lineTo x="21408" y="21167"/>
                    <wp:lineTo x="21408" y="371"/>
                    <wp:lineTo x="128" y="371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32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901" w:rsidRPr="00CF6901" w:rsidRDefault="0095362E" w:rsidP="00CF6901">
                            <w:pPr>
                              <w:pStyle w:val="DHTitle"/>
                              <w:spacing w:line="240" w:lineRule="auto"/>
                              <w:rPr>
                                <w:rFonts w:eastAsia="Times New Roman"/>
                                <w:bCs/>
                                <w:color w:val="0072C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color w:val="0072C6"/>
                                <w:sz w:val="64"/>
                                <w:szCs w:val="64"/>
                              </w:rPr>
                              <w:t>NHS Standard Contract</w:t>
                            </w:r>
                          </w:p>
                          <w:p w:rsidR="00CF6901" w:rsidRPr="00CF6901" w:rsidRDefault="00CF6901" w:rsidP="00CF6901">
                            <w:pPr>
                              <w:pStyle w:val="DHTitle"/>
                              <w:spacing w:line="240" w:lineRule="auto"/>
                              <w:rPr>
                                <w:rFonts w:eastAsia="Times New Roman"/>
                                <w:bCs/>
                                <w:color w:val="0072C6"/>
                                <w:sz w:val="64"/>
                                <w:szCs w:val="64"/>
                              </w:rPr>
                            </w:pPr>
                          </w:p>
                          <w:p w:rsidR="0095362E" w:rsidRPr="0095362E" w:rsidRDefault="0095362E" w:rsidP="0095362E">
                            <w:pPr>
                              <w:pStyle w:val="DHTitle"/>
                              <w:spacing w:line="240" w:lineRule="auto"/>
                              <w:rPr>
                                <w:rFonts w:eastAsia="Times New Roman"/>
                                <w:bCs/>
                                <w:color w:val="0072C6"/>
                                <w:sz w:val="64"/>
                                <w:szCs w:val="64"/>
                              </w:rPr>
                            </w:pPr>
                            <w:r w:rsidRPr="0095362E">
                              <w:rPr>
                                <w:rFonts w:eastAsia="Times New Roman"/>
                                <w:bCs/>
                                <w:color w:val="0072C6"/>
                                <w:sz w:val="64"/>
                                <w:szCs w:val="64"/>
                              </w:rPr>
                              <w:t>National Variation Agreement 2015/16</w:t>
                            </w:r>
                          </w:p>
                          <w:p w:rsidR="00CF6901" w:rsidRPr="00CE0B3C" w:rsidRDefault="0095362E" w:rsidP="0095362E">
                            <w:pPr>
                              <w:pStyle w:val="DHTitle"/>
                              <w:spacing w:line="240" w:lineRule="auto"/>
                              <w:rPr>
                                <w:rFonts w:eastAsia="Times New Roman"/>
                                <w:bCs/>
                                <w:color w:val="0072C6"/>
                                <w:sz w:val="64"/>
                                <w:szCs w:val="64"/>
                              </w:rPr>
                            </w:pPr>
                            <w:r w:rsidRPr="0095362E">
                              <w:rPr>
                                <w:rFonts w:eastAsia="Times New Roman"/>
                                <w:bCs/>
                                <w:color w:val="0072C6"/>
                                <w:sz w:val="64"/>
                                <w:szCs w:val="64"/>
                              </w:rPr>
                              <w:t>RTT waiting times for non-urgent</w:t>
                            </w:r>
                            <w:r>
                              <w:rPr>
                                <w:rFonts w:eastAsia="Times New Roman"/>
                                <w:bCs/>
                                <w:color w:val="0072C6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95362E">
                              <w:rPr>
                                <w:rFonts w:eastAsia="Times New Roman"/>
                                <w:bCs/>
                                <w:color w:val="0072C6"/>
                                <w:sz w:val="64"/>
                                <w:szCs w:val="64"/>
                              </w:rPr>
                              <w:t>consultant-led treatment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9pt;margin-top:427.55pt;width:505.5pt;height:26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T4sAIAALo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" filled="f" stroked="f">
                <v:textbox inset=",7.2pt,,7.2pt">
                  <w:txbxContent>
                    <w:p w:rsidR="00CF6901" w:rsidRPr="00CF6901" w:rsidRDefault="0095362E" w:rsidP="00CF6901">
                      <w:pPr>
                        <w:pStyle w:val="DHTitle"/>
                        <w:spacing w:line="240" w:lineRule="auto"/>
                        <w:rPr>
                          <w:rFonts w:eastAsia="Times New Roman"/>
                          <w:bCs/>
                          <w:color w:val="0072C6"/>
                          <w:sz w:val="64"/>
                          <w:szCs w:val="64"/>
                        </w:rPr>
                      </w:pPr>
                      <w:r>
                        <w:rPr>
                          <w:rFonts w:eastAsia="Times New Roman"/>
                          <w:bCs/>
                          <w:color w:val="0072C6"/>
                          <w:sz w:val="64"/>
                          <w:szCs w:val="64"/>
                        </w:rPr>
                        <w:t>NHS Standard Contract</w:t>
                      </w:r>
                    </w:p>
                    <w:p w:rsidR="00CF6901" w:rsidRPr="00CF6901" w:rsidRDefault="00CF6901" w:rsidP="00CF6901">
                      <w:pPr>
                        <w:pStyle w:val="DHTitle"/>
                        <w:spacing w:line="240" w:lineRule="auto"/>
                        <w:rPr>
                          <w:rFonts w:eastAsia="Times New Roman"/>
                          <w:bCs/>
                          <w:color w:val="0072C6"/>
                          <w:sz w:val="64"/>
                          <w:szCs w:val="64"/>
                        </w:rPr>
                      </w:pPr>
                    </w:p>
                    <w:p w:rsidR="0095362E" w:rsidRPr="0095362E" w:rsidRDefault="0095362E" w:rsidP="0095362E">
                      <w:pPr>
                        <w:pStyle w:val="DHTitle"/>
                        <w:spacing w:line="240" w:lineRule="auto"/>
                        <w:rPr>
                          <w:rFonts w:eastAsia="Times New Roman"/>
                          <w:bCs/>
                          <w:color w:val="0072C6"/>
                          <w:sz w:val="64"/>
                          <w:szCs w:val="64"/>
                        </w:rPr>
                      </w:pPr>
                      <w:r w:rsidRPr="0095362E">
                        <w:rPr>
                          <w:rFonts w:eastAsia="Times New Roman"/>
                          <w:bCs/>
                          <w:color w:val="0072C6"/>
                          <w:sz w:val="64"/>
                          <w:szCs w:val="64"/>
                        </w:rPr>
                        <w:t>National Variation Agreement 2015/16</w:t>
                      </w:r>
                    </w:p>
                    <w:p w:rsidR="00CF6901" w:rsidRPr="00CE0B3C" w:rsidRDefault="0095362E" w:rsidP="0095362E">
                      <w:pPr>
                        <w:pStyle w:val="DHTitle"/>
                        <w:spacing w:line="240" w:lineRule="auto"/>
                        <w:rPr>
                          <w:rFonts w:eastAsia="Times New Roman"/>
                          <w:bCs/>
                          <w:color w:val="0072C6"/>
                          <w:sz w:val="64"/>
                          <w:szCs w:val="64"/>
                        </w:rPr>
                      </w:pPr>
                      <w:r w:rsidRPr="0095362E">
                        <w:rPr>
                          <w:rFonts w:eastAsia="Times New Roman"/>
                          <w:bCs/>
                          <w:color w:val="0072C6"/>
                          <w:sz w:val="64"/>
                          <w:szCs w:val="64"/>
                        </w:rPr>
                        <w:t>RTT waiting times for non-urgent</w:t>
                      </w:r>
                      <w:r>
                        <w:rPr>
                          <w:rFonts w:eastAsia="Times New Roman"/>
                          <w:bCs/>
                          <w:color w:val="0072C6"/>
                          <w:sz w:val="64"/>
                          <w:szCs w:val="64"/>
                        </w:rPr>
                        <w:t xml:space="preserve"> </w:t>
                      </w:r>
                      <w:r w:rsidRPr="0095362E">
                        <w:rPr>
                          <w:rFonts w:eastAsia="Times New Roman"/>
                          <w:bCs/>
                          <w:color w:val="0072C6"/>
                          <w:sz w:val="64"/>
                          <w:szCs w:val="64"/>
                        </w:rPr>
                        <w:t>consultant-led treatment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20606" w:rsidRPr="00C20C74" w:rsidRDefault="00A20606" w:rsidP="00532F04">
      <w:pPr>
        <w:pStyle w:val="DHTitle"/>
        <w:rPr>
          <w:color w:val="003D80"/>
        </w:rPr>
      </w:pPr>
    </w:p>
    <w:p w:rsidR="00A20606" w:rsidRPr="00C20C74" w:rsidRDefault="00A20606" w:rsidP="00532F04">
      <w:pPr>
        <w:pStyle w:val="DHTitle"/>
        <w:rPr>
          <w:color w:val="003D80"/>
        </w:rPr>
      </w:pPr>
    </w:p>
    <w:p w:rsidR="00A20606" w:rsidRPr="00C20C74" w:rsidRDefault="00CF6901" w:rsidP="00532F04">
      <w:pPr>
        <w:pStyle w:val="DHTitle"/>
        <w:rPr>
          <w:color w:val="003D8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0222CD5" wp14:editId="6A1EEC60">
            <wp:simplePos x="0" y="0"/>
            <wp:positionH relativeFrom="page">
              <wp:posOffset>748030</wp:posOffset>
            </wp:positionH>
            <wp:positionV relativeFrom="page">
              <wp:posOffset>2166620</wp:posOffset>
            </wp:positionV>
            <wp:extent cx="6418580" cy="4850130"/>
            <wp:effectExtent l="0" t="0" r="1270" b="7620"/>
            <wp:wrapThrough wrapText="bothSides">
              <wp:wrapPolygon edited="0">
                <wp:start x="0" y="0"/>
                <wp:lineTo x="0" y="21549"/>
                <wp:lineTo x="21540" y="21549"/>
                <wp:lineTo x="21540" y="0"/>
                <wp:lineTo x="0" y="0"/>
              </wp:wrapPolygon>
            </wp:wrapThrough>
            <wp:docPr id="8" name="Picture 8" title="NHS patient - young 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aulward:Desktop:image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48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606" w:rsidRPr="00C20C74" w:rsidRDefault="00A20606" w:rsidP="00532F04">
      <w:pPr>
        <w:pStyle w:val="DHTitle"/>
        <w:rPr>
          <w:color w:val="003D80"/>
        </w:rPr>
      </w:pPr>
    </w:p>
    <w:p w:rsidR="00CF6901" w:rsidRDefault="00CF6901">
      <w:pPr>
        <w:spacing w:after="0"/>
        <w:rPr>
          <w:rFonts w:ascii="Arial" w:hAnsi="Arial"/>
          <w:b/>
          <w:color w:val="003D80"/>
          <w:sz w:val="60"/>
          <w:lang w:val="en-GB" w:eastAsia="en-US"/>
        </w:rPr>
      </w:pPr>
      <w:r>
        <w:rPr>
          <w:color w:val="003D80"/>
        </w:rPr>
        <w:br w:type="page"/>
      </w:r>
    </w:p>
    <w:p w:rsidR="00CF6901" w:rsidRPr="00CF6901" w:rsidRDefault="00CF6901" w:rsidP="00CF6901">
      <w:pPr>
        <w:spacing w:after="0"/>
        <w:rPr>
          <w:rFonts w:ascii="Arial" w:eastAsia="Times New Roman" w:hAnsi="Arial"/>
          <w:b/>
          <w:bCs/>
          <w:sz w:val="32"/>
          <w:szCs w:val="32"/>
          <w:lang w:val="en-GB" w:eastAsia="en-US"/>
        </w:rPr>
      </w:pPr>
      <w:r w:rsidRPr="00CF6901">
        <w:rPr>
          <w:rFonts w:ascii="Arial" w:eastAsia="Times New Roman" w:hAnsi="Arial"/>
          <w:b/>
          <w:bCs/>
          <w:sz w:val="32"/>
          <w:szCs w:val="32"/>
          <w:lang w:val="en-GB" w:eastAsia="en-US"/>
        </w:rPr>
        <w:lastRenderedPageBreak/>
        <w:t>NHS Standard Contract</w:t>
      </w:r>
    </w:p>
    <w:p w:rsidR="000F28C5" w:rsidRPr="000F28C5" w:rsidRDefault="000F28C5" w:rsidP="000F28C5">
      <w:pPr>
        <w:spacing w:after="0"/>
        <w:rPr>
          <w:rFonts w:ascii="Arial" w:eastAsia="Times New Roman" w:hAnsi="Arial"/>
          <w:b/>
          <w:bCs/>
          <w:sz w:val="28"/>
          <w:szCs w:val="28"/>
          <w:lang w:val="en-GB" w:eastAsia="en-US"/>
        </w:rPr>
      </w:pPr>
    </w:p>
    <w:p w:rsidR="000F28C5" w:rsidRPr="000F28C5" w:rsidRDefault="000F28C5" w:rsidP="000F28C5">
      <w:pPr>
        <w:spacing w:after="0"/>
        <w:rPr>
          <w:rFonts w:ascii="Arial" w:eastAsia="Times New Roman" w:hAnsi="Arial"/>
          <w:b/>
          <w:bCs/>
          <w:sz w:val="28"/>
          <w:szCs w:val="28"/>
          <w:lang w:val="en-GB" w:eastAsia="en-US"/>
        </w:rPr>
      </w:pPr>
      <w:r w:rsidRPr="000F28C5">
        <w:rPr>
          <w:rFonts w:ascii="Arial" w:eastAsia="Times New Roman" w:hAnsi="Arial"/>
          <w:b/>
          <w:bCs/>
          <w:sz w:val="28"/>
          <w:szCs w:val="28"/>
          <w:lang w:val="en-GB" w:eastAsia="en-US"/>
        </w:rPr>
        <w:t>National Variation Agreement 2015/16</w:t>
      </w:r>
    </w:p>
    <w:p w:rsidR="000F28C5" w:rsidRPr="000F28C5" w:rsidRDefault="000F28C5" w:rsidP="000F28C5">
      <w:pPr>
        <w:spacing w:after="0"/>
        <w:rPr>
          <w:rFonts w:ascii="Arial" w:eastAsia="Times New Roman" w:hAnsi="Arial"/>
          <w:b/>
          <w:bCs/>
          <w:sz w:val="28"/>
          <w:szCs w:val="28"/>
          <w:lang w:val="en-GB" w:eastAsia="en-US"/>
        </w:rPr>
      </w:pPr>
      <w:r w:rsidRPr="000F28C5">
        <w:rPr>
          <w:rFonts w:ascii="Arial" w:eastAsia="Times New Roman" w:hAnsi="Arial"/>
          <w:b/>
          <w:bCs/>
          <w:sz w:val="28"/>
          <w:szCs w:val="28"/>
          <w:lang w:val="en-GB" w:eastAsia="en-US"/>
        </w:rPr>
        <w:t>RTT waiting times for non-urgent consultant-led treatment</w:t>
      </w:r>
    </w:p>
    <w:p w:rsidR="00CF6901" w:rsidRPr="00CF6901" w:rsidRDefault="00CF6901" w:rsidP="00CF6901">
      <w:pPr>
        <w:spacing w:after="0"/>
        <w:rPr>
          <w:rFonts w:ascii="Arial" w:eastAsia="Times New Roman" w:hAnsi="Arial"/>
          <w:bCs/>
          <w:szCs w:val="26"/>
          <w:lang w:val="en-GB" w:eastAsia="en-US"/>
        </w:rPr>
      </w:pPr>
    </w:p>
    <w:p w:rsidR="00CF6901" w:rsidRPr="00CF6901" w:rsidRDefault="00CF6901" w:rsidP="00CF6901">
      <w:pPr>
        <w:spacing w:after="0"/>
        <w:rPr>
          <w:rFonts w:ascii="Arial" w:eastAsia="Times New Roman" w:hAnsi="Arial"/>
          <w:bCs/>
          <w:szCs w:val="26"/>
          <w:lang w:val="en-GB" w:eastAsia="en-US"/>
        </w:rPr>
      </w:pPr>
      <w:r w:rsidRPr="00CF6901">
        <w:rPr>
          <w:rFonts w:ascii="Arial" w:eastAsia="Times New Roman" w:hAnsi="Arial"/>
          <w:bCs/>
          <w:szCs w:val="26"/>
          <w:lang w:val="en-GB" w:eastAsia="en-US"/>
        </w:rPr>
        <w:t>Version number:</w:t>
      </w:r>
      <w:r w:rsidR="00B00266">
        <w:rPr>
          <w:rFonts w:ascii="Arial" w:eastAsia="Times New Roman" w:hAnsi="Arial"/>
          <w:bCs/>
          <w:szCs w:val="26"/>
          <w:lang w:val="en-GB" w:eastAsia="en-US"/>
        </w:rPr>
        <w:tab/>
      </w:r>
      <w:r w:rsidR="007C15B4">
        <w:rPr>
          <w:rFonts w:ascii="Arial" w:eastAsia="Times New Roman" w:hAnsi="Arial"/>
          <w:bCs/>
          <w:szCs w:val="26"/>
          <w:lang w:val="en-GB" w:eastAsia="en-US"/>
        </w:rPr>
        <w:t>1</w:t>
      </w:r>
    </w:p>
    <w:p w:rsidR="00CF6901" w:rsidRPr="00CF6901" w:rsidRDefault="00CF6901" w:rsidP="00CF6901">
      <w:pPr>
        <w:spacing w:after="0"/>
        <w:rPr>
          <w:rFonts w:ascii="Arial" w:eastAsia="Times New Roman" w:hAnsi="Arial"/>
          <w:bCs/>
          <w:szCs w:val="26"/>
          <w:lang w:val="en-GB" w:eastAsia="en-US"/>
        </w:rPr>
      </w:pPr>
    </w:p>
    <w:p w:rsidR="00CF6901" w:rsidRPr="00CF6901" w:rsidRDefault="00CF6901" w:rsidP="00CF6901">
      <w:pPr>
        <w:spacing w:after="0" w:line="320" w:lineRule="exact"/>
        <w:rPr>
          <w:rFonts w:ascii="Arial" w:hAnsi="Arial" w:cs="Arial"/>
          <w:lang w:val="en-GB" w:eastAsia="en-US"/>
        </w:rPr>
      </w:pPr>
      <w:r w:rsidRPr="00CF6901">
        <w:rPr>
          <w:rFonts w:ascii="Arial" w:hAnsi="Arial" w:cs="Arial"/>
          <w:lang w:val="en-GB" w:eastAsia="en-US"/>
        </w:rPr>
        <w:t>First published:</w:t>
      </w:r>
      <w:r w:rsidR="00B00266">
        <w:rPr>
          <w:rFonts w:ascii="Arial" w:hAnsi="Arial" w:cs="Arial"/>
          <w:lang w:val="en-GB" w:eastAsia="en-US"/>
        </w:rPr>
        <w:tab/>
      </w:r>
      <w:r w:rsidR="000F28C5">
        <w:rPr>
          <w:rFonts w:ascii="Arial" w:hAnsi="Arial" w:cs="Arial"/>
          <w:lang w:val="en-GB" w:eastAsia="en-US"/>
        </w:rPr>
        <w:t>August</w:t>
      </w:r>
      <w:r w:rsidRPr="00CF6901">
        <w:rPr>
          <w:rFonts w:ascii="Arial" w:hAnsi="Arial" w:cs="Arial"/>
          <w:lang w:val="en-GB" w:eastAsia="en-US"/>
        </w:rPr>
        <w:t xml:space="preserve"> 2015</w:t>
      </w:r>
    </w:p>
    <w:p w:rsidR="00CF6901" w:rsidRPr="00CF6901" w:rsidRDefault="00CF6901" w:rsidP="00CF6901">
      <w:pPr>
        <w:spacing w:after="0"/>
        <w:rPr>
          <w:rFonts w:ascii="Arial" w:eastAsia="Times New Roman" w:hAnsi="Arial"/>
          <w:bCs/>
          <w:szCs w:val="26"/>
          <w:lang w:val="en-GB" w:eastAsia="en-US"/>
        </w:rPr>
      </w:pPr>
    </w:p>
    <w:p w:rsidR="00CF6901" w:rsidRDefault="00CF6901" w:rsidP="00CF6901">
      <w:pPr>
        <w:spacing w:after="0"/>
        <w:rPr>
          <w:rFonts w:ascii="Arial" w:eastAsia="Times New Roman" w:hAnsi="Arial"/>
          <w:bCs/>
          <w:szCs w:val="26"/>
          <w:lang w:val="en-GB" w:eastAsia="en-US"/>
        </w:rPr>
      </w:pPr>
      <w:r w:rsidRPr="00CF6901">
        <w:rPr>
          <w:rFonts w:ascii="Arial" w:eastAsia="Times New Roman" w:hAnsi="Arial"/>
          <w:bCs/>
          <w:szCs w:val="26"/>
          <w:lang w:val="en-GB" w:eastAsia="en-US"/>
        </w:rPr>
        <w:t>Prepared by:</w:t>
      </w:r>
      <w:r w:rsidR="00B00266">
        <w:rPr>
          <w:rFonts w:ascii="Arial" w:eastAsia="Times New Roman" w:hAnsi="Arial"/>
          <w:bCs/>
          <w:szCs w:val="26"/>
          <w:lang w:val="en-GB" w:eastAsia="en-US"/>
        </w:rPr>
        <w:tab/>
      </w:r>
      <w:r w:rsidR="00B00266">
        <w:rPr>
          <w:rFonts w:ascii="Arial" w:eastAsia="Times New Roman" w:hAnsi="Arial"/>
          <w:bCs/>
          <w:szCs w:val="26"/>
          <w:lang w:val="en-GB" w:eastAsia="en-US"/>
        </w:rPr>
        <w:tab/>
      </w:r>
      <w:r w:rsidR="00DF073E">
        <w:rPr>
          <w:rFonts w:ascii="Arial" w:eastAsia="Times New Roman" w:hAnsi="Arial"/>
          <w:bCs/>
          <w:szCs w:val="26"/>
          <w:lang w:val="en-GB" w:eastAsia="en-US"/>
        </w:rPr>
        <w:t>NHS Standard Contract Team</w:t>
      </w:r>
    </w:p>
    <w:p w:rsidR="008C7928" w:rsidRPr="00CF6901" w:rsidRDefault="008C7928" w:rsidP="00CF6901">
      <w:pPr>
        <w:spacing w:after="0"/>
        <w:rPr>
          <w:rFonts w:ascii="Arial" w:eastAsia="Times New Roman" w:hAnsi="Arial"/>
          <w:bCs/>
          <w:szCs w:val="26"/>
          <w:lang w:val="en-GB" w:eastAsia="en-US"/>
        </w:rPr>
      </w:pPr>
      <w:r>
        <w:rPr>
          <w:rFonts w:ascii="Arial" w:eastAsia="Times New Roman" w:hAnsi="Arial"/>
          <w:bCs/>
          <w:szCs w:val="26"/>
          <w:lang w:val="en-GB" w:eastAsia="en-US"/>
        </w:rPr>
        <w:tab/>
      </w:r>
      <w:r>
        <w:rPr>
          <w:rFonts w:ascii="Arial" w:eastAsia="Times New Roman" w:hAnsi="Arial"/>
          <w:bCs/>
          <w:szCs w:val="26"/>
          <w:lang w:val="en-GB" w:eastAsia="en-US"/>
        </w:rPr>
        <w:tab/>
      </w:r>
      <w:r>
        <w:rPr>
          <w:rFonts w:ascii="Arial" w:eastAsia="Times New Roman" w:hAnsi="Arial"/>
          <w:bCs/>
          <w:szCs w:val="26"/>
          <w:lang w:val="en-GB" w:eastAsia="en-US"/>
        </w:rPr>
        <w:tab/>
        <w:t>nhscb.contractshelp@nhs.net</w:t>
      </w:r>
    </w:p>
    <w:p w:rsidR="00CF6901" w:rsidRPr="00CF6901" w:rsidRDefault="00CF6901" w:rsidP="00CF6901">
      <w:pPr>
        <w:spacing w:after="0"/>
        <w:rPr>
          <w:rFonts w:ascii="Arial" w:eastAsia="Times New Roman" w:hAnsi="Arial"/>
          <w:bCs/>
          <w:szCs w:val="26"/>
          <w:lang w:val="en-GB" w:eastAsia="en-US"/>
        </w:rPr>
      </w:pPr>
    </w:p>
    <w:p w:rsidR="00CF6901" w:rsidRPr="00CF6901" w:rsidRDefault="00B00266" w:rsidP="00CF6901">
      <w:pPr>
        <w:spacing w:after="0"/>
        <w:rPr>
          <w:rFonts w:ascii="Arial" w:eastAsia="Times New Roman" w:hAnsi="Arial"/>
          <w:bCs/>
          <w:szCs w:val="26"/>
          <w:lang w:val="en-GB" w:eastAsia="en-US"/>
        </w:rPr>
      </w:pPr>
      <w:r>
        <w:rPr>
          <w:rFonts w:ascii="Arial" w:eastAsia="Times New Roman" w:hAnsi="Arial"/>
          <w:bCs/>
          <w:szCs w:val="26"/>
          <w:lang w:val="en-GB" w:eastAsia="en-US"/>
        </w:rPr>
        <w:t>Classification:</w:t>
      </w:r>
      <w:r>
        <w:rPr>
          <w:rFonts w:ascii="Arial" w:eastAsia="Times New Roman" w:hAnsi="Arial"/>
          <w:bCs/>
          <w:szCs w:val="26"/>
          <w:lang w:val="en-GB" w:eastAsia="en-US"/>
        </w:rPr>
        <w:tab/>
      </w:r>
      <w:r w:rsidR="00CF6901" w:rsidRPr="00CF6901">
        <w:rPr>
          <w:rFonts w:ascii="Arial" w:eastAsia="Times New Roman" w:hAnsi="Arial"/>
          <w:bCs/>
          <w:szCs w:val="26"/>
          <w:lang w:val="en-GB" w:eastAsia="en-US"/>
        </w:rPr>
        <w:t>Official</w:t>
      </w:r>
    </w:p>
    <w:p w:rsidR="00A20606" w:rsidRDefault="00A20606" w:rsidP="00532F04">
      <w:pPr>
        <w:pStyle w:val="DHBodycopy"/>
        <w:rPr>
          <w:rFonts w:cs="Arial"/>
        </w:rPr>
      </w:pPr>
    </w:p>
    <w:p w:rsidR="00E53CC5" w:rsidRPr="00C20C74" w:rsidRDefault="00E53CC5" w:rsidP="00532F04">
      <w:pPr>
        <w:pStyle w:val="DHBodycopy"/>
        <w:rPr>
          <w:rFonts w:cs="Arial"/>
        </w:rPr>
      </w:pPr>
      <w:r w:rsidRPr="009714B3">
        <w:rPr>
          <w:rFonts w:eastAsia="Times New Roman"/>
          <w:bCs/>
          <w:szCs w:val="26"/>
        </w:rPr>
        <w:t>Publ</w:t>
      </w:r>
      <w:r>
        <w:rPr>
          <w:rFonts w:eastAsia="Times New Roman"/>
          <w:bCs/>
          <w:szCs w:val="26"/>
        </w:rPr>
        <w:t>ications Gateway Reference:</w:t>
      </w:r>
      <w:r>
        <w:rPr>
          <w:rFonts w:eastAsia="Times New Roman"/>
          <w:bCs/>
          <w:szCs w:val="26"/>
        </w:rPr>
        <w:tab/>
      </w:r>
      <w:r>
        <w:rPr>
          <w:rFonts w:eastAsia="Times New Roman"/>
          <w:bCs/>
          <w:szCs w:val="26"/>
        </w:rPr>
        <w:tab/>
      </w:r>
      <w:r>
        <w:rPr>
          <w:rFonts w:eastAsia="Times New Roman"/>
          <w:bCs/>
          <w:szCs w:val="26"/>
        </w:rPr>
        <w:t>03962</w:t>
      </w:r>
      <w:bookmarkStart w:id="0" w:name="_GoBack"/>
      <w:bookmarkEnd w:id="0"/>
    </w:p>
    <w:p w:rsidR="00A20606" w:rsidRPr="00C20C74" w:rsidRDefault="00A20606" w:rsidP="00BE4531">
      <w:pPr>
        <w:pStyle w:val="Heading1"/>
        <w:spacing w:line="240" w:lineRule="auto"/>
        <w:ind w:left="432" w:hanging="432"/>
      </w:pPr>
      <w:r w:rsidRPr="00C20C74">
        <w:br w:type="page"/>
      </w:r>
      <w:bookmarkStart w:id="1" w:name="_Toc150919533"/>
      <w:r w:rsidRPr="00A4026D">
        <w:rPr>
          <w:rFonts w:eastAsia="Times New Roman" w:cs="Arial"/>
          <w:bCs/>
          <w:color w:val="0072C6"/>
          <w:kern w:val="32"/>
          <w:sz w:val="32"/>
          <w:szCs w:val="32"/>
        </w:rPr>
        <w:lastRenderedPageBreak/>
        <w:t>Executive summary</w:t>
      </w:r>
      <w:bookmarkEnd w:id="1"/>
    </w:p>
    <w:p w:rsidR="00A20606" w:rsidRPr="00C20C74" w:rsidRDefault="00A20606" w:rsidP="00532F04">
      <w:pPr>
        <w:pStyle w:val="DHBodycopy"/>
        <w:rPr>
          <w:rFonts w:cs="Arial"/>
        </w:rPr>
      </w:pPr>
    </w:p>
    <w:p w:rsidR="00ED3C58" w:rsidRDefault="00ED3C58" w:rsidP="00ED3C58">
      <w:pPr>
        <w:pStyle w:val="DHBodycopy"/>
        <w:rPr>
          <w:rFonts w:eastAsia="Calibri" w:cs="Arial"/>
          <w:szCs w:val="24"/>
        </w:rPr>
      </w:pPr>
      <w:r w:rsidRPr="00C52D44">
        <w:rPr>
          <w:rFonts w:eastAsia="Calibri" w:cs="Arial"/>
          <w:szCs w:val="24"/>
        </w:rPr>
        <w:t>This</w:t>
      </w:r>
      <w:r>
        <w:rPr>
          <w:rFonts w:eastAsia="Calibri" w:cs="Arial"/>
          <w:szCs w:val="24"/>
        </w:rPr>
        <w:t xml:space="preserve"> document provides </w:t>
      </w:r>
      <w:r w:rsidR="002313CD">
        <w:rPr>
          <w:rFonts w:eastAsia="Calibri" w:cs="Arial"/>
          <w:szCs w:val="24"/>
        </w:rPr>
        <w:t>guidance</w:t>
      </w:r>
      <w:r>
        <w:rPr>
          <w:rFonts w:eastAsia="Calibri" w:cs="Arial"/>
          <w:szCs w:val="24"/>
        </w:rPr>
        <w:t xml:space="preserve"> </w:t>
      </w:r>
      <w:r w:rsidRPr="00C52D44">
        <w:rPr>
          <w:rFonts w:eastAsia="Calibri" w:cs="Arial"/>
          <w:szCs w:val="24"/>
        </w:rPr>
        <w:t xml:space="preserve">on the completion of the National Variation to existing contracts in 2015/16 form, to effect the </w:t>
      </w:r>
      <w:r>
        <w:rPr>
          <w:rFonts w:eastAsia="Calibri" w:cs="Arial"/>
          <w:szCs w:val="24"/>
        </w:rPr>
        <w:t xml:space="preserve">in-year National Variation to the NHS Standard Contract in relation to the financial sanctions which apply to 18-week Referral to Treatment (RTT) standards.  The National Variation is available at Appendix A below and </w:t>
      </w:r>
      <w:r w:rsidR="002313CD">
        <w:rPr>
          <w:rFonts w:eastAsia="Calibri" w:cs="Arial"/>
          <w:szCs w:val="24"/>
        </w:rPr>
        <w:t xml:space="preserve">takes </w:t>
      </w:r>
      <w:r>
        <w:rPr>
          <w:rFonts w:eastAsia="Calibri" w:cs="Arial"/>
          <w:szCs w:val="24"/>
        </w:rPr>
        <w:t>effect</w:t>
      </w:r>
      <w:r w:rsidR="002313CD">
        <w:rPr>
          <w:rFonts w:eastAsia="Calibri" w:cs="Arial"/>
          <w:szCs w:val="24"/>
        </w:rPr>
        <w:t xml:space="preserve"> </w:t>
      </w:r>
      <w:r w:rsidR="00582C00">
        <w:rPr>
          <w:rFonts w:eastAsia="Calibri" w:cs="Arial"/>
          <w:szCs w:val="24"/>
        </w:rPr>
        <w:t>in two stages, as set out in the National Variation</w:t>
      </w:r>
      <w:r>
        <w:rPr>
          <w:rFonts w:eastAsia="Calibri" w:cs="Arial"/>
          <w:szCs w:val="24"/>
        </w:rPr>
        <w:t>.</w:t>
      </w:r>
    </w:p>
    <w:p w:rsidR="00ED3C58" w:rsidRDefault="00ED3C58" w:rsidP="00ED3C58">
      <w:pPr>
        <w:pStyle w:val="DHBodycopy"/>
        <w:rPr>
          <w:rFonts w:eastAsia="Calibri" w:cs="Arial"/>
          <w:szCs w:val="24"/>
        </w:rPr>
      </w:pPr>
    </w:p>
    <w:p w:rsidR="00ED3C58" w:rsidRDefault="00ED3C58" w:rsidP="00ED3C58">
      <w:pPr>
        <w:pStyle w:val="DHBodycopy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Publication of this guidance an</w:t>
      </w:r>
      <w:r w:rsidR="002313CD">
        <w:rPr>
          <w:rFonts w:eastAsia="Calibri" w:cs="Arial"/>
          <w:szCs w:val="24"/>
        </w:rPr>
        <w:t>d the National Variation follows</w:t>
      </w:r>
      <w:r>
        <w:rPr>
          <w:rFonts w:eastAsia="Calibri" w:cs="Arial"/>
          <w:szCs w:val="24"/>
        </w:rPr>
        <w:t xml:space="preserve"> the </w:t>
      </w:r>
      <w:hyperlink r:id="rId11" w:history="1">
        <w:r w:rsidRPr="00C52D44">
          <w:rPr>
            <w:rStyle w:val="Hyperlink"/>
            <w:rFonts w:eastAsia="Calibri" w:cs="Arial"/>
            <w:szCs w:val="24"/>
          </w:rPr>
          <w:t>consultation process</w:t>
        </w:r>
      </w:hyperlink>
      <w:r>
        <w:rPr>
          <w:rFonts w:eastAsia="Calibri" w:cs="Arial"/>
          <w:szCs w:val="24"/>
        </w:rPr>
        <w:t xml:space="preserve"> completed in July 2015.</w:t>
      </w:r>
    </w:p>
    <w:p w:rsidR="0036667B" w:rsidRPr="0036667B" w:rsidRDefault="0036667B" w:rsidP="0036667B">
      <w:pPr>
        <w:pStyle w:val="DHBodycopy"/>
        <w:rPr>
          <w:rFonts w:cs="Arial"/>
          <w:b/>
          <w:bCs/>
        </w:rPr>
        <w:sectPr w:rsidR="0036667B" w:rsidRPr="0036667B" w:rsidSect="00CF6901">
          <w:headerReference w:type="default" r:id="rId12"/>
          <w:footerReference w:type="default" r:id="rId13"/>
          <w:pgSz w:w="11906" w:h="16838"/>
          <w:pgMar w:top="1701" w:right="907" w:bottom="1134" w:left="907" w:header="720" w:footer="720" w:gutter="0"/>
          <w:cols w:space="720"/>
          <w:formProt w:val="0"/>
          <w:titlePg/>
          <w:docGrid w:linePitch="326"/>
        </w:sectPr>
      </w:pPr>
    </w:p>
    <w:p w:rsidR="00A4026D" w:rsidRDefault="00A4026D" w:rsidP="00A4026D">
      <w:pPr>
        <w:pStyle w:val="Heading2"/>
        <w:ind w:left="576" w:hanging="576"/>
      </w:pPr>
      <w:bookmarkStart w:id="2" w:name="_Toc287468620"/>
      <w:bookmarkStart w:id="3" w:name="_Toc349316937"/>
    </w:p>
    <w:p w:rsidR="00A20606" w:rsidRPr="00A4026D" w:rsidRDefault="00A20606" w:rsidP="00A4026D">
      <w:pPr>
        <w:pStyle w:val="Heading2"/>
        <w:ind w:left="576" w:hanging="576"/>
      </w:pPr>
      <w:r w:rsidRPr="00A4026D">
        <w:t>Introduction</w:t>
      </w:r>
      <w:bookmarkEnd w:id="2"/>
      <w:bookmarkEnd w:id="3"/>
    </w:p>
    <w:p w:rsidR="00ED3C58" w:rsidRDefault="00ED3C58" w:rsidP="00ED3C58">
      <w:pPr>
        <w:pStyle w:val="PDNumberedPara"/>
        <w:numPr>
          <w:ilvl w:val="1"/>
          <w:numId w:val="0"/>
        </w:numPr>
        <w:tabs>
          <w:tab w:val="num" w:pos="0"/>
        </w:tabs>
        <w:spacing w:after="0"/>
        <w:outlineLvl w:val="9"/>
        <w:rPr>
          <w:szCs w:val="24"/>
        </w:rPr>
      </w:pPr>
      <w:bookmarkStart w:id="4" w:name="_Toc287468513"/>
      <w:bookmarkStart w:id="5" w:name="_Toc184439760"/>
      <w:bookmarkStart w:id="6" w:name="_Toc185142763"/>
      <w:bookmarkStart w:id="7" w:name="_Toc150328232"/>
      <w:r>
        <w:rPr>
          <w:szCs w:val="24"/>
        </w:rPr>
        <w:t>This guidance is relevant to commissioners and providers who are parties to an existing commissioning contract which:</w:t>
      </w:r>
    </w:p>
    <w:p w:rsidR="00ED3C58" w:rsidRDefault="00ED3C58" w:rsidP="00ED3C58">
      <w:pPr>
        <w:pStyle w:val="PDNumberedPara"/>
        <w:numPr>
          <w:ilvl w:val="1"/>
          <w:numId w:val="0"/>
        </w:numPr>
        <w:tabs>
          <w:tab w:val="num" w:pos="0"/>
        </w:tabs>
        <w:spacing w:after="0"/>
        <w:outlineLvl w:val="9"/>
        <w:rPr>
          <w:rFonts w:eastAsia="Calibri"/>
          <w:szCs w:val="24"/>
        </w:rPr>
      </w:pPr>
    </w:p>
    <w:p w:rsidR="00ED3C58" w:rsidRDefault="00ED3C58" w:rsidP="00ED3C58">
      <w:pPr>
        <w:pStyle w:val="PDNumberedPara"/>
        <w:numPr>
          <w:ilvl w:val="0"/>
          <w:numId w:val="13"/>
        </w:numPr>
        <w:spacing w:after="0"/>
        <w:outlineLvl w:val="9"/>
        <w:rPr>
          <w:szCs w:val="24"/>
        </w:rPr>
      </w:pPr>
      <w:r>
        <w:rPr>
          <w:rFonts w:eastAsia="Calibri"/>
          <w:szCs w:val="24"/>
        </w:rPr>
        <w:t>includes the 18-week Referral to Treatment (RTT) standards</w:t>
      </w:r>
    </w:p>
    <w:p w:rsidR="00ED3C58" w:rsidRDefault="00ED3C58" w:rsidP="00ED3C58">
      <w:pPr>
        <w:pStyle w:val="PDNumberedPara"/>
        <w:numPr>
          <w:ilvl w:val="0"/>
          <w:numId w:val="13"/>
        </w:numPr>
        <w:spacing w:after="0"/>
        <w:outlineLvl w:val="9"/>
        <w:rPr>
          <w:szCs w:val="24"/>
        </w:rPr>
      </w:pPr>
      <w:r>
        <w:rPr>
          <w:szCs w:val="24"/>
        </w:rPr>
        <w:t>extends beyond 1 October 2015</w:t>
      </w:r>
    </w:p>
    <w:p w:rsidR="00A20606" w:rsidRDefault="00A20606" w:rsidP="002041F9">
      <w:pPr>
        <w:pStyle w:val="PDNumberedPara"/>
        <w:numPr>
          <w:ilvl w:val="1"/>
          <w:numId w:val="0"/>
        </w:numPr>
        <w:tabs>
          <w:tab w:val="num" w:pos="0"/>
        </w:tabs>
        <w:spacing w:after="0"/>
        <w:outlineLvl w:val="9"/>
        <w:rPr>
          <w:szCs w:val="24"/>
        </w:rPr>
      </w:pPr>
    </w:p>
    <w:p w:rsidR="005830F8" w:rsidRDefault="002313CD" w:rsidP="002041F9">
      <w:pPr>
        <w:pStyle w:val="PDNumberedPara"/>
        <w:numPr>
          <w:ilvl w:val="1"/>
          <w:numId w:val="0"/>
        </w:numPr>
        <w:tabs>
          <w:tab w:val="num" w:pos="0"/>
        </w:tabs>
        <w:spacing w:after="0"/>
        <w:outlineLvl w:val="9"/>
        <w:rPr>
          <w:szCs w:val="24"/>
        </w:rPr>
      </w:pPr>
      <w:r>
        <w:rPr>
          <w:szCs w:val="24"/>
        </w:rPr>
        <w:t xml:space="preserve">This guidance is not relevant to </w:t>
      </w:r>
      <w:r w:rsidR="005830F8">
        <w:rPr>
          <w:szCs w:val="24"/>
        </w:rPr>
        <w:t>contracts commencing on or after 1 October 2015</w:t>
      </w:r>
      <w:r w:rsidR="002651A4">
        <w:rPr>
          <w:szCs w:val="24"/>
        </w:rPr>
        <w:t xml:space="preserve"> and before 1 April 2016</w:t>
      </w:r>
      <w:r>
        <w:rPr>
          <w:szCs w:val="24"/>
        </w:rPr>
        <w:t xml:space="preserve">.  For such contracts, </w:t>
      </w:r>
      <w:r w:rsidR="004A7575">
        <w:rPr>
          <w:szCs w:val="24"/>
        </w:rPr>
        <w:t xml:space="preserve">the </w:t>
      </w:r>
      <w:r w:rsidR="005830F8">
        <w:rPr>
          <w:szCs w:val="24"/>
        </w:rPr>
        <w:t>updated Particulars</w:t>
      </w:r>
      <w:r w:rsidR="004A7575">
        <w:rPr>
          <w:szCs w:val="24"/>
        </w:rPr>
        <w:t xml:space="preserve"> (published August 2015)</w:t>
      </w:r>
      <w:r w:rsidR="005830F8">
        <w:rPr>
          <w:szCs w:val="24"/>
        </w:rPr>
        <w:t xml:space="preserve"> incorporating the RTT changes </w:t>
      </w:r>
      <w:r w:rsidR="004A7575">
        <w:rPr>
          <w:szCs w:val="24"/>
        </w:rPr>
        <w:t>must be used.  Th</w:t>
      </w:r>
      <w:r>
        <w:rPr>
          <w:szCs w:val="24"/>
        </w:rPr>
        <w:t>e updated Particulars are</w:t>
      </w:r>
      <w:r w:rsidR="005830F8">
        <w:rPr>
          <w:szCs w:val="24"/>
        </w:rPr>
        <w:t xml:space="preserve"> available on the NHS Standard Contract </w:t>
      </w:r>
      <w:hyperlink r:id="rId14" w:history="1">
        <w:r w:rsidR="005830F8" w:rsidRPr="005830F8">
          <w:rPr>
            <w:rStyle w:val="Hyperlink"/>
            <w:rFonts w:cs="Arial"/>
            <w:szCs w:val="24"/>
          </w:rPr>
          <w:t>2015/16 webpage</w:t>
        </w:r>
      </w:hyperlink>
      <w:r w:rsidR="007530A4">
        <w:rPr>
          <w:rStyle w:val="Hyperlink"/>
          <w:rFonts w:cs="Arial"/>
          <w:szCs w:val="24"/>
        </w:rPr>
        <w:t xml:space="preserve"> or via the NHS Standard Contract </w:t>
      </w:r>
      <w:hyperlink r:id="rId15" w:history="1">
        <w:proofErr w:type="spellStart"/>
        <w:r w:rsidR="007530A4" w:rsidRPr="00505AC5">
          <w:rPr>
            <w:rStyle w:val="Hyperlink"/>
            <w:rFonts w:cs="Arial"/>
            <w:szCs w:val="24"/>
          </w:rPr>
          <w:t>eContract</w:t>
        </w:r>
        <w:proofErr w:type="spellEnd"/>
        <w:r w:rsidR="007530A4" w:rsidRPr="00505AC5">
          <w:rPr>
            <w:rStyle w:val="Hyperlink"/>
            <w:rFonts w:cs="Arial"/>
            <w:szCs w:val="24"/>
          </w:rPr>
          <w:t xml:space="preserve"> system</w:t>
        </w:r>
        <w:r w:rsidR="005830F8" w:rsidRPr="00505AC5">
          <w:rPr>
            <w:rStyle w:val="Hyperlink"/>
            <w:rFonts w:cs="Arial"/>
            <w:szCs w:val="24"/>
          </w:rPr>
          <w:t xml:space="preserve">. </w:t>
        </w:r>
      </w:hyperlink>
      <w:r w:rsidR="005830F8">
        <w:rPr>
          <w:szCs w:val="24"/>
        </w:rPr>
        <w:t xml:space="preserve"> </w:t>
      </w:r>
    </w:p>
    <w:p w:rsidR="005830F8" w:rsidRDefault="005830F8" w:rsidP="002041F9">
      <w:pPr>
        <w:pStyle w:val="PDNumberedPara"/>
        <w:numPr>
          <w:ilvl w:val="1"/>
          <w:numId w:val="0"/>
        </w:numPr>
        <w:tabs>
          <w:tab w:val="num" w:pos="0"/>
        </w:tabs>
        <w:spacing w:after="0"/>
        <w:outlineLvl w:val="9"/>
        <w:rPr>
          <w:szCs w:val="24"/>
        </w:rPr>
      </w:pPr>
    </w:p>
    <w:p w:rsidR="002651A4" w:rsidRDefault="002651A4" w:rsidP="002651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w:r w:rsidR="00582C00">
        <w:rPr>
          <w:rFonts w:ascii="Arial" w:hAnsi="Arial" w:cs="Arial"/>
        </w:rPr>
        <w:t xml:space="preserve">relevant </w:t>
      </w:r>
      <w:r>
        <w:rPr>
          <w:rFonts w:ascii="Arial" w:hAnsi="Arial" w:cs="Arial"/>
        </w:rPr>
        <w:t>contracts based on standard forms for earlier than 2012/13 are to continue beyond 1 October</w:t>
      </w:r>
      <w:r w:rsidR="004A7575">
        <w:rPr>
          <w:rFonts w:ascii="Arial" w:hAnsi="Arial" w:cs="Arial"/>
        </w:rPr>
        <w:t xml:space="preserve"> 2015</w:t>
      </w:r>
      <w:r>
        <w:rPr>
          <w:rFonts w:ascii="Arial" w:hAnsi="Arial" w:cs="Arial"/>
        </w:rPr>
        <w:t xml:space="preserve">, commissioners and providers should </w:t>
      </w:r>
      <w:r w:rsidR="008C44B1">
        <w:rPr>
          <w:rFonts w:ascii="Arial" w:hAnsi="Arial" w:cs="Arial"/>
        </w:rPr>
        <w:t xml:space="preserve">contract the NHS Standard Contract Team at </w:t>
      </w:r>
      <w:hyperlink r:id="rId16" w:history="1">
        <w:r w:rsidR="002E1C8C" w:rsidRPr="00906467">
          <w:rPr>
            <w:rStyle w:val="Hyperlink"/>
            <w:rFonts w:ascii="Arial" w:hAnsi="Arial" w:cs="Arial"/>
          </w:rPr>
          <w:t>nhscb.contractshelp@nhs.net</w:t>
        </w:r>
      </w:hyperlink>
      <w:r w:rsidR="008C44B1">
        <w:rPr>
          <w:rFonts w:ascii="Arial" w:hAnsi="Arial" w:cs="Arial"/>
        </w:rPr>
        <w:t xml:space="preserve">. </w:t>
      </w:r>
    </w:p>
    <w:p w:rsidR="002651A4" w:rsidRDefault="002651A4" w:rsidP="002041F9">
      <w:pPr>
        <w:pStyle w:val="PDNumberedPara"/>
        <w:numPr>
          <w:ilvl w:val="1"/>
          <w:numId w:val="0"/>
        </w:numPr>
        <w:tabs>
          <w:tab w:val="num" w:pos="0"/>
        </w:tabs>
        <w:spacing w:after="0"/>
        <w:outlineLvl w:val="9"/>
        <w:rPr>
          <w:szCs w:val="24"/>
        </w:rPr>
      </w:pPr>
    </w:p>
    <w:p w:rsidR="00A20606" w:rsidRDefault="00ED3C58" w:rsidP="002041F9">
      <w:pPr>
        <w:pStyle w:val="PDNumberedPara"/>
        <w:numPr>
          <w:ilvl w:val="1"/>
          <w:numId w:val="0"/>
        </w:numPr>
        <w:tabs>
          <w:tab w:val="num" w:pos="0"/>
        </w:tabs>
        <w:spacing w:after="0"/>
        <w:outlineLvl w:val="9"/>
        <w:rPr>
          <w:szCs w:val="24"/>
        </w:rPr>
      </w:pPr>
      <w:r>
        <w:rPr>
          <w:szCs w:val="24"/>
        </w:rPr>
        <w:t xml:space="preserve">All </w:t>
      </w:r>
      <w:r w:rsidR="00A20606">
        <w:rPr>
          <w:szCs w:val="24"/>
        </w:rPr>
        <w:t xml:space="preserve">commissioners and providers </w:t>
      </w:r>
      <w:r w:rsidR="00582C00">
        <w:rPr>
          <w:szCs w:val="24"/>
        </w:rPr>
        <w:t xml:space="preserve">which are parties to contracts covering services to which the 18 weeks RTT standard applies </w:t>
      </w:r>
      <w:r w:rsidR="00A20606">
        <w:rPr>
          <w:szCs w:val="24"/>
        </w:rPr>
        <w:t xml:space="preserve">are required to vary their </w:t>
      </w:r>
      <w:r>
        <w:rPr>
          <w:szCs w:val="24"/>
        </w:rPr>
        <w:t xml:space="preserve">relevant </w:t>
      </w:r>
      <w:r w:rsidR="005830F8">
        <w:rPr>
          <w:szCs w:val="24"/>
        </w:rPr>
        <w:t xml:space="preserve">contracts </w:t>
      </w:r>
      <w:r w:rsidR="00582C00">
        <w:rPr>
          <w:szCs w:val="24"/>
        </w:rPr>
        <w:t>as soon as practicable, and in any event by</w:t>
      </w:r>
      <w:r w:rsidR="005830F8">
        <w:rPr>
          <w:szCs w:val="24"/>
        </w:rPr>
        <w:t xml:space="preserve"> 1 October</w:t>
      </w:r>
      <w:r w:rsidR="00A20606">
        <w:rPr>
          <w:szCs w:val="24"/>
        </w:rPr>
        <w:t xml:space="preserve"> </w:t>
      </w:r>
      <w:r w:rsidR="005830F8">
        <w:rPr>
          <w:szCs w:val="24"/>
        </w:rPr>
        <w:t xml:space="preserve">2015.  </w:t>
      </w:r>
      <w:r w:rsidR="002041F9">
        <w:rPr>
          <w:szCs w:val="24"/>
        </w:rPr>
        <w:t>The</w:t>
      </w:r>
      <w:r w:rsidR="00A20606">
        <w:rPr>
          <w:szCs w:val="24"/>
        </w:rPr>
        <w:t xml:space="preserve"> variation will be a National Variation as defined in the applicable NHS Standard Contract.</w:t>
      </w:r>
    </w:p>
    <w:p w:rsidR="005830F8" w:rsidRDefault="005830F8" w:rsidP="002041F9">
      <w:pPr>
        <w:pStyle w:val="PDNumberedPara"/>
        <w:numPr>
          <w:ilvl w:val="1"/>
          <w:numId w:val="0"/>
        </w:numPr>
        <w:tabs>
          <w:tab w:val="num" w:pos="0"/>
        </w:tabs>
        <w:spacing w:after="0"/>
        <w:outlineLvl w:val="9"/>
        <w:rPr>
          <w:szCs w:val="24"/>
        </w:rPr>
      </w:pPr>
    </w:p>
    <w:p w:rsidR="002F6082" w:rsidRPr="002F6082" w:rsidRDefault="008C44B1" w:rsidP="002F6082">
      <w:pPr>
        <w:pStyle w:val="PDNumberedPara"/>
        <w:numPr>
          <w:ilvl w:val="1"/>
          <w:numId w:val="0"/>
        </w:numPr>
        <w:tabs>
          <w:tab w:val="num" w:pos="0"/>
        </w:tabs>
        <w:spacing w:after="0"/>
        <w:outlineLvl w:val="9"/>
        <w:rPr>
          <w:szCs w:val="24"/>
        </w:rPr>
      </w:pPr>
      <w:r>
        <w:rPr>
          <w:szCs w:val="24"/>
        </w:rPr>
        <w:t>For furth</w:t>
      </w:r>
      <w:r w:rsidR="00CC44C3">
        <w:rPr>
          <w:szCs w:val="24"/>
        </w:rPr>
        <w:t>er</w:t>
      </w:r>
      <w:r>
        <w:rPr>
          <w:szCs w:val="24"/>
        </w:rPr>
        <w:t xml:space="preserve"> information about the </w:t>
      </w:r>
      <w:r w:rsidR="00CC44C3">
        <w:rPr>
          <w:szCs w:val="24"/>
        </w:rPr>
        <w:t xml:space="preserve">process </w:t>
      </w:r>
      <w:r>
        <w:rPr>
          <w:szCs w:val="24"/>
        </w:rPr>
        <w:t xml:space="preserve">for effecting </w:t>
      </w:r>
      <w:r w:rsidR="00CC44C3">
        <w:rPr>
          <w:szCs w:val="24"/>
        </w:rPr>
        <w:t xml:space="preserve">national variations, </w:t>
      </w:r>
      <w:r>
        <w:rPr>
          <w:szCs w:val="24"/>
        </w:rPr>
        <w:t>commissioners and providers should read</w:t>
      </w:r>
      <w:r w:rsidR="0076649D">
        <w:rPr>
          <w:szCs w:val="24"/>
        </w:rPr>
        <w:t xml:space="preserve"> </w:t>
      </w:r>
      <w:r w:rsidR="00A87191">
        <w:rPr>
          <w:szCs w:val="24"/>
        </w:rPr>
        <w:t xml:space="preserve">the NHS Standard Contract 2015/16 </w:t>
      </w:r>
      <w:hyperlink r:id="rId17" w:history="1">
        <w:r w:rsidR="00A87191" w:rsidRPr="00A87191">
          <w:rPr>
            <w:rStyle w:val="Hyperlink"/>
            <w:rFonts w:cs="Arial"/>
            <w:szCs w:val="24"/>
          </w:rPr>
          <w:t>Technical Guidance</w:t>
        </w:r>
      </w:hyperlink>
      <w:r w:rsidR="00A87191">
        <w:rPr>
          <w:szCs w:val="24"/>
        </w:rPr>
        <w:t xml:space="preserve"> s41.</w:t>
      </w:r>
    </w:p>
    <w:p w:rsidR="00B83CB1" w:rsidRDefault="00B83CB1" w:rsidP="002041F9">
      <w:pPr>
        <w:pStyle w:val="PDNumberedPara"/>
        <w:numPr>
          <w:ilvl w:val="1"/>
          <w:numId w:val="0"/>
        </w:numPr>
        <w:tabs>
          <w:tab w:val="num" w:pos="0"/>
        </w:tabs>
        <w:spacing w:after="0"/>
        <w:outlineLvl w:val="9"/>
        <w:rPr>
          <w:szCs w:val="24"/>
        </w:rPr>
      </w:pPr>
    </w:p>
    <w:p w:rsidR="00F95D47" w:rsidRPr="00A4026D" w:rsidRDefault="00F95D47" w:rsidP="00F95D47">
      <w:pPr>
        <w:pStyle w:val="Heading2"/>
        <w:numPr>
          <w:ilvl w:val="1"/>
          <w:numId w:val="0"/>
        </w:numPr>
        <w:ind w:left="576" w:hanging="576"/>
      </w:pPr>
      <w:r>
        <w:t>Options</w:t>
      </w:r>
    </w:p>
    <w:p w:rsidR="00F95D47" w:rsidRDefault="007530A4" w:rsidP="002041F9">
      <w:pPr>
        <w:pStyle w:val="PDNumberedPara"/>
        <w:numPr>
          <w:ilvl w:val="1"/>
          <w:numId w:val="0"/>
        </w:numPr>
        <w:tabs>
          <w:tab w:val="num" w:pos="0"/>
        </w:tabs>
        <w:spacing w:after="0"/>
        <w:outlineLvl w:val="9"/>
        <w:rPr>
          <w:szCs w:val="24"/>
        </w:rPr>
      </w:pPr>
      <w:r>
        <w:rPr>
          <w:szCs w:val="24"/>
        </w:rPr>
        <w:t>The action commissioners need t</w:t>
      </w:r>
      <w:r w:rsidR="008D2F3D">
        <w:rPr>
          <w:szCs w:val="24"/>
        </w:rPr>
        <w:t>o take depends on whether the con</w:t>
      </w:r>
      <w:r>
        <w:rPr>
          <w:szCs w:val="24"/>
        </w:rPr>
        <w:t>tract is signed or not, as follows:</w:t>
      </w:r>
    </w:p>
    <w:p w:rsidR="007530A4" w:rsidRDefault="007530A4" w:rsidP="002041F9">
      <w:pPr>
        <w:pStyle w:val="PDNumberedPara"/>
        <w:numPr>
          <w:ilvl w:val="1"/>
          <w:numId w:val="0"/>
        </w:numPr>
        <w:tabs>
          <w:tab w:val="num" w:pos="0"/>
        </w:tabs>
        <w:spacing w:after="0"/>
        <w:outlineLvl w:val="9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798"/>
      </w:tblGrid>
      <w:tr w:rsidR="00F95D47" w:rsidTr="007530A4">
        <w:tc>
          <w:tcPr>
            <w:tcW w:w="534" w:type="dxa"/>
          </w:tcPr>
          <w:p w:rsidR="00F95D47" w:rsidRDefault="00F95D47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</w:p>
        </w:tc>
        <w:tc>
          <w:tcPr>
            <w:tcW w:w="2976" w:type="dxa"/>
          </w:tcPr>
          <w:p w:rsidR="00F95D47" w:rsidRDefault="00F95D47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  <w:r>
              <w:rPr>
                <w:szCs w:val="24"/>
              </w:rPr>
              <w:t>Is your contract …</w:t>
            </w:r>
          </w:p>
        </w:tc>
        <w:tc>
          <w:tcPr>
            <w:tcW w:w="6798" w:type="dxa"/>
          </w:tcPr>
          <w:p w:rsidR="00F95D47" w:rsidRDefault="00F95D47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  <w:r>
              <w:rPr>
                <w:szCs w:val="24"/>
              </w:rPr>
              <w:t>You need to …</w:t>
            </w:r>
          </w:p>
        </w:tc>
      </w:tr>
      <w:tr w:rsidR="00F95D47" w:rsidTr="007530A4">
        <w:tc>
          <w:tcPr>
            <w:tcW w:w="534" w:type="dxa"/>
          </w:tcPr>
          <w:p w:rsidR="00F95D47" w:rsidRDefault="00F95D47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6" w:type="dxa"/>
          </w:tcPr>
          <w:p w:rsidR="00F95D47" w:rsidRDefault="00F95D47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  <w:r>
              <w:rPr>
                <w:szCs w:val="24"/>
              </w:rPr>
              <w:t xml:space="preserve">… </w:t>
            </w:r>
            <w:proofErr w:type="gramStart"/>
            <w:r>
              <w:rPr>
                <w:szCs w:val="24"/>
              </w:rPr>
              <w:t>signed</w:t>
            </w:r>
            <w:proofErr w:type="gramEnd"/>
            <w:r>
              <w:rPr>
                <w:szCs w:val="24"/>
              </w:rPr>
              <w:t>?</w:t>
            </w:r>
          </w:p>
        </w:tc>
        <w:tc>
          <w:tcPr>
            <w:tcW w:w="6798" w:type="dxa"/>
          </w:tcPr>
          <w:p w:rsidR="00F95D47" w:rsidRDefault="00F95D47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  <w:r>
              <w:rPr>
                <w:szCs w:val="24"/>
              </w:rPr>
              <w:t xml:space="preserve">Enact the </w:t>
            </w:r>
            <w:r w:rsidR="00DA1A15">
              <w:rPr>
                <w:szCs w:val="24"/>
              </w:rPr>
              <w:t>N</w:t>
            </w:r>
            <w:r>
              <w:rPr>
                <w:szCs w:val="24"/>
              </w:rPr>
              <w:t xml:space="preserve">ational </w:t>
            </w:r>
            <w:r w:rsidR="00DA1A15">
              <w:rPr>
                <w:szCs w:val="24"/>
              </w:rPr>
              <w:t>V</w:t>
            </w:r>
            <w:r>
              <w:rPr>
                <w:szCs w:val="24"/>
              </w:rPr>
              <w:t>ariation in accordance with the process below.</w:t>
            </w:r>
          </w:p>
          <w:p w:rsidR="007530A4" w:rsidRDefault="007530A4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</w:p>
        </w:tc>
      </w:tr>
      <w:tr w:rsidR="00F95D47" w:rsidTr="007530A4">
        <w:tc>
          <w:tcPr>
            <w:tcW w:w="534" w:type="dxa"/>
          </w:tcPr>
          <w:p w:rsidR="00F95D47" w:rsidRDefault="00F95D47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530A4">
              <w:rPr>
                <w:szCs w:val="24"/>
              </w:rPr>
              <w:t>a</w:t>
            </w:r>
          </w:p>
        </w:tc>
        <w:tc>
          <w:tcPr>
            <w:tcW w:w="2976" w:type="dxa"/>
          </w:tcPr>
          <w:p w:rsidR="00F95D47" w:rsidRDefault="00F95D47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  <w:r>
              <w:rPr>
                <w:szCs w:val="24"/>
              </w:rPr>
              <w:t xml:space="preserve">… </w:t>
            </w:r>
            <w:proofErr w:type="gramStart"/>
            <w:r>
              <w:rPr>
                <w:szCs w:val="24"/>
              </w:rPr>
              <w:t>not</w:t>
            </w:r>
            <w:proofErr w:type="gramEnd"/>
            <w:r>
              <w:rPr>
                <w:szCs w:val="24"/>
              </w:rPr>
              <w:t xml:space="preserve"> signed</w:t>
            </w:r>
            <w:r w:rsidR="00DA1A15">
              <w:rPr>
                <w:szCs w:val="24"/>
              </w:rPr>
              <w:t xml:space="preserve"> and not yet substantially agreed</w:t>
            </w:r>
            <w:r>
              <w:rPr>
                <w:szCs w:val="24"/>
              </w:rPr>
              <w:t>?</w:t>
            </w:r>
          </w:p>
        </w:tc>
        <w:tc>
          <w:tcPr>
            <w:tcW w:w="6798" w:type="dxa"/>
          </w:tcPr>
          <w:p w:rsidR="00F95D47" w:rsidRDefault="007530A4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  <w:r>
              <w:rPr>
                <w:szCs w:val="24"/>
              </w:rPr>
              <w:t>Downl</w:t>
            </w:r>
            <w:r w:rsidR="008D2F3D">
              <w:rPr>
                <w:szCs w:val="24"/>
              </w:rPr>
              <w:t>oad the Particulars</w:t>
            </w:r>
            <w:r w:rsidR="00505AC5">
              <w:rPr>
                <w:szCs w:val="24"/>
              </w:rPr>
              <w:t xml:space="preserve"> (updated in </w:t>
            </w:r>
            <w:r w:rsidR="008D2F3D">
              <w:rPr>
                <w:szCs w:val="24"/>
              </w:rPr>
              <w:t>August 2015) fro</w:t>
            </w:r>
            <w:r>
              <w:rPr>
                <w:szCs w:val="24"/>
              </w:rPr>
              <w:t xml:space="preserve">m the NHS Standard Contract </w:t>
            </w:r>
            <w:hyperlink r:id="rId18" w:history="1">
              <w:r w:rsidRPr="00505AC5">
                <w:rPr>
                  <w:rStyle w:val="Hyperlink"/>
                  <w:rFonts w:cs="Arial"/>
                  <w:szCs w:val="24"/>
                </w:rPr>
                <w:t>webpage</w:t>
              </w:r>
            </w:hyperlink>
            <w:r>
              <w:rPr>
                <w:szCs w:val="24"/>
              </w:rPr>
              <w:t xml:space="preserve">, or generate a new set using the </w:t>
            </w:r>
            <w:proofErr w:type="spellStart"/>
            <w:r>
              <w:rPr>
                <w:szCs w:val="24"/>
              </w:rPr>
              <w:t>eContract</w:t>
            </w:r>
            <w:proofErr w:type="spellEnd"/>
            <w:r>
              <w:rPr>
                <w:szCs w:val="24"/>
              </w:rPr>
              <w:t xml:space="preserve"> system.  </w:t>
            </w:r>
            <w:r w:rsidR="00DA1A15">
              <w:rPr>
                <w:szCs w:val="24"/>
              </w:rPr>
              <w:t>Po</w:t>
            </w:r>
            <w:r>
              <w:rPr>
                <w:szCs w:val="24"/>
              </w:rPr>
              <w:t>pulate the Particulars.</w:t>
            </w:r>
          </w:p>
          <w:p w:rsidR="008D2F3D" w:rsidRDefault="008D2F3D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</w:p>
        </w:tc>
      </w:tr>
      <w:tr w:rsidR="00F95D47" w:rsidTr="007530A4">
        <w:tc>
          <w:tcPr>
            <w:tcW w:w="534" w:type="dxa"/>
          </w:tcPr>
          <w:p w:rsidR="00F95D47" w:rsidRDefault="007530A4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  <w:r>
              <w:rPr>
                <w:szCs w:val="24"/>
              </w:rPr>
              <w:t>2b</w:t>
            </w:r>
          </w:p>
        </w:tc>
        <w:tc>
          <w:tcPr>
            <w:tcW w:w="2976" w:type="dxa"/>
          </w:tcPr>
          <w:p w:rsidR="00F95D47" w:rsidRDefault="00DA1A15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  <w:r>
              <w:rPr>
                <w:szCs w:val="24"/>
              </w:rPr>
              <w:t>….</w:t>
            </w:r>
            <w:r w:rsidR="002E1C8C">
              <w:rPr>
                <w:szCs w:val="24"/>
              </w:rPr>
              <w:t xml:space="preserve"> </w:t>
            </w:r>
            <w:r>
              <w:rPr>
                <w:szCs w:val="24"/>
              </w:rPr>
              <w:t>not signed but sub</w:t>
            </w:r>
            <w:r w:rsidR="002A5E13">
              <w:rPr>
                <w:szCs w:val="24"/>
              </w:rPr>
              <w:t>s</w:t>
            </w:r>
            <w:r>
              <w:rPr>
                <w:szCs w:val="24"/>
              </w:rPr>
              <w:t>tantially agreed</w:t>
            </w:r>
            <w:r w:rsidR="002E1C8C">
              <w:rPr>
                <w:szCs w:val="24"/>
              </w:rPr>
              <w:t>?</w:t>
            </w:r>
          </w:p>
        </w:tc>
        <w:tc>
          <w:tcPr>
            <w:tcW w:w="6798" w:type="dxa"/>
          </w:tcPr>
          <w:p w:rsidR="00F95D47" w:rsidRDefault="007530A4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  <w:r>
              <w:rPr>
                <w:szCs w:val="24"/>
              </w:rPr>
              <w:t>Make the changes to Schedule 4</w:t>
            </w:r>
            <w:r w:rsidR="00DA1A15">
              <w:rPr>
                <w:szCs w:val="24"/>
              </w:rPr>
              <w:t>A</w:t>
            </w:r>
            <w:r>
              <w:rPr>
                <w:szCs w:val="24"/>
              </w:rPr>
              <w:t xml:space="preserve"> </w:t>
            </w:r>
            <w:r w:rsidR="00DA1A15">
              <w:rPr>
                <w:szCs w:val="24"/>
              </w:rPr>
              <w:t>to reflect</w:t>
            </w:r>
            <w:r>
              <w:rPr>
                <w:szCs w:val="24"/>
              </w:rPr>
              <w:t xml:space="preserve"> the </w:t>
            </w:r>
            <w:r w:rsidR="00DA1A15">
              <w:rPr>
                <w:szCs w:val="24"/>
              </w:rPr>
              <w:t xml:space="preserve">latest </w:t>
            </w:r>
            <w:r w:rsidR="008D2F3D">
              <w:rPr>
                <w:szCs w:val="24"/>
              </w:rPr>
              <w:t>Particulars (updated in August 2015) from th</w:t>
            </w:r>
            <w:r w:rsidR="009538E1">
              <w:rPr>
                <w:szCs w:val="24"/>
              </w:rPr>
              <w:t>e NHS Standard Contract webpage.</w:t>
            </w:r>
          </w:p>
          <w:p w:rsidR="008D2F3D" w:rsidRDefault="008D2F3D" w:rsidP="008D2F3D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</w:p>
        </w:tc>
      </w:tr>
      <w:tr w:rsidR="007530A4" w:rsidTr="007530A4">
        <w:tc>
          <w:tcPr>
            <w:tcW w:w="534" w:type="dxa"/>
          </w:tcPr>
          <w:p w:rsidR="007530A4" w:rsidRDefault="007530A4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  <w:r>
              <w:rPr>
                <w:szCs w:val="24"/>
              </w:rPr>
              <w:t>2c</w:t>
            </w:r>
          </w:p>
        </w:tc>
        <w:tc>
          <w:tcPr>
            <w:tcW w:w="2976" w:type="dxa"/>
          </w:tcPr>
          <w:p w:rsidR="007530A4" w:rsidRDefault="00DA1A15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  <w:r>
              <w:rPr>
                <w:szCs w:val="24"/>
              </w:rPr>
              <w:t>….</w:t>
            </w:r>
            <w:r w:rsidR="002E1C8C">
              <w:rPr>
                <w:szCs w:val="24"/>
              </w:rPr>
              <w:t xml:space="preserve"> </w:t>
            </w:r>
            <w:r>
              <w:rPr>
                <w:szCs w:val="24"/>
              </w:rPr>
              <w:t>not signed but fully agreed and ready to be signed</w:t>
            </w:r>
            <w:r w:rsidR="002E1C8C">
              <w:rPr>
                <w:szCs w:val="24"/>
              </w:rPr>
              <w:t>?</w:t>
            </w:r>
          </w:p>
          <w:p w:rsidR="009538E1" w:rsidRDefault="009538E1" w:rsidP="002041F9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</w:p>
        </w:tc>
        <w:tc>
          <w:tcPr>
            <w:tcW w:w="6798" w:type="dxa"/>
          </w:tcPr>
          <w:p w:rsidR="008D2F3D" w:rsidRDefault="008D2F3D" w:rsidP="009538E1">
            <w:pPr>
              <w:pStyle w:val="PDNumberedPara"/>
              <w:numPr>
                <w:ilvl w:val="1"/>
                <w:numId w:val="0"/>
              </w:numPr>
              <w:tabs>
                <w:tab w:val="num" w:pos="0"/>
              </w:tabs>
              <w:spacing w:after="0"/>
              <w:outlineLvl w:val="9"/>
              <w:rPr>
                <w:szCs w:val="24"/>
              </w:rPr>
            </w:pPr>
            <w:r>
              <w:rPr>
                <w:szCs w:val="24"/>
              </w:rPr>
              <w:t xml:space="preserve">Enact the </w:t>
            </w:r>
            <w:r w:rsidR="00DA1A15">
              <w:rPr>
                <w:szCs w:val="24"/>
              </w:rPr>
              <w:t>N</w:t>
            </w:r>
            <w:r>
              <w:rPr>
                <w:szCs w:val="24"/>
              </w:rPr>
              <w:t xml:space="preserve">ational </w:t>
            </w:r>
            <w:r w:rsidR="00DA1A15">
              <w:rPr>
                <w:szCs w:val="24"/>
              </w:rPr>
              <w:t>V</w:t>
            </w:r>
            <w:r>
              <w:rPr>
                <w:szCs w:val="24"/>
              </w:rPr>
              <w:t>ariation (in accordance with the process below) at the same time that the contract is signed.</w:t>
            </w:r>
          </w:p>
        </w:tc>
      </w:tr>
    </w:tbl>
    <w:p w:rsidR="00505AC5" w:rsidRDefault="00505AC5" w:rsidP="002041F9">
      <w:pPr>
        <w:pStyle w:val="PDNumberedPara"/>
        <w:numPr>
          <w:ilvl w:val="1"/>
          <w:numId w:val="0"/>
        </w:numPr>
        <w:tabs>
          <w:tab w:val="num" w:pos="0"/>
        </w:tabs>
        <w:spacing w:after="0"/>
        <w:outlineLvl w:val="9"/>
        <w:rPr>
          <w:szCs w:val="24"/>
        </w:rPr>
      </w:pPr>
    </w:p>
    <w:bookmarkEnd w:id="4"/>
    <w:p w:rsidR="00A20606" w:rsidRPr="00A4026D" w:rsidRDefault="00A20606" w:rsidP="00A4026D">
      <w:pPr>
        <w:pStyle w:val="Heading2"/>
        <w:numPr>
          <w:ilvl w:val="1"/>
          <w:numId w:val="0"/>
        </w:numPr>
        <w:ind w:left="576" w:hanging="576"/>
      </w:pPr>
      <w:r w:rsidRPr="00A4026D">
        <w:t>Process</w:t>
      </w:r>
      <w:r w:rsidR="00DA1A15">
        <w:t xml:space="preserve"> if you are enacting the National Variation</w:t>
      </w:r>
    </w:p>
    <w:p w:rsidR="00733DEF" w:rsidRDefault="002313CD" w:rsidP="002313CD">
      <w:pPr>
        <w:rPr>
          <w:rFonts w:ascii="Arial" w:hAnsi="Arial" w:cs="Arial"/>
          <w:szCs w:val="24"/>
          <w:lang w:val="en-GB" w:eastAsia="en-US"/>
        </w:rPr>
      </w:pPr>
      <w:r w:rsidRPr="002313CD">
        <w:rPr>
          <w:rFonts w:ascii="Arial" w:hAnsi="Arial" w:cs="Arial"/>
        </w:rPr>
        <w:t xml:space="preserve">The table below </w:t>
      </w:r>
      <w:proofErr w:type="spellStart"/>
      <w:r w:rsidRPr="002313CD">
        <w:rPr>
          <w:rFonts w:ascii="Arial" w:hAnsi="Arial" w:cs="Arial"/>
        </w:rPr>
        <w:t>summarises</w:t>
      </w:r>
      <w:proofErr w:type="spellEnd"/>
      <w:r w:rsidRPr="002313CD">
        <w:rPr>
          <w:rFonts w:ascii="Arial" w:hAnsi="Arial" w:cs="Arial"/>
        </w:rPr>
        <w:t xml:space="preserve"> the actions necessary to complete </w:t>
      </w:r>
      <w:r w:rsidR="00DA1A15">
        <w:rPr>
          <w:rFonts w:ascii="Arial" w:hAnsi="Arial" w:cs="Arial"/>
        </w:rPr>
        <w:t>the</w:t>
      </w:r>
      <w:r w:rsidRPr="002313CD">
        <w:rPr>
          <w:rFonts w:ascii="Arial" w:hAnsi="Arial" w:cs="Arial"/>
        </w:rPr>
        <w:t xml:space="preserve"> Variation Agreement</w:t>
      </w:r>
      <w:r>
        <w:rPr>
          <w:rFonts w:ascii="Arial" w:hAnsi="Arial" w:cs="Arial"/>
        </w:rPr>
        <w:t xml:space="preserve">.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80"/>
        <w:gridCol w:w="7628"/>
      </w:tblGrid>
      <w:tr w:rsidR="00BC5FD2" w:rsidRPr="00885951" w:rsidTr="009A2278">
        <w:trPr>
          <w:trHeight w:val="277"/>
        </w:trPr>
        <w:tc>
          <w:tcPr>
            <w:tcW w:w="1300" w:type="pct"/>
            <w:shd w:val="clear" w:color="auto" w:fill="153F7B"/>
            <w:vAlign w:val="center"/>
          </w:tcPr>
          <w:p w:rsidR="00BC5FD2" w:rsidRPr="00885951" w:rsidRDefault="00BC5FD2" w:rsidP="00BA3936">
            <w:pPr>
              <w:rPr>
                <w:rFonts w:ascii="Arial" w:hAnsi="Arial" w:cs="Arial"/>
              </w:rPr>
            </w:pPr>
          </w:p>
        </w:tc>
        <w:tc>
          <w:tcPr>
            <w:tcW w:w="3700" w:type="pct"/>
            <w:shd w:val="clear" w:color="auto" w:fill="153F7B"/>
            <w:vAlign w:val="center"/>
          </w:tcPr>
          <w:p w:rsidR="00BC5FD2" w:rsidRPr="00885951" w:rsidRDefault="00BC5FD2" w:rsidP="00A66D13">
            <w:pPr>
              <w:rPr>
                <w:rFonts w:ascii="Arial" w:hAnsi="Arial" w:cs="Arial"/>
              </w:rPr>
            </w:pPr>
            <w:r w:rsidRPr="00885951">
              <w:rPr>
                <w:rFonts w:ascii="Arial" w:hAnsi="Arial" w:cs="Arial"/>
                <w:bCs/>
              </w:rPr>
              <w:t xml:space="preserve">Guidance </w:t>
            </w:r>
          </w:p>
        </w:tc>
      </w:tr>
      <w:tr w:rsidR="00BC5FD2" w:rsidRPr="00885951" w:rsidTr="009A2278">
        <w:trPr>
          <w:trHeight w:val="508"/>
        </w:trPr>
        <w:tc>
          <w:tcPr>
            <w:tcW w:w="1300" w:type="pct"/>
          </w:tcPr>
          <w:p w:rsidR="00BC5FD2" w:rsidRPr="002313CD" w:rsidRDefault="005B73E6" w:rsidP="00BA3936">
            <w:pPr>
              <w:rPr>
                <w:rFonts w:ascii="Arial" w:hAnsi="Arial" w:cs="Arial"/>
                <w:bCs/>
              </w:rPr>
            </w:pPr>
            <w:r w:rsidRPr="002313CD">
              <w:rPr>
                <w:rFonts w:ascii="Arial" w:hAnsi="Arial" w:cs="Arial"/>
                <w:bCs/>
              </w:rPr>
              <w:t>Contract/Variation Reference</w:t>
            </w:r>
          </w:p>
        </w:tc>
        <w:tc>
          <w:tcPr>
            <w:tcW w:w="3700" w:type="pct"/>
          </w:tcPr>
          <w:p w:rsidR="00BC5FD2" w:rsidRPr="00885951" w:rsidRDefault="005B73E6" w:rsidP="00A66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the contract reference and the variation reference.</w:t>
            </w:r>
          </w:p>
        </w:tc>
      </w:tr>
      <w:tr w:rsidR="00BC5FD2" w:rsidRPr="00885951" w:rsidTr="009A2278">
        <w:trPr>
          <w:trHeight w:val="409"/>
        </w:trPr>
        <w:tc>
          <w:tcPr>
            <w:tcW w:w="1300" w:type="pct"/>
          </w:tcPr>
          <w:p w:rsidR="00BC5FD2" w:rsidRPr="002313CD" w:rsidRDefault="005B73E6" w:rsidP="00B00266">
            <w:pPr>
              <w:rPr>
                <w:rFonts w:ascii="Arial" w:hAnsi="Arial" w:cs="Arial"/>
                <w:bCs/>
              </w:rPr>
            </w:pPr>
            <w:r w:rsidRPr="002313CD">
              <w:rPr>
                <w:rFonts w:ascii="Arial" w:hAnsi="Arial" w:cs="Arial"/>
                <w:bCs/>
              </w:rPr>
              <w:t>Date of Variation Agreement</w:t>
            </w:r>
          </w:p>
        </w:tc>
        <w:tc>
          <w:tcPr>
            <w:tcW w:w="3700" w:type="pct"/>
          </w:tcPr>
          <w:p w:rsidR="00BC5FD2" w:rsidRPr="00885951" w:rsidRDefault="005B73E6" w:rsidP="005B7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t</w:t>
            </w:r>
            <w:r w:rsidR="00BC5FD2" w:rsidRPr="00885951">
              <w:rPr>
                <w:rFonts w:ascii="Arial" w:hAnsi="Arial" w:cs="Arial"/>
              </w:rPr>
              <w:t xml:space="preserve">he date on which the </w:t>
            </w:r>
            <w:r w:rsidR="00BC5FD2">
              <w:rPr>
                <w:rFonts w:ascii="Arial" w:hAnsi="Arial" w:cs="Arial"/>
              </w:rPr>
              <w:t>Variation Agreement</w:t>
            </w:r>
            <w:r w:rsidR="00BC5FD2" w:rsidRPr="00885951">
              <w:rPr>
                <w:rFonts w:ascii="Arial" w:hAnsi="Arial" w:cs="Arial"/>
              </w:rPr>
              <w:t xml:space="preserve"> is completed – </w:t>
            </w:r>
            <w:proofErr w:type="spellStart"/>
            <w:r w:rsidR="00BC5FD2" w:rsidRPr="00885951">
              <w:rPr>
                <w:rFonts w:ascii="Arial" w:hAnsi="Arial" w:cs="Arial"/>
              </w:rPr>
              <w:t>ie</w:t>
            </w:r>
            <w:proofErr w:type="spellEnd"/>
            <w:r w:rsidR="00BC5FD2" w:rsidRPr="00885951">
              <w:rPr>
                <w:rFonts w:ascii="Arial" w:hAnsi="Arial" w:cs="Arial"/>
              </w:rPr>
              <w:t xml:space="preserve"> when it has been signed by all the parties. Note that if the parties sign on different dates, the date to be inserted here is a date on or after that on which the last party signs.  This is the date on which the </w:t>
            </w:r>
            <w:r w:rsidR="00BC5FD2">
              <w:rPr>
                <w:rFonts w:ascii="Arial" w:hAnsi="Arial" w:cs="Arial"/>
              </w:rPr>
              <w:t>Variation Agreement</w:t>
            </w:r>
            <w:r w:rsidR="00BC5FD2" w:rsidRPr="00885951">
              <w:rPr>
                <w:rFonts w:ascii="Arial" w:hAnsi="Arial" w:cs="Arial"/>
              </w:rPr>
              <w:t xml:space="preserve"> becomes legally binding.</w:t>
            </w:r>
            <w:r w:rsidR="00BC5FD2">
              <w:rPr>
                <w:rFonts w:ascii="Arial" w:hAnsi="Arial" w:cs="Arial"/>
              </w:rPr>
              <w:t xml:space="preserve"> </w:t>
            </w:r>
          </w:p>
        </w:tc>
      </w:tr>
      <w:tr w:rsidR="00BC5FD2" w:rsidRPr="00885951" w:rsidTr="009D4C03">
        <w:trPr>
          <w:trHeight w:val="2921"/>
        </w:trPr>
        <w:tc>
          <w:tcPr>
            <w:tcW w:w="1300" w:type="pct"/>
          </w:tcPr>
          <w:p w:rsidR="00BC5FD2" w:rsidRPr="00885951" w:rsidRDefault="00BC5FD2" w:rsidP="002313CD">
            <w:pPr>
              <w:rPr>
                <w:rFonts w:ascii="Arial" w:hAnsi="Arial" w:cs="Arial"/>
              </w:rPr>
            </w:pPr>
            <w:r w:rsidRPr="00885951">
              <w:rPr>
                <w:rFonts w:ascii="Arial" w:hAnsi="Arial" w:cs="Arial"/>
                <w:bCs/>
              </w:rPr>
              <w:t>Execution page</w:t>
            </w:r>
          </w:p>
        </w:tc>
        <w:tc>
          <w:tcPr>
            <w:tcW w:w="3700" w:type="pct"/>
          </w:tcPr>
          <w:p w:rsidR="00BC5FD2" w:rsidRPr="00885951" w:rsidRDefault="00BC5FD2" w:rsidP="00A66D13">
            <w:pPr>
              <w:rPr>
                <w:rFonts w:ascii="Arial" w:hAnsi="Arial" w:cs="Arial"/>
              </w:rPr>
            </w:pPr>
            <w:r w:rsidRPr="00885951">
              <w:rPr>
                <w:rFonts w:ascii="Arial" w:hAnsi="Arial" w:cs="Arial"/>
              </w:rPr>
              <w:t xml:space="preserve">Signatures </w:t>
            </w:r>
          </w:p>
          <w:p w:rsidR="00FC38D6" w:rsidRPr="00030ACF" w:rsidRDefault="00BC5FD2" w:rsidP="00BE4531">
            <w:pPr>
              <w:pStyle w:val="ListParagraph"/>
              <w:autoSpaceDE w:val="0"/>
              <w:autoSpaceDN w:val="0"/>
              <w:adjustRightInd w:val="0"/>
              <w:spacing w:after="0"/>
              <w:ind w:left="14"/>
              <w:rPr>
                <w:rFonts w:ascii="Arial" w:hAnsi="Arial" w:cs="Arial"/>
                <w:b/>
              </w:rPr>
            </w:pPr>
            <w:r w:rsidRPr="00885951">
              <w:rPr>
                <w:rFonts w:ascii="Arial" w:hAnsi="Arial" w:cs="Arial"/>
              </w:rPr>
              <w:t xml:space="preserve">The </w:t>
            </w:r>
            <w:proofErr w:type="spellStart"/>
            <w:r w:rsidR="009D4C03">
              <w:rPr>
                <w:rFonts w:ascii="Arial" w:hAnsi="Arial" w:cs="Arial"/>
              </w:rPr>
              <w:t>authorised</w:t>
            </w:r>
            <w:proofErr w:type="spellEnd"/>
            <w:r w:rsidR="009D4C03">
              <w:rPr>
                <w:rFonts w:ascii="Arial" w:hAnsi="Arial" w:cs="Arial"/>
              </w:rPr>
              <w:t xml:space="preserve"> signatory of the </w:t>
            </w:r>
            <w:r w:rsidRPr="00885951">
              <w:rPr>
                <w:rFonts w:ascii="Arial" w:hAnsi="Arial" w:cs="Arial"/>
              </w:rPr>
              <w:t xml:space="preserve">Provider and </w:t>
            </w:r>
            <w:r w:rsidR="00FC38D6">
              <w:rPr>
                <w:rFonts w:ascii="Arial" w:hAnsi="Arial" w:cs="Arial"/>
              </w:rPr>
              <w:t>(</w:t>
            </w:r>
            <w:r w:rsidRPr="00885951">
              <w:rPr>
                <w:rFonts w:ascii="Arial" w:hAnsi="Arial" w:cs="Arial"/>
              </w:rPr>
              <w:t>each</w:t>
            </w:r>
            <w:r w:rsidR="00FC38D6">
              <w:rPr>
                <w:rFonts w:ascii="Arial" w:hAnsi="Arial" w:cs="Arial"/>
              </w:rPr>
              <w:t>)</w:t>
            </w:r>
            <w:r w:rsidRPr="00885951">
              <w:rPr>
                <w:rFonts w:ascii="Arial" w:hAnsi="Arial" w:cs="Arial"/>
              </w:rPr>
              <w:t xml:space="preserve"> Commissioner must execute the </w:t>
            </w:r>
            <w:r>
              <w:rPr>
                <w:rFonts w:ascii="Arial" w:hAnsi="Arial" w:cs="Arial"/>
              </w:rPr>
              <w:t>Variation Agreement</w:t>
            </w:r>
            <w:r w:rsidRPr="00885951">
              <w:rPr>
                <w:rFonts w:ascii="Arial" w:hAnsi="Arial" w:cs="Arial"/>
              </w:rPr>
              <w:t xml:space="preserve"> where indicated</w:t>
            </w:r>
            <w:r>
              <w:rPr>
                <w:rFonts w:ascii="Arial" w:hAnsi="Arial" w:cs="Arial"/>
              </w:rPr>
              <w:t xml:space="preserve">.  </w:t>
            </w:r>
            <w:r w:rsidR="009D4C03">
              <w:rPr>
                <w:rFonts w:ascii="Arial" w:hAnsi="Arial" w:cs="Arial"/>
              </w:rPr>
              <w:t>Insert a</w:t>
            </w:r>
            <w:r>
              <w:rPr>
                <w:rFonts w:ascii="Arial" w:hAnsi="Arial" w:cs="Arial"/>
              </w:rPr>
              <w:t xml:space="preserve">dditional </w:t>
            </w:r>
            <w:r w:rsidR="009D4C03">
              <w:rPr>
                <w:rFonts w:ascii="Arial" w:hAnsi="Arial" w:cs="Arial"/>
              </w:rPr>
              <w:t>signature blocks as required.</w:t>
            </w:r>
            <w:r w:rsidR="009D4C03" w:rsidRPr="00885951">
              <w:rPr>
                <w:rFonts w:ascii="Arial" w:hAnsi="Arial" w:cs="Arial"/>
              </w:rPr>
              <w:t xml:space="preserve"> </w:t>
            </w:r>
            <w:r w:rsidR="00FC38D6">
              <w:rPr>
                <w:rFonts w:ascii="Arial" w:hAnsi="Arial" w:cs="Arial"/>
                <w:b/>
              </w:rPr>
              <w:t>(</w:t>
            </w:r>
            <w:r w:rsidR="00FC38D6">
              <w:rPr>
                <w:rFonts w:ascii="Arial" w:hAnsi="Arial" w:cs="Arial"/>
                <w:b/>
                <w:szCs w:val="24"/>
              </w:rPr>
              <w:t>If the contract being varied is in 2014/15 form</w:t>
            </w:r>
            <w:r w:rsidR="002313CD">
              <w:rPr>
                <w:rFonts w:ascii="Arial" w:hAnsi="Arial" w:cs="Arial"/>
                <w:b/>
                <w:szCs w:val="24"/>
              </w:rPr>
              <w:t xml:space="preserve"> or 2015/16 form</w:t>
            </w:r>
            <w:r w:rsidR="00FC38D6">
              <w:rPr>
                <w:rFonts w:ascii="Arial" w:hAnsi="Arial" w:cs="Arial"/>
                <w:b/>
                <w:szCs w:val="24"/>
              </w:rPr>
              <w:t>, the Co-</w:t>
            </w:r>
            <w:proofErr w:type="spellStart"/>
            <w:r w:rsidR="00FC38D6">
              <w:rPr>
                <w:rFonts w:ascii="Arial" w:hAnsi="Arial" w:cs="Arial"/>
                <w:b/>
                <w:szCs w:val="24"/>
              </w:rPr>
              <w:t>ordinating</w:t>
            </w:r>
            <w:proofErr w:type="spellEnd"/>
            <w:r w:rsidR="00FC38D6">
              <w:rPr>
                <w:rFonts w:ascii="Arial" w:hAnsi="Arial" w:cs="Arial"/>
                <w:b/>
                <w:szCs w:val="24"/>
              </w:rPr>
              <w:t xml:space="preserve"> Commissioner may sign on behalf of all Commissioners (subject of course to the governance processes set out on the relevant Collaborative Commissioning Agreement); if the contract being varied is in earlier form, all Commissioners must sign)</w:t>
            </w:r>
          </w:p>
          <w:p w:rsidR="009D4C03" w:rsidRDefault="009D4C03" w:rsidP="00A66D13">
            <w:pPr>
              <w:rPr>
                <w:rFonts w:ascii="Arial" w:hAnsi="Arial" w:cs="Arial"/>
              </w:rPr>
            </w:pPr>
          </w:p>
          <w:p w:rsidR="00BC5FD2" w:rsidRPr="00885951" w:rsidRDefault="00BC5FD2" w:rsidP="00A66D13">
            <w:pPr>
              <w:rPr>
                <w:rFonts w:ascii="Arial" w:hAnsi="Arial" w:cs="Arial"/>
              </w:rPr>
            </w:pPr>
            <w:r w:rsidRPr="00885951">
              <w:rPr>
                <w:rFonts w:ascii="Arial" w:hAnsi="Arial" w:cs="Arial"/>
              </w:rPr>
              <w:t xml:space="preserve">The </w:t>
            </w:r>
            <w:r w:rsidR="002313CD">
              <w:rPr>
                <w:rFonts w:ascii="Arial" w:hAnsi="Arial" w:cs="Arial"/>
              </w:rPr>
              <w:t xml:space="preserve">National </w:t>
            </w:r>
            <w:r>
              <w:rPr>
                <w:rFonts w:ascii="Arial" w:hAnsi="Arial" w:cs="Arial"/>
              </w:rPr>
              <w:t>Variation Agreement</w:t>
            </w:r>
            <w:r w:rsidRPr="00885951">
              <w:rPr>
                <w:rFonts w:ascii="Arial" w:hAnsi="Arial" w:cs="Arial"/>
              </w:rPr>
              <w:t xml:space="preserve"> may be </w:t>
            </w:r>
            <w:r w:rsidR="009D4C03">
              <w:rPr>
                <w:rFonts w:ascii="Arial" w:hAnsi="Arial" w:cs="Arial"/>
              </w:rPr>
              <w:t xml:space="preserve">signed </w:t>
            </w:r>
            <w:r w:rsidRPr="00885951">
              <w:rPr>
                <w:rFonts w:ascii="Arial" w:hAnsi="Arial" w:cs="Arial"/>
              </w:rPr>
              <w:t xml:space="preserve">in counterpart (by each party signing separate but identical copies), or alternatively all parties can execute the same copy of the </w:t>
            </w:r>
            <w:r>
              <w:rPr>
                <w:rFonts w:ascii="Arial" w:hAnsi="Arial" w:cs="Arial"/>
              </w:rPr>
              <w:t>Variation Agreement</w:t>
            </w:r>
            <w:r w:rsidRPr="00885951">
              <w:rPr>
                <w:rFonts w:ascii="Arial" w:hAnsi="Arial" w:cs="Arial"/>
              </w:rPr>
              <w:t>.</w:t>
            </w:r>
          </w:p>
        </w:tc>
      </w:tr>
    </w:tbl>
    <w:p w:rsidR="002313CD" w:rsidRDefault="002313CD">
      <w:pPr>
        <w:spacing w:after="0"/>
      </w:pPr>
      <w:bookmarkStart w:id="8" w:name="_Toc287468621"/>
      <w:bookmarkStart w:id="9" w:name="_Toc349316938"/>
    </w:p>
    <w:p w:rsidR="002313CD" w:rsidRDefault="002313CD" w:rsidP="00582C00">
      <w:pPr>
        <w:spacing w:after="0"/>
      </w:pPr>
    </w:p>
    <w:p w:rsidR="00B00266" w:rsidRDefault="00B00266">
      <w:pPr>
        <w:spacing w:after="0"/>
        <w:rPr>
          <w:rFonts w:ascii="Arial" w:eastAsia="Times New Roman" w:hAnsi="Arial"/>
          <w:b/>
          <w:bCs/>
          <w:iCs/>
          <w:color w:val="A00054"/>
          <w:sz w:val="28"/>
          <w:szCs w:val="28"/>
          <w:lang w:val="en-GB" w:eastAsia="en-US"/>
        </w:rPr>
      </w:pPr>
      <w:r>
        <w:br w:type="page"/>
      </w:r>
    </w:p>
    <w:bookmarkEnd w:id="5"/>
    <w:bookmarkEnd w:id="6"/>
    <w:bookmarkEnd w:id="7"/>
    <w:bookmarkEnd w:id="8"/>
    <w:bookmarkEnd w:id="9"/>
    <w:p w:rsidR="00A20606" w:rsidRPr="00C20C74" w:rsidRDefault="00A20606" w:rsidP="00EE7EFA">
      <w:pPr>
        <w:rPr>
          <w:rFonts w:ascii="Arial" w:hAnsi="Arial" w:cs="Arial"/>
        </w:rPr>
        <w:sectPr w:rsidR="00A20606" w:rsidRPr="00C20C74" w:rsidSect="009F4281">
          <w:type w:val="continuous"/>
          <w:pgSz w:w="11906" w:h="16838" w:code="9"/>
          <w:pgMar w:top="1701" w:right="907" w:bottom="1134" w:left="907" w:header="720" w:footer="720" w:gutter="0"/>
          <w:cols w:space="720"/>
          <w:formProt w:val="0"/>
          <w:titlePg/>
        </w:sectPr>
      </w:pPr>
    </w:p>
    <w:p w:rsidR="002651A4" w:rsidRPr="002651A4" w:rsidRDefault="002651A4" w:rsidP="00505AC5">
      <w:pPr>
        <w:pStyle w:val="Heading2"/>
        <w:ind w:left="576" w:hanging="576"/>
        <w:jc w:val="center"/>
      </w:pPr>
      <w:r w:rsidRPr="002651A4">
        <w:t>Appendix A</w:t>
      </w:r>
    </w:p>
    <w:p w:rsidR="000F28C5" w:rsidRDefault="000F28C5" w:rsidP="000F28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NATIONAL VARIATION AGREEMENT</w:t>
      </w:r>
    </w:p>
    <w:p w:rsidR="000F28C5" w:rsidRDefault="000F28C5" w:rsidP="000F28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RTT waiting times for non-urgent consultant-led treatment</w:t>
      </w:r>
    </w:p>
    <w:p w:rsidR="000F28C5" w:rsidRDefault="000F28C5" w:rsidP="000F28C5">
      <w:pPr>
        <w:rPr>
          <w:rFonts w:ascii="Arial" w:hAnsi="Arial" w:cs="Arial"/>
        </w:rPr>
      </w:pPr>
    </w:p>
    <w:p w:rsidR="000F28C5" w:rsidRDefault="000F28C5" w:rsidP="000F28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Contract/Variation Reference</w:t>
      </w:r>
      <w:r>
        <w:rPr>
          <w:rFonts w:ascii="Arial" w:hAnsi="Arial" w:cs="Arial"/>
          <w:sz w:val="20"/>
        </w:rPr>
        <w:t>:</w:t>
      </w:r>
      <w:r w:rsidR="004A7575">
        <w:rPr>
          <w:rFonts w:ascii="Arial" w:hAnsi="Arial" w:cs="Arial"/>
          <w:sz w:val="20"/>
        </w:rPr>
        <w:tab/>
      </w:r>
    </w:p>
    <w:p w:rsidR="000F28C5" w:rsidRDefault="000F28C5" w:rsidP="000F28C5">
      <w:pPr>
        <w:jc w:val="both"/>
        <w:rPr>
          <w:rFonts w:ascii="Arial" w:hAnsi="Arial" w:cs="Arial"/>
          <w:sz w:val="20"/>
        </w:rPr>
      </w:pPr>
    </w:p>
    <w:p w:rsidR="000F28C5" w:rsidRDefault="000F28C5" w:rsidP="000F28C5">
      <w:pPr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Proposed by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>Co-</w:t>
      </w:r>
      <w:proofErr w:type="spellStart"/>
      <w:r>
        <w:rPr>
          <w:rFonts w:ascii="Arial" w:hAnsi="Arial" w:cs="Arial"/>
          <w:sz w:val="20"/>
        </w:rPr>
        <w:t>ordinating</w:t>
      </w:r>
      <w:proofErr w:type="spellEnd"/>
      <w:r>
        <w:rPr>
          <w:rFonts w:ascii="Arial" w:hAnsi="Arial" w:cs="Arial"/>
          <w:sz w:val="20"/>
        </w:rPr>
        <w:t xml:space="preserve"> Commissioner on behalf of NHS England </w:t>
      </w:r>
    </w:p>
    <w:p w:rsidR="000F28C5" w:rsidRDefault="000F28C5" w:rsidP="000F28C5">
      <w:pPr>
        <w:ind w:left="2880" w:hanging="2880"/>
        <w:jc w:val="both"/>
        <w:rPr>
          <w:rFonts w:ascii="Arial" w:hAnsi="Arial" w:cs="Arial"/>
          <w:sz w:val="20"/>
        </w:rPr>
      </w:pPr>
    </w:p>
    <w:p w:rsidR="000F28C5" w:rsidRDefault="000F28C5" w:rsidP="000F28C5">
      <w:pPr>
        <w:ind w:left="2880" w:hanging="28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Date of Variation Agreement</w:t>
      </w:r>
      <w:r>
        <w:rPr>
          <w:rFonts w:ascii="Arial" w:hAnsi="Arial" w:cs="Arial"/>
          <w:sz w:val="20"/>
        </w:rPr>
        <w:t>:</w:t>
      </w:r>
      <w:r w:rsidR="004A7575">
        <w:rPr>
          <w:rFonts w:ascii="Arial" w:hAnsi="Arial" w:cs="Arial"/>
          <w:sz w:val="20"/>
        </w:rPr>
        <w:tab/>
      </w:r>
    </w:p>
    <w:p w:rsidR="000F28C5" w:rsidRDefault="000F28C5" w:rsidP="000F28C5">
      <w:pPr>
        <w:jc w:val="both"/>
        <w:rPr>
          <w:rFonts w:ascii="Arial" w:hAnsi="Arial" w:cs="Arial"/>
          <w:sz w:val="20"/>
        </w:rPr>
      </w:pPr>
    </w:p>
    <w:p w:rsidR="000F28C5" w:rsidRDefault="000F28C5" w:rsidP="000F28C5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Capitalised</w:t>
      </w:r>
      <w:proofErr w:type="spellEnd"/>
      <w:r>
        <w:rPr>
          <w:rFonts w:ascii="Arial" w:hAnsi="Arial" w:cs="Arial"/>
          <w:sz w:val="20"/>
        </w:rPr>
        <w:t xml:space="preserve"> words and phrases in this Variation Agreement have the meanings given to them in the Contract referred to above.</w:t>
      </w:r>
    </w:p>
    <w:p w:rsidR="000F28C5" w:rsidRDefault="000F28C5" w:rsidP="000F28C5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Parties have agreed the Variation </w:t>
      </w:r>
      <w:r w:rsidR="00C82677">
        <w:rPr>
          <w:rFonts w:ascii="Arial" w:hAnsi="Arial" w:cs="Arial"/>
          <w:sz w:val="20"/>
        </w:rPr>
        <w:t>set out</w:t>
      </w:r>
      <w:r>
        <w:rPr>
          <w:rFonts w:ascii="Arial" w:hAnsi="Arial" w:cs="Arial"/>
          <w:sz w:val="20"/>
        </w:rPr>
        <w:t xml:space="preserve"> below:</w:t>
      </w:r>
    </w:p>
    <w:p w:rsidR="000F28C5" w:rsidRDefault="000F28C5" w:rsidP="000F28C5">
      <w:pPr>
        <w:pStyle w:val="ListParagraph"/>
        <w:ind w:left="567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F28C5" w:rsidTr="000F28C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5" w:rsidRDefault="000F28C5">
            <w:pPr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National Variation to amend Operational Standards in relation to RTT waiting times for non-urgent consultant-led treatment.</w:t>
            </w:r>
          </w:p>
          <w:p w:rsidR="000F28C5" w:rsidRDefault="000F28C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0F28C5" w:rsidRDefault="000F28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4A (</w:t>
            </w:r>
            <w:r>
              <w:rPr>
                <w:rFonts w:ascii="Arial" w:hAnsi="Arial" w:cs="Arial"/>
                <w:i/>
                <w:sz w:val="20"/>
              </w:rPr>
              <w:t>Operational Standards</w:t>
            </w:r>
            <w:r>
              <w:rPr>
                <w:rFonts w:ascii="Arial" w:hAnsi="Arial" w:cs="Arial"/>
                <w:sz w:val="20"/>
              </w:rPr>
              <w:t>) is varied as follows:</w:t>
            </w:r>
          </w:p>
          <w:p w:rsidR="000F28C5" w:rsidRDefault="000F28C5">
            <w:pPr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 w:rsidP="000F28C5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With effect from 1 April 2015, Operational Standards E.B.1 and E.B.2 are deleted; and</w:t>
            </w:r>
          </w:p>
          <w:p w:rsidR="000F28C5" w:rsidRDefault="000F28C5">
            <w:pPr>
              <w:ind w:left="72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 w:rsidP="000F28C5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With effect from 1 October 2015, Operational Standard E.B.3 is varied by the deletion of the existing consequence of breach and its replacement by the following:</w:t>
            </w:r>
          </w:p>
          <w:p w:rsidR="000F28C5" w:rsidRDefault="000F28C5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0F28C5" w:rsidRDefault="000F28C5" w:rsidP="000F28C5">
            <w:pPr>
              <w:ind w:left="7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>
              <w:rPr>
                <w:rFonts w:ascii="Arial" w:hAnsi="Arial" w:cs="Arial"/>
                <w:i/>
                <w:sz w:val="20"/>
              </w:rPr>
              <w:t xml:space="preserve">Where the number of breaches at the end of the month exceeds the tolerance permitted by the threshold, </w:t>
            </w:r>
            <w:r>
              <w:rPr>
                <w:rFonts w:ascii="Arial" w:hAnsi="Arial" w:cs="Arial"/>
                <w:b/>
                <w:i/>
                <w:sz w:val="20"/>
              </w:rPr>
              <w:t>£300</w:t>
            </w:r>
            <w:r>
              <w:rPr>
                <w:rFonts w:ascii="Arial" w:hAnsi="Arial" w:cs="Arial"/>
                <w:i/>
                <w:sz w:val="20"/>
              </w:rPr>
              <w:t xml:space="preserve"> in respect of each excess breach above that threshold”</w:t>
            </w:r>
          </w:p>
          <w:p w:rsidR="000F28C5" w:rsidRDefault="000F28C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F28C5" w:rsidRDefault="000F28C5" w:rsidP="000F28C5">
      <w:pPr>
        <w:jc w:val="both"/>
        <w:rPr>
          <w:rFonts w:ascii="Arial" w:hAnsi="Arial" w:cs="Arial"/>
          <w:sz w:val="20"/>
        </w:rPr>
      </w:pPr>
    </w:p>
    <w:p w:rsidR="000F28C5" w:rsidRDefault="000F28C5" w:rsidP="000F28C5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Parties agree that the Contract is varied accordingly.</w:t>
      </w:r>
    </w:p>
    <w:p w:rsidR="000F28C5" w:rsidRDefault="000F28C5" w:rsidP="000F28C5">
      <w:pPr>
        <w:jc w:val="both"/>
        <w:rPr>
          <w:rFonts w:ascii="Arial" w:hAnsi="Arial" w:cs="Arial"/>
          <w:sz w:val="20"/>
        </w:rPr>
      </w:pPr>
    </w:p>
    <w:p w:rsidR="000F28C5" w:rsidRDefault="000F28C5" w:rsidP="000F28C5">
      <w:pPr>
        <w:pStyle w:val="ListParagraph"/>
        <w:numPr>
          <w:ilvl w:val="0"/>
          <w:numId w:val="11"/>
        </w:numPr>
        <w:spacing w:after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Variation takes effect </w:t>
      </w:r>
      <w:r w:rsidR="00C82677">
        <w:rPr>
          <w:rFonts w:ascii="Arial" w:hAnsi="Arial" w:cs="Arial"/>
          <w:sz w:val="20"/>
        </w:rPr>
        <w:t>as set out in paragraph 1 above</w:t>
      </w:r>
      <w:r>
        <w:rPr>
          <w:rFonts w:ascii="Arial" w:hAnsi="Arial" w:cs="Arial"/>
          <w:sz w:val="20"/>
        </w:rPr>
        <w:t>.</w:t>
      </w:r>
    </w:p>
    <w:p w:rsidR="000F28C5" w:rsidRDefault="000F28C5" w:rsidP="000F28C5">
      <w:pPr>
        <w:pStyle w:val="ListParagraph"/>
        <w:ind w:left="567"/>
        <w:jc w:val="both"/>
        <w:rPr>
          <w:rFonts w:ascii="Arial" w:hAnsi="Arial" w:cs="Arial"/>
          <w:sz w:val="20"/>
        </w:rPr>
      </w:pPr>
    </w:p>
    <w:p w:rsidR="000F28C5" w:rsidRDefault="000F28C5" w:rsidP="000F28C5">
      <w:pPr>
        <w:pStyle w:val="ListParagraph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IN WITNESS OF WHICH the Parties have signed this Variation Agreement on the date(s) shown below</w:t>
      </w:r>
    </w:p>
    <w:p w:rsidR="000F28C5" w:rsidRDefault="000F28C5" w:rsidP="000F28C5">
      <w:pPr>
        <w:pStyle w:val="ListParagraph"/>
        <w:ind w:left="993"/>
        <w:jc w:val="both"/>
        <w:rPr>
          <w:rFonts w:ascii="Arial" w:hAnsi="Arial" w:cs="Arial"/>
          <w:sz w:val="20"/>
        </w:rPr>
      </w:pPr>
    </w:p>
    <w:p w:rsidR="000F28C5" w:rsidRDefault="000F28C5" w:rsidP="000F28C5">
      <w:pPr>
        <w:pStyle w:val="ListParagraph"/>
        <w:ind w:left="993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020"/>
        <w:gridCol w:w="4536"/>
      </w:tblGrid>
      <w:tr w:rsidR="000F28C5" w:rsidTr="000F28C5">
        <w:tc>
          <w:tcPr>
            <w:tcW w:w="4020" w:type="dxa"/>
          </w:tcPr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SIGNED by</w:t>
            </w:r>
          </w:p>
        </w:tc>
        <w:tc>
          <w:tcPr>
            <w:tcW w:w="4536" w:type="dxa"/>
          </w:tcPr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……………………………………………..</w:t>
            </w: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</w:tr>
      <w:tr w:rsidR="000F28C5" w:rsidTr="000F28C5">
        <w:tc>
          <w:tcPr>
            <w:tcW w:w="4020" w:type="dxa"/>
          </w:tcPr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[INSERT AUTHORISED</w:t>
            </w: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SIGNATORY’S NAME]</w:t>
            </w: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for and on behalf of </w:t>
            </w: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</w:rPr>
              <w:t>the Co-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ordinating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Commissioner</w:t>
            </w:r>
          </w:p>
        </w:tc>
        <w:tc>
          <w:tcPr>
            <w:tcW w:w="4536" w:type="dxa"/>
          </w:tcPr>
          <w:p w:rsidR="000F28C5" w:rsidRDefault="000F28C5">
            <w:pPr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</w:t>
            </w:r>
          </w:p>
          <w:p w:rsidR="000F28C5" w:rsidRDefault="000F28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</w:t>
            </w: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</w:tr>
      <w:tr w:rsidR="000F28C5" w:rsidTr="000F28C5">
        <w:tc>
          <w:tcPr>
            <w:tcW w:w="4020" w:type="dxa"/>
          </w:tcPr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4536" w:type="dxa"/>
          </w:tcPr>
          <w:p w:rsidR="000F28C5" w:rsidRDefault="000F28C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28C5" w:rsidTr="000F28C5">
        <w:tc>
          <w:tcPr>
            <w:tcW w:w="4020" w:type="dxa"/>
          </w:tcPr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SIGNED by</w:t>
            </w: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[INSERT AUTHORISED</w:t>
            </w: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SIGNATORY’S NAME]</w:t>
            </w: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for and on behalf of </w:t>
            </w: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[INSERT PROVIDER NAME]</w:t>
            </w:r>
          </w:p>
        </w:tc>
        <w:tc>
          <w:tcPr>
            <w:tcW w:w="4536" w:type="dxa"/>
          </w:tcPr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……………………………………………..</w:t>
            </w:r>
          </w:p>
          <w:p w:rsidR="000F28C5" w:rsidRDefault="000F28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  <w:p w:rsidR="000F28C5" w:rsidRDefault="000F28C5">
            <w:pPr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……………………………………………..</w:t>
            </w:r>
          </w:p>
          <w:p w:rsidR="000F28C5" w:rsidRDefault="000F28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  <w:p w:rsidR="000F28C5" w:rsidRDefault="000F28C5">
            <w:pPr>
              <w:jc w:val="both"/>
              <w:rPr>
                <w:rFonts w:ascii="Arial" w:hAnsi="Arial" w:cs="Arial"/>
                <w:sz w:val="20"/>
              </w:rPr>
            </w:pPr>
          </w:p>
          <w:p w:rsidR="000F28C5" w:rsidRDefault="000F28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</w:t>
            </w:r>
          </w:p>
          <w:p w:rsidR="000F28C5" w:rsidRDefault="000F28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</w:tr>
    </w:tbl>
    <w:p w:rsidR="000F28C5" w:rsidRDefault="000F28C5" w:rsidP="008C7928">
      <w:pPr>
        <w:spacing w:after="0"/>
        <w:rPr>
          <w:rFonts w:ascii="Arial" w:hAnsi="Arial" w:cs="Arial"/>
          <w:lang w:val="en-GB" w:eastAsia="en-US"/>
        </w:rPr>
      </w:pPr>
    </w:p>
    <w:sectPr w:rsidR="000F28C5" w:rsidSect="00CE0D33">
      <w:footerReference w:type="default" r:id="rId1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0E" w:rsidRDefault="0086450E" w:rsidP="009F5589">
      <w:pPr>
        <w:spacing w:after="0"/>
      </w:pPr>
      <w:r>
        <w:separator/>
      </w:r>
    </w:p>
  </w:endnote>
  <w:endnote w:type="continuationSeparator" w:id="0">
    <w:p w:rsidR="0086450E" w:rsidRDefault="0086450E" w:rsidP="009F55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rbe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606" w:rsidRDefault="00A20606">
    <w:pPr>
      <w:pStyle w:val="Footer"/>
      <w:jc w:val="center"/>
    </w:pPr>
  </w:p>
  <w:p w:rsidR="00A20606" w:rsidRPr="009F4281" w:rsidRDefault="009F4281" w:rsidP="009F4281">
    <w:pPr>
      <w:pStyle w:val="Footer"/>
      <w:jc w:val="right"/>
      <w:rPr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6A60DE">
      <w:rPr>
        <w:rStyle w:val="PageNumber"/>
        <w:noProof/>
        <w:color w:val="A00054"/>
        <w:sz w:val="18"/>
        <w:szCs w:val="18"/>
      </w:rPr>
      <w:t>2</w:t>
    </w:r>
    <w:r w:rsidRPr="00E01309">
      <w:rPr>
        <w:rStyle w:val="PageNumber"/>
        <w:color w:val="A00054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81" w:rsidRPr="005A0E95" w:rsidRDefault="009F4281" w:rsidP="005A0E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0E" w:rsidRDefault="0086450E" w:rsidP="009F5589">
      <w:pPr>
        <w:spacing w:after="0"/>
      </w:pPr>
      <w:r>
        <w:separator/>
      </w:r>
    </w:p>
  </w:footnote>
  <w:footnote w:type="continuationSeparator" w:id="0">
    <w:p w:rsidR="0086450E" w:rsidRDefault="0086450E" w:rsidP="009F55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alias w:val="Protective Marking"/>
      <w:tag w:val="Protective Marking"/>
      <w:id w:val="905800233"/>
      <w:dropDownList>
        <w:listItem w:displayText="Classification: Official" w:value="Classification: Official"/>
        <w:listItem w:displayText="Classification: Official-Sensitive: Commercial" w:value="Classification: Official-Sensitive: Commercial"/>
        <w:listItem w:displayText="Classification: Official-Sensitive: Personal" w:value="Classification: Official-Sensitive: Personal"/>
      </w:dropDownList>
    </w:sdtPr>
    <w:sdtEndPr/>
    <w:sdtContent>
      <w:p w:rsidR="00CF6901" w:rsidRDefault="00CF6901" w:rsidP="00CF6901">
        <w:pPr>
          <w:pStyle w:val="Header"/>
          <w:jc w:val="center"/>
        </w:pPr>
        <w:r w:rsidRPr="00CF6901">
          <w:rPr>
            <w:rFonts w:ascii="Arial" w:hAnsi="Arial" w:cs="Arial"/>
          </w:rPr>
          <w:t>Classification: Official</w:t>
        </w:r>
      </w:p>
    </w:sdtContent>
  </w:sdt>
  <w:p w:rsidR="00CF6901" w:rsidRDefault="00CF69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0EE"/>
    <w:multiLevelType w:val="hybridMultilevel"/>
    <w:tmpl w:val="472240A6"/>
    <w:lvl w:ilvl="0" w:tplc="02C80B7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87748C"/>
    <w:multiLevelType w:val="hybridMultilevel"/>
    <w:tmpl w:val="64300996"/>
    <w:lvl w:ilvl="0" w:tplc="2C9A63F0">
      <w:start w:val="1"/>
      <w:numFmt w:val="bullet"/>
      <w:pStyle w:val="PDbulletlevel1"/>
      <w:lvlText w:val="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0072C6"/>
      </w:rPr>
    </w:lvl>
    <w:lvl w:ilvl="1" w:tplc="1674B828">
      <w:numFmt w:val="bullet"/>
      <w:lvlText w:val="–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53F4EAE"/>
    <w:multiLevelType w:val="hybridMultilevel"/>
    <w:tmpl w:val="5E902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17EE6"/>
    <w:multiLevelType w:val="hybridMultilevel"/>
    <w:tmpl w:val="24BA7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E7CCA"/>
    <w:multiLevelType w:val="hybridMultilevel"/>
    <w:tmpl w:val="532AD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E2D14"/>
    <w:multiLevelType w:val="multilevel"/>
    <w:tmpl w:val="162A93C2"/>
    <w:lvl w:ilvl="0">
      <w:start w:val="1"/>
      <w:numFmt w:val="decimal"/>
      <w:pStyle w:val="PDChapterTitleLevel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40"/>
        <w:szCs w:val="40"/>
      </w:rPr>
    </w:lvl>
    <w:lvl w:ilvl="1">
      <w:start w:val="1"/>
      <w:numFmt w:val="decimal"/>
      <w:pStyle w:val="PDNumberedPara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color w:val="80808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B0175F6"/>
    <w:multiLevelType w:val="hybridMultilevel"/>
    <w:tmpl w:val="5D0061B0"/>
    <w:lvl w:ilvl="0" w:tplc="685C0CA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467D8F"/>
    <w:multiLevelType w:val="hybridMultilevel"/>
    <w:tmpl w:val="210C4D3A"/>
    <w:lvl w:ilvl="0" w:tplc="3CEA28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6E49D9"/>
    <w:multiLevelType w:val="hybridMultilevel"/>
    <w:tmpl w:val="CD70BBC8"/>
    <w:lvl w:ilvl="0" w:tplc="057A6E88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42C86"/>
    <w:multiLevelType w:val="hybridMultilevel"/>
    <w:tmpl w:val="DC4E50C2"/>
    <w:lvl w:ilvl="0" w:tplc="54BE74BC">
      <w:start w:val="1"/>
      <w:numFmt w:val="bullet"/>
      <w:pStyle w:val="DHSecondaryHeadingO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9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550102"/>
    <w:multiLevelType w:val="hybridMultilevel"/>
    <w:tmpl w:val="BF5CE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C3"/>
    <w:rsid w:val="00042A7C"/>
    <w:rsid w:val="00060B61"/>
    <w:rsid w:val="000758A2"/>
    <w:rsid w:val="00076D42"/>
    <w:rsid w:val="000C0906"/>
    <w:rsid w:val="000D0BB4"/>
    <w:rsid w:val="000E7735"/>
    <w:rsid w:val="000F28C5"/>
    <w:rsid w:val="001036A2"/>
    <w:rsid w:val="001344D6"/>
    <w:rsid w:val="00140A3A"/>
    <w:rsid w:val="0015189E"/>
    <w:rsid w:val="00193C9D"/>
    <w:rsid w:val="00195267"/>
    <w:rsid w:val="00196C4F"/>
    <w:rsid w:val="001E46B7"/>
    <w:rsid w:val="002037A7"/>
    <w:rsid w:val="002041F9"/>
    <w:rsid w:val="002313CD"/>
    <w:rsid w:val="002330BB"/>
    <w:rsid w:val="0024506D"/>
    <w:rsid w:val="00255CAC"/>
    <w:rsid w:val="002609AA"/>
    <w:rsid w:val="00263D67"/>
    <w:rsid w:val="002651A4"/>
    <w:rsid w:val="002935F8"/>
    <w:rsid w:val="00294FA6"/>
    <w:rsid w:val="002A4024"/>
    <w:rsid w:val="002A5E13"/>
    <w:rsid w:val="002C4D76"/>
    <w:rsid w:val="002C6EFA"/>
    <w:rsid w:val="002C7992"/>
    <w:rsid w:val="002D66C3"/>
    <w:rsid w:val="002E1C8C"/>
    <w:rsid w:val="002F6082"/>
    <w:rsid w:val="003005A8"/>
    <w:rsid w:val="00325C5E"/>
    <w:rsid w:val="0036667B"/>
    <w:rsid w:val="00397C70"/>
    <w:rsid w:val="003C10B6"/>
    <w:rsid w:val="003C20BD"/>
    <w:rsid w:val="003C2235"/>
    <w:rsid w:val="003C3EAA"/>
    <w:rsid w:val="003D23FD"/>
    <w:rsid w:val="003E43B4"/>
    <w:rsid w:val="003E5E42"/>
    <w:rsid w:val="00427D9D"/>
    <w:rsid w:val="00431CA5"/>
    <w:rsid w:val="00446C90"/>
    <w:rsid w:val="00453FD9"/>
    <w:rsid w:val="004708C3"/>
    <w:rsid w:val="00497D24"/>
    <w:rsid w:val="004A7575"/>
    <w:rsid w:val="004B0CFC"/>
    <w:rsid w:val="004C0AF2"/>
    <w:rsid w:val="004C6D22"/>
    <w:rsid w:val="004F1A92"/>
    <w:rsid w:val="00505AC5"/>
    <w:rsid w:val="005245AC"/>
    <w:rsid w:val="00532F04"/>
    <w:rsid w:val="00541BFD"/>
    <w:rsid w:val="0056068D"/>
    <w:rsid w:val="005632F7"/>
    <w:rsid w:val="005723F5"/>
    <w:rsid w:val="00580F5E"/>
    <w:rsid w:val="00582C00"/>
    <w:rsid w:val="005830F8"/>
    <w:rsid w:val="00590B66"/>
    <w:rsid w:val="00597D85"/>
    <w:rsid w:val="005A0E95"/>
    <w:rsid w:val="005B0F48"/>
    <w:rsid w:val="005B3A3D"/>
    <w:rsid w:val="005B73E6"/>
    <w:rsid w:val="005D3C8C"/>
    <w:rsid w:val="00601256"/>
    <w:rsid w:val="00635E6C"/>
    <w:rsid w:val="00660BB6"/>
    <w:rsid w:val="00671AFE"/>
    <w:rsid w:val="006723E5"/>
    <w:rsid w:val="006A60DE"/>
    <w:rsid w:val="006C521A"/>
    <w:rsid w:val="006C6E4C"/>
    <w:rsid w:val="006D10CB"/>
    <w:rsid w:val="006F3211"/>
    <w:rsid w:val="00725D67"/>
    <w:rsid w:val="00733DEF"/>
    <w:rsid w:val="00741EE2"/>
    <w:rsid w:val="007530A4"/>
    <w:rsid w:val="00761670"/>
    <w:rsid w:val="00761E1B"/>
    <w:rsid w:val="00763707"/>
    <w:rsid w:val="0076623B"/>
    <w:rsid w:val="0076649D"/>
    <w:rsid w:val="00772779"/>
    <w:rsid w:val="007C15B4"/>
    <w:rsid w:val="00815211"/>
    <w:rsid w:val="00816A3A"/>
    <w:rsid w:val="00832CAE"/>
    <w:rsid w:val="008428E9"/>
    <w:rsid w:val="0086450E"/>
    <w:rsid w:val="00885951"/>
    <w:rsid w:val="00895BF2"/>
    <w:rsid w:val="008B573E"/>
    <w:rsid w:val="008C44B1"/>
    <w:rsid w:val="008C7928"/>
    <w:rsid w:val="008D2D50"/>
    <w:rsid w:val="008D2F3D"/>
    <w:rsid w:val="008E6B70"/>
    <w:rsid w:val="009050CA"/>
    <w:rsid w:val="00932914"/>
    <w:rsid w:val="0095362E"/>
    <w:rsid w:val="009538E1"/>
    <w:rsid w:val="009626D8"/>
    <w:rsid w:val="00987FA6"/>
    <w:rsid w:val="009921D1"/>
    <w:rsid w:val="009A4932"/>
    <w:rsid w:val="009A5F94"/>
    <w:rsid w:val="009A7845"/>
    <w:rsid w:val="009C3738"/>
    <w:rsid w:val="009D4C03"/>
    <w:rsid w:val="009E2BF6"/>
    <w:rsid w:val="009F4281"/>
    <w:rsid w:val="009F4EE1"/>
    <w:rsid w:val="009F5589"/>
    <w:rsid w:val="00A03983"/>
    <w:rsid w:val="00A20606"/>
    <w:rsid w:val="00A32D40"/>
    <w:rsid w:val="00A4026D"/>
    <w:rsid w:val="00A66D13"/>
    <w:rsid w:val="00A743B2"/>
    <w:rsid w:val="00A836C9"/>
    <w:rsid w:val="00A87191"/>
    <w:rsid w:val="00A94EA8"/>
    <w:rsid w:val="00AE04F6"/>
    <w:rsid w:val="00AE10C8"/>
    <w:rsid w:val="00AE4588"/>
    <w:rsid w:val="00B00266"/>
    <w:rsid w:val="00B45424"/>
    <w:rsid w:val="00B6630A"/>
    <w:rsid w:val="00B83CB1"/>
    <w:rsid w:val="00BA3936"/>
    <w:rsid w:val="00BA70D6"/>
    <w:rsid w:val="00BC5FD2"/>
    <w:rsid w:val="00BD71C5"/>
    <w:rsid w:val="00BE4531"/>
    <w:rsid w:val="00C20C74"/>
    <w:rsid w:val="00C2503A"/>
    <w:rsid w:val="00C73445"/>
    <w:rsid w:val="00C82677"/>
    <w:rsid w:val="00C874A8"/>
    <w:rsid w:val="00C94B71"/>
    <w:rsid w:val="00CC44C3"/>
    <w:rsid w:val="00CD3272"/>
    <w:rsid w:val="00CE0B3C"/>
    <w:rsid w:val="00CE0D33"/>
    <w:rsid w:val="00CE52F8"/>
    <w:rsid w:val="00CE5C7A"/>
    <w:rsid w:val="00CE6225"/>
    <w:rsid w:val="00CE62BE"/>
    <w:rsid w:val="00CF0910"/>
    <w:rsid w:val="00CF4F09"/>
    <w:rsid w:val="00CF6901"/>
    <w:rsid w:val="00D06F65"/>
    <w:rsid w:val="00D3477B"/>
    <w:rsid w:val="00D37A0E"/>
    <w:rsid w:val="00D653A4"/>
    <w:rsid w:val="00D77930"/>
    <w:rsid w:val="00D968A6"/>
    <w:rsid w:val="00DA1A15"/>
    <w:rsid w:val="00DF073E"/>
    <w:rsid w:val="00DF5E59"/>
    <w:rsid w:val="00E01634"/>
    <w:rsid w:val="00E02231"/>
    <w:rsid w:val="00E52AC6"/>
    <w:rsid w:val="00E53CC5"/>
    <w:rsid w:val="00E60E26"/>
    <w:rsid w:val="00E62A86"/>
    <w:rsid w:val="00E86372"/>
    <w:rsid w:val="00E9525C"/>
    <w:rsid w:val="00EC2F13"/>
    <w:rsid w:val="00EC71E8"/>
    <w:rsid w:val="00ED3C58"/>
    <w:rsid w:val="00EE53F5"/>
    <w:rsid w:val="00EE7EFA"/>
    <w:rsid w:val="00F13A68"/>
    <w:rsid w:val="00F14274"/>
    <w:rsid w:val="00F50020"/>
    <w:rsid w:val="00F7278B"/>
    <w:rsid w:val="00F834BA"/>
    <w:rsid w:val="00F95D47"/>
    <w:rsid w:val="00FA2EA9"/>
    <w:rsid w:val="00FC38D6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33"/>
    <w:pPr>
      <w:spacing w:after="200"/>
    </w:pPr>
    <w:rPr>
      <w:sz w:val="24"/>
      <w:szCs w:val="20"/>
      <w:lang w:val="en-US" w:eastAsia="ja-JP"/>
    </w:rPr>
  </w:style>
  <w:style w:type="paragraph" w:styleId="Heading1">
    <w:name w:val="heading 1"/>
    <w:basedOn w:val="DHChapterHead"/>
    <w:next w:val="Normal"/>
    <w:link w:val="Heading1Char"/>
    <w:uiPriority w:val="9"/>
    <w:qFormat/>
    <w:rsid w:val="009F4EE1"/>
    <w:pPr>
      <w:outlineLvl w:val="0"/>
    </w:pPr>
    <w:rPr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4026D"/>
    <w:pPr>
      <w:spacing w:after="0" w:line="360" w:lineRule="auto"/>
      <w:outlineLvl w:val="1"/>
    </w:pPr>
    <w:rPr>
      <w:rFonts w:ascii="Arial" w:eastAsia="Times New Roman" w:hAnsi="Arial"/>
      <w:b/>
      <w:bCs/>
      <w:iCs/>
      <w:color w:val="A00054"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5589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F4EE1"/>
    <w:rPr>
      <w:rFonts w:ascii="Arial" w:hAnsi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F5589"/>
    <w:rPr>
      <w:rFonts w:ascii="Arial" w:hAnsi="Arial" w:cs="Arial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4708C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8C3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rsid w:val="00532F04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532F04"/>
    <w:pPr>
      <w:spacing w:after="0"/>
    </w:pPr>
    <w:rPr>
      <w:rFonts w:ascii="Arial" w:hAnsi="Arial" w:cs="Arial"/>
      <w:lang w:val="en-GB" w:eastAsia="en-US"/>
    </w:rPr>
  </w:style>
  <w:style w:type="character" w:customStyle="1" w:styleId="DHTitleChar">
    <w:name w:val="DH Title Char"/>
    <w:link w:val="DHTitle"/>
    <w:locked/>
    <w:rsid w:val="00532F04"/>
    <w:rPr>
      <w:rFonts w:ascii="Arial" w:hAnsi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532F04"/>
    <w:pPr>
      <w:spacing w:after="0" w:line="660" w:lineRule="exact"/>
    </w:pPr>
    <w:rPr>
      <w:rFonts w:ascii="Arial" w:hAnsi="Arial"/>
      <w:b/>
      <w:color w:val="009966"/>
      <w:sz w:val="60"/>
      <w:lang w:val="en-GB" w:eastAsia="en-US"/>
    </w:rPr>
  </w:style>
  <w:style w:type="paragraph" w:customStyle="1" w:styleId="DHBodycopy">
    <w:name w:val="DH Body copy"/>
    <w:basedOn w:val="Normal"/>
    <w:uiPriority w:val="99"/>
    <w:rsid w:val="00532F04"/>
    <w:pPr>
      <w:spacing w:after="0" w:line="320" w:lineRule="exact"/>
    </w:pPr>
    <w:rPr>
      <w:rFonts w:ascii="Arial" w:hAnsi="Arial"/>
      <w:lang w:val="en-GB" w:eastAsia="en-US"/>
    </w:rPr>
  </w:style>
  <w:style w:type="paragraph" w:customStyle="1" w:styleId="DHtitlepagetext">
    <w:name w:val="DH title page text"/>
    <w:basedOn w:val="DHTitle"/>
    <w:uiPriority w:val="99"/>
    <w:rsid w:val="00532F04"/>
    <w:rPr>
      <w:color w:val="auto"/>
      <w:sz w:val="24"/>
    </w:rPr>
  </w:style>
  <w:style w:type="paragraph" w:customStyle="1" w:styleId="DHBulletlist">
    <w:name w:val="DH Bullet list"/>
    <w:basedOn w:val="Normal"/>
    <w:uiPriority w:val="99"/>
    <w:rsid w:val="00532F04"/>
    <w:pPr>
      <w:tabs>
        <w:tab w:val="num" w:pos="360"/>
      </w:tabs>
      <w:spacing w:after="0" w:line="320" w:lineRule="exact"/>
    </w:pPr>
    <w:rPr>
      <w:rFonts w:ascii="Arial" w:hAnsi="Arial"/>
      <w:lang w:val="en-GB" w:eastAsia="en-US"/>
    </w:rPr>
  </w:style>
  <w:style w:type="paragraph" w:customStyle="1" w:styleId="DHSubtitle">
    <w:name w:val="DH Subtitle"/>
    <w:basedOn w:val="Normal"/>
    <w:uiPriority w:val="99"/>
    <w:rsid w:val="00532F04"/>
    <w:pPr>
      <w:spacing w:after="0" w:line="500" w:lineRule="exact"/>
    </w:pPr>
    <w:rPr>
      <w:rFonts w:ascii="Times New Roman" w:hAnsi="Times New Roman"/>
      <w:i/>
      <w:sz w:val="46"/>
      <w:lang w:val="en-GB" w:eastAsia="en-US"/>
    </w:rPr>
  </w:style>
  <w:style w:type="paragraph" w:customStyle="1" w:styleId="DHChapterHead">
    <w:name w:val="DH Chapter Head"/>
    <w:basedOn w:val="DHTitle"/>
    <w:uiPriority w:val="99"/>
    <w:rsid w:val="00532F04"/>
    <w:rPr>
      <w:b w:val="0"/>
    </w:rPr>
  </w:style>
  <w:style w:type="paragraph" w:customStyle="1" w:styleId="DHSecondaryHeadingOne">
    <w:name w:val="DH Secondary Heading One"/>
    <w:basedOn w:val="DHTitle"/>
    <w:rsid w:val="00532F04"/>
    <w:pPr>
      <w:numPr>
        <w:numId w:val="1"/>
      </w:numPr>
      <w:spacing w:line="360" w:lineRule="exact"/>
      <w:ind w:left="0" w:firstLine="0"/>
    </w:pPr>
    <w:rPr>
      <w:b w:val="0"/>
      <w:sz w:val="28"/>
    </w:rPr>
  </w:style>
  <w:style w:type="paragraph" w:customStyle="1" w:styleId="CharCharCharCharCharCharCharCharChar1CharCharCharCharCharChar">
    <w:name w:val="Char Char Char Char Char Char Char Char Char1 Char Char Char Char Char Char"/>
    <w:basedOn w:val="Normal"/>
    <w:uiPriority w:val="99"/>
    <w:rsid w:val="00F50020"/>
    <w:pPr>
      <w:spacing w:after="120" w:line="240" w:lineRule="exact"/>
    </w:pPr>
    <w:rPr>
      <w:rFonts w:ascii="Verdana" w:hAnsi="Verdana" w:cs="Verdana"/>
      <w:sz w:val="20"/>
      <w:lang w:eastAsia="en-US"/>
    </w:rPr>
  </w:style>
  <w:style w:type="character" w:styleId="PageNumber">
    <w:name w:val="page number"/>
    <w:basedOn w:val="DefaultParagraphFont"/>
    <w:uiPriority w:val="99"/>
    <w:rsid w:val="009F5589"/>
    <w:rPr>
      <w:rFonts w:cs="Times New Roman"/>
    </w:rPr>
  </w:style>
  <w:style w:type="paragraph" w:styleId="FootnoteText">
    <w:name w:val="footnote text"/>
    <w:aliases w:val="PD Footnote Text"/>
    <w:basedOn w:val="Normal"/>
    <w:link w:val="FootnoteTextChar"/>
    <w:uiPriority w:val="99"/>
    <w:semiHidden/>
    <w:rsid w:val="009F5589"/>
    <w:pPr>
      <w:spacing w:after="0"/>
    </w:pPr>
    <w:rPr>
      <w:rFonts w:ascii="Arial" w:hAnsi="Arial" w:cs="Arial"/>
      <w:color w:val="0072C6"/>
      <w:lang w:val="en-GB" w:eastAsia="en-GB"/>
    </w:rPr>
  </w:style>
  <w:style w:type="character" w:customStyle="1" w:styleId="FootnoteTextChar">
    <w:name w:val="Footnote Text Char"/>
    <w:aliases w:val="PD Footnote Text Char"/>
    <w:basedOn w:val="DefaultParagraphFont"/>
    <w:link w:val="FootnoteText"/>
    <w:uiPriority w:val="99"/>
    <w:semiHidden/>
    <w:locked/>
    <w:rsid w:val="009F5589"/>
    <w:rPr>
      <w:rFonts w:ascii="Arial" w:hAnsi="Arial" w:cs="Arial"/>
      <w:color w:val="0072C6"/>
      <w:sz w:val="24"/>
      <w:lang w:eastAsia="en-GB"/>
    </w:rPr>
  </w:style>
  <w:style w:type="character" w:styleId="FootnoteReference">
    <w:name w:val="footnote reference"/>
    <w:aliases w:val="PD Footnote Reference"/>
    <w:basedOn w:val="DefaultParagraphFont"/>
    <w:uiPriority w:val="99"/>
    <w:semiHidden/>
    <w:rsid w:val="009F5589"/>
    <w:rPr>
      <w:rFonts w:ascii="Arial" w:hAnsi="Arial" w:cs="Arial"/>
      <w:sz w:val="24"/>
      <w:szCs w:val="24"/>
      <w:vertAlign w:val="superscript"/>
      <w:lang w:val="en-GB" w:eastAsia="en-GB" w:bidi="ar-SA"/>
    </w:rPr>
  </w:style>
  <w:style w:type="paragraph" w:customStyle="1" w:styleId="PDNumberedPara">
    <w:name w:val="PD Numbered Para"/>
    <w:basedOn w:val="Normal"/>
    <w:link w:val="PDNumberedParaChar"/>
    <w:uiPriority w:val="99"/>
    <w:rsid w:val="009F5589"/>
    <w:pPr>
      <w:numPr>
        <w:ilvl w:val="1"/>
        <w:numId w:val="3"/>
      </w:numPr>
      <w:autoSpaceDE w:val="0"/>
      <w:autoSpaceDN w:val="0"/>
      <w:adjustRightInd w:val="0"/>
      <w:spacing w:after="240"/>
      <w:outlineLvl w:val="1"/>
    </w:pPr>
    <w:rPr>
      <w:rFonts w:ascii="Arial" w:hAnsi="Arial" w:cs="Arial"/>
      <w:lang w:val="en-GB" w:eastAsia="en-US"/>
    </w:rPr>
  </w:style>
  <w:style w:type="paragraph" w:customStyle="1" w:styleId="PDChapterTitleLevel1">
    <w:name w:val="PD Chapter Title (Level 1)"/>
    <w:basedOn w:val="Heading1"/>
    <w:next w:val="PDNumberedPara"/>
    <w:uiPriority w:val="99"/>
    <w:rsid w:val="009F5589"/>
    <w:pPr>
      <w:keepNext/>
      <w:keepLines/>
      <w:widowControl w:val="0"/>
      <w:numPr>
        <w:numId w:val="3"/>
      </w:numPr>
      <w:tabs>
        <w:tab w:val="left" w:pos="8222"/>
      </w:tabs>
      <w:autoSpaceDE w:val="0"/>
      <w:autoSpaceDN w:val="0"/>
      <w:adjustRightInd w:val="0"/>
      <w:spacing w:after="600" w:line="240" w:lineRule="auto"/>
    </w:pPr>
    <w:rPr>
      <w:color w:val="0072C6"/>
      <w:kern w:val="36"/>
      <w:sz w:val="60"/>
      <w:szCs w:val="60"/>
    </w:rPr>
  </w:style>
  <w:style w:type="paragraph" w:customStyle="1" w:styleId="PDbulletlevel1">
    <w:name w:val="PD &gt; bullet level 1"/>
    <w:basedOn w:val="Normal"/>
    <w:link w:val="PDbulletlevel1Char"/>
    <w:uiPriority w:val="99"/>
    <w:rsid w:val="009F5589"/>
    <w:pPr>
      <w:keepLines/>
      <w:numPr>
        <w:numId w:val="2"/>
      </w:numPr>
      <w:autoSpaceDE w:val="0"/>
      <w:autoSpaceDN w:val="0"/>
      <w:adjustRightInd w:val="0"/>
      <w:spacing w:after="100" w:afterAutospacing="1"/>
    </w:pPr>
    <w:rPr>
      <w:rFonts w:ascii="Arial" w:hAnsi="Arial" w:cs="Arial"/>
      <w:szCs w:val="24"/>
      <w:lang w:val="en-GB" w:eastAsia="en-US"/>
    </w:rPr>
  </w:style>
  <w:style w:type="character" w:customStyle="1" w:styleId="PDNumberedParaChar">
    <w:name w:val="PD Numbered Para Char"/>
    <w:basedOn w:val="DefaultParagraphFont"/>
    <w:link w:val="PDNumberedPara"/>
    <w:uiPriority w:val="99"/>
    <w:locked/>
    <w:rsid w:val="009F5589"/>
    <w:rPr>
      <w:rFonts w:ascii="Arial" w:hAnsi="Arial" w:cs="Arial"/>
      <w:sz w:val="24"/>
      <w:szCs w:val="20"/>
      <w:lang w:eastAsia="en-US"/>
    </w:rPr>
  </w:style>
  <w:style w:type="character" w:customStyle="1" w:styleId="PDbulletlevel1Char">
    <w:name w:val="PD &gt; bullet level 1 Char"/>
    <w:basedOn w:val="DefaultParagraphFont"/>
    <w:link w:val="PDbulletlevel1"/>
    <w:uiPriority w:val="99"/>
    <w:locked/>
    <w:rsid w:val="009F5589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E7EF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EFA"/>
    <w:rPr>
      <w:rFonts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EE7EF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EFA"/>
    <w:rPr>
      <w:rFonts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BA70D6"/>
    <w:pPr>
      <w:ind w:left="720"/>
      <w:contextualSpacing/>
    </w:pPr>
  </w:style>
  <w:style w:type="table" w:styleId="TableGrid">
    <w:name w:val="Table Grid"/>
    <w:basedOn w:val="TableNormal"/>
    <w:uiPriority w:val="99"/>
    <w:rsid w:val="000758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6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0B6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2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0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0BD"/>
    <w:rPr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0BD"/>
    <w:rPr>
      <w:b/>
      <w:bCs/>
      <w:sz w:val="2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A4026D"/>
    <w:rPr>
      <w:rFonts w:ascii="Arial" w:eastAsia="Times New Roman" w:hAnsi="Arial"/>
      <w:b/>
      <w:bCs/>
      <w:iCs/>
      <w:color w:val="A00054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33"/>
    <w:pPr>
      <w:spacing w:after="200"/>
    </w:pPr>
    <w:rPr>
      <w:sz w:val="24"/>
      <w:szCs w:val="20"/>
      <w:lang w:val="en-US" w:eastAsia="ja-JP"/>
    </w:rPr>
  </w:style>
  <w:style w:type="paragraph" w:styleId="Heading1">
    <w:name w:val="heading 1"/>
    <w:basedOn w:val="DHChapterHead"/>
    <w:next w:val="Normal"/>
    <w:link w:val="Heading1Char"/>
    <w:uiPriority w:val="9"/>
    <w:qFormat/>
    <w:rsid w:val="009F4EE1"/>
    <w:pPr>
      <w:outlineLvl w:val="0"/>
    </w:pPr>
    <w:rPr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4026D"/>
    <w:pPr>
      <w:spacing w:after="0" w:line="360" w:lineRule="auto"/>
      <w:outlineLvl w:val="1"/>
    </w:pPr>
    <w:rPr>
      <w:rFonts w:ascii="Arial" w:eastAsia="Times New Roman" w:hAnsi="Arial"/>
      <w:b/>
      <w:bCs/>
      <w:iCs/>
      <w:color w:val="A00054"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5589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F4EE1"/>
    <w:rPr>
      <w:rFonts w:ascii="Arial" w:hAnsi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F5589"/>
    <w:rPr>
      <w:rFonts w:ascii="Arial" w:hAnsi="Arial" w:cs="Arial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4708C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8C3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rsid w:val="00532F04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532F04"/>
    <w:pPr>
      <w:spacing w:after="0"/>
    </w:pPr>
    <w:rPr>
      <w:rFonts w:ascii="Arial" w:hAnsi="Arial" w:cs="Arial"/>
      <w:lang w:val="en-GB" w:eastAsia="en-US"/>
    </w:rPr>
  </w:style>
  <w:style w:type="character" w:customStyle="1" w:styleId="DHTitleChar">
    <w:name w:val="DH Title Char"/>
    <w:link w:val="DHTitle"/>
    <w:locked/>
    <w:rsid w:val="00532F04"/>
    <w:rPr>
      <w:rFonts w:ascii="Arial" w:hAnsi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532F04"/>
    <w:pPr>
      <w:spacing w:after="0" w:line="660" w:lineRule="exact"/>
    </w:pPr>
    <w:rPr>
      <w:rFonts w:ascii="Arial" w:hAnsi="Arial"/>
      <w:b/>
      <w:color w:val="009966"/>
      <w:sz w:val="60"/>
      <w:lang w:val="en-GB" w:eastAsia="en-US"/>
    </w:rPr>
  </w:style>
  <w:style w:type="paragraph" w:customStyle="1" w:styleId="DHBodycopy">
    <w:name w:val="DH Body copy"/>
    <w:basedOn w:val="Normal"/>
    <w:uiPriority w:val="99"/>
    <w:rsid w:val="00532F04"/>
    <w:pPr>
      <w:spacing w:after="0" w:line="320" w:lineRule="exact"/>
    </w:pPr>
    <w:rPr>
      <w:rFonts w:ascii="Arial" w:hAnsi="Arial"/>
      <w:lang w:val="en-GB" w:eastAsia="en-US"/>
    </w:rPr>
  </w:style>
  <w:style w:type="paragraph" w:customStyle="1" w:styleId="DHtitlepagetext">
    <w:name w:val="DH title page text"/>
    <w:basedOn w:val="DHTitle"/>
    <w:uiPriority w:val="99"/>
    <w:rsid w:val="00532F04"/>
    <w:rPr>
      <w:color w:val="auto"/>
      <w:sz w:val="24"/>
    </w:rPr>
  </w:style>
  <w:style w:type="paragraph" w:customStyle="1" w:styleId="DHBulletlist">
    <w:name w:val="DH Bullet list"/>
    <w:basedOn w:val="Normal"/>
    <w:uiPriority w:val="99"/>
    <w:rsid w:val="00532F04"/>
    <w:pPr>
      <w:tabs>
        <w:tab w:val="num" w:pos="360"/>
      </w:tabs>
      <w:spacing w:after="0" w:line="320" w:lineRule="exact"/>
    </w:pPr>
    <w:rPr>
      <w:rFonts w:ascii="Arial" w:hAnsi="Arial"/>
      <w:lang w:val="en-GB" w:eastAsia="en-US"/>
    </w:rPr>
  </w:style>
  <w:style w:type="paragraph" w:customStyle="1" w:styleId="DHSubtitle">
    <w:name w:val="DH Subtitle"/>
    <w:basedOn w:val="Normal"/>
    <w:uiPriority w:val="99"/>
    <w:rsid w:val="00532F04"/>
    <w:pPr>
      <w:spacing w:after="0" w:line="500" w:lineRule="exact"/>
    </w:pPr>
    <w:rPr>
      <w:rFonts w:ascii="Times New Roman" w:hAnsi="Times New Roman"/>
      <w:i/>
      <w:sz w:val="46"/>
      <w:lang w:val="en-GB" w:eastAsia="en-US"/>
    </w:rPr>
  </w:style>
  <w:style w:type="paragraph" w:customStyle="1" w:styleId="DHChapterHead">
    <w:name w:val="DH Chapter Head"/>
    <w:basedOn w:val="DHTitle"/>
    <w:uiPriority w:val="99"/>
    <w:rsid w:val="00532F04"/>
    <w:rPr>
      <w:b w:val="0"/>
    </w:rPr>
  </w:style>
  <w:style w:type="paragraph" w:customStyle="1" w:styleId="DHSecondaryHeadingOne">
    <w:name w:val="DH Secondary Heading One"/>
    <w:basedOn w:val="DHTitle"/>
    <w:rsid w:val="00532F04"/>
    <w:pPr>
      <w:numPr>
        <w:numId w:val="1"/>
      </w:numPr>
      <w:spacing w:line="360" w:lineRule="exact"/>
      <w:ind w:left="0" w:firstLine="0"/>
    </w:pPr>
    <w:rPr>
      <w:b w:val="0"/>
      <w:sz w:val="28"/>
    </w:rPr>
  </w:style>
  <w:style w:type="paragraph" w:customStyle="1" w:styleId="CharCharCharCharCharCharCharCharChar1CharCharCharCharCharChar">
    <w:name w:val="Char Char Char Char Char Char Char Char Char1 Char Char Char Char Char Char"/>
    <w:basedOn w:val="Normal"/>
    <w:uiPriority w:val="99"/>
    <w:rsid w:val="00F50020"/>
    <w:pPr>
      <w:spacing w:after="120" w:line="240" w:lineRule="exact"/>
    </w:pPr>
    <w:rPr>
      <w:rFonts w:ascii="Verdana" w:hAnsi="Verdana" w:cs="Verdana"/>
      <w:sz w:val="20"/>
      <w:lang w:eastAsia="en-US"/>
    </w:rPr>
  </w:style>
  <w:style w:type="character" w:styleId="PageNumber">
    <w:name w:val="page number"/>
    <w:basedOn w:val="DefaultParagraphFont"/>
    <w:uiPriority w:val="99"/>
    <w:rsid w:val="009F5589"/>
    <w:rPr>
      <w:rFonts w:cs="Times New Roman"/>
    </w:rPr>
  </w:style>
  <w:style w:type="paragraph" w:styleId="FootnoteText">
    <w:name w:val="footnote text"/>
    <w:aliases w:val="PD Footnote Text"/>
    <w:basedOn w:val="Normal"/>
    <w:link w:val="FootnoteTextChar"/>
    <w:uiPriority w:val="99"/>
    <w:semiHidden/>
    <w:rsid w:val="009F5589"/>
    <w:pPr>
      <w:spacing w:after="0"/>
    </w:pPr>
    <w:rPr>
      <w:rFonts w:ascii="Arial" w:hAnsi="Arial" w:cs="Arial"/>
      <w:color w:val="0072C6"/>
      <w:lang w:val="en-GB" w:eastAsia="en-GB"/>
    </w:rPr>
  </w:style>
  <w:style w:type="character" w:customStyle="1" w:styleId="FootnoteTextChar">
    <w:name w:val="Footnote Text Char"/>
    <w:aliases w:val="PD Footnote Text Char"/>
    <w:basedOn w:val="DefaultParagraphFont"/>
    <w:link w:val="FootnoteText"/>
    <w:uiPriority w:val="99"/>
    <w:semiHidden/>
    <w:locked/>
    <w:rsid w:val="009F5589"/>
    <w:rPr>
      <w:rFonts w:ascii="Arial" w:hAnsi="Arial" w:cs="Arial"/>
      <w:color w:val="0072C6"/>
      <w:sz w:val="24"/>
      <w:lang w:eastAsia="en-GB"/>
    </w:rPr>
  </w:style>
  <w:style w:type="character" w:styleId="FootnoteReference">
    <w:name w:val="footnote reference"/>
    <w:aliases w:val="PD Footnote Reference"/>
    <w:basedOn w:val="DefaultParagraphFont"/>
    <w:uiPriority w:val="99"/>
    <w:semiHidden/>
    <w:rsid w:val="009F5589"/>
    <w:rPr>
      <w:rFonts w:ascii="Arial" w:hAnsi="Arial" w:cs="Arial"/>
      <w:sz w:val="24"/>
      <w:szCs w:val="24"/>
      <w:vertAlign w:val="superscript"/>
      <w:lang w:val="en-GB" w:eastAsia="en-GB" w:bidi="ar-SA"/>
    </w:rPr>
  </w:style>
  <w:style w:type="paragraph" w:customStyle="1" w:styleId="PDNumberedPara">
    <w:name w:val="PD Numbered Para"/>
    <w:basedOn w:val="Normal"/>
    <w:link w:val="PDNumberedParaChar"/>
    <w:uiPriority w:val="99"/>
    <w:rsid w:val="009F5589"/>
    <w:pPr>
      <w:numPr>
        <w:ilvl w:val="1"/>
        <w:numId w:val="3"/>
      </w:numPr>
      <w:autoSpaceDE w:val="0"/>
      <w:autoSpaceDN w:val="0"/>
      <w:adjustRightInd w:val="0"/>
      <w:spacing w:after="240"/>
      <w:outlineLvl w:val="1"/>
    </w:pPr>
    <w:rPr>
      <w:rFonts w:ascii="Arial" w:hAnsi="Arial" w:cs="Arial"/>
      <w:lang w:val="en-GB" w:eastAsia="en-US"/>
    </w:rPr>
  </w:style>
  <w:style w:type="paragraph" w:customStyle="1" w:styleId="PDChapterTitleLevel1">
    <w:name w:val="PD Chapter Title (Level 1)"/>
    <w:basedOn w:val="Heading1"/>
    <w:next w:val="PDNumberedPara"/>
    <w:uiPriority w:val="99"/>
    <w:rsid w:val="009F5589"/>
    <w:pPr>
      <w:keepNext/>
      <w:keepLines/>
      <w:widowControl w:val="0"/>
      <w:numPr>
        <w:numId w:val="3"/>
      </w:numPr>
      <w:tabs>
        <w:tab w:val="left" w:pos="8222"/>
      </w:tabs>
      <w:autoSpaceDE w:val="0"/>
      <w:autoSpaceDN w:val="0"/>
      <w:adjustRightInd w:val="0"/>
      <w:spacing w:after="600" w:line="240" w:lineRule="auto"/>
    </w:pPr>
    <w:rPr>
      <w:color w:val="0072C6"/>
      <w:kern w:val="36"/>
      <w:sz w:val="60"/>
      <w:szCs w:val="60"/>
    </w:rPr>
  </w:style>
  <w:style w:type="paragraph" w:customStyle="1" w:styleId="PDbulletlevel1">
    <w:name w:val="PD &gt; bullet level 1"/>
    <w:basedOn w:val="Normal"/>
    <w:link w:val="PDbulletlevel1Char"/>
    <w:uiPriority w:val="99"/>
    <w:rsid w:val="009F5589"/>
    <w:pPr>
      <w:keepLines/>
      <w:numPr>
        <w:numId w:val="2"/>
      </w:numPr>
      <w:autoSpaceDE w:val="0"/>
      <w:autoSpaceDN w:val="0"/>
      <w:adjustRightInd w:val="0"/>
      <w:spacing w:after="100" w:afterAutospacing="1"/>
    </w:pPr>
    <w:rPr>
      <w:rFonts w:ascii="Arial" w:hAnsi="Arial" w:cs="Arial"/>
      <w:szCs w:val="24"/>
      <w:lang w:val="en-GB" w:eastAsia="en-US"/>
    </w:rPr>
  </w:style>
  <w:style w:type="character" w:customStyle="1" w:styleId="PDNumberedParaChar">
    <w:name w:val="PD Numbered Para Char"/>
    <w:basedOn w:val="DefaultParagraphFont"/>
    <w:link w:val="PDNumberedPara"/>
    <w:uiPriority w:val="99"/>
    <w:locked/>
    <w:rsid w:val="009F5589"/>
    <w:rPr>
      <w:rFonts w:ascii="Arial" w:hAnsi="Arial" w:cs="Arial"/>
      <w:sz w:val="24"/>
      <w:szCs w:val="20"/>
      <w:lang w:eastAsia="en-US"/>
    </w:rPr>
  </w:style>
  <w:style w:type="character" w:customStyle="1" w:styleId="PDbulletlevel1Char">
    <w:name w:val="PD &gt; bullet level 1 Char"/>
    <w:basedOn w:val="DefaultParagraphFont"/>
    <w:link w:val="PDbulletlevel1"/>
    <w:uiPriority w:val="99"/>
    <w:locked/>
    <w:rsid w:val="009F5589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E7EF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EFA"/>
    <w:rPr>
      <w:rFonts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EE7EF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EFA"/>
    <w:rPr>
      <w:rFonts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BA70D6"/>
    <w:pPr>
      <w:ind w:left="720"/>
      <w:contextualSpacing/>
    </w:pPr>
  </w:style>
  <w:style w:type="table" w:styleId="TableGrid">
    <w:name w:val="Table Grid"/>
    <w:basedOn w:val="TableNormal"/>
    <w:uiPriority w:val="99"/>
    <w:rsid w:val="000758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6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0B6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2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0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0BD"/>
    <w:rPr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0BD"/>
    <w:rPr>
      <w:b/>
      <w:bCs/>
      <w:sz w:val="2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A4026D"/>
    <w:rPr>
      <w:rFonts w:ascii="Arial" w:eastAsia="Times New Roman" w:hAnsi="Arial"/>
      <w:b/>
      <w:bCs/>
      <w:iCs/>
      <w:color w:val="A00054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england.nhs.uk/nhs-standard-contract/15-16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england.nhs.uk/wp-content/uploads/2015/03/7-nhs-contrct-tech-guid-fi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hscb.contractshelp@nhs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gland.nhs.uk/wp-content/uploads/2015/07/rtt-cv-consultation-300615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2015.econtract.england.nhs.uk/Home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ngland.nhs.uk/nhs-standard-contract/15-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27E6-E8F1-45B4-B6F6-F1EC1613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870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Savage</dc:creator>
  <cp:lastModifiedBy>Michelle Coleman</cp:lastModifiedBy>
  <cp:revision>4</cp:revision>
  <cp:lastPrinted>2015-03-20T11:22:00Z</cp:lastPrinted>
  <dcterms:created xsi:type="dcterms:W3CDTF">2015-08-18T15:14:00Z</dcterms:created>
  <dcterms:modified xsi:type="dcterms:W3CDTF">2015-08-18T16:46:00Z</dcterms:modified>
</cp:coreProperties>
</file>