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AA1" w:rsidRDefault="007A4AA1" w:rsidP="007A4AA1">
      <w:pPr>
        <w:spacing w:after="0" w:line="240" w:lineRule="auto"/>
        <w:rPr>
          <w:rFonts w:ascii="Arial" w:eastAsia="Times New Roman" w:hAnsi="Arial" w:cs="Times New Roman"/>
          <w:b/>
          <w:bCs/>
          <w:color w:val="0072C6"/>
          <w:sz w:val="96"/>
          <w:szCs w:val="80"/>
        </w:rPr>
      </w:pPr>
      <w:r w:rsidRPr="007A4AA1">
        <w:rPr>
          <w:rFonts w:ascii="Arial" w:eastAsia="Times New Roman" w:hAnsi="Arial" w:cs="Times New Roman"/>
          <w:b/>
          <w:bCs/>
          <w:noProof/>
          <w:color w:val="0072C6"/>
          <w:sz w:val="180"/>
          <w:szCs w:val="80"/>
          <w:lang w:eastAsia="en-GB"/>
        </w:rPr>
        <w:drawing>
          <wp:anchor distT="0" distB="0" distL="114300" distR="114300" simplePos="0" relativeHeight="251659264" behindDoc="0" locked="0" layoutInCell="1" allowOverlap="1" wp14:anchorId="63E68516" wp14:editId="1D8C7ACE">
            <wp:simplePos x="0" y="0"/>
            <wp:positionH relativeFrom="page">
              <wp:posOffset>9053830</wp:posOffset>
            </wp:positionH>
            <wp:positionV relativeFrom="page">
              <wp:posOffset>417830</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1"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7A4AA1" w:rsidRDefault="007A4AA1" w:rsidP="007A4AA1">
      <w:pPr>
        <w:spacing w:after="0" w:line="240" w:lineRule="auto"/>
        <w:rPr>
          <w:rFonts w:ascii="Arial" w:eastAsia="Times New Roman" w:hAnsi="Arial" w:cs="Times New Roman"/>
          <w:b/>
          <w:bCs/>
          <w:color w:val="0072C6"/>
          <w:sz w:val="96"/>
          <w:szCs w:val="80"/>
        </w:rPr>
      </w:pPr>
    </w:p>
    <w:p w:rsidR="007A4AA1" w:rsidRDefault="00B34989" w:rsidP="007A4AA1">
      <w:pPr>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Physical Health</w:t>
      </w:r>
    </w:p>
    <w:p w:rsidR="007A4AA1" w:rsidRPr="0070376E" w:rsidRDefault="007A4AA1" w:rsidP="007A4AA1">
      <w:pPr>
        <w:spacing w:after="0" w:line="240" w:lineRule="auto"/>
        <w:rPr>
          <w:rFonts w:ascii="Arial" w:eastAsia="Times New Roman" w:hAnsi="Arial" w:cs="Times New Roman"/>
          <w:b/>
          <w:bCs/>
          <w:color w:val="0072C6"/>
          <w:sz w:val="56"/>
          <w:szCs w:val="56"/>
        </w:rPr>
      </w:pPr>
      <w:r w:rsidRPr="0070376E">
        <w:rPr>
          <w:rFonts w:ascii="Arial" w:eastAsia="Times New Roman" w:hAnsi="Arial" w:cs="Times New Roman"/>
          <w:b/>
          <w:bCs/>
          <w:color w:val="0072C6"/>
          <w:sz w:val="56"/>
          <w:szCs w:val="56"/>
        </w:rPr>
        <w:t>Local CQUIN Templates 2016/17</w:t>
      </w:r>
    </w:p>
    <w:p w:rsidR="007A4AA1" w:rsidRDefault="007A4AA1" w:rsidP="007A4AA1">
      <w:pPr>
        <w:spacing w:after="0" w:line="240" w:lineRule="auto"/>
        <w:rPr>
          <w:rFonts w:ascii="Arial" w:eastAsia="Times New Roman" w:hAnsi="Arial" w:cs="Times New Roman"/>
          <w:b/>
          <w:bCs/>
          <w:color w:val="0072C6"/>
          <w:sz w:val="80"/>
          <w:szCs w:val="80"/>
        </w:rPr>
      </w:pPr>
    </w:p>
    <w:p w:rsidR="0070376E" w:rsidRDefault="0070376E" w:rsidP="007A4AA1">
      <w:pPr>
        <w:spacing w:after="0" w:line="240" w:lineRule="auto"/>
        <w:rPr>
          <w:rFonts w:ascii="Arial" w:eastAsia="Times New Roman" w:hAnsi="Arial" w:cs="Times New Roman"/>
          <w:b/>
          <w:bCs/>
          <w:color w:val="0072C6"/>
          <w:sz w:val="80"/>
          <w:szCs w:val="80"/>
        </w:rPr>
      </w:pPr>
    </w:p>
    <w:p w:rsidR="0070376E" w:rsidRDefault="0070376E" w:rsidP="007A4AA1">
      <w:pPr>
        <w:spacing w:after="0" w:line="240" w:lineRule="auto"/>
        <w:rPr>
          <w:rFonts w:ascii="Arial" w:eastAsia="Times New Roman" w:hAnsi="Arial" w:cs="Times New Roman"/>
          <w:b/>
          <w:bCs/>
          <w:color w:val="0072C6"/>
          <w:sz w:val="80"/>
          <w:szCs w:val="80"/>
        </w:rPr>
      </w:pPr>
    </w:p>
    <w:p w:rsidR="0034212F" w:rsidRDefault="0070376E" w:rsidP="0070376E">
      <w:pPr>
        <w:rPr>
          <w:rFonts w:ascii="Arial" w:eastAsia="Times New Roman" w:hAnsi="Arial" w:cs="Times New Roman"/>
          <w:b/>
          <w:bCs/>
          <w:color w:val="0072C6"/>
          <w:sz w:val="80"/>
          <w:szCs w:val="80"/>
        </w:rPr>
      </w:pPr>
      <w:r>
        <w:rPr>
          <w:rFonts w:ascii="Arial" w:eastAsia="Times New Roman" w:hAnsi="Arial" w:cs="Times New Roman"/>
          <w:b/>
          <w:bCs/>
          <w:color w:val="0072C6"/>
          <w:sz w:val="80"/>
          <w:szCs w:val="80"/>
        </w:rPr>
        <w:br w:type="page"/>
      </w:r>
    </w:p>
    <w:p w:rsidR="00DE362B" w:rsidRDefault="00DE362B" w:rsidP="007A4AA1">
      <w:pPr>
        <w:spacing w:after="0" w:line="240" w:lineRule="auto"/>
        <w:rPr>
          <w:rFonts w:ascii="Arial" w:eastAsia="Times New Roman" w:hAnsi="Arial" w:cs="Times New Roman"/>
          <w:b/>
          <w:bCs/>
          <w:sz w:val="24"/>
          <w:szCs w:val="26"/>
        </w:rPr>
      </w:pPr>
      <w:r w:rsidRPr="00DA4D70">
        <w:rPr>
          <w:noProof/>
          <w:lang w:eastAsia="en-GB"/>
        </w:rPr>
        <w:lastRenderedPageBreak/>
        <w:drawing>
          <wp:inline distT="0" distB="0" distL="0" distR="0" wp14:anchorId="0B8B1A03" wp14:editId="727195F1">
            <wp:extent cx="4055696" cy="4912242"/>
            <wp:effectExtent l="0" t="0" r="0" b="3175"/>
            <wp:docPr id="2" name="Picture 2"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DE362B" w:rsidRDefault="00DE362B" w:rsidP="007A4AA1">
      <w:pPr>
        <w:spacing w:after="0" w:line="240" w:lineRule="auto"/>
        <w:rPr>
          <w:rFonts w:ascii="Arial" w:eastAsia="Times New Roman" w:hAnsi="Arial" w:cs="Times New Roman"/>
          <w:b/>
          <w:bCs/>
          <w:sz w:val="24"/>
          <w:szCs w:val="26"/>
        </w:rPr>
      </w:pPr>
    </w:p>
    <w:p w:rsidR="007A4AA1" w:rsidRPr="007A4AA1" w:rsidRDefault="00452413" w:rsidP="007A4AA1">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Physical Health</w:t>
      </w:r>
      <w:r w:rsidR="007A4AA1">
        <w:rPr>
          <w:rFonts w:ascii="Arial" w:eastAsia="Times New Roman" w:hAnsi="Arial" w:cs="Times New Roman"/>
          <w:b/>
          <w:bCs/>
          <w:sz w:val="24"/>
          <w:szCs w:val="26"/>
        </w:rPr>
        <w:t xml:space="preserve">: </w:t>
      </w:r>
      <w:r w:rsidR="007A4AA1" w:rsidRPr="007A4AA1">
        <w:rPr>
          <w:rFonts w:ascii="Arial" w:eastAsia="Times New Roman" w:hAnsi="Arial" w:cs="Times New Roman"/>
          <w:b/>
          <w:bCs/>
          <w:sz w:val="24"/>
          <w:szCs w:val="26"/>
        </w:rPr>
        <w:t>Local CQUIN Templates 2016/17</w:t>
      </w:r>
    </w:p>
    <w:p w:rsidR="007A4AA1" w:rsidRPr="007A4AA1" w:rsidRDefault="007A4AA1" w:rsidP="007A4AA1">
      <w:pPr>
        <w:spacing w:after="0" w:line="240" w:lineRule="auto"/>
        <w:rPr>
          <w:rFonts w:ascii="Arial" w:eastAsia="Times New Roman" w:hAnsi="Arial" w:cs="Times New Roman"/>
          <w:bCs/>
          <w:sz w:val="24"/>
          <w:szCs w:val="26"/>
        </w:rPr>
      </w:pPr>
    </w:p>
    <w:p w:rsidR="003C4AF8" w:rsidRPr="00B47AC3" w:rsidRDefault="003C4AF8" w:rsidP="003C4AF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Version number: </w:t>
      </w:r>
      <w:r w:rsidR="004741F9">
        <w:rPr>
          <w:rFonts w:ascii="Arial" w:eastAsia="Times New Roman" w:hAnsi="Arial" w:cs="Times New Roman"/>
          <w:bCs/>
          <w:sz w:val="24"/>
          <w:szCs w:val="26"/>
        </w:rPr>
        <w:t>2</w:t>
      </w:r>
      <w:r>
        <w:rPr>
          <w:rFonts w:ascii="Arial" w:eastAsia="Times New Roman" w:hAnsi="Arial" w:cs="Times New Roman"/>
          <w:bCs/>
          <w:sz w:val="24"/>
          <w:szCs w:val="26"/>
        </w:rPr>
        <w:t>.0</w:t>
      </w:r>
    </w:p>
    <w:p w:rsidR="003C4AF8" w:rsidRPr="00B47AC3" w:rsidRDefault="003C4AF8" w:rsidP="003C4AF8">
      <w:pPr>
        <w:spacing w:after="0" w:line="240" w:lineRule="auto"/>
        <w:rPr>
          <w:rFonts w:ascii="Arial" w:eastAsia="Times New Roman" w:hAnsi="Arial" w:cs="Times New Roman"/>
          <w:bCs/>
          <w:sz w:val="24"/>
          <w:szCs w:val="26"/>
        </w:rPr>
      </w:pPr>
    </w:p>
    <w:p w:rsidR="003C4AF8" w:rsidRPr="00B47AC3" w:rsidRDefault="003C4AF8" w:rsidP="003C4AF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 xml:space="preserve">First published: </w:t>
      </w:r>
      <w:r>
        <w:rPr>
          <w:rFonts w:ascii="Arial" w:eastAsia="Times New Roman" w:hAnsi="Arial" w:cs="Times New Roman"/>
          <w:bCs/>
          <w:sz w:val="24"/>
          <w:szCs w:val="26"/>
        </w:rPr>
        <w:t>9</w:t>
      </w:r>
      <w:r w:rsidRPr="00C674BD">
        <w:rPr>
          <w:rFonts w:ascii="Arial" w:eastAsia="Times New Roman" w:hAnsi="Arial" w:cs="Times New Roman"/>
          <w:bCs/>
          <w:sz w:val="24"/>
          <w:szCs w:val="26"/>
          <w:vertAlign w:val="superscript"/>
        </w:rPr>
        <w:t>th</w:t>
      </w:r>
      <w:r>
        <w:rPr>
          <w:rFonts w:ascii="Arial" w:eastAsia="Times New Roman" w:hAnsi="Arial" w:cs="Times New Roman"/>
          <w:bCs/>
          <w:sz w:val="24"/>
          <w:szCs w:val="26"/>
        </w:rPr>
        <w:t xml:space="preserve"> March</w:t>
      </w:r>
      <w:r w:rsidRPr="00B47AC3">
        <w:rPr>
          <w:rFonts w:ascii="Arial" w:eastAsia="Times New Roman" w:hAnsi="Arial" w:cs="Times New Roman"/>
          <w:bCs/>
          <w:sz w:val="24"/>
          <w:szCs w:val="26"/>
        </w:rPr>
        <w:t xml:space="preserve"> 2016</w:t>
      </w:r>
      <w:r>
        <w:rPr>
          <w:rFonts w:ascii="Arial" w:eastAsia="Times New Roman" w:hAnsi="Arial" w:cs="Times New Roman"/>
          <w:bCs/>
          <w:sz w:val="24"/>
          <w:szCs w:val="26"/>
        </w:rPr>
        <w:t xml:space="preserve"> (revised 21</w:t>
      </w:r>
      <w:r w:rsidRPr="00C674BD">
        <w:rPr>
          <w:rFonts w:ascii="Arial" w:eastAsia="Times New Roman" w:hAnsi="Arial" w:cs="Times New Roman"/>
          <w:bCs/>
          <w:sz w:val="24"/>
          <w:szCs w:val="26"/>
          <w:vertAlign w:val="superscript"/>
        </w:rPr>
        <w:t>st</w:t>
      </w:r>
      <w:r>
        <w:rPr>
          <w:rFonts w:ascii="Arial" w:eastAsia="Times New Roman" w:hAnsi="Arial" w:cs="Times New Roman"/>
          <w:bCs/>
          <w:sz w:val="24"/>
          <w:szCs w:val="26"/>
        </w:rPr>
        <w:t xml:space="preserve"> March 2016)</w:t>
      </w:r>
    </w:p>
    <w:p w:rsidR="003C4AF8" w:rsidRPr="00B47AC3" w:rsidRDefault="003C4AF8" w:rsidP="003C4AF8">
      <w:pPr>
        <w:spacing w:after="0" w:line="240" w:lineRule="auto"/>
        <w:rPr>
          <w:rFonts w:ascii="Arial" w:eastAsia="Times New Roman" w:hAnsi="Arial" w:cs="Times New Roman"/>
          <w:bCs/>
          <w:sz w:val="24"/>
          <w:szCs w:val="26"/>
        </w:rPr>
      </w:pPr>
    </w:p>
    <w:p w:rsidR="003C4AF8" w:rsidRPr="00B47AC3" w:rsidRDefault="003C4AF8" w:rsidP="003C4AF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Prepared by: The Incentives Team, Commissioning Strategy</w:t>
      </w:r>
    </w:p>
    <w:p w:rsidR="003C4AF8" w:rsidRPr="00B47AC3" w:rsidRDefault="003C4AF8" w:rsidP="003C4AF8">
      <w:pPr>
        <w:spacing w:after="0" w:line="240" w:lineRule="auto"/>
        <w:rPr>
          <w:rFonts w:ascii="Arial" w:eastAsia="Times New Roman" w:hAnsi="Arial" w:cs="Times New Roman"/>
          <w:bCs/>
          <w:sz w:val="24"/>
          <w:szCs w:val="26"/>
        </w:rPr>
      </w:pPr>
    </w:p>
    <w:p w:rsidR="003C4AF8" w:rsidRPr="00B47AC3" w:rsidRDefault="003C4AF8" w:rsidP="003C4AF8">
      <w:pPr>
        <w:spacing w:after="0" w:line="240" w:lineRule="auto"/>
        <w:rPr>
          <w:rFonts w:ascii="Arial" w:eastAsia="Times New Roman" w:hAnsi="Arial" w:cs="Times New Roman"/>
          <w:bCs/>
          <w:sz w:val="24"/>
          <w:szCs w:val="26"/>
        </w:rPr>
      </w:pPr>
      <w:r w:rsidRPr="00B47AC3">
        <w:rPr>
          <w:rFonts w:ascii="Arial" w:eastAsia="Times New Roman" w:hAnsi="Arial" w:cs="Times New Roman"/>
          <w:bCs/>
          <w:sz w:val="24"/>
          <w:szCs w:val="26"/>
        </w:rPr>
        <w:t>Classification: OFFICIAL</w:t>
      </w:r>
    </w:p>
    <w:p w:rsidR="003C4AF8" w:rsidRPr="00B47AC3" w:rsidRDefault="003C4AF8" w:rsidP="003C4AF8">
      <w:pPr>
        <w:spacing w:after="0" w:line="240" w:lineRule="auto"/>
        <w:rPr>
          <w:rFonts w:ascii="Arial" w:eastAsia="Times New Roman" w:hAnsi="Arial" w:cs="Times New Roman"/>
          <w:bCs/>
          <w:sz w:val="24"/>
          <w:szCs w:val="26"/>
        </w:rPr>
      </w:pPr>
    </w:p>
    <w:p w:rsidR="003C4AF8" w:rsidRPr="00397E30" w:rsidRDefault="003C4AF8" w:rsidP="003C4AF8">
      <w:pPr>
        <w:autoSpaceDE w:val="0"/>
        <w:autoSpaceDN w:val="0"/>
        <w:adjustRightInd w:val="0"/>
        <w:rPr>
          <w:rFonts w:eastAsia="HGSMinchoE" w:cs="Arial"/>
          <w:bCs/>
          <w:color w:val="000000"/>
          <w:sz w:val="24"/>
          <w:szCs w:val="24"/>
          <w:lang w:eastAsia="en-GB"/>
        </w:rPr>
      </w:pPr>
      <w:r>
        <w:rPr>
          <w:rFonts w:eastAsia="HGSMinchoE" w:cs="Arial"/>
          <w:color w:val="000000"/>
          <w:sz w:val="24"/>
          <w:szCs w:val="24"/>
          <w:lang w:eastAsia="en-GB"/>
        </w:rPr>
        <w:t xml:space="preserve">This document supersedes previous version issued. </w:t>
      </w:r>
    </w:p>
    <w:p w:rsidR="007A4AA1" w:rsidRPr="007A4AA1" w:rsidRDefault="007A4AA1" w:rsidP="007A4AA1">
      <w:pPr>
        <w:spacing w:after="0" w:line="240" w:lineRule="auto"/>
        <w:rPr>
          <w:rFonts w:ascii="Arial" w:eastAsia="Times New Roman" w:hAnsi="Arial" w:cs="Times New Roman"/>
          <w:bCs/>
          <w:sz w:val="24"/>
          <w:szCs w:val="26"/>
        </w:rPr>
      </w:pPr>
    </w:p>
    <w:p w:rsidR="007A4AA1" w:rsidRDefault="007A4AA1"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p w:rsidR="002306EB" w:rsidRDefault="002306EB" w:rsidP="007A4AA1">
      <w:pPr>
        <w:spacing w:after="0" w:line="240" w:lineRule="auto"/>
        <w:rPr>
          <w:rFonts w:ascii="Arial" w:eastAsia="Times New Roman" w:hAnsi="Arial" w:cs="Times New Roman"/>
          <w:b/>
          <w:bCs/>
          <w:sz w:val="24"/>
          <w:szCs w:val="26"/>
        </w:rPr>
      </w:pPr>
    </w:p>
    <w:sdt>
      <w:sdtPr>
        <w:rPr>
          <w:rFonts w:asciiTheme="minorHAnsi" w:eastAsiaTheme="minorHAnsi" w:hAnsiTheme="minorHAnsi" w:cstheme="minorBidi"/>
          <w:b w:val="0"/>
          <w:bCs w:val="0"/>
          <w:color w:val="auto"/>
          <w:sz w:val="22"/>
          <w:szCs w:val="22"/>
          <w:lang w:val="en-GB" w:eastAsia="en-US"/>
        </w:rPr>
        <w:id w:val="1643923554"/>
        <w:docPartObj>
          <w:docPartGallery w:val="Table of Contents"/>
          <w:docPartUnique/>
        </w:docPartObj>
      </w:sdtPr>
      <w:sdtEndPr>
        <w:rPr>
          <w:noProof/>
        </w:rPr>
      </w:sdtEndPr>
      <w:sdtContent>
        <w:p w:rsidR="00C26C8C" w:rsidRPr="008436C1" w:rsidRDefault="00C26C8C">
          <w:pPr>
            <w:pStyle w:val="TOCHeading"/>
            <w:rPr>
              <w:sz w:val="52"/>
              <w:szCs w:val="52"/>
            </w:rPr>
          </w:pPr>
          <w:r w:rsidRPr="008436C1">
            <w:rPr>
              <w:sz w:val="52"/>
              <w:szCs w:val="52"/>
            </w:rPr>
            <w:t>Contents</w:t>
          </w:r>
        </w:p>
        <w:p w:rsidR="00BF1A9E" w:rsidRPr="00BF1A9E" w:rsidRDefault="00C26C8C">
          <w:pPr>
            <w:pStyle w:val="TOC1"/>
            <w:rPr>
              <w:rStyle w:val="Hyperlink"/>
              <w:b w:val="0"/>
              <w:sz w:val="32"/>
            </w:rPr>
          </w:pPr>
          <w:r w:rsidRPr="008436C1">
            <w:rPr>
              <w:rFonts w:cs="Arial"/>
              <w:b w:val="0"/>
              <w:sz w:val="32"/>
              <w:szCs w:val="32"/>
            </w:rPr>
            <w:fldChar w:fldCharType="begin"/>
          </w:r>
          <w:r w:rsidRPr="008436C1">
            <w:rPr>
              <w:rFonts w:cs="Arial"/>
              <w:b w:val="0"/>
              <w:sz w:val="32"/>
              <w:szCs w:val="32"/>
            </w:rPr>
            <w:instrText xml:space="preserve"> TOC \o "1-3" \h \z \u </w:instrText>
          </w:r>
          <w:r w:rsidRPr="008436C1">
            <w:rPr>
              <w:rFonts w:cs="Arial"/>
              <w:b w:val="0"/>
              <w:sz w:val="32"/>
              <w:szCs w:val="32"/>
            </w:rPr>
            <w:fldChar w:fldCharType="separate"/>
          </w:r>
          <w:hyperlink w:anchor="_Toc446331260" w:history="1">
            <w:r w:rsidR="00BF1A9E" w:rsidRPr="00BF1A9E">
              <w:rPr>
                <w:rStyle w:val="Hyperlink"/>
                <w:b w:val="0"/>
                <w:sz w:val="32"/>
              </w:rPr>
              <w:t>21. Frailty Identification and Care Planning</w:t>
            </w:r>
            <w:r w:rsidR="00BF1A9E" w:rsidRPr="00BF1A9E">
              <w:rPr>
                <w:b w:val="0"/>
                <w:webHidden/>
                <w:sz w:val="32"/>
              </w:rPr>
              <w:tab/>
            </w:r>
            <w:r w:rsidR="00BF1A9E" w:rsidRPr="00BF1A9E">
              <w:rPr>
                <w:b w:val="0"/>
                <w:webHidden/>
                <w:sz w:val="32"/>
              </w:rPr>
              <w:fldChar w:fldCharType="begin"/>
            </w:r>
            <w:r w:rsidR="00BF1A9E" w:rsidRPr="00BF1A9E">
              <w:rPr>
                <w:b w:val="0"/>
                <w:webHidden/>
                <w:sz w:val="32"/>
              </w:rPr>
              <w:instrText xml:space="preserve"> PAGEREF _Toc446331260 \h </w:instrText>
            </w:r>
            <w:r w:rsidR="00BF1A9E" w:rsidRPr="00BF1A9E">
              <w:rPr>
                <w:b w:val="0"/>
                <w:webHidden/>
                <w:sz w:val="32"/>
              </w:rPr>
            </w:r>
            <w:r w:rsidR="00BF1A9E" w:rsidRPr="00BF1A9E">
              <w:rPr>
                <w:b w:val="0"/>
                <w:webHidden/>
                <w:sz w:val="32"/>
              </w:rPr>
              <w:fldChar w:fldCharType="separate"/>
            </w:r>
            <w:r w:rsidR="00C11470">
              <w:rPr>
                <w:b w:val="0"/>
                <w:webHidden/>
                <w:sz w:val="32"/>
              </w:rPr>
              <w:t>5</w:t>
            </w:r>
            <w:r w:rsidR="00BF1A9E" w:rsidRPr="00BF1A9E">
              <w:rPr>
                <w:b w:val="0"/>
                <w:webHidden/>
                <w:sz w:val="32"/>
              </w:rPr>
              <w:fldChar w:fldCharType="end"/>
            </w:r>
          </w:hyperlink>
        </w:p>
        <w:p w:rsidR="00BF1A9E" w:rsidRPr="00BF1A9E" w:rsidRDefault="00BF1A9E" w:rsidP="00BF1A9E">
          <w:pPr>
            <w:rPr>
              <w:noProof/>
            </w:rPr>
          </w:pPr>
        </w:p>
        <w:p w:rsidR="00BF1A9E" w:rsidRPr="00BF1A9E" w:rsidRDefault="00BF1A9E">
          <w:pPr>
            <w:pStyle w:val="TOC1"/>
            <w:rPr>
              <w:rStyle w:val="Hyperlink"/>
              <w:b w:val="0"/>
              <w:sz w:val="32"/>
            </w:rPr>
          </w:pPr>
          <w:hyperlink w:anchor="_Toc446331264" w:history="1">
            <w:r w:rsidRPr="00BF1A9E">
              <w:rPr>
                <w:rStyle w:val="Hyperlink"/>
                <w:b w:val="0"/>
                <w:sz w:val="32"/>
              </w:rPr>
              <w:t>22. Faecal</w:t>
            </w:r>
            <w:r w:rsidRPr="00BF1A9E">
              <w:rPr>
                <w:rStyle w:val="Hyperlink"/>
                <w:rFonts w:eastAsia="Times New Roman"/>
                <w:b w:val="0"/>
                <w:sz w:val="32"/>
              </w:rPr>
              <w:t xml:space="preserve"> Incontinence</w:t>
            </w:r>
            <w:r w:rsidRPr="00BF1A9E">
              <w:rPr>
                <w:b w:val="0"/>
                <w:webHidden/>
                <w:sz w:val="32"/>
              </w:rPr>
              <w:tab/>
            </w:r>
            <w:r w:rsidRPr="00BF1A9E">
              <w:rPr>
                <w:b w:val="0"/>
                <w:webHidden/>
                <w:sz w:val="32"/>
              </w:rPr>
              <w:fldChar w:fldCharType="begin"/>
            </w:r>
            <w:r w:rsidRPr="00BF1A9E">
              <w:rPr>
                <w:b w:val="0"/>
                <w:webHidden/>
                <w:sz w:val="32"/>
              </w:rPr>
              <w:instrText xml:space="preserve"> PAGEREF _Toc446331264 \h </w:instrText>
            </w:r>
            <w:r w:rsidRPr="00BF1A9E">
              <w:rPr>
                <w:b w:val="0"/>
                <w:webHidden/>
                <w:sz w:val="32"/>
              </w:rPr>
            </w:r>
            <w:r w:rsidRPr="00BF1A9E">
              <w:rPr>
                <w:b w:val="0"/>
                <w:webHidden/>
                <w:sz w:val="32"/>
              </w:rPr>
              <w:fldChar w:fldCharType="separate"/>
            </w:r>
            <w:r w:rsidR="00C11470">
              <w:rPr>
                <w:b w:val="0"/>
                <w:webHidden/>
                <w:sz w:val="32"/>
              </w:rPr>
              <w:t>12</w:t>
            </w:r>
            <w:r w:rsidRPr="00BF1A9E">
              <w:rPr>
                <w:b w:val="0"/>
                <w:webHidden/>
                <w:sz w:val="32"/>
              </w:rPr>
              <w:fldChar w:fldCharType="end"/>
            </w:r>
          </w:hyperlink>
        </w:p>
        <w:p w:rsidR="00BF1A9E" w:rsidRPr="00BF1A9E" w:rsidRDefault="00BF1A9E" w:rsidP="00BF1A9E">
          <w:pPr>
            <w:rPr>
              <w:noProof/>
            </w:rPr>
          </w:pPr>
        </w:p>
        <w:p w:rsidR="00BF1A9E" w:rsidRPr="00BF1A9E" w:rsidRDefault="00BF1A9E">
          <w:pPr>
            <w:pStyle w:val="TOC1"/>
            <w:rPr>
              <w:rStyle w:val="Hyperlink"/>
              <w:b w:val="0"/>
              <w:sz w:val="32"/>
            </w:rPr>
          </w:pPr>
          <w:hyperlink w:anchor="_Toc446331267" w:history="1">
            <w:r w:rsidRPr="00BF1A9E">
              <w:rPr>
                <w:rStyle w:val="Hyperlink"/>
                <w:rFonts w:eastAsia="Times New Roman"/>
                <w:b w:val="0"/>
                <w:sz w:val="32"/>
              </w:rPr>
              <w:t>23. Urinary Incontinence</w:t>
            </w:r>
            <w:r w:rsidRPr="00BF1A9E">
              <w:rPr>
                <w:b w:val="0"/>
                <w:webHidden/>
                <w:sz w:val="32"/>
              </w:rPr>
              <w:tab/>
            </w:r>
            <w:r w:rsidRPr="00BF1A9E">
              <w:rPr>
                <w:b w:val="0"/>
                <w:webHidden/>
                <w:sz w:val="32"/>
              </w:rPr>
              <w:fldChar w:fldCharType="begin"/>
            </w:r>
            <w:r w:rsidRPr="00BF1A9E">
              <w:rPr>
                <w:b w:val="0"/>
                <w:webHidden/>
                <w:sz w:val="32"/>
              </w:rPr>
              <w:instrText xml:space="preserve"> PAGEREF _Toc446331267 \h </w:instrText>
            </w:r>
            <w:r w:rsidRPr="00BF1A9E">
              <w:rPr>
                <w:b w:val="0"/>
                <w:webHidden/>
                <w:sz w:val="32"/>
              </w:rPr>
            </w:r>
            <w:r w:rsidRPr="00BF1A9E">
              <w:rPr>
                <w:b w:val="0"/>
                <w:webHidden/>
                <w:sz w:val="32"/>
              </w:rPr>
              <w:fldChar w:fldCharType="separate"/>
            </w:r>
            <w:r w:rsidR="00C11470">
              <w:rPr>
                <w:b w:val="0"/>
                <w:webHidden/>
                <w:sz w:val="32"/>
              </w:rPr>
              <w:t>16</w:t>
            </w:r>
            <w:r w:rsidRPr="00BF1A9E">
              <w:rPr>
                <w:b w:val="0"/>
                <w:webHidden/>
                <w:sz w:val="32"/>
              </w:rPr>
              <w:fldChar w:fldCharType="end"/>
            </w:r>
          </w:hyperlink>
        </w:p>
        <w:p w:rsidR="00BF1A9E" w:rsidRPr="00BF1A9E" w:rsidRDefault="00BF1A9E" w:rsidP="00BF1A9E">
          <w:pPr>
            <w:rPr>
              <w:noProof/>
            </w:rPr>
          </w:pPr>
        </w:p>
        <w:p w:rsidR="00BF1A9E" w:rsidRPr="00BF1A9E" w:rsidRDefault="00BF1A9E">
          <w:pPr>
            <w:pStyle w:val="TOC1"/>
            <w:rPr>
              <w:rStyle w:val="Hyperlink"/>
              <w:b w:val="0"/>
              <w:sz w:val="32"/>
            </w:rPr>
          </w:pPr>
          <w:hyperlink w:anchor="_Toc446331271" w:history="1">
            <w:r w:rsidRPr="00BF1A9E">
              <w:rPr>
                <w:rStyle w:val="Hyperlink"/>
                <w:rFonts w:eastAsia="Times New Roman"/>
                <w:b w:val="0"/>
                <w:sz w:val="32"/>
              </w:rPr>
              <w:t>24. Acute Kidney Injury</w:t>
            </w:r>
            <w:r w:rsidRPr="00BF1A9E">
              <w:rPr>
                <w:b w:val="0"/>
                <w:webHidden/>
                <w:sz w:val="32"/>
              </w:rPr>
              <w:tab/>
            </w:r>
            <w:r w:rsidRPr="00BF1A9E">
              <w:rPr>
                <w:b w:val="0"/>
                <w:webHidden/>
                <w:sz w:val="32"/>
              </w:rPr>
              <w:fldChar w:fldCharType="begin"/>
            </w:r>
            <w:r w:rsidRPr="00BF1A9E">
              <w:rPr>
                <w:b w:val="0"/>
                <w:webHidden/>
                <w:sz w:val="32"/>
              </w:rPr>
              <w:instrText xml:space="preserve"> PAGEREF _Toc446331271 \h </w:instrText>
            </w:r>
            <w:r w:rsidRPr="00BF1A9E">
              <w:rPr>
                <w:b w:val="0"/>
                <w:webHidden/>
                <w:sz w:val="32"/>
              </w:rPr>
            </w:r>
            <w:r w:rsidRPr="00BF1A9E">
              <w:rPr>
                <w:b w:val="0"/>
                <w:webHidden/>
                <w:sz w:val="32"/>
              </w:rPr>
              <w:fldChar w:fldCharType="separate"/>
            </w:r>
            <w:r w:rsidR="00C11470">
              <w:rPr>
                <w:b w:val="0"/>
                <w:webHidden/>
                <w:sz w:val="32"/>
              </w:rPr>
              <w:t>20</w:t>
            </w:r>
            <w:r w:rsidRPr="00BF1A9E">
              <w:rPr>
                <w:b w:val="0"/>
                <w:webHidden/>
                <w:sz w:val="32"/>
              </w:rPr>
              <w:fldChar w:fldCharType="end"/>
            </w:r>
          </w:hyperlink>
        </w:p>
        <w:p w:rsidR="00BF1A9E" w:rsidRPr="00BF1A9E" w:rsidRDefault="00BF1A9E" w:rsidP="00BF1A9E">
          <w:pPr>
            <w:rPr>
              <w:noProof/>
            </w:rPr>
          </w:pPr>
        </w:p>
        <w:p w:rsidR="00BF1A9E" w:rsidRPr="00BF1A9E" w:rsidRDefault="00BF1A9E">
          <w:pPr>
            <w:pStyle w:val="TOC1"/>
            <w:rPr>
              <w:rStyle w:val="Hyperlink"/>
              <w:b w:val="0"/>
              <w:sz w:val="32"/>
            </w:rPr>
          </w:pPr>
          <w:hyperlink w:anchor="_Toc446331275" w:history="1">
            <w:r w:rsidRPr="00BF1A9E">
              <w:rPr>
                <w:rStyle w:val="Hyperlink"/>
                <w:b w:val="0"/>
                <w:sz w:val="32"/>
              </w:rPr>
              <w:t>25. Cancer 62 Day Waits</w:t>
            </w:r>
            <w:r w:rsidRPr="00BF1A9E">
              <w:rPr>
                <w:b w:val="0"/>
                <w:webHidden/>
                <w:sz w:val="32"/>
              </w:rPr>
              <w:tab/>
            </w:r>
            <w:r w:rsidRPr="00BF1A9E">
              <w:rPr>
                <w:b w:val="0"/>
                <w:webHidden/>
                <w:sz w:val="32"/>
              </w:rPr>
              <w:fldChar w:fldCharType="begin"/>
            </w:r>
            <w:r w:rsidRPr="00BF1A9E">
              <w:rPr>
                <w:b w:val="0"/>
                <w:webHidden/>
                <w:sz w:val="32"/>
              </w:rPr>
              <w:instrText xml:space="preserve"> PAGEREF _Toc446331275 \h </w:instrText>
            </w:r>
            <w:r w:rsidRPr="00BF1A9E">
              <w:rPr>
                <w:b w:val="0"/>
                <w:webHidden/>
                <w:sz w:val="32"/>
              </w:rPr>
            </w:r>
            <w:r w:rsidRPr="00BF1A9E">
              <w:rPr>
                <w:b w:val="0"/>
                <w:webHidden/>
                <w:sz w:val="32"/>
              </w:rPr>
              <w:fldChar w:fldCharType="separate"/>
            </w:r>
            <w:r w:rsidR="00C11470">
              <w:rPr>
                <w:b w:val="0"/>
                <w:webHidden/>
                <w:sz w:val="32"/>
              </w:rPr>
              <w:t>31</w:t>
            </w:r>
            <w:r w:rsidRPr="00BF1A9E">
              <w:rPr>
                <w:b w:val="0"/>
                <w:webHidden/>
                <w:sz w:val="32"/>
              </w:rPr>
              <w:fldChar w:fldCharType="end"/>
            </w:r>
          </w:hyperlink>
        </w:p>
        <w:p w:rsidR="00C26C8C" w:rsidRDefault="00C26C8C" w:rsidP="008436C1">
          <w:pPr>
            <w:tabs>
              <w:tab w:val="left" w:pos="5927"/>
            </w:tabs>
          </w:pPr>
          <w:r w:rsidRPr="008436C1">
            <w:rPr>
              <w:rFonts w:ascii="Arial" w:hAnsi="Arial" w:cs="Arial"/>
              <w:bCs/>
              <w:noProof/>
              <w:sz w:val="32"/>
              <w:szCs w:val="32"/>
            </w:rPr>
            <w:fldChar w:fldCharType="end"/>
          </w:r>
          <w:r w:rsidR="008436C1">
            <w:rPr>
              <w:rFonts w:ascii="Arial" w:hAnsi="Arial" w:cs="Arial"/>
              <w:bCs/>
              <w:noProof/>
              <w:sz w:val="32"/>
              <w:szCs w:val="32"/>
            </w:rPr>
            <w:tab/>
          </w:r>
        </w:p>
      </w:sdtContent>
    </w:sdt>
    <w:p w:rsidR="00BF1A9E" w:rsidRDefault="00BF1A9E" w:rsidP="00B34989">
      <w:pPr>
        <w:pStyle w:val="Heading1"/>
      </w:pPr>
      <w:bookmarkStart w:id="0" w:name="_Toc446331260"/>
    </w:p>
    <w:p w:rsidR="00BF1A9E" w:rsidRPr="00BF1A9E" w:rsidRDefault="00BF1A9E" w:rsidP="00BF1A9E">
      <w:bookmarkStart w:id="1" w:name="_GoBack"/>
      <w:bookmarkEnd w:id="1"/>
    </w:p>
    <w:p w:rsidR="0094478D" w:rsidRDefault="0070376E" w:rsidP="00B34989">
      <w:pPr>
        <w:pStyle w:val="Heading1"/>
      </w:pPr>
      <w:r w:rsidRPr="0070376E">
        <w:lastRenderedPageBreak/>
        <w:t xml:space="preserve">21. </w:t>
      </w:r>
      <w:r w:rsidR="00B34989" w:rsidRPr="009E6A61">
        <w:t>Frailty Identification and Care Planning</w:t>
      </w:r>
      <w:bookmarkEnd w:id="0"/>
    </w:p>
    <w:p w:rsidR="00B34989" w:rsidRPr="00B34989" w:rsidRDefault="00B34989" w:rsidP="00B34989"/>
    <w:tbl>
      <w:tblPr>
        <w:tblStyle w:val="TableGrid"/>
        <w:tblW w:w="5000" w:type="pct"/>
        <w:tblLook w:val="04A0" w:firstRow="1" w:lastRow="0" w:firstColumn="1" w:lastColumn="0" w:noHBand="0" w:noVBand="1"/>
        <w:tblCaption w:val="Please add a description of this table"/>
      </w:tblPr>
      <w:tblGrid>
        <w:gridCol w:w="3697"/>
        <w:gridCol w:w="10477"/>
      </w:tblGrid>
      <w:tr w:rsidR="007A4AA1" w:rsidRPr="007A4AA1" w:rsidTr="0005762C">
        <w:trPr>
          <w:tblHeader/>
        </w:trPr>
        <w:tc>
          <w:tcPr>
            <w:tcW w:w="5000" w:type="pct"/>
            <w:gridSpan w:val="2"/>
            <w:shd w:val="clear" w:color="auto" w:fill="0070C0"/>
          </w:tcPr>
          <w:p w:rsidR="007A4AA1" w:rsidRPr="007A4AA1" w:rsidRDefault="0094478D" w:rsidP="007A4AA1">
            <w:pPr>
              <w:spacing w:before="20" w:after="20"/>
              <w:jc w:val="center"/>
              <w:rPr>
                <w:rFonts w:eastAsia="Times New Roman"/>
                <w:b/>
                <w:bCs/>
                <w:color w:val="FFFFFF"/>
                <w:szCs w:val="26"/>
              </w:rPr>
            </w:pPr>
            <w:r>
              <w:rPr>
                <w:rFonts w:eastAsia="Times New Roman"/>
                <w:b/>
                <w:bCs/>
                <w:color w:val="FFFFFF"/>
                <w:szCs w:val="26"/>
              </w:rPr>
              <w:t>Indicator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Indicator name</w:t>
            </w:r>
          </w:p>
        </w:tc>
        <w:tc>
          <w:tcPr>
            <w:tcW w:w="3696" w:type="pct"/>
          </w:tcPr>
          <w:p w:rsidR="007A4AA1" w:rsidRPr="007A4AA1" w:rsidRDefault="007A4AA1" w:rsidP="007A4AA1">
            <w:pPr>
              <w:rPr>
                <w:rFonts w:eastAsia="MS Mincho" w:cs="Arial"/>
                <w:bCs/>
                <w:lang w:eastAsia="ja-JP"/>
              </w:rPr>
            </w:pPr>
            <w:r w:rsidRPr="007A4AA1">
              <w:rPr>
                <w:rFonts w:eastAsia="Times New Roman" w:cs="Calibri"/>
                <w:bCs/>
                <w:szCs w:val="26"/>
              </w:rPr>
              <w:t>Promote a system of timely identification and proactive management of frailty in community, mental health and acute providers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Indicator weighting </w:t>
            </w:r>
            <w:r w:rsidRPr="007A4AA1">
              <w:rPr>
                <w:rFonts w:eastAsia="Times New Roman" w:cs="Arial"/>
                <w:b/>
                <w:bCs/>
                <w:color w:val="000000"/>
                <w:szCs w:val="26"/>
              </w:rPr>
              <w:br/>
              <w:t>(% of CQUIN scheme available)</w:t>
            </w:r>
          </w:p>
        </w:tc>
        <w:tc>
          <w:tcPr>
            <w:tcW w:w="3696" w:type="pct"/>
          </w:tcPr>
          <w:p w:rsidR="007A4AA1" w:rsidRPr="007A4AA1" w:rsidRDefault="007A4AA1" w:rsidP="007A4AA1">
            <w:pPr>
              <w:keepNext/>
              <w:ind w:left="-108"/>
              <w:contextualSpacing/>
              <w:rPr>
                <w:rFonts w:eastAsia="Times New Roman" w:cs="Arial"/>
                <w:bCs/>
                <w:color w:val="000000"/>
                <w:szCs w:val="26"/>
              </w:rPr>
            </w:pPr>
            <w:r w:rsidRPr="007A4AA1">
              <w:rPr>
                <w:rFonts w:eastAsia="Times New Roman" w:cs="Arial"/>
                <w:bCs/>
                <w:color w:val="000000"/>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Description of indicator</w:t>
            </w:r>
          </w:p>
        </w:tc>
        <w:tc>
          <w:tcPr>
            <w:tcW w:w="3696" w:type="pct"/>
          </w:tcPr>
          <w:p w:rsidR="007A4AA1" w:rsidRPr="007A4AA1" w:rsidRDefault="007A4AA1" w:rsidP="007A4AA1">
            <w:pPr>
              <w:rPr>
                <w:rFonts w:eastAsia="Times New Roman" w:cs="Arial"/>
                <w:bCs/>
              </w:rPr>
            </w:pPr>
            <w:r w:rsidRPr="007A4AA1">
              <w:rPr>
                <w:rFonts w:eastAsia="Times New Roman" w:cs="Calibri"/>
                <w:bCs/>
                <w:szCs w:val="26"/>
              </w:rPr>
              <w:t>Percentage of people aged 75 and over screened for frailty syndrome on presentation, frailty severity grade recorded, Comprehensive Geriatric Assessment initiated, discharge summaries to GPs and development of care plans where appropriate according to patient’s needs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Numerator</w:t>
            </w:r>
          </w:p>
        </w:tc>
        <w:tc>
          <w:tcPr>
            <w:tcW w:w="3696" w:type="pct"/>
          </w:tcPr>
          <w:p w:rsidR="007A4AA1" w:rsidRPr="007A4AA1" w:rsidRDefault="007A4AA1" w:rsidP="007A4AA1">
            <w:pPr>
              <w:keepNext/>
              <w:rPr>
                <w:rFonts w:eastAsia="Times New Roman" w:cs="Arial"/>
                <w:bCs/>
                <w:color w:val="000000"/>
                <w:szCs w:val="26"/>
              </w:rPr>
            </w:pPr>
            <w:r w:rsidRPr="007A4AA1">
              <w:rPr>
                <w:rFonts w:eastAsia="Times New Roman" w:cs="Arial"/>
                <w:bCs/>
                <w:color w:val="000000"/>
                <w:szCs w:val="26"/>
              </w:rPr>
              <w:t>There are five metrics for this scheme with the numerators defined as:</w:t>
            </w:r>
          </w:p>
          <w:p w:rsidR="007A4AA1" w:rsidRPr="007A4AA1" w:rsidRDefault="007A4AA1" w:rsidP="007A4AA1">
            <w:pPr>
              <w:keepNext/>
              <w:rPr>
                <w:rFonts w:eastAsia="Times New Roman" w:cs="Arial"/>
                <w:bCs/>
                <w:color w:val="000000"/>
                <w:szCs w:val="26"/>
              </w:rPr>
            </w:pPr>
          </w:p>
          <w:p w:rsidR="007A4AA1" w:rsidRPr="007A4AA1" w:rsidRDefault="007A4AA1" w:rsidP="007A4AA1">
            <w:pPr>
              <w:keepNext/>
              <w:numPr>
                <w:ilvl w:val="0"/>
                <w:numId w:val="2"/>
              </w:numPr>
              <w:ind w:left="360"/>
              <w:contextualSpacing/>
              <w:rPr>
                <w:rFonts w:eastAsia="Times New Roman" w:cs="Arial"/>
                <w:bCs/>
                <w:color w:val="000000"/>
              </w:rPr>
            </w:pPr>
            <w:r w:rsidRPr="007A4AA1">
              <w:rPr>
                <w:rFonts w:eastAsia="Times New Roman" w:cs="Arial"/>
                <w:bCs/>
                <w:color w:val="000000"/>
              </w:rPr>
              <w:t>Number of patients aged 75 and above with a frailty syndrome who are screened for frailty on presentation.</w:t>
            </w:r>
          </w:p>
          <w:p w:rsidR="007A4AA1" w:rsidRPr="007A4AA1" w:rsidRDefault="007A4AA1" w:rsidP="007A4AA1">
            <w:pPr>
              <w:keepNext/>
              <w:numPr>
                <w:ilvl w:val="0"/>
                <w:numId w:val="2"/>
              </w:numPr>
              <w:ind w:left="360"/>
              <w:contextualSpacing/>
              <w:rPr>
                <w:rFonts w:eastAsia="Times New Roman" w:cs="Arial"/>
                <w:bCs/>
                <w:color w:val="000000"/>
              </w:rPr>
            </w:pPr>
            <w:r w:rsidRPr="007A4AA1">
              <w:rPr>
                <w:rFonts w:eastAsia="Times New Roman" w:cs="Arial"/>
                <w:bCs/>
                <w:color w:val="000000"/>
              </w:rPr>
              <w:t>Number of patients aged 75 and over who screen positive for frailty have severity grade recorded in patient notes</w:t>
            </w:r>
          </w:p>
          <w:p w:rsidR="007A4AA1" w:rsidRPr="007A4AA1" w:rsidRDefault="007A4AA1" w:rsidP="007A4AA1">
            <w:pPr>
              <w:keepNext/>
              <w:numPr>
                <w:ilvl w:val="0"/>
                <w:numId w:val="2"/>
              </w:numPr>
              <w:ind w:left="360"/>
              <w:contextualSpacing/>
              <w:rPr>
                <w:rFonts w:eastAsia="Times New Roman" w:cs="Arial"/>
                <w:bCs/>
                <w:color w:val="000000"/>
              </w:rPr>
            </w:pPr>
            <w:r w:rsidRPr="007A4AA1">
              <w:rPr>
                <w:rFonts w:eastAsia="Times New Roman" w:cs="Arial"/>
                <w:bCs/>
                <w:color w:val="000000"/>
              </w:rPr>
              <w:t>Number of people aged 75 and above who screen positive for moderate or severe frailty who have a personalised care and support plan in place</w:t>
            </w:r>
          </w:p>
          <w:p w:rsidR="007A4AA1" w:rsidRPr="007A4AA1" w:rsidRDefault="007A4AA1" w:rsidP="007A4AA1">
            <w:pPr>
              <w:keepNext/>
              <w:numPr>
                <w:ilvl w:val="0"/>
                <w:numId w:val="2"/>
              </w:numPr>
              <w:ind w:left="360"/>
              <w:contextualSpacing/>
              <w:rPr>
                <w:rFonts w:eastAsia="Times New Roman" w:cs="Arial"/>
                <w:bCs/>
                <w:color w:val="000000"/>
              </w:rPr>
            </w:pPr>
            <w:r w:rsidRPr="007A4AA1">
              <w:rPr>
                <w:rFonts w:eastAsia="Times New Roman" w:cs="Arial"/>
                <w:bCs/>
                <w:color w:val="000000"/>
              </w:rPr>
              <w:t xml:space="preserve">Number of people aged 75 and over who screen positive for moderate or severe frailty for </w:t>
            </w:r>
            <w:proofErr w:type="gramStart"/>
            <w:r w:rsidRPr="007A4AA1">
              <w:rPr>
                <w:rFonts w:eastAsia="Times New Roman" w:cs="Arial"/>
                <w:bCs/>
                <w:color w:val="000000"/>
              </w:rPr>
              <w:t>whom</w:t>
            </w:r>
            <w:proofErr w:type="gramEnd"/>
            <w:r w:rsidRPr="007A4AA1">
              <w:rPr>
                <w:rFonts w:eastAsia="Times New Roman" w:cs="Arial"/>
                <w:bCs/>
                <w:color w:val="000000"/>
              </w:rPr>
              <w:t xml:space="preserve"> Comprehensive Geriatric Assessment has been initiated with information on this shared with their GP.</w:t>
            </w:r>
          </w:p>
          <w:p w:rsidR="007A4AA1" w:rsidRPr="007A4AA1" w:rsidRDefault="007A4AA1" w:rsidP="007A4AA1">
            <w:pPr>
              <w:rPr>
                <w:rFonts w:eastAsia="Times New Roman" w:cs="Arial"/>
                <w:bCs/>
              </w:rPr>
            </w:pPr>
            <w:r w:rsidRPr="007A4AA1">
              <w:rPr>
                <w:rFonts w:eastAsia="Times New Roman" w:cs="Arial"/>
                <w:bCs/>
                <w:color w:val="000000"/>
              </w:rPr>
              <w:t>Number of patients aged 75 and above who screen positive for frailty who are provided with planned personalised care plans according to moderately- severity needs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 Denominator</w:t>
            </w:r>
          </w:p>
        </w:tc>
        <w:tc>
          <w:tcPr>
            <w:tcW w:w="3696" w:type="pct"/>
          </w:tcPr>
          <w:p w:rsidR="007A4AA1" w:rsidRPr="007A4AA1" w:rsidRDefault="007A4AA1" w:rsidP="007A4AA1">
            <w:pPr>
              <w:keepNext/>
              <w:rPr>
                <w:rFonts w:eastAsia="Times New Roman" w:cs="Arial"/>
                <w:bCs/>
                <w:color w:val="000000"/>
              </w:rPr>
            </w:pPr>
            <w:r w:rsidRPr="007A4AA1">
              <w:rPr>
                <w:rFonts w:eastAsia="Times New Roman" w:cs="Arial"/>
                <w:bCs/>
                <w:color w:val="000000"/>
              </w:rPr>
              <w:t>The corresponding denominators are:</w:t>
            </w:r>
          </w:p>
          <w:p w:rsidR="007A4AA1" w:rsidRPr="007A4AA1" w:rsidRDefault="007A4AA1" w:rsidP="007A4AA1">
            <w:pPr>
              <w:keepNext/>
              <w:rPr>
                <w:rFonts w:eastAsia="Times New Roman" w:cs="Arial"/>
                <w:bCs/>
                <w:color w:val="000000"/>
              </w:rPr>
            </w:pPr>
          </w:p>
          <w:p w:rsidR="007A4AA1" w:rsidRPr="007A4AA1" w:rsidRDefault="007A4AA1" w:rsidP="007A4AA1">
            <w:pPr>
              <w:keepNext/>
              <w:numPr>
                <w:ilvl w:val="0"/>
                <w:numId w:val="3"/>
              </w:numPr>
              <w:ind w:left="360"/>
              <w:contextualSpacing/>
              <w:rPr>
                <w:rFonts w:eastAsia="Times New Roman" w:cs="Arial"/>
                <w:bCs/>
                <w:color w:val="000000"/>
              </w:rPr>
            </w:pPr>
            <w:r w:rsidRPr="007A4AA1">
              <w:rPr>
                <w:rFonts w:eastAsia="Times New Roman" w:cs="Arial"/>
                <w:bCs/>
                <w:color w:val="000000"/>
              </w:rPr>
              <w:t>Number of patients aged 75 and above with a frailty syndrome who are admitted.</w:t>
            </w:r>
          </w:p>
          <w:p w:rsidR="007A4AA1" w:rsidRPr="007A4AA1" w:rsidRDefault="007A4AA1" w:rsidP="007A4AA1">
            <w:pPr>
              <w:keepNext/>
              <w:numPr>
                <w:ilvl w:val="0"/>
                <w:numId w:val="3"/>
              </w:numPr>
              <w:ind w:left="360"/>
              <w:contextualSpacing/>
              <w:rPr>
                <w:rFonts w:eastAsia="Times New Roman" w:cs="Arial"/>
                <w:bCs/>
                <w:color w:val="000000"/>
              </w:rPr>
            </w:pPr>
            <w:r w:rsidRPr="007A4AA1">
              <w:rPr>
                <w:rFonts w:eastAsia="Times New Roman" w:cs="Arial"/>
                <w:bCs/>
                <w:color w:val="000000"/>
              </w:rPr>
              <w:lastRenderedPageBreak/>
              <w:t>Number of patients aged 75 and over who screen positive for frailty</w:t>
            </w:r>
          </w:p>
          <w:p w:rsidR="007A4AA1" w:rsidRPr="007A4AA1" w:rsidRDefault="007A4AA1" w:rsidP="007A4AA1">
            <w:pPr>
              <w:keepNext/>
              <w:numPr>
                <w:ilvl w:val="0"/>
                <w:numId w:val="3"/>
              </w:numPr>
              <w:ind w:left="360"/>
              <w:contextualSpacing/>
              <w:rPr>
                <w:rFonts w:eastAsia="Times New Roman" w:cs="Arial"/>
                <w:bCs/>
                <w:color w:val="000000"/>
              </w:rPr>
            </w:pPr>
            <w:r w:rsidRPr="007A4AA1">
              <w:rPr>
                <w:rFonts w:eastAsia="Times New Roman" w:cs="Arial"/>
                <w:bCs/>
                <w:color w:val="000000"/>
              </w:rPr>
              <w:t xml:space="preserve">Number of people aged 75 and above who screen positive for moderate or severe frailty </w:t>
            </w:r>
          </w:p>
          <w:p w:rsidR="007A4AA1" w:rsidRPr="007A4AA1" w:rsidRDefault="007A4AA1" w:rsidP="007A4AA1">
            <w:pPr>
              <w:keepNext/>
              <w:numPr>
                <w:ilvl w:val="0"/>
                <w:numId w:val="3"/>
              </w:numPr>
              <w:ind w:left="360"/>
              <w:contextualSpacing/>
              <w:rPr>
                <w:rFonts w:eastAsia="Times New Roman" w:cs="Arial"/>
                <w:bCs/>
                <w:color w:val="000000"/>
              </w:rPr>
            </w:pPr>
            <w:r w:rsidRPr="007A4AA1">
              <w:rPr>
                <w:rFonts w:eastAsia="Times New Roman" w:cs="Arial"/>
                <w:bCs/>
                <w:color w:val="000000"/>
              </w:rPr>
              <w:t xml:space="preserve">Number of people aged 75 and over who screen positive for moderate or severe frailty </w:t>
            </w: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rPr>
              <w:t>Number of patients aged 75 and above who are screen positive for frailty.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Rationale for inclusion</w:t>
            </w:r>
          </w:p>
        </w:tc>
        <w:tc>
          <w:tcPr>
            <w:tcW w:w="3696" w:type="pct"/>
          </w:tcPr>
          <w:p w:rsidR="007A4AA1" w:rsidRPr="007A4AA1" w:rsidRDefault="007A4AA1" w:rsidP="007A4AA1">
            <w:pPr>
              <w:rPr>
                <w:rFonts w:eastAsia="Times New Roman" w:cs="Calibri"/>
                <w:bCs/>
              </w:rPr>
            </w:pPr>
            <w:r w:rsidRPr="007A4AA1">
              <w:rPr>
                <w:rFonts w:eastAsia="Times New Roman" w:cs="Calibri"/>
                <w:bCs/>
              </w:rPr>
              <w:t>Frailty is a frequent condition with an exponential increase with age.</w:t>
            </w:r>
            <w:r w:rsidRPr="007A4AA1">
              <w:rPr>
                <w:rFonts w:eastAsia="MS Gothic" w:cs="Calibri"/>
                <w:bCs/>
                <w:vertAlign w:val="superscript"/>
              </w:rPr>
              <w:footnoteReference w:id="1"/>
            </w:r>
            <w:r w:rsidRPr="007A4AA1">
              <w:rPr>
                <w:rFonts w:eastAsia="Times New Roman" w:cs="Calibri"/>
                <w:bCs/>
              </w:rPr>
              <w:t xml:space="preserve"> From about 10% in the population aged over 60, to 25% or more in those aged 80 and older.</w:t>
            </w:r>
            <w:r w:rsidRPr="007A4AA1">
              <w:rPr>
                <w:rFonts w:eastAsia="MS Gothic" w:cs="Calibri"/>
                <w:bCs/>
                <w:vertAlign w:val="superscript"/>
              </w:rPr>
              <w:footnoteReference w:id="2"/>
            </w:r>
            <w:r w:rsidRPr="007A4AA1">
              <w:rPr>
                <w:rFonts w:eastAsia="Times New Roman" w:cs="Calibri"/>
                <w:bCs/>
              </w:rPr>
              <w:t xml:space="preserve"> Older people living with frailty are the highest users of services across health and social care and have the highest levels of unplanned admissions to hospital.  Older people (in this case aged over &gt;85) occupied 7 million emergency bed days in 12/13 (NHS England, 2015) compared to, for example, the population under the age of 40 occupied 1 million emergency bed days in 12/13. Yet we know that between 20% and 30% of hospital admissions in this group could be prevented by proactive case finding, frailty assessment, care planning and use of services outside of hospital (</w:t>
            </w:r>
            <w:proofErr w:type="spellStart"/>
            <w:r w:rsidRPr="007A4AA1">
              <w:rPr>
                <w:rFonts w:eastAsia="Times New Roman" w:cs="Calibri"/>
                <w:bCs/>
              </w:rPr>
              <w:t>Mytton</w:t>
            </w:r>
            <w:proofErr w:type="spellEnd"/>
            <w:r w:rsidRPr="007A4AA1">
              <w:rPr>
                <w:rFonts w:eastAsia="Times New Roman" w:cs="Calibri"/>
                <w:bCs/>
              </w:rPr>
              <w:t xml:space="preserve"> et al 2012).</w:t>
            </w:r>
            <w:r w:rsidRPr="007A4AA1">
              <w:rPr>
                <w:rFonts w:eastAsia="MS Gothic" w:cs="Calibri"/>
                <w:bCs/>
                <w:vertAlign w:val="superscript"/>
              </w:rPr>
              <w:footnoteReference w:id="3"/>
            </w:r>
            <w:r w:rsidRPr="007A4AA1">
              <w:rPr>
                <w:rFonts w:eastAsia="Times New Roman" w:cs="Calibri"/>
                <w:bCs/>
              </w:rPr>
              <w:t xml:space="preserve"> </w:t>
            </w:r>
          </w:p>
          <w:p w:rsidR="007A4AA1" w:rsidRPr="007A4AA1" w:rsidRDefault="007A4AA1" w:rsidP="007A4AA1">
            <w:pPr>
              <w:jc w:val="both"/>
              <w:rPr>
                <w:rFonts w:eastAsia="Times New Roman" w:cs="Calibri"/>
                <w:bCs/>
              </w:rPr>
            </w:pPr>
          </w:p>
          <w:p w:rsidR="007A4AA1" w:rsidRPr="007A4AA1" w:rsidRDefault="007A4AA1" w:rsidP="007A4AA1">
            <w:pPr>
              <w:keepNext/>
              <w:contextualSpacing/>
              <w:rPr>
                <w:rFonts w:eastAsia="Times New Roman" w:cs="Arial"/>
                <w:bCs/>
                <w:color w:val="000000"/>
                <w:szCs w:val="26"/>
              </w:rPr>
            </w:pPr>
            <w:r w:rsidRPr="007A4AA1">
              <w:rPr>
                <w:rFonts w:eastAsia="Times New Roman" w:cs="Calibri"/>
                <w:bCs/>
              </w:rPr>
              <w:t>The problem we face is that people with frailty are currently either not reliably identified or identified only when advanced frailty has developed. This leads to missed opportunities to mitigate the preventative components of frailty, to instigate proactive care models such as personalised care and support planning, and/or target geriatric resources.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Data source</w:t>
            </w:r>
          </w:p>
        </w:tc>
        <w:tc>
          <w:tcPr>
            <w:tcW w:w="3696" w:type="pct"/>
          </w:tcPr>
          <w:p w:rsidR="007A4AA1" w:rsidRDefault="007A4AA1" w:rsidP="007A4AA1">
            <w:pPr>
              <w:rPr>
                <w:rFonts w:eastAsia="Times New Roman" w:cs="Calibri"/>
                <w:bCs/>
              </w:rPr>
            </w:pPr>
            <w:r w:rsidRPr="007A4AA1">
              <w:rPr>
                <w:rFonts w:eastAsia="Times New Roman" w:cs="Calibri"/>
                <w:bCs/>
              </w:rPr>
              <w:t>A clinical record audit of a representative sample of patients aged 75 and over who had a frailty syndrome (see further guidance).</w:t>
            </w:r>
          </w:p>
          <w:p w:rsidR="00117D74" w:rsidRPr="007A4AA1" w:rsidRDefault="00117D74" w:rsidP="007A4AA1">
            <w:pPr>
              <w:rPr>
                <w:rFonts w:eastAsia="Times New Roman" w:cs="Calibri"/>
                <w:bCs/>
              </w:rPr>
            </w:pPr>
          </w:p>
          <w:p w:rsidR="007A4AA1" w:rsidRPr="007A4AA1" w:rsidRDefault="007A4AA1" w:rsidP="007A4AA1">
            <w:pPr>
              <w:keepNext/>
              <w:contextualSpacing/>
              <w:rPr>
                <w:rFonts w:eastAsia="Times New Roman" w:cs="Arial"/>
                <w:bCs/>
              </w:rPr>
            </w:pPr>
            <w:r w:rsidRPr="007A4AA1">
              <w:rPr>
                <w:rFonts w:eastAsia="Times New Roman" w:cs="Calibri"/>
                <w:bCs/>
              </w:rPr>
              <w:lastRenderedPageBreak/>
              <w:t>Existing GP Practice Read Codes are available to ‘flag’ people diagnosed with frailty. This information would contribute to case finding systems and care planning for practice population at risk of unplanned admission.</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Frequency of data collection</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Quarterly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Organisation responsible for data collection</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Provider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Frequency of reporting to commissioner</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Quarterly</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period/date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Q1 2016/17</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value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determined by baseline audit</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period/date (on which payment is based)</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Q4 2016/17</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value (payment threshold)</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rPr>
              <w:t>The final indicator values for payment are to be agreed locally, and will represent an achievable but stretching level of improvement from the baseline to what should be 95% or above achievement of each of the indicators.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reporting date</w:t>
            </w:r>
          </w:p>
        </w:tc>
        <w:tc>
          <w:tcPr>
            <w:tcW w:w="3696" w:type="pct"/>
          </w:tcPr>
          <w:p w:rsidR="007A4AA1" w:rsidRPr="007A4AA1" w:rsidRDefault="007A4AA1" w:rsidP="007A4AA1">
            <w:pPr>
              <w:keepNext/>
              <w:contextualSpacing/>
              <w:rPr>
                <w:rFonts w:eastAsia="Times New Roman" w:cs="Arial"/>
                <w:bCs/>
                <w:szCs w:val="26"/>
              </w:rPr>
            </w:pPr>
            <w:r w:rsidRPr="007A4AA1">
              <w:rPr>
                <w:rFonts w:eastAsia="Times New Roman" w:cs="Arial"/>
                <w:bCs/>
                <w:szCs w:val="26"/>
              </w:rPr>
              <w:t>To be agreed locally</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Are there rules for any agreed in-year milestones that result in payment?</w:t>
            </w:r>
          </w:p>
        </w:tc>
        <w:tc>
          <w:tcPr>
            <w:tcW w:w="3696" w:type="pct"/>
          </w:tcPr>
          <w:p w:rsidR="007A4AA1" w:rsidRPr="007A4AA1" w:rsidRDefault="007A4AA1" w:rsidP="007A4AA1">
            <w:pPr>
              <w:keepNext/>
              <w:contextualSpacing/>
              <w:rPr>
                <w:rFonts w:eastAsia="Times New Roman" w:cs="Arial"/>
                <w:bCs/>
                <w:szCs w:val="26"/>
              </w:rPr>
            </w:pPr>
            <w:r w:rsidRPr="007A4AA1">
              <w:rPr>
                <w:rFonts w:eastAsia="Times New Roman" w:cs="Arial"/>
                <w:bCs/>
                <w:szCs w:val="26"/>
              </w:rPr>
              <w:t>To be agreed locally</w:t>
            </w:r>
          </w:p>
          <w:p w:rsidR="007A4AA1" w:rsidRPr="007A4AA1" w:rsidRDefault="007A4AA1" w:rsidP="007A4AA1">
            <w:pPr>
              <w:keepNext/>
              <w:contextualSpacing/>
              <w:rPr>
                <w:rFonts w:eastAsia="Calibri"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Are there any rules for partial achievement of the indicator at the final indicator period/date?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EXIT Route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agreed locally</w:t>
            </w:r>
          </w:p>
        </w:tc>
      </w:tr>
    </w:tbl>
    <w:p w:rsidR="007A4AA1" w:rsidRDefault="007A4AA1" w:rsidP="0094478D">
      <w:pPr>
        <w:pStyle w:val="Heading2"/>
        <w:rPr>
          <w:rFonts w:eastAsia="Times New Roman"/>
        </w:rPr>
      </w:pPr>
      <w:bookmarkStart w:id="2" w:name="_Toc443035849"/>
      <w:bookmarkStart w:id="3" w:name="_Toc443915967"/>
      <w:bookmarkStart w:id="4" w:name="_Toc444262546"/>
      <w:bookmarkStart w:id="5" w:name="_Toc444783567"/>
      <w:bookmarkStart w:id="6" w:name="_Toc445214879"/>
      <w:bookmarkStart w:id="7" w:name="_Toc445220868"/>
      <w:bookmarkStart w:id="8" w:name="_Toc446331261"/>
      <w:r w:rsidRPr="007A4AA1">
        <w:rPr>
          <w:rFonts w:eastAsia="Times New Roman"/>
        </w:rPr>
        <w:t>Milestones</w:t>
      </w:r>
      <w:bookmarkEnd w:id="2"/>
      <w:bookmarkEnd w:id="3"/>
      <w:bookmarkEnd w:id="4"/>
      <w:bookmarkEnd w:id="5"/>
      <w:bookmarkEnd w:id="6"/>
      <w:bookmarkEnd w:id="7"/>
      <w:bookmarkEnd w:id="8"/>
    </w:p>
    <w:p w:rsidR="0094478D" w:rsidRPr="0094478D" w:rsidRDefault="0094478D" w:rsidP="0094478D"/>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Date/period milestone relates to</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Rules for achievement of milestones (including evidence to be supplied to commissioner)</w:t>
            </w:r>
          </w:p>
        </w:tc>
        <w:tc>
          <w:tcPr>
            <w:tcW w:w="598"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 milestone to be reported</w:t>
            </w:r>
          </w:p>
        </w:tc>
        <w:tc>
          <w:tcPr>
            <w:tcW w:w="725"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Milestone weighting (% of CQUIN scheme available)</w:t>
            </w:r>
          </w:p>
        </w:tc>
      </w:tr>
      <w:tr w:rsidR="007A4AA1" w:rsidRPr="007A4AA1" w:rsidTr="0034212F">
        <w:tc>
          <w:tcPr>
            <w:tcW w:w="636" w:type="pct"/>
          </w:tcPr>
          <w:p w:rsidR="007A4AA1" w:rsidRPr="007A4AA1" w:rsidRDefault="007A4AA1" w:rsidP="007A4AA1">
            <w:pPr>
              <w:spacing w:before="20" w:after="20"/>
              <w:rPr>
                <w:rFonts w:eastAsia="Times New Roman" w:cs="Arial"/>
                <w:b/>
                <w:bCs/>
              </w:rPr>
            </w:pPr>
            <w:r w:rsidRPr="007A4AA1">
              <w:rPr>
                <w:rFonts w:eastAsia="Times New Roman" w:cs="Arial"/>
                <w:bCs/>
              </w:rPr>
              <w:t>Quarter 1</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2</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3</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4</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bl>
    <w:p w:rsidR="007A4AA1" w:rsidRPr="007A4AA1" w:rsidRDefault="007A4AA1" w:rsidP="007560B8">
      <w:pPr>
        <w:rPr>
          <w:rFonts w:ascii="Arial" w:eastAsia="Times New Roman" w:hAnsi="Arial" w:cs="Arial"/>
          <w:b/>
          <w:bCs/>
          <w:color w:val="0072C6"/>
          <w:kern w:val="32"/>
          <w:sz w:val="32"/>
          <w:szCs w:val="32"/>
        </w:rPr>
      </w:pPr>
    </w:p>
    <w:p w:rsidR="007A4AA1" w:rsidRDefault="007A4AA1" w:rsidP="00033AC8">
      <w:pPr>
        <w:pStyle w:val="Heading2"/>
        <w:rPr>
          <w:rFonts w:eastAsia="Times New Roman"/>
        </w:rPr>
      </w:pPr>
      <w:bookmarkStart w:id="9" w:name="_Toc443035850"/>
      <w:bookmarkStart w:id="10" w:name="_Toc443915968"/>
      <w:bookmarkStart w:id="11" w:name="_Toc444262547"/>
      <w:bookmarkStart w:id="12" w:name="_Toc444783568"/>
      <w:bookmarkStart w:id="13" w:name="_Toc445214880"/>
      <w:bookmarkStart w:id="14" w:name="_Toc445220869"/>
      <w:bookmarkStart w:id="15" w:name="_Toc446331262"/>
      <w:r w:rsidRPr="007A4AA1">
        <w:rPr>
          <w:rFonts w:eastAsia="Times New Roman"/>
        </w:rPr>
        <w:t>Rules for Partial Achievement at Final Indicator Period/ Date</w:t>
      </w:r>
      <w:bookmarkEnd w:id="9"/>
      <w:bookmarkEnd w:id="10"/>
      <w:bookmarkEnd w:id="11"/>
      <w:bookmarkEnd w:id="12"/>
      <w:bookmarkEnd w:id="13"/>
      <w:bookmarkEnd w:id="14"/>
      <w:bookmarkEnd w:id="15"/>
    </w:p>
    <w:p w:rsidR="0094478D" w:rsidRPr="0094478D" w:rsidRDefault="0094478D" w:rsidP="0094478D"/>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Final indicator value for the partial achievement threshold</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 of CQUIN scheme available for meeting final indicator value</w:t>
            </w: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bl>
    <w:p w:rsidR="007A4AA1" w:rsidRPr="007A4AA1" w:rsidRDefault="007A4AA1" w:rsidP="007A4AA1">
      <w:pPr>
        <w:spacing w:after="0" w:line="240" w:lineRule="auto"/>
        <w:rPr>
          <w:rFonts w:ascii="Arial" w:eastAsia="Times New Roman" w:hAnsi="Arial" w:cs="Times New Roman"/>
          <w:bCs/>
          <w:sz w:val="24"/>
          <w:szCs w:val="26"/>
        </w:rPr>
      </w:pPr>
    </w:p>
    <w:p w:rsidR="007A4AA1" w:rsidRDefault="007A4AA1" w:rsidP="00033AC8">
      <w:pPr>
        <w:pStyle w:val="Heading2"/>
        <w:rPr>
          <w:rFonts w:eastAsia="Times New Roman"/>
        </w:rPr>
      </w:pPr>
      <w:bookmarkStart w:id="16" w:name="_Toc443035851"/>
      <w:bookmarkStart w:id="17" w:name="_Toc443915969"/>
      <w:bookmarkStart w:id="18" w:name="_Toc444262548"/>
      <w:bookmarkStart w:id="19" w:name="_Toc444783569"/>
      <w:bookmarkStart w:id="20" w:name="_Toc445214881"/>
      <w:bookmarkStart w:id="21" w:name="_Toc445220870"/>
      <w:bookmarkStart w:id="22" w:name="_Toc446331263"/>
      <w:r w:rsidRPr="007A4AA1">
        <w:rPr>
          <w:rFonts w:eastAsia="Times New Roman"/>
        </w:rPr>
        <w:t xml:space="preserve">Supporting </w:t>
      </w:r>
      <w:r w:rsidRPr="0005762C">
        <w:t>Guidance</w:t>
      </w:r>
      <w:r w:rsidRPr="007A4AA1">
        <w:rPr>
          <w:rFonts w:eastAsia="Times New Roman"/>
        </w:rPr>
        <w:t xml:space="preserve"> and References</w:t>
      </w:r>
      <w:bookmarkEnd w:id="16"/>
      <w:bookmarkEnd w:id="17"/>
      <w:bookmarkEnd w:id="18"/>
      <w:bookmarkEnd w:id="19"/>
      <w:bookmarkEnd w:id="20"/>
      <w:bookmarkEnd w:id="21"/>
      <w:bookmarkEnd w:id="22"/>
    </w:p>
    <w:p w:rsidR="0094478D" w:rsidRPr="0094478D" w:rsidRDefault="0094478D" w:rsidP="0094478D"/>
    <w:p w:rsidR="007A4AA1" w:rsidRPr="007A4AA1" w:rsidRDefault="007A4AA1" w:rsidP="007A4AA1">
      <w:pPr>
        <w:spacing w:after="0" w:line="240" w:lineRule="auto"/>
        <w:rPr>
          <w:rFonts w:ascii="Arial" w:eastAsia="Times New Roman" w:hAnsi="Arial" w:cs="Times New Roman"/>
          <w:bCs/>
          <w:sz w:val="24"/>
          <w:szCs w:val="26"/>
          <w:u w:val="single"/>
        </w:rPr>
      </w:pPr>
      <w:r w:rsidRPr="007A4AA1">
        <w:rPr>
          <w:rFonts w:ascii="Arial" w:eastAsia="Times New Roman" w:hAnsi="Arial" w:cs="Times New Roman"/>
          <w:bCs/>
          <w:sz w:val="24"/>
          <w:szCs w:val="26"/>
          <w:u w:val="single"/>
        </w:rPr>
        <w:t>Background</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r w:rsidRPr="007A4AA1">
        <w:rPr>
          <w:rFonts w:ascii="Arial" w:eastAsia="Times New Roman" w:hAnsi="Arial" w:cs="Times New Roman"/>
          <w:bCs/>
          <w:sz w:val="24"/>
          <w:szCs w:val="26"/>
        </w:rPr>
        <w:t>Broadly there are 5 frailty syndromes and encountering one of these should raise suspicion that the individual concerned has frailty. However, it is possible to have any of these problems without frailty and sometimes there can be a very straightforward explanation for the problem.</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numPr>
          <w:ilvl w:val="0"/>
          <w:numId w:val="4"/>
        </w:numPr>
        <w:spacing w:after="0" w:line="240" w:lineRule="auto"/>
        <w:contextualSpacing/>
        <w:rPr>
          <w:rFonts w:ascii="Arial" w:eastAsia="Times New Roman" w:hAnsi="Arial" w:cs="Times New Roman"/>
          <w:bCs/>
          <w:sz w:val="24"/>
          <w:szCs w:val="26"/>
        </w:rPr>
      </w:pPr>
      <w:r w:rsidRPr="007A4AA1">
        <w:rPr>
          <w:rFonts w:ascii="Arial" w:eastAsia="Times New Roman" w:hAnsi="Arial" w:cs="Times New Roman"/>
          <w:bCs/>
          <w:sz w:val="24"/>
          <w:szCs w:val="26"/>
        </w:rPr>
        <w:t>Falls (e.g. collapse, legs gave way, ‘found lying on floor’).</w:t>
      </w:r>
    </w:p>
    <w:p w:rsidR="007A4AA1" w:rsidRPr="007A4AA1" w:rsidRDefault="007A4AA1" w:rsidP="007A4AA1">
      <w:pPr>
        <w:spacing w:after="0" w:line="240" w:lineRule="auto"/>
        <w:ind w:left="1080"/>
        <w:contextualSpacing/>
        <w:rPr>
          <w:rFonts w:ascii="Arial" w:eastAsia="Times New Roman" w:hAnsi="Arial" w:cs="Times New Roman"/>
          <w:bCs/>
          <w:sz w:val="24"/>
          <w:szCs w:val="26"/>
        </w:rPr>
      </w:pPr>
    </w:p>
    <w:p w:rsidR="007A4AA1" w:rsidRPr="007A4AA1" w:rsidRDefault="007A4AA1" w:rsidP="007A4AA1">
      <w:pPr>
        <w:numPr>
          <w:ilvl w:val="0"/>
          <w:numId w:val="4"/>
        </w:numPr>
        <w:spacing w:after="0" w:line="240" w:lineRule="auto"/>
        <w:contextualSpacing/>
        <w:rPr>
          <w:rFonts w:ascii="Arial" w:eastAsia="Times New Roman" w:hAnsi="Arial" w:cs="Times New Roman"/>
          <w:bCs/>
          <w:sz w:val="24"/>
          <w:szCs w:val="26"/>
        </w:rPr>
      </w:pPr>
      <w:r w:rsidRPr="007A4AA1">
        <w:rPr>
          <w:rFonts w:ascii="Arial" w:eastAsia="Times New Roman" w:hAnsi="Arial" w:cs="Times New Roman"/>
          <w:bCs/>
          <w:sz w:val="24"/>
          <w:szCs w:val="26"/>
        </w:rPr>
        <w:t>Immobility (e.g. sudden change in mobility, ‘gone off legs’ ‘stuck in toilet’).</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numPr>
          <w:ilvl w:val="0"/>
          <w:numId w:val="4"/>
        </w:numPr>
        <w:spacing w:after="0" w:line="240" w:lineRule="auto"/>
        <w:contextualSpacing/>
        <w:rPr>
          <w:rFonts w:ascii="Arial" w:eastAsia="Times New Roman" w:hAnsi="Arial" w:cs="Times New Roman"/>
          <w:bCs/>
          <w:sz w:val="24"/>
          <w:szCs w:val="26"/>
        </w:rPr>
      </w:pPr>
      <w:r w:rsidRPr="007A4AA1">
        <w:rPr>
          <w:rFonts w:ascii="Arial" w:eastAsia="Times New Roman" w:hAnsi="Arial" w:cs="Times New Roman"/>
          <w:bCs/>
          <w:sz w:val="24"/>
          <w:szCs w:val="26"/>
        </w:rPr>
        <w:t>Delirium (e.g. acute confusion, ’</w:t>
      </w:r>
      <w:proofErr w:type="spellStart"/>
      <w:r w:rsidRPr="007A4AA1">
        <w:rPr>
          <w:rFonts w:ascii="Arial" w:eastAsia="Times New Roman" w:hAnsi="Arial" w:cs="Times New Roman"/>
          <w:bCs/>
          <w:sz w:val="24"/>
          <w:szCs w:val="26"/>
        </w:rPr>
        <w:t>muddledness</w:t>
      </w:r>
      <w:proofErr w:type="spellEnd"/>
      <w:r w:rsidRPr="007A4AA1">
        <w:rPr>
          <w:rFonts w:ascii="Arial" w:eastAsia="Times New Roman" w:hAnsi="Arial" w:cs="Times New Roman"/>
          <w:bCs/>
          <w:sz w:val="24"/>
          <w:szCs w:val="26"/>
        </w:rPr>
        <w:t>’, sudden worsening of confusion in someone with previous dementia or known memory loss).</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numPr>
          <w:ilvl w:val="0"/>
          <w:numId w:val="4"/>
        </w:numPr>
        <w:spacing w:after="0" w:line="240" w:lineRule="auto"/>
        <w:contextualSpacing/>
        <w:rPr>
          <w:rFonts w:ascii="Arial" w:eastAsia="Times New Roman" w:hAnsi="Arial" w:cs="Times New Roman"/>
          <w:bCs/>
          <w:sz w:val="24"/>
          <w:szCs w:val="26"/>
        </w:rPr>
      </w:pPr>
      <w:r w:rsidRPr="007A4AA1">
        <w:rPr>
          <w:rFonts w:ascii="Arial" w:eastAsia="Times New Roman" w:hAnsi="Arial" w:cs="Times New Roman"/>
          <w:bCs/>
          <w:sz w:val="24"/>
          <w:szCs w:val="26"/>
        </w:rPr>
        <w:t>Incontinence (e.g. change in continence – new onset or worsening of urine or faecal incontinence).</w:t>
      </w:r>
    </w:p>
    <w:p w:rsidR="007A4AA1" w:rsidRPr="007A4AA1" w:rsidRDefault="007A4AA1" w:rsidP="007A4AA1">
      <w:pPr>
        <w:spacing w:after="0" w:line="240" w:lineRule="auto"/>
        <w:ind w:left="720"/>
        <w:contextualSpacing/>
        <w:rPr>
          <w:rFonts w:ascii="Arial" w:eastAsia="Times New Roman" w:hAnsi="Arial" w:cs="Times New Roman"/>
          <w:bCs/>
          <w:sz w:val="24"/>
          <w:szCs w:val="26"/>
        </w:rPr>
      </w:pPr>
    </w:p>
    <w:p w:rsidR="007A4AA1" w:rsidRPr="007A4AA1" w:rsidRDefault="007A4AA1" w:rsidP="007A4AA1">
      <w:pPr>
        <w:numPr>
          <w:ilvl w:val="0"/>
          <w:numId w:val="4"/>
        </w:numPr>
        <w:spacing w:after="0" w:line="240" w:lineRule="auto"/>
        <w:contextualSpacing/>
        <w:rPr>
          <w:rFonts w:ascii="Arial" w:eastAsia="Times New Roman" w:hAnsi="Arial" w:cs="Times New Roman"/>
          <w:bCs/>
          <w:sz w:val="24"/>
          <w:szCs w:val="26"/>
        </w:rPr>
      </w:pPr>
      <w:r w:rsidRPr="007A4AA1">
        <w:rPr>
          <w:rFonts w:ascii="Arial" w:eastAsia="Times New Roman" w:hAnsi="Arial" w:cs="Times New Roman"/>
          <w:bCs/>
          <w:sz w:val="24"/>
          <w:szCs w:val="26"/>
        </w:rPr>
        <w:t>Susceptibility to side effects of medication (e.g. confusion with codeine, hypotension with antidepressants).</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r w:rsidRPr="007A4AA1">
        <w:rPr>
          <w:rFonts w:ascii="Arial" w:eastAsia="Times New Roman" w:hAnsi="Arial" w:cs="Times New Roman"/>
          <w:bCs/>
          <w:sz w:val="24"/>
          <w:szCs w:val="26"/>
        </w:rPr>
        <w:lastRenderedPageBreak/>
        <w:t>More information on recognising frailty can be found on the British Geriatric Society’s website: http://www.bgs.org.uk/index.php/recognise-frailty-syndrome</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u w:val="single"/>
        </w:rPr>
      </w:pPr>
      <w:r w:rsidRPr="007A4AA1">
        <w:rPr>
          <w:rFonts w:ascii="Arial" w:eastAsia="Times New Roman" w:hAnsi="Arial" w:cs="Times New Roman"/>
          <w:bCs/>
          <w:sz w:val="24"/>
          <w:szCs w:val="26"/>
          <w:u w:val="single"/>
        </w:rPr>
        <w:t>Read codes for frailty</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480" w:lineRule="auto"/>
        <w:ind w:left="714"/>
        <w:contextualSpacing/>
        <w:rPr>
          <w:rFonts w:ascii="Arial" w:eastAsia="Times New Roman" w:hAnsi="Arial" w:cs="Times New Roman"/>
          <w:bCs/>
          <w:sz w:val="24"/>
          <w:szCs w:val="26"/>
        </w:rPr>
      </w:pPr>
      <w:r w:rsidRPr="007A4AA1">
        <w:rPr>
          <w:rFonts w:ascii="Arial" w:eastAsia="Times New Roman" w:hAnsi="Arial" w:cs="Times New Roman"/>
          <w:bCs/>
          <w:sz w:val="24"/>
          <w:szCs w:val="26"/>
        </w:rPr>
        <w:t xml:space="preserve">CTV3 (e.g. </w:t>
      </w:r>
      <w:proofErr w:type="spellStart"/>
      <w:r w:rsidRPr="007A4AA1">
        <w:rPr>
          <w:rFonts w:ascii="Arial" w:eastAsia="Times New Roman" w:hAnsi="Arial" w:cs="Times New Roman"/>
          <w:bCs/>
          <w:sz w:val="24"/>
          <w:szCs w:val="26"/>
        </w:rPr>
        <w:t>SystmOne</w:t>
      </w:r>
      <w:proofErr w:type="spellEnd"/>
      <w:r w:rsidRPr="007A4AA1">
        <w:rPr>
          <w:rFonts w:ascii="Arial" w:eastAsia="Times New Roman" w:hAnsi="Arial" w:cs="Times New Roman"/>
          <w:bCs/>
          <w:sz w:val="24"/>
          <w:szCs w:val="26"/>
        </w:rPr>
        <w:t xml:space="preserve">) </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 xml:space="preserve">XaRB3 - Personal care plan offered </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proofErr w:type="spellStart"/>
      <w:r w:rsidRPr="007A4AA1">
        <w:rPr>
          <w:rFonts w:ascii="Arial" w:eastAsia="Times New Roman" w:hAnsi="Arial" w:cs="Times New Roman"/>
          <w:bCs/>
          <w:sz w:val="24"/>
          <w:szCs w:val="26"/>
        </w:rPr>
        <w:t>XaRDz</w:t>
      </w:r>
      <w:proofErr w:type="spellEnd"/>
      <w:r w:rsidRPr="007A4AA1">
        <w:rPr>
          <w:rFonts w:ascii="Arial" w:eastAsia="Times New Roman" w:hAnsi="Arial" w:cs="Times New Roman"/>
          <w:bCs/>
          <w:sz w:val="24"/>
          <w:szCs w:val="26"/>
        </w:rPr>
        <w:t xml:space="preserve"> - Offer of personal care plan accepted </w:t>
      </w:r>
    </w:p>
    <w:p w:rsidR="007A4AA1" w:rsidRPr="007A4AA1" w:rsidRDefault="007A4AA1" w:rsidP="007A4AA1">
      <w:pPr>
        <w:spacing w:after="0" w:line="480" w:lineRule="auto"/>
        <w:ind w:left="714"/>
        <w:contextualSpacing/>
        <w:rPr>
          <w:rFonts w:ascii="Arial" w:eastAsia="Times New Roman" w:hAnsi="Arial" w:cs="Times New Roman"/>
          <w:bCs/>
          <w:sz w:val="24"/>
          <w:szCs w:val="26"/>
        </w:rPr>
      </w:pPr>
      <w:r w:rsidRPr="007A4AA1">
        <w:rPr>
          <w:rFonts w:ascii="Arial" w:eastAsia="Times New Roman" w:hAnsi="Arial" w:cs="Times New Roman"/>
          <w:bCs/>
          <w:sz w:val="24"/>
          <w:szCs w:val="26"/>
        </w:rPr>
        <w:t>Byte (e.g. EMIS</w:t>
      </w:r>
      <w:proofErr w:type="gramStart"/>
      <w:r w:rsidRPr="007A4AA1">
        <w:rPr>
          <w:rFonts w:ascii="Arial" w:eastAsia="Times New Roman" w:hAnsi="Arial" w:cs="Times New Roman"/>
          <w:bCs/>
          <w:sz w:val="24"/>
          <w:szCs w:val="26"/>
        </w:rPr>
        <w:t>,VISION</w:t>
      </w:r>
      <w:proofErr w:type="gramEnd"/>
      <w:r w:rsidRPr="007A4AA1">
        <w:rPr>
          <w:rFonts w:ascii="Arial" w:eastAsia="Times New Roman" w:hAnsi="Arial" w:cs="Times New Roman"/>
          <w:bCs/>
          <w:sz w:val="24"/>
          <w:szCs w:val="26"/>
        </w:rPr>
        <w:t xml:space="preserve">) </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 xml:space="preserve">9NS5. - Personal care plan offered </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8CMF. -Offer of personal care plan accepted</w:t>
      </w:r>
    </w:p>
    <w:p w:rsidR="007A4AA1" w:rsidRPr="007A4AA1" w:rsidRDefault="007A4AA1" w:rsidP="007A4AA1">
      <w:pPr>
        <w:spacing w:after="0" w:line="480" w:lineRule="auto"/>
        <w:ind w:left="357" w:firstLine="357"/>
        <w:rPr>
          <w:rFonts w:ascii="Arial" w:eastAsia="Times New Roman" w:hAnsi="Arial" w:cs="Times New Roman"/>
          <w:bCs/>
          <w:sz w:val="24"/>
          <w:szCs w:val="26"/>
        </w:rPr>
      </w:pPr>
      <w:r w:rsidRPr="007A4AA1">
        <w:rPr>
          <w:rFonts w:ascii="Arial" w:eastAsia="Times New Roman" w:hAnsi="Arial" w:cs="Times New Roman"/>
          <w:bCs/>
          <w:sz w:val="24"/>
          <w:szCs w:val="26"/>
        </w:rPr>
        <w:t>Frailty read codes</w:t>
      </w:r>
    </w:p>
    <w:p w:rsidR="007A4AA1" w:rsidRPr="007A4AA1" w:rsidRDefault="007A4AA1" w:rsidP="007A4AA1">
      <w:pPr>
        <w:numPr>
          <w:ilvl w:val="0"/>
          <w:numId w:val="6"/>
        </w:numPr>
        <w:spacing w:after="0" w:line="480" w:lineRule="auto"/>
        <w:contextualSpacing/>
        <w:rPr>
          <w:rFonts w:ascii="Arial" w:eastAsia="Times New Roman" w:hAnsi="Arial" w:cs="Times New Roman"/>
          <w:bCs/>
          <w:sz w:val="24"/>
          <w:szCs w:val="26"/>
        </w:rPr>
      </w:pPr>
      <w:r w:rsidRPr="007A4AA1">
        <w:rPr>
          <w:rFonts w:ascii="Arial" w:eastAsia="Times New Roman" w:hAnsi="Arial" w:cs="Times New Roman"/>
          <w:bCs/>
          <w:sz w:val="24"/>
          <w:szCs w:val="26"/>
        </w:rPr>
        <w:t>CTV3</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X76Ao |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proofErr w:type="spellStart"/>
      <w:r w:rsidRPr="007A4AA1">
        <w:rPr>
          <w:rFonts w:ascii="Arial" w:eastAsia="Times New Roman" w:hAnsi="Arial" w:cs="Times New Roman"/>
          <w:bCs/>
          <w:sz w:val="24"/>
          <w:szCs w:val="26"/>
        </w:rPr>
        <w:t>XabdY</w:t>
      </w:r>
      <w:proofErr w:type="spellEnd"/>
      <w:r w:rsidRPr="007A4AA1">
        <w:rPr>
          <w:rFonts w:ascii="Arial" w:eastAsia="Times New Roman" w:hAnsi="Arial" w:cs="Times New Roman"/>
          <w:bCs/>
          <w:sz w:val="24"/>
          <w:szCs w:val="26"/>
        </w:rPr>
        <w:t xml:space="preserve"> | Mild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proofErr w:type="spellStart"/>
      <w:r w:rsidRPr="007A4AA1">
        <w:rPr>
          <w:rFonts w:ascii="Arial" w:eastAsia="Times New Roman" w:hAnsi="Arial" w:cs="Times New Roman"/>
          <w:bCs/>
          <w:sz w:val="24"/>
          <w:szCs w:val="26"/>
        </w:rPr>
        <w:t>Xabdb</w:t>
      </w:r>
      <w:proofErr w:type="spellEnd"/>
      <w:r w:rsidRPr="007A4AA1">
        <w:rPr>
          <w:rFonts w:ascii="Arial" w:eastAsia="Times New Roman" w:hAnsi="Arial" w:cs="Times New Roman"/>
          <w:bCs/>
          <w:sz w:val="24"/>
          <w:szCs w:val="26"/>
        </w:rPr>
        <w:t xml:space="preserve"> | Moderate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proofErr w:type="spellStart"/>
      <w:r w:rsidRPr="007A4AA1">
        <w:rPr>
          <w:rFonts w:ascii="Arial" w:eastAsia="Times New Roman" w:hAnsi="Arial" w:cs="Times New Roman"/>
          <w:bCs/>
          <w:sz w:val="24"/>
          <w:szCs w:val="26"/>
        </w:rPr>
        <w:t>Xabdd</w:t>
      </w:r>
      <w:proofErr w:type="spellEnd"/>
      <w:r w:rsidRPr="007A4AA1">
        <w:rPr>
          <w:rFonts w:ascii="Arial" w:eastAsia="Times New Roman" w:hAnsi="Arial" w:cs="Times New Roman"/>
          <w:bCs/>
          <w:sz w:val="24"/>
          <w:szCs w:val="26"/>
        </w:rPr>
        <w:t xml:space="preserve"> | Severe frailty</w:t>
      </w:r>
    </w:p>
    <w:p w:rsidR="007A4AA1" w:rsidRPr="007A4AA1" w:rsidRDefault="007A4AA1" w:rsidP="007A4AA1">
      <w:pPr>
        <w:spacing w:after="0" w:line="480" w:lineRule="auto"/>
        <w:ind w:left="714"/>
        <w:contextualSpacing/>
        <w:rPr>
          <w:rFonts w:ascii="Arial" w:eastAsia="Times New Roman" w:hAnsi="Arial" w:cs="Times New Roman"/>
          <w:bCs/>
          <w:sz w:val="24"/>
          <w:szCs w:val="26"/>
        </w:rPr>
      </w:pPr>
      <w:r w:rsidRPr="007A4AA1">
        <w:rPr>
          <w:rFonts w:ascii="Arial" w:eastAsia="Times New Roman" w:hAnsi="Arial" w:cs="Times New Roman"/>
          <w:bCs/>
          <w:sz w:val="24"/>
          <w:szCs w:val="26"/>
        </w:rPr>
        <w:lastRenderedPageBreak/>
        <w:t>Read V2</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2Jd. |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2Jd0. | Mild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2Jd1. | Moderate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2Jd2. | Severe frailty</w:t>
      </w:r>
    </w:p>
    <w:p w:rsidR="007A4AA1" w:rsidRPr="007A4AA1" w:rsidRDefault="007A4AA1" w:rsidP="007A4AA1">
      <w:pPr>
        <w:spacing w:after="0" w:line="480" w:lineRule="auto"/>
        <w:ind w:left="714"/>
        <w:contextualSpacing/>
        <w:rPr>
          <w:rFonts w:ascii="Arial" w:eastAsia="Times New Roman" w:hAnsi="Arial" w:cs="Times New Roman"/>
          <w:bCs/>
          <w:sz w:val="24"/>
          <w:szCs w:val="26"/>
        </w:rPr>
      </w:pPr>
      <w:r w:rsidRPr="007A4AA1">
        <w:rPr>
          <w:rFonts w:ascii="Arial" w:eastAsia="Times New Roman" w:hAnsi="Arial" w:cs="Times New Roman"/>
          <w:bCs/>
          <w:sz w:val="24"/>
          <w:szCs w:val="26"/>
        </w:rPr>
        <w:t>SNOMED CT concepts for frailty:</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All linked to the concept 248279007 | Frailty (finding):</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925791000000100 | Mild frailty (finding)</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925831000000107 | Moderate frailty (finding)</w:t>
      </w:r>
    </w:p>
    <w:p w:rsidR="007A4AA1" w:rsidRPr="007A4AA1" w:rsidRDefault="007A4AA1" w:rsidP="007A4AA1">
      <w:pPr>
        <w:numPr>
          <w:ilvl w:val="0"/>
          <w:numId w:val="5"/>
        </w:numPr>
        <w:spacing w:after="0" w:line="480" w:lineRule="auto"/>
        <w:ind w:left="714" w:hanging="357"/>
        <w:contextualSpacing/>
        <w:rPr>
          <w:rFonts w:ascii="Arial" w:eastAsia="Times New Roman" w:hAnsi="Arial" w:cs="Times New Roman"/>
          <w:bCs/>
          <w:sz w:val="24"/>
          <w:szCs w:val="26"/>
        </w:rPr>
      </w:pPr>
      <w:r w:rsidRPr="007A4AA1">
        <w:rPr>
          <w:rFonts w:ascii="Arial" w:eastAsia="Times New Roman" w:hAnsi="Arial" w:cs="Times New Roman"/>
          <w:bCs/>
          <w:sz w:val="24"/>
          <w:szCs w:val="26"/>
        </w:rPr>
        <w:t>925861000000102 | Severe frailty (finding)</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94478D" w:rsidRDefault="0094478D" w:rsidP="007A4AA1">
      <w:pPr>
        <w:spacing w:after="0" w:line="240" w:lineRule="auto"/>
        <w:rPr>
          <w:rFonts w:ascii="Arial" w:eastAsia="Times New Roman" w:hAnsi="Arial" w:cs="Times New Roman"/>
          <w:bCs/>
          <w:sz w:val="24"/>
          <w:szCs w:val="26"/>
        </w:rPr>
      </w:pPr>
    </w:p>
    <w:p w:rsidR="007A4AA1" w:rsidRPr="007A4AA1" w:rsidRDefault="00800A18" w:rsidP="007A4AA1">
      <w:pPr>
        <w:spacing w:after="0" w:line="240" w:lineRule="auto"/>
        <w:rPr>
          <w:rFonts w:ascii="Arial" w:eastAsia="Times New Roman" w:hAnsi="Arial" w:cs="Times New Roman"/>
          <w:bCs/>
          <w:sz w:val="24"/>
          <w:szCs w:val="26"/>
        </w:rPr>
      </w:pPr>
      <w:r w:rsidRPr="007A4AA1">
        <w:rPr>
          <w:rFonts w:ascii="Arial" w:eastAsia="Times New Roman" w:hAnsi="Arial" w:cs="Times New Roman"/>
          <w:b/>
          <w:bCs/>
          <w:noProof/>
          <w:color w:val="0072C6"/>
          <w:sz w:val="180"/>
          <w:szCs w:val="80"/>
          <w:lang w:eastAsia="en-GB"/>
        </w:rPr>
        <w:drawing>
          <wp:anchor distT="0" distB="0" distL="114300" distR="114300" simplePos="0" relativeHeight="251670528" behindDoc="0" locked="0" layoutInCell="1" allowOverlap="1" wp14:anchorId="28E99E28" wp14:editId="25652738">
            <wp:simplePos x="0" y="0"/>
            <wp:positionH relativeFrom="page">
              <wp:posOffset>8310880</wp:posOffset>
            </wp:positionH>
            <wp:positionV relativeFrom="page">
              <wp:posOffset>501015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p>
    <w:p w:rsidR="0005762C" w:rsidRDefault="00B52CEB" w:rsidP="0005762C">
      <w:pPr>
        <w:pStyle w:val="Heading1"/>
        <w:rPr>
          <w:rFonts w:eastAsia="Times New Roman"/>
        </w:rPr>
      </w:pPr>
      <w:bookmarkStart w:id="23" w:name="_Toc446331264"/>
      <w:r>
        <w:lastRenderedPageBreak/>
        <w:t xml:space="preserve">22. </w:t>
      </w:r>
      <w:r w:rsidR="007A4AA1" w:rsidRPr="0005762C">
        <w:t>Faecal</w:t>
      </w:r>
      <w:r w:rsidR="007A4AA1" w:rsidRPr="007A4AA1">
        <w:rPr>
          <w:rFonts w:eastAsia="Times New Roman"/>
        </w:rPr>
        <w:t xml:space="preserve"> Incontinence</w:t>
      </w:r>
      <w:bookmarkEnd w:id="23"/>
    </w:p>
    <w:p w:rsidR="0094478D" w:rsidRPr="0094478D" w:rsidRDefault="0094478D" w:rsidP="0094478D"/>
    <w:tbl>
      <w:tblPr>
        <w:tblStyle w:val="TableGrid"/>
        <w:tblW w:w="5000" w:type="pct"/>
        <w:tblLook w:val="04A0" w:firstRow="1" w:lastRow="0" w:firstColumn="1" w:lastColumn="0" w:noHBand="0" w:noVBand="1"/>
        <w:tblCaption w:val="Please add a description of this table"/>
      </w:tblPr>
      <w:tblGrid>
        <w:gridCol w:w="3697"/>
        <w:gridCol w:w="10477"/>
      </w:tblGrid>
      <w:tr w:rsidR="007A4AA1" w:rsidRPr="007A4AA1" w:rsidTr="0005762C">
        <w:trPr>
          <w:tblHeader/>
        </w:trPr>
        <w:tc>
          <w:tcPr>
            <w:tcW w:w="5000" w:type="pct"/>
            <w:gridSpan w:val="2"/>
            <w:shd w:val="clear" w:color="auto" w:fill="0070C0"/>
          </w:tcPr>
          <w:p w:rsidR="007A4AA1" w:rsidRPr="007A4AA1" w:rsidRDefault="0094478D" w:rsidP="007A4AA1">
            <w:pPr>
              <w:spacing w:before="20" w:after="20"/>
              <w:jc w:val="center"/>
              <w:rPr>
                <w:rFonts w:eastAsia="Times New Roman"/>
                <w:b/>
                <w:bCs/>
                <w:color w:val="FFFFFF"/>
                <w:szCs w:val="26"/>
              </w:rPr>
            </w:pPr>
            <w:r>
              <w:rPr>
                <w:rFonts w:eastAsia="Times New Roman"/>
                <w:b/>
                <w:bCs/>
                <w:color w:val="FFFFFF"/>
                <w:szCs w:val="26"/>
              </w:rPr>
              <w:t>Indicator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Indicator name</w:t>
            </w:r>
          </w:p>
        </w:tc>
        <w:tc>
          <w:tcPr>
            <w:tcW w:w="3696" w:type="pct"/>
          </w:tcPr>
          <w:p w:rsidR="007A4AA1" w:rsidRPr="007A4AA1" w:rsidRDefault="007A4AA1" w:rsidP="007A4AA1">
            <w:pPr>
              <w:rPr>
                <w:rFonts w:eastAsia="MS Mincho" w:cs="Arial"/>
                <w:bCs/>
                <w:lang w:eastAsia="ja-JP"/>
              </w:rPr>
            </w:pPr>
            <w:r w:rsidRPr="007A4AA1">
              <w:rPr>
                <w:rFonts w:eastAsia="Times New Roman"/>
                <w:bCs/>
                <w:szCs w:val="26"/>
              </w:rPr>
              <w:t>Improving faecal incontinence care by identifying contributing factors of faecal  incontinence with baseline assessment and providing initial management plan</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Indicator weighting </w:t>
            </w:r>
            <w:r w:rsidRPr="007A4AA1">
              <w:rPr>
                <w:rFonts w:eastAsia="Times New Roman" w:cs="Arial"/>
                <w:b/>
                <w:bCs/>
                <w:color w:val="000000"/>
                <w:szCs w:val="26"/>
              </w:rPr>
              <w:br/>
              <w:t>(% of CQUIN scheme available)</w:t>
            </w:r>
          </w:p>
        </w:tc>
        <w:tc>
          <w:tcPr>
            <w:tcW w:w="3696" w:type="pct"/>
          </w:tcPr>
          <w:p w:rsidR="007A4AA1" w:rsidRPr="007A4AA1" w:rsidRDefault="007A4AA1" w:rsidP="007A4AA1">
            <w:pPr>
              <w:keepNext/>
              <w:ind w:left="-108"/>
              <w:contextualSpacing/>
              <w:rPr>
                <w:rFonts w:eastAsia="Times New Roman" w:cs="Arial"/>
                <w:bCs/>
                <w:color w:val="000000"/>
                <w:szCs w:val="26"/>
              </w:rPr>
            </w:pPr>
            <w:r w:rsidRPr="007A4AA1">
              <w:rPr>
                <w:rFonts w:eastAsia="Times New Roman" w:cs="Arial"/>
                <w:bCs/>
                <w:color w:val="000000"/>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Description of indicator</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bCs/>
                <w:szCs w:val="26"/>
              </w:rPr>
              <w:t xml:space="preserve">Percentage of hospital inpatients identified with faecal incontinence who have baseline assessment, offered advice, support and choice of products to help deal with bowel control problems and have an initial management plan </w:t>
            </w:r>
          </w:p>
          <w:p w:rsidR="007A4AA1" w:rsidRPr="007A4AA1" w:rsidRDefault="007A4AA1" w:rsidP="007A4AA1">
            <w:pPr>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Numerator</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There are three parts to this scheme:</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numPr>
                <w:ilvl w:val="0"/>
                <w:numId w:val="7"/>
              </w:numPr>
              <w:contextualSpacing/>
              <w:rPr>
                <w:rFonts w:eastAsia="Times New Roman" w:cs="Arial"/>
                <w:bCs/>
                <w:color w:val="000000"/>
              </w:rPr>
            </w:pPr>
            <w:r w:rsidRPr="007A4AA1">
              <w:rPr>
                <w:rFonts w:eastAsia="Times New Roman" w:cs="Arial"/>
                <w:bCs/>
                <w:color w:val="000000"/>
              </w:rPr>
              <w:t xml:space="preserve">Number of patients with faecal incontinence who have baseline assessment which includes medical history, physical examination (including anorectal examination) and medication review and questions about diet and how the bowel problems affect their day-to-day life. </w:t>
            </w:r>
          </w:p>
          <w:p w:rsidR="007A4AA1" w:rsidRPr="007A4AA1" w:rsidRDefault="007A4AA1" w:rsidP="007A4AA1">
            <w:pPr>
              <w:keepNext/>
              <w:numPr>
                <w:ilvl w:val="0"/>
                <w:numId w:val="7"/>
              </w:numPr>
              <w:contextualSpacing/>
              <w:rPr>
                <w:rFonts w:eastAsia="Times New Roman" w:cs="Arial"/>
                <w:bCs/>
                <w:color w:val="000000"/>
              </w:rPr>
            </w:pPr>
            <w:r w:rsidRPr="007A4AA1">
              <w:rPr>
                <w:rFonts w:eastAsia="Times New Roman" w:cs="Arial"/>
                <w:bCs/>
                <w:color w:val="000000"/>
              </w:rPr>
              <w:t xml:space="preserve">Number  of patients with faecal incontinence who are offered advice, support and a choice of products (such as pads, plugs, skincare products and disposable gloves) to help them deal with bowel control problems </w:t>
            </w:r>
          </w:p>
          <w:p w:rsidR="007A4AA1" w:rsidRPr="007A4AA1" w:rsidRDefault="007A4AA1" w:rsidP="007A4AA1">
            <w:pPr>
              <w:rPr>
                <w:rFonts w:eastAsia="Times New Roman" w:cs="Arial"/>
                <w:bCs/>
              </w:rPr>
            </w:pPr>
            <w:r w:rsidRPr="007A4AA1">
              <w:rPr>
                <w:rFonts w:eastAsia="Times New Roman" w:cs="Arial"/>
                <w:bCs/>
                <w:color w:val="000000"/>
              </w:rPr>
              <w:t>Number of patients with faecal incontinence who have an initial management plan that covers any specific conditions causing the incontinence, and diet, bowel habit, toilet access and medication. Interventions may include addressing specific conditions causing the incontinence and addressing diet, bowel habit, toilet access and medication needs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 Denominator</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The denominator is the same for all three parts and is defined as:</w:t>
            </w: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Number of hospital inpatients, who report or who are identified as having faecal incontinence.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Rationale for inclusion</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 xml:space="preserve">Faecal incontinence may have different underlying causes and contributing factors. There is a </w:t>
            </w:r>
            <w:r w:rsidRPr="007A4AA1">
              <w:rPr>
                <w:rFonts w:eastAsia="Times New Roman" w:cs="Arial"/>
                <w:bCs/>
                <w:color w:val="000000"/>
                <w:szCs w:val="26"/>
              </w:rPr>
              <w:lastRenderedPageBreak/>
              <w:t>risk that healthcare professionals could make assumptions that faecal incontinence is related to a pre-existing condition or disability (such as a neurological condition or cognitive impairment) without carrying out a full assessment. Faecal incontinence may have different contributing factors in people with the same long-term condition. A baseline assessment that takes account of the individual person, rather than assuming incontinence is related to a pre-existing condition, is therefore essential. Correct identification of contributing factors will promote better access to care and ensure that appropriate management can be planned and lead to the biggest improvements in quality of life for people with faecal incontinence.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Data source</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Locally developed audit of a suitable set of notes from a representative sample.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Frequency of data collection</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Monthly</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Organisation responsible for data collection</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 xml:space="preserve">Provider </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Frequency of reporting to commissioner</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Quarterly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period/date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Q1 2016/17</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value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determined from baseline audit</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period/date (on which payment is based)</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End Q4 2016/17</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value (payment threshold)</w:t>
            </w:r>
          </w:p>
        </w:tc>
        <w:tc>
          <w:tcPr>
            <w:tcW w:w="3696" w:type="pct"/>
          </w:tcPr>
          <w:p w:rsidR="007A4AA1" w:rsidRPr="007A4AA1" w:rsidRDefault="007A4AA1" w:rsidP="007A4AA1">
            <w:pPr>
              <w:keepNext/>
              <w:contextualSpacing/>
              <w:rPr>
                <w:rFonts w:eastAsia="Times New Roman" w:cs="Arial"/>
                <w:bCs/>
                <w:szCs w:val="26"/>
              </w:rPr>
            </w:pPr>
            <w:r w:rsidRPr="007A4AA1">
              <w:rPr>
                <w:rFonts w:eastAsia="Times New Roman" w:cs="Arial"/>
                <w:bCs/>
                <w:szCs w:val="26"/>
              </w:rPr>
              <w:t>To be agreed locally based on a stretching but realistic level of improvement from the baseline value.</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reporting date</w:t>
            </w:r>
          </w:p>
        </w:tc>
        <w:tc>
          <w:tcPr>
            <w:tcW w:w="3696" w:type="pct"/>
          </w:tcPr>
          <w:p w:rsidR="007A4AA1" w:rsidRPr="007A4AA1" w:rsidRDefault="007A4AA1" w:rsidP="007A4AA1">
            <w:pPr>
              <w:keepNext/>
              <w:contextualSpacing/>
              <w:rPr>
                <w:rFonts w:eastAsia="Times New Roman" w:cs="Arial"/>
                <w:bCs/>
                <w:szCs w:val="26"/>
              </w:rPr>
            </w:pPr>
            <w:r w:rsidRPr="007A4AA1">
              <w:rPr>
                <w:rFonts w:eastAsia="Times New Roman" w:cs="Arial"/>
                <w:bCs/>
                <w:szCs w:val="26"/>
              </w:rPr>
              <w:t>April 2017</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Are there rules for any agreed in-year milestones that result in payment?</w:t>
            </w:r>
          </w:p>
        </w:tc>
        <w:tc>
          <w:tcPr>
            <w:tcW w:w="3696" w:type="pct"/>
          </w:tcPr>
          <w:p w:rsidR="007A4AA1" w:rsidRPr="007A4AA1" w:rsidRDefault="007A4AA1" w:rsidP="007A4AA1">
            <w:pPr>
              <w:keepNext/>
              <w:contextualSpacing/>
              <w:rPr>
                <w:rFonts w:eastAsia="Calibri" w:cs="Arial"/>
                <w:bCs/>
              </w:rPr>
            </w:pPr>
            <w:r w:rsidRPr="007A4AA1">
              <w:rPr>
                <w:rFonts w:eastAsia="Times New Roman" w:cs="Arial"/>
                <w:bCs/>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Are there any rules for partial achievement of the indicator at the final indicator period/date?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EXIT Route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agreed locally</w:t>
            </w:r>
          </w:p>
        </w:tc>
      </w:tr>
    </w:tbl>
    <w:p w:rsidR="007A4AA1" w:rsidRPr="007A4AA1" w:rsidRDefault="007A4AA1" w:rsidP="007560B8">
      <w:pPr>
        <w:rPr>
          <w:rFonts w:ascii="Arial" w:eastAsia="Times New Roman" w:hAnsi="Arial" w:cs="Times New Roman"/>
          <w:b/>
          <w:bCs/>
          <w:iCs/>
          <w:color w:val="A00054"/>
          <w:sz w:val="28"/>
          <w:szCs w:val="28"/>
        </w:rPr>
      </w:pPr>
    </w:p>
    <w:p w:rsidR="007A4AA1" w:rsidRDefault="007A4AA1" w:rsidP="0005762C">
      <w:pPr>
        <w:pStyle w:val="Heading2"/>
        <w:rPr>
          <w:rFonts w:eastAsia="Times New Roman"/>
        </w:rPr>
      </w:pPr>
      <w:bookmarkStart w:id="24" w:name="_Toc443035854"/>
      <w:bookmarkStart w:id="25" w:name="_Toc443915971"/>
      <w:bookmarkStart w:id="26" w:name="_Toc444262550"/>
      <w:bookmarkStart w:id="27" w:name="_Toc444783571"/>
      <w:bookmarkStart w:id="28" w:name="_Toc445214883"/>
      <w:bookmarkStart w:id="29" w:name="_Toc445220872"/>
      <w:bookmarkStart w:id="30" w:name="_Toc446331265"/>
      <w:r w:rsidRPr="007A4AA1">
        <w:rPr>
          <w:rFonts w:eastAsia="Times New Roman"/>
        </w:rPr>
        <w:t>Milestones</w:t>
      </w:r>
      <w:bookmarkEnd w:id="24"/>
      <w:bookmarkEnd w:id="25"/>
      <w:bookmarkEnd w:id="26"/>
      <w:bookmarkEnd w:id="27"/>
      <w:bookmarkEnd w:id="28"/>
      <w:bookmarkEnd w:id="29"/>
      <w:bookmarkEnd w:id="30"/>
    </w:p>
    <w:p w:rsidR="0094478D" w:rsidRPr="0094478D" w:rsidRDefault="0094478D" w:rsidP="0094478D"/>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Date/period milestone relates to</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Rules for achievement of milestones (including evidence to be supplied to commissioner)</w:t>
            </w:r>
          </w:p>
        </w:tc>
        <w:tc>
          <w:tcPr>
            <w:tcW w:w="598"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 milestone to be reported</w:t>
            </w:r>
          </w:p>
        </w:tc>
        <w:tc>
          <w:tcPr>
            <w:tcW w:w="725"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Milestone weighting (% of CQUIN scheme available)</w:t>
            </w:r>
          </w:p>
        </w:tc>
      </w:tr>
      <w:tr w:rsidR="007A4AA1" w:rsidRPr="007A4AA1" w:rsidTr="0034212F">
        <w:tc>
          <w:tcPr>
            <w:tcW w:w="636" w:type="pct"/>
          </w:tcPr>
          <w:p w:rsidR="007A4AA1" w:rsidRPr="007A4AA1" w:rsidRDefault="007A4AA1" w:rsidP="007A4AA1">
            <w:pPr>
              <w:spacing w:before="20" w:after="20"/>
              <w:rPr>
                <w:rFonts w:eastAsia="Times New Roman" w:cs="Arial"/>
                <w:b/>
                <w:bCs/>
              </w:rPr>
            </w:pPr>
            <w:r w:rsidRPr="007A4AA1">
              <w:rPr>
                <w:rFonts w:eastAsia="Times New Roman" w:cs="Arial"/>
                <w:bCs/>
              </w:rPr>
              <w:t>Quarter 1</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2</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3</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4</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bl>
    <w:p w:rsidR="007A4AA1" w:rsidRPr="007A4AA1" w:rsidRDefault="007A4AA1" w:rsidP="007560B8">
      <w:pPr>
        <w:rPr>
          <w:rFonts w:ascii="Arial" w:eastAsia="Times New Roman" w:hAnsi="Arial" w:cs="Arial"/>
          <w:b/>
          <w:bCs/>
          <w:color w:val="0072C6"/>
          <w:kern w:val="32"/>
          <w:sz w:val="32"/>
          <w:szCs w:val="32"/>
        </w:rPr>
      </w:pPr>
    </w:p>
    <w:p w:rsidR="007A4AA1" w:rsidRDefault="007A4AA1" w:rsidP="0005762C">
      <w:pPr>
        <w:pStyle w:val="Heading2"/>
      </w:pPr>
      <w:bookmarkStart w:id="31" w:name="_Toc443035855"/>
      <w:bookmarkStart w:id="32" w:name="_Toc443915972"/>
      <w:bookmarkStart w:id="33" w:name="_Toc444262551"/>
      <w:bookmarkStart w:id="34" w:name="_Toc444783572"/>
      <w:bookmarkStart w:id="35" w:name="_Toc445214884"/>
      <w:bookmarkStart w:id="36" w:name="_Toc445220873"/>
      <w:bookmarkStart w:id="37" w:name="_Toc446331266"/>
      <w:r w:rsidRPr="0005762C">
        <w:t>Rules for Partial Achievement at Final Indicator Period/ Date</w:t>
      </w:r>
      <w:bookmarkEnd w:id="31"/>
      <w:bookmarkEnd w:id="32"/>
      <w:bookmarkEnd w:id="33"/>
      <w:bookmarkEnd w:id="34"/>
      <w:bookmarkEnd w:id="35"/>
      <w:bookmarkEnd w:id="36"/>
      <w:bookmarkEnd w:id="37"/>
    </w:p>
    <w:p w:rsidR="0094478D" w:rsidRPr="0094478D" w:rsidRDefault="0094478D" w:rsidP="0094478D"/>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lastRenderedPageBreak/>
              <w:t>Final indicator value for the partial achievement threshold</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 of CQUIN scheme available for meeting final indicator value</w:t>
            </w: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bl>
    <w:p w:rsidR="007A4AA1" w:rsidRPr="007A4AA1" w:rsidRDefault="007A4AA1" w:rsidP="007560B8">
      <w:pPr>
        <w:rPr>
          <w:rFonts w:ascii="Arial" w:eastAsia="Times New Roman" w:hAnsi="Arial" w:cs="Arial"/>
          <w:b/>
          <w:bCs/>
          <w:color w:val="0072C6"/>
          <w:kern w:val="32"/>
          <w:sz w:val="32"/>
          <w:szCs w:val="32"/>
        </w:rPr>
      </w:pPr>
    </w:p>
    <w:p w:rsidR="0094478D" w:rsidRPr="00BF1A9E" w:rsidRDefault="007A4AA1" w:rsidP="0094478D">
      <w:pPr>
        <w:rPr>
          <w:rFonts w:eastAsia="Times New Roman"/>
        </w:rPr>
      </w:pPr>
      <w:bookmarkStart w:id="38" w:name="_Toc443035856"/>
      <w:bookmarkStart w:id="39" w:name="_Toc443915973"/>
      <w:bookmarkStart w:id="40" w:name="_Toc444262552"/>
      <w:bookmarkStart w:id="41" w:name="_Toc444783573"/>
      <w:bookmarkStart w:id="42" w:name="_Toc445214885"/>
      <w:bookmarkStart w:id="43" w:name="_Toc445220874"/>
      <w:r w:rsidRPr="007560B8">
        <w:rPr>
          <w:rFonts w:ascii="Arial" w:eastAsia="Times New Roman" w:hAnsi="Arial" w:cs="Arial"/>
          <w:b/>
          <w:bCs/>
          <w:color w:val="0072C6"/>
          <w:kern w:val="32"/>
          <w:sz w:val="32"/>
          <w:szCs w:val="32"/>
        </w:rPr>
        <w:t>Supporting</w:t>
      </w:r>
      <w:r w:rsidRPr="007A4AA1">
        <w:rPr>
          <w:rFonts w:eastAsia="Times New Roman"/>
        </w:rPr>
        <w:t xml:space="preserve"> Guidance and References</w:t>
      </w:r>
      <w:bookmarkEnd w:id="38"/>
      <w:bookmarkEnd w:id="39"/>
      <w:bookmarkEnd w:id="40"/>
      <w:bookmarkEnd w:id="41"/>
      <w:bookmarkEnd w:id="42"/>
      <w:bookmarkEnd w:id="43"/>
    </w:p>
    <w:p w:rsidR="007A4AA1" w:rsidRPr="007A4AA1" w:rsidRDefault="007A4AA1" w:rsidP="007A4AA1">
      <w:pPr>
        <w:spacing w:after="0" w:line="240" w:lineRule="auto"/>
        <w:rPr>
          <w:rFonts w:ascii="Arial" w:eastAsia="Times New Roman" w:hAnsi="Arial" w:cs="Times New Roman"/>
          <w:bCs/>
          <w:sz w:val="24"/>
          <w:szCs w:val="26"/>
        </w:rPr>
      </w:pPr>
      <w:r w:rsidRPr="007A4AA1">
        <w:rPr>
          <w:rFonts w:ascii="Arial" w:eastAsia="Times New Roman" w:hAnsi="Arial" w:cs="Times New Roman"/>
          <w:bCs/>
          <w:sz w:val="24"/>
          <w:szCs w:val="26"/>
        </w:rPr>
        <w:t>Background:</w:t>
      </w: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r w:rsidRPr="007A4AA1">
        <w:rPr>
          <w:rFonts w:ascii="Arial" w:eastAsia="Times New Roman" w:hAnsi="Arial" w:cs="Times New Roman"/>
          <w:bCs/>
          <w:sz w:val="24"/>
          <w:szCs w:val="26"/>
        </w:rPr>
        <w:t>NICE CG 49: Faecal incontinence in adults: management</w:t>
      </w:r>
    </w:p>
    <w:p w:rsidR="007A4AA1" w:rsidRPr="00DE362B" w:rsidRDefault="007A4AA1" w:rsidP="007A4AA1">
      <w:pPr>
        <w:spacing w:after="0" w:line="240" w:lineRule="auto"/>
        <w:rPr>
          <w:rFonts w:ascii="Arial" w:eastAsia="Times New Roman" w:hAnsi="Arial" w:cs="Times New Roman"/>
          <w:bCs/>
          <w:color w:val="0070C0"/>
          <w:sz w:val="24"/>
          <w:szCs w:val="26"/>
        </w:rPr>
      </w:pPr>
    </w:p>
    <w:p w:rsidR="007A4AA1" w:rsidRPr="00DE362B" w:rsidRDefault="007560B8" w:rsidP="007A4AA1">
      <w:pPr>
        <w:spacing w:after="0" w:line="240" w:lineRule="auto"/>
        <w:rPr>
          <w:rFonts w:ascii="Arial" w:eastAsia="Times New Roman" w:hAnsi="Arial" w:cs="Times New Roman"/>
          <w:bCs/>
          <w:color w:val="0070C0"/>
          <w:sz w:val="24"/>
          <w:szCs w:val="26"/>
        </w:rPr>
      </w:pPr>
      <w:hyperlink r:id="rId11" w:history="1">
        <w:r w:rsidR="007A4AA1" w:rsidRPr="00DE362B">
          <w:rPr>
            <w:rFonts w:ascii="Arial" w:eastAsia="Times New Roman" w:hAnsi="Arial" w:cs="Times New Roman"/>
            <w:bCs/>
            <w:color w:val="0070C0"/>
            <w:sz w:val="24"/>
            <w:szCs w:val="26"/>
            <w:u w:val="single"/>
          </w:rPr>
          <w:t>http://www.nice.org.uk/guidance/cg49</w:t>
        </w:r>
      </w:hyperlink>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Pr="007A4AA1" w:rsidRDefault="007A4AA1" w:rsidP="007A4AA1">
      <w:pPr>
        <w:spacing w:after="0" w:line="240" w:lineRule="auto"/>
        <w:rPr>
          <w:rFonts w:ascii="Arial" w:eastAsia="Times New Roman" w:hAnsi="Arial" w:cs="Times New Roman"/>
          <w:bCs/>
          <w:sz w:val="24"/>
          <w:szCs w:val="26"/>
        </w:rPr>
      </w:pPr>
    </w:p>
    <w:p w:rsidR="007A4AA1" w:rsidRDefault="00B52CEB" w:rsidP="0005762C">
      <w:pPr>
        <w:pStyle w:val="Heading1"/>
        <w:rPr>
          <w:rFonts w:eastAsia="Times New Roman"/>
        </w:rPr>
      </w:pPr>
      <w:bookmarkStart w:id="44" w:name="_Toc446331267"/>
      <w:r>
        <w:rPr>
          <w:rFonts w:eastAsia="Times New Roman"/>
        </w:rPr>
        <w:lastRenderedPageBreak/>
        <w:t xml:space="preserve">23. </w:t>
      </w:r>
      <w:r w:rsidR="007A4AA1" w:rsidRPr="007A4AA1">
        <w:rPr>
          <w:rFonts w:eastAsia="Times New Roman"/>
        </w:rPr>
        <w:t>Urinary Incontinence</w:t>
      </w:r>
      <w:bookmarkEnd w:id="44"/>
    </w:p>
    <w:p w:rsidR="0094478D" w:rsidRPr="0094478D" w:rsidRDefault="0094478D" w:rsidP="0094478D"/>
    <w:tbl>
      <w:tblPr>
        <w:tblStyle w:val="TableGrid"/>
        <w:tblW w:w="5000" w:type="pct"/>
        <w:tblLook w:val="04A0" w:firstRow="1" w:lastRow="0" w:firstColumn="1" w:lastColumn="0" w:noHBand="0" w:noVBand="1"/>
        <w:tblCaption w:val="Please add a description of this table"/>
      </w:tblPr>
      <w:tblGrid>
        <w:gridCol w:w="3697"/>
        <w:gridCol w:w="10477"/>
      </w:tblGrid>
      <w:tr w:rsidR="007A4AA1" w:rsidRPr="007A4AA1" w:rsidTr="0005762C">
        <w:trPr>
          <w:tblHeader/>
        </w:trPr>
        <w:tc>
          <w:tcPr>
            <w:tcW w:w="5000" w:type="pct"/>
            <w:gridSpan w:val="2"/>
            <w:shd w:val="clear" w:color="auto" w:fill="0070C0"/>
          </w:tcPr>
          <w:p w:rsidR="007A4AA1" w:rsidRPr="007A4AA1" w:rsidRDefault="0094478D" w:rsidP="007A4AA1">
            <w:pPr>
              <w:spacing w:before="20" w:after="20"/>
              <w:jc w:val="center"/>
              <w:rPr>
                <w:rFonts w:eastAsia="Times New Roman"/>
                <w:b/>
                <w:bCs/>
                <w:color w:val="FFFFFF"/>
                <w:szCs w:val="26"/>
              </w:rPr>
            </w:pPr>
            <w:r>
              <w:rPr>
                <w:rFonts w:eastAsia="Times New Roman"/>
                <w:b/>
                <w:bCs/>
                <w:color w:val="FFFFFF"/>
                <w:szCs w:val="26"/>
              </w:rPr>
              <w:t>Indicator</w:t>
            </w:r>
          </w:p>
        </w:tc>
      </w:tr>
      <w:tr w:rsidR="007A4AA1" w:rsidRPr="007A4AA1" w:rsidTr="0034212F">
        <w:tc>
          <w:tcPr>
            <w:tcW w:w="1304" w:type="pct"/>
          </w:tcPr>
          <w:p w:rsidR="007A4AA1" w:rsidRPr="007A4AA1" w:rsidRDefault="007A4AA1" w:rsidP="007A4AA1">
            <w:pPr>
              <w:spacing w:before="20" w:after="20"/>
              <w:rPr>
                <w:rFonts w:eastAsia="Times New Roman"/>
                <w:b/>
                <w:bCs/>
                <w:szCs w:val="26"/>
              </w:rPr>
            </w:pPr>
            <w:r w:rsidRPr="007A4AA1">
              <w:rPr>
                <w:rFonts w:eastAsia="Times New Roman" w:cs="Arial"/>
                <w:b/>
                <w:bCs/>
                <w:color w:val="000000"/>
                <w:szCs w:val="26"/>
              </w:rPr>
              <w:t>Indicator name</w:t>
            </w:r>
          </w:p>
        </w:tc>
        <w:tc>
          <w:tcPr>
            <w:tcW w:w="3696" w:type="pct"/>
          </w:tcPr>
          <w:p w:rsidR="007A4AA1" w:rsidRPr="007A4AA1" w:rsidRDefault="007A4AA1" w:rsidP="007A4AA1">
            <w:pPr>
              <w:spacing w:before="20" w:after="20"/>
              <w:rPr>
                <w:rFonts w:eastAsia="Times New Roman"/>
                <w:bCs/>
                <w:szCs w:val="26"/>
              </w:rPr>
            </w:pPr>
            <w:r w:rsidRPr="007A4AA1">
              <w:rPr>
                <w:rFonts w:eastAsia="Times New Roman" w:cs="Arial"/>
                <w:bCs/>
                <w:color w:val="000000"/>
                <w:szCs w:val="26"/>
              </w:rPr>
              <w:t xml:space="preserve">Urinary Incontinence  </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Indicator weighting </w:t>
            </w:r>
            <w:r w:rsidRPr="007A4AA1">
              <w:rPr>
                <w:rFonts w:eastAsia="Times New Roman" w:cs="Arial"/>
                <w:b/>
                <w:bCs/>
                <w:color w:val="000000"/>
                <w:szCs w:val="26"/>
              </w:rPr>
              <w:br/>
              <w:t>(% of CQUIN scheme available)</w:t>
            </w:r>
          </w:p>
        </w:tc>
        <w:tc>
          <w:tcPr>
            <w:tcW w:w="3696" w:type="pct"/>
          </w:tcPr>
          <w:p w:rsidR="007A4AA1" w:rsidRPr="007A4AA1" w:rsidRDefault="007A4AA1" w:rsidP="007A4AA1">
            <w:pPr>
              <w:rPr>
                <w:rFonts w:eastAsia="MS Mincho" w:cs="Arial"/>
                <w:bCs/>
                <w:lang w:eastAsia="ja-JP"/>
              </w:rPr>
            </w:pPr>
            <w:r w:rsidRPr="007A4AA1">
              <w:rPr>
                <w:rFonts w:eastAsia="Times New Roman"/>
                <w:bCs/>
                <w:szCs w:val="26"/>
              </w:rPr>
              <w:t>Increased assessment, treatment and management for inpatients aged 75 and over with urinary incontinence.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Description of indicator</w:t>
            </w:r>
          </w:p>
        </w:tc>
        <w:tc>
          <w:tcPr>
            <w:tcW w:w="3696" w:type="pct"/>
          </w:tcPr>
          <w:p w:rsidR="007A4AA1" w:rsidRPr="007A4AA1" w:rsidRDefault="007A4AA1" w:rsidP="007A4AA1">
            <w:pPr>
              <w:keepNext/>
              <w:ind w:left="-108"/>
              <w:contextualSpacing/>
              <w:rPr>
                <w:rFonts w:eastAsia="Times New Roman" w:cs="Arial"/>
                <w:bCs/>
                <w:color w:val="000000"/>
                <w:szCs w:val="26"/>
              </w:rPr>
            </w:pPr>
            <w:r w:rsidRPr="007A4AA1">
              <w:rPr>
                <w:rFonts w:eastAsia="Times New Roman" w:cs="Arial"/>
                <w:bCs/>
                <w:color w:val="000000"/>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Numerator</w:t>
            </w:r>
          </w:p>
        </w:tc>
        <w:tc>
          <w:tcPr>
            <w:tcW w:w="3696" w:type="pct"/>
          </w:tcPr>
          <w:p w:rsidR="007A4AA1" w:rsidRPr="007A4AA1" w:rsidRDefault="007A4AA1" w:rsidP="007A4AA1">
            <w:pPr>
              <w:rPr>
                <w:rFonts w:eastAsia="Times New Roman"/>
                <w:bCs/>
                <w:szCs w:val="26"/>
              </w:rPr>
            </w:pPr>
            <w:r w:rsidRPr="007A4AA1">
              <w:rPr>
                <w:rFonts w:eastAsia="Times New Roman"/>
                <w:bCs/>
                <w:szCs w:val="26"/>
              </w:rPr>
              <w:t>There are four parts to this scheme:</w:t>
            </w:r>
          </w:p>
          <w:p w:rsidR="007A4AA1" w:rsidRPr="007A4AA1" w:rsidRDefault="007A4AA1" w:rsidP="007A4AA1">
            <w:pPr>
              <w:numPr>
                <w:ilvl w:val="0"/>
                <w:numId w:val="1"/>
              </w:numPr>
              <w:ind w:left="360"/>
              <w:contextualSpacing/>
              <w:rPr>
                <w:rFonts w:eastAsia="Times New Roman" w:cs="Arial"/>
                <w:bCs/>
              </w:rPr>
            </w:pPr>
            <w:r w:rsidRPr="007A4AA1">
              <w:rPr>
                <w:rFonts w:eastAsia="Times New Roman" w:cs="Arial"/>
                <w:bCs/>
              </w:rPr>
              <w:t>Percentage of patients 75 and over who screened positive for urinary incontinence who had a continence assessment that included: (</w:t>
            </w:r>
            <w:proofErr w:type="spellStart"/>
            <w:r w:rsidRPr="007A4AA1">
              <w:rPr>
                <w:rFonts w:eastAsia="Times New Roman" w:cs="Arial"/>
                <w:bCs/>
              </w:rPr>
              <w:t>i</w:t>
            </w:r>
            <w:proofErr w:type="spellEnd"/>
            <w:r w:rsidRPr="007A4AA1">
              <w:rPr>
                <w:rFonts w:eastAsia="Times New Roman" w:cs="Arial"/>
                <w:bCs/>
              </w:rPr>
              <w:t xml:space="preserve">) urine test to exclude infection; (ii) fluid intake and output chart (iii) post void bladder scan </w:t>
            </w:r>
          </w:p>
          <w:p w:rsidR="007A4AA1" w:rsidRPr="007A4AA1" w:rsidRDefault="007A4AA1" w:rsidP="007A4AA1">
            <w:pPr>
              <w:numPr>
                <w:ilvl w:val="0"/>
                <w:numId w:val="1"/>
              </w:numPr>
              <w:ind w:left="360"/>
              <w:contextualSpacing/>
              <w:rPr>
                <w:rFonts w:eastAsia="Times New Roman" w:cs="Arial"/>
                <w:bCs/>
              </w:rPr>
            </w:pPr>
            <w:r w:rsidRPr="007A4AA1">
              <w:rPr>
                <w:rFonts w:eastAsia="Times New Roman" w:cs="Arial"/>
                <w:bCs/>
              </w:rPr>
              <w:t>Percentage of patients 75 and over who screened positive for urinary incontinence who receive ongoing treatment related to urinary incontinence</w:t>
            </w:r>
          </w:p>
          <w:p w:rsidR="007A4AA1" w:rsidRPr="007A4AA1" w:rsidRDefault="007A4AA1" w:rsidP="007A4AA1">
            <w:pPr>
              <w:numPr>
                <w:ilvl w:val="0"/>
                <w:numId w:val="1"/>
              </w:numPr>
              <w:ind w:left="360"/>
              <w:contextualSpacing/>
              <w:rPr>
                <w:rFonts w:eastAsia="Times New Roman" w:cs="Arial"/>
                <w:bCs/>
              </w:rPr>
            </w:pPr>
            <w:r w:rsidRPr="007A4AA1">
              <w:rPr>
                <w:rFonts w:eastAsia="Times New Roman" w:cs="Arial"/>
                <w:bCs/>
              </w:rPr>
              <w:t xml:space="preserve">Percentage of patients 75 and over who screened positive for urinary incontinence </w:t>
            </w:r>
            <w:proofErr w:type="gramStart"/>
            <w:r w:rsidRPr="007A4AA1">
              <w:rPr>
                <w:rFonts w:eastAsia="Times New Roman" w:cs="Arial"/>
                <w:bCs/>
              </w:rPr>
              <w:t>who</w:t>
            </w:r>
            <w:proofErr w:type="gramEnd"/>
            <w:r w:rsidRPr="007A4AA1">
              <w:rPr>
                <w:rFonts w:eastAsia="Times New Roman" w:cs="Arial"/>
                <w:bCs/>
              </w:rPr>
              <w:t xml:space="preserve"> have incontinence associated dermatitis. </w:t>
            </w:r>
          </w:p>
          <w:p w:rsidR="007A4AA1" w:rsidRPr="007A4AA1" w:rsidRDefault="007A4AA1" w:rsidP="007A4AA1">
            <w:pPr>
              <w:rPr>
                <w:rFonts w:eastAsia="Times New Roman" w:cs="Arial"/>
                <w:bCs/>
              </w:rPr>
            </w:pPr>
            <w:r w:rsidRPr="007A4AA1">
              <w:rPr>
                <w:rFonts w:eastAsia="Times New Roman" w:cs="Arial"/>
                <w:bCs/>
              </w:rPr>
              <w:t>Percentage of patients 75 and over who screened positive for urinary incontinence who have continence assessment, treatment and referral plan shared with patient and carer where relevant</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Denominator</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The numerators for the four parts of the scheme are defined as:</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numPr>
                <w:ilvl w:val="0"/>
                <w:numId w:val="8"/>
              </w:numPr>
              <w:contextualSpacing/>
              <w:rPr>
                <w:rFonts w:eastAsia="Times New Roman" w:cs="Arial"/>
                <w:bCs/>
              </w:rPr>
            </w:pPr>
            <w:r w:rsidRPr="007A4AA1">
              <w:rPr>
                <w:rFonts w:eastAsia="Times New Roman" w:cs="Arial"/>
                <w:bCs/>
              </w:rPr>
              <w:t>Number of patients aged 75 and over who screened positive for urinary incontinence who had a continence assessment that included: (</w:t>
            </w:r>
            <w:proofErr w:type="spellStart"/>
            <w:r w:rsidRPr="007A4AA1">
              <w:rPr>
                <w:rFonts w:eastAsia="Times New Roman" w:cs="Arial"/>
                <w:bCs/>
              </w:rPr>
              <w:t>i</w:t>
            </w:r>
            <w:proofErr w:type="spellEnd"/>
            <w:r w:rsidRPr="007A4AA1">
              <w:rPr>
                <w:rFonts w:eastAsia="Times New Roman" w:cs="Arial"/>
                <w:bCs/>
              </w:rPr>
              <w:t xml:space="preserve">) urine test to exclude infection; (ii) fluid intake and output chart (iii) post void bladder scan </w:t>
            </w:r>
          </w:p>
          <w:p w:rsidR="007A4AA1" w:rsidRPr="007A4AA1" w:rsidRDefault="007A4AA1" w:rsidP="007A4AA1">
            <w:pPr>
              <w:numPr>
                <w:ilvl w:val="0"/>
                <w:numId w:val="8"/>
              </w:numPr>
              <w:contextualSpacing/>
              <w:rPr>
                <w:rFonts w:eastAsia="Times New Roman" w:cs="Arial"/>
                <w:bCs/>
              </w:rPr>
            </w:pPr>
            <w:r w:rsidRPr="007A4AA1">
              <w:rPr>
                <w:rFonts w:eastAsia="Times New Roman" w:cs="Arial"/>
                <w:bCs/>
              </w:rPr>
              <w:t>Number of patients aged 75 and over who screened positive for urinary incontinence who receive ongoing treatment related to urinary incontinence</w:t>
            </w:r>
          </w:p>
          <w:p w:rsidR="007A4AA1" w:rsidRPr="007A4AA1" w:rsidRDefault="007A4AA1" w:rsidP="007A4AA1">
            <w:pPr>
              <w:numPr>
                <w:ilvl w:val="0"/>
                <w:numId w:val="8"/>
              </w:numPr>
              <w:contextualSpacing/>
              <w:rPr>
                <w:rFonts w:eastAsia="Times New Roman" w:cs="Arial"/>
                <w:bCs/>
              </w:rPr>
            </w:pPr>
            <w:r w:rsidRPr="007A4AA1">
              <w:rPr>
                <w:rFonts w:eastAsia="Times New Roman" w:cs="Arial"/>
                <w:bCs/>
              </w:rPr>
              <w:t xml:space="preserve">Number of patients aged 75 and over who screened positive for urinary incontinence who </w:t>
            </w:r>
            <w:r w:rsidRPr="007A4AA1">
              <w:rPr>
                <w:rFonts w:eastAsia="Times New Roman" w:cs="Arial"/>
                <w:bCs/>
              </w:rPr>
              <w:lastRenderedPageBreak/>
              <w:t xml:space="preserve">have incontinence associated dermatitis. </w:t>
            </w:r>
          </w:p>
          <w:p w:rsidR="007A4AA1" w:rsidRPr="007A4AA1" w:rsidRDefault="007A4AA1" w:rsidP="007A4AA1">
            <w:pPr>
              <w:rPr>
                <w:rFonts w:eastAsia="Times New Roman" w:cs="Arial"/>
                <w:bCs/>
              </w:rPr>
            </w:pPr>
            <w:r w:rsidRPr="007A4AA1">
              <w:rPr>
                <w:rFonts w:eastAsia="Times New Roman" w:cs="Arial"/>
                <w:bCs/>
              </w:rPr>
              <w:t>Number of patients aged 75 and over who screened positive for urinary incontinence who have continence assessment, treatment and referral plan shared with patient and carer where relevant</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Rationale for inclusion</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The denominator is the same for all four parts of the scheme and is defined as:</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color w:val="000000"/>
                <w:szCs w:val="26"/>
              </w:rPr>
            </w:pPr>
            <w:r w:rsidRPr="007A4AA1">
              <w:rPr>
                <w:rFonts w:eastAsia="Times New Roman" w:cs="Arial"/>
                <w:bCs/>
              </w:rPr>
              <w:t xml:space="preserve">Number of patients aged 75 and over who screened positive for urinary incontinence </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The screening question should be: Do you have problems with getting to the toilet?”</w:t>
            </w:r>
          </w:p>
          <w:p w:rsidR="007A4AA1" w:rsidRPr="007A4AA1" w:rsidRDefault="007A4AA1" w:rsidP="007A4AA1">
            <w:pPr>
              <w:keepNext/>
              <w:contextualSpacing/>
              <w:rPr>
                <w:rFonts w:eastAsia="Times New Roman" w:cs="Arial"/>
                <w:bCs/>
                <w:color w:val="000000"/>
                <w:szCs w:val="26"/>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Data source</w:t>
            </w:r>
          </w:p>
        </w:tc>
        <w:tc>
          <w:tcPr>
            <w:tcW w:w="3696" w:type="pct"/>
          </w:tcPr>
          <w:p w:rsidR="007A4AA1" w:rsidRPr="007A4AA1" w:rsidRDefault="007A4AA1" w:rsidP="007A4AA1">
            <w:pPr>
              <w:keepNext/>
              <w:rPr>
                <w:rFonts w:eastAsia="Times New Roman" w:cs="Arial"/>
                <w:bCs/>
                <w:color w:val="000000"/>
                <w:szCs w:val="26"/>
              </w:rPr>
            </w:pPr>
            <w:r w:rsidRPr="007A4AA1">
              <w:rPr>
                <w:rFonts w:eastAsia="Times New Roman" w:cs="Arial"/>
                <w:bCs/>
                <w:color w:val="000000"/>
                <w:szCs w:val="26"/>
              </w:rPr>
              <w:t>It is estimated that urinary incontinence affects 1 in 3 women aged 18+ and lower urinary tract symptoms (LUTS) affects 2.7% of men aged 18 and over and 35% of men over 60 years old . Despite continence problems being relatively common, people are often embarrassed and reluctant to discuss their incontinence and therefore detection in the community can be difficult. However, 80% of continence problems are treatable and the low cost of conservative treatments is offset by the reduced need for containment products, surgery and social care.</w:t>
            </w:r>
          </w:p>
          <w:p w:rsidR="007A4AA1" w:rsidRPr="007A4AA1" w:rsidRDefault="007A4AA1" w:rsidP="007A4AA1">
            <w:pPr>
              <w:keepNext/>
              <w:rPr>
                <w:rFonts w:eastAsia="Times New Roman" w:cs="Arial"/>
                <w:bCs/>
                <w:color w:val="000000"/>
                <w:szCs w:val="26"/>
              </w:rPr>
            </w:pP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Designated continence leads should be identified to ensure accountability for CQUIN delivery. The purpose of this CQUIN is to improve continence care across the acute and community boundaries (especially important for at risk patients such as those with dementia) and the designated leads will use the data to optimise integrated care.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Frequency of data collection</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Locally developed audit of a suitable set of notes from a representative sample.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Organisation responsible for data collection</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Monthly</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Frequency of reporting to commissioner</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Provider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period/date</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Quarterly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Baseline value</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Q1 2016-17</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period/date (on which payment is based)</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determined from baseline audit.</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value (payment threshold)</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color w:val="000000"/>
                <w:szCs w:val="26"/>
              </w:rPr>
              <w:t>Q4 2016/17</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reporting date</w:t>
            </w:r>
          </w:p>
        </w:tc>
        <w:tc>
          <w:tcPr>
            <w:tcW w:w="3696" w:type="pct"/>
          </w:tcPr>
          <w:p w:rsidR="007A4AA1" w:rsidRPr="007A4AA1" w:rsidRDefault="007A4AA1" w:rsidP="007A4AA1">
            <w:pPr>
              <w:keepNext/>
              <w:autoSpaceDE w:val="0"/>
              <w:autoSpaceDN w:val="0"/>
              <w:adjustRightInd w:val="0"/>
              <w:contextualSpacing/>
              <w:rPr>
                <w:rFonts w:eastAsia="Times New Roman" w:cs="Arial"/>
                <w:bCs/>
                <w:color w:val="000000"/>
                <w:szCs w:val="26"/>
              </w:rPr>
            </w:pPr>
            <w:r w:rsidRPr="007A4AA1">
              <w:rPr>
                <w:rFonts w:eastAsia="Times New Roman" w:cs="Arial"/>
                <w:bCs/>
                <w:color w:val="000000"/>
                <w:szCs w:val="26"/>
              </w:rPr>
              <w:t>To be agreed locally that represents a stretching but achievable rate of improvement from baseline.</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Are there rules for any agreed in-year milestones that result in payment?</w:t>
            </w:r>
          </w:p>
        </w:tc>
        <w:tc>
          <w:tcPr>
            <w:tcW w:w="3696" w:type="pct"/>
          </w:tcPr>
          <w:p w:rsidR="007A4AA1" w:rsidRPr="007A4AA1" w:rsidRDefault="007A4AA1" w:rsidP="007A4AA1">
            <w:pPr>
              <w:keepNext/>
              <w:contextualSpacing/>
              <w:rPr>
                <w:rFonts w:eastAsia="Times New Roman" w:cs="Arial"/>
                <w:bCs/>
                <w:szCs w:val="26"/>
              </w:rPr>
            </w:pPr>
            <w:r w:rsidRPr="007A4AA1">
              <w:rPr>
                <w:rFonts w:eastAsia="Times New Roman" w:cs="Arial"/>
                <w:bCs/>
                <w:szCs w:val="26"/>
              </w:rPr>
              <w:t>To be agreed locally</w:t>
            </w:r>
          </w:p>
          <w:p w:rsidR="007A4AA1" w:rsidRPr="007A4AA1" w:rsidRDefault="007A4AA1" w:rsidP="007A4AA1">
            <w:pPr>
              <w:keepNext/>
              <w:contextualSpacing/>
              <w:rPr>
                <w:rFonts w:eastAsia="Times New Roman"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Are there any rules for partial achievement of the indicator at the final indicator period/date?</w:t>
            </w:r>
          </w:p>
        </w:tc>
        <w:tc>
          <w:tcPr>
            <w:tcW w:w="3696" w:type="pct"/>
          </w:tcPr>
          <w:p w:rsidR="007A4AA1" w:rsidRPr="007A4AA1" w:rsidRDefault="007A4AA1" w:rsidP="007A4AA1">
            <w:pPr>
              <w:keepNext/>
              <w:contextualSpacing/>
              <w:rPr>
                <w:rFonts w:eastAsia="Times New Roman" w:cs="Arial"/>
                <w:bCs/>
                <w:szCs w:val="26"/>
              </w:rPr>
            </w:pPr>
            <w:r w:rsidRPr="007A4AA1">
              <w:rPr>
                <w:rFonts w:eastAsia="Times New Roman" w:cs="Arial"/>
                <w:bCs/>
                <w:szCs w:val="26"/>
              </w:rPr>
              <w:t>To be agreed locally</w:t>
            </w:r>
          </w:p>
          <w:p w:rsidR="007A4AA1" w:rsidRPr="007A4AA1" w:rsidRDefault="007A4AA1" w:rsidP="007A4AA1">
            <w:pPr>
              <w:keepNext/>
              <w:contextualSpacing/>
              <w:rPr>
                <w:rFonts w:eastAsia="Calibri" w:cs="Arial"/>
                <w:bCs/>
              </w:rPr>
            </w:pP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EXIT Route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agreed locally</w:t>
            </w:r>
          </w:p>
        </w:tc>
      </w:tr>
    </w:tbl>
    <w:p w:rsidR="007A4AA1" w:rsidRPr="007560B8" w:rsidRDefault="007A4AA1" w:rsidP="007560B8"/>
    <w:p w:rsidR="006C5B72" w:rsidRDefault="006C5B72" w:rsidP="007560B8">
      <w:pPr>
        <w:rPr>
          <w:rFonts w:ascii="Arial" w:eastAsia="Times New Roman" w:hAnsi="Arial" w:cs="Arial"/>
          <w:b/>
          <w:bCs/>
          <w:color w:val="0072C6"/>
          <w:kern w:val="32"/>
          <w:sz w:val="32"/>
          <w:szCs w:val="32"/>
        </w:rPr>
      </w:pPr>
      <w:bookmarkStart w:id="45" w:name="_Toc443035859"/>
      <w:bookmarkStart w:id="46" w:name="_Toc443915975"/>
      <w:bookmarkStart w:id="47" w:name="_Toc444262554"/>
      <w:bookmarkStart w:id="48" w:name="_Toc444783575"/>
    </w:p>
    <w:p w:rsidR="00B34989" w:rsidRDefault="00B34989" w:rsidP="007560B8">
      <w:pPr>
        <w:rPr>
          <w:rFonts w:ascii="Arial" w:eastAsia="Times New Roman" w:hAnsi="Arial" w:cs="Arial"/>
          <w:b/>
          <w:bCs/>
          <w:color w:val="0072C6"/>
          <w:kern w:val="32"/>
          <w:sz w:val="32"/>
          <w:szCs w:val="32"/>
        </w:rPr>
      </w:pPr>
    </w:p>
    <w:p w:rsidR="00BF1A9E" w:rsidRDefault="00BF1A9E" w:rsidP="00033AC8">
      <w:pPr>
        <w:spacing w:after="0" w:line="240" w:lineRule="auto"/>
        <w:outlineLvl w:val="0"/>
        <w:rPr>
          <w:rFonts w:ascii="Arial" w:eastAsia="Times New Roman" w:hAnsi="Arial" w:cs="Arial"/>
          <w:b/>
          <w:bCs/>
          <w:color w:val="0072C6"/>
          <w:kern w:val="32"/>
          <w:sz w:val="32"/>
          <w:szCs w:val="32"/>
        </w:rPr>
      </w:pPr>
      <w:bookmarkStart w:id="49" w:name="_Toc445214887"/>
      <w:bookmarkStart w:id="50" w:name="_Toc445220876"/>
    </w:p>
    <w:p w:rsidR="00BF1A9E" w:rsidRDefault="00BF1A9E" w:rsidP="00033AC8">
      <w:pPr>
        <w:spacing w:after="0" w:line="240" w:lineRule="auto"/>
        <w:outlineLvl w:val="0"/>
        <w:rPr>
          <w:rFonts w:ascii="Arial" w:eastAsia="Times New Roman" w:hAnsi="Arial" w:cs="Arial"/>
          <w:b/>
          <w:bCs/>
          <w:color w:val="0072C6"/>
          <w:kern w:val="32"/>
          <w:sz w:val="32"/>
          <w:szCs w:val="32"/>
        </w:rPr>
      </w:pPr>
    </w:p>
    <w:p w:rsidR="007A4AA1" w:rsidRDefault="007A4AA1" w:rsidP="00033AC8">
      <w:pPr>
        <w:spacing w:after="0" w:line="240" w:lineRule="auto"/>
        <w:outlineLvl w:val="0"/>
        <w:rPr>
          <w:rFonts w:ascii="Arial" w:eastAsia="Times New Roman" w:hAnsi="Arial" w:cs="Arial"/>
          <w:b/>
          <w:bCs/>
          <w:color w:val="0072C6"/>
          <w:kern w:val="32"/>
          <w:sz w:val="32"/>
          <w:szCs w:val="32"/>
        </w:rPr>
      </w:pPr>
      <w:bookmarkStart w:id="51" w:name="_Toc446331268"/>
      <w:r w:rsidRPr="007A4AA1">
        <w:rPr>
          <w:rFonts w:ascii="Arial" w:eastAsia="Times New Roman" w:hAnsi="Arial" w:cs="Arial"/>
          <w:b/>
          <w:bCs/>
          <w:color w:val="0072C6"/>
          <w:kern w:val="32"/>
          <w:sz w:val="32"/>
          <w:szCs w:val="32"/>
        </w:rPr>
        <w:lastRenderedPageBreak/>
        <w:t>Milestones</w:t>
      </w:r>
      <w:bookmarkEnd w:id="45"/>
      <w:bookmarkEnd w:id="46"/>
      <w:bookmarkEnd w:id="47"/>
      <w:bookmarkEnd w:id="48"/>
      <w:bookmarkEnd w:id="49"/>
      <w:bookmarkEnd w:id="50"/>
      <w:bookmarkEnd w:id="51"/>
    </w:p>
    <w:p w:rsidR="0094478D" w:rsidRPr="007A4AA1" w:rsidRDefault="0094478D" w:rsidP="007560B8">
      <w:pPr>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Date/period milestone relates to</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Rules for achievement of milestones (including evidence to be supplied to commissioner)</w:t>
            </w:r>
          </w:p>
        </w:tc>
        <w:tc>
          <w:tcPr>
            <w:tcW w:w="598"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 milestone to be reported</w:t>
            </w:r>
          </w:p>
        </w:tc>
        <w:tc>
          <w:tcPr>
            <w:tcW w:w="725"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Milestone weighting (% of CQUIN scheme available)</w:t>
            </w:r>
          </w:p>
        </w:tc>
      </w:tr>
      <w:tr w:rsidR="007A4AA1" w:rsidRPr="007A4AA1" w:rsidTr="0034212F">
        <w:tc>
          <w:tcPr>
            <w:tcW w:w="636" w:type="pct"/>
          </w:tcPr>
          <w:p w:rsidR="007A4AA1" w:rsidRPr="007A4AA1" w:rsidRDefault="007A4AA1" w:rsidP="007A4AA1">
            <w:pPr>
              <w:spacing w:before="20" w:after="20"/>
              <w:rPr>
                <w:rFonts w:eastAsia="Times New Roman" w:cs="Arial"/>
                <w:b/>
                <w:bCs/>
              </w:rPr>
            </w:pPr>
            <w:r w:rsidRPr="007A4AA1">
              <w:rPr>
                <w:rFonts w:eastAsia="Times New Roman" w:cs="Arial"/>
                <w:bCs/>
              </w:rPr>
              <w:t>Quarter 1</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2</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3</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4</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bl>
    <w:p w:rsidR="007A4AA1" w:rsidRPr="007A4AA1" w:rsidRDefault="007A4AA1" w:rsidP="007560B8">
      <w:pPr>
        <w:rPr>
          <w:rFonts w:ascii="Arial" w:eastAsia="Times New Roman" w:hAnsi="Arial" w:cs="Arial"/>
          <w:b/>
          <w:bCs/>
          <w:color w:val="0072C6"/>
          <w:kern w:val="32"/>
          <w:sz w:val="32"/>
          <w:szCs w:val="32"/>
        </w:rPr>
      </w:pPr>
    </w:p>
    <w:p w:rsidR="007A4AA1" w:rsidRDefault="007A4AA1" w:rsidP="00033AC8">
      <w:pPr>
        <w:spacing w:after="0" w:line="240" w:lineRule="auto"/>
        <w:outlineLvl w:val="0"/>
        <w:rPr>
          <w:rFonts w:ascii="Arial" w:eastAsia="Times New Roman" w:hAnsi="Arial" w:cs="Arial"/>
          <w:b/>
          <w:bCs/>
          <w:color w:val="0072C6"/>
          <w:kern w:val="32"/>
          <w:sz w:val="32"/>
          <w:szCs w:val="32"/>
        </w:rPr>
      </w:pPr>
      <w:bookmarkStart w:id="52" w:name="_Toc443035860"/>
      <w:bookmarkStart w:id="53" w:name="_Toc443915976"/>
      <w:bookmarkStart w:id="54" w:name="_Toc444262555"/>
      <w:bookmarkStart w:id="55" w:name="_Toc444783576"/>
      <w:bookmarkStart w:id="56" w:name="_Toc445214888"/>
      <w:bookmarkStart w:id="57" w:name="_Toc445220877"/>
      <w:bookmarkStart w:id="58" w:name="_Toc446331269"/>
      <w:r w:rsidRPr="007A4AA1">
        <w:rPr>
          <w:rFonts w:ascii="Arial" w:eastAsia="Times New Roman" w:hAnsi="Arial" w:cs="Arial"/>
          <w:b/>
          <w:bCs/>
          <w:color w:val="0072C6"/>
          <w:kern w:val="32"/>
          <w:sz w:val="32"/>
          <w:szCs w:val="32"/>
        </w:rPr>
        <w:t>Rules for Partial Achievement at Final Indicator Period/ Date</w:t>
      </w:r>
      <w:bookmarkEnd w:id="52"/>
      <w:bookmarkEnd w:id="53"/>
      <w:bookmarkEnd w:id="54"/>
      <w:bookmarkEnd w:id="55"/>
      <w:bookmarkEnd w:id="56"/>
      <w:bookmarkEnd w:id="57"/>
      <w:bookmarkEnd w:id="58"/>
    </w:p>
    <w:p w:rsidR="0094478D" w:rsidRPr="007A4AA1" w:rsidRDefault="0094478D" w:rsidP="007560B8">
      <w:pPr>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Final indicator value for the partial achievement threshold</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 of CQUIN scheme available for meeting final indicator value</w:t>
            </w: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rPr>
            </w:pPr>
          </w:p>
        </w:tc>
        <w:tc>
          <w:tcPr>
            <w:tcW w:w="3041" w:type="pct"/>
          </w:tcPr>
          <w:p w:rsidR="007A4AA1" w:rsidRPr="007A4AA1" w:rsidRDefault="007A4AA1" w:rsidP="007A4AA1">
            <w:pPr>
              <w:spacing w:before="20" w:after="20"/>
              <w:rPr>
                <w:rFonts w:eastAsia="Times New Roman" w:cs="Arial"/>
                <w:bCs/>
              </w:rPr>
            </w:pPr>
          </w:p>
        </w:tc>
      </w:tr>
    </w:tbl>
    <w:p w:rsidR="0094478D" w:rsidRDefault="007A4AA1" w:rsidP="0094478D">
      <w:pPr>
        <w:spacing w:after="0" w:line="240" w:lineRule="auto"/>
        <w:outlineLvl w:val="0"/>
        <w:rPr>
          <w:rFonts w:ascii="Arial" w:eastAsia="Times New Roman" w:hAnsi="Arial" w:cs="Arial"/>
          <w:b/>
          <w:bCs/>
          <w:color w:val="0072C6"/>
          <w:kern w:val="32"/>
          <w:sz w:val="32"/>
          <w:szCs w:val="32"/>
        </w:rPr>
      </w:pPr>
      <w:bookmarkStart w:id="59" w:name="_Toc443035861"/>
      <w:bookmarkStart w:id="60" w:name="_Toc443915977"/>
      <w:bookmarkStart w:id="61" w:name="_Toc444262556"/>
      <w:bookmarkStart w:id="62" w:name="_Toc444783577"/>
      <w:bookmarkStart w:id="63" w:name="_Toc445214889"/>
      <w:bookmarkStart w:id="64" w:name="_Toc445220878"/>
      <w:bookmarkStart w:id="65" w:name="_Toc446331270"/>
      <w:r w:rsidRPr="007A4AA1">
        <w:rPr>
          <w:rFonts w:ascii="Arial" w:eastAsia="Times New Roman" w:hAnsi="Arial" w:cs="Arial"/>
          <w:b/>
          <w:bCs/>
          <w:color w:val="0072C6"/>
          <w:kern w:val="32"/>
          <w:sz w:val="32"/>
          <w:szCs w:val="32"/>
        </w:rPr>
        <w:lastRenderedPageBreak/>
        <w:t>Supporting Guidance and References</w:t>
      </w:r>
      <w:bookmarkEnd w:id="59"/>
      <w:bookmarkEnd w:id="60"/>
      <w:bookmarkEnd w:id="61"/>
      <w:bookmarkEnd w:id="62"/>
      <w:bookmarkEnd w:id="63"/>
      <w:bookmarkEnd w:id="64"/>
      <w:bookmarkEnd w:id="65"/>
    </w:p>
    <w:p w:rsidR="007A4AA1" w:rsidRDefault="00B52CEB" w:rsidP="0005762C">
      <w:pPr>
        <w:pStyle w:val="Heading1"/>
        <w:rPr>
          <w:rFonts w:eastAsia="Times New Roman"/>
        </w:rPr>
      </w:pPr>
      <w:bookmarkStart w:id="66" w:name="_Toc446331271"/>
      <w:r>
        <w:rPr>
          <w:rFonts w:eastAsia="Times New Roman"/>
        </w:rPr>
        <w:t xml:space="preserve">24. </w:t>
      </w:r>
      <w:r w:rsidR="007A4AA1" w:rsidRPr="007A4AA1">
        <w:rPr>
          <w:rFonts w:eastAsia="Times New Roman"/>
        </w:rPr>
        <w:t>Acute Kidney Injury</w:t>
      </w:r>
      <w:bookmarkEnd w:id="66"/>
    </w:p>
    <w:p w:rsidR="0094478D" w:rsidRPr="0094478D" w:rsidRDefault="0094478D" w:rsidP="0094478D"/>
    <w:tbl>
      <w:tblPr>
        <w:tblStyle w:val="TableGrid"/>
        <w:tblW w:w="5000" w:type="pct"/>
        <w:tblLook w:val="04A0" w:firstRow="1" w:lastRow="0" w:firstColumn="1" w:lastColumn="0" w:noHBand="0" w:noVBand="1"/>
        <w:tblCaption w:val="Please add a description of this table"/>
      </w:tblPr>
      <w:tblGrid>
        <w:gridCol w:w="3697"/>
        <w:gridCol w:w="10477"/>
      </w:tblGrid>
      <w:tr w:rsidR="007A4AA1" w:rsidRPr="007A4AA1" w:rsidTr="0005762C">
        <w:trPr>
          <w:tblHeader/>
        </w:trPr>
        <w:tc>
          <w:tcPr>
            <w:tcW w:w="5000" w:type="pct"/>
            <w:gridSpan w:val="2"/>
            <w:shd w:val="clear" w:color="auto" w:fill="0070C0"/>
          </w:tcPr>
          <w:p w:rsidR="007A4AA1" w:rsidRPr="007A4AA1" w:rsidRDefault="0094478D" w:rsidP="007A4AA1">
            <w:pPr>
              <w:spacing w:before="20" w:after="20"/>
              <w:jc w:val="center"/>
              <w:rPr>
                <w:rFonts w:eastAsia="Times New Roman"/>
                <w:b/>
                <w:bCs/>
                <w:color w:val="FFFFFF"/>
                <w:szCs w:val="26"/>
              </w:rPr>
            </w:pPr>
            <w:r>
              <w:rPr>
                <w:rFonts w:eastAsia="Times New Roman"/>
                <w:b/>
                <w:bCs/>
                <w:color w:val="FFFFFF"/>
                <w:szCs w:val="26"/>
              </w:rPr>
              <w:t>Indicator</w:t>
            </w:r>
          </w:p>
        </w:tc>
      </w:tr>
      <w:tr w:rsidR="007A4AA1" w:rsidRPr="007A4AA1" w:rsidTr="0034212F">
        <w:tc>
          <w:tcPr>
            <w:tcW w:w="1304" w:type="pct"/>
          </w:tcPr>
          <w:p w:rsidR="007A4AA1" w:rsidRPr="007A4AA1" w:rsidRDefault="007A4AA1" w:rsidP="007A4AA1">
            <w:pPr>
              <w:spacing w:before="20" w:after="20"/>
              <w:rPr>
                <w:rFonts w:eastAsia="Times New Roman"/>
                <w:b/>
                <w:bCs/>
                <w:szCs w:val="26"/>
              </w:rPr>
            </w:pPr>
            <w:r w:rsidRPr="007A4AA1">
              <w:rPr>
                <w:rFonts w:eastAsia="Times New Roman" w:cs="Arial"/>
                <w:b/>
                <w:bCs/>
                <w:color w:val="000000"/>
                <w:szCs w:val="26"/>
              </w:rPr>
              <w:t>Indicator name</w:t>
            </w:r>
          </w:p>
        </w:tc>
        <w:tc>
          <w:tcPr>
            <w:tcW w:w="3696" w:type="pct"/>
          </w:tcPr>
          <w:p w:rsidR="007A4AA1" w:rsidRPr="007A4AA1" w:rsidRDefault="007A4AA1" w:rsidP="007A4AA1">
            <w:pPr>
              <w:spacing w:before="20" w:after="20"/>
              <w:rPr>
                <w:rFonts w:eastAsia="Times New Roman"/>
                <w:bCs/>
                <w:szCs w:val="26"/>
              </w:rPr>
            </w:pPr>
            <w:r w:rsidRPr="007A4AA1">
              <w:rPr>
                <w:rFonts w:eastAsia="Times New Roman"/>
                <w:bCs/>
                <w:szCs w:val="26"/>
              </w:rPr>
              <w:t>Improving AKI diagnosis and treatment in hospital and care planning to monitor kidney function after discharge</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Indicator weighting </w:t>
            </w:r>
            <w:r w:rsidRPr="007A4AA1">
              <w:rPr>
                <w:rFonts w:eastAsia="Times New Roman" w:cs="Arial"/>
                <w:b/>
                <w:bCs/>
                <w:color w:val="000000"/>
                <w:szCs w:val="26"/>
              </w:rPr>
              <w:br/>
              <w:t>(% of CQUIN scheme available)</w:t>
            </w:r>
          </w:p>
        </w:tc>
        <w:tc>
          <w:tcPr>
            <w:tcW w:w="3696" w:type="pct"/>
          </w:tcPr>
          <w:p w:rsidR="007A4AA1" w:rsidRPr="007A4AA1" w:rsidRDefault="007A4AA1" w:rsidP="007A4AA1">
            <w:pPr>
              <w:spacing w:before="20" w:after="20"/>
              <w:rPr>
                <w:rFonts w:eastAsia="MS Mincho" w:cs="Arial"/>
                <w:bCs/>
                <w:lang w:eastAsia="ja-JP"/>
              </w:rPr>
            </w:pPr>
            <w:r w:rsidRPr="007A4AA1">
              <w:rPr>
                <w:rFonts w:eastAsia="Times New Roman"/>
                <w:bCs/>
                <w:szCs w:val="26"/>
              </w:rPr>
              <w:t>To be agreed locally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Description of indicator</w:t>
            </w:r>
          </w:p>
        </w:tc>
        <w:tc>
          <w:tcPr>
            <w:tcW w:w="3696" w:type="pct"/>
          </w:tcPr>
          <w:p w:rsidR="007A4AA1" w:rsidRPr="007A4AA1" w:rsidRDefault="007A4AA1" w:rsidP="007A4AA1">
            <w:pPr>
              <w:keepNext/>
              <w:ind w:left="-108"/>
              <w:contextualSpacing/>
              <w:rPr>
                <w:rFonts w:eastAsia="Times New Roman"/>
                <w:bCs/>
                <w:szCs w:val="26"/>
              </w:rPr>
            </w:pPr>
            <w:r w:rsidRPr="007A4AA1">
              <w:rPr>
                <w:rFonts w:eastAsia="Times New Roman"/>
                <w:bCs/>
                <w:szCs w:val="26"/>
              </w:rPr>
              <w:t>This CQUIN focuses on AKI diagnosis and treatment in hospital and the plan of care to monitor kidney function after discharge, measured through the percentage of patients with AKI treated in an acute hospital whose discharge summary includes each of four key items of information listed below.</w:t>
            </w:r>
          </w:p>
          <w:p w:rsidR="007A4AA1" w:rsidRPr="007A4AA1" w:rsidRDefault="007A4AA1" w:rsidP="007A4AA1">
            <w:pPr>
              <w:keepNext/>
              <w:ind w:left="-108"/>
              <w:contextualSpacing/>
              <w:rPr>
                <w:rFonts w:eastAsia="Times New Roman"/>
                <w:bCs/>
                <w:szCs w:val="26"/>
              </w:rPr>
            </w:pPr>
          </w:p>
          <w:p w:rsidR="007A4AA1" w:rsidRPr="007A4AA1" w:rsidRDefault="007A4AA1" w:rsidP="007A4AA1">
            <w:pPr>
              <w:keepNext/>
              <w:ind w:left="-108"/>
              <w:contextualSpacing/>
              <w:rPr>
                <w:rFonts w:eastAsia="Times New Roman" w:cs="Arial"/>
                <w:bCs/>
                <w:color w:val="000000"/>
                <w:szCs w:val="26"/>
              </w:rPr>
            </w:pPr>
            <w:r w:rsidRPr="007A4AA1">
              <w:rPr>
                <w:rFonts w:eastAsia="Times New Roman"/>
                <w:bCs/>
                <w:szCs w:val="26"/>
              </w:rPr>
              <w:t>This CQUIN is relevant to acute hospital providers who accept emergency admissions; whilst AKI is also a clinical concern in some specialist hospital providers, the volume of cases may not provide a sufficient sample size for this CQUIN.</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Numerator</w:t>
            </w:r>
          </w:p>
        </w:tc>
        <w:tc>
          <w:tcPr>
            <w:tcW w:w="3696" w:type="pct"/>
          </w:tcPr>
          <w:p w:rsidR="007A4AA1" w:rsidRPr="007A4AA1" w:rsidRDefault="007A4AA1" w:rsidP="007A4AA1">
            <w:pPr>
              <w:rPr>
                <w:rFonts w:eastAsia="Times New Roman" w:cs="Arial"/>
                <w:bCs/>
              </w:rPr>
            </w:pPr>
            <w:r w:rsidRPr="007A4AA1">
              <w:rPr>
                <w:rFonts w:eastAsia="Times New Roman" w:cs="Arial"/>
                <w:bCs/>
              </w:rPr>
              <w:t xml:space="preserve">Count of completed key items found in the discharge summaries of patients with AKI detected through the pathology laboratory information management system (LIMS), and who have survived to discharge, using calendar month of discharge for each monthly sample. </w:t>
            </w:r>
          </w:p>
          <w:p w:rsidR="007A4AA1" w:rsidRPr="007A4AA1" w:rsidRDefault="007A4AA1" w:rsidP="007A4AA1">
            <w:pPr>
              <w:rPr>
                <w:rFonts w:eastAsia="Times New Roman" w:cs="Arial"/>
                <w:bCs/>
              </w:rPr>
            </w:pPr>
            <w:r w:rsidRPr="007A4AA1">
              <w:rPr>
                <w:rFonts w:eastAsia="Times New Roman" w:cs="Arial"/>
                <w:bCs/>
              </w:rPr>
              <w:t xml:space="preserve">Requirements in discharge summary are: </w:t>
            </w:r>
          </w:p>
          <w:p w:rsidR="007A4AA1" w:rsidRPr="007A4AA1" w:rsidRDefault="007A4AA1" w:rsidP="007A4AA1">
            <w:pPr>
              <w:rPr>
                <w:rFonts w:eastAsia="Times New Roman" w:cs="Arial"/>
                <w:bCs/>
              </w:rPr>
            </w:pPr>
            <w:r w:rsidRPr="007A4AA1">
              <w:rPr>
                <w:rFonts w:eastAsia="Times New Roman" w:cs="Arial"/>
                <w:bCs/>
              </w:rPr>
              <w:t>1.</w:t>
            </w:r>
            <w:r w:rsidRPr="007A4AA1">
              <w:rPr>
                <w:rFonts w:eastAsia="Times New Roman" w:cs="Arial"/>
                <w:bCs/>
              </w:rPr>
              <w:tab/>
              <w:t xml:space="preserve">Stage of AKI (a key aspect of AKI diagnosis) </w:t>
            </w:r>
          </w:p>
          <w:p w:rsidR="007A4AA1" w:rsidRPr="007A4AA1" w:rsidRDefault="007A4AA1" w:rsidP="007A4AA1">
            <w:pPr>
              <w:rPr>
                <w:rFonts w:eastAsia="Times New Roman" w:cs="Arial"/>
                <w:bCs/>
              </w:rPr>
            </w:pPr>
            <w:r w:rsidRPr="007A4AA1">
              <w:rPr>
                <w:rFonts w:eastAsia="Times New Roman" w:cs="Arial"/>
                <w:bCs/>
              </w:rPr>
              <w:t>2.</w:t>
            </w:r>
            <w:r w:rsidRPr="007A4AA1">
              <w:rPr>
                <w:rFonts w:eastAsia="Times New Roman" w:cs="Arial"/>
                <w:bCs/>
              </w:rPr>
              <w:tab/>
              <w:t xml:space="preserve">Evidence of medicines review having been undertaken (a key aspect of AKI treatment) </w:t>
            </w:r>
          </w:p>
          <w:p w:rsidR="007A4AA1" w:rsidRPr="007A4AA1" w:rsidRDefault="007A4AA1" w:rsidP="007A4AA1">
            <w:pPr>
              <w:rPr>
                <w:rFonts w:eastAsia="Times New Roman" w:cs="Arial"/>
                <w:bCs/>
              </w:rPr>
            </w:pPr>
            <w:r w:rsidRPr="007A4AA1">
              <w:rPr>
                <w:rFonts w:eastAsia="Times New Roman" w:cs="Arial"/>
                <w:bCs/>
              </w:rPr>
              <w:t>3.</w:t>
            </w:r>
            <w:r w:rsidRPr="007A4AA1">
              <w:rPr>
                <w:rFonts w:eastAsia="Times New Roman" w:cs="Arial"/>
                <w:bCs/>
              </w:rPr>
              <w:tab/>
              <w:t xml:space="preserve">Type of blood tests required on discharge for monitoring (a key aspect of post discharge care) </w:t>
            </w:r>
          </w:p>
          <w:p w:rsidR="007A4AA1" w:rsidRPr="007A4AA1" w:rsidRDefault="007A4AA1" w:rsidP="007A4AA1">
            <w:pPr>
              <w:rPr>
                <w:rFonts w:eastAsia="Times New Roman" w:cs="Arial"/>
                <w:bCs/>
              </w:rPr>
            </w:pPr>
            <w:r w:rsidRPr="007A4AA1">
              <w:rPr>
                <w:rFonts w:eastAsia="Times New Roman" w:cs="Arial"/>
                <w:bCs/>
              </w:rPr>
              <w:lastRenderedPageBreak/>
              <w:t>4.</w:t>
            </w:r>
            <w:r w:rsidRPr="007A4AA1">
              <w:rPr>
                <w:rFonts w:eastAsia="Times New Roman" w:cs="Arial"/>
                <w:bCs/>
              </w:rPr>
              <w:tab/>
              <w:t xml:space="preserve">Frequency of blood tests required on discharge for monitoring (a key aspect of post discharge care) </w:t>
            </w:r>
          </w:p>
          <w:p w:rsidR="007A4AA1" w:rsidRPr="007A4AA1" w:rsidRDefault="007A4AA1" w:rsidP="007A4AA1">
            <w:pPr>
              <w:rPr>
                <w:rFonts w:eastAsia="Times New Roman" w:cs="Arial"/>
                <w:bCs/>
              </w:rPr>
            </w:pPr>
          </w:p>
          <w:p w:rsidR="007A4AA1" w:rsidRPr="007A4AA1" w:rsidRDefault="007A4AA1" w:rsidP="007A4AA1">
            <w:pPr>
              <w:rPr>
                <w:rFonts w:eastAsia="Times New Roman" w:cs="Arial"/>
                <w:bCs/>
              </w:rPr>
            </w:pPr>
            <w:r w:rsidRPr="007A4AA1">
              <w:rPr>
                <w:rFonts w:eastAsia="Times New Roman" w:cs="Arial"/>
                <w:bCs/>
              </w:rPr>
              <w:t>Each item counts separately towards the total i.e. review of four items in each of 25 discharge summaries creates a monthly numerator total of up to 100.</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Denominator</w:t>
            </w:r>
          </w:p>
        </w:tc>
        <w:tc>
          <w:tcPr>
            <w:tcW w:w="3696" w:type="pct"/>
          </w:tcPr>
          <w:p w:rsidR="007A4AA1" w:rsidRPr="007A4AA1" w:rsidRDefault="007A4AA1" w:rsidP="007A4AA1">
            <w:pPr>
              <w:rPr>
                <w:rFonts w:eastAsia="Times New Roman" w:cs="Arial"/>
                <w:bCs/>
              </w:rPr>
            </w:pPr>
            <w:r w:rsidRPr="007A4AA1">
              <w:rPr>
                <w:rFonts w:eastAsia="Times New Roman" w:cs="Arial"/>
                <w:bCs/>
              </w:rPr>
              <w:t>Total number of discharge items which is calculated by multiplying the number of patients in the sample by 4. For sample size of 25 patients the denominator will total 100.</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Rationale for inclusion</w:t>
            </w:r>
          </w:p>
        </w:tc>
        <w:tc>
          <w:tcPr>
            <w:tcW w:w="3696" w:type="pct"/>
          </w:tcPr>
          <w:p w:rsidR="007A4AA1" w:rsidRPr="007A4AA1" w:rsidRDefault="007A4AA1" w:rsidP="007A4AA1">
            <w:pPr>
              <w:keepNext/>
              <w:contextualSpacing/>
              <w:rPr>
                <w:rFonts w:eastAsia="Times New Roman"/>
                <w:bCs/>
                <w:szCs w:val="26"/>
              </w:rPr>
            </w:pPr>
            <w:r w:rsidRPr="007A4AA1">
              <w:rPr>
                <w:rFonts w:eastAsia="Times New Roman"/>
                <w:bCs/>
                <w:szCs w:val="26"/>
              </w:rPr>
              <w:t xml:space="preserve"> AKI has been identified as a major patient safety priority by national and international organisations. NHS England has commenced a national AKI Programme within the Patient Safety domain, in partnership with stakeholder organisations including the UK Renal Registry.</w:t>
            </w:r>
          </w:p>
          <w:p w:rsidR="007A4AA1" w:rsidRPr="007A4AA1" w:rsidRDefault="007A4AA1" w:rsidP="007A4AA1">
            <w:pPr>
              <w:keepNext/>
              <w:contextualSpacing/>
              <w:rPr>
                <w:rFonts w:eastAsia="Times New Roman"/>
                <w:bCs/>
                <w:szCs w:val="26"/>
              </w:rPr>
            </w:pPr>
          </w:p>
          <w:p w:rsidR="007A4AA1" w:rsidRPr="007A4AA1" w:rsidRDefault="007A4AA1" w:rsidP="007A4AA1">
            <w:pPr>
              <w:keepNext/>
              <w:contextualSpacing/>
              <w:rPr>
                <w:rFonts w:eastAsia="Times New Roman"/>
                <w:bCs/>
                <w:szCs w:val="26"/>
              </w:rPr>
            </w:pPr>
            <w:r w:rsidRPr="007A4AA1">
              <w:rPr>
                <w:rFonts w:eastAsia="Times New Roman"/>
                <w:bCs/>
                <w:szCs w:val="26"/>
              </w:rPr>
              <w:t>To improve outcomes from AKI requires a systematic approach. This has been led by the Think Kidneys programme and requires work to improve risk assessment for AKI, provide timely recognition of AKI, to ensure reliable treatment and to enhance recovery.</w:t>
            </w:r>
          </w:p>
          <w:p w:rsidR="007A4AA1" w:rsidRPr="007A4AA1" w:rsidRDefault="007A4AA1" w:rsidP="007A4AA1">
            <w:pPr>
              <w:keepNext/>
              <w:contextualSpacing/>
              <w:rPr>
                <w:rFonts w:eastAsia="Times New Roman"/>
                <w:bCs/>
                <w:szCs w:val="26"/>
              </w:rPr>
            </w:pPr>
          </w:p>
          <w:p w:rsidR="007A4AA1" w:rsidRPr="007A4AA1" w:rsidRDefault="007A4AA1" w:rsidP="007A4AA1">
            <w:pPr>
              <w:keepNext/>
              <w:contextualSpacing/>
              <w:rPr>
                <w:rFonts w:eastAsia="Times New Roman"/>
                <w:bCs/>
                <w:szCs w:val="26"/>
              </w:rPr>
            </w:pPr>
            <w:r w:rsidRPr="007A4AA1">
              <w:rPr>
                <w:rFonts w:eastAsia="Times New Roman"/>
                <w:bCs/>
                <w:szCs w:val="26"/>
              </w:rPr>
              <w:t xml:space="preserve">This CQUIN is designed to improve the recovery of individuals with AKI and to ensure appropriate follow up to minimise short and long term consequences. </w:t>
            </w:r>
          </w:p>
          <w:p w:rsidR="007A4AA1" w:rsidRPr="007A4AA1" w:rsidRDefault="007A4AA1" w:rsidP="007A4AA1">
            <w:pPr>
              <w:keepNext/>
              <w:contextualSpacing/>
              <w:rPr>
                <w:rFonts w:eastAsia="Times New Roman"/>
                <w:bCs/>
                <w:szCs w:val="26"/>
              </w:rPr>
            </w:pPr>
          </w:p>
          <w:p w:rsidR="007A4AA1" w:rsidRPr="007A4AA1" w:rsidRDefault="007A4AA1" w:rsidP="007A4AA1">
            <w:pPr>
              <w:keepNext/>
              <w:contextualSpacing/>
              <w:rPr>
                <w:rFonts w:eastAsia="Times New Roman" w:cs="Arial"/>
                <w:bCs/>
                <w:color w:val="000000"/>
                <w:szCs w:val="26"/>
              </w:rPr>
            </w:pPr>
            <w:r w:rsidRPr="007A4AA1">
              <w:rPr>
                <w:rFonts w:eastAsia="Times New Roman"/>
                <w:bCs/>
                <w:szCs w:val="26"/>
              </w:rPr>
              <w:t>The impact of the CQUIN is designed to ensure secondary care teams communicate information about AKI to primary care and mutually determine a follow up plan to evaluate kidney function and re-establish medication for other long term conditions. Coding of episodes of AKI in GP records will improve risk assessment in the community and the more reliable follow up of individuals following AKI will reduce readmission rates and allow better management of CKD. It is increasing recognised that CKD and AKI are interlinked conditions, resulting in harm through end stage renal failure, premature cardiovascular death and increased risk of death if AKI complicates illness.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Data source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 xml:space="preserve">Provider audit discharge summaries from patients identified by the laboratory as having AKI on current admission (using the national algorithm as defined in NHS England Patient Safety Alert </w:t>
            </w:r>
            <w:r w:rsidRPr="007A4AA1">
              <w:rPr>
                <w:rFonts w:eastAsia="Times New Roman" w:cs="Arial"/>
                <w:bCs/>
                <w:color w:val="000000"/>
                <w:szCs w:val="26"/>
              </w:rPr>
              <w:lastRenderedPageBreak/>
              <w:t>‘Standardising the early detection of AKI’ http://www.england.nhs.uk/2014/06/09/psa-aki</w:t>
            </w:r>
            <w:proofErr w:type="gramStart"/>
            <w:r w:rsidRPr="007A4AA1">
              <w:rPr>
                <w:rFonts w:eastAsia="Times New Roman" w:cs="Arial"/>
                <w:bCs/>
                <w:color w:val="000000"/>
                <w:szCs w:val="26"/>
              </w:rPr>
              <w:t>/ )</w:t>
            </w:r>
            <w:proofErr w:type="gramEnd"/>
            <w:r w:rsidRPr="007A4AA1">
              <w:rPr>
                <w:rFonts w:eastAsia="Times New Roman" w:cs="Arial"/>
                <w:bCs/>
                <w:color w:val="000000"/>
                <w:szCs w:val="26"/>
              </w:rPr>
              <w:t xml:space="preserve"> and who have survived to discharge. </w:t>
            </w: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 xml:space="preserve">Data source = discharge summary for episode of care. </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Audit to be undertaken by clinical staff.</w:t>
            </w:r>
          </w:p>
          <w:p w:rsidR="007A4AA1" w:rsidRPr="007A4AA1" w:rsidRDefault="007A4AA1" w:rsidP="007A4AA1">
            <w:pPr>
              <w:keepNext/>
              <w:contextualSpacing/>
              <w:rPr>
                <w:rFonts w:eastAsia="Times New Roman" w:cs="Arial"/>
                <w:bCs/>
                <w:color w:val="000000"/>
                <w:szCs w:val="26"/>
              </w:rPr>
            </w:pPr>
          </w:p>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Recommended size of audit is 25 patients.  Where 25 or fewer patient records meet these criteria, all the relevant records should be reviewed. If more than 25 patient records meet these criteria, a random sample [see Note A] of 25 sets of patient records should be reviewed.</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Frequency of data collection</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Monthly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Organisation responsible for data collection</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Provider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Frequency of reporting to commissioner</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Quarterly. The quarterly score is produced by averaging the three monthly scores i.e. sum the numerator data across the 3 months and then divide by the sum of the denominator data for the 3 months of the quarter.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period/date</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As this is the second year of the CQUIN there will not be a baseline period and standard thresholds apply.</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Baseline value</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 xml:space="preserve">Moving into the second year the total amount of funding available for the CQUIN should be divided equally across the four quarters </w:t>
            </w:r>
            <w:proofErr w:type="spellStart"/>
            <w:r w:rsidRPr="007A4AA1">
              <w:rPr>
                <w:rFonts w:eastAsia="Times New Roman" w:cs="Arial"/>
                <w:bCs/>
              </w:rPr>
              <w:t>i.e</w:t>
            </w:r>
            <w:proofErr w:type="spellEnd"/>
            <w:r w:rsidRPr="007A4AA1">
              <w:rPr>
                <w:rFonts w:eastAsia="Times New Roman" w:cs="Arial"/>
                <w:bCs/>
              </w:rPr>
              <w:t xml:space="preserve"> 25% of funding available for each quarter.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period/date (on which payment is based)</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Each quarter of 2016/17</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value (payment threshold)</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See partial payment section</w:t>
            </w:r>
          </w:p>
          <w:p w:rsidR="007A4AA1" w:rsidRPr="007A4AA1" w:rsidRDefault="007A4AA1" w:rsidP="007A4AA1">
            <w:pPr>
              <w:keepNext/>
              <w:contextualSpacing/>
              <w:rPr>
                <w:rFonts w:eastAsia="Times New Roman" w:cs="Arial"/>
                <w:bCs/>
              </w:rPr>
            </w:pPr>
          </w:p>
          <w:p w:rsidR="007A4AA1" w:rsidRPr="007A4AA1" w:rsidRDefault="007A4AA1" w:rsidP="007A4AA1">
            <w:pPr>
              <w:keepNext/>
              <w:contextualSpacing/>
              <w:rPr>
                <w:rFonts w:eastAsia="Times New Roman" w:cs="Arial"/>
                <w:bCs/>
              </w:rPr>
            </w:pPr>
            <w:r w:rsidRPr="007A4AA1">
              <w:rPr>
                <w:rFonts w:eastAsia="Times New Roman" w:cs="Arial"/>
                <w:bCs/>
              </w:rPr>
              <w:t>Reporting dates are 30 days after the end of each quarter.</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Final indicator reporting date</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t>30 days after the end of Q4</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 xml:space="preserve">Are there rules for any agreed in-year milestones that result </w:t>
            </w:r>
            <w:r w:rsidRPr="007A4AA1">
              <w:rPr>
                <w:rFonts w:eastAsia="Times New Roman" w:cs="Arial"/>
                <w:b/>
                <w:bCs/>
                <w:color w:val="000000"/>
                <w:szCs w:val="26"/>
              </w:rPr>
              <w:lastRenderedPageBreak/>
              <w:t>in payment?</w:t>
            </w:r>
          </w:p>
        </w:tc>
        <w:tc>
          <w:tcPr>
            <w:tcW w:w="3696" w:type="pct"/>
          </w:tcPr>
          <w:p w:rsidR="007A4AA1" w:rsidRPr="007A4AA1" w:rsidRDefault="007A4AA1" w:rsidP="007A4AA1">
            <w:pPr>
              <w:keepNext/>
              <w:contextualSpacing/>
              <w:rPr>
                <w:rFonts w:eastAsia="Times New Roman" w:cs="Arial"/>
                <w:bCs/>
              </w:rPr>
            </w:pPr>
            <w:r w:rsidRPr="007A4AA1">
              <w:rPr>
                <w:rFonts w:eastAsia="Times New Roman" w:cs="Arial"/>
                <w:bCs/>
              </w:rPr>
              <w:lastRenderedPageBreak/>
              <w:t>No</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lastRenderedPageBreak/>
              <w:t>Are there any rules for partial achievement of the indicator at the final indicator period/date?</w:t>
            </w:r>
          </w:p>
        </w:tc>
        <w:tc>
          <w:tcPr>
            <w:tcW w:w="3696" w:type="pct"/>
          </w:tcPr>
          <w:p w:rsidR="007A4AA1" w:rsidRPr="007A4AA1" w:rsidRDefault="007A4AA1" w:rsidP="007A4AA1">
            <w:pPr>
              <w:keepNext/>
              <w:contextualSpacing/>
              <w:rPr>
                <w:rFonts w:eastAsia="Calibri" w:cs="Arial"/>
                <w:bCs/>
              </w:rPr>
            </w:pPr>
            <w:r w:rsidRPr="007A4AA1">
              <w:rPr>
                <w:rFonts w:eastAsia="Times New Roman" w:cs="Arial"/>
                <w:bCs/>
              </w:rPr>
              <w:t>Yes</w:t>
            </w:r>
          </w:p>
        </w:tc>
      </w:tr>
      <w:tr w:rsidR="007A4AA1" w:rsidRPr="007A4AA1" w:rsidTr="0034212F">
        <w:tc>
          <w:tcPr>
            <w:tcW w:w="1304" w:type="pct"/>
          </w:tcPr>
          <w:p w:rsidR="007A4AA1" w:rsidRPr="007A4AA1" w:rsidRDefault="007A4AA1" w:rsidP="007A4AA1">
            <w:pPr>
              <w:spacing w:before="20" w:after="20"/>
              <w:rPr>
                <w:rFonts w:eastAsia="Times New Roman" w:cs="Arial"/>
                <w:b/>
                <w:bCs/>
                <w:color w:val="000000"/>
                <w:szCs w:val="26"/>
              </w:rPr>
            </w:pPr>
            <w:r w:rsidRPr="007A4AA1">
              <w:rPr>
                <w:rFonts w:eastAsia="Times New Roman" w:cs="Arial"/>
                <w:b/>
                <w:bCs/>
                <w:color w:val="000000"/>
                <w:szCs w:val="26"/>
              </w:rPr>
              <w:t>EXIT Route</w:t>
            </w:r>
          </w:p>
        </w:tc>
        <w:tc>
          <w:tcPr>
            <w:tcW w:w="3696" w:type="pct"/>
          </w:tcPr>
          <w:p w:rsidR="007A4AA1" w:rsidRPr="007A4AA1" w:rsidRDefault="007A4AA1" w:rsidP="007A4AA1">
            <w:pPr>
              <w:keepNext/>
              <w:contextualSpacing/>
              <w:rPr>
                <w:rFonts w:eastAsia="Times New Roman" w:cs="Arial"/>
                <w:bCs/>
                <w:color w:val="000000"/>
                <w:szCs w:val="26"/>
              </w:rPr>
            </w:pPr>
            <w:r w:rsidRPr="007A4AA1">
              <w:rPr>
                <w:rFonts w:eastAsia="Times New Roman" w:cs="Arial"/>
                <w:bCs/>
                <w:color w:val="000000"/>
                <w:szCs w:val="26"/>
              </w:rPr>
              <w:t>To be agreed locally</w:t>
            </w:r>
          </w:p>
        </w:tc>
      </w:tr>
    </w:tbl>
    <w:p w:rsidR="007A4AA1" w:rsidRPr="007A4AA1" w:rsidRDefault="007A4AA1" w:rsidP="007560B8">
      <w:pPr>
        <w:rPr>
          <w:rFonts w:ascii="Arial" w:eastAsia="Times New Roman" w:hAnsi="Arial" w:cs="Times New Roman"/>
          <w:b/>
          <w:bCs/>
          <w:iCs/>
          <w:color w:val="A00054"/>
          <w:sz w:val="28"/>
          <w:szCs w:val="28"/>
        </w:rPr>
      </w:pPr>
    </w:p>
    <w:p w:rsidR="007A4AA1" w:rsidRDefault="007A4AA1" w:rsidP="00033AC8">
      <w:pPr>
        <w:pStyle w:val="Heading2"/>
        <w:rPr>
          <w:rFonts w:eastAsia="Times New Roman"/>
        </w:rPr>
      </w:pPr>
      <w:bookmarkStart w:id="67" w:name="_Toc443035864"/>
      <w:bookmarkStart w:id="68" w:name="_Toc443915979"/>
      <w:bookmarkStart w:id="69" w:name="_Toc444262558"/>
      <w:bookmarkStart w:id="70" w:name="_Toc444783579"/>
      <w:bookmarkStart w:id="71" w:name="_Toc445214891"/>
      <w:bookmarkStart w:id="72" w:name="_Toc445220880"/>
      <w:bookmarkStart w:id="73" w:name="_Toc446331272"/>
      <w:r w:rsidRPr="007A4AA1">
        <w:rPr>
          <w:rFonts w:eastAsia="Times New Roman"/>
        </w:rPr>
        <w:t>Milestones</w:t>
      </w:r>
      <w:bookmarkEnd w:id="67"/>
      <w:bookmarkEnd w:id="68"/>
      <w:bookmarkEnd w:id="69"/>
      <w:bookmarkEnd w:id="70"/>
      <w:bookmarkEnd w:id="71"/>
      <w:bookmarkEnd w:id="72"/>
      <w:bookmarkEnd w:id="73"/>
    </w:p>
    <w:p w:rsidR="0094478D" w:rsidRPr="0094478D" w:rsidRDefault="0094478D" w:rsidP="0094478D"/>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7A4AA1" w:rsidRPr="007A4AA1" w:rsidTr="0005762C">
        <w:trPr>
          <w:tblHeader/>
        </w:trPr>
        <w:tc>
          <w:tcPr>
            <w:tcW w:w="636"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Date/period milestone relates to</w:t>
            </w:r>
          </w:p>
        </w:tc>
        <w:tc>
          <w:tcPr>
            <w:tcW w:w="3041"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Rules for achievement of milestones (including evidence to be supplied to commissioner)</w:t>
            </w:r>
          </w:p>
        </w:tc>
        <w:tc>
          <w:tcPr>
            <w:tcW w:w="598"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Date milestone to be reported</w:t>
            </w:r>
          </w:p>
        </w:tc>
        <w:tc>
          <w:tcPr>
            <w:tcW w:w="725"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Milestone weighting (% of CQUIN scheme available)</w:t>
            </w:r>
          </w:p>
        </w:tc>
      </w:tr>
      <w:tr w:rsidR="007A4AA1" w:rsidRPr="007A4AA1" w:rsidTr="0034212F">
        <w:tc>
          <w:tcPr>
            <w:tcW w:w="636" w:type="pct"/>
          </w:tcPr>
          <w:p w:rsidR="007A4AA1" w:rsidRPr="007A4AA1" w:rsidRDefault="007A4AA1" w:rsidP="007A4AA1">
            <w:pPr>
              <w:spacing w:before="20" w:after="20"/>
              <w:rPr>
                <w:rFonts w:eastAsia="Times New Roman" w:cs="Arial"/>
                <w:b/>
                <w:bCs/>
              </w:rPr>
            </w:pPr>
            <w:r w:rsidRPr="007A4AA1">
              <w:rPr>
                <w:rFonts w:eastAsia="Times New Roman" w:cs="Arial"/>
                <w:bCs/>
              </w:rPr>
              <w:t>Quarter 1</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2</w:t>
            </w:r>
          </w:p>
        </w:tc>
        <w:tc>
          <w:tcPr>
            <w:tcW w:w="3041" w:type="pct"/>
          </w:tcPr>
          <w:p w:rsidR="007A4AA1" w:rsidRPr="007A4AA1" w:rsidRDefault="007A4AA1" w:rsidP="007A4AA1">
            <w:pPr>
              <w:spacing w:before="20" w:after="20"/>
              <w:rPr>
                <w:rFonts w:eastAsia="Times New Roman" w:cs="Arial"/>
                <w:bCs/>
              </w:rPr>
            </w:pPr>
          </w:p>
        </w:tc>
        <w:tc>
          <w:tcPr>
            <w:tcW w:w="598" w:type="pct"/>
          </w:tcPr>
          <w:p w:rsidR="007A4AA1" w:rsidRPr="007A4AA1" w:rsidRDefault="007A4AA1" w:rsidP="007A4AA1">
            <w:pPr>
              <w:spacing w:before="20" w:after="20"/>
              <w:rPr>
                <w:rFonts w:eastAsia="Times New Roman" w:cs="Arial"/>
                <w:bCs/>
              </w:rPr>
            </w:pPr>
          </w:p>
        </w:tc>
        <w:tc>
          <w:tcPr>
            <w:tcW w:w="725" w:type="pct"/>
          </w:tcPr>
          <w:p w:rsidR="007A4AA1" w:rsidRPr="007A4AA1" w:rsidRDefault="007A4AA1" w:rsidP="007A4AA1">
            <w:pPr>
              <w:spacing w:before="20" w:after="20"/>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3</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r w:rsidR="007A4AA1" w:rsidRPr="007A4AA1" w:rsidTr="0034212F">
        <w:tc>
          <w:tcPr>
            <w:tcW w:w="636" w:type="pct"/>
          </w:tcPr>
          <w:p w:rsidR="007A4AA1" w:rsidRPr="007A4AA1" w:rsidRDefault="007A4AA1" w:rsidP="007A4AA1">
            <w:pPr>
              <w:spacing w:before="20" w:after="20"/>
              <w:rPr>
                <w:rFonts w:eastAsia="Times New Roman" w:cs="Arial"/>
                <w:b/>
                <w:bCs/>
                <w:color w:val="000000"/>
              </w:rPr>
            </w:pPr>
            <w:r w:rsidRPr="007A4AA1">
              <w:rPr>
                <w:rFonts w:eastAsia="Times New Roman" w:cs="Arial"/>
                <w:bCs/>
              </w:rPr>
              <w:t>Quarter 4</w:t>
            </w:r>
          </w:p>
        </w:tc>
        <w:tc>
          <w:tcPr>
            <w:tcW w:w="3041" w:type="pct"/>
          </w:tcPr>
          <w:p w:rsidR="007A4AA1" w:rsidRPr="007A4AA1" w:rsidRDefault="007A4AA1" w:rsidP="007A4AA1">
            <w:pPr>
              <w:rPr>
                <w:rFonts w:eastAsia="Times New Roman" w:cs="Arial"/>
                <w:bCs/>
              </w:rPr>
            </w:pPr>
          </w:p>
        </w:tc>
        <w:tc>
          <w:tcPr>
            <w:tcW w:w="598" w:type="pct"/>
          </w:tcPr>
          <w:p w:rsidR="007A4AA1" w:rsidRPr="007A4AA1" w:rsidRDefault="007A4AA1" w:rsidP="007A4AA1">
            <w:pPr>
              <w:rPr>
                <w:rFonts w:eastAsia="Times New Roman" w:cs="Arial"/>
                <w:bCs/>
              </w:rPr>
            </w:pPr>
          </w:p>
        </w:tc>
        <w:tc>
          <w:tcPr>
            <w:tcW w:w="725" w:type="pct"/>
          </w:tcPr>
          <w:p w:rsidR="007A4AA1" w:rsidRPr="007A4AA1" w:rsidRDefault="007A4AA1" w:rsidP="007A4AA1">
            <w:pPr>
              <w:rPr>
                <w:rFonts w:eastAsia="Times New Roman" w:cs="Arial"/>
                <w:bCs/>
              </w:rPr>
            </w:pPr>
          </w:p>
        </w:tc>
      </w:tr>
    </w:tbl>
    <w:p w:rsidR="007A4AA1" w:rsidRPr="007A4AA1" w:rsidRDefault="007A4AA1" w:rsidP="007560B8">
      <w:pPr>
        <w:rPr>
          <w:rFonts w:ascii="Arial" w:eastAsia="Times New Roman" w:hAnsi="Arial" w:cs="Arial"/>
          <w:b/>
          <w:bCs/>
          <w:color w:val="0072C6"/>
          <w:kern w:val="32"/>
          <w:sz w:val="32"/>
          <w:szCs w:val="32"/>
        </w:rPr>
      </w:pPr>
    </w:p>
    <w:p w:rsidR="00B52CEB" w:rsidRDefault="007A4AA1" w:rsidP="00033AC8">
      <w:pPr>
        <w:pStyle w:val="Heading2"/>
        <w:rPr>
          <w:rFonts w:eastAsia="Times New Roman"/>
        </w:rPr>
      </w:pPr>
      <w:bookmarkStart w:id="74" w:name="_Toc443035865"/>
      <w:bookmarkStart w:id="75" w:name="_Toc443915980"/>
      <w:bookmarkStart w:id="76" w:name="_Toc444262559"/>
      <w:bookmarkStart w:id="77" w:name="_Toc444783580"/>
      <w:bookmarkStart w:id="78" w:name="_Toc445214892"/>
      <w:bookmarkStart w:id="79" w:name="_Toc445220881"/>
      <w:bookmarkStart w:id="80" w:name="_Toc446331273"/>
      <w:r w:rsidRPr="007A4AA1">
        <w:rPr>
          <w:rFonts w:eastAsia="Times New Roman"/>
        </w:rPr>
        <w:t>Rules for Partial Achievement at Final Indicator Period/ Date</w:t>
      </w:r>
      <w:bookmarkEnd w:id="74"/>
      <w:bookmarkEnd w:id="75"/>
      <w:bookmarkEnd w:id="76"/>
      <w:bookmarkEnd w:id="77"/>
      <w:bookmarkEnd w:id="78"/>
      <w:bookmarkEnd w:id="79"/>
      <w:bookmarkEnd w:id="80"/>
    </w:p>
    <w:p w:rsidR="0094478D" w:rsidRPr="0094478D" w:rsidRDefault="0094478D" w:rsidP="0094478D"/>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7A4AA1" w:rsidRPr="007A4AA1" w:rsidTr="0005762C">
        <w:trPr>
          <w:tblHeader/>
        </w:trPr>
        <w:tc>
          <w:tcPr>
            <w:tcW w:w="865"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lastRenderedPageBreak/>
              <w:t>Final indicator value for the partial achievement threshold</w:t>
            </w:r>
          </w:p>
        </w:tc>
        <w:tc>
          <w:tcPr>
            <w:tcW w:w="4135" w:type="pct"/>
            <w:shd w:val="clear" w:color="auto" w:fill="0070C0"/>
          </w:tcPr>
          <w:p w:rsidR="007A4AA1" w:rsidRPr="007A4AA1" w:rsidRDefault="007A4AA1" w:rsidP="007A4AA1">
            <w:pPr>
              <w:spacing w:before="20" w:after="20"/>
              <w:jc w:val="center"/>
              <w:rPr>
                <w:rFonts w:eastAsia="Times New Roman" w:cs="Arial"/>
                <w:b/>
                <w:bCs/>
                <w:color w:val="FFFFFF"/>
              </w:rPr>
            </w:pPr>
            <w:r w:rsidRPr="007A4AA1">
              <w:rPr>
                <w:rFonts w:eastAsia="Times New Roman" w:cs="Arial"/>
                <w:b/>
                <w:bCs/>
                <w:color w:val="FFFFFF"/>
              </w:rPr>
              <w:t>% of CQUIN scheme available for meeting final indicator value</w:t>
            </w:r>
          </w:p>
        </w:tc>
      </w:tr>
      <w:tr w:rsidR="007A4AA1" w:rsidRPr="007A4AA1" w:rsidTr="0034212F">
        <w:tc>
          <w:tcPr>
            <w:tcW w:w="865" w:type="pct"/>
          </w:tcPr>
          <w:p w:rsidR="007A4AA1" w:rsidRPr="007A4AA1" w:rsidRDefault="007A4AA1" w:rsidP="007A4AA1">
            <w:pPr>
              <w:spacing w:before="20" w:after="20"/>
              <w:rPr>
                <w:rFonts w:eastAsia="Times New Roman" w:cs="Arial"/>
                <w:b/>
                <w:bCs/>
              </w:rPr>
            </w:pPr>
            <w:r w:rsidRPr="007A4AA1">
              <w:rPr>
                <w:rFonts w:eastAsia="Times New Roman" w:cs="Arial"/>
                <w:bCs/>
                <w:szCs w:val="26"/>
              </w:rPr>
              <w:t xml:space="preserve">49.9% or less of required key items included in discharge summaries  </w:t>
            </w:r>
          </w:p>
        </w:tc>
        <w:tc>
          <w:tcPr>
            <w:tcW w:w="4135" w:type="pct"/>
          </w:tcPr>
          <w:p w:rsidR="007A4AA1" w:rsidRPr="007A4AA1" w:rsidRDefault="007A4AA1" w:rsidP="007A4AA1">
            <w:pPr>
              <w:spacing w:before="20" w:after="20"/>
              <w:rPr>
                <w:rFonts w:eastAsia="Times New Roman" w:cs="Arial"/>
                <w:bCs/>
              </w:rPr>
            </w:pPr>
            <w:r w:rsidRPr="007A4AA1">
              <w:rPr>
                <w:rFonts w:eastAsia="Times New Roman" w:cs="Arial"/>
                <w:bCs/>
                <w:szCs w:val="26"/>
              </w:rPr>
              <w:t>No payment</w:t>
            </w:r>
          </w:p>
        </w:tc>
      </w:tr>
      <w:tr w:rsidR="007A4AA1" w:rsidRPr="007A4AA1" w:rsidTr="0034212F">
        <w:tc>
          <w:tcPr>
            <w:tcW w:w="865" w:type="pct"/>
          </w:tcPr>
          <w:p w:rsidR="007A4AA1" w:rsidRPr="007A4AA1" w:rsidRDefault="007A4AA1" w:rsidP="007A4AA1">
            <w:pPr>
              <w:spacing w:before="20" w:after="20"/>
              <w:rPr>
                <w:rFonts w:eastAsia="Times New Roman" w:cs="Arial"/>
                <w:b/>
                <w:bCs/>
              </w:rPr>
            </w:pPr>
            <w:r w:rsidRPr="007A4AA1">
              <w:rPr>
                <w:rFonts w:eastAsia="Times New Roman" w:cs="Arial"/>
                <w:bCs/>
                <w:szCs w:val="26"/>
              </w:rPr>
              <w:t xml:space="preserve">50.0% to 69.9% of required key items included in discharge summaries  </w:t>
            </w:r>
          </w:p>
        </w:tc>
        <w:tc>
          <w:tcPr>
            <w:tcW w:w="4135" w:type="pct"/>
          </w:tcPr>
          <w:p w:rsidR="007A4AA1" w:rsidRPr="007A4AA1" w:rsidRDefault="007A4AA1" w:rsidP="007A4AA1">
            <w:pPr>
              <w:spacing w:before="20" w:after="20"/>
              <w:rPr>
                <w:rFonts w:eastAsia="Times New Roman" w:cs="Arial"/>
                <w:bCs/>
              </w:rPr>
            </w:pPr>
            <w:r w:rsidRPr="007A4AA1">
              <w:rPr>
                <w:rFonts w:eastAsia="Times New Roman" w:cs="Arial"/>
                <w:bCs/>
                <w:szCs w:val="26"/>
              </w:rPr>
              <w:t>20% of whole AKI CQUIN value for the quarter</w:t>
            </w:r>
          </w:p>
        </w:tc>
      </w:tr>
      <w:tr w:rsidR="007A4AA1" w:rsidRPr="007A4AA1" w:rsidTr="0034212F">
        <w:tc>
          <w:tcPr>
            <w:tcW w:w="865" w:type="pct"/>
          </w:tcPr>
          <w:p w:rsidR="007A4AA1" w:rsidRPr="007A4AA1" w:rsidRDefault="007A4AA1" w:rsidP="007A4AA1">
            <w:pPr>
              <w:spacing w:before="20" w:after="20"/>
              <w:rPr>
                <w:rFonts w:eastAsia="Times New Roman" w:cs="Arial"/>
                <w:b/>
                <w:bCs/>
              </w:rPr>
            </w:pPr>
            <w:r w:rsidRPr="007A4AA1">
              <w:rPr>
                <w:rFonts w:eastAsia="Times New Roman" w:cs="Arial"/>
                <w:bCs/>
                <w:szCs w:val="26"/>
              </w:rPr>
              <w:t xml:space="preserve">70.0% to 79.9% of required key items included in discharge summaries  </w:t>
            </w:r>
          </w:p>
        </w:tc>
        <w:tc>
          <w:tcPr>
            <w:tcW w:w="4135" w:type="pct"/>
          </w:tcPr>
          <w:p w:rsidR="007A4AA1" w:rsidRPr="007A4AA1" w:rsidRDefault="007A4AA1" w:rsidP="007A4AA1">
            <w:pPr>
              <w:spacing w:before="20" w:after="20"/>
              <w:rPr>
                <w:rFonts w:eastAsia="Times New Roman" w:cs="Arial"/>
                <w:bCs/>
              </w:rPr>
            </w:pPr>
            <w:r w:rsidRPr="007A4AA1">
              <w:rPr>
                <w:rFonts w:eastAsia="Times New Roman" w:cs="Arial"/>
                <w:bCs/>
                <w:szCs w:val="26"/>
              </w:rPr>
              <w:t>40% of whole AKI CQUIN value for the quarter</w:t>
            </w:r>
          </w:p>
        </w:tc>
      </w:tr>
      <w:tr w:rsidR="007A4AA1" w:rsidRPr="007A4AA1" w:rsidTr="0034212F">
        <w:tc>
          <w:tcPr>
            <w:tcW w:w="865" w:type="pct"/>
          </w:tcPr>
          <w:p w:rsidR="007A4AA1" w:rsidRPr="007A4AA1" w:rsidRDefault="007A4AA1" w:rsidP="007A4AA1">
            <w:pPr>
              <w:spacing w:before="20" w:after="20"/>
              <w:rPr>
                <w:rFonts w:eastAsia="Times New Roman" w:cs="Arial"/>
                <w:b/>
                <w:bCs/>
              </w:rPr>
            </w:pPr>
            <w:r w:rsidRPr="007A4AA1">
              <w:rPr>
                <w:rFonts w:eastAsia="Times New Roman" w:cs="Arial"/>
                <w:bCs/>
                <w:szCs w:val="26"/>
              </w:rPr>
              <w:t xml:space="preserve">80.0% to 89.9% of required key items included in discharge summaries  </w:t>
            </w:r>
          </w:p>
        </w:tc>
        <w:tc>
          <w:tcPr>
            <w:tcW w:w="4135" w:type="pct"/>
          </w:tcPr>
          <w:p w:rsidR="007A4AA1" w:rsidRPr="007A4AA1" w:rsidRDefault="007A4AA1" w:rsidP="007A4AA1">
            <w:pPr>
              <w:spacing w:before="20" w:after="20"/>
              <w:rPr>
                <w:rFonts w:eastAsia="Times New Roman" w:cs="Arial"/>
                <w:bCs/>
              </w:rPr>
            </w:pPr>
            <w:r w:rsidRPr="007A4AA1">
              <w:rPr>
                <w:rFonts w:eastAsia="Times New Roman" w:cs="Arial"/>
                <w:bCs/>
                <w:szCs w:val="26"/>
              </w:rPr>
              <w:t>70% of whole AKI CQUIN value for the quarter</w:t>
            </w:r>
          </w:p>
        </w:tc>
      </w:tr>
      <w:tr w:rsidR="007A4AA1" w:rsidRPr="007A4AA1" w:rsidTr="0034212F">
        <w:tc>
          <w:tcPr>
            <w:tcW w:w="865" w:type="pct"/>
          </w:tcPr>
          <w:p w:rsidR="007A4AA1" w:rsidRPr="007A4AA1" w:rsidRDefault="007A4AA1" w:rsidP="007A4AA1">
            <w:pPr>
              <w:spacing w:before="20" w:after="20"/>
              <w:rPr>
                <w:rFonts w:eastAsia="Times New Roman" w:cs="Arial"/>
                <w:b/>
                <w:bCs/>
              </w:rPr>
            </w:pPr>
            <w:r w:rsidRPr="007A4AA1">
              <w:rPr>
                <w:rFonts w:eastAsia="Times New Roman" w:cs="Arial"/>
                <w:bCs/>
                <w:szCs w:val="26"/>
              </w:rPr>
              <w:t xml:space="preserve">90.0% or above of required key items included in discharge </w:t>
            </w:r>
            <w:r w:rsidRPr="007A4AA1">
              <w:rPr>
                <w:rFonts w:eastAsia="Times New Roman" w:cs="Arial"/>
                <w:bCs/>
                <w:szCs w:val="26"/>
              </w:rPr>
              <w:lastRenderedPageBreak/>
              <w:t xml:space="preserve">summaries  </w:t>
            </w:r>
          </w:p>
        </w:tc>
        <w:tc>
          <w:tcPr>
            <w:tcW w:w="4135" w:type="pct"/>
          </w:tcPr>
          <w:p w:rsidR="007A4AA1" w:rsidRPr="007A4AA1" w:rsidRDefault="007A4AA1" w:rsidP="007A4AA1">
            <w:pPr>
              <w:spacing w:before="20" w:after="20"/>
              <w:rPr>
                <w:rFonts w:eastAsia="Times New Roman" w:cs="Arial"/>
                <w:bCs/>
              </w:rPr>
            </w:pPr>
            <w:r w:rsidRPr="007A4AA1">
              <w:rPr>
                <w:rFonts w:eastAsia="Times New Roman" w:cs="Arial"/>
                <w:bCs/>
                <w:szCs w:val="26"/>
              </w:rPr>
              <w:lastRenderedPageBreak/>
              <w:t>100% of whole AKI CQUIN value for the quarter</w:t>
            </w:r>
          </w:p>
        </w:tc>
      </w:tr>
    </w:tbl>
    <w:p w:rsidR="007A4AA1" w:rsidRDefault="007A4AA1" w:rsidP="00033AC8">
      <w:pPr>
        <w:pStyle w:val="Heading2"/>
        <w:rPr>
          <w:rFonts w:eastAsia="Times New Roman"/>
        </w:rPr>
      </w:pPr>
      <w:bookmarkStart w:id="81" w:name="_Toc443035866"/>
      <w:bookmarkStart w:id="82" w:name="_Toc443915981"/>
      <w:bookmarkStart w:id="83" w:name="_Toc444262560"/>
      <w:bookmarkStart w:id="84" w:name="_Toc444783581"/>
      <w:bookmarkStart w:id="85" w:name="_Toc445214893"/>
      <w:bookmarkStart w:id="86" w:name="_Toc445220882"/>
      <w:bookmarkStart w:id="87" w:name="_Toc446331274"/>
      <w:r w:rsidRPr="007A4AA1">
        <w:rPr>
          <w:rFonts w:eastAsia="Times New Roman"/>
        </w:rPr>
        <w:lastRenderedPageBreak/>
        <w:t>Supporting Guidance and References</w:t>
      </w:r>
      <w:bookmarkEnd w:id="81"/>
      <w:bookmarkEnd w:id="82"/>
      <w:bookmarkEnd w:id="83"/>
      <w:bookmarkEnd w:id="84"/>
      <w:bookmarkEnd w:id="85"/>
      <w:bookmarkEnd w:id="86"/>
      <w:bookmarkEnd w:id="87"/>
    </w:p>
    <w:p w:rsidR="0094478D" w:rsidRPr="0094478D" w:rsidRDefault="0094478D" w:rsidP="0094478D"/>
    <w:p w:rsidR="007A4AA1" w:rsidRPr="007A4AA1" w:rsidRDefault="007A4AA1" w:rsidP="007A4AA1">
      <w:pPr>
        <w:spacing w:after="0" w:line="240" w:lineRule="auto"/>
        <w:rPr>
          <w:rFonts w:ascii="Arial" w:eastAsia="Times New Roman" w:hAnsi="Arial" w:cs="Arial"/>
          <w:b/>
          <w:bCs/>
          <w:sz w:val="24"/>
          <w:szCs w:val="24"/>
        </w:rPr>
      </w:pPr>
      <w:r w:rsidRPr="007A4AA1">
        <w:rPr>
          <w:rFonts w:ascii="Arial" w:eastAsia="Times New Roman" w:hAnsi="Arial" w:cs="Arial"/>
          <w:b/>
          <w:bCs/>
          <w:sz w:val="24"/>
          <w:szCs w:val="24"/>
        </w:rPr>
        <w:t xml:space="preserve">Draft format for local data collection </w:t>
      </w:r>
    </w:p>
    <w:p w:rsidR="007A4AA1" w:rsidRPr="007A4AA1" w:rsidRDefault="007A4AA1" w:rsidP="007A4AA1">
      <w:pPr>
        <w:spacing w:after="0" w:line="240" w:lineRule="auto"/>
        <w:rPr>
          <w:rFonts w:ascii="Arial" w:eastAsia="Times New Roman" w:hAnsi="Arial" w:cs="Arial"/>
          <w:b/>
          <w:bCs/>
          <w:sz w:val="24"/>
          <w:szCs w:val="24"/>
        </w:rPr>
      </w:pPr>
    </w:p>
    <w:tbl>
      <w:tblPr>
        <w:tblStyle w:val="TableGrid1"/>
        <w:tblW w:w="0" w:type="auto"/>
        <w:tblLook w:val="04A0" w:firstRow="1" w:lastRow="0" w:firstColumn="1" w:lastColumn="0" w:noHBand="0" w:noVBand="1"/>
        <w:tblCaption w:val="Draft format for local data collection "/>
        <w:tblDescription w:val="Tick column below if stage of AKI is recorded in discharge letter. Tick column below if information on medicines review having been undertaken is recorded in discharge letter. Tick column below if type of blood tests required on discharge for monitoring are recorded in discharge letter. Tick column below if frequency  of blood tests required on discharge for monitoring are recorded in discharge letter"/>
      </w:tblPr>
      <w:tblGrid>
        <w:gridCol w:w="956"/>
        <w:gridCol w:w="3266"/>
        <w:gridCol w:w="3541"/>
        <w:gridCol w:w="3139"/>
        <w:gridCol w:w="3272"/>
      </w:tblGrid>
      <w:tr w:rsidR="007A4AA1" w:rsidRPr="007A4AA1" w:rsidTr="004B274D">
        <w:trPr>
          <w:tblHeader/>
        </w:trPr>
        <w:tc>
          <w:tcPr>
            <w:tcW w:w="959" w:type="dxa"/>
          </w:tcPr>
          <w:p w:rsidR="007A4AA1" w:rsidRPr="007A4AA1" w:rsidRDefault="007A4AA1" w:rsidP="007A4AA1">
            <w:pPr>
              <w:rPr>
                <w:rFonts w:ascii="Arial" w:eastAsia="Times New Roman" w:hAnsi="Arial" w:cs="Arial"/>
                <w:bCs/>
                <w:sz w:val="24"/>
                <w:szCs w:val="24"/>
              </w:rPr>
            </w:pPr>
          </w:p>
        </w:tc>
        <w:tc>
          <w:tcPr>
            <w:tcW w:w="3402" w:type="dxa"/>
            <w:shd w:val="clear" w:color="auto" w:fill="F2F2F2" w:themeFill="background1" w:themeFillShade="F2"/>
          </w:tcPr>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Tick column below if </w:t>
            </w:r>
            <w:r w:rsidRPr="007A4AA1">
              <w:rPr>
                <w:rFonts w:ascii="Arial" w:eastAsia="Times New Roman" w:hAnsi="Arial" w:cs="Arial"/>
                <w:b/>
                <w:bCs/>
                <w:sz w:val="24"/>
                <w:szCs w:val="24"/>
              </w:rPr>
              <w:t>stage of AKI</w:t>
            </w:r>
            <w:r w:rsidRPr="007A4AA1">
              <w:rPr>
                <w:rFonts w:ascii="Arial" w:eastAsia="Times New Roman" w:hAnsi="Arial" w:cs="Arial"/>
                <w:bCs/>
                <w:sz w:val="24"/>
                <w:szCs w:val="24"/>
              </w:rPr>
              <w:t xml:space="preserve"> is recorded in discharge letter </w:t>
            </w:r>
          </w:p>
        </w:tc>
        <w:tc>
          <w:tcPr>
            <w:tcW w:w="3685" w:type="dxa"/>
            <w:shd w:val="clear" w:color="auto" w:fill="F2F2F2" w:themeFill="background1" w:themeFillShade="F2"/>
          </w:tcPr>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Tick column below if information on </w:t>
            </w:r>
            <w:r w:rsidRPr="007A4AA1">
              <w:rPr>
                <w:rFonts w:ascii="Arial" w:eastAsia="Times New Roman" w:hAnsi="Arial" w:cs="Arial"/>
                <w:b/>
                <w:bCs/>
                <w:sz w:val="24"/>
                <w:szCs w:val="24"/>
              </w:rPr>
              <w:t>medicines review</w:t>
            </w:r>
            <w:r w:rsidRPr="007A4AA1">
              <w:rPr>
                <w:rFonts w:ascii="Arial" w:eastAsia="Times New Roman" w:hAnsi="Arial" w:cs="Arial"/>
                <w:bCs/>
                <w:sz w:val="24"/>
                <w:szCs w:val="24"/>
              </w:rPr>
              <w:t xml:space="preserve"> having been undertaken is recorded in discharge letter</w:t>
            </w:r>
          </w:p>
        </w:tc>
        <w:tc>
          <w:tcPr>
            <w:tcW w:w="3261" w:type="dxa"/>
            <w:shd w:val="clear" w:color="auto" w:fill="F2F2F2" w:themeFill="background1" w:themeFillShade="F2"/>
          </w:tcPr>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Tick column below if </w:t>
            </w:r>
            <w:r w:rsidRPr="007A4AA1">
              <w:rPr>
                <w:rFonts w:ascii="Arial" w:eastAsia="Times New Roman" w:hAnsi="Arial" w:cs="Arial"/>
                <w:b/>
                <w:bCs/>
                <w:sz w:val="24"/>
                <w:szCs w:val="24"/>
              </w:rPr>
              <w:t xml:space="preserve">type of blood tests </w:t>
            </w:r>
            <w:r w:rsidRPr="007A4AA1">
              <w:rPr>
                <w:rFonts w:ascii="Arial" w:eastAsia="Times New Roman" w:hAnsi="Arial" w:cs="Arial"/>
                <w:bCs/>
                <w:sz w:val="24"/>
                <w:szCs w:val="24"/>
              </w:rPr>
              <w:t>required on discharge for monitoring are recorded in discharge letter</w:t>
            </w:r>
          </w:p>
        </w:tc>
        <w:tc>
          <w:tcPr>
            <w:tcW w:w="3402" w:type="dxa"/>
            <w:shd w:val="clear" w:color="auto" w:fill="F2F2F2" w:themeFill="background1" w:themeFillShade="F2"/>
          </w:tcPr>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Tick column below if </w:t>
            </w:r>
            <w:r w:rsidRPr="007A4AA1">
              <w:rPr>
                <w:rFonts w:ascii="Arial" w:eastAsia="Times New Roman" w:hAnsi="Arial" w:cs="Arial"/>
                <w:b/>
                <w:bCs/>
                <w:sz w:val="24"/>
                <w:szCs w:val="24"/>
              </w:rPr>
              <w:t xml:space="preserve">frequency  of blood tests </w:t>
            </w:r>
            <w:r w:rsidRPr="007A4AA1">
              <w:rPr>
                <w:rFonts w:ascii="Arial" w:eastAsia="Times New Roman" w:hAnsi="Arial" w:cs="Arial"/>
                <w:bCs/>
                <w:sz w:val="24"/>
                <w:szCs w:val="24"/>
              </w:rPr>
              <w:t>required on discharge for monitoring are recorded in discharge letter</w:t>
            </w: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numPr>
                <w:ilvl w:val="0"/>
                <w:numId w:val="9"/>
              </w:numPr>
              <w:contextualSpacing/>
              <w:rPr>
                <w:rFonts w:ascii="Arial"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c>
          <w:tcPr>
            <w:tcW w:w="3685" w:type="dxa"/>
          </w:tcPr>
          <w:p w:rsidR="007A4AA1" w:rsidRPr="007A4AA1" w:rsidRDefault="007A4AA1" w:rsidP="007A4AA1">
            <w:pPr>
              <w:rPr>
                <w:rFonts w:ascii="Arial" w:eastAsia="Times New Roman" w:hAnsi="Arial" w:cs="Arial"/>
                <w:bCs/>
                <w:sz w:val="24"/>
                <w:szCs w:val="24"/>
              </w:rPr>
            </w:pPr>
          </w:p>
        </w:tc>
        <w:tc>
          <w:tcPr>
            <w:tcW w:w="3261" w:type="dxa"/>
          </w:tcPr>
          <w:p w:rsidR="007A4AA1" w:rsidRPr="007A4AA1" w:rsidRDefault="007A4AA1" w:rsidP="007A4AA1">
            <w:pPr>
              <w:rPr>
                <w:rFonts w:ascii="Arial" w:eastAsia="Times New Roman" w:hAnsi="Arial" w:cs="Arial"/>
                <w:bCs/>
                <w:sz w:val="24"/>
                <w:szCs w:val="24"/>
              </w:rPr>
            </w:pPr>
          </w:p>
        </w:tc>
        <w:tc>
          <w:tcPr>
            <w:tcW w:w="3402" w:type="dxa"/>
          </w:tcPr>
          <w:p w:rsidR="007A4AA1" w:rsidRPr="007A4AA1" w:rsidRDefault="007A4AA1" w:rsidP="007A4AA1">
            <w:pPr>
              <w:rPr>
                <w:rFonts w:ascii="Arial" w:eastAsia="Times New Roman" w:hAnsi="Arial" w:cs="Arial"/>
                <w:bCs/>
                <w:sz w:val="24"/>
                <w:szCs w:val="24"/>
              </w:rPr>
            </w:pPr>
          </w:p>
        </w:tc>
      </w:tr>
      <w:tr w:rsidR="007A4AA1" w:rsidRPr="007A4AA1" w:rsidTr="0034212F">
        <w:tc>
          <w:tcPr>
            <w:tcW w:w="959" w:type="dxa"/>
          </w:tcPr>
          <w:p w:rsidR="007A4AA1" w:rsidRPr="007A4AA1" w:rsidRDefault="007A4AA1" w:rsidP="007A4AA1">
            <w:pPr>
              <w:rPr>
                <w:rFonts w:ascii="Arial" w:eastAsia="Times New Roman" w:hAnsi="Arial" w:cs="Arial"/>
                <w:b/>
                <w:bCs/>
                <w:sz w:val="24"/>
                <w:szCs w:val="24"/>
              </w:rPr>
            </w:pPr>
            <w:r w:rsidRPr="007A4AA1">
              <w:rPr>
                <w:rFonts w:ascii="Arial" w:eastAsia="Times New Roman" w:hAnsi="Arial" w:cs="Arial"/>
                <w:b/>
                <w:bCs/>
                <w:sz w:val="24"/>
                <w:szCs w:val="24"/>
              </w:rPr>
              <w:t>Totals</w:t>
            </w:r>
          </w:p>
        </w:tc>
        <w:tc>
          <w:tcPr>
            <w:tcW w:w="3402" w:type="dxa"/>
            <w:shd w:val="clear" w:color="auto" w:fill="F2F2F2" w:themeFill="background1" w:themeFillShade="F2"/>
          </w:tcPr>
          <w:p w:rsidR="007A4AA1" w:rsidRPr="007A4AA1" w:rsidRDefault="007A4AA1" w:rsidP="007A4AA1">
            <w:pPr>
              <w:rPr>
                <w:rFonts w:ascii="Arial" w:eastAsia="Times New Roman" w:hAnsi="Arial" w:cs="Arial"/>
                <w:b/>
                <w:bCs/>
                <w:sz w:val="24"/>
                <w:szCs w:val="24"/>
              </w:rPr>
            </w:pPr>
            <w:r w:rsidRPr="007A4AA1">
              <w:rPr>
                <w:rFonts w:ascii="Arial" w:eastAsia="Times New Roman" w:hAnsi="Arial" w:cs="Arial"/>
                <w:b/>
                <w:bCs/>
                <w:sz w:val="24"/>
                <w:szCs w:val="24"/>
              </w:rPr>
              <w:t xml:space="preserve">Column A total </w:t>
            </w:r>
          </w:p>
        </w:tc>
        <w:tc>
          <w:tcPr>
            <w:tcW w:w="3685" w:type="dxa"/>
            <w:shd w:val="clear" w:color="auto" w:fill="F2F2F2" w:themeFill="background1" w:themeFillShade="F2"/>
          </w:tcPr>
          <w:p w:rsidR="007A4AA1" w:rsidRPr="007A4AA1" w:rsidRDefault="007A4AA1" w:rsidP="007A4AA1">
            <w:pPr>
              <w:rPr>
                <w:rFonts w:ascii="Arial" w:eastAsia="Times New Roman" w:hAnsi="Arial" w:cs="Arial"/>
                <w:b/>
                <w:bCs/>
                <w:sz w:val="24"/>
                <w:szCs w:val="24"/>
              </w:rPr>
            </w:pPr>
            <w:r w:rsidRPr="007A4AA1">
              <w:rPr>
                <w:rFonts w:ascii="Arial" w:eastAsia="Times New Roman" w:hAnsi="Arial" w:cs="Arial"/>
                <w:b/>
                <w:bCs/>
                <w:sz w:val="24"/>
                <w:szCs w:val="24"/>
              </w:rPr>
              <w:t xml:space="preserve">Column B total  </w:t>
            </w:r>
          </w:p>
        </w:tc>
        <w:tc>
          <w:tcPr>
            <w:tcW w:w="3261" w:type="dxa"/>
            <w:shd w:val="clear" w:color="auto" w:fill="F2F2F2" w:themeFill="background1" w:themeFillShade="F2"/>
          </w:tcPr>
          <w:p w:rsidR="007A4AA1" w:rsidRPr="007A4AA1" w:rsidRDefault="007A4AA1" w:rsidP="007A4AA1">
            <w:pPr>
              <w:rPr>
                <w:rFonts w:ascii="Arial" w:eastAsia="Times New Roman" w:hAnsi="Arial" w:cs="Arial"/>
                <w:b/>
                <w:bCs/>
                <w:sz w:val="24"/>
                <w:szCs w:val="24"/>
              </w:rPr>
            </w:pPr>
            <w:r w:rsidRPr="007A4AA1">
              <w:rPr>
                <w:rFonts w:ascii="Arial" w:eastAsia="Times New Roman" w:hAnsi="Arial" w:cs="Arial"/>
                <w:b/>
                <w:bCs/>
                <w:sz w:val="24"/>
                <w:szCs w:val="24"/>
              </w:rPr>
              <w:t xml:space="preserve">Column C total </w:t>
            </w:r>
          </w:p>
        </w:tc>
        <w:tc>
          <w:tcPr>
            <w:tcW w:w="3402" w:type="dxa"/>
            <w:shd w:val="clear" w:color="auto" w:fill="F2F2F2" w:themeFill="background1" w:themeFillShade="F2"/>
          </w:tcPr>
          <w:p w:rsidR="007A4AA1" w:rsidRPr="007A4AA1" w:rsidRDefault="007A4AA1" w:rsidP="007A4AA1">
            <w:pPr>
              <w:rPr>
                <w:rFonts w:ascii="Arial" w:eastAsia="Times New Roman" w:hAnsi="Arial" w:cs="Arial"/>
                <w:b/>
                <w:bCs/>
                <w:sz w:val="24"/>
                <w:szCs w:val="24"/>
              </w:rPr>
            </w:pPr>
            <w:r w:rsidRPr="007A4AA1">
              <w:rPr>
                <w:rFonts w:ascii="Arial" w:eastAsia="Times New Roman" w:hAnsi="Arial" w:cs="Arial"/>
                <w:b/>
                <w:bCs/>
                <w:sz w:val="24"/>
                <w:szCs w:val="24"/>
              </w:rPr>
              <w:t>Column D total</w:t>
            </w:r>
          </w:p>
        </w:tc>
      </w:tr>
      <w:tr w:rsidR="007A4AA1" w:rsidRPr="007A4AA1" w:rsidTr="0034212F">
        <w:tc>
          <w:tcPr>
            <w:tcW w:w="14709" w:type="dxa"/>
            <w:gridSpan w:val="5"/>
          </w:tcPr>
          <w:p w:rsidR="007A4AA1" w:rsidRPr="007A4AA1" w:rsidRDefault="007A4AA1" w:rsidP="007A4AA1">
            <w:pPr>
              <w:rPr>
                <w:rFonts w:ascii="Arial" w:eastAsia="Times New Roman" w:hAnsi="Arial" w:cs="Arial"/>
                <w:b/>
                <w:bCs/>
                <w:sz w:val="24"/>
                <w:szCs w:val="24"/>
              </w:rPr>
            </w:pPr>
            <w:proofErr w:type="spellStart"/>
            <w:r w:rsidRPr="007A4AA1">
              <w:rPr>
                <w:rFonts w:ascii="Arial" w:eastAsia="Times New Roman" w:hAnsi="Arial" w:cs="Arial"/>
                <w:b/>
                <w:bCs/>
                <w:sz w:val="24"/>
                <w:szCs w:val="24"/>
              </w:rPr>
              <w:t>CQuin</w:t>
            </w:r>
            <w:proofErr w:type="spellEnd"/>
            <w:r w:rsidRPr="007A4AA1">
              <w:rPr>
                <w:rFonts w:ascii="Arial" w:eastAsia="Times New Roman" w:hAnsi="Arial" w:cs="Arial"/>
                <w:b/>
                <w:bCs/>
                <w:sz w:val="24"/>
                <w:szCs w:val="24"/>
              </w:rPr>
              <w:t xml:space="preserve"> calculation</w:t>
            </w:r>
          </w:p>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Column A+ B + C +D totals = numerator total </w:t>
            </w:r>
          </w:p>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Number of records reviewed x 4 = denominator total </w:t>
            </w:r>
          </w:p>
          <w:p w:rsidR="007A4AA1" w:rsidRPr="007A4AA1" w:rsidRDefault="007A4AA1" w:rsidP="007A4AA1">
            <w:pPr>
              <w:rPr>
                <w:rFonts w:ascii="Arial" w:eastAsia="Times New Roman" w:hAnsi="Arial" w:cs="Arial"/>
                <w:bCs/>
                <w:sz w:val="24"/>
                <w:szCs w:val="24"/>
              </w:rPr>
            </w:pPr>
            <w:r w:rsidRPr="007A4AA1">
              <w:rPr>
                <w:rFonts w:ascii="Arial" w:eastAsia="Times New Roman" w:hAnsi="Arial" w:cs="Arial"/>
                <w:bCs/>
                <w:sz w:val="24"/>
                <w:szCs w:val="24"/>
              </w:rPr>
              <w:t xml:space="preserve">Percentage) </w:t>
            </w:r>
            <w:proofErr w:type="spellStart"/>
            <w:r w:rsidRPr="007A4AA1">
              <w:rPr>
                <w:rFonts w:ascii="Arial" w:eastAsia="Times New Roman" w:hAnsi="Arial" w:cs="Arial"/>
                <w:bCs/>
                <w:sz w:val="24"/>
                <w:szCs w:val="24"/>
              </w:rPr>
              <w:t>CQuIN</w:t>
            </w:r>
            <w:proofErr w:type="spellEnd"/>
            <w:r w:rsidRPr="007A4AA1">
              <w:rPr>
                <w:rFonts w:ascii="Arial" w:eastAsia="Times New Roman" w:hAnsi="Arial" w:cs="Arial"/>
                <w:bCs/>
                <w:sz w:val="24"/>
                <w:szCs w:val="24"/>
              </w:rPr>
              <w:t xml:space="preserve"> achievement = numerator  ÷ denominator  x 100 </w:t>
            </w:r>
          </w:p>
        </w:tc>
      </w:tr>
    </w:tbl>
    <w:p w:rsidR="007A4AA1" w:rsidRPr="007A4AA1" w:rsidRDefault="007A4AA1" w:rsidP="007A4AA1">
      <w:pPr>
        <w:spacing w:after="0" w:line="240" w:lineRule="auto"/>
        <w:rPr>
          <w:rFonts w:ascii="Arial" w:eastAsia="Times New Roman" w:hAnsi="Arial" w:cs="Arial"/>
          <w:bCs/>
          <w:i/>
          <w:sz w:val="24"/>
          <w:szCs w:val="24"/>
        </w:rPr>
      </w:pPr>
    </w:p>
    <w:p w:rsidR="007A4AA1" w:rsidRPr="007A4AA1" w:rsidRDefault="007A4AA1" w:rsidP="007A4AA1">
      <w:pPr>
        <w:spacing w:after="0" w:line="240" w:lineRule="auto"/>
        <w:rPr>
          <w:rFonts w:ascii="Arial" w:eastAsia="Times New Roman" w:hAnsi="Arial" w:cs="Arial"/>
          <w:bCs/>
          <w:sz w:val="24"/>
          <w:szCs w:val="24"/>
          <w:u w:val="single"/>
        </w:rPr>
      </w:pPr>
      <w:r w:rsidRPr="007A4AA1">
        <w:rPr>
          <w:rFonts w:ascii="Arial" w:eastAsia="Times New Roman" w:hAnsi="Arial" w:cs="Arial"/>
          <w:bCs/>
          <w:sz w:val="24"/>
          <w:szCs w:val="24"/>
          <w:u w:val="single"/>
        </w:rPr>
        <w:t>Guidance notes for data collection.</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u w:val="single"/>
        </w:rPr>
      </w:pPr>
      <w:r w:rsidRPr="007A4AA1">
        <w:rPr>
          <w:rFonts w:ascii="Arial" w:eastAsia="Times New Roman" w:hAnsi="Arial" w:cs="Arial"/>
          <w:bCs/>
          <w:sz w:val="24"/>
          <w:szCs w:val="24"/>
          <w:u w:val="single"/>
        </w:rPr>
        <w:t xml:space="preserve">Column </w:t>
      </w:r>
      <w:proofErr w:type="gramStart"/>
      <w:r w:rsidRPr="007A4AA1">
        <w:rPr>
          <w:rFonts w:ascii="Arial" w:eastAsia="Times New Roman" w:hAnsi="Arial" w:cs="Arial"/>
          <w:bCs/>
          <w:sz w:val="24"/>
          <w:szCs w:val="24"/>
          <w:u w:val="single"/>
        </w:rPr>
        <w:t>A</w:t>
      </w:r>
      <w:proofErr w:type="gramEnd"/>
      <w:r w:rsidRPr="007A4AA1">
        <w:rPr>
          <w:rFonts w:ascii="Arial" w:eastAsia="Times New Roman" w:hAnsi="Arial" w:cs="Arial"/>
          <w:bCs/>
          <w:sz w:val="24"/>
          <w:szCs w:val="24"/>
          <w:u w:val="single"/>
        </w:rPr>
        <w:t xml:space="preserve"> Stage of AKI</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lastRenderedPageBreak/>
        <w:t>The discharge summary should include a statement that provides</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AKI stage (1, 2 or 3) as defined by the national definition (see LINK TO SAFETY ALERT) plus the date on which this recorded and the primary cause</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proofErr w:type="gramStart"/>
      <w:r w:rsidRPr="007A4AA1">
        <w:rPr>
          <w:rFonts w:ascii="Arial" w:eastAsia="Times New Roman" w:hAnsi="Arial" w:cs="Arial"/>
          <w:bCs/>
          <w:sz w:val="24"/>
          <w:szCs w:val="24"/>
        </w:rPr>
        <w:t>e.g</w:t>
      </w:r>
      <w:proofErr w:type="gramEnd"/>
      <w:r w:rsidRPr="007A4AA1">
        <w:rPr>
          <w:rFonts w:ascii="Arial" w:eastAsia="Times New Roman" w:hAnsi="Arial" w:cs="Arial"/>
          <w:bCs/>
          <w:sz w:val="24"/>
          <w:szCs w:val="24"/>
        </w:rPr>
        <w:t>. AKI Stage 3 15</w:t>
      </w:r>
      <w:r w:rsidRPr="007A4AA1">
        <w:rPr>
          <w:rFonts w:ascii="Arial" w:eastAsia="Times New Roman" w:hAnsi="Arial" w:cs="Arial"/>
          <w:bCs/>
          <w:sz w:val="24"/>
          <w:szCs w:val="24"/>
          <w:vertAlign w:val="superscript"/>
        </w:rPr>
        <w:t>th</w:t>
      </w:r>
      <w:r w:rsidRPr="007A4AA1">
        <w:rPr>
          <w:rFonts w:ascii="Arial" w:eastAsia="Times New Roman" w:hAnsi="Arial" w:cs="Arial"/>
          <w:bCs/>
          <w:sz w:val="24"/>
          <w:szCs w:val="24"/>
        </w:rPr>
        <w:t xml:space="preserve"> December 2012  Bladder outflow obstruction</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The highest recorded stage during an inpatient episode should be recorded. A point should be awarded for completion of all elements, so AKI Stage x on its own is not sufficient.</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u w:val="single"/>
        </w:rPr>
      </w:pPr>
      <w:r w:rsidRPr="007A4AA1">
        <w:rPr>
          <w:rFonts w:ascii="Arial" w:eastAsia="Times New Roman" w:hAnsi="Arial" w:cs="Arial"/>
          <w:bCs/>
          <w:sz w:val="24"/>
          <w:szCs w:val="24"/>
          <w:u w:val="single"/>
        </w:rPr>
        <w:t>Column B Medication review</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For all medications that have been discontinued during an episode of AKI there should be clear documentation as to whether the medications were stopped due to AKI and also whether it can be restarted.</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proofErr w:type="gramStart"/>
      <w:r w:rsidRPr="007A4AA1">
        <w:rPr>
          <w:rFonts w:ascii="Arial" w:eastAsia="Times New Roman" w:hAnsi="Arial" w:cs="Arial"/>
          <w:bCs/>
          <w:sz w:val="24"/>
          <w:szCs w:val="24"/>
        </w:rPr>
        <w:t>e.g</w:t>
      </w:r>
      <w:proofErr w:type="gramEnd"/>
      <w:r w:rsidRPr="007A4AA1">
        <w:rPr>
          <w:rFonts w:ascii="Arial" w:eastAsia="Times New Roman" w:hAnsi="Arial" w:cs="Arial"/>
          <w:bCs/>
          <w:sz w:val="24"/>
          <w:szCs w:val="24"/>
        </w:rPr>
        <w:t>. RAMIPRIL 10 mg discontinued due to AKI . Can be restarted after clinical review</w:t>
      </w:r>
    </w:p>
    <w:p w:rsidR="007A4AA1" w:rsidRPr="007A4AA1" w:rsidRDefault="007A4AA1" w:rsidP="007A4AA1">
      <w:pPr>
        <w:spacing w:after="0" w:line="240" w:lineRule="auto"/>
        <w:rPr>
          <w:rFonts w:ascii="Arial" w:eastAsia="Times New Roman" w:hAnsi="Arial" w:cs="Arial"/>
          <w:bCs/>
          <w:sz w:val="24"/>
          <w:szCs w:val="24"/>
        </w:rPr>
      </w:pPr>
      <w:proofErr w:type="gramStart"/>
      <w:r w:rsidRPr="007A4AA1">
        <w:rPr>
          <w:rFonts w:ascii="Arial" w:eastAsia="Times New Roman" w:hAnsi="Arial" w:cs="Arial"/>
          <w:bCs/>
          <w:sz w:val="24"/>
          <w:szCs w:val="24"/>
        </w:rPr>
        <w:t>or</w:t>
      </w:r>
      <w:proofErr w:type="gramEnd"/>
      <w:r w:rsidRPr="007A4AA1">
        <w:rPr>
          <w:rFonts w:ascii="Arial" w:eastAsia="Times New Roman" w:hAnsi="Arial" w:cs="Arial"/>
          <w:bCs/>
          <w:sz w:val="24"/>
          <w:szCs w:val="24"/>
        </w:rPr>
        <w:t xml:space="preserve"> OMEPRAZOLE 20 mg discontinued due to AKI. Not to be restarted (see summary)</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The dialogue is free text but should give a clear indication when and how the medication can be resumed. The latter case for example points to a situation where the drug has directly caused renal inflammation (TIN) and therefore should never be restarted. Simply stating that a medication has been discontinued without a reason or without a statement about potential restarting would not score a point.</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proofErr w:type="gramStart"/>
      <w:r w:rsidRPr="007A4AA1">
        <w:rPr>
          <w:rFonts w:ascii="Arial" w:eastAsia="Times New Roman" w:hAnsi="Arial" w:cs="Arial"/>
          <w:bCs/>
          <w:sz w:val="24"/>
          <w:szCs w:val="24"/>
        </w:rPr>
        <w:t>e.g</w:t>
      </w:r>
      <w:proofErr w:type="gramEnd"/>
      <w:r w:rsidRPr="007A4AA1">
        <w:rPr>
          <w:rFonts w:ascii="Arial" w:eastAsia="Times New Roman" w:hAnsi="Arial" w:cs="Arial"/>
          <w:bCs/>
          <w:sz w:val="24"/>
          <w:szCs w:val="24"/>
        </w:rPr>
        <w:t>. SPIRONLACTONE 50 mg discontinued</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u w:val="single"/>
        </w:rPr>
      </w:pPr>
      <w:r w:rsidRPr="007A4AA1">
        <w:rPr>
          <w:rFonts w:ascii="Arial" w:eastAsia="Times New Roman" w:hAnsi="Arial" w:cs="Arial"/>
          <w:bCs/>
          <w:sz w:val="24"/>
          <w:szCs w:val="24"/>
          <w:u w:val="single"/>
        </w:rPr>
        <w:t>Column C Follow up blood tests and Column D frequency</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For column C and D there should be a clear statement detailing the type of blood tests to be requested and when they should be requested. This may be contained within the clinical summary text. It should also be clear who is to perform the request.</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For example, points would be awarded for</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U&amp;Es and FBC should be rechecked on [date] and weekly thereafter until review in the Nephrology clinic in 4 weeks. We would be grateful it the GP practice could arrange the tests and contact us on xxxxx-788249 if there are concerns.</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lastRenderedPageBreak/>
        <w:t>Or</w:t>
      </w: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Biochemistry checks will be organised 1 week prior to the OPA 24/1/2015 by the hospital. The patient has the necessary forms.</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rPr>
      </w:pPr>
      <w:r w:rsidRPr="007A4AA1">
        <w:rPr>
          <w:rFonts w:ascii="Arial" w:eastAsia="Times New Roman" w:hAnsi="Arial" w:cs="Arial"/>
          <w:bCs/>
          <w:sz w:val="24"/>
          <w:szCs w:val="24"/>
        </w:rPr>
        <w:t>No points would be awarded for C for ‘Please check bloods’ or for an absence of any guidance about timing for D.</w:t>
      </w:r>
    </w:p>
    <w:p w:rsidR="007A4AA1" w:rsidRPr="007A4AA1" w:rsidRDefault="007A4AA1" w:rsidP="007A4AA1">
      <w:pPr>
        <w:spacing w:after="0" w:line="240" w:lineRule="auto"/>
        <w:rPr>
          <w:rFonts w:ascii="Arial" w:eastAsia="Times New Roman" w:hAnsi="Arial" w:cs="Arial"/>
          <w:bCs/>
          <w:sz w:val="24"/>
          <w:szCs w:val="24"/>
        </w:rPr>
      </w:pPr>
    </w:p>
    <w:p w:rsidR="007A4AA1" w:rsidRPr="007A4AA1" w:rsidRDefault="007A4AA1" w:rsidP="007A4AA1">
      <w:pPr>
        <w:spacing w:after="0" w:line="240" w:lineRule="auto"/>
        <w:rPr>
          <w:rFonts w:ascii="Arial" w:eastAsia="Times New Roman" w:hAnsi="Arial" w:cs="Arial"/>
          <w:bCs/>
          <w:sz w:val="24"/>
          <w:szCs w:val="24"/>
          <w:u w:val="single"/>
        </w:rPr>
      </w:pPr>
      <w:r w:rsidRPr="007A4AA1">
        <w:rPr>
          <w:rFonts w:ascii="Arial" w:eastAsia="Times New Roman" w:hAnsi="Arial" w:cs="Arial"/>
          <w:bCs/>
          <w:sz w:val="24"/>
          <w:szCs w:val="24"/>
          <w:u w:val="single"/>
        </w:rPr>
        <w:t>Background information</w:t>
      </w:r>
    </w:p>
    <w:p w:rsidR="007A4AA1" w:rsidRPr="007A4AA1" w:rsidRDefault="007A4AA1" w:rsidP="007A4AA1">
      <w:pPr>
        <w:spacing w:after="0"/>
        <w:jc w:val="both"/>
        <w:rPr>
          <w:rFonts w:ascii="Arial" w:eastAsia="Times New Roman" w:hAnsi="Arial" w:cs="Arial"/>
          <w:sz w:val="24"/>
          <w:szCs w:val="24"/>
        </w:rPr>
      </w:pPr>
      <w:r w:rsidRPr="007A4AA1">
        <w:rPr>
          <w:rFonts w:ascii="Arial" w:eastAsia="Times New Roman" w:hAnsi="Arial" w:cs="Arial"/>
          <w:sz w:val="24"/>
          <w:szCs w:val="24"/>
        </w:rPr>
        <w:t xml:space="preserve">Acute Kidney Injury (AKI) is a sudden reduction in kidney function. It is </w:t>
      </w:r>
      <w:r w:rsidRPr="007A4AA1">
        <w:rPr>
          <w:rFonts w:ascii="Arial" w:eastAsia="Times New Roman" w:hAnsi="Arial" w:cs="Arial"/>
          <w:b/>
          <w:bCs/>
          <w:sz w:val="24"/>
          <w:szCs w:val="24"/>
        </w:rPr>
        <w:t xml:space="preserve">not </w:t>
      </w:r>
      <w:r w:rsidRPr="007A4AA1">
        <w:rPr>
          <w:rFonts w:ascii="Arial" w:eastAsia="Times New Roman" w:hAnsi="Arial" w:cs="Arial"/>
          <w:sz w:val="24"/>
          <w:szCs w:val="24"/>
        </w:rPr>
        <w:t xml:space="preserve">a physical injury to the kidney and usually occurs without symptoms. In England over half a million people sustain AKI every year with AKI affecting 5-15% of all hospital admissions [1]. As well as being common, AKI is harmful and often preventable, thus representing a major patient safety challenge for health care. </w:t>
      </w:r>
    </w:p>
    <w:p w:rsidR="007A4AA1" w:rsidRPr="007A4AA1" w:rsidRDefault="007A4AA1" w:rsidP="007A4AA1">
      <w:pPr>
        <w:spacing w:after="0"/>
        <w:jc w:val="both"/>
        <w:rPr>
          <w:rFonts w:ascii="Arial" w:eastAsia="Times New Roman" w:hAnsi="Arial" w:cs="Arial"/>
          <w:sz w:val="24"/>
          <w:szCs w:val="24"/>
        </w:rPr>
      </w:pPr>
    </w:p>
    <w:p w:rsidR="007A4AA1" w:rsidRPr="007A4AA1" w:rsidRDefault="007A4AA1" w:rsidP="007A4AA1">
      <w:pPr>
        <w:spacing w:after="0"/>
        <w:jc w:val="both"/>
        <w:rPr>
          <w:rFonts w:ascii="Arial" w:eastAsia="Times New Roman" w:hAnsi="Arial" w:cs="Arial"/>
          <w:sz w:val="24"/>
          <w:szCs w:val="24"/>
        </w:rPr>
      </w:pPr>
      <w:r w:rsidRPr="007A4AA1">
        <w:rPr>
          <w:rFonts w:ascii="Arial" w:eastAsia="Times New Roman" w:hAnsi="Arial" w:cs="Arial"/>
          <w:sz w:val="24"/>
          <w:szCs w:val="24"/>
        </w:rPr>
        <w:t xml:space="preserve">At times of </w:t>
      </w:r>
      <w:proofErr w:type="spellStart"/>
      <w:r w:rsidRPr="007A4AA1">
        <w:rPr>
          <w:rFonts w:ascii="Arial" w:eastAsia="Times New Roman" w:hAnsi="Arial" w:cs="Arial"/>
          <w:sz w:val="24"/>
          <w:szCs w:val="24"/>
        </w:rPr>
        <w:t>intercurrent</w:t>
      </w:r>
      <w:proofErr w:type="spellEnd"/>
      <w:r w:rsidRPr="007A4AA1">
        <w:rPr>
          <w:rFonts w:ascii="Arial" w:eastAsia="Times New Roman" w:hAnsi="Arial" w:cs="Arial"/>
          <w:sz w:val="24"/>
          <w:szCs w:val="24"/>
        </w:rPr>
        <w:t xml:space="preserve"> illness (</w:t>
      </w:r>
      <w:proofErr w:type="spellStart"/>
      <w:r w:rsidRPr="007A4AA1">
        <w:rPr>
          <w:rFonts w:ascii="Arial" w:eastAsia="Times New Roman" w:hAnsi="Arial" w:cs="Arial"/>
          <w:sz w:val="24"/>
          <w:szCs w:val="24"/>
        </w:rPr>
        <w:t>e.g.sepsis</w:t>
      </w:r>
      <w:proofErr w:type="spellEnd"/>
      <w:r w:rsidRPr="007A4AA1">
        <w:rPr>
          <w:rFonts w:ascii="Arial" w:eastAsia="Times New Roman" w:hAnsi="Arial" w:cs="Arial"/>
          <w:sz w:val="24"/>
          <w:szCs w:val="24"/>
        </w:rPr>
        <w:t xml:space="preserve">) vulnerable individuals such as the elderly or those with chronic conditions (heart failure, diabetes, chronic kidney disease (CKD) may sustain AKI and complicate their primary health issue. AKI enhances the severity of underlying illness, increasing the risk of death; mortality rates of hospitalised patients with AKI are at least 20-33% and AKI is responsible for 40,000 excess deaths every year [1]. Patients with AKI are also subject to longer, more complex hospital stays with increased utilisation of health care resource. A recent economic analysis put the annual cost of </w:t>
      </w:r>
      <w:r w:rsidRPr="007A4AA1">
        <w:rPr>
          <w:rFonts w:ascii="Arial" w:eastAsia="MS Gothic" w:hAnsi="Arial" w:cs="Arial"/>
          <w:color w:val="000000"/>
          <w:sz w:val="24"/>
          <w:szCs w:val="24"/>
        </w:rPr>
        <w:t>AKI</w:t>
      </w:r>
      <w:r w:rsidRPr="007A4AA1">
        <w:rPr>
          <w:rFonts w:ascii="Arial" w:eastAsia="Times New Roman" w:hAnsi="Arial" w:cs="Arial"/>
          <w:sz w:val="24"/>
          <w:szCs w:val="24"/>
        </w:rPr>
        <w:t xml:space="preserve"> in England at &gt;£1billion [1]. </w:t>
      </w:r>
    </w:p>
    <w:p w:rsidR="007A4AA1" w:rsidRPr="007A4AA1" w:rsidRDefault="007A4AA1" w:rsidP="007A4AA1">
      <w:pPr>
        <w:spacing w:after="0"/>
        <w:jc w:val="both"/>
        <w:rPr>
          <w:rFonts w:ascii="Arial" w:eastAsia="Times New Roman" w:hAnsi="Arial" w:cs="Arial"/>
          <w:sz w:val="24"/>
          <w:szCs w:val="24"/>
        </w:rPr>
      </w:pPr>
    </w:p>
    <w:p w:rsidR="007A4AA1" w:rsidRPr="007A4AA1" w:rsidRDefault="007A4AA1" w:rsidP="007A4AA1">
      <w:pPr>
        <w:spacing w:after="0"/>
        <w:jc w:val="both"/>
        <w:rPr>
          <w:rFonts w:ascii="Arial" w:eastAsia="Times New Roman" w:hAnsi="Arial" w:cs="Arial"/>
          <w:sz w:val="24"/>
          <w:szCs w:val="24"/>
        </w:rPr>
      </w:pPr>
      <w:r w:rsidRPr="007A4AA1">
        <w:rPr>
          <w:rFonts w:ascii="Arial" w:eastAsia="Times New Roman" w:hAnsi="Arial" w:cs="Arial"/>
          <w:sz w:val="24"/>
          <w:szCs w:val="24"/>
        </w:rPr>
        <w:t xml:space="preserve">Whilst many recover the individual’s recovery may be incomplete and there is increasing recognition that incomplete recovery may be prolonged and of high impact. AKI can exacerbate the impact of long term conditions, reducing quality of life metrics and driving the development and progression of CKD. The latter elevates cardiovascular disease risk and end stage renal failure requiring dialysis [2]. Lifetime costs of post-discharge care for </w:t>
      </w:r>
      <w:r w:rsidRPr="007A4AA1">
        <w:rPr>
          <w:rFonts w:ascii="Arial" w:eastAsia="MS Gothic" w:hAnsi="Arial" w:cs="Arial"/>
          <w:color w:val="000000"/>
          <w:sz w:val="24"/>
          <w:szCs w:val="24"/>
        </w:rPr>
        <w:t>AKI</w:t>
      </w:r>
      <w:r w:rsidRPr="007A4AA1">
        <w:rPr>
          <w:rFonts w:ascii="Arial" w:eastAsia="Times New Roman" w:hAnsi="Arial" w:cs="Arial"/>
          <w:sz w:val="24"/>
          <w:szCs w:val="24"/>
        </w:rPr>
        <w:t xml:space="preserve"> patients from 2010-11 was estimated at £179million [1]. </w:t>
      </w:r>
    </w:p>
    <w:p w:rsidR="007A4AA1" w:rsidRPr="007A4AA1" w:rsidRDefault="007A4AA1" w:rsidP="007A4AA1">
      <w:pPr>
        <w:spacing w:after="0"/>
        <w:jc w:val="both"/>
        <w:rPr>
          <w:rFonts w:ascii="Arial" w:eastAsia="Times New Roman" w:hAnsi="Arial" w:cs="Arial"/>
          <w:sz w:val="24"/>
          <w:szCs w:val="24"/>
        </w:rPr>
      </w:pP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There is evidence that care processes can be improved to provide better outcomes. The 2009 National Confidential Enquiry into Patient Outcome and Death (NCEPOD) Report demonstrated that a significant component of harm arises from poor standards of AKI care with limited access to specialist care and guidance. In particular there was delayed diagnosis of AKI resulting in lack of treatment [3]. Studies are beginning to emerge showing that improvements in basic care lead to better patient outcomes [4]. To </w:t>
      </w:r>
      <w:r w:rsidRPr="007A4AA1">
        <w:rPr>
          <w:rFonts w:ascii="Arial" w:eastAsia="Times New Roman" w:hAnsi="Arial" w:cs="Arial"/>
          <w:bCs/>
          <w:sz w:val="24"/>
          <w:szCs w:val="24"/>
        </w:rPr>
        <w:lastRenderedPageBreak/>
        <w:t>improve outcomes needs action to improve risk assessment, improve diagnosis and detection, ensure reliable treatment and enhance recovery.</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AKI has therefore been identified as a major patient safety priority by national and international organisations. For example, NHS England </w:t>
      </w:r>
      <w:proofErr w:type="gramStart"/>
      <w:r w:rsidRPr="007A4AA1">
        <w:rPr>
          <w:rFonts w:ascii="Arial" w:eastAsia="Times New Roman" w:hAnsi="Arial" w:cs="Arial"/>
          <w:bCs/>
          <w:sz w:val="24"/>
          <w:szCs w:val="24"/>
        </w:rPr>
        <w:t>have</w:t>
      </w:r>
      <w:proofErr w:type="gramEnd"/>
      <w:r w:rsidRPr="007A4AA1">
        <w:rPr>
          <w:rFonts w:ascii="Arial" w:eastAsia="Times New Roman" w:hAnsi="Arial" w:cs="Arial"/>
          <w:bCs/>
          <w:sz w:val="24"/>
          <w:szCs w:val="24"/>
        </w:rPr>
        <w:t xml:space="preserve"> commenced a national AKI Programme in partnership with the UK Renal Registry within the Patient Safety domain [5]. Guidance has been issued by the National Institute for Health and Care Excellence (NICE) and the UK Renal Association [6</w:t>
      </w:r>
      <w:proofErr w:type="gramStart"/>
      <w:r w:rsidRPr="007A4AA1">
        <w:rPr>
          <w:rFonts w:ascii="Arial" w:eastAsia="Times New Roman" w:hAnsi="Arial" w:cs="Arial"/>
          <w:bCs/>
          <w:sz w:val="24"/>
          <w:szCs w:val="24"/>
        </w:rPr>
        <w:t>,7</w:t>
      </w:r>
      <w:proofErr w:type="gramEnd"/>
      <w:r w:rsidRPr="007A4AA1">
        <w:rPr>
          <w:rFonts w:ascii="Arial" w:eastAsia="Times New Roman" w:hAnsi="Arial" w:cs="Arial"/>
          <w:bCs/>
          <w:sz w:val="24"/>
          <w:szCs w:val="24"/>
        </w:rPr>
        <w:t xml:space="preserve">]. The International Society of Nephrology has launched the ‘0-by-25’ campaign to eliminate avoidable death related to AKI [8]. </w:t>
      </w:r>
      <w:r w:rsidRPr="007A4AA1">
        <w:rPr>
          <w:rFonts w:ascii="Arial" w:eastAsia="Times New Roman" w:hAnsi="Arial" w:cs="Arial"/>
          <w:bCs/>
          <w:sz w:val="24"/>
          <w:szCs w:val="24"/>
          <w:lang w:eastAsia="en-GB"/>
        </w:rPr>
        <w:t xml:space="preserve">Avoiding harm related to AKI </w:t>
      </w:r>
      <w:r w:rsidRPr="007A4AA1">
        <w:rPr>
          <w:rFonts w:ascii="Arial" w:eastAsia="Times New Roman" w:hAnsi="Arial" w:cs="Arial"/>
          <w:bCs/>
          <w:sz w:val="24"/>
          <w:szCs w:val="24"/>
        </w:rPr>
        <w:t xml:space="preserve">is one of the 16 key priorities in the public and professional authored ‘Kidney Health, Delivering Excellence Report’ [9]. </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The pathway of Risk-Detection-Treatment-Recovery for AKI is being addressed by several schemes across the NHS in England. Southern Derbyshire CCG </w:t>
      </w:r>
      <w:proofErr w:type="gramStart"/>
      <w:r w:rsidRPr="007A4AA1">
        <w:rPr>
          <w:rFonts w:ascii="Arial" w:eastAsia="Times New Roman" w:hAnsi="Arial" w:cs="Arial"/>
          <w:bCs/>
          <w:sz w:val="24"/>
          <w:szCs w:val="24"/>
        </w:rPr>
        <w:t>are</w:t>
      </w:r>
      <w:proofErr w:type="gramEnd"/>
      <w:r w:rsidRPr="007A4AA1">
        <w:rPr>
          <w:rFonts w:ascii="Arial" w:eastAsia="Times New Roman" w:hAnsi="Arial" w:cs="Arial"/>
          <w:bCs/>
          <w:sz w:val="24"/>
          <w:szCs w:val="24"/>
        </w:rPr>
        <w:t xml:space="preserve"> testing a Risk Tool in conjunction with the acute Trust. To improve detection, NHS England have issued a level 3 safety alert to standardise the definition and reporting of AKI within pathology departments (</w:t>
      </w:r>
      <w:hyperlink r:id="rId12" w:history="1">
        <w:r w:rsidRPr="00DE362B">
          <w:rPr>
            <w:rFonts w:ascii="Arial" w:eastAsia="Times New Roman" w:hAnsi="Arial" w:cs="Arial"/>
            <w:bCs/>
            <w:color w:val="0070C0"/>
            <w:sz w:val="24"/>
            <w:szCs w:val="24"/>
            <w:u w:val="single"/>
          </w:rPr>
          <w:t>http://www.england.nhs.uk/2014/06/09/psa-aki/</w:t>
        </w:r>
      </w:hyperlink>
      <w:r w:rsidRPr="00DE362B">
        <w:rPr>
          <w:rFonts w:ascii="Arial" w:eastAsia="Times New Roman" w:hAnsi="Arial" w:cs="Arial"/>
          <w:bCs/>
          <w:color w:val="0070C0"/>
          <w:sz w:val="24"/>
          <w:szCs w:val="24"/>
        </w:rPr>
        <w:t xml:space="preserve">). </w:t>
      </w:r>
      <w:r w:rsidRPr="007A4AA1">
        <w:rPr>
          <w:rFonts w:ascii="Arial" w:eastAsia="Times New Roman" w:hAnsi="Arial" w:cs="Arial"/>
          <w:bCs/>
          <w:sz w:val="24"/>
          <w:szCs w:val="24"/>
        </w:rPr>
        <w:t>NICE guidance CG169 was issued in 2013 to improve management of AKI.</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The purpose of this CQUIN is to improve the follow up and recovery for individuals who have sustained AKI. In particular, it will address follow up needs, medication reconciliation and reduce the risks of readmission. Readmission rates following AKI are high and may be triggered by the consequences of AKI itself, such as CKD or CVD events or due to an underlying long condition being destabilised by medication changes [10].  Longer term improved follow up of episodes of AKI can reduce the impact increased cardiovascular risk in the long term, probably mediated by chronic kidney disease [11]</w:t>
      </w:r>
    </w:p>
    <w:p w:rsidR="007A4AA1" w:rsidRPr="007A4AA1" w:rsidRDefault="007A4AA1" w:rsidP="007A4AA1">
      <w:pPr>
        <w:spacing w:after="0" w:line="240" w:lineRule="auto"/>
        <w:jc w:val="both"/>
        <w:rPr>
          <w:rFonts w:ascii="Arial" w:eastAsia="Times New Roman" w:hAnsi="Arial" w:cs="Arial"/>
          <w:bCs/>
          <w:sz w:val="24"/>
          <w:szCs w:val="24"/>
        </w:rPr>
      </w:pPr>
    </w:p>
    <w:p w:rsidR="007A4AA1" w:rsidRPr="007A4AA1" w:rsidRDefault="007A4AA1" w:rsidP="007A4AA1">
      <w:pPr>
        <w:spacing w:after="0" w:line="240" w:lineRule="auto"/>
        <w:jc w:val="both"/>
        <w:rPr>
          <w:rFonts w:ascii="Arial" w:eastAsia="Times New Roman" w:hAnsi="Arial" w:cs="Arial"/>
          <w:bCs/>
          <w:sz w:val="24"/>
          <w:szCs w:val="24"/>
        </w:rPr>
      </w:pPr>
    </w:p>
    <w:p w:rsidR="007A4AA1" w:rsidRPr="007A4AA1" w:rsidRDefault="007A4AA1" w:rsidP="007A4AA1">
      <w:pPr>
        <w:spacing w:after="0" w:line="240" w:lineRule="auto"/>
        <w:jc w:val="both"/>
        <w:rPr>
          <w:rFonts w:ascii="Arial" w:eastAsia="Times New Roman" w:hAnsi="Arial" w:cs="Arial"/>
          <w:b/>
          <w:bCs/>
          <w:sz w:val="24"/>
          <w:szCs w:val="24"/>
        </w:rPr>
      </w:pPr>
      <w:r w:rsidRPr="007A4AA1">
        <w:rPr>
          <w:rFonts w:ascii="Arial" w:eastAsia="Times New Roman" w:hAnsi="Arial" w:cs="Arial"/>
          <w:b/>
          <w:bCs/>
          <w:sz w:val="24"/>
          <w:szCs w:val="24"/>
        </w:rPr>
        <w:t>References</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1: Kerr M, Bedford M, Matthews B, </w:t>
      </w:r>
      <w:proofErr w:type="spellStart"/>
      <w:r w:rsidRPr="007A4AA1">
        <w:rPr>
          <w:rFonts w:ascii="Arial" w:eastAsia="Times New Roman" w:hAnsi="Arial" w:cs="Arial"/>
          <w:bCs/>
          <w:sz w:val="24"/>
          <w:szCs w:val="24"/>
        </w:rPr>
        <w:t>O'Donoghue</w:t>
      </w:r>
      <w:proofErr w:type="spellEnd"/>
      <w:r w:rsidRPr="007A4AA1">
        <w:rPr>
          <w:rFonts w:ascii="Arial" w:eastAsia="Times New Roman" w:hAnsi="Arial" w:cs="Arial"/>
          <w:bCs/>
          <w:sz w:val="24"/>
          <w:szCs w:val="24"/>
        </w:rPr>
        <w:t xml:space="preserve"> D. </w:t>
      </w:r>
      <w:proofErr w:type="gramStart"/>
      <w:r w:rsidRPr="007A4AA1">
        <w:rPr>
          <w:rFonts w:ascii="Arial" w:eastAsia="Times New Roman" w:hAnsi="Arial" w:cs="Arial"/>
          <w:bCs/>
          <w:sz w:val="24"/>
          <w:szCs w:val="24"/>
        </w:rPr>
        <w:t>The economic impact of acute kidney injury in England.</w:t>
      </w:r>
      <w:proofErr w:type="gramEnd"/>
      <w:r w:rsidRPr="007A4AA1">
        <w:rPr>
          <w:rFonts w:ascii="Arial" w:eastAsia="Times New Roman" w:hAnsi="Arial" w:cs="Arial"/>
          <w:bCs/>
          <w:sz w:val="24"/>
          <w:szCs w:val="24"/>
        </w:rPr>
        <w:t xml:space="preserve"> </w:t>
      </w:r>
      <w:proofErr w:type="spellStart"/>
      <w:proofErr w:type="gramStart"/>
      <w:r w:rsidRPr="007A4AA1">
        <w:rPr>
          <w:rFonts w:ascii="Arial" w:eastAsia="Times New Roman" w:hAnsi="Arial" w:cs="Arial"/>
          <w:bCs/>
          <w:i/>
          <w:sz w:val="24"/>
          <w:szCs w:val="24"/>
        </w:rPr>
        <w:t>Nephrol</w:t>
      </w:r>
      <w:proofErr w:type="spellEnd"/>
      <w:r w:rsidRPr="007A4AA1">
        <w:rPr>
          <w:rFonts w:ascii="Arial" w:eastAsia="Times New Roman" w:hAnsi="Arial" w:cs="Arial"/>
          <w:bCs/>
          <w:i/>
          <w:sz w:val="24"/>
          <w:szCs w:val="24"/>
        </w:rPr>
        <w:t xml:space="preserve"> Dial Transplant.</w:t>
      </w:r>
      <w:proofErr w:type="gramEnd"/>
      <w:r w:rsidRPr="007A4AA1">
        <w:rPr>
          <w:rFonts w:ascii="Arial" w:eastAsia="Times New Roman" w:hAnsi="Arial" w:cs="Arial"/>
          <w:bCs/>
          <w:sz w:val="24"/>
          <w:szCs w:val="24"/>
        </w:rPr>
        <w:t xml:space="preserve"> 2014</w:t>
      </w:r>
      <w:proofErr w:type="gramStart"/>
      <w:r w:rsidRPr="007A4AA1">
        <w:rPr>
          <w:rFonts w:ascii="Arial" w:eastAsia="Times New Roman" w:hAnsi="Arial" w:cs="Arial"/>
          <w:bCs/>
          <w:sz w:val="24"/>
          <w:szCs w:val="24"/>
        </w:rPr>
        <w:t>;29</w:t>
      </w:r>
      <w:proofErr w:type="gramEnd"/>
      <w:r w:rsidRPr="007A4AA1">
        <w:rPr>
          <w:rFonts w:ascii="Arial" w:eastAsia="Times New Roman" w:hAnsi="Arial" w:cs="Arial"/>
          <w:bCs/>
          <w:sz w:val="24"/>
          <w:szCs w:val="24"/>
        </w:rPr>
        <w:t>(7):1362-8.</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2: Coca SG, </w:t>
      </w:r>
      <w:proofErr w:type="spellStart"/>
      <w:r w:rsidRPr="007A4AA1">
        <w:rPr>
          <w:rFonts w:ascii="Arial" w:eastAsia="Times New Roman" w:hAnsi="Arial" w:cs="Arial"/>
          <w:bCs/>
          <w:sz w:val="24"/>
          <w:szCs w:val="24"/>
        </w:rPr>
        <w:t>Singanamala</w:t>
      </w:r>
      <w:proofErr w:type="spellEnd"/>
      <w:r w:rsidRPr="007A4AA1">
        <w:rPr>
          <w:rFonts w:ascii="Arial" w:eastAsia="Times New Roman" w:hAnsi="Arial" w:cs="Arial"/>
          <w:bCs/>
          <w:sz w:val="24"/>
          <w:szCs w:val="24"/>
        </w:rPr>
        <w:t xml:space="preserve"> S, Parikh CR. Chronic kidney disease after acute kidney injury: a systematic review and meta-analysis. </w:t>
      </w:r>
      <w:r w:rsidRPr="007A4AA1">
        <w:rPr>
          <w:rFonts w:ascii="Arial" w:eastAsia="Times New Roman" w:hAnsi="Arial" w:cs="Arial"/>
          <w:bCs/>
          <w:i/>
          <w:sz w:val="24"/>
          <w:szCs w:val="24"/>
        </w:rPr>
        <w:t>Kidney Int.</w:t>
      </w:r>
      <w:r w:rsidRPr="007A4AA1">
        <w:rPr>
          <w:rFonts w:ascii="Arial" w:eastAsia="Times New Roman" w:hAnsi="Arial" w:cs="Arial"/>
          <w:bCs/>
          <w:sz w:val="24"/>
          <w:szCs w:val="24"/>
        </w:rPr>
        <w:t xml:space="preserve"> 2012</w:t>
      </w:r>
      <w:proofErr w:type="gramStart"/>
      <w:r w:rsidRPr="007A4AA1">
        <w:rPr>
          <w:rFonts w:ascii="Arial" w:eastAsia="Times New Roman" w:hAnsi="Arial" w:cs="Arial"/>
          <w:bCs/>
          <w:sz w:val="24"/>
          <w:szCs w:val="24"/>
        </w:rPr>
        <w:t>;81</w:t>
      </w:r>
      <w:proofErr w:type="gramEnd"/>
      <w:r w:rsidRPr="007A4AA1">
        <w:rPr>
          <w:rFonts w:ascii="Arial" w:eastAsia="Times New Roman" w:hAnsi="Arial" w:cs="Arial"/>
          <w:bCs/>
          <w:sz w:val="24"/>
          <w:szCs w:val="24"/>
        </w:rPr>
        <w:t xml:space="preserve">(5):442-8. </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3: Stewart JM. Adding insult to injury: a review of the care of patients who died in hospital with a primary diagnosis of acute kidney injury (acute renal failure). London</w:t>
      </w:r>
      <w:r w:rsidRPr="007A4AA1">
        <w:rPr>
          <w:rFonts w:ascii="Arial" w:eastAsia="Times New Roman" w:hAnsi="Arial" w:cs="Arial"/>
          <w:bCs/>
          <w:i/>
          <w:sz w:val="24"/>
          <w:szCs w:val="24"/>
        </w:rPr>
        <w:t>: National Confidential Enquiry into Patient Outcome and Death</w:t>
      </w:r>
      <w:r w:rsidRPr="007A4AA1">
        <w:rPr>
          <w:rFonts w:ascii="Arial" w:eastAsia="Times New Roman" w:hAnsi="Arial" w:cs="Arial"/>
          <w:bCs/>
          <w:sz w:val="24"/>
          <w:szCs w:val="24"/>
        </w:rPr>
        <w:t>, 2009</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4: </w:t>
      </w:r>
      <w:proofErr w:type="spellStart"/>
      <w:r w:rsidRPr="007A4AA1">
        <w:rPr>
          <w:rFonts w:ascii="Arial" w:eastAsia="Times New Roman" w:hAnsi="Arial" w:cs="Arial"/>
          <w:bCs/>
          <w:sz w:val="24"/>
          <w:szCs w:val="24"/>
        </w:rPr>
        <w:t>Balasubramanian</w:t>
      </w:r>
      <w:proofErr w:type="spellEnd"/>
      <w:r w:rsidRPr="007A4AA1">
        <w:rPr>
          <w:rFonts w:ascii="Arial" w:eastAsia="Times New Roman" w:hAnsi="Arial" w:cs="Arial"/>
          <w:bCs/>
          <w:sz w:val="24"/>
          <w:szCs w:val="24"/>
        </w:rPr>
        <w:t xml:space="preserve"> G, Al-Aly Z, </w:t>
      </w:r>
      <w:proofErr w:type="spellStart"/>
      <w:r w:rsidRPr="007A4AA1">
        <w:rPr>
          <w:rFonts w:ascii="Arial" w:eastAsia="Times New Roman" w:hAnsi="Arial" w:cs="Arial"/>
          <w:bCs/>
          <w:sz w:val="24"/>
          <w:szCs w:val="24"/>
        </w:rPr>
        <w:t>Moiz</w:t>
      </w:r>
      <w:proofErr w:type="spellEnd"/>
      <w:r w:rsidRPr="007A4AA1">
        <w:rPr>
          <w:rFonts w:ascii="Arial" w:eastAsia="Times New Roman" w:hAnsi="Arial" w:cs="Arial"/>
          <w:bCs/>
          <w:sz w:val="24"/>
          <w:szCs w:val="24"/>
        </w:rPr>
        <w:t xml:space="preserve"> A, </w:t>
      </w:r>
      <w:proofErr w:type="spellStart"/>
      <w:r w:rsidRPr="007A4AA1">
        <w:rPr>
          <w:rFonts w:ascii="Arial" w:eastAsia="Times New Roman" w:hAnsi="Arial" w:cs="Arial"/>
          <w:bCs/>
          <w:sz w:val="24"/>
          <w:szCs w:val="24"/>
        </w:rPr>
        <w:t>Rauchman</w:t>
      </w:r>
      <w:proofErr w:type="spellEnd"/>
      <w:r w:rsidRPr="007A4AA1">
        <w:rPr>
          <w:rFonts w:ascii="Arial" w:eastAsia="Times New Roman" w:hAnsi="Arial" w:cs="Arial"/>
          <w:bCs/>
          <w:sz w:val="24"/>
          <w:szCs w:val="24"/>
        </w:rPr>
        <w:t xml:space="preserve"> M, Zhang Z, </w:t>
      </w:r>
      <w:proofErr w:type="spellStart"/>
      <w:r w:rsidRPr="007A4AA1">
        <w:rPr>
          <w:rFonts w:ascii="Arial" w:eastAsia="Times New Roman" w:hAnsi="Arial" w:cs="Arial"/>
          <w:bCs/>
          <w:sz w:val="24"/>
          <w:szCs w:val="24"/>
        </w:rPr>
        <w:t>Gopalakrishnan</w:t>
      </w:r>
      <w:proofErr w:type="spellEnd"/>
      <w:r w:rsidRPr="007A4AA1">
        <w:rPr>
          <w:rFonts w:ascii="Arial" w:eastAsia="Times New Roman" w:hAnsi="Arial" w:cs="Arial"/>
          <w:bCs/>
          <w:sz w:val="24"/>
          <w:szCs w:val="24"/>
        </w:rPr>
        <w:t xml:space="preserve"> </w:t>
      </w:r>
      <w:proofErr w:type="spellStart"/>
      <w:r w:rsidRPr="007A4AA1">
        <w:rPr>
          <w:rFonts w:ascii="Arial" w:eastAsia="Times New Roman" w:hAnsi="Arial" w:cs="Arial"/>
          <w:bCs/>
          <w:sz w:val="24"/>
          <w:szCs w:val="24"/>
        </w:rPr>
        <w:t>R,Balasubramanian</w:t>
      </w:r>
      <w:proofErr w:type="spellEnd"/>
      <w:r w:rsidRPr="007A4AA1">
        <w:rPr>
          <w:rFonts w:ascii="Arial" w:eastAsia="Times New Roman" w:hAnsi="Arial" w:cs="Arial"/>
          <w:bCs/>
          <w:sz w:val="24"/>
          <w:szCs w:val="24"/>
        </w:rPr>
        <w:t xml:space="preserve"> S, El-</w:t>
      </w:r>
      <w:proofErr w:type="spellStart"/>
      <w:r w:rsidRPr="007A4AA1">
        <w:rPr>
          <w:rFonts w:ascii="Arial" w:eastAsia="Times New Roman" w:hAnsi="Arial" w:cs="Arial"/>
          <w:bCs/>
          <w:sz w:val="24"/>
          <w:szCs w:val="24"/>
        </w:rPr>
        <w:t>Achkar</w:t>
      </w:r>
      <w:proofErr w:type="spellEnd"/>
      <w:r w:rsidRPr="007A4AA1">
        <w:rPr>
          <w:rFonts w:ascii="Arial" w:eastAsia="Times New Roman" w:hAnsi="Arial" w:cs="Arial"/>
          <w:bCs/>
          <w:sz w:val="24"/>
          <w:szCs w:val="24"/>
        </w:rPr>
        <w:t xml:space="preserve"> TM. Early nephrologist involvement in hospital-acquired acute kidney injury: a pilot study. </w:t>
      </w:r>
      <w:r w:rsidRPr="007A4AA1">
        <w:rPr>
          <w:rFonts w:ascii="Arial" w:eastAsia="Times New Roman" w:hAnsi="Arial" w:cs="Arial"/>
          <w:bCs/>
          <w:i/>
          <w:sz w:val="24"/>
          <w:szCs w:val="24"/>
        </w:rPr>
        <w:t>Am J Kidney Dis</w:t>
      </w:r>
      <w:r w:rsidRPr="007A4AA1">
        <w:rPr>
          <w:rFonts w:ascii="Arial" w:eastAsia="Times New Roman" w:hAnsi="Arial" w:cs="Arial"/>
          <w:bCs/>
          <w:sz w:val="24"/>
          <w:szCs w:val="24"/>
        </w:rPr>
        <w:t>. 2011; 57(2):228-34.</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5: NHS England: Acute Kidney Injury (AKI) Programme. 2014.  </w:t>
      </w:r>
      <w:hyperlink r:id="rId13" w:history="1">
        <w:r w:rsidRPr="00DE362B">
          <w:rPr>
            <w:rFonts w:ascii="Arial" w:eastAsia="Times New Roman" w:hAnsi="Arial" w:cs="Arial"/>
            <w:bCs/>
            <w:color w:val="0070C0"/>
            <w:sz w:val="24"/>
            <w:szCs w:val="24"/>
            <w:u w:val="single"/>
          </w:rPr>
          <w:t>http://www.england.nhs.uk/ourwork/patientsafety/akiprogramme/</w:t>
        </w:r>
      </w:hyperlink>
      <w:r w:rsidRPr="007A4AA1">
        <w:rPr>
          <w:rFonts w:ascii="Arial" w:eastAsia="Times New Roman" w:hAnsi="Arial" w:cs="Arial"/>
          <w:bCs/>
          <w:sz w:val="24"/>
          <w:szCs w:val="24"/>
        </w:rPr>
        <w:t xml:space="preserve"> </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lastRenderedPageBreak/>
        <w:t>6: National Institute for Health and Care Excellence Acute kidney injury: NICE Guidance CG169. London: National Institute for Health and Care Excellence, 2013</w:t>
      </w:r>
    </w:p>
    <w:p w:rsidR="007A4AA1" w:rsidRPr="007A4AA1" w:rsidRDefault="007A4AA1" w:rsidP="007A4AA1">
      <w:pPr>
        <w:spacing w:after="0" w:line="240" w:lineRule="auto"/>
        <w:jc w:val="both"/>
        <w:rPr>
          <w:rFonts w:ascii="Arial" w:eastAsia="Times New Roman" w:hAnsi="Arial" w:cs="Arial"/>
          <w:bCs/>
          <w:sz w:val="24"/>
          <w:szCs w:val="24"/>
        </w:rPr>
      </w:pPr>
      <w:r w:rsidRPr="007A4AA1">
        <w:rPr>
          <w:rFonts w:ascii="Arial" w:eastAsia="Times New Roman" w:hAnsi="Arial" w:cs="Arial"/>
          <w:bCs/>
          <w:sz w:val="24"/>
          <w:szCs w:val="24"/>
        </w:rPr>
        <w:t xml:space="preserve">7: </w:t>
      </w:r>
      <w:proofErr w:type="spellStart"/>
      <w:r w:rsidRPr="007A4AA1">
        <w:rPr>
          <w:rFonts w:ascii="Arial" w:eastAsia="Times New Roman" w:hAnsi="Arial" w:cs="Arial"/>
          <w:bCs/>
          <w:sz w:val="24"/>
          <w:szCs w:val="24"/>
        </w:rPr>
        <w:t>Lewington</w:t>
      </w:r>
      <w:proofErr w:type="spellEnd"/>
      <w:r w:rsidRPr="007A4AA1">
        <w:rPr>
          <w:rFonts w:ascii="Arial" w:eastAsia="Times New Roman" w:hAnsi="Arial" w:cs="Arial"/>
          <w:bCs/>
          <w:sz w:val="24"/>
          <w:szCs w:val="24"/>
        </w:rPr>
        <w:t xml:space="preserve"> A, </w:t>
      </w:r>
      <w:proofErr w:type="spellStart"/>
      <w:r w:rsidRPr="007A4AA1">
        <w:rPr>
          <w:rFonts w:ascii="Arial" w:eastAsia="Times New Roman" w:hAnsi="Arial" w:cs="Arial"/>
          <w:bCs/>
          <w:sz w:val="24"/>
          <w:szCs w:val="24"/>
        </w:rPr>
        <w:t>Kanagasundaram</w:t>
      </w:r>
      <w:proofErr w:type="spellEnd"/>
      <w:r w:rsidRPr="007A4AA1">
        <w:rPr>
          <w:rFonts w:ascii="Arial" w:eastAsia="Times New Roman" w:hAnsi="Arial" w:cs="Arial"/>
          <w:bCs/>
          <w:sz w:val="24"/>
          <w:szCs w:val="24"/>
        </w:rPr>
        <w:t xml:space="preserve"> S. 2011. </w:t>
      </w:r>
      <w:proofErr w:type="gramStart"/>
      <w:r w:rsidRPr="007A4AA1">
        <w:rPr>
          <w:rFonts w:ascii="Arial" w:eastAsia="Times New Roman" w:hAnsi="Arial" w:cs="Arial"/>
          <w:bCs/>
          <w:sz w:val="24"/>
          <w:szCs w:val="24"/>
        </w:rPr>
        <w:t>Acute kidney injury; Renal Association guidelines.</w:t>
      </w:r>
      <w:proofErr w:type="gramEnd"/>
      <w:r w:rsidRPr="007A4AA1">
        <w:rPr>
          <w:rFonts w:ascii="Arial" w:eastAsia="Times New Roman" w:hAnsi="Arial" w:cs="Arial"/>
          <w:bCs/>
          <w:sz w:val="24"/>
          <w:szCs w:val="24"/>
        </w:rPr>
        <w:t xml:space="preserve"> </w:t>
      </w:r>
      <w:proofErr w:type="gramStart"/>
      <w:r w:rsidRPr="007A4AA1">
        <w:rPr>
          <w:rFonts w:ascii="Arial" w:eastAsia="Times New Roman" w:hAnsi="Arial" w:cs="Arial"/>
          <w:bCs/>
          <w:sz w:val="24"/>
          <w:szCs w:val="24"/>
        </w:rPr>
        <w:t>Secondary acute kidney injury; Renal Association guidelines.</w:t>
      </w:r>
      <w:proofErr w:type="gramEnd"/>
      <w:r w:rsidRPr="00DE362B">
        <w:rPr>
          <w:rFonts w:ascii="Arial" w:eastAsia="Times New Roman" w:hAnsi="Arial" w:cs="Arial"/>
          <w:bCs/>
          <w:color w:val="0070C0"/>
          <w:sz w:val="24"/>
          <w:szCs w:val="24"/>
        </w:rPr>
        <w:t xml:space="preserve"> </w:t>
      </w:r>
      <w:hyperlink r:id="rId14" w:history="1">
        <w:r w:rsidRPr="00DE362B">
          <w:rPr>
            <w:rFonts w:ascii="Arial" w:eastAsia="Times New Roman" w:hAnsi="Arial" w:cs="Arial"/>
            <w:bCs/>
            <w:color w:val="0070C0"/>
            <w:sz w:val="24"/>
            <w:szCs w:val="24"/>
            <w:u w:val="single"/>
          </w:rPr>
          <w:t>http://www.renal.org/clinical/guidelinessection/AcuteKidneyInjury.aspx</w:t>
        </w:r>
      </w:hyperlink>
      <w:r w:rsidRPr="007A4AA1">
        <w:rPr>
          <w:rFonts w:ascii="Arial" w:eastAsia="Times New Roman" w:hAnsi="Arial" w:cs="Arial"/>
          <w:bCs/>
          <w:sz w:val="24"/>
          <w:szCs w:val="24"/>
        </w:rPr>
        <w:t xml:space="preserve">. </w:t>
      </w:r>
    </w:p>
    <w:p w:rsidR="007A4AA1" w:rsidRPr="00DE362B" w:rsidRDefault="007A4AA1" w:rsidP="007A4AA1">
      <w:pPr>
        <w:spacing w:after="0" w:line="240" w:lineRule="auto"/>
        <w:jc w:val="both"/>
        <w:rPr>
          <w:rFonts w:ascii="Arial" w:eastAsia="Times New Roman" w:hAnsi="Arial" w:cs="Arial"/>
          <w:bCs/>
          <w:color w:val="0070C0"/>
          <w:sz w:val="24"/>
          <w:szCs w:val="24"/>
        </w:rPr>
      </w:pPr>
      <w:r w:rsidRPr="007A4AA1">
        <w:rPr>
          <w:rFonts w:ascii="Arial" w:eastAsia="Times New Roman" w:hAnsi="Arial" w:cs="Arial"/>
          <w:bCs/>
          <w:sz w:val="24"/>
          <w:szCs w:val="24"/>
        </w:rPr>
        <w:t>8: International Society of Nephrology: 0-by-25 campaign. 2014</w:t>
      </w:r>
      <w:r w:rsidRPr="00DE362B">
        <w:rPr>
          <w:rFonts w:ascii="Arial" w:eastAsia="Times New Roman" w:hAnsi="Arial" w:cs="Arial"/>
          <w:bCs/>
          <w:color w:val="0070C0"/>
          <w:sz w:val="24"/>
          <w:szCs w:val="24"/>
        </w:rPr>
        <w:t xml:space="preserve">. </w:t>
      </w:r>
      <w:hyperlink r:id="rId15" w:history="1">
        <w:r w:rsidRPr="00DE362B">
          <w:rPr>
            <w:rFonts w:ascii="Arial" w:eastAsia="Times New Roman" w:hAnsi="Arial" w:cs="Arial"/>
            <w:bCs/>
            <w:color w:val="0070C0"/>
            <w:sz w:val="24"/>
            <w:szCs w:val="24"/>
            <w:u w:val="single"/>
          </w:rPr>
          <w:t>http://www.theisn.org/isn-information/0-by-25-initiative/all/itemid-1370</w:t>
        </w:r>
      </w:hyperlink>
      <w:r w:rsidRPr="00DE362B">
        <w:rPr>
          <w:rFonts w:ascii="Arial" w:eastAsia="Times New Roman" w:hAnsi="Arial" w:cs="Arial"/>
          <w:bCs/>
          <w:color w:val="0070C0"/>
          <w:sz w:val="24"/>
          <w:szCs w:val="24"/>
        </w:rPr>
        <w:t xml:space="preserve"> </w:t>
      </w:r>
    </w:p>
    <w:p w:rsidR="007A4AA1" w:rsidRPr="007A4AA1" w:rsidRDefault="007A4AA1" w:rsidP="007A4AA1">
      <w:pPr>
        <w:autoSpaceDE w:val="0"/>
        <w:autoSpaceDN w:val="0"/>
        <w:adjustRightInd w:val="0"/>
        <w:spacing w:after="0" w:line="240" w:lineRule="auto"/>
        <w:rPr>
          <w:rFonts w:ascii="Arial" w:eastAsia="Times New Roman" w:hAnsi="Arial" w:cs="Arial"/>
          <w:bCs/>
          <w:sz w:val="24"/>
          <w:szCs w:val="24"/>
          <w:lang w:eastAsia="en-GB"/>
        </w:rPr>
      </w:pPr>
      <w:r w:rsidRPr="007A4AA1">
        <w:rPr>
          <w:rFonts w:ascii="Arial" w:eastAsia="Times New Roman" w:hAnsi="Arial" w:cs="Arial"/>
          <w:bCs/>
          <w:sz w:val="24"/>
          <w:szCs w:val="24"/>
        </w:rPr>
        <w:t xml:space="preserve">9:  </w:t>
      </w:r>
      <w:r w:rsidRPr="007A4AA1">
        <w:rPr>
          <w:rFonts w:ascii="Arial" w:eastAsia="Times New Roman" w:hAnsi="Arial" w:cs="Arial"/>
          <w:bCs/>
          <w:sz w:val="24"/>
          <w:szCs w:val="24"/>
          <w:lang w:eastAsia="en-GB"/>
        </w:rPr>
        <w:t xml:space="preserve">Abraham A, Craig A, Gallagher H, Greaves A, Loud F, Macdonald J, Nation M, Rose T, de Sousa M, Wall C, Wells L. Kidney Health: Delivering Excellence. </w:t>
      </w:r>
      <w:r w:rsidRPr="007A4AA1">
        <w:rPr>
          <w:rFonts w:ascii="Arial" w:eastAsia="Times New Roman" w:hAnsi="Arial" w:cs="Arial"/>
          <w:bCs/>
          <w:i/>
          <w:sz w:val="24"/>
          <w:szCs w:val="24"/>
          <w:lang w:eastAsia="en-GB"/>
        </w:rPr>
        <w:t>Kidney Health Advisory Group,</w:t>
      </w:r>
      <w:r w:rsidRPr="007A4AA1">
        <w:rPr>
          <w:rFonts w:ascii="Arial" w:eastAsia="Times New Roman" w:hAnsi="Arial" w:cs="Arial"/>
          <w:bCs/>
          <w:sz w:val="24"/>
          <w:szCs w:val="24"/>
          <w:lang w:eastAsia="en-GB"/>
        </w:rPr>
        <w:t xml:space="preserve"> 2013.</w:t>
      </w:r>
    </w:p>
    <w:p w:rsidR="007A4AA1" w:rsidRPr="007A4AA1" w:rsidRDefault="007A4AA1" w:rsidP="007A4AA1">
      <w:pPr>
        <w:autoSpaceDE w:val="0"/>
        <w:autoSpaceDN w:val="0"/>
        <w:adjustRightInd w:val="0"/>
        <w:spacing w:after="0" w:line="240" w:lineRule="auto"/>
        <w:rPr>
          <w:rFonts w:ascii="Arial" w:eastAsia="Times New Roman" w:hAnsi="Arial" w:cs="Arial"/>
          <w:bCs/>
          <w:sz w:val="24"/>
          <w:szCs w:val="24"/>
          <w:lang w:val="en-US" w:eastAsia="en-GB"/>
        </w:rPr>
      </w:pPr>
      <w:r w:rsidRPr="007A4AA1">
        <w:rPr>
          <w:rFonts w:ascii="Arial" w:eastAsia="Times New Roman" w:hAnsi="Arial" w:cs="Arial"/>
          <w:bCs/>
          <w:sz w:val="24"/>
          <w:szCs w:val="24"/>
          <w:lang w:eastAsia="en-GB"/>
        </w:rPr>
        <w:t xml:space="preserve">10: </w:t>
      </w:r>
      <w:r w:rsidRPr="007A4AA1">
        <w:rPr>
          <w:rFonts w:ascii="Arial" w:eastAsia="Times New Roman" w:hAnsi="Arial" w:cs="Arial"/>
          <w:bCs/>
          <w:sz w:val="24"/>
          <w:szCs w:val="24"/>
          <w:lang w:val="en-US" w:eastAsia="en-GB"/>
        </w:rPr>
        <w:t>Am J Kidney Dis. 2015 Feb</w:t>
      </w:r>
      <w:proofErr w:type="gramStart"/>
      <w:r w:rsidRPr="007A4AA1">
        <w:rPr>
          <w:rFonts w:ascii="Arial" w:eastAsia="Times New Roman" w:hAnsi="Arial" w:cs="Arial"/>
          <w:bCs/>
          <w:sz w:val="24"/>
          <w:szCs w:val="24"/>
          <w:lang w:val="en-US" w:eastAsia="en-GB"/>
        </w:rPr>
        <w:t>;65</w:t>
      </w:r>
      <w:proofErr w:type="gramEnd"/>
      <w:r w:rsidRPr="007A4AA1">
        <w:rPr>
          <w:rFonts w:ascii="Arial" w:eastAsia="Times New Roman" w:hAnsi="Arial" w:cs="Arial"/>
          <w:bCs/>
          <w:sz w:val="24"/>
          <w:szCs w:val="24"/>
          <w:lang w:val="en-US" w:eastAsia="en-GB"/>
        </w:rPr>
        <w:t xml:space="preserve">(2):275-82. </w:t>
      </w:r>
      <w:proofErr w:type="spellStart"/>
      <w:proofErr w:type="gramStart"/>
      <w:r w:rsidRPr="007A4AA1">
        <w:rPr>
          <w:rFonts w:ascii="Arial" w:eastAsia="Times New Roman" w:hAnsi="Arial" w:cs="Arial"/>
          <w:bCs/>
          <w:sz w:val="24"/>
          <w:szCs w:val="24"/>
          <w:lang w:val="en-US" w:eastAsia="en-GB"/>
        </w:rPr>
        <w:t>doi</w:t>
      </w:r>
      <w:proofErr w:type="spellEnd"/>
      <w:proofErr w:type="gramEnd"/>
      <w:r w:rsidRPr="007A4AA1">
        <w:rPr>
          <w:rFonts w:ascii="Arial" w:eastAsia="Times New Roman" w:hAnsi="Arial" w:cs="Arial"/>
          <w:bCs/>
          <w:sz w:val="24"/>
          <w:szCs w:val="24"/>
          <w:lang w:val="en-US" w:eastAsia="en-GB"/>
        </w:rPr>
        <w:t xml:space="preserve">: 10.1053/j.ajkd.2014.08.024. Hospital-acquired acute kidney injury and hospital readmission: a cohort study. </w:t>
      </w:r>
      <w:proofErr w:type="spellStart"/>
      <w:proofErr w:type="gramStart"/>
      <w:r w:rsidRPr="007A4AA1">
        <w:rPr>
          <w:rFonts w:ascii="Arial" w:eastAsia="Times New Roman" w:hAnsi="Arial" w:cs="Arial"/>
          <w:bCs/>
          <w:sz w:val="24"/>
          <w:szCs w:val="24"/>
          <w:lang w:val="en-US" w:eastAsia="en-GB"/>
        </w:rPr>
        <w:t>Koulouridis</w:t>
      </w:r>
      <w:proofErr w:type="spellEnd"/>
      <w:r w:rsidRPr="007A4AA1">
        <w:rPr>
          <w:rFonts w:ascii="Arial" w:eastAsia="Times New Roman" w:hAnsi="Arial" w:cs="Arial"/>
          <w:bCs/>
          <w:sz w:val="24"/>
          <w:szCs w:val="24"/>
          <w:lang w:val="en-US" w:eastAsia="en-GB"/>
        </w:rPr>
        <w:t xml:space="preserve"> I, Price LL, </w:t>
      </w:r>
      <w:proofErr w:type="spellStart"/>
      <w:r w:rsidRPr="007A4AA1">
        <w:rPr>
          <w:rFonts w:ascii="Arial" w:eastAsia="Times New Roman" w:hAnsi="Arial" w:cs="Arial"/>
          <w:bCs/>
          <w:sz w:val="24"/>
          <w:szCs w:val="24"/>
          <w:lang w:val="en-US" w:eastAsia="en-GB"/>
        </w:rPr>
        <w:t>Madias</w:t>
      </w:r>
      <w:proofErr w:type="spellEnd"/>
      <w:r w:rsidRPr="007A4AA1">
        <w:rPr>
          <w:rFonts w:ascii="Arial" w:eastAsia="Times New Roman" w:hAnsi="Arial" w:cs="Arial"/>
          <w:bCs/>
          <w:sz w:val="24"/>
          <w:szCs w:val="24"/>
          <w:lang w:val="en-US" w:eastAsia="en-GB"/>
        </w:rPr>
        <w:t xml:space="preserve"> NE, </w:t>
      </w:r>
      <w:proofErr w:type="spellStart"/>
      <w:r w:rsidRPr="007A4AA1">
        <w:rPr>
          <w:rFonts w:ascii="Arial" w:eastAsia="Times New Roman" w:hAnsi="Arial" w:cs="Arial"/>
          <w:bCs/>
          <w:sz w:val="24"/>
          <w:szCs w:val="24"/>
          <w:lang w:val="en-US" w:eastAsia="en-GB"/>
        </w:rPr>
        <w:t>Jaber</w:t>
      </w:r>
      <w:proofErr w:type="spellEnd"/>
      <w:r w:rsidRPr="007A4AA1">
        <w:rPr>
          <w:rFonts w:ascii="Arial" w:eastAsia="Times New Roman" w:hAnsi="Arial" w:cs="Arial"/>
          <w:bCs/>
          <w:sz w:val="24"/>
          <w:szCs w:val="24"/>
          <w:lang w:val="en-US" w:eastAsia="en-GB"/>
        </w:rPr>
        <w:t xml:space="preserve"> BL.</w:t>
      </w:r>
      <w:proofErr w:type="gramEnd"/>
    </w:p>
    <w:p w:rsidR="00240645" w:rsidRPr="007560B8" w:rsidRDefault="007A4AA1" w:rsidP="007560B8">
      <w:pPr>
        <w:autoSpaceDE w:val="0"/>
        <w:autoSpaceDN w:val="0"/>
        <w:adjustRightInd w:val="0"/>
        <w:spacing w:after="0" w:line="240" w:lineRule="auto"/>
        <w:rPr>
          <w:rFonts w:ascii="Arial" w:eastAsia="Times New Roman" w:hAnsi="Arial" w:cs="Arial"/>
          <w:bCs/>
          <w:sz w:val="24"/>
          <w:szCs w:val="24"/>
          <w:lang w:eastAsia="en-GB"/>
        </w:rPr>
      </w:pPr>
      <w:r w:rsidRPr="007A4AA1">
        <w:rPr>
          <w:rFonts w:ascii="Arial" w:eastAsia="Times New Roman" w:hAnsi="Arial" w:cs="Arial"/>
          <w:bCs/>
          <w:sz w:val="24"/>
          <w:szCs w:val="24"/>
          <w:lang w:eastAsia="en-GB"/>
        </w:rPr>
        <w:t xml:space="preserve">11: </w:t>
      </w:r>
      <w:r w:rsidRPr="007A4AA1">
        <w:rPr>
          <w:rFonts w:ascii="Arial" w:eastAsia="Times New Roman" w:hAnsi="Arial" w:cs="Arial"/>
          <w:bCs/>
          <w:sz w:val="24"/>
          <w:szCs w:val="24"/>
          <w:lang w:val="en-US" w:eastAsia="en-GB"/>
        </w:rPr>
        <w:t xml:space="preserve">Acute Kidney Injury and Chronic Kidney Disease as Interconnected Syndromes </w:t>
      </w:r>
      <w:proofErr w:type="spellStart"/>
      <w:r w:rsidRPr="007A4AA1">
        <w:rPr>
          <w:rFonts w:ascii="Arial" w:eastAsia="Times New Roman" w:hAnsi="Arial" w:cs="Arial"/>
          <w:bCs/>
          <w:sz w:val="24"/>
          <w:szCs w:val="24"/>
          <w:lang w:val="en-US" w:eastAsia="en-GB"/>
        </w:rPr>
        <w:t>Lakhmir</w:t>
      </w:r>
      <w:proofErr w:type="spellEnd"/>
      <w:r w:rsidRPr="007A4AA1">
        <w:rPr>
          <w:rFonts w:ascii="Arial" w:eastAsia="Times New Roman" w:hAnsi="Arial" w:cs="Arial"/>
          <w:bCs/>
          <w:sz w:val="24"/>
          <w:szCs w:val="24"/>
          <w:lang w:val="en-US" w:eastAsia="en-GB"/>
        </w:rPr>
        <w:t xml:space="preserve"> S. Chawla, M.D., Paul W. Eggers, Ph.D., Robert A. Star, M.D., and Paul L. Kimmel, M.D. N Engl J Med 2014; 371:58-66</w:t>
      </w:r>
      <w:bookmarkStart w:id="88" w:name="_Toc444087416"/>
      <w:bookmarkStart w:id="89" w:name="_Toc445216792"/>
      <w:r w:rsidR="00240645">
        <w:br w:type="page"/>
      </w:r>
    </w:p>
    <w:p w:rsidR="00240645" w:rsidRPr="00F91F33" w:rsidRDefault="00240645" w:rsidP="00240645">
      <w:pPr>
        <w:pStyle w:val="Heading1"/>
        <w:keepNext w:val="0"/>
        <w:keepLines w:val="0"/>
        <w:tabs>
          <w:tab w:val="num" w:pos="360"/>
        </w:tabs>
        <w:spacing w:before="0" w:line="240" w:lineRule="auto"/>
      </w:pPr>
      <w:bookmarkStart w:id="90" w:name="_Toc446331275"/>
      <w:r>
        <w:lastRenderedPageBreak/>
        <w:t xml:space="preserve">25. </w:t>
      </w:r>
      <w:r w:rsidRPr="00F91F33">
        <w:t>Cancer 62 Day Waits</w:t>
      </w:r>
      <w:bookmarkEnd w:id="88"/>
      <w:bookmarkEnd w:id="89"/>
      <w:bookmarkEnd w:id="90"/>
    </w:p>
    <w:p w:rsidR="00240645" w:rsidRDefault="00240645" w:rsidP="00240645">
      <w:pPr>
        <w:spacing w:after="0" w:line="240" w:lineRule="auto"/>
        <w:rPr>
          <w:rFonts w:ascii="Arial" w:eastAsia="Times New Roman" w:hAnsi="Arial" w:cs="Times New Roman"/>
          <w:b/>
          <w:bCs/>
          <w:sz w:val="32"/>
          <w:szCs w:val="32"/>
        </w:rPr>
      </w:pPr>
    </w:p>
    <w:p w:rsidR="00240645" w:rsidRPr="00E509E2" w:rsidRDefault="00240645" w:rsidP="00240645">
      <w:pPr>
        <w:spacing w:after="0" w:line="240" w:lineRule="auto"/>
        <w:rPr>
          <w:rFonts w:ascii="Arial" w:eastAsia="Times New Roman" w:hAnsi="Arial" w:cs="Times New Roman"/>
          <w:bCs/>
        </w:rPr>
      </w:pPr>
    </w:p>
    <w:p w:rsidR="00240645" w:rsidRPr="00E509E2" w:rsidRDefault="00240645" w:rsidP="00240645">
      <w:pPr>
        <w:spacing w:after="0" w:line="240" w:lineRule="auto"/>
        <w:outlineLvl w:val="0"/>
        <w:rPr>
          <w:rFonts w:ascii="Arial" w:eastAsia="Times New Roman" w:hAnsi="Arial" w:cs="Arial"/>
          <w:b/>
          <w:bCs/>
          <w:color w:val="0072C6"/>
          <w:kern w:val="32"/>
          <w:sz w:val="32"/>
          <w:szCs w:val="32"/>
        </w:rPr>
      </w:pPr>
      <w:bookmarkStart w:id="91" w:name="_Toc443663895"/>
      <w:bookmarkStart w:id="92" w:name="_Toc444087417"/>
      <w:bookmarkStart w:id="93" w:name="_Toc444089021"/>
      <w:bookmarkStart w:id="94" w:name="_Toc445216793"/>
      <w:bookmarkStart w:id="95" w:name="_Toc446331276"/>
      <w:r>
        <w:rPr>
          <w:rFonts w:ascii="Arial" w:eastAsia="Times New Roman" w:hAnsi="Arial" w:cs="Arial"/>
          <w:b/>
          <w:bCs/>
          <w:color w:val="0072C6"/>
          <w:kern w:val="32"/>
          <w:sz w:val="32"/>
          <w:szCs w:val="32"/>
        </w:rPr>
        <w:t>Note on CQUIN indicator</w:t>
      </w:r>
      <w:bookmarkEnd w:id="91"/>
      <w:bookmarkEnd w:id="92"/>
      <w:bookmarkEnd w:id="93"/>
      <w:bookmarkEnd w:id="94"/>
      <w:bookmarkEnd w:id="95"/>
    </w:p>
    <w:p w:rsidR="00240645" w:rsidRPr="00E509E2" w:rsidRDefault="00240645" w:rsidP="00240645">
      <w:pPr>
        <w:spacing w:after="0" w:line="240" w:lineRule="auto"/>
        <w:rPr>
          <w:rFonts w:ascii="Arial" w:eastAsia="Times New Roman" w:hAnsi="Arial" w:cs="Times New Roman"/>
          <w:bCs/>
          <w:sz w:val="24"/>
          <w:szCs w:val="26"/>
        </w:rPr>
      </w:pPr>
    </w:p>
    <w:p w:rsidR="00240645" w:rsidRPr="00E509E2" w:rsidRDefault="00240645" w:rsidP="00240645">
      <w:pPr>
        <w:spacing w:after="0" w:line="240" w:lineRule="auto"/>
        <w:rPr>
          <w:rFonts w:ascii="Arial" w:eastAsia="Times New Roman" w:hAnsi="Arial" w:cs="Times New Roman"/>
          <w:bCs/>
          <w:sz w:val="24"/>
          <w:szCs w:val="26"/>
        </w:rPr>
      </w:pPr>
    </w:p>
    <w:tbl>
      <w:tblPr>
        <w:tblW w:w="14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7"/>
        <w:gridCol w:w="5332"/>
        <w:gridCol w:w="3402"/>
        <w:gridCol w:w="3261"/>
      </w:tblGrid>
      <w:tr w:rsidR="00240645" w:rsidRPr="00E509E2" w:rsidTr="007560B8">
        <w:tc>
          <w:tcPr>
            <w:tcW w:w="2147" w:type="dxa"/>
            <w:shd w:val="clear" w:color="auto" w:fill="0070C0"/>
          </w:tcPr>
          <w:p w:rsidR="00240645" w:rsidRPr="00E509E2" w:rsidRDefault="00240645" w:rsidP="007560B8">
            <w:pPr>
              <w:spacing w:after="0" w:line="240" w:lineRule="auto"/>
              <w:jc w:val="center"/>
              <w:rPr>
                <w:rFonts w:ascii="Arial" w:eastAsia="Times New Roman" w:hAnsi="Arial" w:cs="Arial"/>
                <w:b/>
                <w:bCs/>
                <w:color w:val="FFFFFF"/>
                <w:sz w:val="24"/>
                <w:szCs w:val="24"/>
              </w:rPr>
            </w:pPr>
            <w:r w:rsidRPr="00E509E2">
              <w:rPr>
                <w:rFonts w:ascii="Arial" w:eastAsia="Times New Roman" w:hAnsi="Arial" w:cs="Arial"/>
                <w:bCs/>
                <w:color w:val="FFFFFF"/>
                <w:sz w:val="24"/>
                <w:szCs w:val="24"/>
              </w:rPr>
              <w:br w:type="page"/>
            </w:r>
            <w:r w:rsidRPr="00E509E2">
              <w:rPr>
                <w:rFonts w:ascii="Arial" w:eastAsia="Times New Roman" w:hAnsi="Arial" w:cs="Arial"/>
                <w:b/>
                <w:bCs/>
                <w:color w:val="FFFFFF"/>
                <w:sz w:val="24"/>
                <w:szCs w:val="24"/>
              </w:rPr>
              <w:t>National CQUIN</w:t>
            </w:r>
          </w:p>
        </w:tc>
        <w:tc>
          <w:tcPr>
            <w:tcW w:w="5332" w:type="dxa"/>
            <w:shd w:val="clear" w:color="auto" w:fill="0070C0"/>
          </w:tcPr>
          <w:p w:rsidR="00240645" w:rsidRPr="00E509E2" w:rsidRDefault="00240645" w:rsidP="007560B8">
            <w:pPr>
              <w:spacing w:after="0" w:line="240" w:lineRule="auto"/>
              <w:jc w:val="center"/>
              <w:rPr>
                <w:rFonts w:ascii="Arial" w:eastAsia="Times New Roman" w:hAnsi="Arial" w:cs="Arial"/>
                <w:b/>
                <w:bCs/>
                <w:color w:val="FFFFFF"/>
                <w:sz w:val="24"/>
                <w:szCs w:val="24"/>
              </w:rPr>
            </w:pPr>
            <w:r w:rsidRPr="00E509E2">
              <w:rPr>
                <w:rFonts w:ascii="Arial" w:eastAsia="Times New Roman" w:hAnsi="Arial" w:cs="Arial"/>
                <w:b/>
                <w:bCs/>
                <w:color w:val="FFFFFF"/>
                <w:sz w:val="24"/>
                <w:szCs w:val="24"/>
              </w:rPr>
              <w:t>Indicator</w:t>
            </w:r>
          </w:p>
        </w:tc>
        <w:tc>
          <w:tcPr>
            <w:tcW w:w="3402" w:type="dxa"/>
            <w:shd w:val="clear" w:color="auto" w:fill="0070C0"/>
          </w:tcPr>
          <w:p w:rsidR="00240645" w:rsidRPr="00E509E2" w:rsidRDefault="00240645" w:rsidP="007560B8">
            <w:pPr>
              <w:spacing w:after="0" w:line="240" w:lineRule="auto"/>
              <w:jc w:val="center"/>
              <w:rPr>
                <w:rFonts w:ascii="Arial" w:eastAsia="Times New Roman" w:hAnsi="Arial" w:cs="Arial"/>
                <w:b/>
                <w:color w:val="FFFFFF"/>
                <w:sz w:val="24"/>
                <w:szCs w:val="24"/>
                <w:lang w:val="en-US"/>
              </w:rPr>
            </w:pPr>
            <w:r w:rsidRPr="00E509E2">
              <w:rPr>
                <w:rFonts w:ascii="Arial" w:eastAsia="Times New Roman" w:hAnsi="Arial" w:cs="Arial"/>
                <w:b/>
                <w:color w:val="FFFFFF"/>
                <w:sz w:val="24"/>
                <w:szCs w:val="24"/>
                <w:lang w:val="en-US"/>
              </w:rPr>
              <w:t>Indicator weighting (% of CQUIN scheme available)</w:t>
            </w:r>
          </w:p>
          <w:p w:rsidR="00240645" w:rsidRPr="00E509E2" w:rsidRDefault="00240645" w:rsidP="007560B8">
            <w:pPr>
              <w:spacing w:after="0" w:line="240" w:lineRule="auto"/>
              <w:jc w:val="center"/>
              <w:rPr>
                <w:rFonts w:ascii="Arial" w:eastAsia="Times New Roman" w:hAnsi="Arial" w:cs="Arial"/>
                <w:b/>
                <w:bCs/>
                <w:color w:val="FFFFFF"/>
                <w:sz w:val="24"/>
                <w:szCs w:val="24"/>
              </w:rPr>
            </w:pPr>
          </w:p>
        </w:tc>
        <w:tc>
          <w:tcPr>
            <w:tcW w:w="3261" w:type="dxa"/>
            <w:shd w:val="clear" w:color="auto" w:fill="0070C0"/>
          </w:tcPr>
          <w:p w:rsidR="00240645" w:rsidRPr="00E509E2" w:rsidRDefault="00240645" w:rsidP="007560B8">
            <w:pPr>
              <w:spacing w:after="0" w:line="240" w:lineRule="auto"/>
              <w:jc w:val="center"/>
              <w:rPr>
                <w:rFonts w:ascii="Arial" w:eastAsia="Times New Roman" w:hAnsi="Arial" w:cs="Arial"/>
                <w:b/>
                <w:color w:val="FFFFFF"/>
                <w:sz w:val="24"/>
                <w:szCs w:val="24"/>
                <w:lang w:val="en-US"/>
              </w:rPr>
            </w:pPr>
            <w:r w:rsidRPr="00E509E2">
              <w:rPr>
                <w:rFonts w:ascii="Arial" w:eastAsia="Times New Roman" w:hAnsi="Arial" w:cs="Arial"/>
                <w:b/>
                <w:color w:val="FFFFFF"/>
                <w:sz w:val="24"/>
                <w:szCs w:val="24"/>
                <w:lang w:val="en-US"/>
              </w:rPr>
              <w:t>Value (£)</w:t>
            </w:r>
          </w:p>
        </w:tc>
      </w:tr>
      <w:tr w:rsidR="00240645" w:rsidRPr="00E509E2" w:rsidTr="007560B8">
        <w:trPr>
          <w:trHeight w:val="902"/>
        </w:trPr>
        <w:tc>
          <w:tcPr>
            <w:tcW w:w="2147" w:type="dxa"/>
            <w:shd w:val="clear" w:color="auto" w:fill="auto"/>
          </w:tcPr>
          <w:p w:rsidR="00240645" w:rsidRPr="00E509E2" w:rsidRDefault="00240645" w:rsidP="007560B8">
            <w:pPr>
              <w:spacing w:after="0" w:line="240" w:lineRule="auto"/>
              <w:rPr>
                <w:rFonts w:ascii="Arial" w:eastAsia="Times New Roman" w:hAnsi="Arial" w:cs="Arial"/>
                <w:bCs/>
                <w:sz w:val="24"/>
                <w:szCs w:val="24"/>
              </w:rPr>
            </w:pPr>
            <w:r>
              <w:rPr>
                <w:rFonts w:ascii="Arial" w:eastAsia="Times New Roman" w:hAnsi="Arial" w:cs="Arial"/>
                <w:bCs/>
                <w:sz w:val="24"/>
                <w:szCs w:val="24"/>
              </w:rPr>
              <w:t>CQUIN 25</w:t>
            </w:r>
            <w:r w:rsidRPr="00E509E2">
              <w:rPr>
                <w:rFonts w:ascii="Arial" w:eastAsia="Times New Roman" w:hAnsi="Arial" w:cs="Arial"/>
                <w:bCs/>
                <w:sz w:val="24"/>
                <w:szCs w:val="24"/>
              </w:rPr>
              <w:t>a</w:t>
            </w:r>
          </w:p>
          <w:p w:rsidR="00240645" w:rsidRPr="00E509E2" w:rsidRDefault="00240645" w:rsidP="007560B8">
            <w:pPr>
              <w:spacing w:after="0" w:line="240" w:lineRule="auto"/>
              <w:rPr>
                <w:rFonts w:ascii="Arial" w:eastAsia="Times New Roman" w:hAnsi="Arial" w:cs="Arial"/>
                <w:bCs/>
                <w:sz w:val="24"/>
                <w:szCs w:val="24"/>
              </w:rPr>
            </w:pPr>
            <w:r w:rsidRPr="00E509E2">
              <w:rPr>
                <w:rFonts w:ascii="Arial" w:eastAsia="Times New Roman" w:hAnsi="Arial" w:cs="Arial"/>
                <w:bCs/>
                <w:sz w:val="24"/>
                <w:szCs w:val="24"/>
              </w:rPr>
              <w:t xml:space="preserve"> </w:t>
            </w:r>
          </w:p>
        </w:tc>
        <w:tc>
          <w:tcPr>
            <w:tcW w:w="5332" w:type="dxa"/>
            <w:shd w:val="clear" w:color="auto" w:fill="auto"/>
          </w:tcPr>
          <w:p w:rsidR="00240645" w:rsidRPr="00B942E6" w:rsidRDefault="00240645" w:rsidP="007560B8">
            <w:pPr>
              <w:autoSpaceDE w:val="0"/>
              <w:autoSpaceDN w:val="0"/>
              <w:adjustRightInd w:val="0"/>
              <w:spacing w:after="0" w:line="240" w:lineRule="auto"/>
              <w:rPr>
                <w:rFonts w:ascii="Arial" w:eastAsia="HGSMinchoE" w:hAnsi="Arial" w:cs="Arial"/>
                <w:color w:val="000000"/>
                <w:sz w:val="23"/>
                <w:szCs w:val="23"/>
                <w:lang w:eastAsia="en-GB"/>
              </w:rPr>
            </w:pPr>
            <w:r w:rsidRPr="00E509E2">
              <w:rPr>
                <w:rFonts w:ascii="Arial" w:eastAsia="HGSMinchoE" w:hAnsi="Arial" w:cs="Arial"/>
                <w:color w:val="000000"/>
                <w:sz w:val="23"/>
                <w:szCs w:val="23"/>
                <w:lang w:eastAsia="en-GB"/>
              </w:rPr>
              <w:t>Urgent GP (GMP,GDP or Optometrist) referral for suspected cancer to first treatment (62 day classic)</w:t>
            </w:r>
            <w:r w:rsidRPr="00E509E2">
              <w:rPr>
                <w:rFonts w:ascii="Arial" w:eastAsia="HGSMinchoE" w:hAnsi="Arial" w:cs="Arial"/>
                <w:b/>
                <w:bCs/>
                <w:color w:val="000000"/>
                <w:sz w:val="23"/>
                <w:szCs w:val="23"/>
                <w:lang w:eastAsia="en-GB"/>
              </w:rPr>
              <w:t xml:space="preserve"> </w:t>
            </w:r>
          </w:p>
        </w:tc>
        <w:tc>
          <w:tcPr>
            <w:tcW w:w="3402" w:type="dxa"/>
            <w:shd w:val="clear" w:color="auto" w:fill="auto"/>
          </w:tcPr>
          <w:p w:rsidR="00240645" w:rsidRPr="00E509E2" w:rsidRDefault="00240645" w:rsidP="00240645">
            <w:pPr>
              <w:spacing w:after="0" w:line="240" w:lineRule="auto"/>
              <w:jc w:val="center"/>
              <w:rPr>
                <w:rFonts w:ascii="Arial" w:eastAsia="Times New Roman" w:hAnsi="Arial" w:cs="Arial"/>
                <w:bCs/>
                <w:sz w:val="24"/>
                <w:szCs w:val="24"/>
                <w:highlight w:val="yellow"/>
              </w:rPr>
            </w:pPr>
            <w:r>
              <w:rPr>
                <w:rFonts w:ascii="Arial" w:eastAsia="Times New Roman" w:hAnsi="Arial" w:cs="Arial"/>
                <w:bCs/>
                <w:sz w:val="24"/>
                <w:szCs w:val="24"/>
              </w:rPr>
              <w:t>80%</w:t>
            </w:r>
            <w:r w:rsidRPr="00E509E2">
              <w:rPr>
                <w:rFonts w:ascii="Arial" w:eastAsia="Times New Roman" w:hAnsi="Arial" w:cs="Arial"/>
                <w:bCs/>
                <w:sz w:val="24"/>
                <w:szCs w:val="24"/>
              </w:rPr>
              <w:t xml:space="preserve"> </w:t>
            </w:r>
          </w:p>
        </w:tc>
        <w:tc>
          <w:tcPr>
            <w:tcW w:w="3261" w:type="dxa"/>
            <w:shd w:val="clear" w:color="auto" w:fill="auto"/>
          </w:tcPr>
          <w:p w:rsidR="00240645" w:rsidRPr="00E509E2" w:rsidRDefault="00240645" w:rsidP="007560B8">
            <w:pPr>
              <w:spacing w:after="0" w:line="240" w:lineRule="auto"/>
              <w:jc w:val="center"/>
              <w:rPr>
                <w:rFonts w:ascii="Arial" w:eastAsia="Times New Roman" w:hAnsi="Arial" w:cs="Arial"/>
                <w:bCs/>
                <w:sz w:val="24"/>
                <w:szCs w:val="24"/>
              </w:rPr>
            </w:pPr>
          </w:p>
        </w:tc>
      </w:tr>
      <w:tr w:rsidR="00240645" w:rsidRPr="00E509E2" w:rsidTr="007560B8">
        <w:trPr>
          <w:trHeight w:val="535"/>
        </w:trPr>
        <w:tc>
          <w:tcPr>
            <w:tcW w:w="2147" w:type="dxa"/>
            <w:shd w:val="clear" w:color="auto" w:fill="auto"/>
          </w:tcPr>
          <w:p w:rsidR="00240645" w:rsidRPr="00E509E2" w:rsidRDefault="00240645" w:rsidP="007560B8">
            <w:pPr>
              <w:spacing w:after="0" w:line="240" w:lineRule="auto"/>
              <w:rPr>
                <w:rFonts w:ascii="Arial" w:eastAsia="Times New Roman" w:hAnsi="Arial" w:cs="Arial"/>
                <w:bCs/>
                <w:sz w:val="24"/>
                <w:szCs w:val="24"/>
              </w:rPr>
            </w:pPr>
            <w:r>
              <w:rPr>
                <w:rFonts w:ascii="Arial" w:eastAsia="Times New Roman" w:hAnsi="Arial" w:cs="Arial"/>
                <w:bCs/>
                <w:sz w:val="24"/>
                <w:szCs w:val="24"/>
              </w:rPr>
              <w:t>CQUIN 25b</w:t>
            </w:r>
          </w:p>
        </w:tc>
        <w:tc>
          <w:tcPr>
            <w:tcW w:w="5332" w:type="dxa"/>
            <w:shd w:val="clear" w:color="auto" w:fill="auto"/>
          </w:tcPr>
          <w:p w:rsidR="00240645" w:rsidRPr="00E509E2" w:rsidRDefault="00240645" w:rsidP="007560B8">
            <w:pPr>
              <w:spacing w:after="0" w:line="240" w:lineRule="auto"/>
              <w:rPr>
                <w:rFonts w:ascii="Arial" w:eastAsia="Times New Roman" w:hAnsi="Arial" w:cs="Arial"/>
                <w:color w:val="000000"/>
                <w:sz w:val="24"/>
                <w:szCs w:val="24"/>
                <w:lang w:val="en-US"/>
              </w:rPr>
            </w:pPr>
            <w:r w:rsidRPr="00E509E2">
              <w:rPr>
                <w:rFonts w:ascii="Arial" w:eastAsia="Times New Roman" w:hAnsi="Arial" w:cs="Arial"/>
                <w:color w:val="000000"/>
                <w:sz w:val="24"/>
                <w:szCs w:val="24"/>
                <w:lang w:val="en-US"/>
              </w:rPr>
              <w:t>Review of long waiters (&gt;104 days)</w:t>
            </w:r>
          </w:p>
        </w:tc>
        <w:tc>
          <w:tcPr>
            <w:tcW w:w="3402" w:type="dxa"/>
            <w:shd w:val="clear" w:color="auto" w:fill="auto"/>
          </w:tcPr>
          <w:p w:rsidR="00240645" w:rsidRPr="00E509E2" w:rsidRDefault="00240645" w:rsidP="00240645">
            <w:pPr>
              <w:spacing w:after="0" w:line="240" w:lineRule="auto"/>
              <w:jc w:val="center"/>
              <w:rPr>
                <w:rFonts w:ascii="Arial" w:eastAsia="Times New Roman" w:hAnsi="Arial" w:cs="Arial"/>
                <w:bCs/>
                <w:sz w:val="24"/>
                <w:szCs w:val="24"/>
                <w:highlight w:val="yellow"/>
              </w:rPr>
            </w:pPr>
            <w:r>
              <w:rPr>
                <w:rFonts w:ascii="Arial" w:eastAsia="Times New Roman" w:hAnsi="Arial" w:cs="Arial"/>
                <w:bCs/>
                <w:sz w:val="24"/>
                <w:szCs w:val="24"/>
              </w:rPr>
              <w:t>20%</w:t>
            </w:r>
            <w:r w:rsidRPr="00E509E2">
              <w:rPr>
                <w:rFonts w:ascii="Arial" w:eastAsia="Times New Roman" w:hAnsi="Arial" w:cs="Arial"/>
                <w:bCs/>
                <w:sz w:val="24"/>
                <w:szCs w:val="24"/>
              </w:rPr>
              <w:t xml:space="preserve"> </w:t>
            </w:r>
          </w:p>
        </w:tc>
        <w:tc>
          <w:tcPr>
            <w:tcW w:w="3261" w:type="dxa"/>
            <w:shd w:val="clear" w:color="auto" w:fill="auto"/>
          </w:tcPr>
          <w:p w:rsidR="00240645" w:rsidRPr="00E509E2" w:rsidRDefault="00240645" w:rsidP="007560B8">
            <w:pPr>
              <w:spacing w:after="0" w:line="240" w:lineRule="auto"/>
              <w:jc w:val="center"/>
              <w:rPr>
                <w:rFonts w:ascii="Arial" w:eastAsia="Times New Roman" w:hAnsi="Arial" w:cs="Arial"/>
                <w:bCs/>
                <w:sz w:val="24"/>
                <w:szCs w:val="24"/>
              </w:rPr>
            </w:pPr>
          </w:p>
        </w:tc>
      </w:tr>
    </w:tbl>
    <w:p w:rsidR="00240645" w:rsidRDefault="00240645" w:rsidP="007560B8">
      <w:pPr>
        <w:rPr>
          <w:rFonts w:ascii="Arial" w:eastAsia="Times New Roman" w:hAnsi="Arial" w:cs="Arial"/>
          <w:b/>
          <w:bCs/>
          <w:color w:val="0072C6"/>
          <w:kern w:val="32"/>
          <w:sz w:val="32"/>
          <w:szCs w:val="32"/>
        </w:rPr>
      </w:pPr>
      <w:bookmarkStart w:id="96" w:name="_Toc445216794"/>
      <w:bookmarkStart w:id="97" w:name="_Toc443663896"/>
      <w:bookmarkStart w:id="98" w:name="_Toc444087418"/>
      <w:bookmarkStart w:id="99" w:name="_Toc444089022"/>
    </w:p>
    <w:p w:rsidR="00240645" w:rsidRDefault="00240645" w:rsidP="00240645">
      <w:pPr>
        <w:rPr>
          <w:rFonts w:ascii="Arial" w:eastAsia="Times New Roman" w:hAnsi="Arial" w:cs="Arial"/>
          <w:b/>
          <w:bCs/>
          <w:color w:val="0072C6"/>
          <w:kern w:val="32"/>
          <w:sz w:val="32"/>
          <w:szCs w:val="32"/>
        </w:rPr>
      </w:pPr>
      <w:r>
        <w:rPr>
          <w:rFonts w:ascii="Arial" w:eastAsia="Times New Roman" w:hAnsi="Arial" w:cs="Arial"/>
          <w:b/>
          <w:bCs/>
          <w:color w:val="0072C6"/>
          <w:kern w:val="32"/>
          <w:sz w:val="32"/>
          <w:szCs w:val="32"/>
        </w:rPr>
        <w:br w:type="page"/>
      </w:r>
    </w:p>
    <w:p w:rsidR="00240645" w:rsidRDefault="00240645" w:rsidP="00240645">
      <w:pPr>
        <w:spacing w:after="0" w:line="240" w:lineRule="auto"/>
        <w:outlineLvl w:val="0"/>
        <w:rPr>
          <w:rFonts w:ascii="Arial" w:eastAsia="Times New Roman" w:hAnsi="Arial" w:cs="Arial"/>
          <w:b/>
          <w:bCs/>
          <w:color w:val="0072C6"/>
          <w:kern w:val="32"/>
          <w:sz w:val="32"/>
          <w:szCs w:val="32"/>
        </w:rPr>
      </w:pPr>
      <w:bookmarkStart w:id="100" w:name="_Toc446331277"/>
      <w:r>
        <w:rPr>
          <w:rFonts w:ascii="Arial" w:eastAsia="Times New Roman" w:hAnsi="Arial" w:cs="Arial"/>
          <w:b/>
          <w:bCs/>
          <w:color w:val="0072C6"/>
          <w:kern w:val="32"/>
          <w:sz w:val="32"/>
          <w:szCs w:val="32"/>
        </w:rPr>
        <w:lastRenderedPageBreak/>
        <w:t>25</w:t>
      </w:r>
      <w:r w:rsidRPr="003118BB">
        <w:rPr>
          <w:rFonts w:ascii="Arial" w:eastAsia="Times New Roman" w:hAnsi="Arial" w:cs="Arial"/>
          <w:b/>
          <w:bCs/>
          <w:color w:val="0072C6"/>
          <w:kern w:val="32"/>
          <w:sz w:val="32"/>
          <w:szCs w:val="32"/>
        </w:rPr>
        <w:t xml:space="preserve">a. Urgent GP (GMP, GDP or Optometrist) </w:t>
      </w:r>
      <w:r>
        <w:rPr>
          <w:rFonts w:ascii="Arial" w:eastAsia="Times New Roman" w:hAnsi="Arial" w:cs="Arial"/>
          <w:b/>
          <w:bCs/>
          <w:color w:val="0072C6"/>
          <w:kern w:val="32"/>
          <w:sz w:val="32"/>
          <w:szCs w:val="32"/>
        </w:rPr>
        <w:t>referral for suspected cancer to first treatment w</w:t>
      </w:r>
      <w:r w:rsidRPr="003118BB">
        <w:rPr>
          <w:rFonts w:ascii="Arial" w:eastAsia="Times New Roman" w:hAnsi="Arial" w:cs="Arial"/>
          <w:b/>
          <w:bCs/>
          <w:color w:val="0072C6"/>
          <w:kern w:val="32"/>
          <w:sz w:val="32"/>
          <w:szCs w:val="32"/>
        </w:rPr>
        <w:t>ithin 62 Days</w:t>
      </w:r>
      <w:bookmarkEnd w:id="96"/>
      <w:bookmarkEnd w:id="100"/>
      <w:r>
        <w:rPr>
          <w:rFonts w:ascii="Arial" w:eastAsia="Times New Roman" w:hAnsi="Arial" w:cs="Arial"/>
          <w:b/>
          <w:bCs/>
          <w:color w:val="0072C6"/>
          <w:kern w:val="32"/>
          <w:sz w:val="32"/>
          <w:szCs w:val="32"/>
        </w:rPr>
        <w:t xml:space="preserve"> </w:t>
      </w:r>
      <w:bookmarkEnd w:id="97"/>
      <w:bookmarkEnd w:id="98"/>
      <w:bookmarkEnd w:id="99"/>
    </w:p>
    <w:p w:rsidR="00240645" w:rsidRPr="00E509E2" w:rsidRDefault="00240645" w:rsidP="00240645">
      <w:pPr>
        <w:spacing w:after="0" w:line="240" w:lineRule="auto"/>
        <w:rPr>
          <w:rFonts w:ascii="Arial" w:eastAsia="Times New Roman" w:hAnsi="Arial" w:cs="Times New Roman"/>
          <w:bCs/>
          <w:sz w:val="24"/>
          <w:szCs w:val="26"/>
        </w:rPr>
      </w:pPr>
    </w:p>
    <w:tbl>
      <w:tblPr>
        <w:tblStyle w:val="TableGrid4"/>
        <w:tblW w:w="5000" w:type="pct"/>
        <w:tblLook w:val="04A0" w:firstRow="1" w:lastRow="0" w:firstColumn="1" w:lastColumn="0" w:noHBand="0" w:noVBand="1"/>
        <w:tblCaption w:val="Please add a description of this table"/>
      </w:tblPr>
      <w:tblGrid>
        <w:gridCol w:w="3697"/>
        <w:gridCol w:w="10477"/>
      </w:tblGrid>
      <w:tr w:rsidR="00240645" w:rsidRPr="00E509E2" w:rsidTr="007560B8">
        <w:trPr>
          <w:tblHeader/>
        </w:trPr>
        <w:tc>
          <w:tcPr>
            <w:tcW w:w="5000" w:type="pct"/>
            <w:gridSpan w:val="2"/>
            <w:shd w:val="clear" w:color="auto" w:fill="0070C0"/>
          </w:tcPr>
          <w:p w:rsidR="00240645" w:rsidRPr="00E509E2" w:rsidRDefault="00240645" w:rsidP="007560B8">
            <w:pPr>
              <w:spacing w:before="20" w:after="20"/>
              <w:jc w:val="center"/>
              <w:rPr>
                <w:rFonts w:eastAsia="Times New Roman"/>
                <w:b/>
                <w:bCs/>
                <w:color w:val="FFFFFF"/>
                <w:szCs w:val="26"/>
              </w:rPr>
            </w:pPr>
            <w:r w:rsidRPr="00E509E2">
              <w:rPr>
                <w:rFonts w:eastAsia="Times New Roman"/>
                <w:b/>
                <w:bCs/>
                <w:color w:val="FFFFFF"/>
                <w:szCs w:val="26"/>
              </w:rPr>
              <w:t>Indicator</w:t>
            </w:r>
          </w:p>
        </w:tc>
      </w:tr>
      <w:tr w:rsidR="00240645" w:rsidRPr="00E509E2" w:rsidTr="007560B8">
        <w:tc>
          <w:tcPr>
            <w:tcW w:w="1304" w:type="pct"/>
          </w:tcPr>
          <w:p w:rsidR="00240645" w:rsidRPr="00E509E2" w:rsidRDefault="00240645" w:rsidP="007560B8">
            <w:pPr>
              <w:spacing w:before="20" w:after="20"/>
              <w:rPr>
                <w:rFonts w:eastAsia="Times New Roman"/>
                <w:b/>
                <w:bCs/>
                <w:szCs w:val="26"/>
              </w:rPr>
            </w:pPr>
            <w:r w:rsidRPr="00E509E2">
              <w:rPr>
                <w:rFonts w:eastAsia="Times New Roman" w:cs="Arial"/>
                <w:b/>
                <w:bCs/>
                <w:color w:val="000000"/>
                <w:szCs w:val="26"/>
              </w:rPr>
              <w:t>Indicator name</w:t>
            </w:r>
          </w:p>
        </w:tc>
        <w:tc>
          <w:tcPr>
            <w:tcW w:w="3696" w:type="pct"/>
          </w:tcPr>
          <w:p w:rsidR="00240645" w:rsidRPr="00E509E2" w:rsidRDefault="00240645" w:rsidP="007560B8">
            <w:pPr>
              <w:autoSpaceDE w:val="0"/>
              <w:autoSpaceDN w:val="0"/>
              <w:adjustRightInd w:val="0"/>
              <w:rPr>
                <w:rFonts w:eastAsia="Times New Roman"/>
                <w:bCs/>
                <w:szCs w:val="26"/>
              </w:rPr>
            </w:pPr>
            <w:r w:rsidRPr="00E509E2">
              <w:rPr>
                <w:rFonts w:cs="Arial"/>
                <w:color w:val="000000"/>
                <w:sz w:val="23"/>
                <w:szCs w:val="23"/>
              </w:rPr>
              <w:t xml:space="preserve">Urgent GP (GMP,GDP or Optometrist) referral for suspected cancer to first treatment within 62 days </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 xml:space="preserve">Indicator weighting </w:t>
            </w:r>
            <w:r w:rsidRPr="00E509E2">
              <w:rPr>
                <w:rFonts w:eastAsia="Times New Roman" w:cs="Arial"/>
                <w:b/>
                <w:bCs/>
                <w:color w:val="000000"/>
                <w:szCs w:val="26"/>
              </w:rPr>
              <w:br/>
              <w:t>(% of CQUIN scheme available)</w:t>
            </w:r>
          </w:p>
        </w:tc>
        <w:tc>
          <w:tcPr>
            <w:tcW w:w="3696" w:type="pct"/>
          </w:tcPr>
          <w:p w:rsidR="00240645" w:rsidRPr="00E509E2" w:rsidRDefault="00240645" w:rsidP="007560B8">
            <w:pPr>
              <w:rPr>
                <w:rFonts w:eastAsia="MS Mincho" w:cs="Arial"/>
                <w:bCs/>
                <w:lang w:eastAsia="ja-JP"/>
              </w:rPr>
            </w:pPr>
            <w:r>
              <w:rPr>
                <w:rFonts w:eastAsia="MS Mincho" w:cs="Arial"/>
                <w:bCs/>
                <w:lang w:eastAsia="ja-JP"/>
              </w:rPr>
              <w:t>80%</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Description of indicator</w:t>
            </w:r>
          </w:p>
        </w:tc>
        <w:tc>
          <w:tcPr>
            <w:tcW w:w="3696" w:type="pct"/>
          </w:tcPr>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The proportion of patients receiving first definitive treatment within 62 days of an urgent GP referral for suspected cancer.</w:t>
            </w:r>
          </w:p>
          <w:p w:rsidR="00240645" w:rsidRPr="00E509E2" w:rsidRDefault="00240645" w:rsidP="007560B8">
            <w:pPr>
              <w:keepNext/>
              <w:rPr>
                <w:rFonts w:eastAsia="Times New Roman" w:cs="Arial"/>
                <w:bCs/>
                <w:color w:val="000000"/>
                <w:szCs w:val="26"/>
              </w:rPr>
            </w:pP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Numerator</w:t>
            </w:r>
          </w:p>
        </w:tc>
        <w:tc>
          <w:tcPr>
            <w:tcW w:w="3696" w:type="pct"/>
          </w:tcPr>
          <w:p w:rsidR="00240645" w:rsidRPr="00E509E2" w:rsidRDefault="00240645" w:rsidP="007560B8">
            <w:pPr>
              <w:autoSpaceDE w:val="0"/>
              <w:autoSpaceDN w:val="0"/>
              <w:adjustRightInd w:val="0"/>
              <w:rPr>
                <w:rFonts w:cs="Arial"/>
              </w:rPr>
            </w:pPr>
            <w:r w:rsidRPr="00E509E2">
              <w:rPr>
                <w:rFonts w:cs="Arial"/>
              </w:rPr>
              <w:t>Number of patients receiving first definitive treatment for cancer within 62-days following</w:t>
            </w:r>
          </w:p>
          <w:p w:rsidR="00240645" w:rsidRPr="00E509E2" w:rsidRDefault="00240645" w:rsidP="007560B8">
            <w:pPr>
              <w:autoSpaceDE w:val="0"/>
              <w:autoSpaceDN w:val="0"/>
              <w:adjustRightInd w:val="0"/>
              <w:rPr>
                <w:rFonts w:cs="Arial"/>
              </w:rPr>
            </w:pPr>
            <w:r w:rsidRPr="00E509E2">
              <w:rPr>
                <w:rFonts w:cs="Arial"/>
              </w:rPr>
              <w:t>an urgent GP referral for suspected cancer within a given period, for all</w:t>
            </w:r>
          </w:p>
          <w:p w:rsidR="00240645" w:rsidRPr="00E509E2" w:rsidRDefault="00240645" w:rsidP="007560B8">
            <w:pPr>
              <w:rPr>
                <w:rFonts w:cs="Arial"/>
              </w:rPr>
            </w:pPr>
            <w:r w:rsidRPr="00E509E2">
              <w:rPr>
                <w:rFonts w:cs="Arial"/>
              </w:rPr>
              <w:t>cancers (ICD-10 C00 to C97 and D05)</w:t>
            </w:r>
          </w:p>
          <w:p w:rsidR="00240645" w:rsidRPr="00E509E2" w:rsidRDefault="00240645" w:rsidP="007560B8">
            <w:pPr>
              <w:rPr>
                <w:rFonts w:eastAsia="Times New Roman" w:cs="Arial"/>
                <w:bCs/>
              </w:rPr>
            </w:pP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Denominator</w:t>
            </w:r>
          </w:p>
        </w:tc>
        <w:tc>
          <w:tcPr>
            <w:tcW w:w="3696" w:type="pct"/>
          </w:tcPr>
          <w:p w:rsidR="00240645" w:rsidRPr="00E509E2" w:rsidRDefault="00240645" w:rsidP="007560B8">
            <w:pPr>
              <w:autoSpaceDE w:val="0"/>
              <w:autoSpaceDN w:val="0"/>
              <w:adjustRightInd w:val="0"/>
              <w:rPr>
                <w:rFonts w:cs="Arial"/>
              </w:rPr>
            </w:pPr>
            <w:r w:rsidRPr="00E509E2">
              <w:rPr>
                <w:rFonts w:cs="Arial"/>
              </w:rPr>
              <w:t>Total number of patients receiving first definitive treatment for cancer following an urgent</w:t>
            </w:r>
          </w:p>
          <w:p w:rsidR="00240645" w:rsidRPr="00E509E2" w:rsidRDefault="00240645" w:rsidP="007560B8">
            <w:pPr>
              <w:autoSpaceDE w:val="0"/>
              <w:autoSpaceDN w:val="0"/>
              <w:adjustRightInd w:val="0"/>
              <w:rPr>
                <w:rFonts w:cs="Arial"/>
              </w:rPr>
            </w:pPr>
            <w:r w:rsidRPr="00E509E2">
              <w:rPr>
                <w:rFonts w:cs="Arial"/>
              </w:rPr>
              <w:t>GP (GDP or GMP) referral for suspected cancer within a given period, for all cancers</w:t>
            </w:r>
          </w:p>
          <w:p w:rsidR="00240645" w:rsidRPr="00E509E2" w:rsidRDefault="00240645" w:rsidP="007560B8">
            <w:pPr>
              <w:rPr>
                <w:rFonts w:eastAsia="Times New Roman" w:cs="Arial"/>
                <w:bCs/>
              </w:rPr>
            </w:pPr>
            <w:r w:rsidRPr="00E509E2">
              <w:rPr>
                <w:rFonts w:cs="Arial"/>
              </w:rPr>
              <w:t>(ICD-10 C00 to C97 and D05)</w:t>
            </w:r>
          </w:p>
        </w:tc>
      </w:tr>
      <w:tr w:rsidR="00240645" w:rsidRPr="00E509E2" w:rsidTr="007560B8">
        <w:trPr>
          <w:trHeight w:val="2930"/>
        </w:trPr>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lastRenderedPageBreak/>
              <w:t>Rationale for inclusion</w:t>
            </w:r>
          </w:p>
        </w:tc>
        <w:tc>
          <w:tcPr>
            <w:tcW w:w="3696" w:type="pct"/>
          </w:tcPr>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Ensuring efficient investigation, diagnosis and treatment of cancer is essential to ensuring a positive patient experience and improving cancer outcomes.</w:t>
            </w:r>
          </w:p>
          <w:p w:rsidR="00240645" w:rsidRPr="00E509E2" w:rsidRDefault="00240645" w:rsidP="007560B8">
            <w:pPr>
              <w:keepNext/>
              <w:rPr>
                <w:rFonts w:eastAsia="Times New Roman" w:cs="Arial"/>
                <w:bCs/>
                <w:color w:val="000000"/>
                <w:szCs w:val="26"/>
              </w:rPr>
            </w:pPr>
          </w:p>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The 62 day pathway encompasses the entire patient journey from initial referral by a GP to beginning treatment. It is therefore the most comprehensive of the cancer waiting times standards, and is generally considered the headline indicator of performance on cancer waits.</w:t>
            </w:r>
          </w:p>
          <w:p w:rsidR="00240645" w:rsidRDefault="00240645" w:rsidP="007560B8">
            <w:pPr>
              <w:keepNext/>
              <w:rPr>
                <w:rFonts w:eastAsia="Times New Roman" w:cs="Arial"/>
                <w:bCs/>
                <w:color w:val="000000"/>
                <w:szCs w:val="26"/>
              </w:rPr>
            </w:pPr>
          </w:p>
          <w:p w:rsidR="00240645" w:rsidRDefault="00240645" w:rsidP="007560B8">
            <w:pPr>
              <w:keepNext/>
              <w:rPr>
                <w:rFonts w:eastAsia="Times New Roman" w:cs="Arial"/>
                <w:bCs/>
                <w:color w:val="000000"/>
                <w:szCs w:val="26"/>
              </w:rPr>
            </w:pPr>
            <w:r w:rsidRPr="001D1B09">
              <w:rPr>
                <w:rFonts w:eastAsia="Times New Roman" w:cs="Arial"/>
                <w:bCs/>
                <w:color w:val="000000"/>
                <w:szCs w:val="26"/>
              </w:rPr>
              <w:t>A revised breach allocation policy will be published by the end of March.  Local implementation of this policy should be undertaken as soon as possible, and by October 2016 at the latest, to ensure CQUIN payments accurately reflect provider performance.</w:t>
            </w:r>
          </w:p>
          <w:p w:rsidR="00240645" w:rsidRPr="00E509E2" w:rsidRDefault="00240645" w:rsidP="007560B8">
            <w:pPr>
              <w:keepNext/>
              <w:rPr>
                <w:rFonts w:eastAsia="Times New Roman" w:cs="Arial"/>
                <w:bCs/>
                <w:color w:val="000000"/>
                <w:szCs w:val="26"/>
              </w:rPr>
            </w:pPr>
          </w:p>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 xml:space="preserve">Performance on the 62 day standard has not been achieved in a sustainable way. By targeting 62 day cancer waits through the CQUIN scheme we aim to stimulate local focus on delivering this constitutional commitment in a sustainable way during the next year. </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Data source</w:t>
            </w:r>
          </w:p>
        </w:tc>
        <w:tc>
          <w:tcPr>
            <w:tcW w:w="3696" w:type="pct"/>
          </w:tcPr>
          <w:p w:rsidR="00240645" w:rsidRPr="00E509E2" w:rsidRDefault="00240645" w:rsidP="007560B8">
            <w:pPr>
              <w:keepNext/>
              <w:contextualSpacing/>
              <w:rPr>
                <w:rFonts w:eastAsia="Times New Roman" w:cs="Arial"/>
                <w:bCs/>
                <w:color w:val="000000"/>
                <w:szCs w:val="26"/>
              </w:rPr>
            </w:pPr>
            <w:r w:rsidRPr="00E509E2">
              <w:rPr>
                <w:rFonts w:eastAsia="Times New Roman" w:cs="Arial"/>
                <w:bCs/>
                <w:color w:val="000000"/>
                <w:szCs w:val="26"/>
              </w:rPr>
              <w:t>HSCIC CWT system</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Frequency of data collection</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Monthly</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Organisation responsible for data collection</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Local Providers who submit to Open Exeter</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Frequency of reporting to commissioner</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Quarterly</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Baseline period/date</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N/A</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Baseline value</w:t>
            </w:r>
          </w:p>
        </w:tc>
        <w:tc>
          <w:tcPr>
            <w:tcW w:w="3696" w:type="pct"/>
          </w:tcPr>
          <w:p w:rsidR="00240645" w:rsidRPr="00E509E2" w:rsidRDefault="00240645" w:rsidP="007560B8">
            <w:pPr>
              <w:keepNext/>
              <w:contextualSpacing/>
              <w:rPr>
                <w:rFonts w:eastAsia="Times New Roman" w:cs="Arial"/>
                <w:bCs/>
                <w:color w:val="FF0000"/>
              </w:rPr>
            </w:pPr>
            <w:r w:rsidRPr="00E509E2">
              <w:rPr>
                <w:rFonts w:eastAsia="Times New Roman" w:cs="Arial"/>
                <w:bCs/>
              </w:rPr>
              <w:t>N/A</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Final indicator period/date (on which payment is based)</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Year 2016/17</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Final indicator value (payment threshold)</w:t>
            </w:r>
          </w:p>
        </w:tc>
        <w:tc>
          <w:tcPr>
            <w:tcW w:w="3696" w:type="pct"/>
          </w:tcPr>
          <w:p w:rsidR="00240645" w:rsidRPr="00E509E2" w:rsidRDefault="00240645" w:rsidP="007560B8">
            <w:pPr>
              <w:keepNext/>
              <w:rPr>
                <w:rFonts w:eastAsia="Times New Roman" w:cs="Arial"/>
                <w:bCs/>
              </w:rPr>
            </w:pPr>
            <w:r w:rsidRPr="00E509E2">
              <w:rPr>
                <w:rFonts w:eastAsia="Times New Roman" w:cs="Arial"/>
                <w:bCs/>
              </w:rPr>
              <w:t>85% in each quarter</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lastRenderedPageBreak/>
              <w:t>Rules for calculation of payment due at final indicator period/date (including evidence to be supplied to commissioner)</w:t>
            </w:r>
          </w:p>
        </w:tc>
        <w:tc>
          <w:tcPr>
            <w:tcW w:w="3696" w:type="pct"/>
          </w:tcPr>
          <w:p w:rsidR="00240645" w:rsidRPr="00E509E2" w:rsidRDefault="00240645" w:rsidP="007560B8">
            <w:pPr>
              <w:keepNext/>
              <w:rPr>
                <w:rFonts w:eastAsia="Times New Roman" w:cs="Arial"/>
                <w:bCs/>
              </w:rPr>
            </w:pPr>
            <w:r w:rsidRPr="00E509E2">
              <w:rPr>
                <w:rFonts w:eastAsia="Times New Roman" w:cs="Arial"/>
                <w:bCs/>
              </w:rPr>
              <w:t>CWT data report shows that at least 85% of patients referred to a provider received their first definitive treatment within 62 days of an urgent GP referral.</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Final indicator reporting date</w:t>
            </w:r>
          </w:p>
        </w:tc>
        <w:tc>
          <w:tcPr>
            <w:tcW w:w="3696" w:type="pct"/>
          </w:tcPr>
          <w:p w:rsidR="00240645" w:rsidRPr="00E509E2" w:rsidRDefault="00240645" w:rsidP="007560B8">
            <w:pPr>
              <w:keepNext/>
              <w:contextualSpacing/>
              <w:rPr>
                <w:rFonts w:eastAsia="Times New Roman" w:cs="Arial"/>
                <w:bCs/>
                <w:color w:val="000000"/>
              </w:rPr>
            </w:pPr>
            <w:r w:rsidRPr="00E509E2">
              <w:rPr>
                <w:rFonts w:eastAsia="Times New Roman" w:cs="Arial"/>
                <w:bCs/>
                <w:color w:val="000000"/>
              </w:rPr>
              <w:t>As soon as possible after Q4 2016/17</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Are there rules for any agreed in-year milestones that result in payment?</w:t>
            </w:r>
          </w:p>
        </w:tc>
        <w:tc>
          <w:tcPr>
            <w:tcW w:w="3696" w:type="pct"/>
          </w:tcPr>
          <w:p w:rsidR="00240645" w:rsidRPr="00E509E2" w:rsidRDefault="00240645" w:rsidP="007560B8">
            <w:pPr>
              <w:keepNext/>
              <w:contextualSpacing/>
              <w:rPr>
                <w:rFonts w:eastAsia="Times New Roman" w:cs="Arial"/>
                <w:bCs/>
                <w:color w:val="000000"/>
              </w:rPr>
            </w:pPr>
            <w:r w:rsidRPr="00E509E2">
              <w:rPr>
                <w:rFonts w:eastAsia="Times New Roman" w:cs="Arial"/>
                <w:bCs/>
                <w:color w:val="000000"/>
              </w:rPr>
              <w:t>Yes – payment is to be based on performance in each quarter</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Are there any rules for partial achievement of the indicator at the final indicator period/date?</w:t>
            </w:r>
          </w:p>
        </w:tc>
        <w:tc>
          <w:tcPr>
            <w:tcW w:w="3696" w:type="pct"/>
          </w:tcPr>
          <w:p w:rsidR="00240645" w:rsidRPr="00E509E2" w:rsidRDefault="00240645" w:rsidP="007560B8">
            <w:pPr>
              <w:keepNext/>
              <w:contextualSpacing/>
              <w:rPr>
                <w:rFonts w:eastAsia="Calibri" w:cs="Arial"/>
                <w:bCs/>
                <w:color w:val="000000"/>
              </w:rPr>
            </w:pPr>
            <w:r w:rsidRPr="00E509E2">
              <w:rPr>
                <w:rFonts w:eastAsia="Calibri" w:cs="Arial"/>
                <w:bCs/>
                <w:color w:val="000000"/>
              </w:rPr>
              <w:t>No. The threshold needs to be met in each period to earn the CQUIN proportion available for that period.</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EXIT Route</w:t>
            </w:r>
          </w:p>
        </w:tc>
        <w:tc>
          <w:tcPr>
            <w:tcW w:w="3696" w:type="pct"/>
          </w:tcPr>
          <w:p w:rsidR="00240645" w:rsidRPr="00E509E2" w:rsidRDefault="00240645" w:rsidP="007560B8">
            <w:pPr>
              <w:keepNext/>
              <w:contextualSpacing/>
              <w:rPr>
                <w:rFonts w:eastAsia="Times New Roman" w:cs="Arial"/>
                <w:bCs/>
                <w:color w:val="000000"/>
                <w:szCs w:val="26"/>
              </w:rPr>
            </w:pPr>
            <w:r w:rsidRPr="00E509E2">
              <w:rPr>
                <w:rFonts w:eastAsia="Times New Roman" w:cs="Arial"/>
                <w:bCs/>
                <w:color w:val="000000"/>
                <w:szCs w:val="26"/>
              </w:rPr>
              <w:t>To be determined locally</w:t>
            </w:r>
          </w:p>
        </w:tc>
      </w:tr>
    </w:tbl>
    <w:p w:rsidR="00240645" w:rsidRPr="00E509E2" w:rsidRDefault="00240645" w:rsidP="00240645">
      <w:pPr>
        <w:spacing w:after="0" w:line="240" w:lineRule="auto"/>
        <w:rPr>
          <w:rFonts w:ascii="Arial" w:eastAsia="Times New Roman" w:hAnsi="Arial" w:cs="Times New Roman"/>
          <w:bCs/>
          <w:sz w:val="24"/>
          <w:szCs w:val="26"/>
        </w:rPr>
      </w:pPr>
    </w:p>
    <w:p w:rsidR="00240645" w:rsidRDefault="00240645" w:rsidP="00240645">
      <w:pPr>
        <w:spacing w:after="0" w:line="240" w:lineRule="auto"/>
        <w:outlineLvl w:val="0"/>
        <w:rPr>
          <w:rFonts w:ascii="Arial" w:eastAsia="Times New Roman" w:hAnsi="Arial" w:cs="Arial"/>
          <w:b/>
          <w:bCs/>
          <w:color w:val="0072C6"/>
          <w:kern w:val="32"/>
          <w:sz w:val="32"/>
          <w:szCs w:val="32"/>
        </w:rPr>
      </w:pPr>
      <w:r w:rsidRPr="00E509E2">
        <w:rPr>
          <w:rFonts w:ascii="Arial" w:eastAsia="Times New Roman" w:hAnsi="Arial" w:cs="Arial"/>
          <w:b/>
          <w:bCs/>
          <w:color w:val="0072C6"/>
          <w:kern w:val="32"/>
          <w:sz w:val="32"/>
          <w:szCs w:val="32"/>
        </w:rPr>
        <w:br w:type="page"/>
      </w:r>
    </w:p>
    <w:p w:rsidR="00240645" w:rsidRDefault="00240645" w:rsidP="00240645">
      <w:pPr>
        <w:spacing w:after="0" w:line="240" w:lineRule="auto"/>
        <w:outlineLvl w:val="0"/>
        <w:rPr>
          <w:rFonts w:ascii="Arial" w:eastAsia="Times New Roman" w:hAnsi="Arial" w:cs="Arial"/>
          <w:b/>
          <w:bCs/>
          <w:color w:val="0072C6"/>
          <w:kern w:val="32"/>
          <w:sz w:val="32"/>
          <w:szCs w:val="32"/>
        </w:rPr>
      </w:pPr>
      <w:bookmarkStart w:id="101" w:name="_Toc443663898"/>
      <w:bookmarkStart w:id="102" w:name="_Toc444087419"/>
      <w:bookmarkStart w:id="103" w:name="_Toc444089023"/>
      <w:bookmarkStart w:id="104" w:name="_Toc445216795"/>
      <w:bookmarkStart w:id="105" w:name="_Toc446331278"/>
      <w:r>
        <w:rPr>
          <w:rFonts w:ascii="Arial" w:eastAsia="Times New Roman" w:hAnsi="Arial" w:cs="Arial"/>
          <w:b/>
          <w:bCs/>
          <w:color w:val="0072C6"/>
          <w:kern w:val="32"/>
          <w:sz w:val="32"/>
          <w:szCs w:val="32"/>
        </w:rPr>
        <w:lastRenderedPageBreak/>
        <w:t xml:space="preserve">25b. Root-cause analysis on all long waiters and a clinical harm review for a positive </w:t>
      </w:r>
      <w:bookmarkEnd w:id="101"/>
      <w:bookmarkEnd w:id="102"/>
      <w:bookmarkEnd w:id="103"/>
      <w:r>
        <w:rPr>
          <w:rFonts w:ascii="Arial" w:eastAsia="Times New Roman" w:hAnsi="Arial" w:cs="Arial"/>
          <w:b/>
          <w:bCs/>
          <w:color w:val="0072C6"/>
          <w:kern w:val="32"/>
          <w:sz w:val="32"/>
          <w:szCs w:val="32"/>
        </w:rPr>
        <w:t>diagnosis</w:t>
      </w:r>
      <w:bookmarkEnd w:id="104"/>
      <w:bookmarkEnd w:id="105"/>
    </w:p>
    <w:p w:rsidR="00240645" w:rsidRPr="00E509E2" w:rsidRDefault="00240645" w:rsidP="007560B8">
      <w:pPr>
        <w:rPr>
          <w:rFonts w:ascii="Arial" w:eastAsia="Times New Roman" w:hAnsi="Arial" w:cs="Arial"/>
          <w:b/>
          <w:bCs/>
          <w:color w:val="0072C6"/>
          <w:kern w:val="32"/>
          <w:sz w:val="32"/>
          <w:szCs w:val="32"/>
        </w:rPr>
      </w:pPr>
    </w:p>
    <w:tbl>
      <w:tblPr>
        <w:tblStyle w:val="TableGrid4"/>
        <w:tblW w:w="5000" w:type="pct"/>
        <w:tblLook w:val="04A0" w:firstRow="1" w:lastRow="0" w:firstColumn="1" w:lastColumn="0" w:noHBand="0" w:noVBand="1"/>
        <w:tblCaption w:val="Please add a description of this table"/>
      </w:tblPr>
      <w:tblGrid>
        <w:gridCol w:w="3697"/>
        <w:gridCol w:w="10477"/>
      </w:tblGrid>
      <w:tr w:rsidR="00240645" w:rsidRPr="00E509E2" w:rsidTr="007560B8">
        <w:trPr>
          <w:tblHeader/>
        </w:trPr>
        <w:tc>
          <w:tcPr>
            <w:tcW w:w="5000" w:type="pct"/>
            <w:gridSpan w:val="2"/>
            <w:shd w:val="clear" w:color="auto" w:fill="0070C0"/>
          </w:tcPr>
          <w:p w:rsidR="00240645" w:rsidRPr="00E509E2" w:rsidRDefault="00240645" w:rsidP="007560B8">
            <w:pPr>
              <w:spacing w:before="20" w:after="20"/>
              <w:jc w:val="center"/>
              <w:rPr>
                <w:rFonts w:eastAsia="Times New Roman"/>
                <w:b/>
                <w:bCs/>
                <w:color w:val="FFFFFF"/>
                <w:szCs w:val="26"/>
              </w:rPr>
            </w:pPr>
            <w:r w:rsidRPr="00E509E2">
              <w:rPr>
                <w:rFonts w:eastAsia="Times New Roman"/>
                <w:b/>
                <w:bCs/>
                <w:color w:val="FFFFFF"/>
                <w:szCs w:val="26"/>
              </w:rPr>
              <w:t>Indicator</w:t>
            </w:r>
          </w:p>
        </w:tc>
      </w:tr>
      <w:tr w:rsidR="00240645" w:rsidRPr="00E509E2" w:rsidTr="007560B8">
        <w:tc>
          <w:tcPr>
            <w:tcW w:w="1304" w:type="pct"/>
          </w:tcPr>
          <w:p w:rsidR="00240645" w:rsidRPr="00E509E2" w:rsidRDefault="00240645" w:rsidP="007560B8">
            <w:pPr>
              <w:spacing w:before="20" w:after="20"/>
              <w:rPr>
                <w:rFonts w:eastAsia="Times New Roman"/>
                <w:b/>
                <w:bCs/>
                <w:szCs w:val="26"/>
              </w:rPr>
            </w:pPr>
            <w:r w:rsidRPr="00E509E2">
              <w:rPr>
                <w:rFonts w:eastAsia="Times New Roman" w:cs="Arial"/>
                <w:b/>
                <w:bCs/>
                <w:color w:val="000000"/>
                <w:szCs w:val="26"/>
              </w:rPr>
              <w:t>Indicator name</w:t>
            </w:r>
          </w:p>
        </w:tc>
        <w:tc>
          <w:tcPr>
            <w:tcW w:w="3696" w:type="pct"/>
          </w:tcPr>
          <w:p w:rsidR="00240645" w:rsidRPr="00E509E2" w:rsidRDefault="00240645" w:rsidP="007560B8">
            <w:pPr>
              <w:rPr>
                <w:rFonts w:eastAsia="Times New Roman"/>
                <w:bCs/>
                <w:szCs w:val="26"/>
              </w:rPr>
            </w:pPr>
            <w:r w:rsidRPr="00D761FC">
              <w:rPr>
                <w:rFonts w:eastAsia="Times New Roman"/>
                <w:bCs/>
                <w:szCs w:val="26"/>
              </w:rPr>
              <w:t>Root-cause analysis on all long waiters and a clinical harm review for a positive diagnosis</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 xml:space="preserve">Indicator weighting </w:t>
            </w:r>
            <w:r w:rsidRPr="00E509E2">
              <w:rPr>
                <w:rFonts w:eastAsia="Times New Roman" w:cs="Arial"/>
                <w:b/>
                <w:bCs/>
                <w:color w:val="000000"/>
                <w:szCs w:val="26"/>
              </w:rPr>
              <w:br/>
              <w:t>(% of CQUIN scheme available)</w:t>
            </w:r>
          </w:p>
        </w:tc>
        <w:tc>
          <w:tcPr>
            <w:tcW w:w="3696" w:type="pct"/>
          </w:tcPr>
          <w:p w:rsidR="00240645" w:rsidRPr="00E509E2" w:rsidRDefault="00240645" w:rsidP="007560B8">
            <w:pPr>
              <w:rPr>
                <w:rFonts w:eastAsia="MS Mincho" w:cs="Arial"/>
                <w:bCs/>
                <w:lang w:eastAsia="ja-JP"/>
              </w:rPr>
            </w:pPr>
            <w:r>
              <w:rPr>
                <w:rFonts w:eastAsia="MS Mincho" w:cs="Arial"/>
                <w:bCs/>
                <w:lang w:eastAsia="ja-JP"/>
              </w:rPr>
              <w:t>20%</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Description of indicator</w:t>
            </w:r>
          </w:p>
        </w:tc>
        <w:tc>
          <w:tcPr>
            <w:tcW w:w="3696" w:type="pct"/>
          </w:tcPr>
          <w:p w:rsidR="00240645" w:rsidRPr="007560B8" w:rsidRDefault="00240645" w:rsidP="007560B8">
            <w:pPr>
              <w:keepNext/>
              <w:rPr>
                <w:rFonts w:eastAsia="Times New Roman" w:cs="Arial"/>
                <w:bCs/>
                <w:color w:val="0070C0"/>
                <w:szCs w:val="26"/>
              </w:rPr>
            </w:pPr>
            <w:r w:rsidRPr="00E509E2">
              <w:rPr>
                <w:rFonts w:eastAsia="Times New Roman" w:cs="Arial"/>
                <w:bCs/>
                <w:color w:val="000000"/>
                <w:szCs w:val="26"/>
              </w:rPr>
              <w:t>To demonstrate appropriate management and review of long wait cases on the 62-day urgent GP referral to first treatment pathway, in line with the NHS England backstop policy (</w:t>
            </w:r>
            <w:hyperlink w:anchor="_Supporting_Guidance_and" w:history="1">
              <w:r w:rsidRPr="007560B8">
                <w:rPr>
                  <w:rFonts w:eastAsia="Times New Roman" w:cs="Arial"/>
                  <w:bCs/>
                  <w:color w:val="0070C0"/>
                  <w:szCs w:val="26"/>
                  <w:u w:val="single"/>
                </w:rPr>
                <w:t>see below for further information</w:t>
              </w:r>
            </w:hyperlink>
            <w:r w:rsidRPr="007560B8">
              <w:rPr>
                <w:rFonts w:eastAsia="Times New Roman" w:cs="Arial"/>
                <w:bCs/>
                <w:color w:val="0070C0"/>
                <w:szCs w:val="26"/>
              </w:rPr>
              <w:t>).</w:t>
            </w:r>
          </w:p>
          <w:p w:rsidR="00240645" w:rsidRPr="00E509E2" w:rsidRDefault="00240645" w:rsidP="007560B8">
            <w:pPr>
              <w:keepNext/>
              <w:rPr>
                <w:rFonts w:eastAsia="Times New Roman" w:cs="Arial"/>
                <w:bCs/>
                <w:color w:val="000000"/>
                <w:szCs w:val="26"/>
              </w:rPr>
            </w:pPr>
          </w:p>
          <w:p w:rsidR="00240645" w:rsidRPr="00E509E2" w:rsidRDefault="00240645" w:rsidP="00240645">
            <w:pPr>
              <w:keepNext/>
              <w:numPr>
                <w:ilvl w:val="0"/>
                <w:numId w:val="12"/>
              </w:numPr>
              <w:contextualSpacing/>
              <w:rPr>
                <w:rFonts w:eastAsia="Times New Roman" w:cs="Arial"/>
                <w:bCs/>
                <w:color w:val="000000"/>
                <w:szCs w:val="26"/>
              </w:rPr>
            </w:pPr>
            <w:r w:rsidRPr="00E509E2">
              <w:rPr>
                <w:rFonts w:cs="Arial"/>
              </w:rPr>
              <w:t>Proportion of patients waiting longer than 104 days whose cases have received a root-cause analysis</w:t>
            </w:r>
          </w:p>
          <w:p w:rsidR="00240645" w:rsidRPr="00E509E2" w:rsidRDefault="00240645" w:rsidP="007560B8">
            <w:pPr>
              <w:keepNext/>
              <w:rPr>
                <w:rFonts w:eastAsia="Times New Roman" w:cs="Arial"/>
                <w:bCs/>
                <w:color w:val="000000"/>
                <w:szCs w:val="26"/>
              </w:rPr>
            </w:pPr>
          </w:p>
          <w:p w:rsidR="00240645" w:rsidRPr="00E509E2" w:rsidRDefault="00240645" w:rsidP="00240645">
            <w:pPr>
              <w:numPr>
                <w:ilvl w:val="0"/>
                <w:numId w:val="12"/>
              </w:numPr>
              <w:contextualSpacing/>
              <w:rPr>
                <w:rFonts w:cs="Arial"/>
              </w:rPr>
            </w:pPr>
            <w:r w:rsidRPr="00E509E2">
              <w:rPr>
                <w:rFonts w:cs="Arial"/>
              </w:rPr>
              <w:t>Proportion of patients waiting longer than 104 days whose cases received a root-cause analysis and a confirmed cancer diagnosis who had a clinical harm review.</w:t>
            </w:r>
          </w:p>
          <w:p w:rsidR="00240645" w:rsidRPr="00E509E2" w:rsidRDefault="00240645" w:rsidP="007560B8">
            <w:pPr>
              <w:keepNext/>
              <w:rPr>
                <w:rFonts w:eastAsia="Times New Roman" w:cs="Arial"/>
                <w:bCs/>
                <w:color w:val="000000"/>
                <w:szCs w:val="26"/>
              </w:rPr>
            </w:pPr>
          </w:p>
          <w:p w:rsidR="00240645" w:rsidRPr="00E509E2" w:rsidRDefault="00240645" w:rsidP="007560B8">
            <w:pPr>
              <w:keepNext/>
              <w:rPr>
                <w:rFonts w:eastAsia="Times New Roman" w:cs="Arial"/>
                <w:bCs/>
                <w:color w:val="000000"/>
                <w:szCs w:val="26"/>
              </w:rPr>
            </w:pP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Numerator</w:t>
            </w:r>
          </w:p>
        </w:tc>
        <w:tc>
          <w:tcPr>
            <w:tcW w:w="3696" w:type="pct"/>
          </w:tcPr>
          <w:p w:rsidR="00240645" w:rsidRPr="00E509E2" w:rsidRDefault="00240645" w:rsidP="00240645">
            <w:pPr>
              <w:numPr>
                <w:ilvl w:val="0"/>
                <w:numId w:val="13"/>
              </w:numPr>
              <w:contextualSpacing/>
              <w:rPr>
                <w:rFonts w:cs="Arial"/>
              </w:rPr>
            </w:pPr>
            <w:r w:rsidRPr="00E509E2">
              <w:rPr>
                <w:rFonts w:cs="Arial"/>
              </w:rPr>
              <w:t>Number of patients waiting longer than 104 days whose cases have received a root-cause analysis</w:t>
            </w:r>
          </w:p>
          <w:p w:rsidR="00240645" w:rsidRPr="00E509E2" w:rsidRDefault="00240645" w:rsidP="007560B8">
            <w:pPr>
              <w:rPr>
                <w:rFonts w:cs="Arial"/>
              </w:rPr>
            </w:pPr>
          </w:p>
          <w:p w:rsidR="00240645" w:rsidRPr="00E509E2" w:rsidRDefault="00240645" w:rsidP="00240645">
            <w:pPr>
              <w:numPr>
                <w:ilvl w:val="0"/>
                <w:numId w:val="13"/>
              </w:numPr>
              <w:contextualSpacing/>
              <w:rPr>
                <w:rFonts w:cs="Arial"/>
              </w:rPr>
            </w:pPr>
            <w:r w:rsidRPr="00E509E2">
              <w:rPr>
                <w:rFonts w:cs="Arial"/>
              </w:rPr>
              <w:t>Number of patients waiting longer than 104 days whose cases have received a root-cause analysis and a clinical harm review where there is a confirmed cancer diagnosis.</w:t>
            </w:r>
          </w:p>
          <w:p w:rsidR="00240645" w:rsidRPr="00E509E2" w:rsidRDefault="00240645" w:rsidP="007560B8">
            <w:pPr>
              <w:rPr>
                <w:rFonts w:eastAsia="Times New Roman" w:cs="Arial"/>
                <w:bCs/>
              </w:rPr>
            </w:pP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Denominator</w:t>
            </w:r>
          </w:p>
        </w:tc>
        <w:tc>
          <w:tcPr>
            <w:tcW w:w="3696" w:type="pct"/>
          </w:tcPr>
          <w:p w:rsidR="00240645" w:rsidRPr="00E509E2" w:rsidRDefault="00240645" w:rsidP="00240645">
            <w:pPr>
              <w:numPr>
                <w:ilvl w:val="0"/>
                <w:numId w:val="14"/>
              </w:numPr>
              <w:autoSpaceDE w:val="0"/>
              <w:autoSpaceDN w:val="0"/>
              <w:adjustRightInd w:val="0"/>
              <w:contextualSpacing/>
              <w:rPr>
                <w:rFonts w:cs="Arial"/>
              </w:rPr>
            </w:pPr>
            <w:r w:rsidRPr="00E509E2">
              <w:rPr>
                <w:rFonts w:cs="Arial"/>
              </w:rPr>
              <w:t xml:space="preserve">Total number of patients waiting longer than 104 days from urgent GP referral to definitive </w:t>
            </w:r>
            <w:r w:rsidRPr="00E509E2">
              <w:rPr>
                <w:rFonts w:cs="Arial"/>
              </w:rPr>
              <w:lastRenderedPageBreak/>
              <w:t>treatment.</w:t>
            </w:r>
          </w:p>
          <w:p w:rsidR="00240645" w:rsidRPr="00E509E2" w:rsidRDefault="00240645" w:rsidP="007560B8">
            <w:pPr>
              <w:autoSpaceDE w:val="0"/>
              <w:autoSpaceDN w:val="0"/>
              <w:adjustRightInd w:val="0"/>
              <w:rPr>
                <w:rFonts w:cs="Arial"/>
              </w:rPr>
            </w:pPr>
          </w:p>
          <w:p w:rsidR="00240645" w:rsidRPr="00E509E2" w:rsidRDefault="00240645" w:rsidP="00240645">
            <w:pPr>
              <w:numPr>
                <w:ilvl w:val="0"/>
                <w:numId w:val="14"/>
              </w:numPr>
              <w:contextualSpacing/>
              <w:rPr>
                <w:rFonts w:cs="Arial"/>
              </w:rPr>
            </w:pPr>
            <w:r w:rsidRPr="00E509E2">
              <w:rPr>
                <w:rFonts w:cs="Arial"/>
              </w:rPr>
              <w:t>Total number of patients waiting longer than 104 days from urgent GP referral to first definitive treatment where there is a confirmed cancer diagnosis</w:t>
            </w:r>
          </w:p>
          <w:p w:rsidR="00240645" w:rsidRPr="00E509E2" w:rsidRDefault="00240645" w:rsidP="007560B8">
            <w:pPr>
              <w:autoSpaceDE w:val="0"/>
              <w:autoSpaceDN w:val="0"/>
              <w:adjustRightInd w:val="0"/>
              <w:rPr>
                <w:rFonts w:cs="Arial"/>
              </w:rPr>
            </w:pPr>
          </w:p>
          <w:p w:rsidR="00240645" w:rsidRPr="00E509E2" w:rsidRDefault="00240645" w:rsidP="007560B8">
            <w:pPr>
              <w:autoSpaceDE w:val="0"/>
              <w:autoSpaceDN w:val="0"/>
              <w:adjustRightInd w:val="0"/>
              <w:rPr>
                <w:rFonts w:eastAsia="Times New Roman" w:cs="Arial"/>
                <w:bCs/>
              </w:rPr>
            </w:pP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lastRenderedPageBreak/>
              <w:t>Rationale for inclusion</w:t>
            </w:r>
          </w:p>
        </w:tc>
        <w:tc>
          <w:tcPr>
            <w:tcW w:w="3696" w:type="pct"/>
          </w:tcPr>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Ensuring efficient investigation, diagnosis and treatment of cancer is essential to ensuring a positive patient experience and improving cancer outcomes.</w:t>
            </w:r>
          </w:p>
          <w:p w:rsidR="00240645" w:rsidRPr="00E509E2" w:rsidRDefault="00240645" w:rsidP="007560B8">
            <w:pPr>
              <w:keepNext/>
              <w:rPr>
                <w:rFonts w:eastAsia="Times New Roman" w:cs="Arial"/>
                <w:bCs/>
                <w:color w:val="000000"/>
                <w:szCs w:val="26"/>
              </w:rPr>
            </w:pPr>
          </w:p>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Roughly 5% of patients wait longer than 104 days from urgent GP referral to first definitive treatment.</w:t>
            </w:r>
          </w:p>
          <w:p w:rsidR="00240645" w:rsidRPr="00E509E2" w:rsidRDefault="00240645" w:rsidP="007560B8">
            <w:pPr>
              <w:keepNext/>
              <w:rPr>
                <w:rFonts w:eastAsia="Times New Roman" w:cs="Arial"/>
                <w:bCs/>
                <w:color w:val="000000"/>
                <w:szCs w:val="26"/>
              </w:rPr>
            </w:pPr>
          </w:p>
          <w:p w:rsidR="00240645" w:rsidRPr="00E509E2" w:rsidRDefault="00240645" w:rsidP="007560B8">
            <w:pPr>
              <w:keepNext/>
              <w:rPr>
                <w:rFonts w:eastAsia="Times New Roman" w:cs="Arial"/>
                <w:bCs/>
                <w:color w:val="000000"/>
                <w:szCs w:val="26"/>
              </w:rPr>
            </w:pPr>
            <w:r w:rsidRPr="00E509E2">
              <w:rPr>
                <w:rFonts w:eastAsia="Times New Roman" w:cs="Arial"/>
                <w:bCs/>
                <w:color w:val="000000"/>
                <w:szCs w:val="26"/>
              </w:rPr>
              <w:t>Such a lengthy delay to treatment could give time for cancer to significantly progress, increasing the probability of a poor patient outcome.</w:t>
            </w:r>
          </w:p>
          <w:p w:rsidR="00240645" w:rsidRPr="00E509E2" w:rsidRDefault="00240645" w:rsidP="007560B8">
            <w:pPr>
              <w:keepNext/>
              <w:rPr>
                <w:rFonts w:eastAsia="Times New Roman" w:cs="Arial"/>
                <w:bCs/>
                <w:color w:val="000000"/>
                <w:szCs w:val="26"/>
              </w:rPr>
            </w:pPr>
          </w:p>
          <w:p w:rsidR="00240645" w:rsidRDefault="00240645" w:rsidP="007560B8">
            <w:pPr>
              <w:keepNext/>
              <w:rPr>
                <w:rFonts w:eastAsia="Times New Roman" w:cs="Arial"/>
                <w:bCs/>
                <w:color w:val="000000"/>
                <w:szCs w:val="26"/>
              </w:rPr>
            </w:pPr>
            <w:r w:rsidRPr="00E509E2">
              <w:rPr>
                <w:rFonts w:eastAsia="Times New Roman" w:cs="Arial"/>
                <w:bCs/>
                <w:color w:val="000000"/>
                <w:szCs w:val="26"/>
              </w:rPr>
              <w:t>Whilst there may be legitimate reasons for some of these waits, such a long delay should be expected to trigger a review process, so that providers can understand the causes of these long waits and put in place processes to avoid them in future.</w:t>
            </w:r>
          </w:p>
          <w:p w:rsidR="00240645" w:rsidRDefault="00240645" w:rsidP="007560B8">
            <w:pPr>
              <w:keepNext/>
              <w:rPr>
                <w:rFonts w:eastAsia="Times New Roman" w:cs="Arial"/>
                <w:bCs/>
                <w:color w:val="000000"/>
                <w:szCs w:val="26"/>
              </w:rPr>
            </w:pPr>
          </w:p>
          <w:p w:rsidR="00240645" w:rsidRDefault="00240645" w:rsidP="007560B8">
            <w:pPr>
              <w:keepNext/>
              <w:rPr>
                <w:rFonts w:eastAsia="Times New Roman" w:cs="Arial"/>
                <w:bCs/>
                <w:color w:val="000000"/>
                <w:szCs w:val="26"/>
              </w:rPr>
            </w:pPr>
            <w:r w:rsidRPr="001D1B09">
              <w:rPr>
                <w:rFonts w:eastAsia="Times New Roman" w:cs="Arial"/>
                <w:bCs/>
                <w:color w:val="000000"/>
                <w:szCs w:val="26"/>
              </w:rPr>
              <w:t>A revised breach allocation policy will be published by the end of March.  Local implementation of this policy should be undertaken as soon as possible, and by October 2016 at the latest, to ensure CQUIN payments accurately reflect provider performance.</w:t>
            </w:r>
          </w:p>
          <w:p w:rsidR="00240645" w:rsidRPr="00E509E2" w:rsidRDefault="00240645" w:rsidP="007560B8">
            <w:pPr>
              <w:keepNext/>
              <w:rPr>
                <w:rFonts w:eastAsia="Times New Roman" w:cs="Arial"/>
                <w:bCs/>
                <w:color w:val="000000"/>
                <w:szCs w:val="26"/>
              </w:rPr>
            </w:pP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Data source</w:t>
            </w:r>
          </w:p>
        </w:tc>
        <w:tc>
          <w:tcPr>
            <w:tcW w:w="3696" w:type="pct"/>
          </w:tcPr>
          <w:p w:rsidR="00240645" w:rsidRPr="00E509E2" w:rsidRDefault="00240645" w:rsidP="007560B8">
            <w:pPr>
              <w:keepNext/>
              <w:contextualSpacing/>
              <w:rPr>
                <w:rFonts w:eastAsia="Times New Roman" w:cs="Arial"/>
                <w:bCs/>
                <w:color w:val="000000"/>
                <w:szCs w:val="26"/>
              </w:rPr>
            </w:pPr>
            <w:r w:rsidRPr="00E509E2">
              <w:rPr>
                <w:rFonts w:eastAsia="Times New Roman" w:cs="Arial"/>
                <w:bCs/>
                <w:color w:val="000000"/>
                <w:szCs w:val="26"/>
              </w:rPr>
              <w:t>HSCIC CWT system and local data collection</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Frequency of data collection</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Quarterly</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Organisation responsible for data collection</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Providers</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lastRenderedPageBreak/>
              <w:t>Frequency of reporting to commissioner</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Quarterly</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Baseline period/date</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N/A</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Baseline value</w:t>
            </w:r>
          </w:p>
        </w:tc>
        <w:tc>
          <w:tcPr>
            <w:tcW w:w="3696" w:type="pct"/>
          </w:tcPr>
          <w:p w:rsidR="00240645" w:rsidRPr="00E509E2" w:rsidRDefault="00240645" w:rsidP="007560B8">
            <w:pPr>
              <w:keepNext/>
              <w:contextualSpacing/>
              <w:rPr>
                <w:rFonts w:eastAsia="Times New Roman" w:cs="Arial"/>
                <w:bCs/>
                <w:color w:val="FF0000"/>
              </w:rPr>
            </w:pPr>
            <w:r w:rsidRPr="00E509E2">
              <w:rPr>
                <w:rFonts w:eastAsia="Times New Roman" w:cs="Arial"/>
                <w:bCs/>
              </w:rPr>
              <w:t>N/A</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Final indicator period/date (on which payment is based)</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 xml:space="preserve">Performance is assessed quarterly </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Final indicator value (payment threshold)</w:t>
            </w:r>
          </w:p>
        </w:tc>
        <w:tc>
          <w:tcPr>
            <w:tcW w:w="3696" w:type="pct"/>
          </w:tcPr>
          <w:p w:rsidR="00240645" w:rsidRPr="00E509E2" w:rsidRDefault="00240645" w:rsidP="007560B8">
            <w:pPr>
              <w:keepNext/>
              <w:rPr>
                <w:rFonts w:eastAsia="Times New Roman" w:cs="Arial"/>
                <w:bCs/>
              </w:rPr>
            </w:pPr>
            <w:r w:rsidRPr="00E509E2">
              <w:rPr>
                <w:rFonts w:eastAsia="Times New Roman" w:cs="Arial"/>
                <w:bCs/>
              </w:rPr>
              <w:t>100% in each quarter</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Rules for calculation of payment due at final indicator period/date (including evidence to be supplied to commissioner)</w:t>
            </w:r>
          </w:p>
        </w:tc>
        <w:tc>
          <w:tcPr>
            <w:tcW w:w="3696" w:type="pct"/>
          </w:tcPr>
          <w:p w:rsidR="00240645" w:rsidRPr="00E509E2" w:rsidRDefault="00240645" w:rsidP="007560B8">
            <w:pPr>
              <w:keepNext/>
              <w:rPr>
                <w:rFonts w:eastAsia="Times New Roman" w:cs="Arial"/>
                <w:bCs/>
              </w:rPr>
            </w:pPr>
            <w:r w:rsidRPr="00E509E2">
              <w:rPr>
                <w:rFonts w:eastAsia="Times New Roman" w:cs="Arial"/>
                <w:bCs/>
              </w:rPr>
              <w:t>Quarterly report shows that 100% of long-wait cases received a root-cause analysis and a clinical harm review where a confirmed cancer diagnosis was made. Evidence that a root-cause analysis or clinical harm review is under way can be considered by commissioners in recognition that these analyses can be time consuming.</w:t>
            </w:r>
          </w:p>
          <w:p w:rsidR="00240645" w:rsidRPr="00E509E2" w:rsidRDefault="00240645" w:rsidP="007560B8">
            <w:pPr>
              <w:keepNext/>
              <w:rPr>
                <w:rFonts w:eastAsia="Times New Roman" w:cs="Arial"/>
                <w:bCs/>
              </w:rPr>
            </w:pPr>
          </w:p>
          <w:p w:rsidR="00240645" w:rsidRPr="00E509E2" w:rsidRDefault="00240645" w:rsidP="007560B8">
            <w:pPr>
              <w:keepNext/>
              <w:rPr>
                <w:rFonts w:eastAsia="Times New Roman" w:cs="Arial"/>
                <w:bCs/>
              </w:rPr>
            </w:pPr>
            <w:r w:rsidRPr="00E509E2">
              <w:rPr>
                <w:rFonts w:eastAsia="Times New Roman" w:cs="Arial"/>
                <w:bCs/>
              </w:rPr>
              <w:t>Evidence that reviews have taken place should be submitted to the commissioner for review. This should comprise a summary of review findings or progress towards completion of reviews under way.</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Final indicator reporting date</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As soon as possible after Q4 2016/17</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Are there rules for any agreed in-year milestones that result in payment?</w:t>
            </w:r>
          </w:p>
        </w:tc>
        <w:tc>
          <w:tcPr>
            <w:tcW w:w="3696" w:type="pct"/>
          </w:tcPr>
          <w:p w:rsidR="00240645" w:rsidRPr="00E509E2" w:rsidRDefault="00240645" w:rsidP="007560B8">
            <w:pPr>
              <w:keepNext/>
              <w:contextualSpacing/>
              <w:rPr>
                <w:rFonts w:eastAsia="Times New Roman" w:cs="Arial"/>
                <w:bCs/>
              </w:rPr>
            </w:pPr>
            <w:r w:rsidRPr="00E509E2">
              <w:rPr>
                <w:rFonts w:eastAsia="Times New Roman" w:cs="Arial"/>
                <w:bCs/>
              </w:rPr>
              <w:t>Yes – payment is to be based on performance in each quarter</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Are there any rules for partial achievement of the indicator at the final indicator period/date?</w:t>
            </w:r>
          </w:p>
        </w:tc>
        <w:tc>
          <w:tcPr>
            <w:tcW w:w="3696" w:type="pct"/>
          </w:tcPr>
          <w:p w:rsidR="00240645" w:rsidRPr="00E509E2" w:rsidRDefault="00240645" w:rsidP="007560B8">
            <w:pPr>
              <w:keepNext/>
              <w:contextualSpacing/>
              <w:rPr>
                <w:rFonts w:eastAsia="Calibri" w:cs="Arial"/>
                <w:bCs/>
              </w:rPr>
            </w:pPr>
            <w:r w:rsidRPr="00E509E2">
              <w:rPr>
                <w:rFonts w:eastAsia="Calibri" w:cs="Arial"/>
                <w:bCs/>
              </w:rPr>
              <w:t>No. The threshold needs to be met in each quarter to earn the CQUIN proportion available for that quarter.</w:t>
            </w:r>
          </w:p>
        </w:tc>
      </w:tr>
      <w:tr w:rsidR="00240645" w:rsidRPr="00E509E2" w:rsidTr="007560B8">
        <w:tc>
          <w:tcPr>
            <w:tcW w:w="1304" w:type="pct"/>
          </w:tcPr>
          <w:p w:rsidR="00240645" w:rsidRPr="00E509E2" w:rsidRDefault="00240645" w:rsidP="007560B8">
            <w:pPr>
              <w:spacing w:before="20" w:after="20"/>
              <w:rPr>
                <w:rFonts w:eastAsia="Times New Roman" w:cs="Arial"/>
                <w:b/>
                <w:bCs/>
                <w:color w:val="000000"/>
                <w:szCs w:val="26"/>
              </w:rPr>
            </w:pPr>
            <w:r w:rsidRPr="00E509E2">
              <w:rPr>
                <w:rFonts w:eastAsia="Times New Roman" w:cs="Arial"/>
                <w:b/>
                <w:bCs/>
                <w:color w:val="000000"/>
                <w:szCs w:val="26"/>
              </w:rPr>
              <w:t>EXIT Route</w:t>
            </w:r>
          </w:p>
        </w:tc>
        <w:tc>
          <w:tcPr>
            <w:tcW w:w="3696" w:type="pct"/>
          </w:tcPr>
          <w:p w:rsidR="00240645" w:rsidRPr="00E509E2" w:rsidRDefault="00240645" w:rsidP="007560B8">
            <w:pPr>
              <w:keepNext/>
              <w:contextualSpacing/>
              <w:rPr>
                <w:rFonts w:eastAsia="Times New Roman" w:cs="Arial"/>
                <w:bCs/>
                <w:color w:val="000000"/>
                <w:szCs w:val="26"/>
              </w:rPr>
            </w:pPr>
            <w:r w:rsidRPr="00E509E2">
              <w:rPr>
                <w:rFonts w:eastAsia="Times New Roman" w:cs="Arial"/>
                <w:bCs/>
                <w:color w:val="000000"/>
                <w:szCs w:val="26"/>
              </w:rPr>
              <w:t>To be determined locally</w:t>
            </w:r>
          </w:p>
        </w:tc>
      </w:tr>
    </w:tbl>
    <w:p w:rsidR="007560B8" w:rsidRDefault="007560B8" w:rsidP="00240645">
      <w:pPr>
        <w:spacing w:after="0" w:line="240" w:lineRule="auto"/>
        <w:outlineLvl w:val="0"/>
        <w:rPr>
          <w:rFonts w:ascii="Arial" w:eastAsia="Times New Roman" w:hAnsi="Arial" w:cs="Times New Roman"/>
          <w:bCs/>
          <w:sz w:val="24"/>
          <w:szCs w:val="26"/>
        </w:rPr>
      </w:pPr>
      <w:bookmarkStart w:id="106" w:name="_Toc443663900"/>
      <w:bookmarkStart w:id="107" w:name="_Toc444087420"/>
      <w:bookmarkStart w:id="108" w:name="_Toc444089024"/>
      <w:bookmarkStart w:id="109" w:name="_Toc445216796"/>
    </w:p>
    <w:p w:rsidR="00240645" w:rsidRPr="00E509E2" w:rsidRDefault="00240645" w:rsidP="00240645">
      <w:pPr>
        <w:spacing w:after="0" w:line="240" w:lineRule="auto"/>
        <w:outlineLvl w:val="0"/>
        <w:rPr>
          <w:rFonts w:ascii="Arial" w:eastAsia="Times New Roman" w:hAnsi="Arial" w:cs="Arial"/>
          <w:b/>
          <w:bCs/>
          <w:color w:val="0072C6"/>
          <w:kern w:val="32"/>
          <w:sz w:val="32"/>
          <w:szCs w:val="32"/>
        </w:rPr>
      </w:pPr>
      <w:bookmarkStart w:id="110" w:name="_Toc446331279"/>
      <w:r w:rsidRPr="00E509E2">
        <w:rPr>
          <w:rFonts w:ascii="Arial" w:eastAsia="Times New Roman" w:hAnsi="Arial" w:cs="Arial"/>
          <w:b/>
          <w:bCs/>
          <w:color w:val="0072C6"/>
          <w:kern w:val="32"/>
          <w:sz w:val="32"/>
          <w:szCs w:val="32"/>
        </w:rPr>
        <w:lastRenderedPageBreak/>
        <w:t>Rules for in-year payment</w:t>
      </w:r>
      <w:bookmarkEnd w:id="106"/>
      <w:bookmarkEnd w:id="107"/>
      <w:bookmarkEnd w:id="108"/>
      <w:bookmarkEnd w:id="109"/>
      <w:bookmarkEnd w:id="110"/>
      <w:r w:rsidRPr="00E509E2">
        <w:rPr>
          <w:rFonts w:ascii="Arial" w:eastAsia="Times New Roman" w:hAnsi="Arial" w:cs="Arial"/>
          <w:b/>
          <w:bCs/>
          <w:color w:val="0072C6"/>
          <w:kern w:val="32"/>
          <w:sz w:val="32"/>
          <w:szCs w:val="32"/>
        </w:rPr>
        <w:t xml:space="preserve"> </w:t>
      </w:r>
    </w:p>
    <w:p w:rsidR="00240645" w:rsidRPr="00E509E2" w:rsidRDefault="00240645" w:rsidP="00240645">
      <w:pPr>
        <w:spacing w:after="0" w:line="240" w:lineRule="auto"/>
        <w:rPr>
          <w:rFonts w:ascii="Arial" w:eastAsia="Times New Roman" w:hAnsi="Arial" w:cs="Times New Roman"/>
          <w:bCs/>
          <w:sz w:val="24"/>
          <w:szCs w:val="26"/>
        </w:rPr>
      </w:pPr>
    </w:p>
    <w:p w:rsidR="00240645" w:rsidRPr="00E509E2" w:rsidRDefault="00240645" w:rsidP="00240645">
      <w:pPr>
        <w:pStyle w:val="Heading2"/>
      </w:pPr>
      <w:bookmarkStart w:id="111" w:name="_Toc443663901"/>
      <w:bookmarkStart w:id="112" w:name="_Toc444087421"/>
      <w:bookmarkStart w:id="113" w:name="_Toc444089025"/>
      <w:bookmarkStart w:id="114" w:name="_Toc445216797"/>
      <w:bookmarkStart w:id="115" w:name="_Toc446331280"/>
      <w:r w:rsidRPr="002D3ADD">
        <w:rPr>
          <w:color w:val="auto"/>
        </w:rPr>
        <w:t>Payment rules for part a and b</w:t>
      </w:r>
      <w:bookmarkEnd w:id="111"/>
      <w:bookmarkEnd w:id="112"/>
      <w:bookmarkEnd w:id="113"/>
      <w:bookmarkEnd w:id="114"/>
      <w:bookmarkEnd w:id="115"/>
    </w:p>
    <w:p w:rsidR="00240645" w:rsidRPr="00E509E2" w:rsidRDefault="00240645" w:rsidP="00240645">
      <w:pPr>
        <w:spacing w:after="0" w:line="240" w:lineRule="auto"/>
        <w:rPr>
          <w:rFonts w:ascii="Arial" w:eastAsia="Times New Roman" w:hAnsi="Arial" w:cs="Times New Roman"/>
          <w:bCs/>
          <w:sz w:val="24"/>
          <w:szCs w:val="26"/>
        </w:rPr>
      </w:pPr>
    </w:p>
    <w:tbl>
      <w:tblPr>
        <w:tblStyle w:val="TableGrid4"/>
        <w:tblW w:w="14142" w:type="dxa"/>
        <w:tblLook w:val="04A0" w:firstRow="1" w:lastRow="0" w:firstColumn="1" w:lastColumn="0" w:noHBand="0" w:noVBand="1"/>
        <w:tblCaption w:val="Payment rules for part 4a and 4b"/>
        <w:tblDescription w:val="&#10;Period to which payment relates. % of CQUIN scheme available for achieving threshold in each period &#10;"/>
      </w:tblPr>
      <w:tblGrid>
        <w:gridCol w:w="6687"/>
        <w:gridCol w:w="7455"/>
      </w:tblGrid>
      <w:tr w:rsidR="00240645" w:rsidRPr="00E509E2" w:rsidTr="007560B8">
        <w:trPr>
          <w:trHeight w:val="843"/>
          <w:tblHeader/>
        </w:trPr>
        <w:tc>
          <w:tcPr>
            <w:tcW w:w="6687" w:type="dxa"/>
            <w:shd w:val="clear" w:color="auto" w:fill="0070C0"/>
          </w:tcPr>
          <w:p w:rsidR="00240645" w:rsidRPr="00E509E2" w:rsidRDefault="00240645" w:rsidP="007560B8">
            <w:pPr>
              <w:spacing w:before="20" w:after="20"/>
              <w:jc w:val="center"/>
              <w:rPr>
                <w:rFonts w:eastAsia="Times New Roman" w:cs="Arial"/>
                <w:b/>
                <w:bCs/>
                <w:color w:val="FFFFFF"/>
              </w:rPr>
            </w:pPr>
            <w:r w:rsidRPr="00E509E2">
              <w:rPr>
                <w:rFonts w:eastAsia="Times New Roman" w:cs="Arial"/>
                <w:b/>
                <w:bCs/>
                <w:color w:val="FFFFFF"/>
              </w:rPr>
              <w:t>Period to which payment relates</w:t>
            </w:r>
          </w:p>
        </w:tc>
        <w:tc>
          <w:tcPr>
            <w:tcW w:w="7455" w:type="dxa"/>
            <w:shd w:val="clear" w:color="auto" w:fill="0070C0"/>
          </w:tcPr>
          <w:p w:rsidR="00240645" w:rsidRPr="00E509E2" w:rsidRDefault="00240645" w:rsidP="007560B8">
            <w:pPr>
              <w:spacing w:before="20" w:after="20"/>
              <w:jc w:val="center"/>
              <w:rPr>
                <w:rFonts w:eastAsia="Times New Roman" w:cs="Arial"/>
                <w:b/>
                <w:bCs/>
                <w:color w:val="FFFFFF"/>
              </w:rPr>
            </w:pPr>
            <w:r w:rsidRPr="00E509E2">
              <w:rPr>
                <w:rFonts w:eastAsia="Times New Roman" w:cs="Arial"/>
                <w:b/>
                <w:bCs/>
                <w:color w:val="FFFFFF"/>
              </w:rPr>
              <w:t xml:space="preserve">% of CQUIN scheme available for achieving threshold in each period </w:t>
            </w:r>
          </w:p>
        </w:tc>
      </w:tr>
      <w:tr w:rsidR="00240645" w:rsidRPr="00E509E2" w:rsidTr="007560B8">
        <w:trPr>
          <w:trHeight w:val="251"/>
        </w:trPr>
        <w:tc>
          <w:tcPr>
            <w:tcW w:w="6687" w:type="dxa"/>
          </w:tcPr>
          <w:p w:rsidR="00240645" w:rsidRPr="00E509E2" w:rsidRDefault="00240645" w:rsidP="007560B8">
            <w:pPr>
              <w:rPr>
                <w:rFonts w:eastAsia="Calibri" w:cs="Arial"/>
                <w:bCs/>
              </w:rPr>
            </w:pPr>
            <w:r w:rsidRPr="00E509E2">
              <w:rPr>
                <w:rFonts w:eastAsia="Times New Roman" w:cs="Arial"/>
                <w:bCs/>
                <w:szCs w:val="26"/>
              </w:rPr>
              <w:t xml:space="preserve">Q1 </w:t>
            </w:r>
          </w:p>
        </w:tc>
        <w:tc>
          <w:tcPr>
            <w:tcW w:w="7455" w:type="dxa"/>
          </w:tcPr>
          <w:p w:rsidR="00240645" w:rsidRPr="00E509E2" w:rsidRDefault="00240645" w:rsidP="007560B8">
            <w:pPr>
              <w:rPr>
                <w:rFonts w:eastAsia="Times New Roman" w:cs="Arial"/>
                <w:bCs/>
              </w:rPr>
            </w:pPr>
            <w:r w:rsidRPr="00E509E2">
              <w:rPr>
                <w:rFonts w:eastAsia="Times New Roman" w:cs="Arial"/>
                <w:bCs/>
                <w:szCs w:val="26"/>
              </w:rPr>
              <w:t>25%</w:t>
            </w:r>
          </w:p>
        </w:tc>
      </w:tr>
      <w:tr w:rsidR="00240645" w:rsidRPr="00E509E2" w:rsidTr="007560B8">
        <w:trPr>
          <w:trHeight w:val="269"/>
        </w:trPr>
        <w:tc>
          <w:tcPr>
            <w:tcW w:w="6687" w:type="dxa"/>
          </w:tcPr>
          <w:p w:rsidR="00240645" w:rsidRPr="00E509E2" w:rsidRDefault="00240645" w:rsidP="007560B8">
            <w:pPr>
              <w:rPr>
                <w:rFonts w:eastAsia="Times New Roman" w:cs="Arial"/>
                <w:bCs/>
                <w:szCs w:val="26"/>
              </w:rPr>
            </w:pPr>
            <w:r w:rsidRPr="00E509E2">
              <w:rPr>
                <w:rFonts w:eastAsia="Times New Roman" w:cs="Arial"/>
                <w:bCs/>
                <w:szCs w:val="26"/>
              </w:rPr>
              <w:t>Q2</w:t>
            </w:r>
          </w:p>
        </w:tc>
        <w:tc>
          <w:tcPr>
            <w:tcW w:w="7455" w:type="dxa"/>
          </w:tcPr>
          <w:p w:rsidR="00240645" w:rsidRPr="00E509E2" w:rsidRDefault="00240645" w:rsidP="007560B8">
            <w:pPr>
              <w:rPr>
                <w:rFonts w:eastAsia="Times New Roman" w:cs="Arial"/>
                <w:bCs/>
                <w:szCs w:val="26"/>
              </w:rPr>
            </w:pPr>
            <w:r w:rsidRPr="00E509E2">
              <w:rPr>
                <w:rFonts w:eastAsia="Times New Roman" w:cs="Arial"/>
                <w:bCs/>
                <w:szCs w:val="26"/>
              </w:rPr>
              <w:t>25%</w:t>
            </w:r>
          </w:p>
        </w:tc>
      </w:tr>
      <w:tr w:rsidR="00240645" w:rsidRPr="00E509E2" w:rsidTr="007560B8">
        <w:trPr>
          <w:trHeight w:val="269"/>
        </w:trPr>
        <w:tc>
          <w:tcPr>
            <w:tcW w:w="6687" w:type="dxa"/>
          </w:tcPr>
          <w:p w:rsidR="00240645" w:rsidRPr="00E509E2" w:rsidRDefault="00240645" w:rsidP="007560B8">
            <w:pPr>
              <w:rPr>
                <w:rFonts w:eastAsia="Times New Roman" w:cs="Arial"/>
                <w:bCs/>
                <w:szCs w:val="26"/>
              </w:rPr>
            </w:pPr>
            <w:r w:rsidRPr="00E509E2">
              <w:rPr>
                <w:rFonts w:eastAsia="Times New Roman" w:cs="Arial"/>
                <w:bCs/>
                <w:szCs w:val="26"/>
              </w:rPr>
              <w:t>Q3</w:t>
            </w:r>
          </w:p>
        </w:tc>
        <w:tc>
          <w:tcPr>
            <w:tcW w:w="7455" w:type="dxa"/>
          </w:tcPr>
          <w:p w:rsidR="00240645" w:rsidRPr="00E509E2" w:rsidRDefault="00240645" w:rsidP="007560B8">
            <w:pPr>
              <w:rPr>
                <w:rFonts w:eastAsia="Times New Roman" w:cs="Arial"/>
                <w:bCs/>
                <w:szCs w:val="26"/>
              </w:rPr>
            </w:pPr>
            <w:r w:rsidRPr="00E509E2">
              <w:rPr>
                <w:rFonts w:eastAsia="Times New Roman" w:cs="Arial"/>
                <w:bCs/>
                <w:szCs w:val="26"/>
              </w:rPr>
              <w:t>25%</w:t>
            </w:r>
          </w:p>
        </w:tc>
      </w:tr>
      <w:tr w:rsidR="00240645" w:rsidRPr="00E509E2" w:rsidTr="007560B8">
        <w:trPr>
          <w:trHeight w:val="126"/>
        </w:trPr>
        <w:tc>
          <w:tcPr>
            <w:tcW w:w="6687" w:type="dxa"/>
          </w:tcPr>
          <w:p w:rsidR="00240645" w:rsidRPr="00E509E2" w:rsidRDefault="00240645" w:rsidP="007560B8">
            <w:pPr>
              <w:rPr>
                <w:rFonts w:eastAsia="Times New Roman" w:cs="Arial"/>
                <w:bCs/>
                <w:szCs w:val="26"/>
              </w:rPr>
            </w:pPr>
            <w:r w:rsidRPr="00E509E2">
              <w:rPr>
                <w:rFonts w:eastAsia="Times New Roman" w:cs="Arial"/>
                <w:bCs/>
                <w:szCs w:val="26"/>
              </w:rPr>
              <w:t>Q4</w:t>
            </w:r>
          </w:p>
        </w:tc>
        <w:tc>
          <w:tcPr>
            <w:tcW w:w="7455" w:type="dxa"/>
          </w:tcPr>
          <w:p w:rsidR="00240645" w:rsidRPr="00E509E2" w:rsidRDefault="00240645" w:rsidP="007560B8">
            <w:pPr>
              <w:rPr>
                <w:rFonts w:eastAsia="Times New Roman" w:cs="Arial"/>
                <w:bCs/>
                <w:szCs w:val="26"/>
              </w:rPr>
            </w:pPr>
            <w:r w:rsidRPr="00E509E2">
              <w:rPr>
                <w:rFonts w:eastAsia="Times New Roman" w:cs="Arial"/>
                <w:bCs/>
                <w:szCs w:val="26"/>
              </w:rPr>
              <w:t>25%</w:t>
            </w:r>
          </w:p>
        </w:tc>
      </w:tr>
      <w:tr w:rsidR="00240645" w:rsidRPr="00E509E2" w:rsidTr="007560B8">
        <w:trPr>
          <w:trHeight w:val="126"/>
        </w:trPr>
        <w:tc>
          <w:tcPr>
            <w:tcW w:w="6687" w:type="dxa"/>
          </w:tcPr>
          <w:p w:rsidR="00240645" w:rsidRPr="00E509E2" w:rsidRDefault="00240645" w:rsidP="007560B8">
            <w:pPr>
              <w:rPr>
                <w:rFonts w:eastAsia="Times New Roman" w:cs="Arial"/>
                <w:bCs/>
                <w:szCs w:val="26"/>
              </w:rPr>
            </w:pPr>
            <w:r w:rsidRPr="00E509E2">
              <w:rPr>
                <w:rFonts w:eastAsia="Times New Roman" w:cs="Arial"/>
                <w:bCs/>
                <w:szCs w:val="26"/>
              </w:rPr>
              <w:t>Total</w:t>
            </w:r>
          </w:p>
        </w:tc>
        <w:tc>
          <w:tcPr>
            <w:tcW w:w="7455" w:type="dxa"/>
          </w:tcPr>
          <w:p w:rsidR="00240645" w:rsidRPr="00E509E2" w:rsidRDefault="00240645" w:rsidP="007560B8">
            <w:pPr>
              <w:rPr>
                <w:rFonts w:eastAsia="Times New Roman" w:cs="Arial"/>
                <w:bCs/>
                <w:szCs w:val="26"/>
              </w:rPr>
            </w:pPr>
            <w:r w:rsidRPr="00E509E2">
              <w:rPr>
                <w:rFonts w:eastAsia="Times New Roman" w:cs="Arial"/>
                <w:bCs/>
                <w:szCs w:val="26"/>
              </w:rPr>
              <w:t>100%</w:t>
            </w:r>
          </w:p>
        </w:tc>
      </w:tr>
    </w:tbl>
    <w:p w:rsidR="00240645" w:rsidRPr="00E509E2" w:rsidRDefault="00240645" w:rsidP="00240645">
      <w:pPr>
        <w:spacing w:after="0" w:line="240" w:lineRule="auto"/>
        <w:rPr>
          <w:rFonts w:ascii="Arial" w:eastAsia="Times New Roman" w:hAnsi="Arial" w:cs="Times New Roman"/>
          <w:bCs/>
          <w:sz w:val="24"/>
          <w:szCs w:val="26"/>
        </w:rPr>
      </w:pPr>
    </w:p>
    <w:p w:rsidR="00240645" w:rsidRPr="00E509E2" w:rsidRDefault="00240645" w:rsidP="00240645">
      <w:pPr>
        <w:spacing w:after="0" w:line="240" w:lineRule="auto"/>
        <w:rPr>
          <w:rFonts w:ascii="Arial" w:eastAsia="Times New Roman" w:hAnsi="Arial" w:cs="Times New Roman"/>
          <w:bCs/>
          <w:sz w:val="24"/>
          <w:szCs w:val="26"/>
        </w:rPr>
      </w:pPr>
    </w:p>
    <w:p w:rsidR="00240645" w:rsidRPr="00E509E2" w:rsidRDefault="00240645" w:rsidP="00240645">
      <w:pPr>
        <w:spacing w:after="0" w:line="240" w:lineRule="auto"/>
        <w:outlineLvl w:val="0"/>
        <w:rPr>
          <w:rFonts w:ascii="Arial" w:eastAsia="Times New Roman" w:hAnsi="Arial" w:cs="Arial"/>
          <w:b/>
          <w:bCs/>
          <w:color w:val="0072C6"/>
          <w:kern w:val="32"/>
          <w:sz w:val="32"/>
          <w:szCs w:val="32"/>
        </w:rPr>
      </w:pPr>
      <w:bookmarkStart w:id="116" w:name="_Supporting_Guidance_and"/>
      <w:bookmarkStart w:id="117" w:name="_Toc443663902"/>
      <w:bookmarkStart w:id="118" w:name="_Toc444087422"/>
      <w:bookmarkStart w:id="119" w:name="_Toc444089026"/>
      <w:bookmarkStart w:id="120" w:name="_Toc445216798"/>
      <w:bookmarkStart w:id="121" w:name="_Toc446331281"/>
      <w:bookmarkEnd w:id="116"/>
      <w:r w:rsidRPr="00E509E2">
        <w:rPr>
          <w:rFonts w:ascii="Arial" w:eastAsia="Times New Roman" w:hAnsi="Arial" w:cs="Arial"/>
          <w:b/>
          <w:bCs/>
          <w:color w:val="0072C6"/>
          <w:kern w:val="32"/>
          <w:sz w:val="32"/>
          <w:szCs w:val="32"/>
        </w:rPr>
        <w:t>Supporting Guidance and References</w:t>
      </w:r>
      <w:bookmarkEnd w:id="117"/>
      <w:bookmarkEnd w:id="118"/>
      <w:bookmarkEnd w:id="119"/>
      <w:bookmarkEnd w:id="120"/>
      <w:bookmarkEnd w:id="121"/>
    </w:p>
    <w:p w:rsidR="00240645" w:rsidRPr="00E509E2" w:rsidRDefault="00240645" w:rsidP="00240645">
      <w:pPr>
        <w:spacing w:after="0" w:line="240" w:lineRule="auto"/>
        <w:rPr>
          <w:rFonts w:ascii="Arial" w:eastAsia="Times New Roman" w:hAnsi="Arial" w:cs="Times New Roman"/>
          <w:bCs/>
          <w:sz w:val="24"/>
          <w:szCs w:val="26"/>
        </w:rPr>
      </w:pPr>
    </w:p>
    <w:p w:rsidR="00240645" w:rsidRPr="007560B8" w:rsidRDefault="00240645" w:rsidP="00240645">
      <w:pPr>
        <w:pStyle w:val="ListParagraph"/>
        <w:numPr>
          <w:ilvl w:val="0"/>
          <w:numId w:val="15"/>
        </w:numPr>
        <w:rPr>
          <w:color w:val="0070C0"/>
        </w:rPr>
      </w:pPr>
      <w:r w:rsidRPr="003118BB">
        <w:t xml:space="preserve">Further information on Cancer Waiting Times can be found here: </w:t>
      </w:r>
      <w:hyperlink r:id="rId16" w:history="1">
        <w:r w:rsidRPr="007560B8">
          <w:rPr>
            <w:color w:val="0070C0"/>
            <w:u w:val="single"/>
          </w:rPr>
          <w:t>https://www.england.nhs.uk/statistics/category/statistics/provider-waiting-cancer/</w:t>
        </w:r>
      </w:hyperlink>
    </w:p>
    <w:p w:rsidR="00240645" w:rsidRDefault="00240645" w:rsidP="00240645">
      <w:pPr>
        <w:pStyle w:val="ListParagraph"/>
      </w:pPr>
    </w:p>
    <w:p w:rsidR="00240645" w:rsidRPr="003144A3" w:rsidRDefault="00240645" w:rsidP="00240645">
      <w:pPr>
        <w:pStyle w:val="ListParagraph"/>
        <w:numPr>
          <w:ilvl w:val="0"/>
          <w:numId w:val="15"/>
        </w:numPr>
      </w:pPr>
      <w:r w:rsidRPr="00074515">
        <w:t xml:space="preserve">The ‘backstop policy’ on managing long waiters can be found here: </w:t>
      </w:r>
      <w:hyperlink r:id="rId17" w:history="1">
        <w:r w:rsidRPr="007560B8">
          <w:rPr>
            <w:color w:val="0070C0"/>
            <w:u w:val="single"/>
          </w:rPr>
          <w:t>https://www.england.nhs.uk/wp-content/uploads/2015/11/managing-long-waiting-cancer-patients.pdf</w:t>
        </w:r>
      </w:hyperlink>
    </w:p>
    <w:p w:rsidR="00240645" w:rsidRPr="00074515" w:rsidRDefault="00240645" w:rsidP="00240645"/>
    <w:p w:rsidR="00240645" w:rsidRDefault="00240645" w:rsidP="00240645">
      <w:pPr>
        <w:pStyle w:val="ListParagraph"/>
      </w:pPr>
    </w:p>
    <w:p w:rsidR="00117D74" w:rsidRPr="00117D74" w:rsidRDefault="00117D74" w:rsidP="00240645">
      <w:pPr>
        <w:spacing w:after="0" w:line="240" w:lineRule="auto"/>
        <w:rPr>
          <w:rFonts w:ascii="Arial" w:eastAsia="Times New Roman" w:hAnsi="Arial" w:cs="Times New Roman"/>
          <w:b/>
          <w:bCs/>
          <w:color w:val="0072C6"/>
          <w:sz w:val="32"/>
          <w:szCs w:val="32"/>
        </w:rPr>
      </w:pPr>
    </w:p>
    <w:sectPr w:rsidR="00117D74" w:rsidRPr="00117D74" w:rsidSect="00052EBB">
      <w:footerReference w:type="default" r:id="rId1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0B8" w:rsidRDefault="007560B8" w:rsidP="007A4AA1">
      <w:pPr>
        <w:spacing w:after="0" w:line="240" w:lineRule="auto"/>
      </w:pPr>
      <w:r>
        <w:separator/>
      </w:r>
    </w:p>
  </w:endnote>
  <w:endnote w:type="continuationSeparator" w:id="0">
    <w:p w:rsidR="007560B8" w:rsidRDefault="007560B8" w:rsidP="007A4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765733"/>
      <w:docPartObj>
        <w:docPartGallery w:val="Page Numbers (Bottom of Page)"/>
        <w:docPartUnique/>
      </w:docPartObj>
    </w:sdtPr>
    <w:sdtEndPr>
      <w:rPr>
        <w:rFonts w:ascii="Arial" w:hAnsi="Arial" w:cs="Arial"/>
        <w:noProof/>
        <w:sz w:val="24"/>
        <w:szCs w:val="24"/>
      </w:rPr>
    </w:sdtEndPr>
    <w:sdtContent>
      <w:p w:rsidR="007560B8" w:rsidRPr="0034212F" w:rsidRDefault="007560B8" w:rsidP="00800A18">
        <w:pPr>
          <w:pStyle w:val="Footer"/>
          <w:tabs>
            <w:tab w:val="left" w:pos="7920"/>
          </w:tabs>
          <w:rPr>
            <w:rFonts w:ascii="Arial" w:eastAsia="Times New Roman" w:hAnsi="Arial" w:cs="Times New Roman"/>
            <w:bCs/>
          </w:rPr>
        </w:pPr>
        <w:r w:rsidRPr="0034212F">
          <w:rPr>
            <w:rFonts w:ascii="Arial" w:eastAsia="Times New Roman" w:hAnsi="Arial" w:cs="Times New Roman"/>
            <w:b/>
            <w:bCs/>
          </w:rPr>
          <w:t>Gateway Reference Number</w:t>
        </w:r>
        <w:r w:rsidRPr="0034212F">
          <w:rPr>
            <w:rFonts w:ascii="Arial" w:eastAsia="Times New Roman" w:hAnsi="Arial" w:cs="Times New Roman"/>
            <w:bCs/>
          </w:rPr>
          <w:t xml:space="preserve">: </w:t>
        </w:r>
        <w:r w:rsidRPr="0034212F">
          <w:rPr>
            <w:rFonts w:ascii="Arial" w:eastAsia="Times New Roman" w:hAnsi="Arial" w:cs="Times New Roman"/>
            <w:b/>
            <w:bCs/>
          </w:rPr>
          <w:t>04225</w:t>
        </w:r>
        <w:r w:rsidRPr="0034212F">
          <w:rPr>
            <w:rFonts w:ascii="Arial" w:eastAsia="Times New Roman" w:hAnsi="Arial" w:cs="Times New Roman"/>
            <w:bCs/>
          </w:rPr>
          <w:tab/>
        </w:r>
      </w:p>
      <w:p w:rsidR="007560B8" w:rsidRPr="00B65456" w:rsidRDefault="007560B8" w:rsidP="00800A18">
        <w:pPr>
          <w:spacing w:after="0" w:line="240" w:lineRule="auto"/>
          <w:rPr>
            <w:rFonts w:ascii="Arial" w:eastAsia="Times New Roman" w:hAnsi="Arial" w:cs="Arial"/>
            <w:bCs/>
            <w:color w:val="000000"/>
            <w:sz w:val="24"/>
          </w:rPr>
        </w:pPr>
        <w:r w:rsidRPr="00B65456">
          <w:rPr>
            <w:rFonts w:ascii="Arial" w:eastAsia="Times New Roman" w:hAnsi="Arial" w:cs="Arial"/>
            <w:b/>
            <w:bCs/>
            <w:sz w:val="24"/>
          </w:rPr>
          <w:t>NB</w:t>
        </w:r>
        <w:r w:rsidRPr="00B65456">
          <w:rPr>
            <w:rFonts w:ascii="Arial" w:eastAsia="Times New Roman" w:hAnsi="Arial" w:cs="Arial"/>
            <w:bCs/>
            <w:sz w:val="24"/>
          </w:rPr>
          <w:t xml:space="preserve">: This document forms part of the </w:t>
        </w:r>
        <w:r w:rsidRPr="00B65456">
          <w:rPr>
            <w:rFonts w:ascii="Arial" w:eastAsia="Times New Roman" w:hAnsi="Arial" w:cs="Arial"/>
            <w:b/>
            <w:bCs/>
            <w:sz w:val="24"/>
          </w:rPr>
          <w:t>CQUIN Guidance for 2016/17</w:t>
        </w:r>
        <w:r w:rsidRPr="00B65456">
          <w:rPr>
            <w:rFonts w:ascii="Arial" w:eastAsia="Times New Roman" w:hAnsi="Arial" w:cs="Arial"/>
            <w:b/>
            <w:bCs/>
            <w:i/>
            <w:sz w:val="24"/>
          </w:rPr>
          <w:t xml:space="preserve"> </w:t>
        </w:r>
        <w:r w:rsidRPr="00B65456">
          <w:rPr>
            <w:rFonts w:ascii="Arial" w:eastAsia="Times New Roman" w:hAnsi="Arial" w:cs="Arial"/>
            <w:bCs/>
            <w:sz w:val="24"/>
          </w:rPr>
          <w:t xml:space="preserve">which can be found here: </w:t>
        </w:r>
        <w:hyperlink r:id="rId1" w:history="1">
          <w:r w:rsidRPr="00B65456">
            <w:rPr>
              <w:rStyle w:val="Hyperlink"/>
              <w:rFonts w:ascii="Arial" w:hAnsi="Arial" w:cs="Arial"/>
              <w:color w:val="0070C0"/>
              <w:sz w:val="24"/>
            </w:rPr>
            <w:t>https://www.england.nhs.uk/nhs-standard-contract/cquin/cquin-16-17/</w:t>
          </w:r>
        </w:hyperlink>
      </w:p>
      <w:p w:rsidR="007560B8" w:rsidRDefault="007560B8" w:rsidP="00800A18">
        <w:pPr>
          <w:pStyle w:val="Footer"/>
        </w:pPr>
      </w:p>
      <w:p w:rsidR="007560B8" w:rsidRPr="007A4AA1" w:rsidRDefault="007560B8">
        <w:pPr>
          <w:pStyle w:val="Footer"/>
          <w:jc w:val="right"/>
          <w:rPr>
            <w:rFonts w:ascii="Arial" w:hAnsi="Arial" w:cs="Arial"/>
            <w:sz w:val="24"/>
            <w:szCs w:val="24"/>
          </w:rPr>
        </w:pPr>
        <w:r w:rsidRPr="007A4AA1">
          <w:rPr>
            <w:rFonts w:ascii="Arial" w:hAnsi="Arial" w:cs="Arial"/>
            <w:sz w:val="24"/>
            <w:szCs w:val="24"/>
          </w:rPr>
          <w:fldChar w:fldCharType="begin"/>
        </w:r>
        <w:r w:rsidRPr="007A4AA1">
          <w:rPr>
            <w:rFonts w:ascii="Arial" w:hAnsi="Arial" w:cs="Arial"/>
            <w:sz w:val="24"/>
            <w:szCs w:val="24"/>
          </w:rPr>
          <w:instrText xml:space="preserve"> PAGE   \* MERGEFORMAT </w:instrText>
        </w:r>
        <w:r w:rsidRPr="007A4AA1">
          <w:rPr>
            <w:rFonts w:ascii="Arial" w:hAnsi="Arial" w:cs="Arial"/>
            <w:sz w:val="24"/>
            <w:szCs w:val="24"/>
          </w:rPr>
          <w:fldChar w:fldCharType="separate"/>
        </w:r>
        <w:r w:rsidR="00C11470">
          <w:rPr>
            <w:rFonts w:ascii="Arial" w:hAnsi="Arial" w:cs="Arial"/>
            <w:noProof/>
            <w:sz w:val="24"/>
            <w:szCs w:val="24"/>
          </w:rPr>
          <w:t>4</w:t>
        </w:r>
        <w:r w:rsidRPr="007A4AA1">
          <w:rPr>
            <w:rFonts w:ascii="Arial" w:hAnsi="Arial" w:cs="Arial"/>
            <w:noProof/>
            <w:sz w:val="24"/>
            <w:szCs w:val="24"/>
          </w:rPr>
          <w:fldChar w:fldCharType="end"/>
        </w:r>
      </w:p>
    </w:sdtContent>
  </w:sdt>
  <w:p w:rsidR="007560B8" w:rsidRDefault="007560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0B8" w:rsidRDefault="007560B8" w:rsidP="007A4AA1">
      <w:pPr>
        <w:spacing w:after="0" w:line="240" w:lineRule="auto"/>
      </w:pPr>
      <w:r>
        <w:separator/>
      </w:r>
    </w:p>
  </w:footnote>
  <w:footnote w:type="continuationSeparator" w:id="0">
    <w:p w:rsidR="007560B8" w:rsidRDefault="007560B8" w:rsidP="007A4AA1">
      <w:pPr>
        <w:spacing w:after="0" w:line="240" w:lineRule="auto"/>
      </w:pPr>
      <w:r>
        <w:continuationSeparator/>
      </w:r>
    </w:p>
  </w:footnote>
  <w:footnote w:id="1">
    <w:p w:rsidR="007560B8" w:rsidRPr="008C4626" w:rsidRDefault="007560B8" w:rsidP="007A4AA1">
      <w:pPr>
        <w:pStyle w:val="FootnoteText"/>
        <w:rPr>
          <w:rFonts w:cs="Arial"/>
          <w:sz w:val="24"/>
          <w:szCs w:val="24"/>
        </w:rPr>
      </w:pPr>
      <w:r w:rsidRPr="008C4626">
        <w:rPr>
          <w:rStyle w:val="FootnoteReference"/>
          <w:sz w:val="24"/>
          <w:szCs w:val="24"/>
        </w:rPr>
        <w:footnoteRef/>
      </w:r>
      <w:r w:rsidRPr="008C4626">
        <w:rPr>
          <w:sz w:val="24"/>
          <w:szCs w:val="24"/>
          <w:lang w:val="fr-FR"/>
        </w:rPr>
        <w:t xml:space="preserve">  </w:t>
      </w:r>
      <w:r w:rsidRPr="008C4626">
        <w:rPr>
          <w:rFonts w:cs="Arial"/>
          <w:sz w:val="24"/>
          <w:szCs w:val="24"/>
          <w:lang w:val="fr-FR"/>
        </w:rPr>
        <w:t xml:space="preserve">Garcia-Garcia FJ, Gutierrez Avila G, Alfaro-Acha A, et al; Toledo </w:t>
      </w:r>
      <w:proofErr w:type="spellStart"/>
      <w:r w:rsidRPr="008C4626">
        <w:rPr>
          <w:rFonts w:cs="Arial"/>
          <w:sz w:val="24"/>
          <w:szCs w:val="24"/>
          <w:lang w:val="fr-FR"/>
        </w:rPr>
        <w:t>Study</w:t>
      </w:r>
      <w:proofErr w:type="spellEnd"/>
      <w:r w:rsidRPr="008C4626">
        <w:rPr>
          <w:rFonts w:cs="Arial"/>
          <w:sz w:val="24"/>
          <w:szCs w:val="24"/>
          <w:lang w:val="fr-FR"/>
        </w:rPr>
        <w:t xml:space="preserve"> Group. </w:t>
      </w:r>
      <w:proofErr w:type="gramStart"/>
      <w:r w:rsidRPr="008C4626">
        <w:rPr>
          <w:rFonts w:cs="Arial"/>
          <w:sz w:val="24"/>
          <w:szCs w:val="24"/>
        </w:rPr>
        <w:t>The prevalence of frailty syndrome in an older population from Spain.</w:t>
      </w:r>
      <w:proofErr w:type="gramEnd"/>
      <w:r w:rsidRPr="008C4626">
        <w:rPr>
          <w:rFonts w:cs="Arial"/>
          <w:sz w:val="24"/>
          <w:szCs w:val="24"/>
        </w:rPr>
        <w:t xml:space="preserve"> </w:t>
      </w:r>
      <w:proofErr w:type="gramStart"/>
      <w:r w:rsidRPr="008C4626">
        <w:rPr>
          <w:rFonts w:cs="Arial"/>
          <w:sz w:val="24"/>
          <w:szCs w:val="24"/>
        </w:rPr>
        <w:t>The Toledo Study for Healthy Aging.</w:t>
      </w:r>
      <w:proofErr w:type="gramEnd"/>
      <w:r w:rsidRPr="008C4626">
        <w:rPr>
          <w:rFonts w:cs="Arial"/>
          <w:sz w:val="24"/>
          <w:szCs w:val="24"/>
        </w:rPr>
        <w:t xml:space="preserve"> J </w:t>
      </w:r>
      <w:proofErr w:type="spellStart"/>
      <w:r w:rsidRPr="008C4626">
        <w:rPr>
          <w:rFonts w:cs="Arial"/>
          <w:sz w:val="24"/>
          <w:szCs w:val="24"/>
        </w:rPr>
        <w:t>Nutr</w:t>
      </w:r>
      <w:proofErr w:type="spellEnd"/>
      <w:r w:rsidRPr="008C4626">
        <w:rPr>
          <w:rFonts w:cs="Arial"/>
          <w:sz w:val="24"/>
          <w:szCs w:val="24"/>
        </w:rPr>
        <w:t xml:space="preserve"> Health Aging 2011</w:t>
      </w:r>
      <w:proofErr w:type="gramStart"/>
      <w:r w:rsidRPr="008C4626">
        <w:rPr>
          <w:rFonts w:cs="Arial"/>
          <w:sz w:val="24"/>
          <w:szCs w:val="24"/>
        </w:rPr>
        <w:t>;15:852</w:t>
      </w:r>
      <w:proofErr w:type="gramEnd"/>
      <w:r w:rsidRPr="008C4626">
        <w:rPr>
          <w:rFonts w:cs="Arial"/>
          <w:sz w:val="24"/>
          <w:szCs w:val="24"/>
        </w:rPr>
        <w:t>-6.</w:t>
      </w:r>
    </w:p>
  </w:footnote>
  <w:footnote w:id="2">
    <w:p w:rsidR="007560B8" w:rsidRPr="008C4626" w:rsidRDefault="007560B8" w:rsidP="007A4AA1">
      <w:pPr>
        <w:pStyle w:val="FootnoteText"/>
        <w:rPr>
          <w:rFonts w:cs="Arial"/>
          <w:sz w:val="24"/>
          <w:szCs w:val="24"/>
        </w:rPr>
      </w:pPr>
      <w:r w:rsidRPr="008C4626">
        <w:rPr>
          <w:rStyle w:val="FootnoteReference"/>
          <w:rFonts w:cs="Arial"/>
          <w:sz w:val="24"/>
          <w:szCs w:val="24"/>
        </w:rPr>
        <w:footnoteRef/>
      </w:r>
      <w:r w:rsidRPr="008C4626">
        <w:rPr>
          <w:rFonts w:cs="Arial"/>
          <w:sz w:val="24"/>
          <w:szCs w:val="24"/>
          <w:lang w:val="nl-NL"/>
        </w:rPr>
        <w:t xml:space="preserve"> </w:t>
      </w:r>
      <w:r w:rsidRPr="008C4626">
        <w:rPr>
          <w:rFonts w:cs="Arial"/>
          <w:noProof/>
          <w:sz w:val="24"/>
          <w:szCs w:val="24"/>
          <w:lang w:val="nl-NL"/>
        </w:rPr>
        <w:t xml:space="preserve">Collard RM, Boter H, Schoevers RA, Oude Voshaar RC. </w:t>
      </w:r>
      <w:r w:rsidRPr="008C4626">
        <w:rPr>
          <w:rFonts w:cs="Arial"/>
          <w:noProof/>
          <w:sz w:val="24"/>
          <w:szCs w:val="24"/>
        </w:rPr>
        <w:t>Prevalence of frailty in community-dwelling older persons: a systematic review. J Am Geriatr Soc. 2012;60(8):1487-92.</w:t>
      </w:r>
    </w:p>
  </w:footnote>
  <w:footnote w:id="3">
    <w:p w:rsidR="007560B8" w:rsidRDefault="007560B8" w:rsidP="007A4AA1">
      <w:pPr>
        <w:pStyle w:val="CommentText"/>
      </w:pPr>
      <w:r w:rsidRPr="008C4626">
        <w:rPr>
          <w:rStyle w:val="FootnoteReference"/>
          <w:rFonts w:eastAsiaTheme="majorEastAsia" w:cs="Arial"/>
          <w:sz w:val="24"/>
          <w:szCs w:val="24"/>
        </w:rPr>
        <w:footnoteRef/>
      </w:r>
      <w:r w:rsidRPr="008C4626">
        <w:rPr>
          <w:rFonts w:cs="Arial"/>
          <w:sz w:val="24"/>
          <w:szCs w:val="24"/>
        </w:rPr>
        <w:t xml:space="preserve"> </w:t>
      </w:r>
      <w:r w:rsidRPr="008C4626">
        <w:rPr>
          <w:rFonts w:cs="Arial"/>
          <w:sz w:val="24"/>
          <w:szCs w:val="24"/>
          <w:shd w:val="clear" w:color="auto" w:fill="FFFFFF"/>
        </w:rPr>
        <w:t xml:space="preserve"> </w:t>
      </w:r>
      <w:proofErr w:type="spellStart"/>
      <w:r w:rsidRPr="008C4626">
        <w:rPr>
          <w:rFonts w:cs="Arial"/>
          <w:sz w:val="24"/>
          <w:szCs w:val="24"/>
          <w:shd w:val="clear" w:color="auto" w:fill="FFFFFF"/>
        </w:rPr>
        <w:t>Mytton</w:t>
      </w:r>
      <w:proofErr w:type="spellEnd"/>
      <w:r w:rsidRPr="008C4626">
        <w:rPr>
          <w:rFonts w:cs="Arial"/>
          <w:sz w:val="24"/>
          <w:szCs w:val="24"/>
          <w:shd w:val="clear" w:color="auto" w:fill="FFFFFF"/>
        </w:rPr>
        <w:t xml:space="preserve"> OT, Oliver D, Mirza N, Lippett J, Chatterjee A, </w:t>
      </w:r>
      <w:proofErr w:type="spellStart"/>
      <w:r w:rsidRPr="008C4626">
        <w:rPr>
          <w:rFonts w:cs="Arial"/>
          <w:sz w:val="24"/>
          <w:szCs w:val="24"/>
          <w:shd w:val="clear" w:color="auto" w:fill="FFFFFF"/>
        </w:rPr>
        <w:t>Ramcharitar</w:t>
      </w:r>
      <w:proofErr w:type="spellEnd"/>
      <w:r w:rsidRPr="008C4626">
        <w:rPr>
          <w:rFonts w:cs="Arial"/>
          <w:sz w:val="24"/>
          <w:szCs w:val="24"/>
          <w:shd w:val="clear" w:color="auto" w:fill="FFFFFF"/>
        </w:rPr>
        <w:t xml:space="preserve"> K, Maxwell J. Avoidable acute hospital admission in older people. Brit J of Healthcare Management 2012;18 (11) 597-603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5B72"/>
    <w:multiLevelType w:val="hybridMultilevel"/>
    <w:tmpl w:val="E9C86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3EA28EC"/>
    <w:multiLevelType w:val="hybridMultilevel"/>
    <w:tmpl w:val="250A3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84644D"/>
    <w:multiLevelType w:val="hybridMultilevel"/>
    <w:tmpl w:val="3CE441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B2E47AC"/>
    <w:multiLevelType w:val="hybridMultilevel"/>
    <w:tmpl w:val="C204CEB0"/>
    <w:lvl w:ilvl="0" w:tplc="C904172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100060F"/>
    <w:multiLevelType w:val="hybridMultilevel"/>
    <w:tmpl w:val="3FAAC9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3CE32C1"/>
    <w:multiLevelType w:val="hybridMultilevel"/>
    <w:tmpl w:val="A7F4AA88"/>
    <w:lvl w:ilvl="0" w:tplc="93A0FE42">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5164E0B"/>
    <w:multiLevelType w:val="hybridMultilevel"/>
    <w:tmpl w:val="731688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6550ADC"/>
    <w:multiLevelType w:val="hybridMultilevel"/>
    <w:tmpl w:val="9E1AEF5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7A27164"/>
    <w:multiLevelType w:val="hybridMultilevel"/>
    <w:tmpl w:val="9A8EC064"/>
    <w:lvl w:ilvl="0" w:tplc="FB86DD26">
      <w:start w:val="25"/>
      <w:numFmt w:val="decimal"/>
      <w:lvlText w:val="%1."/>
      <w:lvlJc w:val="left"/>
      <w:pPr>
        <w:ind w:left="810" w:hanging="45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A911C3E"/>
    <w:multiLevelType w:val="hybridMultilevel"/>
    <w:tmpl w:val="6680D79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0">
    <w:nsid w:val="4E5C6900"/>
    <w:multiLevelType w:val="hybridMultilevel"/>
    <w:tmpl w:val="5D3E7B10"/>
    <w:lvl w:ilvl="0" w:tplc="5820569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3E48C5"/>
    <w:multiLevelType w:val="hybridMultilevel"/>
    <w:tmpl w:val="D9366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81E52B4"/>
    <w:multiLevelType w:val="hybridMultilevel"/>
    <w:tmpl w:val="01F808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AA83A56"/>
    <w:multiLevelType w:val="hybridMultilevel"/>
    <w:tmpl w:val="7E9EF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C074A86"/>
    <w:multiLevelType w:val="hybridMultilevel"/>
    <w:tmpl w:val="96C22C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4"/>
  </w:num>
  <w:num w:numId="3">
    <w:abstractNumId w:val="13"/>
  </w:num>
  <w:num w:numId="4">
    <w:abstractNumId w:val="3"/>
  </w:num>
  <w:num w:numId="5">
    <w:abstractNumId w:val="1"/>
  </w:num>
  <w:num w:numId="6">
    <w:abstractNumId w:val="9"/>
  </w:num>
  <w:num w:numId="7">
    <w:abstractNumId w:val="5"/>
  </w:num>
  <w:num w:numId="8">
    <w:abstractNumId w:val="7"/>
  </w:num>
  <w:num w:numId="9">
    <w:abstractNumId w:val="11"/>
  </w:num>
  <w:num w:numId="10">
    <w:abstractNumId w:val="0"/>
  </w:num>
  <w:num w:numId="11">
    <w:abstractNumId w:val="8"/>
  </w:num>
  <w:num w:numId="12">
    <w:abstractNumId w:val="6"/>
  </w:num>
  <w:num w:numId="13">
    <w:abstractNumId w:val="2"/>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EBB"/>
    <w:rsid w:val="00033AC8"/>
    <w:rsid w:val="00052EBB"/>
    <w:rsid w:val="0005762C"/>
    <w:rsid w:val="000C4669"/>
    <w:rsid w:val="00110F77"/>
    <w:rsid w:val="00117D74"/>
    <w:rsid w:val="002306EB"/>
    <w:rsid w:val="00240645"/>
    <w:rsid w:val="0034212F"/>
    <w:rsid w:val="00363216"/>
    <w:rsid w:val="003C4AF8"/>
    <w:rsid w:val="00452413"/>
    <w:rsid w:val="004741F9"/>
    <w:rsid w:val="00486AA7"/>
    <w:rsid w:val="004B274D"/>
    <w:rsid w:val="006C5B72"/>
    <w:rsid w:val="0070376E"/>
    <w:rsid w:val="00732148"/>
    <w:rsid w:val="007560B8"/>
    <w:rsid w:val="007758B1"/>
    <w:rsid w:val="007A4AA1"/>
    <w:rsid w:val="00800A18"/>
    <w:rsid w:val="00805AED"/>
    <w:rsid w:val="008436C1"/>
    <w:rsid w:val="009152E6"/>
    <w:rsid w:val="0094478D"/>
    <w:rsid w:val="00A617AD"/>
    <w:rsid w:val="00B34989"/>
    <w:rsid w:val="00B52CEB"/>
    <w:rsid w:val="00B65456"/>
    <w:rsid w:val="00BF1A9E"/>
    <w:rsid w:val="00C11470"/>
    <w:rsid w:val="00C26C8C"/>
    <w:rsid w:val="00D230C3"/>
    <w:rsid w:val="00DE362B"/>
    <w:rsid w:val="00F50A4A"/>
    <w:rsid w:val="00F8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62C"/>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05762C"/>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AA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A4AA1"/>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7A4AA1"/>
    <w:rPr>
      <w:rFonts w:ascii="Arial" w:eastAsia="Times New Roman" w:hAnsi="Arial" w:cs="Times New Roman"/>
      <w:bCs/>
      <w:sz w:val="20"/>
      <w:szCs w:val="20"/>
    </w:rPr>
  </w:style>
  <w:style w:type="paragraph" w:styleId="FootnoteText">
    <w:name w:val="footnote text"/>
    <w:basedOn w:val="Normal"/>
    <w:link w:val="FootnoteTextChar"/>
    <w:uiPriority w:val="99"/>
    <w:semiHidden/>
    <w:unhideWhenUsed/>
    <w:rsid w:val="007A4AA1"/>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7A4AA1"/>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7A4AA1"/>
    <w:rPr>
      <w:vertAlign w:val="superscript"/>
    </w:rPr>
  </w:style>
  <w:style w:type="table" w:customStyle="1" w:styleId="TableGrid1">
    <w:name w:val="Table Grid1"/>
    <w:basedOn w:val="TableNormal"/>
    <w:next w:val="TableGrid"/>
    <w:uiPriority w:val="59"/>
    <w:rsid w:val="007A4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AA1"/>
  </w:style>
  <w:style w:type="paragraph" w:styleId="Footer">
    <w:name w:val="footer"/>
    <w:basedOn w:val="Normal"/>
    <w:link w:val="FooterChar"/>
    <w:uiPriority w:val="99"/>
    <w:unhideWhenUsed/>
    <w:rsid w:val="007A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AA1"/>
  </w:style>
  <w:style w:type="character" w:customStyle="1" w:styleId="Heading1Char">
    <w:name w:val="Heading 1 Char"/>
    <w:basedOn w:val="DefaultParagraphFont"/>
    <w:link w:val="Heading1"/>
    <w:uiPriority w:val="9"/>
    <w:rsid w:val="0005762C"/>
    <w:rPr>
      <w:rFonts w:ascii="Arial" w:eastAsiaTheme="majorEastAsia" w:hAnsi="Arial" w:cstheme="majorBidi"/>
      <w:b/>
      <w:bCs/>
      <w:color w:val="0070C0"/>
      <w:sz w:val="32"/>
      <w:szCs w:val="28"/>
    </w:rPr>
  </w:style>
  <w:style w:type="paragraph" w:styleId="TOCHeading">
    <w:name w:val="TOC Heading"/>
    <w:basedOn w:val="Heading1"/>
    <w:next w:val="Normal"/>
    <w:uiPriority w:val="39"/>
    <w:semiHidden/>
    <w:unhideWhenUsed/>
    <w:qFormat/>
    <w:rsid w:val="0070376E"/>
    <w:pPr>
      <w:outlineLvl w:val="9"/>
    </w:pPr>
    <w:rPr>
      <w:lang w:val="en-US" w:eastAsia="ja-JP"/>
    </w:rPr>
  </w:style>
  <w:style w:type="paragraph" w:styleId="TOC1">
    <w:name w:val="toc 1"/>
    <w:basedOn w:val="Normal"/>
    <w:next w:val="Normal"/>
    <w:autoRedefine/>
    <w:uiPriority w:val="39"/>
    <w:unhideWhenUsed/>
    <w:rsid w:val="00C26C8C"/>
    <w:pPr>
      <w:tabs>
        <w:tab w:val="left" w:pos="660"/>
        <w:tab w:val="right" w:leader="dot" w:pos="13948"/>
      </w:tabs>
      <w:spacing w:after="100"/>
    </w:pPr>
    <w:rPr>
      <w:rFonts w:ascii="Arial" w:eastAsiaTheme="majorEastAsia" w:hAnsi="Arial" w:cstheme="majorBidi"/>
      <w:b/>
      <w:bCs/>
      <w:noProof/>
    </w:rPr>
  </w:style>
  <w:style w:type="character" w:styleId="Hyperlink">
    <w:name w:val="Hyperlink"/>
    <w:basedOn w:val="DefaultParagraphFont"/>
    <w:uiPriority w:val="99"/>
    <w:unhideWhenUsed/>
    <w:rsid w:val="0070376E"/>
    <w:rPr>
      <w:color w:val="0000FF" w:themeColor="hyperlink"/>
      <w:u w:val="single"/>
    </w:rPr>
  </w:style>
  <w:style w:type="paragraph" w:styleId="BalloonText">
    <w:name w:val="Balloon Text"/>
    <w:basedOn w:val="Normal"/>
    <w:link w:val="BalloonTextChar"/>
    <w:uiPriority w:val="99"/>
    <w:semiHidden/>
    <w:unhideWhenUsed/>
    <w:rsid w:val="00703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6E"/>
    <w:rPr>
      <w:rFonts w:ascii="Tahoma" w:hAnsi="Tahoma" w:cs="Tahoma"/>
      <w:sz w:val="16"/>
      <w:szCs w:val="16"/>
    </w:rPr>
  </w:style>
  <w:style w:type="character" w:customStyle="1" w:styleId="Heading2Char">
    <w:name w:val="Heading 2 Char"/>
    <w:basedOn w:val="DefaultParagraphFont"/>
    <w:link w:val="Heading2"/>
    <w:uiPriority w:val="9"/>
    <w:rsid w:val="0005762C"/>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B52CEB"/>
    <w:pPr>
      <w:spacing w:after="100"/>
      <w:ind w:left="220"/>
    </w:pPr>
  </w:style>
  <w:style w:type="paragraph" w:styleId="Title">
    <w:name w:val="Title"/>
    <w:basedOn w:val="Normal"/>
    <w:next w:val="Normal"/>
    <w:link w:val="TitleChar"/>
    <w:uiPriority w:val="10"/>
    <w:qFormat/>
    <w:rsid w:val="00486AA7"/>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486AA7"/>
    <w:rPr>
      <w:rFonts w:ascii="Arial" w:eastAsia="Times New Roman" w:hAnsi="Arial" w:cs="Times New Roman"/>
      <w:b/>
      <w:bCs/>
      <w:color w:val="1F497D" w:themeColor="text2"/>
      <w:sz w:val="80"/>
      <w:szCs w:val="80"/>
    </w:rPr>
  </w:style>
  <w:style w:type="paragraph" w:styleId="ListParagraph">
    <w:name w:val="List Paragraph"/>
    <w:basedOn w:val="Normal"/>
    <w:link w:val="ListParagraphChar"/>
    <w:uiPriority w:val="34"/>
    <w:qFormat/>
    <w:rsid w:val="00486AA7"/>
    <w:pPr>
      <w:spacing w:after="0" w:line="240" w:lineRule="auto"/>
      <w:ind w:left="720"/>
      <w:contextualSpacing/>
    </w:pPr>
    <w:rPr>
      <w:rFonts w:ascii="Arial" w:eastAsia="Times New Roman" w:hAnsi="Arial" w:cs="Times New Roman"/>
      <w:bCs/>
      <w:sz w:val="24"/>
      <w:szCs w:val="26"/>
    </w:rPr>
  </w:style>
  <w:style w:type="character" w:customStyle="1" w:styleId="ListParagraphChar">
    <w:name w:val="List Paragraph Char"/>
    <w:basedOn w:val="DefaultParagraphFont"/>
    <w:link w:val="ListParagraph"/>
    <w:uiPriority w:val="34"/>
    <w:rsid w:val="00240645"/>
    <w:rPr>
      <w:rFonts w:ascii="Arial" w:eastAsia="Times New Roman" w:hAnsi="Arial" w:cs="Times New Roman"/>
      <w:bCs/>
      <w:sz w:val="24"/>
      <w:szCs w:val="26"/>
    </w:rPr>
  </w:style>
  <w:style w:type="table" w:customStyle="1" w:styleId="TableGrid4">
    <w:name w:val="Table Grid4"/>
    <w:basedOn w:val="TableNormal"/>
    <w:next w:val="TableGrid"/>
    <w:uiPriority w:val="59"/>
    <w:rsid w:val="00240645"/>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5762C"/>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05762C"/>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A4AA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7A4AA1"/>
    <w:pPr>
      <w:spacing w:after="0" w:line="240" w:lineRule="auto"/>
    </w:pPr>
    <w:rPr>
      <w:rFonts w:ascii="Arial" w:eastAsia="Times New Roman" w:hAnsi="Arial" w:cs="Times New Roman"/>
      <w:bCs/>
      <w:sz w:val="20"/>
      <w:szCs w:val="20"/>
    </w:rPr>
  </w:style>
  <w:style w:type="character" w:customStyle="1" w:styleId="CommentTextChar">
    <w:name w:val="Comment Text Char"/>
    <w:basedOn w:val="DefaultParagraphFont"/>
    <w:link w:val="CommentText"/>
    <w:uiPriority w:val="99"/>
    <w:rsid w:val="007A4AA1"/>
    <w:rPr>
      <w:rFonts w:ascii="Arial" w:eastAsia="Times New Roman" w:hAnsi="Arial" w:cs="Times New Roman"/>
      <w:bCs/>
      <w:sz w:val="20"/>
      <w:szCs w:val="20"/>
    </w:rPr>
  </w:style>
  <w:style w:type="paragraph" w:styleId="FootnoteText">
    <w:name w:val="footnote text"/>
    <w:basedOn w:val="Normal"/>
    <w:link w:val="FootnoteTextChar"/>
    <w:uiPriority w:val="99"/>
    <w:semiHidden/>
    <w:unhideWhenUsed/>
    <w:rsid w:val="007A4AA1"/>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7A4AA1"/>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7A4AA1"/>
    <w:rPr>
      <w:vertAlign w:val="superscript"/>
    </w:rPr>
  </w:style>
  <w:style w:type="table" w:customStyle="1" w:styleId="TableGrid1">
    <w:name w:val="Table Grid1"/>
    <w:basedOn w:val="TableNormal"/>
    <w:next w:val="TableGrid"/>
    <w:uiPriority w:val="59"/>
    <w:rsid w:val="007A4AA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4A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4AA1"/>
  </w:style>
  <w:style w:type="paragraph" w:styleId="Footer">
    <w:name w:val="footer"/>
    <w:basedOn w:val="Normal"/>
    <w:link w:val="FooterChar"/>
    <w:uiPriority w:val="99"/>
    <w:unhideWhenUsed/>
    <w:rsid w:val="007A4A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4AA1"/>
  </w:style>
  <w:style w:type="character" w:customStyle="1" w:styleId="Heading1Char">
    <w:name w:val="Heading 1 Char"/>
    <w:basedOn w:val="DefaultParagraphFont"/>
    <w:link w:val="Heading1"/>
    <w:uiPriority w:val="9"/>
    <w:rsid w:val="0005762C"/>
    <w:rPr>
      <w:rFonts w:ascii="Arial" w:eastAsiaTheme="majorEastAsia" w:hAnsi="Arial" w:cstheme="majorBidi"/>
      <w:b/>
      <w:bCs/>
      <w:color w:val="0070C0"/>
      <w:sz w:val="32"/>
      <w:szCs w:val="28"/>
    </w:rPr>
  </w:style>
  <w:style w:type="paragraph" w:styleId="TOCHeading">
    <w:name w:val="TOC Heading"/>
    <w:basedOn w:val="Heading1"/>
    <w:next w:val="Normal"/>
    <w:uiPriority w:val="39"/>
    <w:semiHidden/>
    <w:unhideWhenUsed/>
    <w:qFormat/>
    <w:rsid w:val="0070376E"/>
    <w:pPr>
      <w:outlineLvl w:val="9"/>
    </w:pPr>
    <w:rPr>
      <w:lang w:val="en-US" w:eastAsia="ja-JP"/>
    </w:rPr>
  </w:style>
  <w:style w:type="paragraph" w:styleId="TOC1">
    <w:name w:val="toc 1"/>
    <w:basedOn w:val="Normal"/>
    <w:next w:val="Normal"/>
    <w:autoRedefine/>
    <w:uiPriority w:val="39"/>
    <w:unhideWhenUsed/>
    <w:rsid w:val="00C26C8C"/>
    <w:pPr>
      <w:tabs>
        <w:tab w:val="left" w:pos="660"/>
        <w:tab w:val="right" w:leader="dot" w:pos="13948"/>
      </w:tabs>
      <w:spacing w:after="100"/>
    </w:pPr>
    <w:rPr>
      <w:rFonts w:ascii="Arial" w:eastAsiaTheme="majorEastAsia" w:hAnsi="Arial" w:cstheme="majorBidi"/>
      <w:b/>
      <w:bCs/>
      <w:noProof/>
    </w:rPr>
  </w:style>
  <w:style w:type="character" w:styleId="Hyperlink">
    <w:name w:val="Hyperlink"/>
    <w:basedOn w:val="DefaultParagraphFont"/>
    <w:uiPriority w:val="99"/>
    <w:unhideWhenUsed/>
    <w:rsid w:val="0070376E"/>
    <w:rPr>
      <w:color w:val="0000FF" w:themeColor="hyperlink"/>
      <w:u w:val="single"/>
    </w:rPr>
  </w:style>
  <w:style w:type="paragraph" w:styleId="BalloonText">
    <w:name w:val="Balloon Text"/>
    <w:basedOn w:val="Normal"/>
    <w:link w:val="BalloonTextChar"/>
    <w:uiPriority w:val="99"/>
    <w:semiHidden/>
    <w:unhideWhenUsed/>
    <w:rsid w:val="007037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376E"/>
    <w:rPr>
      <w:rFonts w:ascii="Tahoma" w:hAnsi="Tahoma" w:cs="Tahoma"/>
      <w:sz w:val="16"/>
      <w:szCs w:val="16"/>
    </w:rPr>
  </w:style>
  <w:style w:type="character" w:customStyle="1" w:styleId="Heading2Char">
    <w:name w:val="Heading 2 Char"/>
    <w:basedOn w:val="DefaultParagraphFont"/>
    <w:link w:val="Heading2"/>
    <w:uiPriority w:val="9"/>
    <w:rsid w:val="0005762C"/>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B52CEB"/>
    <w:pPr>
      <w:spacing w:after="100"/>
      <w:ind w:left="220"/>
    </w:pPr>
  </w:style>
  <w:style w:type="paragraph" w:styleId="Title">
    <w:name w:val="Title"/>
    <w:basedOn w:val="Normal"/>
    <w:next w:val="Normal"/>
    <w:link w:val="TitleChar"/>
    <w:uiPriority w:val="10"/>
    <w:qFormat/>
    <w:rsid w:val="00486AA7"/>
    <w:pPr>
      <w:spacing w:after="0" w:line="240" w:lineRule="auto"/>
    </w:pPr>
    <w:rPr>
      <w:rFonts w:ascii="Arial" w:eastAsia="Times New Roman" w:hAnsi="Arial" w:cs="Times New Roman"/>
      <w:b/>
      <w:bCs/>
      <w:color w:val="1F497D" w:themeColor="text2"/>
      <w:sz w:val="80"/>
      <w:szCs w:val="80"/>
    </w:rPr>
  </w:style>
  <w:style w:type="character" w:customStyle="1" w:styleId="TitleChar">
    <w:name w:val="Title Char"/>
    <w:basedOn w:val="DefaultParagraphFont"/>
    <w:link w:val="Title"/>
    <w:uiPriority w:val="10"/>
    <w:rsid w:val="00486AA7"/>
    <w:rPr>
      <w:rFonts w:ascii="Arial" w:eastAsia="Times New Roman" w:hAnsi="Arial" w:cs="Times New Roman"/>
      <w:b/>
      <w:bCs/>
      <w:color w:val="1F497D" w:themeColor="text2"/>
      <w:sz w:val="80"/>
      <w:szCs w:val="80"/>
    </w:rPr>
  </w:style>
  <w:style w:type="paragraph" w:styleId="ListParagraph">
    <w:name w:val="List Paragraph"/>
    <w:basedOn w:val="Normal"/>
    <w:link w:val="ListParagraphChar"/>
    <w:uiPriority w:val="34"/>
    <w:qFormat/>
    <w:rsid w:val="00486AA7"/>
    <w:pPr>
      <w:spacing w:after="0" w:line="240" w:lineRule="auto"/>
      <w:ind w:left="720"/>
      <w:contextualSpacing/>
    </w:pPr>
    <w:rPr>
      <w:rFonts w:ascii="Arial" w:eastAsia="Times New Roman" w:hAnsi="Arial" w:cs="Times New Roman"/>
      <w:bCs/>
      <w:sz w:val="24"/>
      <w:szCs w:val="26"/>
    </w:rPr>
  </w:style>
  <w:style w:type="character" w:customStyle="1" w:styleId="ListParagraphChar">
    <w:name w:val="List Paragraph Char"/>
    <w:basedOn w:val="DefaultParagraphFont"/>
    <w:link w:val="ListParagraph"/>
    <w:uiPriority w:val="34"/>
    <w:rsid w:val="00240645"/>
    <w:rPr>
      <w:rFonts w:ascii="Arial" w:eastAsia="Times New Roman" w:hAnsi="Arial" w:cs="Times New Roman"/>
      <w:bCs/>
      <w:sz w:val="24"/>
      <w:szCs w:val="26"/>
    </w:rPr>
  </w:style>
  <w:style w:type="table" w:customStyle="1" w:styleId="TableGrid4">
    <w:name w:val="Table Grid4"/>
    <w:basedOn w:val="TableNormal"/>
    <w:next w:val="TableGrid"/>
    <w:uiPriority w:val="59"/>
    <w:rsid w:val="00240645"/>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gland.nhs.uk/ourwork/patientsafety/akiprogramm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england.nhs.uk/2014/06/09/psa-aki/" TargetMode="External"/><Relationship Id="rId17" Type="http://schemas.openxmlformats.org/officeDocument/2006/relationships/hyperlink" Target="https://www.england.nhs.uk/wp-content/uploads/2015/11/managing-long-waiting-cancer-patients.pdf" TargetMode="External"/><Relationship Id="rId2" Type="http://schemas.openxmlformats.org/officeDocument/2006/relationships/numbering" Target="numbering.xml"/><Relationship Id="rId16" Type="http://schemas.openxmlformats.org/officeDocument/2006/relationships/hyperlink" Target="https://www.england.nhs.uk/statistics/category/statistics/provider-waiting-canc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ice.org.uk/guidance/cg49" TargetMode="External"/><Relationship Id="rId5" Type="http://schemas.openxmlformats.org/officeDocument/2006/relationships/settings" Target="settings.xml"/><Relationship Id="rId15" Type="http://schemas.openxmlformats.org/officeDocument/2006/relationships/hyperlink" Target="http://www.theisn.org/isn-information/0-by-25-initiative/all/itemid-1370" TargetMode="External"/><Relationship Id="rId10" Type="http://schemas.openxmlformats.org/officeDocument/2006/relationships/image" Target="media/image2.emf"/><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renal.org/clinical/guidelinessection/AcuteKidneyInjury.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80EF1B-621F-4AC2-9A3C-93827D8AE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38</Pages>
  <Words>5763</Words>
  <Characters>32851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38537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Cooper, Jennifer</cp:lastModifiedBy>
  <cp:revision>9</cp:revision>
  <dcterms:created xsi:type="dcterms:W3CDTF">2016-03-18T17:30:00Z</dcterms:created>
  <dcterms:modified xsi:type="dcterms:W3CDTF">2016-03-21T13:49:00Z</dcterms:modified>
</cp:coreProperties>
</file>