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AD" w:rsidRDefault="00273104">
      <w:r w:rsidRPr="00273104">
        <w:rPr>
          <w:rFonts w:ascii="Arial" w:eastAsia="Times New Roman" w:hAnsi="Arial" w:cs="Times New Roman"/>
          <w:b/>
          <w:bCs/>
          <w:noProof/>
          <w:color w:val="0072C6"/>
          <w:sz w:val="180"/>
          <w:szCs w:val="80"/>
          <w:lang w:eastAsia="en-GB"/>
        </w:rPr>
        <w:drawing>
          <wp:anchor distT="0" distB="0" distL="114300" distR="114300" simplePos="0" relativeHeight="251659264" behindDoc="0" locked="0" layoutInCell="1" allowOverlap="1" wp14:anchorId="3E94A699" wp14:editId="67C81B43">
            <wp:simplePos x="0" y="0"/>
            <wp:positionH relativeFrom="page">
              <wp:posOffset>8606155</wp:posOffset>
            </wp:positionH>
            <wp:positionV relativeFrom="page">
              <wp:posOffset>1062990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273104" w:rsidRDefault="00273104"/>
    <w:p w:rsidR="00273104" w:rsidRDefault="00273104"/>
    <w:p w:rsidR="00273104" w:rsidRDefault="00273104"/>
    <w:p w:rsidR="00273104" w:rsidRDefault="00233F38" w:rsidP="00273104">
      <w:pPr>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 xml:space="preserve">Productivity </w:t>
      </w:r>
    </w:p>
    <w:p w:rsidR="00273104" w:rsidRPr="00915CA7" w:rsidRDefault="00273104" w:rsidP="00273104">
      <w:pPr>
        <w:spacing w:after="0" w:line="240" w:lineRule="auto"/>
        <w:rPr>
          <w:rFonts w:ascii="Arial" w:eastAsia="Times New Roman" w:hAnsi="Arial" w:cs="Times New Roman"/>
          <w:b/>
          <w:bCs/>
          <w:color w:val="0072C6"/>
          <w:sz w:val="56"/>
          <w:szCs w:val="48"/>
        </w:rPr>
      </w:pPr>
      <w:r w:rsidRPr="00915CA7">
        <w:rPr>
          <w:rFonts w:ascii="Arial" w:eastAsia="Times New Roman" w:hAnsi="Arial" w:cs="Times New Roman"/>
          <w:b/>
          <w:bCs/>
          <w:color w:val="0072C6"/>
          <w:sz w:val="56"/>
          <w:szCs w:val="48"/>
        </w:rPr>
        <w:t>Local CQUIN Templates 2016/17</w:t>
      </w:r>
    </w:p>
    <w:p w:rsidR="00273104" w:rsidRPr="00273104" w:rsidRDefault="00273104" w:rsidP="00273104">
      <w:pPr>
        <w:spacing w:after="0" w:line="240" w:lineRule="auto"/>
        <w:rPr>
          <w:rFonts w:ascii="Arial" w:eastAsia="Times New Roman" w:hAnsi="Arial" w:cs="Times New Roman"/>
          <w:b/>
          <w:bCs/>
          <w:color w:val="0072C6"/>
          <w:sz w:val="80"/>
          <w:szCs w:val="80"/>
        </w:rPr>
      </w:pPr>
    </w:p>
    <w:p w:rsidR="00273104" w:rsidRPr="00273104" w:rsidRDefault="00273104" w:rsidP="00273104">
      <w:pPr>
        <w:spacing w:after="0" w:line="240" w:lineRule="auto"/>
        <w:rPr>
          <w:rFonts w:ascii="Arial" w:eastAsia="Times New Roman" w:hAnsi="Arial" w:cs="Times New Roman"/>
          <w:b/>
          <w:bCs/>
          <w:color w:val="0072C6"/>
          <w:sz w:val="80"/>
          <w:szCs w:val="80"/>
        </w:rPr>
      </w:pPr>
    </w:p>
    <w:p w:rsidR="00273104" w:rsidRPr="00273104" w:rsidRDefault="00273104" w:rsidP="00273104">
      <w:pPr>
        <w:spacing w:after="0" w:line="240" w:lineRule="auto"/>
        <w:rPr>
          <w:rFonts w:ascii="Arial" w:eastAsia="Times New Roman" w:hAnsi="Arial" w:cs="Times New Roman"/>
          <w:bCs/>
          <w:sz w:val="24"/>
          <w:szCs w:val="26"/>
        </w:rPr>
      </w:pPr>
    </w:p>
    <w:p w:rsidR="00273104" w:rsidRPr="00273104" w:rsidRDefault="00273104" w:rsidP="00273104">
      <w:pPr>
        <w:spacing w:after="0" w:line="240" w:lineRule="auto"/>
        <w:rPr>
          <w:rFonts w:ascii="Arial" w:eastAsia="Times New Roman" w:hAnsi="Arial" w:cs="Times New Roman"/>
          <w:bCs/>
          <w:sz w:val="24"/>
          <w:szCs w:val="26"/>
        </w:rPr>
      </w:pPr>
    </w:p>
    <w:p w:rsidR="00273104" w:rsidRPr="00273104" w:rsidRDefault="00273104" w:rsidP="00273104">
      <w:pPr>
        <w:spacing w:after="0" w:line="240" w:lineRule="auto"/>
        <w:rPr>
          <w:rFonts w:ascii="Arial" w:eastAsia="Times New Roman" w:hAnsi="Arial" w:cs="Times New Roman"/>
          <w:bCs/>
          <w:sz w:val="24"/>
          <w:szCs w:val="26"/>
        </w:rPr>
      </w:pPr>
    </w:p>
    <w:p w:rsidR="00273104" w:rsidRPr="00273104" w:rsidRDefault="00273104" w:rsidP="00273104">
      <w:pPr>
        <w:spacing w:after="0" w:line="240" w:lineRule="auto"/>
        <w:rPr>
          <w:rFonts w:ascii="Arial" w:eastAsia="Times New Roman" w:hAnsi="Arial" w:cs="Times New Roman"/>
          <w:bCs/>
          <w:sz w:val="24"/>
          <w:szCs w:val="26"/>
        </w:rPr>
      </w:pPr>
    </w:p>
    <w:p w:rsidR="00273104" w:rsidRDefault="00273104">
      <w:pPr>
        <w:rPr>
          <w:rFonts w:ascii="Arial" w:eastAsia="Times New Roman" w:hAnsi="Arial" w:cs="Times New Roman"/>
          <w:bCs/>
          <w:sz w:val="24"/>
          <w:szCs w:val="26"/>
        </w:rPr>
      </w:pPr>
    </w:p>
    <w:p w:rsidR="00015367" w:rsidRDefault="00015367">
      <w:pPr>
        <w:rPr>
          <w:rFonts w:ascii="Arial" w:eastAsia="Times New Roman" w:hAnsi="Arial" w:cs="Times New Roman"/>
          <w:bCs/>
          <w:sz w:val="24"/>
          <w:szCs w:val="26"/>
        </w:rPr>
      </w:pPr>
    </w:p>
    <w:p w:rsidR="000C70A9" w:rsidRDefault="000C70A9" w:rsidP="000C70A9">
      <w:r w:rsidRPr="00DA4D70">
        <w:rPr>
          <w:noProof/>
          <w:lang w:eastAsia="en-GB"/>
        </w:rPr>
        <w:lastRenderedPageBreak/>
        <w:drawing>
          <wp:inline distT="0" distB="0" distL="0" distR="0" wp14:anchorId="02CAD7D3" wp14:editId="3AC65E25">
            <wp:extent cx="4055696" cy="4912242"/>
            <wp:effectExtent l="0" t="0" r="0" b="3175"/>
            <wp:docPr id="2" name="Picture 2"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273104" w:rsidRPr="000C70A9" w:rsidRDefault="002B79A3" w:rsidP="000C70A9">
      <w:r>
        <w:rPr>
          <w:rFonts w:ascii="Arial" w:eastAsia="Times New Roman" w:hAnsi="Arial" w:cs="Times New Roman"/>
          <w:b/>
          <w:bCs/>
          <w:sz w:val="24"/>
          <w:szCs w:val="26"/>
        </w:rPr>
        <w:lastRenderedPageBreak/>
        <w:t>Productivity</w:t>
      </w:r>
      <w:r w:rsidR="00273104">
        <w:rPr>
          <w:rFonts w:ascii="Arial" w:eastAsia="Times New Roman" w:hAnsi="Arial" w:cs="Times New Roman"/>
          <w:b/>
          <w:bCs/>
          <w:sz w:val="24"/>
          <w:szCs w:val="26"/>
        </w:rPr>
        <w:t>:</w:t>
      </w:r>
      <w:r w:rsidR="00273104" w:rsidRPr="00273104">
        <w:rPr>
          <w:rFonts w:ascii="Arial" w:eastAsia="Times New Roman" w:hAnsi="Arial" w:cs="Times New Roman"/>
          <w:b/>
          <w:bCs/>
          <w:sz w:val="24"/>
          <w:szCs w:val="26"/>
        </w:rPr>
        <w:t xml:space="preserve"> Local CQUIN Templates 2016/17</w:t>
      </w:r>
    </w:p>
    <w:p w:rsidR="00273104" w:rsidRPr="00273104" w:rsidRDefault="00273104" w:rsidP="00273104">
      <w:pPr>
        <w:spacing w:after="0" w:line="240" w:lineRule="auto"/>
        <w:rPr>
          <w:rFonts w:ascii="Arial" w:eastAsia="Times New Roman" w:hAnsi="Arial" w:cs="Times New Roman"/>
          <w:bCs/>
          <w:sz w:val="24"/>
          <w:szCs w:val="26"/>
        </w:rPr>
      </w:pPr>
    </w:p>
    <w:p w:rsidR="00B80E00" w:rsidRPr="00B47AC3" w:rsidRDefault="00B80E00" w:rsidP="00B80E00">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Version number: </w:t>
      </w:r>
      <w:r>
        <w:rPr>
          <w:rFonts w:ascii="Arial" w:eastAsia="Times New Roman" w:hAnsi="Arial" w:cs="Times New Roman"/>
          <w:bCs/>
          <w:sz w:val="24"/>
          <w:szCs w:val="26"/>
        </w:rPr>
        <w:t>2.0</w:t>
      </w:r>
    </w:p>
    <w:p w:rsidR="00B80E00" w:rsidRPr="00B47AC3" w:rsidRDefault="00B80E00" w:rsidP="00B80E00">
      <w:pPr>
        <w:spacing w:after="0" w:line="240" w:lineRule="auto"/>
        <w:rPr>
          <w:rFonts w:ascii="Arial" w:eastAsia="Times New Roman" w:hAnsi="Arial" w:cs="Times New Roman"/>
          <w:bCs/>
          <w:sz w:val="24"/>
          <w:szCs w:val="26"/>
        </w:rPr>
      </w:pPr>
    </w:p>
    <w:p w:rsidR="00B80E00" w:rsidRPr="00B47AC3" w:rsidRDefault="00B80E00" w:rsidP="00B80E00">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First published: </w:t>
      </w:r>
      <w:r>
        <w:rPr>
          <w:rFonts w:ascii="Arial" w:eastAsia="Times New Roman" w:hAnsi="Arial" w:cs="Times New Roman"/>
          <w:bCs/>
          <w:sz w:val="24"/>
          <w:szCs w:val="26"/>
        </w:rPr>
        <w:t>9</w:t>
      </w:r>
      <w:r w:rsidRPr="00C674BD">
        <w:rPr>
          <w:rFonts w:ascii="Arial" w:eastAsia="Times New Roman" w:hAnsi="Arial" w:cs="Times New Roman"/>
          <w:bCs/>
          <w:sz w:val="24"/>
          <w:szCs w:val="26"/>
          <w:vertAlign w:val="superscript"/>
        </w:rPr>
        <w:t>th</w:t>
      </w:r>
      <w:r>
        <w:rPr>
          <w:rFonts w:ascii="Arial" w:eastAsia="Times New Roman" w:hAnsi="Arial" w:cs="Times New Roman"/>
          <w:bCs/>
          <w:sz w:val="24"/>
          <w:szCs w:val="26"/>
        </w:rPr>
        <w:t xml:space="preserve"> March</w:t>
      </w:r>
      <w:r w:rsidRPr="00B47AC3">
        <w:rPr>
          <w:rFonts w:ascii="Arial" w:eastAsia="Times New Roman" w:hAnsi="Arial" w:cs="Times New Roman"/>
          <w:bCs/>
          <w:sz w:val="24"/>
          <w:szCs w:val="26"/>
        </w:rPr>
        <w:t xml:space="preserve"> 2016</w:t>
      </w:r>
      <w:r>
        <w:rPr>
          <w:rFonts w:ascii="Arial" w:eastAsia="Times New Roman" w:hAnsi="Arial" w:cs="Times New Roman"/>
          <w:bCs/>
          <w:sz w:val="24"/>
          <w:szCs w:val="26"/>
        </w:rPr>
        <w:t xml:space="preserve"> (revised 21</w:t>
      </w:r>
      <w:r w:rsidRPr="00C674BD">
        <w:rPr>
          <w:rFonts w:ascii="Arial" w:eastAsia="Times New Roman" w:hAnsi="Arial" w:cs="Times New Roman"/>
          <w:bCs/>
          <w:sz w:val="24"/>
          <w:szCs w:val="26"/>
          <w:vertAlign w:val="superscript"/>
        </w:rPr>
        <w:t>st</w:t>
      </w:r>
      <w:r>
        <w:rPr>
          <w:rFonts w:ascii="Arial" w:eastAsia="Times New Roman" w:hAnsi="Arial" w:cs="Times New Roman"/>
          <w:bCs/>
          <w:sz w:val="24"/>
          <w:szCs w:val="26"/>
        </w:rPr>
        <w:t xml:space="preserve"> March 2016)</w:t>
      </w:r>
    </w:p>
    <w:p w:rsidR="00B80E00" w:rsidRPr="00B47AC3" w:rsidRDefault="00B80E00" w:rsidP="00B80E00">
      <w:pPr>
        <w:spacing w:after="0" w:line="240" w:lineRule="auto"/>
        <w:rPr>
          <w:rFonts w:ascii="Arial" w:eastAsia="Times New Roman" w:hAnsi="Arial" w:cs="Times New Roman"/>
          <w:bCs/>
          <w:sz w:val="24"/>
          <w:szCs w:val="26"/>
        </w:rPr>
      </w:pPr>
    </w:p>
    <w:p w:rsidR="00B80E00" w:rsidRPr="00B47AC3" w:rsidRDefault="00B80E00" w:rsidP="00B80E00">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Prepared by: The Incentives Team, Commissioning Strategy</w:t>
      </w:r>
    </w:p>
    <w:p w:rsidR="00B80E00" w:rsidRPr="00B47AC3" w:rsidRDefault="00B80E00" w:rsidP="00B80E00">
      <w:pPr>
        <w:spacing w:after="0" w:line="240" w:lineRule="auto"/>
        <w:rPr>
          <w:rFonts w:ascii="Arial" w:eastAsia="Times New Roman" w:hAnsi="Arial" w:cs="Times New Roman"/>
          <w:bCs/>
          <w:sz w:val="24"/>
          <w:szCs w:val="26"/>
        </w:rPr>
      </w:pPr>
    </w:p>
    <w:p w:rsidR="00B80E00" w:rsidRPr="00B47AC3" w:rsidRDefault="00B80E00" w:rsidP="00B80E00">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Classification: OFFICIAL</w:t>
      </w:r>
    </w:p>
    <w:p w:rsidR="00B80E00" w:rsidRPr="00B47AC3" w:rsidRDefault="00B80E00" w:rsidP="00B80E00">
      <w:pPr>
        <w:spacing w:after="0" w:line="240" w:lineRule="auto"/>
        <w:rPr>
          <w:rFonts w:ascii="Arial" w:eastAsia="Times New Roman" w:hAnsi="Arial" w:cs="Times New Roman"/>
          <w:bCs/>
          <w:sz w:val="24"/>
          <w:szCs w:val="26"/>
        </w:rPr>
      </w:pPr>
    </w:p>
    <w:p w:rsidR="00B80E00" w:rsidRPr="00397E30" w:rsidRDefault="00B80E00" w:rsidP="00B80E00">
      <w:pPr>
        <w:autoSpaceDE w:val="0"/>
        <w:autoSpaceDN w:val="0"/>
        <w:adjustRightInd w:val="0"/>
        <w:rPr>
          <w:rFonts w:eastAsia="HGSMinchoE" w:cs="Arial"/>
          <w:bCs/>
          <w:color w:val="000000"/>
          <w:sz w:val="24"/>
          <w:szCs w:val="24"/>
          <w:lang w:eastAsia="en-GB"/>
        </w:rPr>
      </w:pPr>
      <w:r>
        <w:rPr>
          <w:rFonts w:eastAsia="HGSMinchoE" w:cs="Arial"/>
          <w:color w:val="000000"/>
          <w:sz w:val="24"/>
          <w:szCs w:val="24"/>
          <w:lang w:eastAsia="en-GB"/>
        </w:rPr>
        <w:t xml:space="preserve">This document supersedes previous version issued. </w:t>
      </w:r>
    </w:p>
    <w:p w:rsidR="00273104" w:rsidRDefault="00273104"/>
    <w:p w:rsidR="00273104" w:rsidRDefault="00273104"/>
    <w:p w:rsidR="008A5D07" w:rsidRDefault="008A5D07"/>
    <w:p w:rsidR="00273104" w:rsidRDefault="00273104"/>
    <w:p w:rsidR="00273104" w:rsidRDefault="00273104"/>
    <w:p w:rsidR="00273104" w:rsidRDefault="00273104"/>
    <w:p w:rsidR="00273104" w:rsidRDefault="00273104"/>
    <w:p w:rsidR="000C70A9" w:rsidRDefault="000C70A9"/>
    <w:p w:rsidR="00273104" w:rsidRDefault="00015367">
      <w:r w:rsidRPr="00273104">
        <w:rPr>
          <w:rFonts w:ascii="Arial" w:eastAsia="Times New Roman" w:hAnsi="Arial" w:cs="Times New Roman"/>
          <w:b/>
          <w:bCs/>
          <w:noProof/>
          <w:color w:val="0072C6"/>
          <w:sz w:val="180"/>
          <w:szCs w:val="80"/>
          <w:lang w:eastAsia="en-GB"/>
        </w:rPr>
        <w:drawing>
          <wp:anchor distT="0" distB="0" distL="114300" distR="114300" simplePos="0" relativeHeight="251663360" behindDoc="0" locked="0" layoutInCell="1" allowOverlap="1" wp14:anchorId="2BCDA319" wp14:editId="0AF6C62F">
            <wp:simplePos x="0" y="0"/>
            <wp:positionH relativeFrom="page">
              <wp:posOffset>8148955</wp:posOffset>
            </wp:positionH>
            <wp:positionV relativeFrom="page">
              <wp:posOffset>605790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bookmarkStart w:id="0" w:name="_Toc443035878" w:displacedByCustomXml="next"/>
    <w:sdt>
      <w:sdtPr>
        <w:rPr>
          <w:rFonts w:asciiTheme="minorHAnsi" w:eastAsiaTheme="minorHAnsi" w:hAnsiTheme="minorHAnsi" w:cstheme="minorBidi"/>
          <w:b w:val="0"/>
          <w:bCs w:val="0"/>
          <w:color w:val="auto"/>
          <w:sz w:val="22"/>
          <w:szCs w:val="22"/>
          <w:highlight w:val="yellow"/>
          <w:lang w:val="en-GB" w:eastAsia="en-US"/>
        </w:rPr>
        <w:id w:val="1249463021"/>
        <w:docPartObj>
          <w:docPartGallery w:val="Table of Contents"/>
          <w:docPartUnique/>
        </w:docPartObj>
      </w:sdtPr>
      <w:sdtEndPr>
        <w:rPr>
          <w:noProof/>
        </w:rPr>
      </w:sdtEndPr>
      <w:sdtContent>
        <w:p w:rsidR="008316B4" w:rsidRPr="00177A74" w:rsidRDefault="005D0A69" w:rsidP="00915CA7">
          <w:pPr>
            <w:pStyle w:val="TOCHeading"/>
            <w:rPr>
              <w:color w:val="0070C0"/>
              <w:sz w:val="52"/>
              <w:szCs w:val="52"/>
            </w:rPr>
          </w:pPr>
          <w:r w:rsidRPr="00177A74">
            <w:rPr>
              <w:color w:val="0070C0"/>
              <w:sz w:val="52"/>
              <w:szCs w:val="52"/>
            </w:rPr>
            <w:t>Contents</w:t>
          </w:r>
        </w:p>
        <w:p w:rsidR="00915CA7" w:rsidRPr="00177A74" w:rsidRDefault="00915CA7" w:rsidP="00915CA7">
          <w:pPr>
            <w:rPr>
              <w:rFonts w:ascii="Arial" w:hAnsi="Arial" w:cs="Arial"/>
              <w:sz w:val="32"/>
              <w:szCs w:val="32"/>
              <w:lang w:val="en-US" w:eastAsia="ja-JP"/>
            </w:rPr>
          </w:pPr>
        </w:p>
        <w:p w:rsidR="0052708A" w:rsidRPr="00177A74" w:rsidRDefault="00915CA7">
          <w:pPr>
            <w:pStyle w:val="TOC1"/>
            <w:tabs>
              <w:tab w:val="right" w:leader="dot" w:pos="13948"/>
            </w:tabs>
            <w:rPr>
              <w:rStyle w:val="Hyperlink"/>
              <w:rFonts w:ascii="Arial" w:hAnsi="Arial" w:cs="Arial"/>
              <w:b w:val="0"/>
              <w:i w:val="0"/>
              <w:noProof/>
              <w:sz w:val="32"/>
              <w:szCs w:val="32"/>
            </w:rPr>
          </w:pPr>
          <w:r w:rsidRPr="00177A74">
            <w:rPr>
              <w:rFonts w:ascii="Arial" w:eastAsia="Times New Roman" w:hAnsi="Arial" w:cs="Arial"/>
              <w:b w:val="0"/>
              <w:i w:val="0"/>
              <w:iCs w:val="0"/>
              <w:caps/>
              <w:sz w:val="32"/>
              <w:szCs w:val="32"/>
            </w:rPr>
            <w:fldChar w:fldCharType="begin"/>
          </w:r>
          <w:r w:rsidRPr="00177A74">
            <w:rPr>
              <w:rFonts w:ascii="Arial" w:eastAsia="Times New Roman" w:hAnsi="Arial" w:cs="Arial"/>
              <w:b w:val="0"/>
              <w:i w:val="0"/>
              <w:iCs w:val="0"/>
              <w:caps/>
              <w:sz w:val="32"/>
              <w:szCs w:val="32"/>
            </w:rPr>
            <w:instrText xml:space="preserve"> TOC \o "1-1" \h \z \u </w:instrText>
          </w:r>
          <w:r w:rsidRPr="00177A74">
            <w:rPr>
              <w:rFonts w:ascii="Arial" w:eastAsia="Times New Roman" w:hAnsi="Arial" w:cs="Arial"/>
              <w:b w:val="0"/>
              <w:i w:val="0"/>
              <w:iCs w:val="0"/>
              <w:caps/>
              <w:sz w:val="32"/>
              <w:szCs w:val="32"/>
            </w:rPr>
            <w:fldChar w:fldCharType="separate"/>
          </w:r>
          <w:hyperlink w:anchor="_Toc445222205" w:history="1">
            <w:r w:rsidR="00047331" w:rsidRPr="00177A74">
              <w:rPr>
                <w:rStyle w:val="Hyperlink"/>
                <w:rFonts w:ascii="Arial" w:hAnsi="Arial" w:cs="Arial"/>
                <w:b w:val="0"/>
                <w:i w:val="0"/>
                <w:noProof/>
                <w:sz w:val="32"/>
                <w:szCs w:val="32"/>
              </w:rPr>
              <w:t>26</w:t>
            </w:r>
            <w:r w:rsidR="0052708A" w:rsidRPr="00177A74">
              <w:rPr>
                <w:rStyle w:val="Hyperlink"/>
                <w:rFonts w:ascii="Arial" w:hAnsi="Arial" w:cs="Arial"/>
                <w:b w:val="0"/>
                <w:i w:val="0"/>
                <w:noProof/>
                <w:sz w:val="32"/>
                <w:szCs w:val="32"/>
              </w:rPr>
              <w:t>.  Clinical Utilisation Reviews</w:t>
            </w:r>
            <w:r w:rsidR="0052708A" w:rsidRPr="00177A74">
              <w:rPr>
                <w:rFonts w:ascii="Arial" w:hAnsi="Arial" w:cs="Arial"/>
                <w:b w:val="0"/>
                <w:i w:val="0"/>
                <w:noProof/>
                <w:webHidden/>
                <w:sz w:val="32"/>
                <w:szCs w:val="32"/>
              </w:rPr>
              <w:tab/>
            </w:r>
            <w:r w:rsidR="0052708A" w:rsidRPr="00177A74">
              <w:rPr>
                <w:rFonts w:ascii="Arial" w:hAnsi="Arial" w:cs="Arial"/>
                <w:b w:val="0"/>
                <w:i w:val="0"/>
                <w:noProof/>
                <w:webHidden/>
                <w:sz w:val="32"/>
                <w:szCs w:val="32"/>
              </w:rPr>
              <w:fldChar w:fldCharType="begin"/>
            </w:r>
            <w:r w:rsidR="0052708A" w:rsidRPr="00177A74">
              <w:rPr>
                <w:rFonts w:ascii="Arial" w:hAnsi="Arial" w:cs="Arial"/>
                <w:b w:val="0"/>
                <w:i w:val="0"/>
                <w:noProof/>
                <w:webHidden/>
                <w:sz w:val="32"/>
                <w:szCs w:val="32"/>
              </w:rPr>
              <w:instrText xml:space="preserve"> PAGEREF _Toc445222205 \h </w:instrText>
            </w:r>
            <w:r w:rsidR="0052708A" w:rsidRPr="00177A74">
              <w:rPr>
                <w:rFonts w:ascii="Arial" w:hAnsi="Arial" w:cs="Arial"/>
                <w:b w:val="0"/>
                <w:i w:val="0"/>
                <w:noProof/>
                <w:webHidden/>
                <w:sz w:val="32"/>
                <w:szCs w:val="32"/>
              </w:rPr>
            </w:r>
            <w:r w:rsidR="0052708A" w:rsidRPr="00177A74">
              <w:rPr>
                <w:rFonts w:ascii="Arial" w:hAnsi="Arial" w:cs="Arial"/>
                <w:b w:val="0"/>
                <w:i w:val="0"/>
                <w:noProof/>
                <w:webHidden/>
                <w:sz w:val="32"/>
                <w:szCs w:val="32"/>
              </w:rPr>
              <w:fldChar w:fldCharType="separate"/>
            </w:r>
            <w:r w:rsidR="00047331" w:rsidRPr="00177A74">
              <w:rPr>
                <w:rFonts w:ascii="Arial" w:hAnsi="Arial" w:cs="Arial"/>
                <w:b w:val="0"/>
                <w:i w:val="0"/>
                <w:noProof/>
                <w:webHidden/>
                <w:sz w:val="32"/>
                <w:szCs w:val="32"/>
              </w:rPr>
              <w:t>5</w:t>
            </w:r>
            <w:r w:rsidR="0052708A" w:rsidRPr="00177A74">
              <w:rPr>
                <w:rFonts w:ascii="Arial" w:hAnsi="Arial" w:cs="Arial"/>
                <w:b w:val="0"/>
                <w:i w:val="0"/>
                <w:noProof/>
                <w:webHidden/>
                <w:sz w:val="32"/>
                <w:szCs w:val="32"/>
              </w:rPr>
              <w:fldChar w:fldCharType="end"/>
            </w:r>
          </w:hyperlink>
        </w:p>
        <w:p w:rsidR="0052708A" w:rsidRPr="00177A74" w:rsidRDefault="0052708A" w:rsidP="0052708A">
          <w:pPr>
            <w:rPr>
              <w:rFonts w:ascii="Arial" w:hAnsi="Arial" w:cs="Arial"/>
              <w:noProof/>
              <w:sz w:val="32"/>
              <w:szCs w:val="32"/>
            </w:rPr>
          </w:pPr>
        </w:p>
        <w:p w:rsidR="0052708A" w:rsidRPr="00177A74" w:rsidRDefault="00177A74">
          <w:pPr>
            <w:pStyle w:val="TOC1"/>
            <w:tabs>
              <w:tab w:val="left" w:pos="660"/>
              <w:tab w:val="right" w:leader="dot" w:pos="13948"/>
            </w:tabs>
            <w:rPr>
              <w:rFonts w:ascii="Arial" w:eastAsiaTheme="minorEastAsia" w:hAnsi="Arial" w:cs="Arial"/>
              <w:b w:val="0"/>
              <w:bCs w:val="0"/>
              <w:i w:val="0"/>
              <w:iCs w:val="0"/>
              <w:noProof/>
              <w:sz w:val="32"/>
              <w:szCs w:val="32"/>
              <w:lang w:eastAsia="en-GB"/>
            </w:rPr>
          </w:pPr>
          <w:hyperlink w:anchor="_Toc445222208" w:history="1">
            <w:r w:rsidR="00047331" w:rsidRPr="00177A74">
              <w:rPr>
                <w:rStyle w:val="Hyperlink"/>
                <w:rFonts w:ascii="Arial" w:hAnsi="Arial" w:cs="Arial"/>
                <w:b w:val="0"/>
                <w:i w:val="0"/>
                <w:noProof/>
                <w:sz w:val="32"/>
                <w:szCs w:val="32"/>
              </w:rPr>
              <w:t>27</w:t>
            </w:r>
            <w:r w:rsidR="0052708A" w:rsidRPr="00177A74">
              <w:rPr>
                <w:rStyle w:val="Hyperlink"/>
                <w:rFonts w:ascii="Arial" w:hAnsi="Arial" w:cs="Arial"/>
                <w:b w:val="0"/>
                <w:i w:val="0"/>
                <w:noProof/>
                <w:sz w:val="32"/>
                <w:szCs w:val="32"/>
              </w:rPr>
              <w:t>.</w:t>
            </w:r>
            <w:r w:rsidR="0052708A" w:rsidRPr="00177A74">
              <w:rPr>
                <w:rFonts w:ascii="Arial" w:eastAsiaTheme="minorEastAsia" w:hAnsi="Arial" w:cs="Arial"/>
                <w:b w:val="0"/>
                <w:bCs w:val="0"/>
                <w:i w:val="0"/>
                <w:iCs w:val="0"/>
                <w:noProof/>
                <w:sz w:val="32"/>
                <w:szCs w:val="32"/>
                <w:lang w:eastAsia="en-GB"/>
              </w:rPr>
              <w:tab/>
            </w:r>
            <w:r w:rsidR="0052708A" w:rsidRPr="00177A74">
              <w:rPr>
                <w:rStyle w:val="Hyperlink"/>
                <w:rFonts w:ascii="Arial" w:hAnsi="Arial" w:cs="Arial"/>
                <w:b w:val="0"/>
                <w:i w:val="0"/>
                <w:noProof/>
                <w:sz w:val="32"/>
                <w:szCs w:val="32"/>
              </w:rPr>
              <w:t>Delayed Transfers of Care</w:t>
            </w:r>
            <w:r w:rsidR="0052708A" w:rsidRPr="00177A74">
              <w:rPr>
                <w:rFonts w:ascii="Arial" w:hAnsi="Arial" w:cs="Arial"/>
                <w:b w:val="0"/>
                <w:i w:val="0"/>
                <w:noProof/>
                <w:webHidden/>
                <w:sz w:val="32"/>
                <w:szCs w:val="32"/>
              </w:rPr>
              <w:tab/>
            </w:r>
            <w:r w:rsidR="0052708A" w:rsidRPr="00177A74">
              <w:rPr>
                <w:rFonts w:ascii="Arial" w:hAnsi="Arial" w:cs="Arial"/>
                <w:b w:val="0"/>
                <w:i w:val="0"/>
                <w:noProof/>
                <w:webHidden/>
                <w:sz w:val="32"/>
                <w:szCs w:val="32"/>
              </w:rPr>
              <w:fldChar w:fldCharType="begin"/>
            </w:r>
            <w:r w:rsidR="0052708A" w:rsidRPr="00177A74">
              <w:rPr>
                <w:rFonts w:ascii="Arial" w:hAnsi="Arial" w:cs="Arial"/>
                <w:b w:val="0"/>
                <w:i w:val="0"/>
                <w:noProof/>
                <w:webHidden/>
                <w:sz w:val="32"/>
                <w:szCs w:val="32"/>
              </w:rPr>
              <w:instrText xml:space="preserve"> PAGEREF _Toc445222208 \h </w:instrText>
            </w:r>
            <w:r w:rsidR="0052708A" w:rsidRPr="00177A74">
              <w:rPr>
                <w:rFonts w:ascii="Arial" w:hAnsi="Arial" w:cs="Arial"/>
                <w:b w:val="0"/>
                <w:i w:val="0"/>
                <w:noProof/>
                <w:webHidden/>
                <w:sz w:val="32"/>
                <w:szCs w:val="32"/>
              </w:rPr>
            </w:r>
            <w:r w:rsidR="0052708A" w:rsidRPr="00177A74">
              <w:rPr>
                <w:rFonts w:ascii="Arial" w:hAnsi="Arial" w:cs="Arial"/>
                <w:b w:val="0"/>
                <w:i w:val="0"/>
                <w:noProof/>
                <w:webHidden/>
                <w:sz w:val="32"/>
                <w:szCs w:val="32"/>
              </w:rPr>
              <w:fldChar w:fldCharType="separate"/>
            </w:r>
            <w:r w:rsidR="00047331" w:rsidRPr="00177A74">
              <w:rPr>
                <w:rFonts w:ascii="Arial" w:hAnsi="Arial" w:cs="Arial"/>
                <w:b w:val="0"/>
                <w:i w:val="0"/>
                <w:noProof/>
                <w:webHidden/>
                <w:sz w:val="32"/>
                <w:szCs w:val="32"/>
              </w:rPr>
              <w:t>10</w:t>
            </w:r>
            <w:r w:rsidR="0052708A" w:rsidRPr="00177A74">
              <w:rPr>
                <w:rFonts w:ascii="Arial" w:hAnsi="Arial" w:cs="Arial"/>
                <w:b w:val="0"/>
                <w:i w:val="0"/>
                <w:noProof/>
                <w:webHidden/>
                <w:sz w:val="32"/>
                <w:szCs w:val="32"/>
              </w:rPr>
              <w:fldChar w:fldCharType="end"/>
            </w:r>
          </w:hyperlink>
        </w:p>
        <w:p w:rsidR="008316B4" w:rsidRDefault="00915CA7" w:rsidP="008316B4">
          <w:pPr>
            <w:rPr>
              <w:noProof/>
            </w:rPr>
          </w:pPr>
          <w:r w:rsidRPr="00177A74">
            <w:rPr>
              <w:rFonts w:ascii="Arial" w:eastAsia="Times New Roman" w:hAnsi="Arial" w:cs="Arial"/>
              <w:iCs/>
              <w:caps/>
              <w:sz w:val="32"/>
              <w:szCs w:val="32"/>
            </w:rPr>
            <w:fldChar w:fldCharType="end"/>
          </w:r>
        </w:p>
      </w:sdtContent>
    </w:sdt>
    <w:p w:rsidR="008316B4" w:rsidRDefault="008316B4" w:rsidP="008316B4">
      <w:pPr>
        <w:rPr>
          <w:noProof/>
        </w:rPr>
      </w:pPr>
    </w:p>
    <w:p w:rsidR="008316B4" w:rsidRDefault="008316B4" w:rsidP="008316B4">
      <w:pPr>
        <w:rPr>
          <w:noProof/>
        </w:rPr>
      </w:pPr>
      <w:bookmarkStart w:id="1" w:name="_GoBack"/>
      <w:bookmarkEnd w:id="1"/>
    </w:p>
    <w:p w:rsidR="008316B4" w:rsidRDefault="008316B4" w:rsidP="008316B4">
      <w:pPr>
        <w:rPr>
          <w:noProof/>
        </w:rPr>
      </w:pPr>
    </w:p>
    <w:p w:rsidR="008316B4" w:rsidRDefault="008316B4" w:rsidP="008316B4">
      <w:pPr>
        <w:rPr>
          <w:noProof/>
        </w:rPr>
      </w:pPr>
    </w:p>
    <w:p w:rsidR="008316B4" w:rsidRDefault="008316B4" w:rsidP="008316B4">
      <w:pPr>
        <w:rPr>
          <w:noProof/>
        </w:rPr>
      </w:pPr>
    </w:p>
    <w:p w:rsidR="008316B4" w:rsidRDefault="008316B4" w:rsidP="008316B4">
      <w:pPr>
        <w:rPr>
          <w:noProof/>
        </w:rPr>
      </w:pPr>
    </w:p>
    <w:p w:rsidR="008316B4" w:rsidRDefault="008316B4" w:rsidP="008316B4">
      <w:pPr>
        <w:rPr>
          <w:noProof/>
        </w:rPr>
      </w:pPr>
    </w:p>
    <w:p w:rsidR="0052708A" w:rsidRDefault="0052708A" w:rsidP="008316B4">
      <w:pPr>
        <w:rPr>
          <w:noProof/>
        </w:rPr>
      </w:pPr>
    </w:p>
    <w:p w:rsidR="0052708A" w:rsidRDefault="0052708A" w:rsidP="0052708A">
      <w:pPr>
        <w:pStyle w:val="Heading1"/>
        <w:rPr>
          <w:rFonts w:asciiTheme="minorHAnsi" w:eastAsiaTheme="minorHAnsi" w:hAnsiTheme="minorHAnsi" w:cstheme="minorBidi"/>
          <w:b w:val="0"/>
          <w:bCs w:val="0"/>
          <w:color w:val="auto"/>
          <w:kern w:val="0"/>
          <w:sz w:val="22"/>
          <w:szCs w:val="22"/>
        </w:rPr>
      </w:pPr>
    </w:p>
    <w:p w:rsidR="00450DD2" w:rsidRPr="0052708A" w:rsidRDefault="0052708A" w:rsidP="0052708A">
      <w:pPr>
        <w:pStyle w:val="Heading1"/>
      </w:pPr>
      <w:bookmarkStart w:id="2" w:name="_Toc445222205"/>
      <w:r w:rsidRPr="0052708A">
        <w:rPr>
          <w:rFonts w:eastAsiaTheme="minorHAnsi"/>
        </w:rPr>
        <w:lastRenderedPageBreak/>
        <w:t>2</w:t>
      </w:r>
      <w:r w:rsidR="00B34FCF">
        <w:rPr>
          <w:rFonts w:eastAsiaTheme="minorHAnsi"/>
        </w:rPr>
        <w:t>6</w:t>
      </w:r>
      <w:r w:rsidRPr="0052708A">
        <w:rPr>
          <w:rFonts w:eastAsiaTheme="minorHAnsi"/>
        </w:rPr>
        <w:t xml:space="preserve">. </w:t>
      </w:r>
      <w:r w:rsidR="005D0A69" w:rsidRPr="0052708A">
        <w:t xml:space="preserve"> </w:t>
      </w:r>
      <w:r w:rsidR="00450DD2" w:rsidRPr="0052708A">
        <w:t>Clinical Utilisation Review</w:t>
      </w:r>
      <w:bookmarkEnd w:id="0"/>
      <w:r w:rsidR="00915CA7" w:rsidRPr="0052708A">
        <w:t>s</w:t>
      </w:r>
      <w:bookmarkStart w:id="3" w:name="_Toc443035884"/>
      <w:bookmarkEnd w:id="2"/>
    </w:p>
    <w:p w:rsidR="00915CA7" w:rsidRPr="00915CA7" w:rsidRDefault="00915CA7" w:rsidP="00915CA7"/>
    <w:tbl>
      <w:tblPr>
        <w:tblStyle w:val="TableGrid"/>
        <w:tblW w:w="5000" w:type="pct"/>
        <w:tblLook w:val="04A0" w:firstRow="1" w:lastRow="0" w:firstColumn="1" w:lastColumn="0" w:noHBand="0" w:noVBand="1"/>
        <w:tblCaption w:val="Please add a description of this table"/>
      </w:tblPr>
      <w:tblGrid>
        <w:gridCol w:w="3697"/>
        <w:gridCol w:w="10477"/>
      </w:tblGrid>
      <w:tr w:rsidR="00233F38" w:rsidRPr="00045078" w:rsidTr="00E246BD">
        <w:trPr>
          <w:trHeight w:val="416"/>
          <w:tblHeader/>
        </w:trPr>
        <w:tc>
          <w:tcPr>
            <w:tcW w:w="5000" w:type="pct"/>
            <w:gridSpan w:val="2"/>
            <w:shd w:val="clear" w:color="auto" w:fill="0070C0"/>
          </w:tcPr>
          <w:p w:rsidR="00233F38" w:rsidRPr="00045078" w:rsidRDefault="00233F38" w:rsidP="00E246BD">
            <w:pPr>
              <w:jc w:val="center"/>
              <w:outlineLvl w:val="0"/>
              <w:rPr>
                <w:rFonts w:eastAsia="Times New Roman" w:cs="Arial"/>
                <w:b/>
                <w:bCs/>
                <w:color w:val="FFFFFF" w:themeColor="background1"/>
                <w:kern w:val="32"/>
              </w:rPr>
            </w:pPr>
            <w:bookmarkStart w:id="4" w:name="_Toc443035888"/>
            <w:bookmarkStart w:id="5" w:name="_Toc445221073"/>
            <w:bookmarkStart w:id="6" w:name="_Toc445221120"/>
            <w:bookmarkStart w:id="7" w:name="_Toc445221180"/>
            <w:bookmarkStart w:id="8" w:name="_Toc445222206"/>
            <w:r w:rsidRPr="00045078">
              <w:rPr>
                <w:rFonts w:eastAsia="Times New Roman" w:cs="Arial"/>
                <w:b/>
                <w:bCs/>
                <w:color w:val="FFFFFF" w:themeColor="background1"/>
                <w:kern w:val="32"/>
              </w:rPr>
              <w:t>Indicator</w:t>
            </w:r>
            <w:bookmarkEnd w:id="4"/>
            <w:bookmarkEnd w:id="5"/>
            <w:bookmarkEnd w:id="6"/>
            <w:bookmarkEnd w:id="7"/>
            <w:bookmarkEnd w:id="8"/>
          </w:p>
        </w:tc>
      </w:tr>
      <w:tr w:rsidR="00233F38" w:rsidRPr="00045078" w:rsidTr="00E246BD">
        <w:tc>
          <w:tcPr>
            <w:tcW w:w="1304" w:type="pct"/>
          </w:tcPr>
          <w:p w:rsidR="00233F38" w:rsidRPr="00045078" w:rsidRDefault="00233F38" w:rsidP="00E246BD">
            <w:pPr>
              <w:spacing w:before="20" w:after="20"/>
              <w:rPr>
                <w:rFonts w:eastAsia="Times New Roman" w:cs="Arial"/>
                <w:b/>
                <w:bCs/>
              </w:rPr>
            </w:pPr>
            <w:r w:rsidRPr="00045078">
              <w:rPr>
                <w:rFonts w:eastAsia="Times New Roman" w:cs="Arial"/>
                <w:b/>
                <w:bCs/>
                <w:color w:val="000000"/>
              </w:rPr>
              <w:t>Indicator name</w:t>
            </w:r>
          </w:p>
        </w:tc>
        <w:tc>
          <w:tcPr>
            <w:tcW w:w="3696" w:type="pct"/>
          </w:tcPr>
          <w:p w:rsidR="00233F38" w:rsidRPr="00045078" w:rsidRDefault="00233F38" w:rsidP="00E246BD">
            <w:pPr>
              <w:rPr>
                <w:rFonts w:eastAsia="Times New Roman" w:cs="Arial"/>
                <w:bCs/>
                <w:color w:val="000000"/>
              </w:rPr>
            </w:pPr>
            <w:r w:rsidRPr="00045078">
              <w:rPr>
                <w:rFonts w:eastAsia="MS Mincho" w:cs="Arial"/>
                <w:color w:val="000000"/>
              </w:rPr>
              <w:t>Installation and implementation of a Clinical Utilisation Review (CUR) system</w:t>
            </w: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 xml:space="preserve">Indicator weighting </w:t>
            </w:r>
            <w:r w:rsidRPr="00045078">
              <w:rPr>
                <w:rFonts w:eastAsia="Times New Roman" w:cs="Arial"/>
                <w:b/>
                <w:bCs/>
                <w:color w:val="000000"/>
              </w:rPr>
              <w:br/>
              <w:t>(% of CQUIN scheme available)</w:t>
            </w:r>
          </w:p>
        </w:tc>
        <w:tc>
          <w:tcPr>
            <w:tcW w:w="3696" w:type="pct"/>
          </w:tcPr>
          <w:p w:rsidR="00233F38" w:rsidRPr="00045078" w:rsidRDefault="00233F38" w:rsidP="00E246BD">
            <w:pPr>
              <w:rPr>
                <w:rFonts w:eastAsia="MS Mincho" w:cs="Arial"/>
                <w:bCs/>
                <w:lang w:eastAsia="ja-JP"/>
              </w:rPr>
            </w:pPr>
            <w:r w:rsidRPr="00045078">
              <w:rPr>
                <w:rFonts w:eastAsia="MS Mincho" w:cs="Arial"/>
                <w:bCs/>
                <w:lang w:eastAsia="ja-JP"/>
              </w:rPr>
              <w:t>To be agreed locally</w:t>
            </w: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Description of indicator</w:t>
            </w:r>
          </w:p>
        </w:tc>
        <w:tc>
          <w:tcPr>
            <w:tcW w:w="3696" w:type="pct"/>
          </w:tcPr>
          <w:p w:rsidR="00233F38" w:rsidRPr="00045078" w:rsidRDefault="00233F38" w:rsidP="00E246BD">
            <w:pPr>
              <w:keepNext/>
              <w:rPr>
                <w:rFonts w:eastAsia="MS Mincho" w:cs="Arial"/>
                <w:color w:val="000000"/>
              </w:rPr>
            </w:pPr>
            <w:r w:rsidRPr="00045078">
              <w:rPr>
                <w:rFonts w:eastAsia="MS Mincho" w:cs="Arial"/>
                <w:color w:val="000000"/>
              </w:rPr>
              <w:t>Installation and implementation of a clinical information system and approach over a two to three year period to reduce inappropriate hospital utilisation</w:t>
            </w:r>
          </w:p>
          <w:p w:rsidR="00233F38" w:rsidRPr="00045078" w:rsidRDefault="00233F38" w:rsidP="00E246BD">
            <w:pPr>
              <w:keepNext/>
              <w:rPr>
                <w:rFonts w:eastAsia="Times New Roman" w:cs="Arial"/>
                <w:bCs/>
                <w:color w:val="000000"/>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Numerator</w:t>
            </w:r>
          </w:p>
        </w:tc>
        <w:tc>
          <w:tcPr>
            <w:tcW w:w="3696" w:type="pct"/>
            <w:vMerge w:val="restart"/>
          </w:tcPr>
          <w:p w:rsidR="00233F38" w:rsidRPr="00045078" w:rsidRDefault="00233F38" w:rsidP="00E246BD">
            <w:pPr>
              <w:contextualSpacing/>
              <w:rPr>
                <w:rFonts w:eastAsia="Times New Roman" w:cs="Arial"/>
                <w:bCs/>
              </w:rPr>
            </w:pPr>
            <w:r w:rsidRPr="00045078">
              <w:rPr>
                <w:rFonts w:eastAsia="Times New Roman" w:cs="Arial"/>
                <w:bCs/>
              </w:rPr>
              <w:t>Performance is to be measured both qualitatively – achievement of milestones – and quantitatively against several parameters of clinical resource utilisation e.g. Total bed days associated with Active CUR wards at a standard Occupancy level.</w:t>
            </w:r>
          </w:p>
          <w:p w:rsidR="00233F38" w:rsidRPr="00045078" w:rsidRDefault="00233F38" w:rsidP="00E246BD">
            <w:pPr>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Denominator</w:t>
            </w:r>
          </w:p>
        </w:tc>
        <w:tc>
          <w:tcPr>
            <w:tcW w:w="3696" w:type="pct"/>
            <w:vMerge/>
          </w:tcPr>
          <w:p w:rsidR="00233F38" w:rsidRPr="00045078" w:rsidRDefault="00233F38" w:rsidP="00E246BD">
            <w:pPr>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Rationale for inclusion</w:t>
            </w:r>
          </w:p>
        </w:tc>
        <w:tc>
          <w:tcPr>
            <w:tcW w:w="3696" w:type="pct"/>
          </w:tcPr>
          <w:p w:rsidR="00233F38" w:rsidRPr="00045078" w:rsidRDefault="00233F38" w:rsidP="00E246BD">
            <w:pPr>
              <w:rPr>
                <w:rFonts w:cs="Arial"/>
              </w:rPr>
            </w:pPr>
            <w:r w:rsidRPr="00045078">
              <w:rPr>
                <w:rFonts w:cs="Arial"/>
              </w:rPr>
              <w:t xml:space="preserve">Used on a daily basis, CUR provides evidence-based decision support for clinicians to ensure that patients receive the </w:t>
            </w:r>
            <w:r w:rsidRPr="00045078">
              <w:rPr>
                <w:rFonts w:cs="Arial"/>
                <w:i/>
              </w:rPr>
              <w:t>right level of care, in the right place at the right time</w:t>
            </w:r>
            <w:r w:rsidRPr="00045078">
              <w:rPr>
                <w:rFonts w:cs="Arial"/>
              </w:rPr>
              <w:t xml:space="preserve"> - according to their clinical needs and best practice, highlighting on a ‘live’ basis where patients may be better treated in an alternative level of care.  The data and reports that it provides allows clinical leads, hospital managers and commissioners to address barriers to optimal patient flow and to re-design services to improve efficiency and productivity.</w:t>
            </w:r>
          </w:p>
          <w:p w:rsidR="00233F38" w:rsidRPr="00045078" w:rsidRDefault="00233F38" w:rsidP="00E246BD">
            <w:pPr>
              <w:rPr>
                <w:rFonts w:cs="Arial"/>
              </w:rPr>
            </w:pPr>
          </w:p>
          <w:p w:rsidR="00233F38" w:rsidRPr="00045078" w:rsidRDefault="00233F38" w:rsidP="00E246BD">
            <w:pPr>
              <w:rPr>
                <w:rFonts w:cs="Arial"/>
              </w:rPr>
            </w:pPr>
            <w:r w:rsidRPr="00045078">
              <w:rPr>
                <w:rFonts w:cs="Arial"/>
              </w:rPr>
              <w:t xml:space="preserve">A Prescribed Specialised Services (PSS) CUR CQUIN is in place for providers of specialised services. A CCG CUR CQUIN presents an opportunity for CUR to be applied across whole health systems. This will provide greater benefits realisation across all healthcare providers including smaller NHS providers, community and mental health providers.  </w:t>
            </w:r>
          </w:p>
          <w:p w:rsidR="00233F38" w:rsidRPr="00045078" w:rsidRDefault="00233F38" w:rsidP="00E246BD">
            <w:pPr>
              <w:rPr>
                <w:rFonts w:cs="Arial"/>
              </w:rPr>
            </w:pPr>
          </w:p>
          <w:p w:rsidR="00233F38" w:rsidRPr="00045078" w:rsidRDefault="00233F38" w:rsidP="00E246BD">
            <w:pPr>
              <w:rPr>
                <w:rFonts w:cs="Arial"/>
              </w:rPr>
            </w:pPr>
            <w:r w:rsidRPr="00045078">
              <w:rPr>
                <w:rFonts w:cs="Arial"/>
                <w:color w:val="000000" w:themeColor="text1"/>
              </w:rPr>
              <w:lastRenderedPageBreak/>
              <w:t xml:space="preserve">In many providers this will therefore be a joint NHS England and CCG CQUIN, with payment set across the two contracts in rough proportion to Prescribed Specialised Services (PSS), non-PSS bed-days and admissions. The supporting worksheets for this scheme facilitate the creation of a joint scheme. Note however that </w:t>
            </w:r>
            <w:r w:rsidRPr="00045078">
              <w:rPr>
                <w:rFonts w:cs="Arial"/>
              </w:rPr>
              <w:t xml:space="preserve">the national CUR Framework did not include mental health and therefore this would need to be procured locally for Mental Health providers to ensure that the CUR supplier has anglicised mental health criteria sets.  </w:t>
            </w:r>
          </w:p>
          <w:p w:rsidR="00233F38" w:rsidRPr="00045078" w:rsidRDefault="00233F38" w:rsidP="00E246BD">
            <w:pPr>
              <w:rPr>
                <w:rFonts w:cs="Arial"/>
              </w:rPr>
            </w:pPr>
          </w:p>
          <w:p w:rsidR="00233F38" w:rsidRPr="00045078" w:rsidRDefault="00233F38" w:rsidP="00E246BD">
            <w:pPr>
              <w:rPr>
                <w:rFonts w:cs="Arial"/>
              </w:rPr>
            </w:pPr>
            <w:r w:rsidRPr="00045078">
              <w:rPr>
                <w:rFonts w:cs="Arial"/>
              </w:rPr>
              <w:t xml:space="preserve">Note that a national CUR framework was launched in July 2015 from which NHS providers should procure their preferred CUR supplier.  NHS Providers can access the Framework by either undertaking a mini-competition between the 4 accredited suppliers or by making a direct award.  To support NHS Providers access the Framework, a CUR Framework User Guide has been developed.  The CUR Framework User Guide and Framework documentation is available on the CUR extranet and can be accessed by emailing </w:t>
            </w:r>
            <w:hyperlink r:id="rId11" w:history="1">
              <w:r w:rsidR="00A15FBF" w:rsidRPr="002C50BF">
                <w:rPr>
                  <w:rStyle w:val="Hyperlink"/>
                  <w:rFonts w:cs="Arial"/>
                </w:rPr>
                <w:t>elisa.taylor@nhs.net</w:t>
              </w:r>
            </w:hyperlink>
          </w:p>
          <w:p w:rsidR="00233F38" w:rsidRPr="00045078" w:rsidRDefault="00233F38" w:rsidP="00E246BD">
            <w:pPr>
              <w:keepNext/>
              <w:contextualSpacing/>
              <w:rPr>
                <w:rFonts w:eastAsia="Times New Roman" w:cs="Arial"/>
                <w:bCs/>
                <w:color w:val="000000"/>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lastRenderedPageBreak/>
              <w:t>Data source</w:t>
            </w:r>
          </w:p>
        </w:tc>
        <w:tc>
          <w:tcPr>
            <w:tcW w:w="3696" w:type="pct"/>
          </w:tcPr>
          <w:p w:rsidR="00233F38" w:rsidRPr="00045078" w:rsidRDefault="00233F38" w:rsidP="00E246BD">
            <w:pPr>
              <w:rPr>
                <w:rFonts w:cs="Arial"/>
              </w:rPr>
            </w:pPr>
            <w:r w:rsidRPr="00045078">
              <w:rPr>
                <w:rFonts w:cs="Arial"/>
              </w:rPr>
              <w:t xml:space="preserve">CUR system* and frequent contract meetings between provider and commissioner. </w:t>
            </w:r>
          </w:p>
          <w:p w:rsidR="00233F38" w:rsidRPr="00045078" w:rsidRDefault="00233F38" w:rsidP="00E246BD">
            <w:pPr>
              <w:rPr>
                <w:rFonts w:cs="Arial"/>
              </w:rPr>
            </w:pPr>
          </w:p>
          <w:p w:rsidR="00233F38" w:rsidRPr="00045078" w:rsidRDefault="00233F38" w:rsidP="00E246BD">
            <w:pPr>
              <w:rPr>
                <w:rFonts w:cs="Arial"/>
              </w:rPr>
            </w:pPr>
            <w:r w:rsidRPr="00045078">
              <w:rPr>
                <w:rFonts w:cs="Arial"/>
              </w:rPr>
              <w:t xml:space="preserve">A </w:t>
            </w:r>
            <w:r w:rsidRPr="00045078">
              <w:rPr>
                <w:rFonts w:eastAsia="Calibri" w:cs="Arial"/>
              </w:rPr>
              <w:t>Minimum Reporting Data Set</w:t>
            </w:r>
            <w:r w:rsidRPr="00045078">
              <w:rPr>
                <w:rFonts w:cs="Arial"/>
              </w:rPr>
              <w:t xml:space="preserve"> report has been developed for submission to the National CUR programme Team, NHS England and CCG commissioners.</w:t>
            </w:r>
          </w:p>
          <w:p w:rsidR="00233F38" w:rsidRPr="00045078" w:rsidRDefault="00233F38" w:rsidP="00E246BD">
            <w:pPr>
              <w:rPr>
                <w:rFonts w:cs="Arial"/>
              </w:rPr>
            </w:pPr>
          </w:p>
          <w:p w:rsidR="00233F38" w:rsidRPr="00045078" w:rsidRDefault="00233F38" w:rsidP="00E246BD">
            <w:pPr>
              <w:keepNext/>
              <w:contextualSpacing/>
              <w:rPr>
                <w:rFonts w:eastAsia="Times New Roman" w:cs="Arial"/>
                <w:bCs/>
                <w:color w:val="000000"/>
              </w:rPr>
            </w:pPr>
            <w:r w:rsidRPr="00045078">
              <w:rPr>
                <w:rFonts w:cs="Arial"/>
              </w:rPr>
              <w:t xml:space="preserve">*Note that in order to secure the CUR CQUIN, NHS Providers will be required to procure from one of the suppliers identified on the national CUR Framework.  </w:t>
            </w: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Frequency of data collection</w:t>
            </w:r>
          </w:p>
        </w:tc>
        <w:tc>
          <w:tcPr>
            <w:tcW w:w="3696" w:type="pct"/>
            <w:vMerge w:val="restart"/>
          </w:tcPr>
          <w:p w:rsidR="00233F38" w:rsidRPr="00045078" w:rsidRDefault="00233F38" w:rsidP="00E246BD">
            <w:pPr>
              <w:keepNext/>
              <w:contextualSpacing/>
              <w:rPr>
                <w:rFonts w:eastAsia="Times New Roman" w:cs="Arial"/>
                <w:bCs/>
              </w:rPr>
            </w:pPr>
            <w:r w:rsidRPr="00045078">
              <w:rPr>
                <w:rFonts w:cs="Arial"/>
              </w:rPr>
              <w:t xml:space="preserve">For further technical guidance on the CQUIN please refer to the PSS CUR CQUIN template (reference </w:t>
            </w:r>
            <w:proofErr w:type="spellStart"/>
            <w:r w:rsidRPr="00045078">
              <w:rPr>
                <w:rFonts w:cs="Arial"/>
              </w:rPr>
              <w:t>G.i</w:t>
            </w:r>
            <w:proofErr w:type="spellEnd"/>
            <w:r w:rsidRPr="00045078">
              <w:rPr>
                <w:rFonts w:cs="Arial"/>
              </w:rPr>
              <w:t>) contained within volume II of the PSS CQUIN guidance</w:t>
            </w:r>
            <w:r w:rsidRPr="00045078">
              <w:rPr>
                <w:rFonts w:cs="Arial"/>
                <w:i/>
                <w:iCs/>
              </w:rPr>
              <w:t>: Improving Value for Patients with Specialised Care: CQUIN Schemes for Prescribed Specialised Services for April 2016 to March 2017</w:t>
            </w:r>
            <w:r w:rsidRPr="00045078">
              <w:rPr>
                <w:rFonts w:cs="Arial"/>
              </w:rPr>
              <w:t>” on the NHS England website</w:t>
            </w:r>
          </w:p>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Organisation responsible for data collection</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Frequency of reporting to commissioner</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lastRenderedPageBreak/>
              <w:t>Baseline period/date</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Baseline value</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Final indicator period/date (on which payment is based)</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Final indicator value (payment threshold)</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Rules for calculation of payment due at final indicator period/date (including evidence to be supplied to commissioner)</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Final indicator reporting date</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Are there rules for any agreed in-year milestones that result in payment?</w:t>
            </w:r>
          </w:p>
        </w:tc>
        <w:tc>
          <w:tcPr>
            <w:tcW w:w="3696" w:type="pct"/>
            <w:vMerge/>
          </w:tcPr>
          <w:p w:rsidR="00233F38" w:rsidRPr="00045078" w:rsidRDefault="00233F38" w:rsidP="00E246BD">
            <w:pPr>
              <w:keepNext/>
              <w:contextualSpacing/>
              <w:rPr>
                <w:rFonts w:eastAsia="Times New Roman"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Are there any rules for partial achievement of the indicator at the final indicator period/date?</w:t>
            </w:r>
          </w:p>
        </w:tc>
        <w:tc>
          <w:tcPr>
            <w:tcW w:w="3696" w:type="pct"/>
            <w:vMerge/>
          </w:tcPr>
          <w:p w:rsidR="00233F38" w:rsidRPr="00045078" w:rsidRDefault="00233F38" w:rsidP="00E246BD">
            <w:pPr>
              <w:keepNext/>
              <w:contextualSpacing/>
              <w:rPr>
                <w:rFonts w:eastAsia="Calibri"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Issues to take into consideration when setting local levels of improvement</w:t>
            </w:r>
          </w:p>
        </w:tc>
        <w:tc>
          <w:tcPr>
            <w:tcW w:w="3696" w:type="pct"/>
            <w:vMerge/>
          </w:tcPr>
          <w:p w:rsidR="00233F38" w:rsidRPr="00045078" w:rsidRDefault="00233F38" w:rsidP="00E246BD">
            <w:pPr>
              <w:keepNext/>
              <w:contextualSpacing/>
              <w:rPr>
                <w:rFonts w:eastAsia="Calibri" w:cs="Arial"/>
                <w:bCs/>
              </w:rPr>
            </w:pPr>
          </w:p>
        </w:tc>
      </w:tr>
      <w:tr w:rsidR="00233F38" w:rsidRPr="00045078" w:rsidTr="00E246BD">
        <w:tc>
          <w:tcPr>
            <w:tcW w:w="1304" w:type="pct"/>
          </w:tcPr>
          <w:p w:rsidR="00233F38" w:rsidRPr="00045078" w:rsidRDefault="00233F38" w:rsidP="00E246BD">
            <w:pPr>
              <w:spacing w:before="20" w:after="20"/>
              <w:rPr>
                <w:rFonts w:eastAsia="Times New Roman" w:cs="Arial"/>
                <w:b/>
                <w:bCs/>
                <w:color w:val="000000"/>
              </w:rPr>
            </w:pPr>
            <w:r w:rsidRPr="00045078">
              <w:rPr>
                <w:rFonts w:eastAsia="Times New Roman" w:cs="Arial"/>
                <w:b/>
                <w:bCs/>
                <w:color w:val="000000"/>
              </w:rPr>
              <w:t>EXIT Route</w:t>
            </w:r>
          </w:p>
        </w:tc>
        <w:tc>
          <w:tcPr>
            <w:tcW w:w="3696" w:type="pct"/>
            <w:vMerge/>
          </w:tcPr>
          <w:p w:rsidR="00233F38" w:rsidRPr="00045078" w:rsidRDefault="00233F38" w:rsidP="00E246BD">
            <w:pPr>
              <w:keepNext/>
              <w:contextualSpacing/>
              <w:rPr>
                <w:rFonts w:eastAsia="Times New Roman" w:cs="Arial"/>
                <w:bCs/>
                <w:color w:val="000000"/>
              </w:rPr>
            </w:pPr>
          </w:p>
        </w:tc>
      </w:tr>
    </w:tbl>
    <w:p w:rsidR="00233F38" w:rsidRPr="00045078" w:rsidRDefault="00233F38" w:rsidP="00233F38">
      <w:pPr>
        <w:spacing w:after="0" w:line="360" w:lineRule="auto"/>
        <w:ind w:left="576"/>
        <w:outlineLvl w:val="1"/>
        <w:rPr>
          <w:rFonts w:ascii="Arial" w:eastAsia="Times New Roman" w:hAnsi="Arial" w:cs="Arial"/>
          <w:b/>
          <w:bCs/>
          <w:iCs/>
          <w:color w:val="A00054"/>
          <w:sz w:val="24"/>
          <w:szCs w:val="24"/>
        </w:rPr>
      </w:pPr>
    </w:p>
    <w:p w:rsidR="00233F38" w:rsidRDefault="00233F38" w:rsidP="00915CA7">
      <w:pPr>
        <w:pStyle w:val="Heading2"/>
      </w:pPr>
      <w:bookmarkStart w:id="9" w:name="_Toc445221074"/>
      <w:r w:rsidRPr="00045078">
        <w:lastRenderedPageBreak/>
        <w:t>Supporting Guidance and References</w:t>
      </w:r>
      <w:bookmarkEnd w:id="9"/>
    </w:p>
    <w:p w:rsidR="00233F38" w:rsidRPr="00045078" w:rsidRDefault="00233F38" w:rsidP="00233F38">
      <w:pPr>
        <w:spacing w:after="0" w:line="240" w:lineRule="auto"/>
        <w:outlineLvl w:val="0"/>
        <w:rPr>
          <w:rFonts w:ascii="Arial" w:eastAsia="Times New Roman" w:hAnsi="Arial" w:cs="Arial"/>
          <w:b/>
          <w:bCs/>
          <w:color w:val="0072C6"/>
          <w:kern w:val="32"/>
          <w:sz w:val="24"/>
          <w:szCs w:val="24"/>
        </w:rPr>
      </w:pPr>
      <w:bookmarkStart w:id="10" w:name="_Toc445221075"/>
      <w:bookmarkStart w:id="11" w:name="_Toc445221121"/>
      <w:bookmarkStart w:id="12" w:name="_Toc445221181"/>
      <w:bookmarkStart w:id="13" w:name="_Toc445222207"/>
      <w:r w:rsidRPr="00045078">
        <w:rPr>
          <w:rFonts w:ascii="Arial" w:hAnsi="Arial" w:cs="Arial"/>
          <w:sz w:val="24"/>
          <w:szCs w:val="24"/>
        </w:rPr>
        <w:t>The software and training costs for implementing the CUR tool are estimated between £80k and £250k over a 3 year period, dependent on the number of beds and the chosen CUR supplier.  There are additional indirect costs, including the time required for staff training, IT costs (getting the system running and linked via Trust IT systems), hosting arrangements etc.</w:t>
      </w:r>
      <w:bookmarkEnd w:id="10"/>
      <w:bookmarkEnd w:id="11"/>
      <w:bookmarkEnd w:id="12"/>
      <w:bookmarkEnd w:id="13"/>
    </w:p>
    <w:p w:rsidR="00233F38" w:rsidRPr="00045078" w:rsidRDefault="00233F38" w:rsidP="00233F38">
      <w:pPr>
        <w:rPr>
          <w:rFonts w:ascii="Arial" w:hAnsi="Arial" w:cs="Arial"/>
          <w:sz w:val="24"/>
          <w:szCs w:val="24"/>
        </w:rPr>
      </w:pPr>
      <w:r w:rsidRPr="00045078">
        <w:rPr>
          <w:rFonts w:ascii="Arial" w:hAnsi="Arial" w:cs="Arial"/>
          <w:sz w:val="24"/>
          <w:szCs w:val="24"/>
        </w:rPr>
        <w:t>There may be additional costs associated with the provision of services not currently in place that improve the flow of patients, once CUR has identified the reasons for patients remaining in inappropriate levels of care.</w:t>
      </w:r>
    </w:p>
    <w:p w:rsidR="00233F38" w:rsidRPr="00045078" w:rsidRDefault="00233F38" w:rsidP="00233F38">
      <w:pPr>
        <w:rPr>
          <w:rFonts w:ascii="Arial" w:hAnsi="Arial" w:cs="Arial"/>
          <w:sz w:val="24"/>
          <w:szCs w:val="24"/>
        </w:rPr>
      </w:pPr>
      <w:r w:rsidRPr="00045078">
        <w:rPr>
          <w:rFonts w:ascii="Arial" w:hAnsi="Arial" w:cs="Arial"/>
          <w:sz w:val="24"/>
          <w:szCs w:val="24"/>
        </w:rPr>
        <w:t>Release of cash savings will be dependent on local circumstances, and expectations should be explicit at the outset – reductions in length of acute stay may release cash where beds are closed as a consequence; where RTT pressures exist or would emerge in the absence of measures to reduce bed usage, savings are made as a result of cost avoidance – no expensive outsourcing of care required; no additional estate required to accommodate increasing demand.</w:t>
      </w:r>
    </w:p>
    <w:p w:rsidR="00233F38" w:rsidRPr="00045078" w:rsidRDefault="00233F38" w:rsidP="00233F38">
      <w:pPr>
        <w:rPr>
          <w:rFonts w:ascii="Arial" w:hAnsi="Arial" w:cs="Arial"/>
          <w:color w:val="000000" w:themeColor="text1"/>
          <w:sz w:val="24"/>
          <w:szCs w:val="24"/>
        </w:rPr>
      </w:pPr>
      <w:r w:rsidRPr="00045078">
        <w:rPr>
          <w:rFonts w:ascii="Arial" w:hAnsi="Arial" w:cs="Arial"/>
          <w:color w:val="000000" w:themeColor="text1"/>
          <w:sz w:val="24"/>
          <w:szCs w:val="24"/>
        </w:rPr>
        <w:t xml:space="preserve">The level of ambition will need to be set individually year by year for each provider. Overall the aspiration is for a ratcheting up of performance through the course of the CQUIN scheme, sustained </w:t>
      </w:r>
      <w:proofErr w:type="gramStart"/>
      <w:r w:rsidRPr="00045078">
        <w:rPr>
          <w:rFonts w:ascii="Arial" w:hAnsi="Arial" w:cs="Arial"/>
          <w:color w:val="000000" w:themeColor="text1"/>
          <w:sz w:val="24"/>
          <w:szCs w:val="24"/>
        </w:rPr>
        <w:t>thereafter,</w:t>
      </w:r>
      <w:proofErr w:type="gramEnd"/>
      <w:r w:rsidRPr="00045078">
        <w:rPr>
          <w:rFonts w:ascii="Arial" w:hAnsi="Arial" w:cs="Arial"/>
          <w:color w:val="000000" w:themeColor="text1"/>
          <w:sz w:val="24"/>
          <w:szCs w:val="24"/>
        </w:rPr>
        <w:t xml:space="preserve"> achieving a reduction in bed days and admissions to levels achieved in other health economies where CUR is embedded. What is a plausible level of improvement in each year will depend upon the scale of change to be achieved and the proportion of failing criteria bed days or admissions that are attributable to factors wholly within a provider’s control, and the effort that a provider can dedicate to improving pathways across the health economy.</w:t>
      </w:r>
    </w:p>
    <w:p w:rsidR="00233F38" w:rsidRPr="00045078" w:rsidRDefault="00233F38" w:rsidP="00233F38">
      <w:pPr>
        <w:rPr>
          <w:rFonts w:ascii="Arial" w:hAnsi="Arial" w:cs="Arial"/>
          <w:color w:val="000000" w:themeColor="text1"/>
          <w:sz w:val="24"/>
          <w:szCs w:val="24"/>
        </w:rPr>
      </w:pPr>
      <w:r w:rsidRPr="00045078">
        <w:rPr>
          <w:rFonts w:ascii="Arial" w:hAnsi="Arial" w:cs="Arial"/>
          <w:color w:val="000000" w:themeColor="text1"/>
          <w:sz w:val="24"/>
          <w:szCs w:val="24"/>
        </w:rPr>
        <w:t xml:space="preserve">Improvements in patient flow can be achieved within the first 12 months of implementation.  Reductions in length of stay may take over 18 months to implement, and will be dependent on both the scale of the initial roll out, and findings from the baseline data.  Key to performance improvement will be the requirement for change management to address internal and external obstacles that prevent patients being cared for in more appropriate settings.  </w:t>
      </w:r>
    </w:p>
    <w:p w:rsidR="00233F38" w:rsidRPr="00045078" w:rsidRDefault="00233F38" w:rsidP="00233F38">
      <w:pPr>
        <w:rPr>
          <w:rFonts w:ascii="Arial" w:hAnsi="Arial" w:cs="Arial"/>
          <w:sz w:val="24"/>
          <w:szCs w:val="24"/>
        </w:rPr>
      </w:pPr>
      <w:r w:rsidRPr="00045078">
        <w:rPr>
          <w:rFonts w:ascii="Arial" w:hAnsi="Arial" w:cs="Arial"/>
          <w:sz w:val="24"/>
          <w:szCs w:val="24"/>
        </w:rPr>
        <w:t xml:space="preserve">Bed and service coverage is a critical factor in the overall scale of improvement possible – a well-constructed roll out that is able to expand quickly into many wards / service areas will achieve greater benefits more quickly. The baseline position will highlight the </w:t>
      </w:r>
      <w:r w:rsidRPr="00045078">
        <w:rPr>
          <w:rFonts w:ascii="Arial" w:hAnsi="Arial" w:cs="Arial"/>
          <w:sz w:val="24"/>
          <w:szCs w:val="24"/>
        </w:rPr>
        <w:lastRenderedPageBreak/>
        <w:t>source of obstacles and delays, and will indicate areas that can be addressed as a priority (within the first year of implementation) to improve patient flow, as well as those areas requiring multi-agency intervention. These areas are likely to take longer to implement, the benefits of which should be obtainable within Year 2 of the CQUIN.</w:t>
      </w:r>
    </w:p>
    <w:p w:rsidR="00233F38" w:rsidRDefault="00233F38" w:rsidP="00450DD2">
      <w:pPr>
        <w:keepNext/>
        <w:keepLines/>
        <w:spacing w:before="200"/>
        <w:outlineLvl w:val="1"/>
        <w:rPr>
          <w:rFonts w:ascii="Arial" w:eastAsia="Times New Roman" w:hAnsi="Arial" w:cs="Arial"/>
          <w:b/>
          <w:bCs/>
          <w:color w:val="4F81BD"/>
          <w:sz w:val="24"/>
          <w:szCs w:val="24"/>
        </w:rPr>
      </w:pPr>
    </w:p>
    <w:p w:rsidR="00233F38" w:rsidRDefault="00233F38" w:rsidP="00450DD2">
      <w:pPr>
        <w:keepNext/>
        <w:keepLines/>
        <w:spacing w:before="200"/>
        <w:outlineLvl w:val="1"/>
        <w:rPr>
          <w:rFonts w:ascii="Arial" w:eastAsia="Times New Roman" w:hAnsi="Arial" w:cs="Arial"/>
          <w:b/>
          <w:bCs/>
          <w:color w:val="4F81BD"/>
          <w:sz w:val="24"/>
          <w:szCs w:val="24"/>
        </w:rPr>
      </w:pPr>
    </w:p>
    <w:p w:rsidR="00233F38" w:rsidRDefault="00233F38" w:rsidP="00450DD2">
      <w:pPr>
        <w:keepNext/>
        <w:keepLines/>
        <w:spacing w:before="200"/>
        <w:outlineLvl w:val="1"/>
        <w:rPr>
          <w:rFonts w:ascii="Arial" w:eastAsia="Times New Roman" w:hAnsi="Arial" w:cs="Arial"/>
          <w:b/>
          <w:bCs/>
          <w:color w:val="4F81BD"/>
          <w:sz w:val="24"/>
          <w:szCs w:val="24"/>
        </w:rPr>
      </w:pPr>
    </w:p>
    <w:p w:rsidR="00233F38" w:rsidRDefault="00233F38" w:rsidP="00450DD2">
      <w:pPr>
        <w:keepNext/>
        <w:keepLines/>
        <w:spacing w:before="200"/>
        <w:outlineLvl w:val="1"/>
        <w:rPr>
          <w:rFonts w:ascii="Arial" w:eastAsia="Times New Roman" w:hAnsi="Arial" w:cs="Arial"/>
          <w:b/>
          <w:bCs/>
          <w:color w:val="4F81BD"/>
          <w:sz w:val="24"/>
          <w:szCs w:val="24"/>
        </w:rPr>
      </w:pPr>
    </w:p>
    <w:p w:rsidR="00233F38" w:rsidRPr="00450DD2" w:rsidRDefault="00233F38" w:rsidP="00450DD2">
      <w:pPr>
        <w:keepNext/>
        <w:keepLines/>
        <w:spacing w:before="200"/>
        <w:outlineLvl w:val="1"/>
        <w:rPr>
          <w:rFonts w:ascii="Arial" w:eastAsia="Times New Roman" w:hAnsi="Arial" w:cs="Arial"/>
          <w:b/>
          <w:bCs/>
          <w:color w:val="4F81BD"/>
          <w:sz w:val="24"/>
          <w:szCs w:val="24"/>
        </w:rPr>
      </w:pPr>
    </w:p>
    <w:bookmarkEnd w:id="3"/>
    <w:p w:rsidR="00450DD2" w:rsidRDefault="00450DD2"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0C70A9" w:rsidRDefault="000C70A9" w:rsidP="00450DD2">
      <w:pPr>
        <w:spacing w:after="0" w:line="240" w:lineRule="auto"/>
        <w:rPr>
          <w:rFonts w:ascii="Arial" w:eastAsia="Times New Roman" w:hAnsi="Arial" w:cs="Times New Roman"/>
          <w:bCs/>
          <w:sz w:val="24"/>
          <w:szCs w:val="26"/>
        </w:rPr>
      </w:pPr>
    </w:p>
    <w:p w:rsidR="000C70A9" w:rsidRDefault="000C70A9"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233F38" w:rsidRDefault="00233F38" w:rsidP="00450DD2">
      <w:pPr>
        <w:spacing w:after="0" w:line="240" w:lineRule="auto"/>
        <w:rPr>
          <w:rFonts w:ascii="Arial" w:eastAsia="Times New Roman" w:hAnsi="Arial" w:cs="Times New Roman"/>
          <w:bCs/>
          <w:sz w:val="24"/>
          <w:szCs w:val="26"/>
        </w:rPr>
      </w:pPr>
    </w:p>
    <w:p w:rsidR="0052708A" w:rsidRDefault="0052708A" w:rsidP="00450DD2">
      <w:pPr>
        <w:spacing w:after="0" w:line="240" w:lineRule="auto"/>
        <w:rPr>
          <w:rFonts w:ascii="Arial" w:eastAsia="Times New Roman" w:hAnsi="Arial" w:cs="Times New Roman"/>
          <w:bCs/>
          <w:sz w:val="24"/>
          <w:szCs w:val="26"/>
        </w:rPr>
      </w:pPr>
    </w:p>
    <w:p w:rsidR="008316B4" w:rsidRDefault="008316B4" w:rsidP="008316B4">
      <w:pPr>
        <w:pStyle w:val="Heading1"/>
        <w:rPr>
          <w:rFonts w:cs="Times New Roman"/>
          <w:b w:val="0"/>
          <w:color w:val="auto"/>
          <w:kern w:val="0"/>
          <w:sz w:val="24"/>
          <w:szCs w:val="26"/>
        </w:rPr>
      </w:pPr>
    </w:p>
    <w:p w:rsidR="00450DD2" w:rsidRPr="008316B4" w:rsidRDefault="008316B4" w:rsidP="00B80E00">
      <w:pPr>
        <w:pStyle w:val="Heading1"/>
        <w:numPr>
          <w:ilvl w:val="0"/>
          <w:numId w:val="22"/>
        </w:numPr>
        <w:tabs>
          <w:tab w:val="left" w:pos="-142"/>
        </w:tabs>
      </w:pPr>
      <w:bookmarkStart w:id="14" w:name="_Toc445222208"/>
      <w:r>
        <w:lastRenderedPageBreak/>
        <w:t>D</w:t>
      </w:r>
      <w:r w:rsidR="00450DD2" w:rsidRPr="008316B4">
        <w:t>elayed Transfer</w:t>
      </w:r>
      <w:r w:rsidR="00915CA7">
        <w:t>s</w:t>
      </w:r>
      <w:r w:rsidR="00450DD2" w:rsidRPr="008316B4">
        <w:t xml:space="preserve"> of Care</w:t>
      </w:r>
      <w:bookmarkEnd w:id="14"/>
    </w:p>
    <w:p w:rsidR="00450DD2" w:rsidRPr="00450DD2" w:rsidRDefault="00450DD2" w:rsidP="00450DD2">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450DD2" w:rsidRPr="00450DD2" w:rsidTr="005D0A69">
        <w:trPr>
          <w:tblHeader/>
        </w:trPr>
        <w:tc>
          <w:tcPr>
            <w:tcW w:w="5000" w:type="pct"/>
            <w:gridSpan w:val="2"/>
            <w:shd w:val="clear" w:color="auto" w:fill="0070C0"/>
          </w:tcPr>
          <w:p w:rsidR="00450DD2" w:rsidRPr="00450DD2" w:rsidRDefault="005D0A69" w:rsidP="00450DD2">
            <w:pPr>
              <w:spacing w:before="20" w:after="20"/>
              <w:jc w:val="center"/>
              <w:rPr>
                <w:rFonts w:eastAsia="Times New Roman"/>
                <w:b/>
                <w:bCs/>
                <w:color w:val="FFFFFF"/>
                <w:szCs w:val="26"/>
              </w:rPr>
            </w:pPr>
            <w:r w:rsidRPr="005D0A69">
              <w:rPr>
                <w:rFonts w:eastAsia="Times New Roman" w:cs="Arial"/>
                <w:b/>
                <w:bCs/>
                <w:color w:val="FFFFFF" w:themeColor="background1"/>
                <w:kern w:val="32"/>
                <w:szCs w:val="32"/>
              </w:rPr>
              <w:t>Indicator</w:t>
            </w:r>
          </w:p>
        </w:tc>
      </w:tr>
      <w:tr w:rsidR="00450DD2" w:rsidRPr="00450DD2" w:rsidTr="008316B4">
        <w:tc>
          <w:tcPr>
            <w:tcW w:w="1304" w:type="pct"/>
          </w:tcPr>
          <w:p w:rsidR="00450DD2" w:rsidRPr="00450DD2" w:rsidRDefault="00450DD2" w:rsidP="00450DD2">
            <w:pPr>
              <w:spacing w:before="20" w:after="20"/>
              <w:rPr>
                <w:rFonts w:eastAsia="Times New Roman"/>
                <w:b/>
                <w:bCs/>
                <w:szCs w:val="26"/>
              </w:rPr>
            </w:pPr>
            <w:r w:rsidRPr="00450DD2">
              <w:rPr>
                <w:rFonts w:eastAsia="Times New Roman" w:cs="Arial"/>
                <w:b/>
                <w:bCs/>
                <w:color w:val="000000"/>
                <w:szCs w:val="26"/>
              </w:rPr>
              <w:t>Indicator name</w:t>
            </w:r>
          </w:p>
        </w:tc>
        <w:tc>
          <w:tcPr>
            <w:tcW w:w="3696" w:type="pct"/>
          </w:tcPr>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Increasing the proportion of patients discharged to their usual place of residence within 7 days of admission.</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 xml:space="preserve">Indicator weighting </w:t>
            </w:r>
            <w:r w:rsidRPr="00450DD2">
              <w:rPr>
                <w:rFonts w:eastAsia="Times New Roman" w:cs="Arial"/>
                <w:b/>
                <w:bCs/>
                <w:color w:val="000000"/>
                <w:szCs w:val="26"/>
              </w:rPr>
              <w:br/>
              <w:t>(% of CQUIN scheme available)</w:t>
            </w:r>
          </w:p>
        </w:tc>
        <w:tc>
          <w:tcPr>
            <w:tcW w:w="3696" w:type="pct"/>
          </w:tcPr>
          <w:p w:rsidR="00450DD2" w:rsidRPr="00450DD2" w:rsidRDefault="00450DD2" w:rsidP="00450DD2">
            <w:pPr>
              <w:rPr>
                <w:rFonts w:eastAsia="MS Mincho" w:cs="Arial"/>
                <w:bCs/>
                <w:lang w:eastAsia="ja-JP"/>
              </w:rPr>
            </w:pPr>
            <w:r w:rsidRPr="00450DD2">
              <w:rPr>
                <w:rFonts w:eastAsia="MS Mincho" w:cs="Arial"/>
                <w:bCs/>
                <w:lang w:eastAsia="ja-JP"/>
              </w:rPr>
              <w:t>To be agreed locally</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Description of indicator</w:t>
            </w:r>
          </w:p>
        </w:tc>
        <w:tc>
          <w:tcPr>
            <w:tcW w:w="3696" w:type="pct"/>
          </w:tcPr>
          <w:p w:rsidR="00450DD2" w:rsidRPr="00450DD2" w:rsidRDefault="00450DD2" w:rsidP="00450DD2">
            <w:pPr>
              <w:keepNext/>
              <w:rPr>
                <w:rFonts w:eastAsia="Times New Roman"/>
                <w:bCs/>
                <w:szCs w:val="26"/>
              </w:rPr>
            </w:pPr>
            <w:r w:rsidRPr="00450DD2">
              <w:rPr>
                <w:rFonts w:eastAsia="Times New Roman"/>
                <w:bCs/>
                <w:szCs w:val="26"/>
              </w:rPr>
              <w:t>A [x] percentage point improvement in the proportion of patients discharged to their usual place of residence within 7 days of admission (based on a baseline position taken from the end of Q1 / beginning of Q2 2016/17).</w:t>
            </w:r>
          </w:p>
          <w:p w:rsidR="00450DD2" w:rsidRPr="00450DD2" w:rsidRDefault="00450DD2" w:rsidP="00450DD2">
            <w:pPr>
              <w:keepNext/>
              <w:rPr>
                <w:rFonts w:eastAsia="Times New Roman"/>
                <w:bCs/>
                <w:szCs w:val="26"/>
              </w:rPr>
            </w:pPr>
          </w:p>
          <w:p w:rsidR="00450DD2" w:rsidRPr="00450DD2" w:rsidRDefault="00450DD2" w:rsidP="00450DD2">
            <w:pPr>
              <w:keepNext/>
              <w:rPr>
                <w:rFonts w:eastAsia="Times New Roman" w:cs="Arial"/>
                <w:bCs/>
                <w:color w:val="000000"/>
                <w:szCs w:val="26"/>
              </w:rPr>
            </w:pPr>
            <w:r w:rsidRPr="00450DD2">
              <w:rPr>
                <w:rFonts w:eastAsia="Times New Roman"/>
                <w:bCs/>
                <w:szCs w:val="26"/>
              </w:rPr>
              <w:t>The indicator is primarily aimed at supporting improvements in patient flow within the acute sector during 16/17. However, the indicator could be expanded to include other local providers, including community providers and care homes, to support overarching system improvements in patient flow and discharge.</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Numerator</w:t>
            </w:r>
          </w:p>
        </w:tc>
        <w:tc>
          <w:tcPr>
            <w:tcW w:w="3696" w:type="pct"/>
          </w:tcPr>
          <w:p w:rsidR="00450DD2" w:rsidRPr="00450DD2" w:rsidRDefault="00450DD2" w:rsidP="00450DD2">
            <w:pPr>
              <w:contextualSpacing/>
              <w:rPr>
                <w:rFonts w:eastAsia="Times New Roman" w:cs="Arial"/>
                <w:bCs/>
              </w:rPr>
            </w:pPr>
            <w:r w:rsidRPr="00450DD2">
              <w:rPr>
                <w:rFonts w:eastAsia="Times New Roman" w:cs="Arial"/>
                <w:bCs/>
              </w:rPr>
              <w:t>The number of patients discharged to their usual place of residence within seven days from the date of admission.</w:t>
            </w:r>
          </w:p>
          <w:p w:rsidR="00450DD2" w:rsidRPr="00450DD2" w:rsidRDefault="00450DD2" w:rsidP="00450DD2">
            <w:pPr>
              <w:ind w:left="720"/>
              <w:contextualSpacing/>
              <w:rPr>
                <w:rFonts w:eastAsia="Times New Roman" w:cs="Arial"/>
                <w:bCs/>
              </w:rPr>
            </w:pPr>
          </w:p>
          <w:p w:rsidR="00450DD2" w:rsidRPr="00450DD2" w:rsidRDefault="00450DD2" w:rsidP="00450DD2">
            <w:pPr>
              <w:contextualSpacing/>
              <w:rPr>
                <w:rFonts w:eastAsia="Times New Roman" w:cs="Arial"/>
                <w:bCs/>
              </w:rPr>
            </w:pPr>
            <w:r w:rsidRPr="00450DD2">
              <w:rPr>
                <w:rFonts w:eastAsia="Times New Roman" w:cs="Arial"/>
                <w:bCs/>
              </w:rPr>
              <w:t>Patients with a length of stay of 0 days should be excluded from the numerator.</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Denominator</w:t>
            </w:r>
          </w:p>
        </w:tc>
        <w:tc>
          <w:tcPr>
            <w:tcW w:w="3696" w:type="pct"/>
          </w:tcPr>
          <w:p w:rsidR="00450DD2" w:rsidRPr="00450DD2" w:rsidRDefault="00450DD2" w:rsidP="00450DD2">
            <w:pPr>
              <w:rPr>
                <w:rFonts w:eastAsia="Times New Roman" w:cs="Arial"/>
                <w:bCs/>
              </w:rPr>
            </w:pPr>
            <w:r w:rsidRPr="00450DD2">
              <w:rPr>
                <w:rFonts w:eastAsia="Times New Roman" w:cs="Arial"/>
                <w:bCs/>
              </w:rPr>
              <w:t>The total number of patients discharged.</w:t>
            </w:r>
          </w:p>
          <w:p w:rsidR="00450DD2" w:rsidRPr="00450DD2" w:rsidRDefault="00450DD2" w:rsidP="00450DD2">
            <w:pPr>
              <w:rPr>
                <w:rFonts w:eastAsia="Times New Roman" w:cs="Arial"/>
                <w:bCs/>
              </w:rPr>
            </w:pPr>
            <w:r w:rsidRPr="00450DD2">
              <w:rPr>
                <w:rFonts w:eastAsia="Times New Roman" w:cs="Arial"/>
                <w:bCs/>
              </w:rPr>
              <w:t>Patients with a length of stay of 0 days should be excluded from the denominator.</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Rationale for inclusion</w:t>
            </w:r>
          </w:p>
        </w:tc>
        <w:tc>
          <w:tcPr>
            <w:tcW w:w="3696" w:type="pct"/>
          </w:tcPr>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There is a considerable evidence for the harm caused by poor patient flow.  Delays lead to poor outcomes for patients, create financial pressures and impact on key NHS performance measures.</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 xml:space="preserve">Shorter lengths of stay can act as a powerful proxy indicator of good patient flow. During the </w:t>
            </w:r>
            <w:r w:rsidRPr="00450DD2">
              <w:rPr>
                <w:rFonts w:eastAsia="Times New Roman" w:cs="Arial"/>
                <w:bCs/>
                <w:color w:val="000000"/>
                <w:szCs w:val="26"/>
              </w:rPr>
              <w:lastRenderedPageBreak/>
              <w:t>course of winter 2015/16, patient flow indicators have been trialled with systems taking part in the Emergency Care Improvement Programme (ECIP), and have supported reductions in length of stay and improvements in patient flow. This CQUIN indicator is designed to improve patient outcomes and ensure that ongoing care is delivered in the most appropriate setting.</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The focus of the current monthly Delayed Transfer of Care (</w:t>
            </w:r>
            <w:proofErr w:type="spellStart"/>
            <w:r w:rsidRPr="00450DD2">
              <w:rPr>
                <w:rFonts w:eastAsia="Times New Roman" w:cs="Arial"/>
                <w:bCs/>
                <w:color w:val="000000"/>
                <w:szCs w:val="26"/>
              </w:rPr>
              <w:t>DToC</w:t>
            </w:r>
            <w:proofErr w:type="spellEnd"/>
            <w:r w:rsidRPr="00450DD2">
              <w:rPr>
                <w:rFonts w:eastAsia="Times New Roman" w:cs="Arial"/>
                <w:bCs/>
                <w:color w:val="000000"/>
                <w:szCs w:val="26"/>
              </w:rPr>
              <w:t xml:space="preserve">) collection is to identify patients who are in the wrong care setting for their current level of need. However, there are a number of acknowledged limitations to the </w:t>
            </w:r>
            <w:proofErr w:type="spellStart"/>
            <w:r w:rsidRPr="00450DD2">
              <w:rPr>
                <w:rFonts w:eastAsia="Times New Roman" w:cs="Arial"/>
                <w:bCs/>
                <w:color w:val="000000"/>
                <w:szCs w:val="26"/>
              </w:rPr>
              <w:t>DToC</w:t>
            </w:r>
            <w:proofErr w:type="spellEnd"/>
            <w:r w:rsidRPr="00450DD2">
              <w:rPr>
                <w:rFonts w:eastAsia="Times New Roman" w:cs="Arial"/>
                <w:bCs/>
                <w:color w:val="000000"/>
                <w:szCs w:val="26"/>
              </w:rPr>
              <w:t xml:space="preserve"> measure, one of which is that it only captures a sub-set of delays along the patient pathway.</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 xml:space="preserve">The CQUIN indicator reflects a medium-term intention to move beyond the </w:t>
            </w:r>
            <w:proofErr w:type="spellStart"/>
            <w:r w:rsidRPr="00450DD2">
              <w:rPr>
                <w:rFonts w:eastAsia="Times New Roman" w:cs="Arial"/>
                <w:bCs/>
                <w:color w:val="000000"/>
                <w:szCs w:val="26"/>
              </w:rPr>
              <w:t>DToC</w:t>
            </w:r>
            <w:proofErr w:type="spellEnd"/>
            <w:r w:rsidRPr="00450DD2">
              <w:rPr>
                <w:rFonts w:eastAsia="Times New Roman" w:cs="Arial"/>
                <w:bCs/>
                <w:color w:val="000000"/>
                <w:szCs w:val="26"/>
              </w:rPr>
              <w:t xml:space="preserve"> measure and to improve the way systems gather intelligence on patient flow and transfers of care. Adopting this indicator in 16/17 should allow systems to become familiar with this type of indicator ahead of any wider roll-out in future. The indicator and underlying data should also act as a helpful tool to support systems in working collaboratively to address the underlying drivers of delays.</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There is a wide experience base for ‘what works well’ to improve patient flow in urgent and emergency care systems; some key sources are referenced in the guidance below.</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lastRenderedPageBreak/>
              <w:t>Data source</w:t>
            </w:r>
          </w:p>
        </w:tc>
        <w:tc>
          <w:tcPr>
            <w:tcW w:w="3696" w:type="pct"/>
          </w:tcPr>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Hospital Episode Statistics / SUS</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The following data fields should be used:</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w:t>
            </w:r>
            <w:proofErr w:type="spellStart"/>
            <w:r w:rsidRPr="00450DD2">
              <w:rPr>
                <w:rFonts w:eastAsia="Times New Roman" w:cs="Arial"/>
                <w:bCs/>
                <w:color w:val="000000"/>
                <w:szCs w:val="26"/>
              </w:rPr>
              <w:t>i</w:t>
            </w:r>
            <w:proofErr w:type="spellEnd"/>
            <w:r w:rsidRPr="00450DD2">
              <w:rPr>
                <w:rFonts w:eastAsia="Times New Roman" w:cs="Arial"/>
                <w:bCs/>
                <w:color w:val="000000"/>
                <w:szCs w:val="26"/>
              </w:rPr>
              <w:t>)</w:t>
            </w:r>
            <w:r w:rsidRPr="00450DD2">
              <w:rPr>
                <w:rFonts w:eastAsia="Times New Roman" w:cs="Arial"/>
                <w:bCs/>
                <w:color w:val="000000"/>
                <w:szCs w:val="26"/>
              </w:rPr>
              <w:tab/>
              <w:t>Length of stay, based on the Date of admission (ADMIDATE) and Date of discharge (DISDATE) fields;</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(ii)</w:t>
            </w:r>
            <w:r w:rsidRPr="00450DD2">
              <w:rPr>
                <w:rFonts w:eastAsia="Times New Roman" w:cs="Arial"/>
                <w:bCs/>
                <w:color w:val="000000"/>
                <w:szCs w:val="26"/>
              </w:rPr>
              <w:tab/>
              <w:t>Destination on discharge (DISDEST).</w:t>
            </w:r>
          </w:p>
          <w:p w:rsidR="00450DD2" w:rsidRPr="00450DD2" w:rsidRDefault="00450DD2" w:rsidP="00450DD2">
            <w:pPr>
              <w:keepNext/>
              <w:contextualSpacing/>
              <w:rPr>
                <w:rFonts w:eastAsia="Times New Roman" w:cs="Arial"/>
                <w:bCs/>
                <w:color w:val="000000"/>
                <w:szCs w:val="26"/>
              </w:rPr>
            </w:pPr>
          </w:p>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lastRenderedPageBreak/>
              <w:t>Providers are reminded that DISDEST should be recorded as 19 (The usual place of residence, including no fixed abode) if a nursing / residential home, or other place of care is the patient’s ‘usual place of residence’.</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lastRenderedPageBreak/>
              <w:t>Frequency of data collection</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Monthly</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Organisation responsible for data collection</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Provider</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Frequency of reporting to commissioner</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Quarterly</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Baseline period/date</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June – July or August 2016 (if using SUS)</w:t>
            </w:r>
          </w:p>
          <w:p w:rsidR="00450DD2" w:rsidRPr="00450DD2" w:rsidRDefault="00450DD2" w:rsidP="00450DD2">
            <w:pPr>
              <w:keepNext/>
              <w:contextualSpacing/>
              <w:rPr>
                <w:rFonts w:eastAsia="Times New Roman" w:cs="Arial"/>
                <w:bCs/>
              </w:rPr>
            </w:pPr>
          </w:p>
          <w:p w:rsidR="00450DD2" w:rsidRPr="00450DD2" w:rsidRDefault="00450DD2" w:rsidP="00450DD2">
            <w:pPr>
              <w:keepNext/>
              <w:contextualSpacing/>
              <w:rPr>
                <w:rFonts w:eastAsia="Times New Roman" w:cs="Arial"/>
                <w:bCs/>
              </w:rPr>
            </w:pPr>
            <w:r w:rsidRPr="00450DD2">
              <w:rPr>
                <w:rFonts w:eastAsia="Times New Roman" w:cs="Arial"/>
                <w:bCs/>
              </w:rPr>
              <w:t>June 2016 (if using HES, due to longer time lag before data is available)</w:t>
            </w:r>
          </w:p>
          <w:p w:rsidR="00450DD2" w:rsidRPr="00450DD2" w:rsidRDefault="00450DD2" w:rsidP="00450DD2">
            <w:pPr>
              <w:keepNext/>
              <w:contextualSpacing/>
              <w:rPr>
                <w:rFonts w:eastAsia="Times New Roman" w:cs="Arial"/>
                <w:bCs/>
              </w:rPr>
            </w:pPr>
          </w:p>
          <w:p w:rsidR="00450DD2" w:rsidRPr="00450DD2" w:rsidRDefault="00450DD2" w:rsidP="00450DD2">
            <w:pPr>
              <w:keepNext/>
              <w:contextualSpacing/>
              <w:rPr>
                <w:rFonts w:eastAsia="Times New Roman" w:cs="Arial"/>
                <w:bCs/>
              </w:rPr>
            </w:pPr>
            <w:r w:rsidRPr="00450DD2">
              <w:rPr>
                <w:rFonts w:eastAsia="Times New Roman" w:cs="Arial"/>
                <w:bCs/>
              </w:rPr>
              <w:t>Commissioners should note the potential for seasonal variation and consider whether the baseline should also take account of performance in 2015/16.</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Baseline value</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N/A</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Final indicator period/date (on which payment is based)</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October 2016 – March 2017 (Q3-4 2016/17)</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Final indicator value (payment threshold)</w:t>
            </w:r>
          </w:p>
        </w:tc>
        <w:tc>
          <w:tcPr>
            <w:tcW w:w="3696" w:type="pct"/>
          </w:tcPr>
          <w:p w:rsidR="00450DD2" w:rsidRPr="00450DD2" w:rsidRDefault="00450DD2" w:rsidP="00450DD2">
            <w:pPr>
              <w:keepNext/>
              <w:rPr>
                <w:rFonts w:eastAsia="Times New Roman" w:cs="Arial"/>
                <w:bCs/>
              </w:rPr>
            </w:pPr>
            <w:r w:rsidRPr="00450DD2">
              <w:rPr>
                <w:rFonts w:eastAsia="Times New Roman" w:cs="Arial"/>
                <w:bCs/>
              </w:rPr>
              <w:t>To be agreed locally</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Rules for calculation of payment due at final indicator period/date (including evidence to be supplied to commissioner)</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N/A</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Final indicator reporting date</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As soon as possible after the end of Q4</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lastRenderedPageBreak/>
              <w:t>Are there rules for any agreed in-year milestones that result in payment?</w:t>
            </w:r>
          </w:p>
        </w:tc>
        <w:tc>
          <w:tcPr>
            <w:tcW w:w="3696" w:type="pct"/>
          </w:tcPr>
          <w:p w:rsidR="00450DD2" w:rsidRPr="00450DD2" w:rsidRDefault="00450DD2" w:rsidP="00450DD2">
            <w:pPr>
              <w:keepNext/>
              <w:contextualSpacing/>
              <w:rPr>
                <w:rFonts w:eastAsia="Times New Roman" w:cs="Arial"/>
                <w:bCs/>
              </w:rPr>
            </w:pPr>
            <w:r w:rsidRPr="00450DD2">
              <w:rPr>
                <w:rFonts w:eastAsia="Times New Roman" w:cs="Arial"/>
                <w:bCs/>
              </w:rPr>
              <w:t>N/A</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Are there any rules for partial achievement of the indicator at the final indicator period/date?</w:t>
            </w:r>
          </w:p>
        </w:tc>
        <w:tc>
          <w:tcPr>
            <w:tcW w:w="3696" w:type="pct"/>
          </w:tcPr>
          <w:p w:rsidR="00450DD2" w:rsidRPr="00450DD2" w:rsidRDefault="00450DD2" w:rsidP="00450DD2">
            <w:pPr>
              <w:keepNext/>
              <w:contextualSpacing/>
              <w:rPr>
                <w:rFonts w:eastAsia="Calibri" w:cs="Arial"/>
                <w:bCs/>
              </w:rPr>
            </w:pPr>
            <w:r w:rsidRPr="00450DD2">
              <w:rPr>
                <w:rFonts w:eastAsia="Calibri" w:cs="Arial"/>
                <w:bCs/>
              </w:rPr>
              <w:t>To be agreed locally</w:t>
            </w: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Issues to take into consideration when setting local levels of improvement</w:t>
            </w:r>
          </w:p>
        </w:tc>
        <w:tc>
          <w:tcPr>
            <w:tcW w:w="3696" w:type="pct"/>
          </w:tcPr>
          <w:p w:rsidR="00450DD2" w:rsidRPr="00450DD2" w:rsidRDefault="00450DD2" w:rsidP="00450DD2">
            <w:pPr>
              <w:rPr>
                <w:rFonts w:eastAsia="Times New Roman" w:cs="Arial"/>
                <w:bCs/>
                <w:color w:val="000000"/>
                <w:szCs w:val="26"/>
              </w:rPr>
            </w:pPr>
            <w:r w:rsidRPr="00450DD2">
              <w:rPr>
                <w:rFonts w:eastAsia="Times New Roman" w:cs="Arial"/>
                <w:bCs/>
                <w:color w:val="000000"/>
                <w:szCs w:val="26"/>
              </w:rPr>
              <w:t>Local systems are encouraged to consider graded improvement levels (e.g. 5/10/15%) in order to incentivise continuous improvement.</w:t>
            </w:r>
          </w:p>
          <w:p w:rsidR="00450DD2" w:rsidRPr="00450DD2" w:rsidRDefault="00450DD2" w:rsidP="00450DD2">
            <w:pPr>
              <w:rPr>
                <w:rFonts w:eastAsia="Times New Roman" w:cs="Arial"/>
                <w:bCs/>
                <w:color w:val="000000"/>
                <w:szCs w:val="26"/>
              </w:rPr>
            </w:pPr>
          </w:p>
          <w:p w:rsidR="00450DD2" w:rsidRPr="00450DD2" w:rsidRDefault="00450DD2" w:rsidP="00450DD2">
            <w:pPr>
              <w:rPr>
                <w:rFonts w:eastAsia="Times New Roman" w:cs="Arial"/>
                <w:bCs/>
                <w:color w:val="000000"/>
                <w:szCs w:val="26"/>
              </w:rPr>
            </w:pPr>
            <w:r w:rsidRPr="00450DD2">
              <w:rPr>
                <w:rFonts w:eastAsia="Times New Roman" w:cs="Arial"/>
                <w:bCs/>
                <w:color w:val="000000"/>
                <w:szCs w:val="26"/>
              </w:rPr>
              <w:t>If this approach is followed, the allocation of payment between the different improvement levels should balance the incentive for continuous improvement against the incentive for initial improvement from baseline performance.</w:t>
            </w:r>
          </w:p>
          <w:p w:rsidR="00450DD2" w:rsidRPr="00450DD2" w:rsidRDefault="00450DD2" w:rsidP="00450DD2">
            <w:pPr>
              <w:rPr>
                <w:rFonts w:eastAsia="Times New Roman" w:cs="Arial"/>
                <w:bCs/>
                <w:color w:val="000000"/>
                <w:szCs w:val="26"/>
              </w:rPr>
            </w:pPr>
          </w:p>
          <w:p w:rsidR="00450DD2" w:rsidRPr="00450DD2" w:rsidRDefault="00450DD2" w:rsidP="00450DD2">
            <w:pPr>
              <w:rPr>
                <w:rFonts w:eastAsia="Times New Roman" w:cs="Arial"/>
                <w:bCs/>
                <w:color w:val="000000"/>
                <w:szCs w:val="26"/>
              </w:rPr>
            </w:pPr>
            <w:r w:rsidRPr="00450DD2">
              <w:rPr>
                <w:rFonts w:eastAsia="Times New Roman" w:cs="Arial"/>
                <w:bCs/>
                <w:color w:val="000000"/>
                <w:szCs w:val="26"/>
              </w:rPr>
              <w:t>Providers and commissioners should carefully monitor readmission rate as a ‘balancing metric’ during implementation.</w:t>
            </w:r>
          </w:p>
          <w:p w:rsidR="00450DD2" w:rsidRPr="00450DD2" w:rsidRDefault="00450DD2" w:rsidP="00450DD2">
            <w:pPr>
              <w:keepNext/>
              <w:contextualSpacing/>
              <w:rPr>
                <w:rFonts w:eastAsia="Calibri" w:cs="Arial"/>
                <w:bCs/>
              </w:rPr>
            </w:pPr>
          </w:p>
        </w:tc>
      </w:tr>
      <w:tr w:rsidR="00450DD2" w:rsidRPr="00450DD2" w:rsidTr="008316B4">
        <w:tc>
          <w:tcPr>
            <w:tcW w:w="1304" w:type="pct"/>
          </w:tcPr>
          <w:p w:rsidR="00450DD2" w:rsidRPr="00450DD2" w:rsidRDefault="00450DD2" w:rsidP="00450DD2">
            <w:pPr>
              <w:spacing w:before="20" w:after="20"/>
              <w:rPr>
                <w:rFonts w:eastAsia="Times New Roman" w:cs="Arial"/>
                <w:b/>
                <w:bCs/>
                <w:color w:val="000000"/>
                <w:szCs w:val="26"/>
              </w:rPr>
            </w:pPr>
            <w:r w:rsidRPr="00450DD2">
              <w:rPr>
                <w:rFonts w:eastAsia="Times New Roman" w:cs="Arial"/>
                <w:b/>
                <w:bCs/>
                <w:color w:val="000000"/>
                <w:szCs w:val="26"/>
              </w:rPr>
              <w:t>EXIT Route</w:t>
            </w:r>
          </w:p>
        </w:tc>
        <w:tc>
          <w:tcPr>
            <w:tcW w:w="3696" w:type="pct"/>
          </w:tcPr>
          <w:p w:rsidR="00450DD2" w:rsidRPr="00450DD2" w:rsidRDefault="00450DD2" w:rsidP="00450DD2">
            <w:pPr>
              <w:keepNext/>
              <w:contextualSpacing/>
              <w:rPr>
                <w:rFonts w:eastAsia="Times New Roman" w:cs="Arial"/>
                <w:bCs/>
                <w:color w:val="000000"/>
                <w:szCs w:val="26"/>
              </w:rPr>
            </w:pPr>
            <w:r w:rsidRPr="00450DD2">
              <w:rPr>
                <w:rFonts w:eastAsia="Times New Roman" w:cs="Arial"/>
                <w:bCs/>
                <w:color w:val="000000"/>
                <w:szCs w:val="26"/>
              </w:rPr>
              <w:t>To be agreed locally.</w:t>
            </w:r>
          </w:p>
        </w:tc>
      </w:tr>
    </w:tbl>
    <w:p w:rsidR="00450DD2" w:rsidRDefault="00450DD2" w:rsidP="00450DD2">
      <w:pPr>
        <w:spacing w:after="0" w:line="360" w:lineRule="auto"/>
        <w:ind w:left="576"/>
        <w:outlineLvl w:val="1"/>
        <w:rPr>
          <w:rFonts w:ascii="Arial" w:eastAsia="Times New Roman" w:hAnsi="Arial" w:cs="Times New Roman"/>
          <w:b/>
          <w:bCs/>
          <w:iCs/>
          <w:color w:val="A00054"/>
          <w:sz w:val="28"/>
          <w:szCs w:val="28"/>
        </w:rPr>
      </w:pPr>
    </w:p>
    <w:p w:rsidR="00915CA7" w:rsidRDefault="00915CA7" w:rsidP="00450DD2">
      <w:pPr>
        <w:spacing w:after="0" w:line="360" w:lineRule="auto"/>
        <w:ind w:left="576"/>
        <w:outlineLvl w:val="1"/>
        <w:rPr>
          <w:rFonts w:ascii="Arial" w:eastAsia="Times New Roman" w:hAnsi="Arial" w:cs="Times New Roman"/>
          <w:b/>
          <w:bCs/>
          <w:iCs/>
          <w:color w:val="A00054"/>
          <w:sz w:val="28"/>
          <w:szCs w:val="28"/>
        </w:rPr>
      </w:pPr>
    </w:p>
    <w:p w:rsidR="00915CA7" w:rsidRDefault="00915CA7" w:rsidP="00450DD2">
      <w:pPr>
        <w:spacing w:after="0" w:line="360" w:lineRule="auto"/>
        <w:ind w:left="576"/>
        <w:outlineLvl w:val="1"/>
        <w:rPr>
          <w:rFonts w:ascii="Arial" w:eastAsia="Times New Roman" w:hAnsi="Arial" w:cs="Times New Roman"/>
          <w:b/>
          <w:bCs/>
          <w:iCs/>
          <w:color w:val="A00054"/>
          <w:sz w:val="28"/>
          <w:szCs w:val="28"/>
        </w:rPr>
      </w:pPr>
    </w:p>
    <w:p w:rsidR="00915CA7" w:rsidRDefault="00915CA7" w:rsidP="00450DD2">
      <w:pPr>
        <w:spacing w:after="0" w:line="360" w:lineRule="auto"/>
        <w:ind w:left="576"/>
        <w:outlineLvl w:val="1"/>
        <w:rPr>
          <w:rFonts w:ascii="Arial" w:eastAsia="Times New Roman" w:hAnsi="Arial" w:cs="Times New Roman"/>
          <w:b/>
          <w:bCs/>
          <w:iCs/>
          <w:color w:val="A00054"/>
          <w:sz w:val="28"/>
          <w:szCs w:val="28"/>
        </w:rPr>
      </w:pPr>
    </w:p>
    <w:p w:rsidR="000C70A9" w:rsidRDefault="000C70A9" w:rsidP="00D8104D">
      <w:pPr>
        <w:pStyle w:val="Heading2"/>
        <w:rPr>
          <w:color w:val="A00054"/>
          <w:sz w:val="28"/>
        </w:rPr>
      </w:pPr>
      <w:bookmarkStart w:id="15" w:name="_Toc443035889"/>
      <w:bookmarkStart w:id="16" w:name="_Toc444008064"/>
      <w:bookmarkStart w:id="17" w:name="_Toc445221077"/>
    </w:p>
    <w:p w:rsidR="00450DD2" w:rsidRDefault="00450DD2" w:rsidP="00D8104D">
      <w:pPr>
        <w:pStyle w:val="Heading2"/>
      </w:pPr>
      <w:r w:rsidRPr="00450DD2">
        <w:lastRenderedPageBreak/>
        <w:t>Milestones</w:t>
      </w:r>
      <w:bookmarkEnd w:id="15"/>
      <w:bookmarkEnd w:id="16"/>
      <w:bookmarkEnd w:id="17"/>
    </w:p>
    <w:p w:rsidR="00D8104D" w:rsidRPr="00D8104D" w:rsidRDefault="00D8104D" w:rsidP="00D8104D"/>
    <w:tbl>
      <w:tblPr>
        <w:tblStyle w:val="TableGrid"/>
        <w:tblW w:w="0" w:type="auto"/>
        <w:tblLook w:val="04A0" w:firstRow="1" w:lastRow="0" w:firstColumn="1" w:lastColumn="0" w:noHBand="0" w:noVBand="1"/>
        <w:tblCaption w:val="Milestones table"/>
        <w:tblDescription w:val="Milestones for Delayed transfer of care CQUIN"/>
      </w:tblPr>
      <w:tblGrid>
        <w:gridCol w:w="2518"/>
        <w:gridCol w:w="4820"/>
        <w:gridCol w:w="2409"/>
        <w:gridCol w:w="4395"/>
      </w:tblGrid>
      <w:tr w:rsidR="00450DD2" w:rsidRPr="00450DD2" w:rsidTr="005D0A69">
        <w:tc>
          <w:tcPr>
            <w:tcW w:w="2518" w:type="dxa"/>
            <w:shd w:val="clear" w:color="auto" w:fill="0070C0"/>
          </w:tcPr>
          <w:p w:rsidR="00450DD2" w:rsidRPr="00450DD2" w:rsidRDefault="00450DD2" w:rsidP="00450DD2">
            <w:pPr>
              <w:spacing w:before="20" w:after="20"/>
              <w:jc w:val="center"/>
              <w:rPr>
                <w:rFonts w:eastAsia="Times New Roman" w:cs="Arial"/>
                <w:b/>
                <w:bCs/>
                <w:color w:val="FFFFFF"/>
              </w:rPr>
            </w:pPr>
            <w:r w:rsidRPr="00450DD2">
              <w:rPr>
                <w:rFonts w:eastAsia="Times New Roman" w:cs="Arial"/>
                <w:b/>
                <w:bCs/>
                <w:color w:val="FFFFFF"/>
              </w:rPr>
              <w:t>Date/period milestone relates to</w:t>
            </w:r>
          </w:p>
        </w:tc>
        <w:tc>
          <w:tcPr>
            <w:tcW w:w="4820" w:type="dxa"/>
            <w:shd w:val="clear" w:color="auto" w:fill="0070C0"/>
          </w:tcPr>
          <w:p w:rsidR="00450DD2" w:rsidRPr="00450DD2" w:rsidRDefault="00450DD2" w:rsidP="00450DD2">
            <w:pPr>
              <w:spacing w:before="20" w:after="20"/>
              <w:jc w:val="center"/>
              <w:rPr>
                <w:rFonts w:eastAsia="Times New Roman" w:cs="Arial"/>
                <w:b/>
                <w:bCs/>
                <w:color w:val="FFFFFF"/>
              </w:rPr>
            </w:pPr>
            <w:r w:rsidRPr="00450DD2">
              <w:rPr>
                <w:rFonts w:eastAsia="Times New Roman" w:cs="Arial"/>
                <w:b/>
                <w:bCs/>
                <w:color w:val="FFFFFF"/>
              </w:rPr>
              <w:t>Rules for achievement of milestones (including evidence to be supplied to commissioner)</w:t>
            </w:r>
          </w:p>
        </w:tc>
        <w:tc>
          <w:tcPr>
            <w:tcW w:w="2409" w:type="dxa"/>
            <w:shd w:val="clear" w:color="auto" w:fill="0070C0"/>
          </w:tcPr>
          <w:p w:rsidR="00450DD2" w:rsidRPr="00450DD2" w:rsidRDefault="00450DD2" w:rsidP="00450DD2">
            <w:pPr>
              <w:spacing w:before="20" w:after="20"/>
              <w:jc w:val="center"/>
              <w:rPr>
                <w:rFonts w:eastAsia="Times New Roman" w:cs="Arial"/>
                <w:b/>
                <w:bCs/>
                <w:color w:val="FFFFFF"/>
              </w:rPr>
            </w:pPr>
            <w:r w:rsidRPr="00450DD2">
              <w:rPr>
                <w:rFonts w:eastAsia="Times New Roman" w:cs="Arial"/>
                <w:b/>
                <w:bCs/>
                <w:color w:val="FFFFFF"/>
              </w:rPr>
              <w:t>Date milestone to be reported</w:t>
            </w:r>
          </w:p>
        </w:tc>
        <w:tc>
          <w:tcPr>
            <w:tcW w:w="4395" w:type="dxa"/>
            <w:shd w:val="clear" w:color="auto" w:fill="0070C0"/>
          </w:tcPr>
          <w:p w:rsidR="00450DD2" w:rsidRPr="00450DD2" w:rsidRDefault="00450DD2" w:rsidP="00450DD2">
            <w:pPr>
              <w:spacing w:before="20" w:after="20"/>
              <w:jc w:val="center"/>
              <w:rPr>
                <w:rFonts w:eastAsia="Times New Roman" w:cs="Arial"/>
                <w:b/>
                <w:bCs/>
                <w:color w:val="FFFFFF"/>
              </w:rPr>
            </w:pPr>
            <w:r w:rsidRPr="00450DD2">
              <w:rPr>
                <w:rFonts w:eastAsia="Times New Roman" w:cs="Arial"/>
                <w:b/>
                <w:bCs/>
                <w:color w:val="FFFFFF"/>
              </w:rPr>
              <w:t>Milestone weighting (% of CQUIN scheme available)</w:t>
            </w:r>
          </w:p>
        </w:tc>
      </w:tr>
      <w:tr w:rsidR="00450DD2" w:rsidRPr="00450DD2" w:rsidTr="008316B4">
        <w:tc>
          <w:tcPr>
            <w:tcW w:w="2518" w:type="dxa"/>
          </w:tcPr>
          <w:p w:rsidR="00450DD2" w:rsidRPr="00450DD2" w:rsidRDefault="00450DD2" w:rsidP="00450DD2">
            <w:pPr>
              <w:rPr>
                <w:rFonts w:eastAsia="Calibri" w:cs="Arial"/>
                <w:b/>
                <w:bCs/>
              </w:rPr>
            </w:pPr>
            <w:r w:rsidRPr="00450DD2">
              <w:rPr>
                <w:rFonts w:eastAsia="Times New Roman" w:cs="Arial"/>
                <w:bCs/>
                <w:szCs w:val="26"/>
              </w:rPr>
              <w:t>Quarter 1</w:t>
            </w:r>
          </w:p>
        </w:tc>
        <w:tc>
          <w:tcPr>
            <w:tcW w:w="4820" w:type="dxa"/>
          </w:tcPr>
          <w:p w:rsidR="00450DD2" w:rsidRPr="00450DD2" w:rsidRDefault="00450DD2" w:rsidP="00450DD2">
            <w:pPr>
              <w:rPr>
                <w:rFonts w:eastAsia="Times New Roman" w:cs="Arial"/>
                <w:bCs/>
                <w:szCs w:val="26"/>
              </w:rPr>
            </w:pPr>
            <w:r w:rsidRPr="00450DD2">
              <w:rPr>
                <w:rFonts w:eastAsia="Times New Roman" w:cs="Arial"/>
                <w:bCs/>
                <w:szCs w:val="26"/>
              </w:rPr>
              <w:t>Establish current data quality as a priority (early Q1), focusing on discharge destination (</w:t>
            </w:r>
            <w:r w:rsidRPr="00450DD2">
              <w:rPr>
                <w:rFonts w:eastAsia="Times New Roman" w:cs="Arial"/>
                <w:b/>
                <w:bCs/>
                <w:szCs w:val="26"/>
              </w:rPr>
              <w:t>DISDEST</w:t>
            </w:r>
            <w:r w:rsidRPr="00450DD2">
              <w:rPr>
                <w:rFonts w:eastAsia="Times New Roman" w:cs="Arial"/>
                <w:bCs/>
                <w:szCs w:val="26"/>
              </w:rPr>
              <w:t>) field.</w:t>
            </w:r>
          </w:p>
          <w:p w:rsidR="00450DD2" w:rsidRPr="00450DD2" w:rsidRDefault="00450DD2" w:rsidP="00450DD2">
            <w:pPr>
              <w:rPr>
                <w:rFonts w:eastAsia="Times New Roman" w:cs="Arial"/>
                <w:bCs/>
                <w:szCs w:val="26"/>
              </w:rPr>
            </w:pPr>
          </w:p>
          <w:p w:rsidR="00450DD2" w:rsidRPr="00450DD2" w:rsidRDefault="00450DD2" w:rsidP="00450DD2">
            <w:pPr>
              <w:rPr>
                <w:rFonts w:eastAsia="Times New Roman" w:cs="Arial"/>
                <w:bCs/>
                <w:szCs w:val="26"/>
              </w:rPr>
            </w:pPr>
            <w:r w:rsidRPr="00450DD2">
              <w:rPr>
                <w:rFonts w:eastAsia="Times New Roman" w:cs="Arial"/>
                <w:bCs/>
                <w:szCs w:val="26"/>
              </w:rPr>
              <w:t>80% or more of discharge destination field to be collected and captured correctly by end of Q1.</w:t>
            </w:r>
          </w:p>
          <w:p w:rsidR="00450DD2" w:rsidRPr="00450DD2" w:rsidRDefault="00450DD2" w:rsidP="00450DD2">
            <w:pPr>
              <w:rPr>
                <w:rFonts w:eastAsia="Times New Roman" w:cs="Arial"/>
                <w:b/>
                <w:bCs/>
              </w:rPr>
            </w:pPr>
          </w:p>
        </w:tc>
        <w:tc>
          <w:tcPr>
            <w:tcW w:w="2409" w:type="dxa"/>
          </w:tcPr>
          <w:p w:rsidR="00450DD2" w:rsidRPr="00450DD2" w:rsidRDefault="00450DD2" w:rsidP="00450DD2">
            <w:pPr>
              <w:rPr>
                <w:rFonts w:eastAsia="Calibri" w:cs="Arial"/>
                <w:bCs/>
              </w:rPr>
            </w:pPr>
          </w:p>
        </w:tc>
        <w:tc>
          <w:tcPr>
            <w:tcW w:w="4395" w:type="dxa"/>
          </w:tcPr>
          <w:p w:rsidR="00450DD2" w:rsidRPr="00450DD2" w:rsidRDefault="00450DD2" w:rsidP="00450DD2">
            <w:pPr>
              <w:rPr>
                <w:rFonts w:eastAsia="Times New Roman" w:cs="Arial"/>
                <w:b/>
                <w:bCs/>
              </w:rPr>
            </w:pPr>
            <w:r w:rsidRPr="00450DD2">
              <w:rPr>
                <w:rFonts w:eastAsia="Times New Roman" w:cs="Arial"/>
                <w:bCs/>
                <w:szCs w:val="26"/>
              </w:rPr>
              <w:t>To be agreed locally</w:t>
            </w:r>
          </w:p>
        </w:tc>
      </w:tr>
      <w:tr w:rsidR="00450DD2" w:rsidRPr="00450DD2" w:rsidTr="008316B4">
        <w:tc>
          <w:tcPr>
            <w:tcW w:w="2518" w:type="dxa"/>
          </w:tcPr>
          <w:p w:rsidR="00450DD2" w:rsidRPr="00450DD2" w:rsidRDefault="00450DD2" w:rsidP="00450DD2">
            <w:pPr>
              <w:rPr>
                <w:rFonts w:eastAsia="Calibri" w:cs="Arial"/>
                <w:b/>
                <w:bCs/>
              </w:rPr>
            </w:pPr>
            <w:r w:rsidRPr="00450DD2">
              <w:rPr>
                <w:rFonts w:eastAsia="Times New Roman" w:cs="Arial"/>
                <w:bCs/>
                <w:szCs w:val="26"/>
              </w:rPr>
              <w:t>Quarter 2</w:t>
            </w:r>
          </w:p>
        </w:tc>
        <w:tc>
          <w:tcPr>
            <w:tcW w:w="4820" w:type="dxa"/>
          </w:tcPr>
          <w:p w:rsidR="00450DD2" w:rsidRPr="00450DD2" w:rsidRDefault="00450DD2" w:rsidP="00450DD2">
            <w:pPr>
              <w:rPr>
                <w:rFonts w:eastAsia="Times New Roman" w:cs="Arial"/>
                <w:bCs/>
                <w:szCs w:val="26"/>
              </w:rPr>
            </w:pPr>
            <w:r w:rsidRPr="00450DD2">
              <w:rPr>
                <w:rFonts w:eastAsia="Times New Roman" w:cs="Arial"/>
                <w:bCs/>
                <w:szCs w:val="26"/>
              </w:rPr>
              <w:t>Agree baseline based on performance at end Q1 / early Q2 (depending on data source).</w:t>
            </w:r>
          </w:p>
          <w:p w:rsidR="00450DD2" w:rsidRPr="00450DD2" w:rsidRDefault="00450DD2" w:rsidP="00450DD2">
            <w:pPr>
              <w:rPr>
                <w:rFonts w:eastAsia="Times New Roman" w:cs="Arial"/>
                <w:b/>
                <w:bCs/>
              </w:rPr>
            </w:pPr>
          </w:p>
        </w:tc>
        <w:tc>
          <w:tcPr>
            <w:tcW w:w="2409" w:type="dxa"/>
          </w:tcPr>
          <w:p w:rsidR="00450DD2" w:rsidRPr="00450DD2" w:rsidRDefault="00450DD2" w:rsidP="00450DD2">
            <w:pPr>
              <w:rPr>
                <w:rFonts w:eastAsia="Calibri" w:cs="Arial"/>
                <w:bCs/>
              </w:rPr>
            </w:pPr>
          </w:p>
        </w:tc>
        <w:tc>
          <w:tcPr>
            <w:tcW w:w="4395" w:type="dxa"/>
          </w:tcPr>
          <w:p w:rsidR="00450DD2" w:rsidRPr="00450DD2" w:rsidRDefault="00450DD2" w:rsidP="00450DD2">
            <w:pPr>
              <w:rPr>
                <w:rFonts w:eastAsia="Times New Roman" w:cs="Arial"/>
                <w:b/>
                <w:bCs/>
              </w:rPr>
            </w:pPr>
            <w:r w:rsidRPr="00450DD2">
              <w:rPr>
                <w:rFonts w:eastAsia="Times New Roman" w:cs="Arial"/>
                <w:bCs/>
                <w:szCs w:val="26"/>
              </w:rPr>
              <w:t>To be agreed locally</w:t>
            </w:r>
          </w:p>
        </w:tc>
      </w:tr>
      <w:tr w:rsidR="00450DD2" w:rsidRPr="00450DD2" w:rsidTr="008316B4">
        <w:tc>
          <w:tcPr>
            <w:tcW w:w="2518" w:type="dxa"/>
          </w:tcPr>
          <w:p w:rsidR="00450DD2" w:rsidRPr="00450DD2" w:rsidRDefault="00450DD2" w:rsidP="00450DD2">
            <w:pPr>
              <w:rPr>
                <w:rFonts w:eastAsia="Calibri" w:cs="Arial"/>
                <w:b/>
                <w:bCs/>
              </w:rPr>
            </w:pPr>
            <w:r w:rsidRPr="00450DD2">
              <w:rPr>
                <w:rFonts w:eastAsia="Times New Roman" w:cs="Arial"/>
                <w:bCs/>
                <w:szCs w:val="26"/>
              </w:rPr>
              <w:t>Quarter 3</w:t>
            </w:r>
          </w:p>
        </w:tc>
        <w:tc>
          <w:tcPr>
            <w:tcW w:w="4820" w:type="dxa"/>
          </w:tcPr>
          <w:p w:rsidR="00450DD2" w:rsidRPr="00450DD2" w:rsidRDefault="00450DD2" w:rsidP="00450DD2">
            <w:pPr>
              <w:rPr>
                <w:rFonts w:eastAsia="Times New Roman" w:cs="Arial"/>
                <w:b/>
                <w:bCs/>
              </w:rPr>
            </w:pPr>
            <w:r w:rsidRPr="00450DD2">
              <w:rPr>
                <w:rFonts w:eastAsia="Times New Roman" w:cs="Arial"/>
                <w:bCs/>
                <w:szCs w:val="26"/>
              </w:rPr>
              <w:t>Measure performance against baseline throughout Q3 and Q4.</w:t>
            </w:r>
          </w:p>
        </w:tc>
        <w:tc>
          <w:tcPr>
            <w:tcW w:w="2409" w:type="dxa"/>
          </w:tcPr>
          <w:p w:rsidR="00450DD2" w:rsidRPr="00450DD2" w:rsidRDefault="00450DD2" w:rsidP="00450DD2">
            <w:pPr>
              <w:rPr>
                <w:rFonts w:eastAsia="Calibri" w:cs="Arial"/>
                <w:bCs/>
              </w:rPr>
            </w:pPr>
          </w:p>
        </w:tc>
        <w:tc>
          <w:tcPr>
            <w:tcW w:w="4395" w:type="dxa"/>
          </w:tcPr>
          <w:p w:rsidR="00450DD2" w:rsidRPr="00450DD2" w:rsidRDefault="00450DD2" w:rsidP="00450DD2">
            <w:pPr>
              <w:rPr>
                <w:rFonts w:eastAsia="Times New Roman" w:cs="Arial"/>
                <w:b/>
                <w:bCs/>
              </w:rPr>
            </w:pPr>
            <w:r w:rsidRPr="00450DD2">
              <w:rPr>
                <w:rFonts w:eastAsia="Times New Roman" w:cs="Arial"/>
                <w:bCs/>
                <w:szCs w:val="26"/>
              </w:rPr>
              <w:t>To be agreed locally</w:t>
            </w:r>
          </w:p>
        </w:tc>
      </w:tr>
      <w:tr w:rsidR="00450DD2" w:rsidRPr="00450DD2" w:rsidTr="008316B4">
        <w:tc>
          <w:tcPr>
            <w:tcW w:w="2518" w:type="dxa"/>
          </w:tcPr>
          <w:p w:rsidR="00450DD2" w:rsidRPr="00450DD2" w:rsidRDefault="00450DD2" w:rsidP="00450DD2">
            <w:pPr>
              <w:rPr>
                <w:rFonts w:eastAsia="Calibri" w:cs="Arial"/>
                <w:b/>
                <w:bCs/>
              </w:rPr>
            </w:pPr>
            <w:r w:rsidRPr="00450DD2">
              <w:rPr>
                <w:rFonts w:eastAsia="Times New Roman" w:cs="Arial"/>
                <w:bCs/>
                <w:szCs w:val="26"/>
              </w:rPr>
              <w:t>Quarter 4</w:t>
            </w:r>
          </w:p>
        </w:tc>
        <w:tc>
          <w:tcPr>
            <w:tcW w:w="4820" w:type="dxa"/>
          </w:tcPr>
          <w:p w:rsidR="00450DD2" w:rsidRPr="00450DD2" w:rsidRDefault="00450DD2" w:rsidP="00450DD2">
            <w:pPr>
              <w:rPr>
                <w:rFonts w:eastAsia="Times New Roman" w:cs="Arial"/>
                <w:b/>
                <w:bCs/>
              </w:rPr>
            </w:pPr>
          </w:p>
        </w:tc>
        <w:tc>
          <w:tcPr>
            <w:tcW w:w="2409" w:type="dxa"/>
          </w:tcPr>
          <w:p w:rsidR="00450DD2" w:rsidRPr="00450DD2" w:rsidRDefault="00450DD2" w:rsidP="00450DD2">
            <w:pPr>
              <w:rPr>
                <w:rFonts w:eastAsia="Calibri" w:cs="Arial"/>
                <w:bCs/>
              </w:rPr>
            </w:pPr>
          </w:p>
        </w:tc>
        <w:tc>
          <w:tcPr>
            <w:tcW w:w="4395" w:type="dxa"/>
          </w:tcPr>
          <w:p w:rsidR="00450DD2" w:rsidRPr="00450DD2" w:rsidRDefault="00450DD2" w:rsidP="00450DD2">
            <w:pPr>
              <w:rPr>
                <w:rFonts w:eastAsia="Times New Roman" w:cs="Arial"/>
                <w:b/>
                <w:bCs/>
              </w:rPr>
            </w:pPr>
          </w:p>
        </w:tc>
      </w:tr>
    </w:tbl>
    <w:p w:rsidR="00450DD2" w:rsidRPr="00450DD2" w:rsidRDefault="00450DD2" w:rsidP="00450DD2">
      <w:pPr>
        <w:spacing w:after="0" w:line="240" w:lineRule="auto"/>
        <w:outlineLvl w:val="0"/>
        <w:rPr>
          <w:rFonts w:ascii="Arial" w:eastAsia="Times New Roman" w:hAnsi="Arial" w:cs="Arial"/>
          <w:b/>
          <w:bCs/>
          <w:color w:val="0072C6"/>
          <w:kern w:val="32"/>
          <w:sz w:val="32"/>
          <w:szCs w:val="32"/>
        </w:rPr>
      </w:pPr>
    </w:p>
    <w:p w:rsidR="00915CA7" w:rsidRDefault="00915CA7" w:rsidP="008316B4">
      <w:pPr>
        <w:pStyle w:val="Heading2"/>
      </w:pPr>
      <w:bookmarkStart w:id="18" w:name="_Toc443035890"/>
      <w:bookmarkStart w:id="19" w:name="_Toc444008065"/>
      <w:bookmarkStart w:id="20" w:name="_Toc445221078"/>
    </w:p>
    <w:p w:rsidR="00915CA7" w:rsidRDefault="00915CA7" w:rsidP="008316B4">
      <w:pPr>
        <w:pStyle w:val="Heading2"/>
      </w:pPr>
    </w:p>
    <w:p w:rsidR="00450DD2" w:rsidRPr="00450DD2" w:rsidRDefault="00450DD2" w:rsidP="008316B4">
      <w:pPr>
        <w:pStyle w:val="Heading2"/>
      </w:pPr>
      <w:r w:rsidRPr="00450DD2">
        <w:lastRenderedPageBreak/>
        <w:t>Supporting Guidance and References</w:t>
      </w:r>
      <w:bookmarkEnd w:id="18"/>
      <w:bookmarkEnd w:id="19"/>
      <w:bookmarkEnd w:id="20"/>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u w:val="single"/>
        </w:rPr>
      </w:pPr>
      <w:r w:rsidRPr="00450DD2">
        <w:rPr>
          <w:rFonts w:ascii="Arial" w:eastAsia="Times New Roman" w:hAnsi="Arial" w:cs="Times New Roman"/>
          <w:bCs/>
          <w:sz w:val="24"/>
          <w:szCs w:val="26"/>
          <w:u w:val="single"/>
        </w:rPr>
        <w:t>SAFER bundle and best practice</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r w:rsidRPr="00450DD2">
        <w:rPr>
          <w:rFonts w:ascii="Arial" w:eastAsia="Times New Roman" w:hAnsi="Arial" w:cs="Times New Roman"/>
          <w:bCs/>
          <w:sz w:val="24"/>
          <w:szCs w:val="26"/>
        </w:rPr>
        <w:t xml:space="preserve">Local systems are encouraged to refer to the </w:t>
      </w:r>
      <w:r w:rsidRPr="00450DD2">
        <w:rPr>
          <w:rFonts w:ascii="Arial" w:eastAsia="Times New Roman" w:hAnsi="Arial" w:cs="Times New Roman"/>
          <w:b/>
          <w:bCs/>
          <w:sz w:val="24"/>
          <w:szCs w:val="26"/>
        </w:rPr>
        <w:t>SAFER Patient Flow Bundle</w:t>
      </w:r>
      <w:r w:rsidRPr="00450DD2">
        <w:rPr>
          <w:rFonts w:ascii="Arial" w:eastAsia="Times New Roman" w:hAnsi="Arial" w:cs="Times New Roman"/>
          <w:bCs/>
          <w:sz w:val="24"/>
          <w:szCs w:val="26"/>
        </w:rPr>
        <w:t xml:space="preserve">, which can be found </w:t>
      </w:r>
      <w:hyperlink r:id="rId12" w:history="1">
        <w:r w:rsidRPr="00450DD2">
          <w:rPr>
            <w:rFonts w:ascii="Arial" w:eastAsia="Times New Roman" w:hAnsi="Arial" w:cs="Times New Roman"/>
            <w:bCs/>
            <w:color w:val="0000FF"/>
            <w:sz w:val="24"/>
            <w:szCs w:val="26"/>
            <w:u w:val="single"/>
          </w:rPr>
          <w:t>here</w:t>
        </w:r>
      </w:hyperlink>
      <w:r w:rsidRPr="00450DD2">
        <w:rPr>
          <w:rFonts w:ascii="Arial" w:eastAsia="Times New Roman" w:hAnsi="Arial" w:cs="Times New Roman"/>
          <w:bCs/>
          <w:sz w:val="24"/>
          <w:szCs w:val="26"/>
        </w:rPr>
        <w:t>.</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r w:rsidRPr="00450DD2">
        <w:rPr>
          <w:rFonts w:ascii="Arial" w:eastAsia="Times New Roman" w:hAnsi="Arial" w:cs="Times New Roman"/>
          <w:bCs/>
          <w:sz w:val="24"/>
          <w:szCs w:val="26"/>
        </w:rPr>
        <w:t>It is a combined set of simple rules for adult inpatient wards to improve patient flow and prevent unnecessary waiting for patients. Trusts that routinely undertake all the elements of the SAFER patient flow bundle should improve the journey that patients experience when they are admitted to hospital. The bundle centres on the following key elements:</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ind w:left="284"/>
        <w:rPr>
          <w:rFonts w:ascii="Arial" w:eastAsia="Times New Roman" w:hAnsi="Arial" w:cs="Times New Roman"/>
          <w:bCs/>
          <w:sz w:val="24"/>
          <w:szCs w:val="26"/>
        </w:rPr>
      </w:pPr>
      <w:r w:rsidRPr="00450DD2">
        <w:rPr>
          <w:rFonts w:ascii="Arial" w:eastAsia="Times New Roman" w:hAnsi="Arial" w:cs="Times New Roman"/>
          <w:b/>
          <w:bCs/>
          <w:sz w:val="24"/>
          <w:szCs w:val="26"/>
        </w:rPr>
        <w:t>S</w:t>
      </w:r>
      <w:r w:rsidRPr="00450DD2">
        <w:rPr>
          <w:rFonts w:ascii="Arial" w:eastAsia="Times New Roman" w:hAnsi="Arial" w:cs="Times New Roman"/>
          <w:bCs/>
          <w:sz w:val="24"/>
          <w:szCs w:val="26"/>
        </w:rPr>
        <w:t xml:space="preserve"> – Senior Review. All patients will have a Consultant Review before midday.</w:t>
      </w:r>
    </w:p>
    <w:p w:rsidR="00450DD2" w:rsidRPr="00450DD2" w:rsidRDefault="00450DD2" w:rsidP="00450DD2">
      <w:pPr>
        <w:spacing w:after="0" w:line="240" w:lineRule="auto"/>
        <w:ind w:left="284"/>
        <w:rPr>
          <w:rFonts w:ascii="Arial" w:eastAsia="Times New Roman" w:hAnsi="Arial" w:cs="Times New Roman"/>
          <w:b/>
          <w:bCs/>
          <w:sz w:val="24"/>
          <w:szCs w:val="26"/>
        </w:rPr>
      </w:pPr>
    </w:p>
    <w:p w:rsidR="00450DD2" w:rsidRPr="00450DD2" w:rsidRDefault="00450DD2" w:rsidP="00450DD2">
      <w:pPr>
        <w:spacing w:after="0" w:line="240" w:lineRule="auto"/>
        <w:ind w:left="284"/>
        <w:rPr>
          <w:rFonts w:ascii="Arial" w:eastAsia="Times New Roman" w:hAnsi="Arial" w:cs="Times New Roman"/>
          <w:bCs/>
          <w:sz w:val="24"/>
          <w:szCs w:val="26"/>
        </w:rPr>
      </w:pPr>
      <w:r w:rsidRPr="00450DD2">
        <w:rPr>
          <w:rFonts w:ascii="Arial" w:eastAsia="Times New Roman" w:hAnsi="Arial" w:cs="Times New Roman"/>
          <w:b/>
          <w:bCs/>
          <w:sz w:val="24"/>
          <w:szCs w:val="26"/>
        </w:rPr>
        <w:t>A</w:t>
      </w:r>
      <w:r w:rsidRPr="00450DD2">
        <w:rPr>
          <w:rFonts w:ascii="Arial" w:eastAsia="Times New Roman" w:hAnsi="Arial" w:cs="Times New Roman"/>
          <w:bCs/>
          <w:sz w:val="24"/>
          <w:szCs w:val="26"/>
        </w:rPr>
        <w:t xml:space="preserve"> – All patients will have an Expected Discharge Date (that patients are made aware of) based on the medically suitable for discharge status agreed by clinical teams.</w:t>
      </w:r>
    </w:p>
    <w:p w:rsidR="00450DD2" w:rsidRPr="00450DD2" w:rsidRDefault="00450DD2" w:rsidP="00450DD2">
      <w:pPr>
        <w:spacing w:after="0" w:line="240" w:lineRule="auto"/>
        <w:ind w:left="284"/>
        <w:rPr>
          <w:rFonts w:ascii="Arial" w:eastAsia="Times New Roman" w:hAnsi="Arial" w:cs="Times New Roman"/>
          <w:b/>
          <w:bCs/>
          <w:sz w:val="24"/>
          <w:szCs w:val="26"/>
        </w:rPr>
      </w:pPr>
    </w:p>
    <w:p w:rsidR="00450DD2" w:rsidRPr="00450DD2" w:rsidRDefault="00450DD2" w:rsidP="00450DD2">
      <w:pPr>
        <w:spacing w:after="0" w:line="240" w:lineRule="auto"/>
        <w:ind w:left="284"/>
        <w:rPr>
          <w:rFonts w:ascii="Arial" w:eastAsia="Times New Roman" w:hAnsi="Arial" w:cs="Times New Roman"/>
          <w:bCs/>
          <w:sz w:val="24"/>
          <w:szCs w:val="26"/>
        </w:rPr>
      </w:pPr>
      <w:r w:rsidRPr="00450DD2">
        <w:rPr>
          <w:rFonts w:ascii="Arial" w:eastAsia="Times New Roman" w:hAnsi="Arial" w:cs="Times New Roman"/>
          <w:b/>
          <w:bCs/>
          <w:sz w:val="24"/>
          <w:szCs w:val="26"/>
        </w:rPr>
        <w:t>F</w:t>
      </w:r>
      <w:r w:rsidRPr="00450DD2">
        <w:rPr>
          <w:rFonts w:ascii="Arial" w:eastAsia="Times New Roman" w:hAnsi="Arial" w:cs="Times New Roman"/>
          <w:bCs/>
          <w:sz w:val="24"/>
          <w:szCs w:val="26"/>
        </w:rPr>
        <w:t xml:space="preserve"> – Flow of patients will commence at the earlier opportunity (by 10am) from assessment units to inpatient wards. Wards that routinely have patients transferred from assessment units are expected to ‘pull’ the first (and correct) patient to their ward before 10am.</w:t>
      </w:r>
    </w:p>
    <w:p w:rsidR="00450DD2" w:rsidRPr="00450DD2" w:rsidRDefault="00450DD2" w:rsidP="00450DD2">
      <w:pPr>
        <w:spacing w:after="0" w:line="240" w:lineRule="auto"/>
        <w:ind w:left="284"/>
        <w:rPr>
          <w:rFonts w:ascii="Arial" w:eastAsia="Times New Roman" w:hAnsi="Arial" w:cs="Times New Roman"/>
          <w:b/>
          <w:bCs/>
          <w:sz w:val="24"/>
          <w:szCs w:val="26"/>
        </w:rPr>
      </w:pPr>
    </w:p>
    <w:p w:rsidR="00450DD2" w:rsidRPr="00450DD2" w:rsidRDefault="00450DD2" w:rsidP="00450DD2">
      <w:pPr>
        <w:spacing w:after="0" w:line="240" w:lineRule="auto"/>
        <w:ind w:left="284"/>
        <w:rPr>
          <w:rFonts w:ascii="Arial" w:eastAsia="Times New Roman" w:hAnsi="Arial" w:cs="Times New Roman"/>
          <w:bCs/>
          <w:sz w:val="24"/>
          <w:szCs w:val="26"/>
        </w:rPr>
      </w:pPr>
      <w:r w:rsidRPr="00450DD2">
        <w:rPr>
          <w:rFonts w:ascii="Arial" w:eastAsia="Times New Roman" w:hAnsi="Arial" w:cs="Times New Roman"/>
          <w:b/>
          <w:bCs/>
          <w:sz w:val="24"/>
          <w:szCs w:val="26"/>
        </w:rPr>
        <w:t>E</w:t>
      </w:r>
      <w:r w:rsidRPr="00450DD2">
        <w:rPr>
          <w:rFonts w:ascii="Arial" w:eastAsia="Times New Roman" w:hAnsi="Arial" w:cs="Times New Roman"/>
          <w:bCs/>
          <w:sz w:val="24"/>
          <w:szCs w:val="26"/>
        </w:rPr>
        <w:t xml:space="preserve"> – Early discharge, 33% of patients will be discharged from base inpatient wards before midday. </w:t>
      </w:r>
      <w:proofErr w:type="gramStart"/>
      <w:r w:rsidRPr="00450DD2">
        <w:rPr>
          <w:rFonts w:ascii="Arial" w:eastAsia="Times New Roman" w:hAnsi="Arial" w:cs="Times New Roman"/>
          <w:bCs/>
          <w:sz w:val="24"/>
          <w:szCs w:val="26"/>
        </w:rPr>
        <w:t>TTOs (medication to take home) for planned discharges should be prescribed and with pharmacy by 3pm on the day prior to discharge wherever possible.</w:t>
      </w:r>
      <w:proofErr w:type="gramEnd"/>
    </w:p>
    <w:p w:rsidR="00450DD2" w:rsidRPr="00450DD2" w:rsidRDefault="00450DD2" w:rsidP="00450DD2">
      <w:pPr>
        <w:spacing w:after="0" w:line="240" w:lineRule="auto"/>
        <w:ind w:left="284"/>
        <w:rPr>
          <w:rFonts w:ascii="Arial" w:eastAsia="Times New Roman" w:hAnsi="Arial" w:cs="Times New Roman"/>
          <w:b/>
          <w:bCs/>
          <w:sz w:val="24"/>
          <w:szCs w:val="26"/>
        </w:rPr>
      </w:pPr>
    </w:p>
    <w:p w:rsidR="00450DD2" w:rsidRPr="00450DD2" w:rsidRDefault="00450DD2" w:rsidP="00450DD2">
      <w:pPr>
        <w:spacing w:after="0" w:line="240" w:lineRule="auto"/>
        <w:ind w:left="284"/>
        <w:rPr>
          <w:rFonts w:ascii="Arial" w:eastAsia="Times New Roman" w:hAnsi="Arial" w:cs="Times New Roman"/>
          <w:bCs/>
          <w:sz w:val="24"/>
          <w:szCs w:val="26"/>
        </w:rPr>
      </w:pPr>
      <w:r w:rsidRPr="00450DD2">
        <w:rPr>
          <w:rFonts w:ascii="Arial" w:eastAsia="Times New Roman" w:hAnsi="Arial" w:cs="Times New Roman"/>
          <w:b/>
          <w:bCs/>
          <w:sz w:val="24"/>
          <w:szCs w:val="26"/>
        </w:rPr>
        <w:t>R</w:t>
      </w:r>
      <w:r w:rsidRPr="00450DD2">
        <w:rPr>
          <w:rFonts w:ascii="Arial" w:eastAsia="Times New Roman" w:hAnsi="Arial" w:cs="Times New Roman"/>
          <w:bCs/>
          <w:sz w:val="24"/>
          <w:szCs w:val="26"/>
        </w:rPr>
        <w:t xml:space="preserve"> – Review, a weekly systematic review of patients with extended lengths of stay (&gt; 7 days) to identify the issues and actions required to facilitate discharge. This will be led by clinical leaders and supported by operational managers who will help remove constraints that lead to unnecessary patient delays.</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r w:rsidRPr="00450DD2">
        <w:rPr>
          <w:rFonts w:ascii="Arial" w:eastAsia="Times New Roman" w:hAnsi="Arial" w:cs="Times New Roman"/>
          <w:bCs/>
          <w:sz w:val="24"/>
          <w:szCs w:val="26"/>
        </w:rPr>
        <w:lastRenderedPageBreak/>
        <w:t>A collection of related best practice examples can be found in the NHS England guidance document ‘</w:t>
      </w:r>
      <w:r w:rsidRPr="00450DD2">
        <w:rPr>
          <w:rFonts w:ascii="Arial" w:eastAsia="Times New Roman" w:hAnsi="Arial" w:cs="Times New Roman"/>
          <w:bCs/>
          <w:i/>
          <w:sz w:val="24"/>
          <w:szCs w:val="26"/>
        </w:rPr>
        <w:t>Safer, faster, better: good practice in delivering urgent and emergency care</w:t>
      </w:r>
      <w:r w:rsidRPr="00450DD2">
        <w:rPr>
          <w:rFonts w:ascii="Arial" w:eastAsia="Times New Roman" w:hAnsi="Arial" w:cs="Times New Roman"/>
          <w:bCs/>
          <w:sz w:val="24"/>
          <w:szCs w:val="26"/>
        </w:rPr>
        <w:t xml:space="preserve">’, which can be found </w:t>
      </w:r>
      <w:hyperlink r:id="rId13" w:history="1">
        <w:r w:rsidRPr="00450DD2">
          <w:rPr>
            <w:rFonts w:ascii="Arial" w:eastAsia="Times New Roman" w:hAnsi="Arial" w:cs="Times New Roman"/>
            <w:bCs/>
            <w:color w:val="0000FF"/>
            <w:sz w:val="24"/>
            <w:szCs w:val="26"/>
            <w:u w:val="single"/>
          </w:rPr>
          <w:t>here</w:t>
        </w:r>
      </w:hyperlink>
      <w:r w:rsidRPr="00450DD2">
        <w:rPr>
          <w:rFonts w:ascii="Arial" w:eastAsia="Times New Roman" w:hAnsi="Arial" w:cs="Times New Roman"/>
          <w:bCs/>
          <w:sz w:val="24"/>
          <w:szCs w:val="26"/>
        </w:rPr>
        <w:t>.</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u w:val="single"/>
        </w:rPr>
      </w:pPr>
      <w:r w:rsidRPr="00450DD2">
        <w:rPr>
          <w:rFonts w:ascii="Arial" w:eastAsia="Times New Roman" w:hAnsi="Arial" w:cs="Times New Roman"/>
          <w:bCs/>
          <w:sz w:val="24"/>
          <w:szCs w:val="26"/>
          <w:u w:val="single"/>
        </w:rPr>
        <w:t>Evaluation</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r w:rsidRPr="00450DD2">
        <w:rPr>
          <w:rFonts w:ascii="Arial" w:eastAsia="Times New Roman" w:hAnsi="Arial" w:cs="Times New Roman"/>
          <w:bCs/>
          <w:sz w:val="24"/>
          <w:szCs w:val="26"/>
        </w:rPr>
        <w:t>Local systems should consider involving local government and social care partners in evaluation of the CQUIN indicator.</w:t>
      </w: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p>
    <w:p w:rsidR="00450DD2" w:rsidRPr="00450DD2" w:rsidRDefault="00450DD2" w:rsidP="00450DD2">
      <w:pPr>
        <w:spacing w:after="0" w:line="240" w:lineRule="auto"/>
        <w:rPr>
          <w:rFonts w:ascii="Arial" w:eastAsia="Times New Roman" w:hAnsi="Arial" w:cs="Times New Roman"/>
          <w:bCs/>
          <w:sz w:val="24"/>
          <w:szCs w:val="26"/>
        </w:rPr>
      </w:pPr>
    </w:p>
    <w:p w:rsidR="00273104" w:rsidRDefault="00273104"/>
    <w:sectPr w:rsidR="00273104" w:rsidSect="00C3408F">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B4" w:rsidRDefault="008316B4" w:rsidP="00273104">
      <w:pPr>
        <w:spacing w:after="0" w:line="240" w:lineRule="auto"/>
      </w:pPr>
      <w:r>
        <w:separator/>
      </w:r>
    </w:p>
  </w:endnote>
  <w:endnote w:type="continuationSeparator" w:id="0">
    <w:p w:rsidR="008316B4" w:rsidRDefault="008316B4" w:rsidP="0027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130552"/>
      <w:docPartObj>
        <w:docPartGallery w:val="Page Numbers (Bottom of Page)"/>
        <w:docPartUnique/>
      </w:docPartObj>
    </w:sdtPr>
    <w:sdtEndPr>
      <w:rPr>
        <w:rFonts w:ascii="Arial" w:hAnsi="Arial" w:cs="Arial"/>
        <w:noProof/>
        <w:sz w:val="24"/>
        <w:szCs w:val="24"/>
      </w:rPr>
    </w:sdtEndPr>
    <w:sdtContent>
      <w:p w:rsidR="008316B4" w:rsidRPr="00974FAA" w:rsidRDefault="008316B4" w:rsidP="00015367">
        <w:pPr>
          <w:pStyle w:val="Footer"/>
          <w:rPr>
            <w:rFonts w:ascii="Arial" w:hAnsi="Arial" w:cs="Arial"/>
            <w:sz w:val="24"/>
            <w:szCs w:val="24"/>
          </w:rPr>
        </w:pPr>
      </w:p>
      <w:p w:rsidR="008316B4" w:rsidRPr="00974FAA" w:rsidRDefault="008316B4" w:rsidP="00015367">
        <w:pPr>
          <w:tabs>
            <w:tab w:val="left" w:pos="7920"/>
          </w:tabs>
          <w:spacing w:after="0" w:line="240" w:lineRule="auto"/>
          <w:rPr>
            <w:rFonts w:ascii="Arial" w:eastAsia="Times New Roman" w:hAnsi="Arial" w:cs="Arial"/>
            <w:bCs/>
            <w:sz w:val="24"/>
            <w:szCs w:val="24"/>
          </w:rPr>
        </w:pPr>
        <w:r w:rsidRPr="00974FAA">
          <w:rPr>
            <w:rFonts w:ascii="Arial" w:eastAsia="Times New Roman" w:hAnsi="Arial" w:cs="Arial"/>
            <w:b/>
            <w:bCs/>
            <w:sz w:val="24"/>
            <w:szCs w:val="24"/>
          </w:rPr>
          <w:t>Gateway Reference Number</w:t>
        </w:r>
        <w:r w:rsidRPr="00974FAA">
          <w:rPr>
            <w:rFonts w:ascii="Arial" w:eastAsia="Times New Roman" w:hAnsi="Arial" w:cs="Arial"/>
            <w:bCs/>
            <w:sz w:val="24"/>
            <w:szCs w:val="24"/>
          </w:rPr>
          <w:t xml:space="preserve">: </w:t>
        </w:r>
        <w:r w:rsidRPr="00974FAA">
          <w:rPr>
            <w:rFonts w:ascii="Arial" w:eastAsia="Times New Roman" w:hAnsi="Arial" w:cs="Arial"/>
            <w:b/>
            <w:bCs/>
            <w:sz w:val="24"/>
            <w:szCs w:val="24"/>
          </w:rPr>
          <w:t>04225</w:t>
        </w:r>
        <w:r w:rsidRPr="00974FAA">
          <w:rPr>
            <w:rFonts w:ascii="Arial" w:eastAsia="Times New Roman" w:hAnsi="Arial" w:cs="Arial"/>
            <w:bCs/>
            <w:sz w:val="24"/>
            <w:szCs w:val="24"/>
          </w:rPr>
          <w:tab/>
        </w:r>
      </w:p>
      <w:p w:rsidR="008316B4" w:rsidRPr="00974FAA" w:rsidRDefault="008316B4" w:rsidP="00015367">
        <w:pPr>
          <w:spacing w:after="0" w:line="240" w:lineRule="auto"/>
          <w:rPr>
            <w:rFonts w:ascii="Arial" w:eastAsia="Times New Roman" w:hAnsi="Arial" w:cs="Arial"/>
            <w:bCs/>
            <w:color w:val="000000"/>
            <w:sz w:val="24"/>
            <w:szCs w:val="24"/>
          </w:rPr>
        </w:pPr>
        <w:r w:rsidRPr="00974FAA">
          <w:rPr>
            <w:rFonts w:ascii="Arial" w:eastAsia="Times New Roman" w:hAnsi="Arial" w:cs="Arial"/>
            <w:b/>
            <w:bCs/>
            <w:sz w:val="24"/>
            <w:szCs w:val="24"/>
          </w:rPr>
          <w:t>NB</w:t>
        </w:r>
        <w:r w:rsidRPr="00974FAA">
          <w:rPr>
            <w:rFonts w:ascii="Arial" w:eastAsia="Times New Roman" w:hAnsi="Arial" w:cs="Arial"/>
            <w:bCs/>
            <w:sz w:val="24"/>
            <w:szCs w:val="24"/>
          </w:rPr>
          <w:t xml:space="preserve">: This document forms part of the </w:t>
        </w:r>
        <w:r w:rsidRPr="00974FAA">
          <w:rPr>
            <w:rFonts w:ascii="Arial" w:eastAsia="Times New Roman" w:hAnsi="Arial" w:cs="Arial"/>
            <w:b/>
            <w:bCs/>
            <w:sz w:val="24"/>
            <w:szCs w:val="24"/>
          </w:rPr>
          <w:t>CQUIN Guidance for 2016/17</w:t>
        </w:r>
        <w:r w:rsidRPr="00974FAA">
          <w:rPr>
            <w:rFonts w:ascii="Arial" w:eastAsia="Times New Roman" w:hAnsi="Arial" w:cs="Arial"/>
            <w:b/>
            <w:bCs/>
            <w:i/>
            <w:sz w:val="24"/>
            <w:szCs w:val="24"/>
          </w:rPr>
          <w:t xml:space="preserve"> </w:t>
        </w:r>
        <w:r w:rsidRPr="00974FAA">
          <w:rPr>
            <w:rFonts w:ascii="Arial" w:eastAsia="Times New Roman" w:hAnsi="Arial" w:cs="Arial"/>
            <w:bCs/>
            <w:sz w:val="24"/>
            <w:szCs w:val="24"/>
          </w:rPr>
          <w:t xml:space="preserve">which can be found here: </w:t>
        </w:r>
        <w:hyperlink r:id="rId1" w:history="1">
          <w:r w:rsidR="005C0EC9" w:rsidRPr="00974FAA">
            <w:rPr>
              <w:rStyle w:val="Hyperlink"/>
              <w:rFonts w:ascii="Arial" w:hAnsi="Arial" w:cs="Arial"/>
              <w:color w:val="0070C0"/>
              <w:sz w:val="24"/>
              <w:szCs w:val="24"/>
            </w:rPr>
            <w:t>https://www.england.nhs.uk/nhs-standard-contract/cquin/cquin-16-17/</w:t>
          </w:r>
        </w:hyperlink>
      </w:p>
      <w:p w:rsidR="008316B4" w:rsidRPr="00015367" w:rsidRDefault="008316B4" w:rsidP="00015367">
        <w:pPr>
          <w:tabs>
            <w:tab w:val="center" w:pos="4320"/>
            <w:tab w:val="right" w:pos="8640"/>
          </w:tabs>
          <w:spacing w:after="0" w:line="240" w:lineRule="auto"/>
          <w:rPr>
            <w:rFonts w:ascii="Arial" w:eastAsia="Times New Roman" w:hAnsi="Arial" w:cs="Arial"/>
            <w:bCs/>
            <w:sz w:val="18"/>
            <w:szCs w:val="18"/>
          </w:rPr>
        </w:pPr>
        <w:r w:rsidRPr="00015367">
          <w:rPr>
            <w:rFonts w:ascii="Arial" w:eastAsia="Times New Roman" w:hAnsi="Arial" w:cs="Arial"/>
            <w:bCs/>
            <w:sz w:val="18"/>
            <w:szCs w:val="18"/>
          </w:rPr>
          <w:t xml:space="preserve"> </w:t>
        </w:r>
      </w:p>
      <w:p w:rsidR="008316B4" w:rsidRPr="00273104" w:rsidRDefault="008316B4">
        <w:pPr>
          <w:pStyle w:val="Footer"/>
          <w:jc w:val="right"/>
          <w:rPr>
            <w:rFonts w:ascii="Arial" w:hAnsi="Arial" w:cs="Arial"/>
            <w:sz w:val="24"/>
            <w:szCs w:val="24"/>
          </w:rPr>
        </w:pPr>
        <w:r w:rsidRPr="00273104">
          <w:rPr>
            <w:rFonts w:ascii="Arial" w:hAnsi="Arial" w:cs="Arial"/>
            <w:sz w:val="24"/>
            <w:szCs w:val="24"/>
          </w:rPr>
          <w:fldChar w:fldCharType="begin"/>
        </w:r>
        <w:r w:rsidRPr="00273104">
          <w:rPr>
            <w:rFonts w:ascii="Arial" w:hAnsi="Arial" w:cs="Arial"/>
            <w:sz w:val="24"/>
            <w:szCs w:val="24"/>
          </w:rPr>
          <w:instrText xml:space="preserve"> PAGE   \* MERGEFORMAT </w:instrText>
        </w:r>
        <w:r w:rsidRPr="00273104">
          <w:rPr>
            <w:rFonts w:ascii="Arial" w:hAnsi="Arial" w:cs="Arial"/>
            <w:sz w:val="24"/>
            <w:szCs w:val="24"/>
          </w:rPr>
          <w:fldChar w:fldCharType="separate"/>
        </w:r>
        <w:r w:rsidR="00177A74">
          <w:rPr>
            <w:rFonts w:ascii="Arial" w:hAnsi="Arial" w:cs="Arial"/>
            <w:noProof/>
            <w:sz w:val="24"/>
            <w:szCs w:val="24"/>
          </w:rPr>
          <w:t>4</w:t>
        </w:r>
        <w:r w:rsidRPr="00273104">
          <w:rPr>
            <w:rFonts w:ascii="Arial" w:hAnsi="Arial" w:cs="Arial"/>
            <w:noProof/>
            <w:sz w:val="24"/>
            <w:szCs w:val="24"/>
          </w:rPr>
          <w:fldChar w:fldCharType="end"/>
        </w:r>
      </w:p>
    </w:sdtContent>
  </w:sdt>
  <w:p w:rsidR="008316B4" w:rsidRDefault="00831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B4" w:rsidRDefault="008316B4" w:rsidP="00273104">
      <w:pPr>
        <w:spacing w:after="0" w:line="240" w:lineRule="auto"/>
      </w:pPr>
      <w:r>
        <w:separator/>
      </w:r>
    </w:p>
  </w:footnote>
  <w:footnote w:type="continuationSeparator" w:id="0">
    <w:p w:rsidR="008316B4" w:rsidRDefault="008316B4" w:rsidP="00273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4B13D2"/>
    <w:multiLevelType w:val="hybridMultilevel"/>
    <w:tmpl w:val="722ECB4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08646E"/>
    <w:multiLevelType w:val="hybridMultilevel"/>
    <w:tmpl w:val="134A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E378B0"/>
    <w:multiLevelType w:val="multilevel"/>
    <w:tmpl w:val="792E3B7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F7B2645"/>
    <w:multiLevelType w:val="hybridMultilevel"/>
    <w:tmpl w:val="8406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A65654"/>
    <w:multiLevelType w:val="hybridMultilevel"/>
    <w:tmpl w:val="C450BC5A"/>
    <w:lvl w:ilvl="0" w:tplc="32D09BF6">
      <w:start w:val="27"/>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15C37F09"/>
    <w:multiLevelType w:val="hybridMultilevel"/>
    <w:tmpl w:val="92506A1A"/>
    <w:lvl w:ilvl="0" w:tplc="0409001B">
      <w:start w:val="1"/>
      <w:numFmt w:val="lowerRoman"/>
      <w:lvlText w:val="%1."/>
      <w:lvlJc w:val="right"/>
      <w:pPr>
        <w:ind w:left="11701" w:hanging="360"/>
      </w:pPr>
      <w:rPr>
        <w:rFonts w:hint="default"/>
      </w:rPr>
    </w:lvl>
    <w:lvl w:ilvl="1" w:tplc="08090003">
      <w:start w:val="1"/>
      <w:numFmt w:val="bullet"/>
      <w:lvlText w:val="o"/>
      <w:lvlJc w:val="left"/>
      <w:pPr>
        <w:ind w:left="12421" w:hanging="360"/>
      </w:pPr>
      <w:rPr>
        <w:rFonts w:ascii="Courier New" w:hAnsi="Courier New" w:cs="Courier New" w:hint="default"/>
      </w:rPr>
    </w:lvl>
    <w:lvl w:ilvl="2" w:tplc="08090005" w:tentative="1">
      <w:start w:val="1"/>
      <w:numFmt w:val="bullet"/>
      <w:lvlText w:val=""/>
      <w:lvlJc w:val="left"/>
      <w:pPr>
        <w:ind w:left="13141" w:hanging="360"/>
      </w:pPr>
      <w:rPr>
        <w:rFonts w:ascii="Wingdings" w:hAnsi="Wingdings" w:hint="default"/>
      </w:rPr>
    </w:lvl>
    <w:lvl w:ilvl="3" w:tplc="08090001" w:tentative="1">
      <w:start w:val="1"/>
      <w:numFmt w:val="bullet"/>
      <w:lvlText w:val=""/>
      <w:lvlJc w:val="left"/>
      <w:pPr>
        <w:ind w:left="13861" w:hanging="360"/>
      </w:pPr>
      <w:rPr>
        <w:rFonts w:ascii="Symbol" w:hAnsi="Symbol" w:hint="default"/>
      </w:rPr>
    </w:lvl>
    <w:lvl w:ilvl="4" w:tplc="08090003" w:tentative="1">
      <w:start w:val="1"/>
      <w:numFmt w:val="bullet"/>
      <w:lvlText w:val="o"/>
      <w:lvlJc w:val="left"/>
      <w:pPr>
        <w:ind w:left="14581" w:hanging="360"/>
      </w:pPr>
      <w:rPr>
        <w:rFonts w:ascii="Courier New" w:hAnsi="Courier New" w:cs="Courier New" w:hint="default"/>
      </w:rPr>
    </w:lvl>
    <w:lvl w:ilvl="5" w:tplc="08090005" w:tentative="1">
      <w:start w:val="1"/>
      <w:numFmt w:val="bullet"/>
      <w:lvlText w:val=""/>
      <w:lvlJc w:val="left"/>
      <w:pPr>
        <w:ind w:left="15301" w:hanging="360"/>
      </w:pPr>
      <w:rPr>
        <w:rFonts w:ascii="Wingdings" w:hAnsi="Wingdings" w:hint="default"/>
      </w:rPr>
    </w:lvl>
    <w:lvl w:ilvl="6" w:tplc="08090001" w:tentative="1">
      <w:start w:val="1"/>
      <w:numFmt w:val="bullet"/>
      <w:lvlText w:val=""/>
      <w:lvlJc w:val="left"/>
      <w:pPr>
        <w:ind w:left="16021" w:hanging="360"/>
      </w:pPr>
      <w:rPr>
        <w:rFonts w:ascii="Symbol" w:hAnsi="Symbol" w:hint="default"/>
      </w:rPr>
    </w:lvl>
    <w:lvl w:ilvl="7" w:tplc="08090003" w:tentative="1">
      <w:start w:val="1"/>
      <w:numFmt w:val="bullet"/>
      <w:lvlText w:val="o"/>
      <w:lvlJc w:val="left"/>
      <w:pPr>
        <w:ind w:left="16741" w:hanging="360"/>
      </w:pPr>
      <w:rPr>
        <w:rFonts w:ascii="Courier New" w:hAnsi="Courier New" w:cs="Courier New" w:hint="default"/>
      </w:rPr>
    </w:lvl>
    <w:lvl w:ilvl="8" w:tplc="08090005" w:tentative="1">
      <w:start w:val="1"/>
      <w:numFmt w:val="bullet"/>
      <w:lvlText w:val=""/>
      <w:lvlJc w:val="left"/>
      <w:pPr>
        <w:ind w:left="17461" w:hanging="360"/>
      </w:pPr>
      <w:rPr>
        <w:rFonts w:ascii="Wingdings" w:hAnsi="Wingdings" w:hint="default"/>
      </w:rPr>
    </w:lvl>
  </w:abstractNum>
  <w:abstractNum w:abstractNumId="7">
    <w:nsid w:val="17C46361"/>
    <w:multiLevelType w:val="hybridMultilevel"/>
    <w:tmpl w:val="76D68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660D56"/>
    <w:multiLevelType w:val="hybridMultilevel"/>
    <w:tmpl w:val="C9345BEE"/>
    <w:lvl w:ilvl="0" w:tplc="4A5AB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2A79E6"/>
    <w:multiLevelType w:val="hybridMultilevel"/>
    <w:tmpl w:val="9AA8A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1">
    <w:nsid w:val="2A891605"/>
    <w:multiLevelType w:val="hybridMultilevel"/>
    <w:tmpl w:val="F7CCE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4813A0"/>
    <w:multiLevelType w:val="hybridMultilevel"/>
    <w:tmpl w:val="4B30E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339C4"/>
    <w:multiLevelType w:val="hybridMultilevel"/>
    <w:tmpl w:val="6BB43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FE3A41"/>
    <w:multiLevelType w:val="hybridMultilevel"/>
    <w:tmpl w:val="F3E407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5E3FBB"/>
    <w:multiLevelType w:val="hybridMultilevel"/>
    <w:tmpl w:val="D2F4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7567A4"/>
    <w:multiLevelType w:val="hybridMultilevel"/>
    <w:tmpl w:val="E00EF4CE"/>
    <w:lvl w:ilvl="0" w:tplc="4A5ABD3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6403766"/>
    <w:multiLevelType w:val="hybridMultilevel"/>
    <w:tmpl w:val="E00EF4CE"/>
    <w:lvl w:ilvl="0" w:tplc="4A5ABD3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35E717F"/>
    <w:multiLevelType w:val="hybridMultilevel"/>
    <w:tmpl w:val="C8ECB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73A6167"/>
    <w:multiLevelType w:val="multilevel"/>
    <w:tmpl w:val="0892351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nsid w:val="6FA441E1"/>
    <w:multiLevelType w:val="hybridMultilevel"/>
    <w:tmpl w:val="B42437D0"/>
    <w:lvl w:ilvl="0" w:tplc="640C82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45251"/>
    <w:multiLevelType w:val="hybridMultilevel"/>
    <w:tmpl w:val="75EA27E6"/>
    <w:lvl w:ilvl="0" w:tplc="58623674">
      <w:start w:val="25"/>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0"/>
  </w:num>
  <w:num w:numId="3">
    <w:abstractNumId w:val="20"/>
  </w:num>
  <w:num w:numId="4">
    <w:abstractNumId w:val="6"/>
  </w:num>
  <w:num w:numId="5">
    <w:abstractNumId w:val="2"/>
  </w:num>
  <w:num w:numId="6">
    <w:abstractNumId w:val="7"/>
  </w:num>
  <w:num w:numId="7">
    <w:abstractNumId w:val="4"/>
  </w:num>
  <w:num w:numId="8">
    <w:abstractNumId w:val="12"/>
  </w:num>
  <w:num w:numId="9">
    <w:abstractNumId w:val="8"/>
  </w:num>
  <w:num w:numId="10">
    <w:abstractNumId w:val="0"/>
  </w:num>
  <w:num w:numId="11">
    <w:abstractNumId w:val="17"/>
  </w:num>
  <w:num w:numId="12">
    <w:abstractNumId w:val="16"/>
  </w:num>
  <w:num w:numId="13">
    <w:abstractNumId w:val="9"/>
  </w:num>
  <w:num w:numId="14">
    <w:abstractNumId w:val="11"/>
  </w:num>
  <w:num w:numId="15">
    <w:abstractNumId w:val="13"/>
  </w:num>
  <w:num w:numId="16">
    <w:abstractNumId w:val="18"/>
  </w:num>
  <w:num w:numId="17">
    <w:abstractNumId w:val="15"/>
  </w:num>
  <w:num w:numId="18">
    <w:abstractNumId w:val="1"/>
  </w:num>
  <w:num w:numId="19">
    <w:abstractNumId w:val="3"/>
  </w:num>
  <w:num w:numId="20">
    <w:abstractNumId w:val="19"/>
  </w:num>
  <w:num w:numId="21">
    <w:abstractNumId w:val="14"/>
  </w:num>
  <w:num w:numId="22">
    <w:abstractNumId w:val="5"/>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8F"/>
    <w:rsid w:val="00015367"/>
    <w:rsid w:val="00047331"/>
    <w:rsid w:val="00081BEC"/>
    <w:rsid w:val="000C70A9"/>
    <w:rsid w:val="00177A74"/>
    <w:rsid w:val="00233F38"/>
    <w:rsid w:val="00273104"/>
    <w:rsid w:val="002B79A3"/>
    <w:rsid w:val="00450DD2"/>
    <w:rsid w:val="0052708A"/>
    <w:rsid w:val="005C0EC9"/>
    <w:rsid w:val="005D0A69"/>
    <w:rsid w:val="00702FFB"/>
    <w:rsid w:val="008316B4"/>
    <w:rsid w:val="008A5D07"/>
    <w:rsid w:val="00915CA7"/>
    <w:rsid w:val="00974FAA"/>
    <w:rsid w:val="00A15FBF"/>
    <w:rsid w:val="00A617AD"/>
    <w:rsid w:val="00B34FCF"/>
    <w:rsid w:val="00B80E00"/>
    <w:rsid w:val="00C3408F"/>
    <w:rsid w:val="00D8104D"/>
    <w:rsid w:val="00E01E7C"/>
    <w:rsid w:val="00E02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6B4"/>
    <w:pPr>
      <w:spacing w:after="0" w:line="240" w:lineRule="auto"/>
      <w:outlineLvl w:val="0"/>
    </w:pPr>
    <w:rPr>
      <w:rFonts w:ascii="Arial" w:eastAsia="Times New Roman" w:hAnsi="Arial" w:cs="Arial"/>
      <w:b/>
      <w:bCs/>
      <w:color w:val="0070C0"/>
      <w:kern w:val="32"/>
      <w:sz w:val="32"/>
      <w:szCs w:val="32"/>
    </w:rPr>
  </w:style>
  <w:style w:type="paragraph" w:styleId="Heading2">
    <w:name w:val="heading 2"/>
    <w:basedOn w:val="Normal"/>
    <w:next w:val="Normal"/>
    <w:link w:val="Heading2Char"/>
    <w:uiPriority w:val="9"/>
    <w:unhideWhenUsed/>
    <w:qFormat/>
    <w:rsid w:val="008316B4"/>
    <w:pPr>
      <w:spacing w:after="0" w:line="360" w:lineRule="auto"/>
      <w:outlineLvl w:val="1"/>
    </w:pPr>
    <w:rPr>
      <w:rFonts w:ascii="Arial" w:eastAsia="Times New Roman" w:hAnsi="Arial" w:cs="Times New Roman"/>
      <w:b/>
      <w:bCs/>
      <w:iCs/>
      <w:color w:val="0070C0"/>
      <w:sz w:val="32"/>
      <w:szCs w:val="28"/>
    </w:rPr>
  </w:style>
  <w:style w:type="paragraph" w:styleId="Heading3">
    <w:name w:val="heading 3"/>
    <w:basedOn w:val="Normal"/>
    <w:next w:val="Normal"/>
    <w:link w:val="Heading3Char"/>
    <w:uiPriority w:val="9"/>
    <w:unhideWhenUsed/>
    <w:qFormat/>
    <w:rsid w:val="00450DD2"/>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450DD2"/>
    <w:pPr>
      <w:keepNext/>
      <w:keepLines/>
      <w:spacing w:before="200" w:after="0"/>
      <w:outlineLvl w:val="3"/>
    </w:pPr>
    <w:rPr>
      <w:rFonts w:ascii="Cambria" w:eastAsia="MS Gothic" w:hAnsi="Cambria" w:cs="Times New Roman"/>
      <w:b/>
      <w:i/>
      <w:iCs/>
      <w:color w:val="0072C6"/>
      <w:szCs w:val="26"/>
    </w:rPr>
  </w:style>
  <w:style w:type="paragraph" w:styleId="Heading5">
    <w:name w:val="heading 5"/>
    <w:basedOn w:val="Normal"/>
    <w:next w:val="Normal"/>
    <w:link w:val="Heading5Char"/>
    <w:uiPriority w:val="9"/>
    <w:semiHidden/>
    <w:unhideWhenUsed/>
    <w:qFormat/>
    <w:rsid w:val="00450DD2"/>
    <w:pPr>
      <w:keepNext/>
      <w:keepLines/>
      <w:spacing w:before="200" w:after="0"/>
      <w:outlineLvl w:val="4"/>
    </w:pPr>
    <w:rPr>
      <w:rFonts w:ascii="Cambria" w:eastAsia="MS Gothic" w:hAnsi="Cambria" w:cs="Times New Roman"/>
      <w:bCs/>
      <w:color w:val="003862"/>
      <w:szCs w:val="26"/>
    </w:rPr>
  </w:style>
  <w:style w:type="paragraph" w:styleId="Heading6">
    <w:name w:val="heading 6"/>
    <w:basedOn w:val="Normal"/>
    <w:next w:val="Normal"/>
    <w:link w:val="Heading6Char"/>
    <w:uiPriority w:val="9"/>
    <w:semiHidden/>
    <w:unhideWhenUsed/>
    <w:qFormat/>
    <w:rsid w:val="00450DD2"/>
    <w:pPr>
      <w:keepNext/>
      <w:keepLines/>
      <w:spacing w:before="200" w:after="0"/>
      <w:outlineLvl w:val="5"/>
    </w:pPr>
    <w:rPr>
      <w:rFonts w:ascii="Cambria" w:eastAsia="MS Gothic" w:hAnsi="Cambria" w:cs="Times New Roman"/>
      <w:bCs/>
      <w:i/>
      <w:iCs/>
      <w:color w:val="003862"/>
      <w:szCs w:val="26"/>
    </w:rPr>
  </w:style>
  <w:style w:type="paragraph" w:styleId="Heading7">
    <w:name w:val="heading 7"/>
    <w:basedOn w:val="Normal"/>
    <w:next w:val="Normal"/>
    <w:link w:val="Heading7Char"/>
    <w:uiPriority w:val="9"/>
    <w:semiHidden/>
    <w:unhideWhenUsed/>
    <w:qFormat/>
    <w:rsid w:val="00450DD2"/>
    <w:pPr>
      <w:keepNext/>
      <w:keepLines/>
      <w:spacing w:before="200" w:after="0"/>
      <w:outlineLvl w:val="6"/>
    </w:pPr>
    <w:rPr>
      <w:rFonts w:ascii="Cambria" w:eastAsia="MS Gothic" w:hAnsi="Cambria" w:cs="Times New Roman"/>
      <w:bCs/>
      <w:i/>
      <w:iCs/>
      <w:color w:val="404040"/>
      <w:szCs w:val="26"/>
    </w:rPr>
  </w:style>
  <w:style w:type="paragraph" w:styleId="Heading8">
    <w:name w:val="heading 8"/>
    <w:basedOn w:val="Normal"/>
    <w:next w:val="Normal"/>
    <w:link w:val="Heading8Char"/>
    <w:uiPriority w:val="9"/>
    <w:semiHidden/>
    <w:unhideWhenUsed/>
    <w:qFormat/>
    <w:rsid w:val="00450DD2"/>
    <w:pPr>
      <w:keepNext/>
      <w:keepLines/>
      <w:spacing w:before="200" w:after="0"/>
      <w:outlineLvl w:val="7"/>
    </w:pPr>
    <w:rPr>
      <w:rFonts w:ascii="Cambria" w:eastAsia="MS Gothic" w:hAnsi="Cambria" w:cs="Times New Roman"/>
      <w:bCs/>
      <w:color w:val="404040"/>
      <w:sz w:val="20"/>
      <w:szCs w:val="20"/>
    </w:rPr>
  </w:style>
  <w:style w:type="paragraph" w:styleId="Heading9">
    <w:name w:val="heading 9"/>
    <w:basedOn w:val="Normal"/>
    <w:next w:val="Normal"/>
    <w:link w:val="Heading9Char"/>
    <w:uiPriority w:val="9"/>
    <w:semiHidden/>
    <w:unhideWhenUsed/>
    <w:qFormat/>
    <w:rsid w:val="00450DD2"/>
    <w:pPr>
      <w:keepNext/>
      <w:keepLines/>
      <w:spacing w:before="200" w:after="0"/>
      <w:outlineLvl w:val="8"/>
    </w:pPr>
    <w:rPr>
      <w:rFonts w:ascii="Cambria" w:eastAsia="MS Gothic"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4"/>
  </w:style>
  <w:style w:type="paragraph" w:styleId="Footer">
    <w:name w:val="footer"/>
    <w:basedOn w:val="Normal"/>
    <w:link w:val="FooterChar"/>
    <w:uiPriority w:val="99"/>
    <w:unhideWhenUsed/>
    <w:rsid w:val="00273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4"/>
  </w:style>
  <w:style w:type="character" w:customStyle="1" w:styleId="Heading1Char">
    <w:name w:val="Heading 1 Char"/>
    <w:basedOn w:val="DefaultParagraphFont"/>
    <w:link w:val="Heading1"/>
    <w:uiPriority w:val="9"/>
    <w:rsid w:val="008316B4"/>
    <w:rPr>
      <w:rFonts w:ascii="Arial" w:eastAsia="Times New Roman" w:hAnsi="Arial" w:cs="Arial"/>
      <w:b/>
      <w:bCs/>
      <w:color w:val="0070C0"/>
      <w:kern w:val="32"/>
      <w:sz w:val="32"/>
      <w:szCs w:val="32"/>
    </w:rPr>
  </w:style>
  <w:style w:type="character" w:customStyle="1" w:styleId="Heading2Char">
    <w:name w:val="Heading 2 Char"/>
    <w:basedOn w:val="DefaultParagraphFont"/>
    <w:link w:val="Heading2"/>
    <w:uiPriority w:val="9"/>
    <w:rsid w:val="008316B4"/>
    <w:rPr>
      <w:rFonts w:ascii="Arial" w:eastAsia="Times New Roman" w:hAnsi="Arial" w:cs="Times New Roman"/>
      <w:b/>
      <w:bCs/>
      <w:iCs/>
      <w:color w:val="0070C0"/>
      <w:sz w:val="32"/>
      <w:szCs w:val="28"/>
    </w:rPr>
  </w:style>
  <w:style w:type="character" w:customStyle="1" w:styleId="Heading3Char">
    <w:name w:val="Heading 3 Char"/>
    <w:basedOn w:val="DefaultParagraphFont"/>
    <w:link w:val="Heading3"/>
    <w:uiPriority w:val="9"/>
    <w:rsid w:val="00450DD2"/>
    <w:rPr>
      <w:rFonts w:ascii="Arial" w:eastAsia="Times New Roman" w:hAnsi="Arial" w:cs="Times New Roman"/>
      <w:b/>
      <w:bCs/>
      <w:sz w:val="24"/>
      <w:szCs w:val="26"/>
    </w:rPr>
  </w:style>
  <w:style w:type="paragraph" w:customStyle="1" w:styleId="Heading41">
    <w:name w:val="Heading 41"/>
    <w:basedOn w:val="Normal"/>
    <w:next w:val="Normal"/>
    <w:uiPriority w:val="9"/>
    <w:semiHidden/>
    <w:unhideWhenUsed/>
    <w:qFormat/>
    <w:rsid w:val="00450DD2"/>
    <w:pPr>
      <w:keepNext/>
      <w:keepLines/>
      <w:numPr>
        <w:ilvl w:val="3"/>
        <w:numId w:val="2"/>
      </w:numPr>
      <w:spacing w:before="200" w:after="0" w:line="240" w:lineRule="auto"/>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450DD2"/>
    <w:pPr>
      <w:keepNext/>
      <w:keepLines/>
      <w:numPr>
        <w:ilvl w:val="4"/>
        <w:numId w:val="2"/>
      </w:numPr>
      <w:spacing w:before="200" w:after="0" w:line="240" w:lineRule="auto"/>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450DD2"/>
    <w:pPr>
      <w:keepNext/>
      <w:keepLines/>
      <w:numPr>
        <w:ilvl w:val="5"/>
        <w:numId w:val="2"/>
      </w:numPr>
      <w:spacing w:before="200" w:after="0" w:line="240" w:lineRule="auto"/>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450DD2"/>
    <w:pPr>
      <w:keepNext/>
      <w:keepLines/>
      <w:numPr>
        <w:ilvl w:val="6"/>
        <w:numId w:val="2"/>
      </w:numPr>
      <w:spacing w:before="200" w:after="0" w:line="240" w:lineRule="auto"/>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450DD2"/>
    <w:pPr>
      <w:keepNext/>
      <w:keepLines/>
      <w:numPr>
        <w:ilvl w:val="7"/>
        <w:numId w:val="2"/>
      </w:numPr>
      <w:spacing w:before="200" w:after="0" w:line="240" w:lineRule="auto"/>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450DD2"/>
    <w:pPr>
      <w:keepNext/>
      <w:keepLines/>
      <w:numPr>
        <w:ilvl w:val="8"/>
        <w:numId w:val="2"/>
      </w:numPr>
      <w:spacing w:before="200" w:after="0" w:line="240" w:lineRule="auto"/>
      <w:outlineLvl w:val="8"/>
    </w:pPr>
    <w:rPr>
      <w:rFonts w:ascii="Cambria" w:eastAsia="MS Gothic" w:hAnsi="Cambria" w:cs="Times New Roman"/>
      <w:bCs/>
      <w:i/>
      <w:iCs/>
      <w:color w:val="404040"/>
      <w:sz w:val="20"/>
      <w:szCs w:val="20"/>
    </w:rPr>
  </w:style>
  <w:style w:type="numbering" w:customStyle="1" w:styleId="NoList1">
    <w:name w:val="No List1"/>
    <w:next w:val="NoList"/>
    <w:uiPriority w:val="99"/>
    <w:semiHidden/>
    <w:unhideWhenUsed/>
    <w:rsid w:val="00450DD2"/>
  </w:style>
  <w:style w:type="paragraph" w:customStyle="1" w:styleId="BasicParagraph">
    <w:name w:val="[Basic Paragraph]"/>
    <w:basedOn w:val="Normal"/>
    <w:uiPriority w:val="99"/>
    <w:rsid w:val="00450DD2"/>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450DD2"/>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450DD2"/>
  </w:style>
  <w:style w:type="paragraph" w:styleId="BalloonText">
    <w:name w:val="Balloon Text"/>
    <w:basedOn w:val="Normal"/>
    <w:link w:val="BalloonTextChar"/>
    <w:uiPriority w:val="99"/>
    <w:semiHidden/>
    <w:unhideWhenUsed/>
    <w:rsid w:val="00450DD2"/>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450DD2"/>
    <w:rPr>
      <w:rFonts w:ascii="Tahoma" w:eastAsia="Times New Roman" w:hAnsi="Tahoma" w:cs="Tahoma"/>
      <w:bCs/>
      <w:sz w:val="16"/>
      <w:szCs w:val="16"/>
    </w:rPr>
  </w:style>
  <w:style w:type="paragraph" w:styleId="TOC1">
    <w:name w:val="toc 1"/>
    <w:basedOn w:val="Normal"/>
    <w:next w:val="Normal"/>
    <w:autoRedefine/>
    <w:uiPriority w:val="39"/>
    <w:unhideWhenUsed/>
    <w:rsid w:val="00450DD2"/>
    <w:pPr>
      <w:spacing w:before="120" w:after="0"/>
    </w:pPr>
    <w:rPr>
      <w:rFonts w:cstheme="minorHAnsi"/>
      <w:b/>
      <w:bCs/>
      <w:i/>
      <w:iCs/>
      <w:sz w:val="24"/>
      <w:szCs w:val="24"/>
    </w:rPr>
  </w:style>
  <w:style w:type="paragraph" w:customStyle="1" w:styleId="Title1">
    <w:name w:val="Title1"/>
    <w:basedOn w:val="Normal"/>
    <w:next w:val="Normal"/>
    <w:uiPriority w:val="10"/>
    <w:qFormat/>
    <w:rsid w:val="00450DD2"/>
    <w:pPr>
      <w:spacing w:after="0" w:line="240" w:lineRule="auto"/>
    </w:pPr>
    <w:rPr>
      <w:rFonts w:ascii="Arial" w:eastAsia="Times New Roman" w:hAnsi="Arial" w:cs="Times New Roman"/>
      <w:b/>
      <w:bCs/>
      <w:color w:val="0072C6"/>
      <w:sz w:val="80"/>
      <w:szCs w:val="80"/>
    </w:rPr>
  </w:style>
  <w:style w:type="character" w:customStyle="1" w:styleId="TitleChar">
    <w:name w:val="Title Char"/>
    <w:basedOn w:val="DefaultParagraphFont"/>
    <w:link w:val="Title"/>
    <w:uiPriority w:val="10"/>
    <w:rsid w:val="00450DD2"/>
    <w:rPr>
      <w:rFonts w:eastAsia="Times New Roman"/>
      <w:b/>
      <w:bCs/>
      <w:color w:val="0072C6"/>
      <w:sz w:val="80"/>
      <w:szCs w:val="80"/>
      <w:lang w:eastAsia="en-US"/>
    </w:rPr>
  </w:style>
  <w:style w:type="character" w:customStyle="1" w:styleId="Heading4Char">
    <w:name w:val="Heading 4 Char"/>
    <w:basedOn w:val="DefaultParagraphFont"/>
    <w:link w:val="Heading4"/>
    <w:uiPriority w:val="9"/>
    <w:semiHidden/>
    <w:rsid w:val="00450DD2"/>
    <w:rPr>
      <w:rFonts w:ascii="Cambria" w:eastAsia="MS Gothic" w:hAnsi="Cambria" w:cs="Times New Roman"/>
      <w:b/>
      <w:i/>
      <w:iCs/>
      <w:color w:val="0072C6"/>
      <w:szCs w:val="26"/>
      <w:lang w:eastAsia="en-US"/>
    </w:rPr>
  </w:style>
  <w:style w:type="character" w:customStyle="1" w:styleId="Heading5Char">
    <w:name w:val="Heading 5 Char"/>
    <w:basedOn w:val="DefaultParagraphFont"/>
    <w:link w:val="Heading5"/>
    <w:uiPriority w:val="9"/>
    <w:semiHidden/>
    <w:rsid w:val="00450DD2"/>
    <w:rPr>
      <w:rFonts w:ascii="Cambria" w:eastAsia="MS Gothic" w:hAnsi="Cambria" w:cs="Times New Roman"/>
      <w:bCs/>
      <w:color w:val="003862"/>
      <w:szCs w:val="26"/>
      <w:lang w:eastAsia="en-US"/>
    </w:rPr>
  </w:style>
  <w:style w:type="paragraph" w:styleId="TOC3">
    <w:name w:val="toc 3"/>
    <w:basedOn w:val="Normal"/>
    <w:next w:val="Normal"/>
    <w:autoRedefine/>
    <w:uiPriority w:val="39"/>
    <w:unhideWhenUsed/>
    <w:rsid w:val="00450DD2"/>
    <w:pPr>
      <w:spacing w:after="0"/>
      <w:ind w:left="440"/>
    </w:pPr>
    <w:rPr>
      <w:rFonts w:cstheme="minorHAnsi"/>
      <w:sz w:val="20"/>
      <w:szCs w:val="20"/>
    </w:rPr>
  </w:style>
  <w:style w:type="character" w:styleId="Hyperlink">
    <w:name w:val="Hyperlink"/>
    <w:uiPriority w:val="99"/>
    <w:unhideWhenUsed/>
    <w:rsid w:val="00450DD2"/>
    <w:rPr>
      <w:color w:val="0000FF"/>
      <w:u w:val="single"/>
    </w:rPr>
  </w:style>
  <w:style w:type="paragraph" w:styleId="TOCHeading">
    <w:name w:val="TOC Heading"/>
    <w:basedOn w:val="Heading1"/>
    <w:next w:val="Normal"/>
    <w:uiPriority w:val="39"/>
    <w:unhideWhenUsed/>
    <w:qFormat/>
    <w:rsid w:val="00450DD2"/>
    <w:pPr>
      <w:keepLines/>
      <w:spacing w:before="480" w:line="276" w:lineRule="auto"/>
      <w:outlineLvl w:val="9"/>
    </w:pPr>
    <w:rPr>
      <w:color w:val="365F91"/>
      <w:kern w:val="0"/>
      <w:szCs w:val="28"/>
      <w:lang w:val="en-US" w:eastAsia="ja-JP"/>
    </w:rPr>
  </w:style>
  <w:style w:type="numbering" w:styleId="111111">
    <w:name w:val="Outline List 2"/>
    <w:basedOn w:val="NoList"/>
    <w:uiPriority w:val="99"/>
    <w:semiHidden/>
    <w:unhideWhenUsed/>
    <w:rsid w:val="00450DD2"/>
    <w:pPr>
      <w:numPr>
        <w:numId w:val="1"/>
      </w:numPr>
    </w:pPr>
  </w:style>
  <w:style w:type="paragraph" w:styleId="TOC2">
    <w:name w:val="toc 2"/>
    <w:basedOn w:val="Normal"/>
    <w:next w:val="Normal"/>
    <w:autoRedefine/>
    <w:uiPriority w:val="39"/>
    <w:unhideWhenUsed/>
    <w:rsid w:val="00450DD2"/>
    <w:pPr>
      <w:spacing w:before="120" w:after="0"/>
      <w:ind w:left="220"/>
    </w:pPr>
    <w:rPr>
      <w:rFonts w:cstheme="minorHAnsi"/>
      <w:b/>
      <w:bCs/>
    </w:rPr>
  </w:style>
  <w:style w:type="paragraph" w:customStyle="1" w:styleId="DHBodycopy">
    <w:name w:val="DH Body copy"/>
    <w:basedOn w:val="Normal"/>
    <w:uiPriority w:val="1"/>
    <w:rsid w:val="00450DD2"/>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450DD2"/>
    <w:pPr>
      <w:spacing w:after="0" w:line="660" w:lineRule="exact"/>
    </w:pPr>
    <w:rPr>
      <w:rFonts w:ascii="Arial" w:eastAsia="MS Mincho" w:hAnsi="Arial" w:cs="Arial"/>
      <w:b/>
      <w:bCs/>
      <w:sz w:val="24"/>
      <w:szCs w:val="20"/>
    </w:rPr>
  </w:style>
  <w:style w:type="table" w:styleId="TableGrid">
    <w:name w:val="Table Grid"/>
    <w:basedOn w:val="TableNormal"/>
    <w:uiPriority w:val="59"/>
    <w:rsid w:val="00450DD2"/>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450DD2"/>
    <w:rPr>
      <w:color w:val="0072C6"/>
      <w:u w:val="single"/>
    </w:rPr>
  </w:style>
  <w:style w:type="paragraph" w:styleId="ListParagraph">
    <w:name w:val="List Paragraph"/>
    <w:basedOn w:val="Normal"/>
    <w:link w:val="ListParagraphChar"/>
    <w:uiPriority w:val="34"/>
    <w:qFormat/>
    <w:rsid w:val="00450DD2"/>
    <w:pPr>
      <w:spacing w:after="0" w:line="240" w:lineRule="auto"/>
      <w:ind w:left="720"/>
      <w:contextualSpacing/>
    </w:pPr>
    <w:rPr>
      <w:rFonts w:ascii="Arial" w:eastAsia="Times New Roman" w:hAnsi="Arial" w:cs="Times New Roman"/>
      <w:bCs/>
      <w:sz w:val="24"/>
      <w:szCs w:val="26"/>
    </w:rPr>
  </w:style>
  <w:style w:type="character" w:customStyle="1" w:styleId="Heading6Char">
    <w:name w:val="Heading 6 Char"/>
    <w:basedOn w:val="DefaultParagraphFont"/>
    <w:link w:val="Heading6"/>
    <w:uiPriority w:val="9"/>
    <w:semiHidden/>
    <w:rsid w:val="00450DD2"/>
    <w:rPr>
      <w:rFonts w:ascii="Cambria" w:eastAsia="MS Gothic" w:hAnsi="Cambria" w:cs="Times New Roman"/>
      <w:bCs/>
      <w:i/>
      <w:iCs/>
      <w:color w:val="003862"/>
      <w:szCs w:val="26"/>
      <w:lang w:eastAsia="en-US"/>
    </w:rPr>
  </w:style>
  <w:style w:type="character" w:customStyle="1" w:styleId="Heading7Char">
    <w:name w:val="Heading 7 Char"/>
    <w:basedOn w:val="DefaultParagraphFont"/>
    <w:link w:val="Heading7"/>
    <w:uiPriority w:val="9"/>
    <w:semiHidden/>
    <w:rsid w:val="00450DD2"/>
    <w:rPr>
      <w:rFonts w:ascii="Cambria" w:eastAsia="MS Gothic" w:hAnsi="Cambria" w:cs="Times New Roman"/>
      <w:bCs/>
      <w:i/>
      <w:iCs/>
      <w:color w:val="404040"/>
      <w:szCs w:val="26"/>
      <w:lang w:eastAsia="en-US"/>
    </w:rPr>
  </w:style>
  <w:style w:type="character" w:customStyle="1" w:styleId="Heading8Char">
    <w:name w:val="Heading 8 Char"/>
    <w:basedOn w:val="DefaultParagraphFont"/>
    <w:link w:val="Heading8"/>
    <w:uiPriority w:val="9"/>
    <w:semiHidden/>
    <w:rsid w:val="00450DD2"/>
    <w:rPr>
      <w:rFonts w:ascii="Cambria" w:eastAsia="MS Gothic" w:hAnsi="Cambria" w:cs="Times New Roman"/>
      <w:bCs/>
      <w:color w:val="404040"/>
      <w:sz w:val="20"/>
      <w:szCs w:val="20"/>
      <w:lang w:eastAsia="en-US"/>
    </w:rPr>
  </w:style>
  <w:style w:type="character" w:customStyle="1" w:styleId="Heading9Char">
    <w:name w:val="Heading 9 Char"/>
    <w:basedOn w:val="DefaultParagraphFont"/>
    <w:link w:val="Heading9"/>
    <w:uiPriority w:val="9"/>
    <w:semiHidden/>
    <w:rsid w:val="00450DD2"/>
    <w:rPr>
      <w:rFonts w:ascii="Cambria" w:eastAsia="MS Gothic" w:hAnsi="Cambria" w:cs="Times New Roman"/>
      <w:bCs/>
      <w:i/>
      <w:iCs/>
      <w:color w:val="404040"/>
      <w:sz w:val="20"/>
      <w:szCs w:val="20"/>
      <w:lang w:eastAsia="en-US"/>
    </w:rPr>
  </w:style>
  <w:style w:type="character" w:styleId="PlaceholderText">
    <w:name w:val="Placeholder Text"/>
    <w:basedOn w:val="DefaultParagraphFont"/>
    <w:uiPriority w:val="99"/>
    <w:unhideWhenUsed/>
    <w:rsid w:val="00450DD2"/>
    <w:rPr>
      <w:color w:val="808080"/>
    </w:rPr>
  </w:style>
  <w:style w:type="character" w:styleId="CommentReference">
    <w:name w:val="annotation reference"/>
    <w:basedOn w:val="DefaultParagraphFont"/>
    <w:uiPriority w:val="99"/>
    <w:semiHidden/>
    <w:unhideWhenUsed/>
    <w:rsid w:val="00450DD2"/>
    <w:rPr>
      <w:sz w:val="16"/>
      <w:szCs w:val="16"/>
    </w:rPr>
  </w:style>
  <w:style w:type="paragraph" w:styleId="CommentText">
    <w:name w:val="annotation text"/>
    <w:basedOn w:val="Normal"/>
    <w:link w:val="CommentTextChar"/>
    <w:uiPriority w:val="99"/>
    <w:unhideWhenUsed/>
    <w:rsid w:val="00450DD2"/>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450DD2"/>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450DD2"/>
    <w:rPr>
      <w:b/>
    </w:rPr>
  </w:style>
  <w:style w:type="character" w:customStyle="1" w:styleId="CommentSubjectChar">
    <w:name w:val="Comment Subject Char"/>
    <w:basedOn w:val="CommentTextChar"/>
    <w:link w:val="CommentSubject"/>
    <w:uiPriority w:val="99"/>
    <w:semiHidden/>
    <w:rsid w:val="00450DD2"/>
    <w:rPr>
      <w:rFonts w:ascii="Arial" w:eastAsia="Times New Roman" w:hAnsi="Arial" w:cs="Times New Roman"/>
      <w:b/>
      <w:bCs/>
      <w:sz w:val="20"/>
      <w:szCs w:val="20"/>
    </w:rPr>
  </w:style>
  <w:style w:type="paragraph" w:customStyle="1" w:styleId="Default">
    <w:name w:val="Default"/>
    <w:rsid w:val="00450DD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50DD2"/>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450DD2"/>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450DD2"/>
    <w:rPr>
      <w:vertAlign w:val="superscript"/>
    </w:rPr>
  </w:style>
  <w:style w:type="table" w:customStyle="1" w:styleId="TableGrid1">
    <w:name w:val="Table Grid1"/>
    <w:basedOn w:val="TableNormal"/>
    <w:next w:val="TableGrid"/>
    <w:uiPriority w:val="59"/>
    <w:rsid w:val="00450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50DD2"/>
    <w:pPr>
      <w:spacing w:after="0" w:line="240" w:lineRule="auto"/>
    </w:pPr>
    <w:rPr>
      <w:rFonts w:ascii="Arial" w:eastAsia="Times New Roman" w:hAnsi="Arial" w:cs="Times New Roman"/>
      <w:bCs/>
      <w:sz w:val="20"/>
      <w:szCs w:val="20"/>
    </w:rPr>
  </w:style>
  <w:style w:type="character" w:customStyle="1" w:styleId="EndnoteTextChar">
    <w:name w:val="Endnote Text Char"/>
    <w:basedOn w:val="DefaultParagraphFont"/>
    <w:link w:val="EndnoteText"/>
    <w:uiPriority w:val="99"/>
    <w:rsid w:val="00450DD2"/>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450DD2"/>
    <w:rPr>
      <w:vertAlign w:val="superscript"/>
    </w:rPr>
  </w:style>
  <w:style w:type="table" w:customStyle="1" w:styleId="TableGrid2">
    <w:name w:val="Table Grid2"/>
    <w:basedOn w:val="TableNormal"/>
    <w:next w:val="TableGrid"/>
    <w:uiPriority w:val="59"/>
    <w:rsid w:val="00450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50DD2"/>
    <w:rPr>
      <w:rFonts w:ascii="Arial" w:eastAsia="Times New Roman" w:hAnsi="Arial" w:cs="Times New Roman"/>
      <w:bCs/>
      <w:sz w:val="24"/>
      <w:szCs w:val="26"/>
    </w:rPr>
  </w:style>
  <w:style w:type="paragraph" w:customStyle="1" w:styleId="TOC41">
    <w:name w:val="TOC 41"/>
    <w:basedOn w:val="Normal"/>
    <w:next w:val="Normal"/>
    <w:autoRedefine/>
    <w:uiPriority w:val="39"/>
    <w:unhideWhenUsed/>
    <w:rsid w:val="00450DD2"/>
    <w:pPr>
      <w:spacing w:after="100"/>
      <w:ind w:left="660"/>
    </w:pPr>
    <w:rPr>
      <w:rFonts w:eastAsia="MS Mincho"/>
      <w:lang w:eastAsia="en-GB"/>
    </w:rPr>
  </w:style>
  <w:style w:type="paragraph" w:customStyle="1" w:styleId="TOC51">
    <w:name w:val="TOC 51"/>
    <w:basedOn w:val="Normal"/>
    <w:next w:val="Normal"/>
    <w:autoRedefine/>
    <w:uiPriority w:val="39"/>
    <w:unhideWhenUsed/>
    <w:rsid w:val="00450DD2"/>
    <w:pPr>
      <w:spacing w:after="100"/>
      <w:ind w:left="880"/>
    </w:pPr>
    <w:rPr>
      <w:rFonts w:eastAsia="MS Mincho"/>
      <w:lang w:eastAsia="en-GB"/>
    </w:rPr>
  </w:style>
  <w:style w:type="paragraph" w:customStyle="1" w:styleId="TOC61">
    <w:name w:val="TOC 61"/>
    <w:basedOn w:val="Normal"/>
    <w:next w:val="Normal"/>
    <w:autoRedefine/>
    <w:uiPriority w:val="39"/>
    <w:unhideWhenUsed/>
    <w:rsid w:val="00450DD2"/>
    <w:pPr>
      <w:spacing w:after="100"/>
      <w:ind w:left="1100"/>
    </w:pPr>
    <w:rPr>
      <w:rFonts w:eastAsia="MS Mincho"/>
      <w:lang w:eastAsia="en-GB"/>
    </w:rPr>
  </w:style>
  <w:style w:type="paragraph" w:customStyle="1" w:styleId="TOC71">
    <w:name w:val="TOC 71"/>
    <w:basedOn w:val="Normal"/>
    <w:next w:val="Normal"/>
    <w:autoRedefine/>
    <w:uiPriority w:val="39"/>
    <w:unhideWhenUsed/>
    <w:rsid w:val="00450DD2"/>
    <w:pPr>
      <w:spacing w:after="100"/>
      <w:ind w:left="1320"/>
    </w:pPr>
    <w:rPr>
      <w:rFonts w:eastAsia="MS Mincho"/>
      <w:lang w:eastAsia="en-GB"/>
    </w:rPr>
  </w:style>
  <w:style w:type="paragraph" w:customStyle="1" w:styleId="TOC81">
    <w:name w:val="TOC 81"/>
    <w:basedOn w:val="Normal"/>
    <w:next w:val="Normal"/>
    <w:autoRedefine/>
    <w:uiPriority w:val="39"/>
    <w:unhideWhenUsed/>
    <w:rsid w:val="00450DD2"/>
    <w:pPr>
      <w:spacing w:after="100"/>
      <w:ind w:left="1540"/>
    </w:pPr>
    <w:rPr>
      <w:rFonts w:eastAsia="MS Mincho"/>
      <w:lang w:eastAsia="en-GB"/>
    </w:rPr>
  </w:style>
  <w:style w:type="paragraph" w:customStyle="1" w:styleId="TOC91">
    <w:name w:val="TOC 91"/>
    <w:basedOn w:val="Normal"/>
    <w:next w:val="Normal"/>
    <w:autoRedefine/>
    <w:uiPriority w:val="39"/>
    <w:unhideWhenUsed/>
    <w:rsid w:val="00450DD2"/>
    <w:pPr>
      <w:spacing w:after="100"/>
      <w:ind w:left="1760"/>
    </w:pPr>
    <w:rPr>
      <w:rFonts w:eastAsia="MS Mincho"/>
      <w:lang w:eastAsia="en-GB"/>
    </w:rPr>
  </w:style>
  <w:style w:type="paragraph" w:styleId="Title">
    <w:name w:val="Title"/>
    <w:basedOn w:val="Normal"/>
    <w:next w:val="Normal"/>
    <w:link w:val="TitleChar"/>
    <w:uiPriority w:val="10"/>
    <w:qFormat/>
    <w:rsid w:val="00450DD2"/>
    <w:pPr>
      <w:pBdr>
        <w:bottom w:val="single" w:sz="8" w:space="4" w:color="4F81BD" w:themeColor="accent1"/>
      </w:pBdr>
      <w:spacing w:after="300" w:line="240" w:lineRule="auto"/>
      <w:contextualSpacing/>
    </w:pPr>
    <w:rPr>
      <w:rFonts w:eastAsia="Times New Roman"/>
      <w:b/>
      <w:bCs/>
      <w:color w:val="0072C6"/>
      <w:sz w:val="80"/>
      <w:szCs w:val="80"/>
    </w:rPr>
  </w:style>
  <w:style w:type="character" w:customStyle="1" w:styleId="TitleChar1">
    <w:name w:val="Title Char1"/>
    <w:basedOn w:val="DefaultParagraphFont"/>
    <w:uiPriority w:val="10"/>
    <w:rsid w:val="00450DD2"/>
    <w:rPr>
      <w:rFonts w:asciiTheme="majorHAnsi" w:eastAsiaTheme="majorEastAsia" w:hAnsiTheme="majorHAnsi" w:cstheme="majorBidi"/>
      <w:color w:val="17365D" w:themeColor="text2" w:themeShade="BF"/>
      <w:spacing w:val="5"/>
      <w:kern w:val="28"/>
      <w:sz w:val="52"/>
      <w:szCs w:val="52"/>
    </w:rPr>
  </w:style>
  <w:style w:type="character" w:customStyle="1" w:styleId="Heading4Char1">
    <w:name w:val="Heading 4 Char1"/>
    <w:basedOn w:val="DefaultParagraphFont"/>
    <w:uiPriority w:val="9"/>
    <w:semiHidden/>
    <w:rsid w:val="00450DD2"/>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450DD2"/>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450DD2"/>
    <w:rPr>
      <w:color w:val="800080" w:themeColor="followedHyperlink"/>
      <w:u w:val="single"/>
    </w:rPr>
  </w:style>
  <w:style w:type="character" w:customStyle="1" w:styleId="Heading6Char1">
    <w:name w:val="Heading 6 Char1"/>
    <w:basedOn w:val="DefaultParagraphFont"/>
    <w:uiPriority w:val="9"/>
    <w:semiHidden/>
    <w:rsid w:val="00450DD2"/>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450DD2"/>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450DD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50DD2"/>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915CA7"/>
    <w:pPr>
      <w:spacing w:after="0"/>
      <w:ind w:left="660"/>
    </w:pPr>
    <w:rPr>
      <w:rFonts w:cstheme="minorHAnsi"/>
      <w:sz w:val="20"/>
      <w:szCs w:val="20"/>
    </w:rPr>
  </w:style>
  <w:style w:type="paragraph" w:styleId="TOC5">
    <w:name w:val="toc 5"/>
    <w:basedOn w:val="Normal"/>
    <w:next w:val="Normal"/>
    <w:autoRedefine/>
    <w:uiPriority w:val="39"/>
    <w:unhideWhenUsed/>
    <w:rsid w:val="00915CA7"/>
    <w:pPr>
      <w:spacing w:after="0"/>
      <w:ind w:left="880"/>
    </w:pPr>
    <w:rPr>
      <w:rFonts w:cstheme="minorHAnsi"/>
      <w:sz w:val="20"/>
      <w:szCs w:val="20"/>
    </w:rPr>
  </w:style>
  <w:style w:type="paragraph" w:styleId="TOC6">
    <w:name w:val="toc 6"/>
    <w:basedOn w:val="Normal"/>
    <w:next w:val="Normal"/>
    <w:autoRedefine/>
    <w:uiPriority w:val="39"/>
    <w:unhideWhenUsed/>
    <w:rsid w:val="00915CA7"/>
    <w:pPr>
      <w:spacing w:after="0"/>
      <w:ind w:left="1100"/>
    </w:pPr>
    <w:rPr>
      <w:rFonts w:cstheme="minorHAnsi"/>
      <w:sz w:val="20"/>
      <w:szCs w:val="20"/>
    </w:rPr>
  </w:style>
  <w:style w:type="paragraph" w:styleId="TOC7">
    <w:name w:val="toc 7"/>
    <w:basedOn w:val="Normal"/>
    <w:next w:val="Normal"/>
    <w:autoRedefine/>
    <w:uiPriority w:val="39"/>
    <w:unhideWhenUsed/>
    <w:rsid w:val="00915CA7"/>
    <w:pPr>
      <w:spacing w:after="0"/>
      <w:ind w:left="1320"/>
    </w:pPr>
    <w:rPr>
      <w:rFonts w:cstheme="minorHAnsi"/>
      <w:sz w:val="20"/>
      <w:szCs w:val="20"/>
    </w:rPr>
  </w:style>
  <w:style w:type="paragraph" w:styleId="TOC8">
    <w:name w:val="toc 8"/>
    <w:basedOn w:val="Normal"/>
    <w:next w:val="Normal"/>
    <w:autoRedefine/>
    <w:uiPriority w:val="39"/>
    <w:unhideWhenUsed/>
    <w:rsid w:val="00915CA7"/>
    <w:pPr>
      <w:spacing w:after="0"/>
      <w:ind w:left="1540"/>
    </w:pPr>
    <w:rPr>
      <w:rFonts w:cstheme="minorHAnsi"/>
      <w:sz w:val="20"/>
      <w:szCs w:val="20"/>
    </w:rPr>
  </w:style>
  <w:style w:type="paragraph" w:styleId="TOC9">
    <w:name w:val="toc 9"/>
    <w:basedOn w:val="Normal"/>
    <w:next w:val="Normal"/>
    <w:autoRedefine/>
    <w:uiPriority w:val="39"/>
    <w:unhideWhenUsed/>
    <w:rsid w:val="00915CA7"/>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6B4"/>
    <w:pPr>
      <w:spacing w:after="0" w:line="240" w:lineRule="auto"/>
      <w:outlineLvl w:val="0"/>
    </w:pPr>
    <w:rPr>
      <w:rFonts w:ascii="Arial" w:eastAsia="Times New Roman" w:hAnsi="Arial" w:cs="Arial"/>
      <w:b/>
      <w:bCs/>
      <w:color w:val="0070C0"/>
      <w:kern w:val="32"/>
      <w:sz w:val="32"/>
      <w:szCs w:val="32"/>
    </w:rPr>
  </w:style>
  <w:style w:type="paragraph" w:styleId="Heading2">
    <w:name w:val="heading 2"/>
    <w:basedOn w:val="Normal"/>
    <w:next w:val="Normal"/>
    <w:link w:val="Heading2Char"/>
    <w:uiPriority w:val="9"/>
    <w:unhideWhenUsed/>
    <w:qFormat/>
    <w:rsid w:val="008316B4"/>
    <w:pPr>
      <w:spacing w:after="0" w:line="360" w:lineRule="auto"/>
      <w:outlineLvl w:val="1"/>
    </w:pPr>
    <w:rPr>
      <w:rFonts w:ascii="Arial" w:eastAsia="Times New Roman" w:hAnsi="Arial" w:cs="Times New Roman"/>
      <w:b/>
      <w:bCs/>
      <w:iCs/>
      <w:color w:val="0070C0"/>
      <w:sz w:val="32"/>
      <w:szCs w:val="28"/>
    </w:rPr>
  </w:style>
  <w:style w:type="paragraph" w:styleId="Heading3">
    <w:name w:val="heading 3"/>
    <w:basedOn w:val="Normal"/>
    <w:next w:val="Normal"/>
    <w:link w:val="Heading3Char"/>
    <w:uiPriority w:val="9"/>
    <w:unhideWhenUsed/>
    <w:qFormat/>
    <w:rsid w:val="00450DD2"/>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450DD2"/>
    <w:pPr>
      <w:keepNext/>
      <w:keepLines/>
      <w:spacing w:before="200" w:after="0"/>
      <w:outlineLvl w:val="3"/>
    </w:pPr>
    <w:rPr>
      <w:rFonts w:ascii="Cambria" w:eastAsia="MS Gothic" w:hAnsi="Cambria" w:cs="Times New Roman"/>
      <w:b/>
      <w:i/>
      <w:iCs/>
      <w:color w:val="0072C6"/>
      <w:szCs w:val="26"/>
    </w:rPr>
  </w:style>
  <w:style w:type="paragraph" w:styleId="Heading5">
    <w:name w:val="heading 5"/>
    <w:basedOn w:val="Normal"/>
    <w:next w:val="Normal"/>
    <w:link w:val="Heading5Char"/>
    <w:uiPriority w:val="9"/>
    <w:semiHidden/>
    <w:unhideWhenUsed/>
    <w:qFormat/>
    <w:rsid w:val="00450DD2"/>
    <w:pPr>
      <w:keepNext/>
      <w:keepLines/>
      <w:spacing w:before="200" w:after="0"/>
      <w:outlineLvl w:val="4"/>
    </w:pPr>
    <w:rPr>
      <w:rFonts w:ascii="Cambria" w:eastAsia="MS Gothic" w:hAnsi="Cambria" w:cs="Times New Roman"/>
      <w:bCs/>
      <w:color w:val="003862"/>
      <w:szCs w:val="26"/>
    </w:rPr>
  </w:style>
  <w:style w:type="paragraph" w:styleId="Heading6">
    <w:name w:val="heading 6"/>
    <w:basedOn w:val="Normal"/>
    <w:next w:val="Normal"/>
    <w:link w:val="Heading6Char"/>
    <w:uiPriority w:val="9"/>
    <w:semiHidden/>
    <w:unhideWhenUsed/>
    <w:qFormat/>
    <w:rsid w:val="00450DD2"/>
    <w:pPr>
      <w:keepNext/>
      <w:keepLines/>
      <w:spacing w:before="200" w:after="0"/>
      <w:outlineLvl w:val="5"/>
    </w:pPr>
    <w:rPr>
      <w:rFonts w:ascii="Cambria" w:eastAsia="MS Gothic" w:hAnsi="Cambria" w:cs="Times New Roman"/>
      <w:bCs/>
      <w:i/>
      <w:iCs/>
      <w:color w:val="003862"/>
      <w:szCs w:val="26"/>
    </w:rPr>
  </w:style>
  <w:style w:type="paragraph" w:styleId="Heading7">
    <w:name w:val="heading 7"/>
    <w:basedOn w:val="Normal"/>
    <w:next w:val="Normal"/>
    <w:link w:val="Heading7Char"/>
    <w:uiPriority w:val="9"/>
    <w:semiHidden/>
    <w:unhideWhenUsed/>
    <w:qFormat/>
    <w:rsid w:val="00450DD2"/>
    <w:pPr>
      <w:keepNext/>
      <w:keepLines/>
      <w:spacing w:before="200" w:after="0"/>
      <w:outlineLvl w:val="6"/>
    </w:pPr>
    <w:rPr>
      <w:rFonts w:ascii="Cambria" w:eastAsia="MS Gothic" w:hAnsi="Cambria" w:cs="Times New Roman"/>
      <w:bCs/>
      <w:i/>
      <w:iCs/>
      <w:color w:val="404040"/>
      <w:szCs w:val="26"/>
    </w:rPr>
  </w:style>
  <w:style w:type="paragraph" w:styleId="Heading8">
    <w:name w:val="heading 8"/>
    <w:basedOn w:val="Normal"/>
    <w:next w:val="Normal"/>
    <w:link w:val="Heading8Char"/>
    <w:uiPriority w:val="9"/>
    <w:semiHidden/>
    <w:unhideWhenUsed/>
    <w:qFormat/>
    <w:rsid w:val="00450DD2"/>
    <w:pPr>
      <w:keepNext/>
      <w:keepLines/>
      <w:spacing w:before="200" w:after="0"/>
      <w:outlineLvl w:val="7"/>
    </w:pPr>
    <w:rPr>
      <w:rFonts w:ascii="Cambria" w:eastAsia="MS Gothic" w:hAnsi="Cambria" w:cs="Times New Roman"/>
      <w:bCs/>
      <w:color w:val="404040"/>
      <w:sz w:val="20"/>
      <w:szCs w:val="20"/>
    </w:rPr>
  </w:style>
  <w:style w:type="paragraph" w:styleId="Heading9">
    <w:name w:val="heading 9"/>
    <w:basedOn w:val="Normal"/>
    <w:next w:val="Normal"/>
    <w:link w:val="Heading9Char"/>
    <w:uiPriority w:val="9"/>
    <w:semiHidden/>
    <w:unhideWhenUsed/>
    <w:qFormat/>
    <w:rsid w:val="00450DD2"/>
    <w:pPr>
      <w:keepNext/>
      <w:keepLines/>
      <w:spacing w:before="200" w:after="0"/>
      <w:outlineLvl w:val="8"/>
    </w:pPr>
    <w:rPr>
      <w:rFonts w:ascii="Cambria" w:eastAsia="MS Gothic"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4"/>
  </w:style>
  <w:style w:type="paragraph" w:styleId="Footer">
    <w:name w:val="footer"/>
    <w:basedOn w:val="Normal"/>
    <w:link w:val="FooterChar"/>
    <w:uiPriority w:val="99"/>
    <w:unhideWhenUsed/>
    <w:rsid w:val="00273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4"/>
  </w:style>
  <w:style w:type="character" w:customStyle="1" w:styleId="Heading1Char">
    <w:name w:val="Heading 1 Char"/>
    <w:basedOn w:val="DefaultParagraphFont"/>
    <w:link w:val="Heading1"/>
    <w:uiPriority w:val="9"/>
    <w:rsid w:val="008316B4"/>
    <w:rPr>
      <w:rFonts w:ascii="Arial" w:eastAsia="Times New Roman" w:hAnsi="Arial" w:cs="Arial"/>
      <w:b/>
      <w:bCs/>
      <w:color w:val="0070C0"/>
      <w:kern w:val="32"/>
      <w:sz w:val="32"/>
      <w:szCs w:val="32"/>
    </w:rPr>
  </w:style>
  <w:style w:type="character" w:customStyle="1" w:styleId="Heading2Char">
    <w:name w:val="Heading 2 Char"/>
    <w:basedOn w:val="DefaultParagraphFont"/>
    <w:link w:val="Heading2"/>
    <w:uiPriority w:val="9"/>
    <w:rsid w:val="008316B4"/>
    <w:rPr>
      <w:rFonts w:ascii="Arial" w:eastAsia="Times New Roman" w:hAnsi="Arial" w:cs="Times New Roman"/>
      <w:b/>
      <w:bCs/>
      <w:iCs/>
      <w:color w:val="0070C0"/>
      <w:sz w:val="32"/>
      <w:szCs w:val="28"/>
    </w:rPr>
  </w:style>
  <w:style w:type="character" w:customStyle="1" w:styleId="Heading3Char">
    <w:name w:val="Heading 3 Char"/>
    <w:basedOn w:val="DefaultParagraphFont"/>
    <w:link w:val="Heading3"/>
    <w:uiPriority w:val="9"/>
    <w:rsid w:val="00450DD2"/>
    <w:rPr>
      <w:rFonts w:ascii="Arial" w:eastAsia="Times New Roman" w:hAnsi="Arial" w:cs="Times New Roman"/>
      <w:b/>
      <w:bCs/>
      <w:sz w:val="24"/>
      <w:szCs w:val="26"/>
    </w:rPr>
  </w:style>
  <w:style w:type="paragraph" w:customStyle="1" w:styleId="Heading41">
    <w:name w:val="Heading 41"/>
    <w:basedOn w:val="Normal"/>
    <w:next w:val="Normal"/>
    <w:uiPriority w:val="9"/>
    <w:semiHidden/>
    <w:unhideWhenUsed/>
    <w:qFormat/>
    <w:rsid w:val="00450DD2"/>
    <w:pPr>
      <w:keepNext/>
      <w:keepLines/>
      <w:numPr>
        <w:ilvl w:val="3"/>
        <w:numId w:val="2"/>
      </w:numPr>
      <w:spacing w:before="200" w:after="0" w:line="240" w:lineRule="auto"/>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450DD2"/>
    <w:pPr>
      <w:keepNext/>
      <w:keepLines/>
      <w:numPr>
        <w:ilvl w:val="4"/>
        <w:numId w:val="2"/>
      </w:numPr>
      <w:spacing w:before="200" w:after="0" w:line="240" w:lineRule="auto"/>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450DD2"/>
    <w:pPr>
      <w:keepNext/>
      <w:keepLines/>
      <w:numPr>
        <w:ilvl w:val="5"/>
        <w:numId w:val="2"/>
      </w:numPr>
      <w:spacing w:before="200" w:after="0" w:line="240" w:lineRule="auto"/>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450DD2"/>
    <w:pPr>
      <w:keepNext/>
      <w:keepLines/>
      <w:numPr>
        <w:ilvl w:val="6"/>
        <w:numId w:val="2"/>
      </w:numPr>
      <w:spacing w:before="200" w:after="0" w:line="240" w:lineRule="auto"/>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450DD2"/>
    <w:pPr>
      <w:keepNext/>
      <w:keepLines/>
      <w:numPr>
        <w:ilvl w:val="7"/>
        <w:numId w:val="2"/>
      </w:numPr>
      <w:spacing w:before="200" w:after="0" w:line="240" w:lineRule="auto"/>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450DD2"/>
    <w:pPr>
      <w:keepNext/>
      <w:keepLines/>
      <w:numPr>
        <w:ilvl w:val="8"/>
        <w:numId w:val="2"/>
      </w:numPr>
      <w:spacing w:before="200" w:after="0" w:line="240" w:lineRule="auto"/>
      <w:outlineLvl w:val="8"/>
    </w:pPr>
    <w:rPr>
      <w:rFonts w:ascii="Cambria" w:eastAsia="MS Gothic" w:hAnsi="Cambria" w:cs="Times New Roman"/>
      <w:bCs/>
      <w:i/>
      <w:iCs/>
      <w:color w:val="404040"/>
      <w:sz w:val="20"/>
      <w:szCs w:val="20"/>
    </w:rPr>
  </w:style>
  <w:style w:type="numbering" w:customStyle="1" w:styleId="NoList1">
    <w:name w:val="No List1"/>
    <w:next w:val="NoList"/>
    <w:uiPriority w:val="99"/>
    <w:semiHidden/>
    <w:unhideWhenUsed/>
    <w:rsid w:val="00450DD2"/>
  </w:style>
  <w:style w:type="paragraph" w:customStyle="1" w:styleId="BasicParagraph">
    <w:name w:val="[Basic Paragraph]"/>
    <w:basedOn w:val="Normal"/>
    <w:uiPriority w:val="99"/>
    <w:rsid w:val="00450DD2"/>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450DD2"/>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450DD2"/>
  </w:style>
  <w:style w:type="paragraph" w:styleId="BalloonText">
    <w:name w:val="Balloon Text"/>
    <w:basedOn w:val="Normal"/>
    <w:link w:val="BalloonTextChar"/>
    <w:uiPriority w:val="99"/>
    <w:semiHidden/>
    <w:unhideWhenUsed/>
    <w:rsid w:val="00450DD2"/>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450DD2"/>
    <w:rPr>
      <w:rFonts w:ascii="Tahoma" w:eastAsia="Times New Roman" w:hAnsi="Tahoma" w:cs="Tahoma"/>
      <w:bCs/>
      <w:sz w:val="16"/>
      <w:szCs w:val="16"/>
    </w:rPr>
  </w:style>
  <w:style w:type="paragraph" w:styleId="TOC1">
    <w:name w:val="toc 1"/>
    <w:basedOn w:val="Normal"/>
    <w:next w:val="Normal"/>
    <w:autoRedefine/>
    <w:uiPriority w:val="39"/>
    <w:unhideWhenUsed/>
    <w:rsid w:val="00450DD2"/>
    <w:pPr>
      <w:spacing w:before="120" w:after="0"/>
    </w:pPr>
    <w:rPr>
      <w:rFonts w:cstheme="minorHAnsi"/>
      <w:b/>
      <w:bCs/>
      <w:i/>
      <w:iCs/>
      <w:sz w:val="24"/>
      <w:szCs w:val="24"/>
    </w:rPr>
  </w:style>
  <w:style w:type="paragraph" w:customStyle="1" w:styleId="Title1">
    <w:name w:val="Title1"/>
    <w:basedOn w:val="Normal"/>
    <w:next w:val="Normal"/>
    <w:uiPriority w:val="10"/>
    <w:qFormat/>
    <w:rsid w:val="00450DD2"/>
    <w:pPr>
      <w:spacing w:after="0" w:line="240" w:lineRule="auto"/>
    </w:pPr>
    <w:rPr>
      <w:rFonts w:ascii="Arial" w:eastAsia="Times New Roman" w:hAnsi="Arial" w:cs="Times New Roman"/>
      <w:b/>
      <w:bCs/>
      <w:color w:val="0072C6"/>
      <w:sz w:val="80"/>
      <w:szCs w:val="80"/>
    </w:rPr>
  </w:style>
  <w:style w:type="character" w:customStyle="1" w:styleId="TitleChar">
    <w:name w:val="Title Char"/>
    <w:basedOn w:val="DefaultParagraphFont"/>
    <w:link w:val="Title"/>
    <w:uiPriority w:val="10"/>
    <w:rsid w:val="00450DD2"/>
    <w:rPr>
      <w:rFonts w:eastAsia="Times New Roman"/>
      <w:b/>
      <w:bCs/>
      <w:color w:val="0072C6"/>
      <w:sz w:val="80"/>
      <w:szCs w:val="80"/>
      <w:lang w:eastAsia="en-US"/>
    </w:rPr>
  </w:style>
  <w:style w:type="character" w:customStyle="1" w:styleId="Heading4Char">
    <w:name w:val="Heading 4 Char"/>
    <w:basedOn w:val="DefaultParagraphFont"/>
    <w:link w:val="Heading4"/>
    <w:uiPriority w:val="9"/>
    <w:semiHidden/>
    <w:rsid w:val="00450DD2"/>
    <w:rPr>
      <w:rFonts w:ascii="Cambria" w:eastAsia="MS Gothic" w:hAnsi="Cambria" w:cs="Times New Roman"/>
      <w:b/>
      <w:i/>
      <w:iCs/>
      <w:color w:val="0072C6"/>
      <w:szCs w:val="26"/>
      <w:lang w:eastAsia="en-US"/>
    </w:rPr>
  </w:style>
  <w:style w:type="character" w:customStyle="1" w:styleId="Heading5Char">
    <w:name w:val="Heading 5 Char"/>
    <w:basedOn w:val="DefaultParagraphFont"/>
    <w:link w:val="Heading5"/>
    <w:uiPriority w:val="9"/>
    <w:semiHidden/>
    <w:rsid w:val="00450DD2"/>
    <w:rPr>
      <w:rFonts w:ascii="Cambria" w:eastAsia="MS Gothic" w:hAnsi="Cambria" w:cs="Times New Roman"/>
      <w:bCs/>
      <w:color w:val="003862"/>
      <w:szCs w:val="26"/>
      <w:lang w:eastAsia="en-US"/>
    </w:rPr>
  </w:style>
  <w:style w:type="paragraph" w:styleId="TOC3">
    <w:name w:val="toc 3"/>
    <w:basedOn w:val="Normal"/>
    <w:next w:val="Normal"/>
    <w:autoRedefine/>
    <w:uiPriority w:val="39"/>
    <w:unhideWhenUsed/>
    <w:rsid w:val="00450DD2"/>
    <w:pPr>
      <w:spacing w:after="0"/>
      <w:ind w:left="440"/>
    </w:pPr>
    <w:rPr>
      <w:rFonts w:cstheme="minorHAnsi"/>
      <w:sz w:val="20"/>
      <w:szCs w:val="20"/>
    </w:rPr>
  </w:style>
  <w:style w:type="character" w:styleId="Hyperlink">
    <w:name w:val="Hyperlink"/>
    <w:uiPriority w:val="99"/>
    <w:unhideWhenUsed/>
    <w:rsid w:val="00450DD2"/>
    <w:rPr>
      <w:color w:val="0000FF"/>
      <w:u w:val="single"/>
    </w:rPr>
  </w:style>
  <w:style w:type="paragraph" w:styleId="TOCHeading">
    <w:name w:val="TOC Heading"/>
    <w:basedOn w:val="Heading1"/>
    <w:next w:val="Normal"/>
    <w:uiPriority w:val="39"/>
    <w:unhideWhenUsed/>
    <w:qFormat/>
    <w:rsid w:val="00450DD2"/>
    <w:pPr>
      <w:keepLines/>
      <w:spacing w:before="480" w:line="276" w:lineRule="auto"/>
      <w:outlineLvl w:val="9"/>
    </w:pPr>
    <w:rPr>
      <w:color w:val="365F91"/>
      <w:kern w:val="0"/>
      <w:szCs w:val="28"/>
      <w:lang w:val="en-US" w:eastAsia="ja-JP"/>
    </w:rPr>
  </w:style>
  <w:style w:type="numbering" w:styleId="111111">
    <w:name w:val="Outline List 2"/>
    <w:basedOn w:val="NoList"/>
    <w:uiPriority w:val="99"/>
    <w:semiHidden/>
    <w:unhideWhenUsed/>
    <w:rsid w:val="00450DD2"/>
    <w:pPr>
      <w:numPr>
        <w:numId w:val="1"/>
      </w:numPr>
    </w:pPr>
  </w:style>
  <w:style w:type="paragraph" w:styleId="TOC2">
    <w:name w:val="toc 2"/>
    <w:basedOn w:val="Normal"/>
    <w:next w:val="Normal"/>
    <w:autoRedefine/>
    <w:uiPriority w:val="39"/>
    <w:unhideWhenUsed/>
    <w:rsid w:val="00450DD2"/>
    <w:pPr>
      <w:spacing w:before="120" w:after="0"/>
      <w:ind w:left="220"/>
    </w:pPr>
    <w:rPr>
      <w:rFonts w:cstheme="minorHAnsi"/>
      <w:b/>
      <w:bCs/>
    </w:rPr>
  </w:style>
  <w:style w:type="paragraph" w:customStyle="1" w:styleId="DHBodycopy">
    <w:name w:val="DH Body copy"/>
    <w:basedOn w:val="Normal"/>
    <w:uiPriority w:val="1"/>
    <w:rsid w:val="00450DD2"/>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450DD2"/>
    <w:pPr>
      <w:spacing w:after="0" w:line="660" w:lineRule="exact"/>
    </w:pPr>
    <w:rPr>
      <w:rFonts w:ascii="Arial" w:eastAsia="MS Mincho" w:hAnsi="Arial" w:cs="Arial"/>
      <w:b/>
      <w:bCs/>
      <w:sz w:val="24"/>
      <w:szCs w:val="20"/>
    </w:rPr>
  </w:style>
  <w:style w:type="table" w:styleId="TableGrid">
    <w:name w:val="Table Grid"/>
    <w:basedOn w:val="TableNormal"/>
    <w:uiPriority w:val="59"/>
    <w:rsid w:val="00450DD2"/>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450DD2"/>
    <w:rPr>
      <w:color w:val="0072C6"/>
      <w:u w:val="single"/>
    </w:rPr>
  </w:style>
  <w:style w:type="paragraph" w:styleId="ListParagraph">
    <w:name w:val="List Paragraph"/>
    <w:basedOn w:val="Normal"/>
    <w:link w:val="ListParagraphChar"/>
    <w:uiPriority w:val="34"/>
    <w:qFormat/>
    <w:rsid w:val="00450DD2"/>
    <w:pPr>
      <w:spacing w:after="0" w:line="240" w:lineRule="auto"/>
      <w:ind w:left="720"/>
      <w:contextualSpacing/>
    </w:pPr>
    <w:rPr>
      <w:rFonts w:ascii="Arial" w:eastAsia="Times New Roman" w:hAnsi="Arial" w:cs="Times New Roman"/>
      <w:bCs/>
      <w:sz w:val="24"/>
      <w:szCs w:val="26"/>
    </w:rPr>
  </w:style>
  <w:style w:type="character" w:customStyle="1" w:styleId="Heading6Char">
    <w:name w:val="Heading 6 Char"/>
    <w:basedOn w:val="DefaultParagraphFont"/>
    <w:link w:val="Heading6"/>
    <w:uiPriority w:val="9"/>
    <w:semiHidden/>
    <w:rsid w:val="00450DD2"/>
    <w:rPr>
      <w:rFonts w:ascii="Cambria" w:eastAsia="MS Gothic" w:hAnsi="Cambria" w:cs="Times New Roman"/>
      <w:bCs/>
      <w:i/>
      <w:iCs/>
      <w:color w:val="003862"/>
      <w:szCs w:val="26"/>
      <w:lang w:eastAsia="en-US"/>
    </w:rPr>
  </w:style>
  <w:style w:type="character" w:customStyle="1" w:styleId="Heading7Char">
    <w:name w:val="Heading 7 Char"/>
    <w:basedOn w:val="DefaultParagraphFont"/>
    <w:link w:val="Heading7"/>
    <w:uiPriority w:val="9"/>
    <w:semiHidden/>
    <w:rsid w:val="00450DD2"/>
    <w:rPr>
      <w:rFonts w:ascii="Cambria" w:eastAsia="MS Gothic" w:hAnsi="Cambria" w:cs="Times New Roman"/>
      <w:bCs/>
      <w:i/>
      <w:iCs/>
      <w:color w:val="404040"/>
      <w:szCs w:val="26"/>
      <w:lang w:eastAsia="en-US"/>
    </w:rPr>
  </w:style>
  <w:style w:type="character" w:customStyle="1" w:styleId="Heading8Char">
    <w:name w:val="Heading 8 Char"/>
    <w:basedOn w:val="DefaultParagraphFont"/>
    <w:link w:val="Heading8"/>
    <w:uiPriority w:val="9"/>
    <w:semiHidden/>
    <w:rsid w:val="00450DD2"/>
    <w:rPr>
      <w:rFonts w:ascii="Cambria" w:eastAsia="MS Gothic" w:hAnsi="Cambria" w:cs="Times New Roman"/>
      <w:bCs/>
      <w:color w:val="404040"/>
      <w:sz w:val="20"/>
      <w:szCs w:val="20"/>
      <w:lang w:eastAsia="en-US"/>
    </w:rPr>
  </w:style>
  <w:style w:type="character" w:customStyle="1" w:styleId="Heading9Char">
    <w:name w:val="Heading 9 Char"/>
    <w:basedOn w:val="DefaultParagraphFont"/>
    <w:link w:val="Heading9"/>
    <w:uiPriority w:val="9"/>
    <w:semiHidden/>
    <w:rsid w:val="00450DD2"/>
    <w:rPr>
      <w:rFonts w:ascii="Cambria" w:eastAsia="MS Gothic" w:hAnsi="Cambria" w:cs="Times New Roman"/>
      <w:bCs/>
      <w:i/>
      <w:iCs/>
      <w:color w:val="404040"/>
      <w:sz w:val="20"/>
      <w:szCs w:val="20"/>
      <w:lang w:eastAsia="en-US"/>
    </w:rPr>
  </w:style>
  <w:style w:type="character" w:styleId="PlaceholderText">
    <w:name w:val="Placeholder Text"/>
    <w:basedOn w:val="DefaultParagraphFont"/>
    <w:uiPriority w:val="99"/>
    <w:unhideWhenUsed/>
    <w:rsid w:val="00450DD2"/>
    <w:rPr>
      <w:color w:val="808080"/>
    </w:rPr>
  </w:style>
  <w:style w:type="character" w:styleId="CommentReference">
    <w:name w:val="annotation reference"/>
    <w:basedOn w:val="DefaultParagraphFont"/>
    <w:uiPriority w:val="99"/>
    <w:semiHidden/>
    <w:unhideWhenUsed/>
    <w:rsid w:val="00450DD2"/>
    <w:rPr>
      <w:sz w:val="16"/>
      <w:szCs w:val="16"/>
    </w:rPr>
  </w:style>
  <w:style w:type="paragraph" w:styleId="CommentText">
    <w:name w:val="annotation text"/>
    <w:basedOn w:val="Normal"/>
    <w:link w:val="CommentTextChar"/>
    <w:uiPriority w:val="99"/>
    <w:unhideWhenUsed/>
    <w:rsid w:val="00450DD2"/>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450DD2"/>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450DD2"/>
    <w:rPr>
      <w:b/>
    </w:rPr>
  </w:style>
  <w:style w:type="character" w:customStyle="1" w:styleId="CommentSubjectChar">
    <w:name w:val="Comment Subject Char"/>
    <w:basedOn w:val="CommentTextChar"/>
    <w:link w:val="CommentSubject"/>
    <w:uiPriority w:val="99"/>
    <w:semiHidden/>
    <w:rsid w:val="00450DD2"/>
    <w:rPr>
      <w:rFonts w:ascii="Arial" w:eastAsia="Times New Roman" w:hAnsi="Arial" w:cs="Times New Roman"/>
      <w:b/>
      <w:bCs/>
      <w:sz w:val="20"/>
      <w:szCs w:val="20"/>
    </w:rPr>
  </w:style>
  <w:style w:type="paragraph" w:customStyle="1" w:styleId="Default">
    <w:name w:val="Default"/>
    <w:rsid w:val="00450DD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50DD2"/>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450DD2"/>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450DD2"/>
    <w:rPr>
      <w:vertAlign w:val="superscript"/>
    </w:rPr>
  </w:style>
  <w:style w:type="table" w:customStyle="1" w:styleId="TableGrid1">
    <w:name w:val="Table Grid1"/>
    <w:basedOn w:val="TableNormal"/>
    <w:next w:val="TableGrid"/>
    <w:uiPriority w:val="59"/>
    <w:rsid w:val="00450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50DD2"/>
    <w:pPr>
      <w:spacing w:after="0" w:line="240" w:lineRule="auto"/>
    </w:pPr>
    <w:rPr>
      <w:rFonts w:ascii="Arial" w:eastAsia="Times New Roman" w:hAnsi="Arial" w:cs="Times New Roman"/>
      <w:bCs/>
      <w:sz w:val="20"/>
      <w:szCs w:val="20"/>
    </w:rPr>
  </w:style>
  <w:style w:type="character" w:customStyle="1" w:styleId="EndnoteTextChar">
    <w:name w:val="Endnote Text Char"/>
    <w:basedOn w:val="DefaultParagraphFont"/>
    <w:link w:val="EndnoteText"/>
    <w:uiPriority w:val="99"/>
    <w:rsid w:val="00450DD2"/>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450DD2"/>
    <w:rPr>
      <w:vertAlign w:val="superscript"/>
    </w:rPr>
  </w:style>
  <w:style w:type="table" w:customStyle="1" w:styleId="TableGrid2">
    <w:name w:val="Table Grid2"/>
    <w:basedOn w:val="TableNormal"/>
    <w:next w:val="TableGrid"/>
    <w:uiPriority w:val="59"/>
    <w:rsid w:val="00450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50DD2"/>
    <w:rPr>
      <w:rFonts w:ascii="Arial" w:eastAsia="Times New Roman" w:hAnsi="Arial" w:cs="Times New Roman"/>
      <w:bCs/>
      <w:sz w:val="24"/>
      <w:szCs w:val="26"/>
    </w:rPr>
  </w:style>
  <w:style w:type="paragraph" w:customStyle="1" w:styleId="TOC41">
    <w:name w:val="TOC 41"/>
    <w:basedOn w:val="Normal"/>
    <w:next w:val="Normal"/>
    <w:autoRedefine/>
    <w:uiPriority w:val="39"/>
    <w:unhideWhenUsed/>
    <w:rsid w:val="00450DD2"/>
    <w:pPr>
      <w:spacing w:after="100"/>
      <w:ind w:left="660"/>
    </w:pPr>
    <w:rPr>
      <w:rFonts w:eastAsia="MS Mincho"/>
      <w:lang w:eastAsia="en-GB"/>
    </w:rPr>
  </w:style>
  <w:style w:type="paragraph" w:customStyle="1" w:styleId="TOC51">
    <w:name w:val="TOC 51"/>
    <w:basedOn w:val="Normal"/>
    <w:next w:val="Normal"/>
    <w:autoRedefine/>
    <w:uiPriority w:val="39"/>
    <w:unhideWhenUsed/>
    <w:rsid w:val="00450DD2"/>
    <w:pPr>
      <w:spacing w:after="100"/>
      <w:ind w:left="880"/>
    </w:pPr>
    <w:rPr>
      <w:rFonts w:eastAsia="MS Mincho"/>
      <w:lang w:eastAsia="en-GB"/>
    </w:rPr>
  </w:style>
  <w:style w:type="paragraph" w:customStyle="1" w:styleId="TOC61">
    <w:name w:val="TOC 61"/>
    <w:basedOn w:val="Normal"/>
    <w:next w:val="Normal"/>
    <w:autoRedefine/>
    <w:uiPriority w:val="39"/>
    <w:unhideWhenUsed/>
    <w:rsid w:val="00450DD2"/>
    <w:pPr>
      <w:spacing w:after="100"/>
      <w:ind w:left="1100"/>
    </w:pPr>
    <w:rPr>
      <w:rFonts w:eastAsia="MS Mincho"/>
      <w:lang w:eastAsia="en-GB"/>
    </w:rPr>
  </w:style>
  <w:style w:type="paragraph" w:customStyle="1" w:styleId="TOC71">
    <w:name w:val="TOC 71"/>
    <w:basedOn w:val="Normal"/>
    <w:next w:val="Normal"/>
    <w:autoRedefine/>
    <w:uiPriority w:val="39"/>
    <w:unhideWhenUsed/>
    <w:rsid w:val="00450DD2"/>
    <w:pPr>
      <w:spacing w:after="100"/>
      <w:ind w:left="1320"/>
    </w:pPr>
    <w:rPr>
      <w:rFonts w:eastAsia="MS Mincho"/>
      <w:lang w:eastAsia="en-GB"/>
    </w:rPr>
  </w:style>
  <w:style w:type="paragraph" w:customStyle="1" w:styleId="TOC81">
    <w:name w:val="TOC 81"/>
    <w:basedOn w:val="Normal"/>
    <w:next w:val="Normal"/>
    <w:autoRedefine/>
    <w:uiPriority w:val="39"/>
    <w:unhideWhenUsed/>
    <w:rsid w:val="00450DD2"/>
    <w:pPr>
      <w:spacing w:after="100"/>
      <w:ind w:left="1540"/>
    </w:pPr>
    <w:rPr>
      <w:rFonts w:eastAsia="MS Mincho"/>
      <w:lang w:eastAsia="en-GB"/>
    </w:rPr>
  </w:style>
  <w:style w:type="paragraph" w:customStyle="1" w:styleId="TOC91">
    <w:name w:val="TOC 91"/>
    <w:basedOn w:val="Normal"/>
    <w:next w:val="Normal"/>
    <w:autoRedefine/>
    <w:uiPriority w:val="39"/>
    <w:unhideWhenUsed/>
    <w:rsid w:val="00450DD2"/>
    <w:pPr>
      <w:spacing w:after="100"/>
      <w:ind w:left="1760"/>
    </w:pPr>
    <w:rPr>
      <w:rFonts w:eastAsia="MS Mincho"/>
      <w:lang w:eastAsia="en-GB"/>
    </w:rPr>
  </w:style>
  <w:style w:type="paragraph" w:styleId="Title">
    <w:name w:val="Title"/>
    <w:basedOn w:val="Normal"/>
    <w:next w:val="Normal"/>
    <w:link w:val="TitleChar"/>
    <w:uiPriority w:val="10"/>
    <w:qFormat/>
    <w:rsid w:val="00450DD2"/>
    <w:pPr>
      <w:pBdr>
        <w:bottom w:val="single" w:sz="8" w:space="4" w:color="4F81BD" w:themeColor="accent1"/>
      </w:pBdr>
      <w:spacing w:after="300" w:line="240" w:lineRule="auto"/>
      <w:contextualSpacing/>
    </w:pPr>
    <w:rPr>
      <w:rFonts w:eastAsia="Times New Roman"/>
      <w:b/>
      <w:bCs/>
      <w:color w:val="0072C6"/>
      <w:sz w:val="80"/>
      <w:szCs w:val="80"/>
    </w:rPr>
  </w:style>
  <w:style w:type="character" w:customStyle="1" w:styleId="TitleChar1">
    <w:name w:val="Title Char1"/>
    <w:basedOn w:val="DefaultParagraphFont"/>
    <w:uiPriority w:val="10"/>
    <w:rsid w:val="00450DD2"/>
    <w:rPr>
      <w:rFonts w:asciiTheme="majorHAnsi" w:eastAsiaTheme="majorEastAsia" w:hAnsiTheme="majorHAnsi" w:cstheme="majorBidi"/>
      <w:color w:val="17365D" w:themeColor="text2" w:themeShade="BF"/>
      <w:spacing w:val="5"/>
      <w:kern w:val="28"/>
      <w:sz w:val="52"/>
      <w:szCs w:val="52"/>
    </w:rPr>
  </w:style>
  <w:style w:type="character" w:customStyle="1" w:styleId="Heading4Char1">
    <w:name w:val="Heading 4 Char1"/>
    <w:basedOn w:val="DefaultParagraphFont"/>
    <w:uiPriority w:val="9"/>
    <w:semiHidden/>
    <w:rsid w:val="00450DD2"/>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450DD2"/>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450DD2"/>
    <w:rPr>
      <w:color w:val="800080" w:themeColor="followedHyperlink"/>
      <w:u w:val="single"/>
    </w:rPr>
  </w:style>
  <w:style w:type="character" w:customStyle="1" w:styleId="Heading6Char1">
    <w:name w:val="Heading 6 Char1"/>
    <w:basedOn w:val="DefaultParagraphFont"/>
    <w:uiPriority w:val="9"/>
    <w:semiHidden/>
    <w:rsid w:val="00450DD2"/>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450DD2"/>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450DD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50DD2"/>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915CA7"/>
    <w:pPr>
      <w:spacing w:after="0"/>
      <w:ind w:left="660"/>
    </w:pPr>
    <w:rPr>
      <w:rFonts w:cstheme="minorHAnsi"/>
      <w:sz w:val="20"/>
      <w:szCs w:val="20"/>
    </w:rPr>
  </w:style>
  <w:style w:type="paragraph" w:styleId="TOC5">
    <w:name w:val="toc 5"/>
    <w:basedOn w:val="Normal"/>
    <w:next w:val="Normal"/>
    <w:autoRedefine/>
    <w:uiPriority w:val="39"/>
    <w:unhideWhenUsed/>
    <w:rsid w:val="00915CA7"/>
    <w:pPr>
      <w:spacing w:after="0"/>
      <w:ind w:left="880"/>
    </w:pPr>
    <w:rPr>
      <w:rFonts w:cstheme="minorHAnsi"/>
      <w:sz w:val="20"/>
      <w:szCs w:val="20"/>
    </w:rPr>
  </w:style>
  <w:style w:type="paragraph" w:styleId="TOC6">
    <w:name w:val="toc 6"/>
    <w:basedOn w:val="Normal"/>
    <w:next w:val="Normal"/>
    <w:autoRedefine/>
    <w:uiPriority w:val="39"/>
    <w:unhideWhenUsed/>
    <w:rsid w:val="00915CA7"/>
    <w:pPr>
      <w:spacing w:after="0"/>
      <w:ind w:left="1100"/>
    </w:pPr>
    <w:rPr>
      <w:rFonts w:cstheme="minorHAnsi"/>
      <w:sz w:val="20"/>
      <w:szCs w:val="20"/>
    </w:rPr>
  </w:style>
  <w:style w:type="paragraph" w:styleId="TOC7">
    <w:name w:val="toc 7"/>
    <w:basedOn w:val="Normal"/>
    <w:next w:val="Normal"/>
    <w:autoRedefine/>
    <w:uiPriority w:val="39"/>
    <w:unhideWhenUsed/>
    <w:rsid w:val="00915CA7"/>
    <w:pPr>
      <w:spacing w:after="0"/>
      <w:ind w:left="1320"/>
    </w:pPr>
    <w:rPr>
      <w:rFonts w:cstheme="minorHAnsi"/>
      <w:sz w:val="20"/>
      <w:szCs w:val="20"/>
    </w:rPr>
  </w:style>
  <w:style w:type="paragraph" w:styleId="TOC8">
    <w:name w:val="toc 8"/>
    <w:basedOn w:val="Normal"/>
    <w:next w:val="Normal"/>
    <w:autoRedefine/>
    <w:uiPriority w:val="39"/>
    <w:unhideWhenUsed/>
    <w:rsid w:val="00915CA7"/>
    <w:pPr>
      <w:spacing w:after="0"/>
      <w:ind w:left="1540"/>
    </w:pPr>
    <w:rPr>
      <w:rFonts w:cstheme="minorHAnsi"/>
      <w:sz w:val="20"/>
      <w:szCs w:val="20"/>
    </w:rPr>
  </w:style>
  <w:style w:type="paragraph" w:styleId="TOC9">
    <w:name w:val="toc 9"/>
    <w:basedOn w:val="Normal"/>
    <w:next w:val="Normal"/>
    <w:autoRedefine/>
    <w:uiPriority w:val="39"/>
    <w:unhideWhenUsed/>
    <w:rsid w:val="00915CA7"/>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15/06/trans-uec.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wp-content/uploads/2015/03/breaking-the-cycle-safer-flow.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sa.taylor@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BEFC-ACB4-43B2-87D0-91F814E4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Booth, James</cp:lastModifiedBy>
  <cp:revision>6</cp:revision>
  <dcterms:created xsi:type="dcterms:W3CDTF">2016-03-21T10:53:00Z</dcterms:created>
  <dcterms:modified xsi:type="dcterms:W3CDTF">2016-03-21T12:28:00Z</dcterms:modified>
</cp:coreProperties>
</file>