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814" w:rsidRDefault="008D3814" w:rsidP="008D3814">
      <w:pPr>
        <w:spacing w:after="0" w:line="240" w:lineRule="auto"/>
        <w:ind w:left="7920"/>
        <w:rPr>
          <w:rFonts w:ascii="Arial" w:eastAsia="Times New Roman" w:hAnsi="Arial" w:cs="Times New Roman"/>
          <w:bCs/>
          <w:sz w:val="24"/>
          <w:szCs w:val="26"/>
        </w:rPr>
      </w:pPr>
      <w:r>
        <w:rPr>
          <w:rFonts w:ascii="Arial" w:eastAsia="Times New Roman" w:hAnsi="Arial" w:cs="Times New Roman"/>
          <w:bCs/>
          <w:noProof/>
          <w:sz w:val="24"/>
          <w:szCs w:val="26"/>
          <w:lang w:eastAsia="en-GB"/>
        </w:rPr>
        <w:drawing>
          <wp:inline distT="0" distB="0" distL="0" distR="0" wp14:anchorId="34841DF8" wp14:editId="4B7E854A">
            <wp:extent cx="1139825" cy="713105"/>
            <wp:effectExtent l="0" t="0" r="3175" b="0"/>
            <wp:docPr id="4" name="Picture 4" descr="Logo"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9825" cy="713105"/>
                    </a:xfrm>
                    <a:prstGeom prst="rect">
                      <a:avLst/>
                    </a:prstGeom>
                    <a:noFill/>
                  </pic:spPr>
                </pic:pic>
              </a:graphicData>
            </a:graphic>
          </wp:inline>
        </w:drawing>
      </w:r>
      <w:r w:rsidRPr="004D18AC">
        <w:rPr>
          <w:rFonts w:ascii="Arial" w:eastAsia="Times New Roman" w:hAnsi="Arial" w:cs="Times New Roman"/>
          <w:b/>
          <w:bCs/>
          <w:noProof/>
          <w:color w:val="0072C6"/>
          <w:sz w:val="180"/>
          <w:szCs w:val="80"/>
          <w:lang w:eastAsia="en-GB"/>
        </w:rPr>
        <w:drawing>
          <wp:anchor distT="0" distB="0" distL="114300" distR="114300" simplePos="0" relativeHeight="251663360" behindDoc="0" locked="0" layoutInCell="1" allowOverlap="1" wp14:anchorId="4FCC4BB0" wp14:editId="6B8076AD">
            <wp:simplePos x="0" y="0"/>
            <wp:positionH relativeFrom="page">
              <wp:posOffset>8958580</wp:posOffset>
            </wp:positionH>
            <wp:positionV relativeFrom="page">
              <wp:posOffset>977265</wp:posOffset>
            </wp:positionV>
            <wp:extent cx="1139825" cy="709930"/>
            <wp:effectExtent l="0" t="0" r="3175" b="0"/>
            <wp:wrapThrough wrapText="bothSides">
              <wp:wrapPolygon edited="0">
                <wp:start x="3610" y="0"/>
                <wp:lineTo x="3610" y="9274"/>
                <wp:lineTo x="0" y="12751"/>
                <wp:lineTo x="0" y="19707"/>
                <wp:lineTo x="5415" y="20866"/>
                <wp:lineTo x="9025" y="20866"/>
                <wp:lineTo x="21299" y="19707"/>
                <wp:lineTo x="21299" y="0"/>
                <wp:lineTo x="3610" y="0"/>
              </wp:wrapPolygon>
            </wp:wrapThrough>
            <wp:docPr id="3" name="Picture 23"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9825" cy="709930"/>
                    </a:xfrm>
                    <a:prstGeom prst="rect">
                      <a:avLst/>
                    </a:prstGeom>
                    <a:noFill/>
                  </pic:spPr>
                </pic:pic>
              </a:graphicData>
            </a:graphic>
            <wp14:sizeRelH relativeFrom="page">
              <wp14:pctWidth>0</wp14:pctWidth>
            </wp14:sizeRelH>
            <wp14:sizeRelV relativeFrom="page">
              <wp14:pctHeight>0</wp14:pctHeight>
            </wp14:sizeRelV>
          </wp:anchor>
        </w:drawing>
      </w:r>
      <w:r w:rsidRPr="004D18AC">
        <w:rPr>
          <w:rFonts w:ascii="Arial" w:eastAsia="Times New Roman" w:hAnsi="Arial" w:cs="Times New Roman"/>
          <w:b/>
          <w:bCs/>
          <w:noProof/>
          <w:color w:val="0072C6"/>
          <w:sz w:val="180"/>
          <w:szCs w:val="80"/>
          <w:lang w:eastAsia="en-GB"/>
        </w:rPr>
        <w:drawing>
          <wp:anchor distT="0" distB="0" distL="114300" distR="114300" simplePos="0" relativeHeight="251661312" behindDoc="0" locked="0" layoutInCell="1" allowOverlap="1" wp14:anchorId="3A55BF96" wp14:editId="06A3B756">
            <wp:simplePos x="0" y="0"/>
            <wp:positionH relativeFrom="page">
              <wp:posOffset>8806180</wp:posOffset>
            </wp:positionH>
            <wp:positionV relativeFrom="page">
              <wp:posOffset>824865</wp:posOffset>
            </wp:positionV>
            <wp:extent cx="1139825" cy="709930"/>
            <wp:effectExtent l="0" t="0" r="3175" b="0"/>
            <wp:wrapThrough wrapText="bothSides">
              <wp:wrapPolygon edited="0">
                <wp:start x="3610" y="0"/>
                <wp:lineTo x="3610" y="9274"/>
                <wp:lineTo x="0" y="12751"/>
                <wp:lineTo x="0" y="19707"/>
                <wp:lineTo x="5415" y="20866"/>
                <wp:lineTo x="9025" y="20866"/>
                <wp:lineTo x="21299" y="19707"/>
                <wp:lineTo x="21299" y="0"/>
                <wp:lineTo x="3610" y="0"/>
              </wp:wrapPolygon>
            </wp:wrapThrough>
            <wp:docPr id="2" name="Picture 23"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9825" cy="709930"/>
                    </a:xfrm>
                    <a:prstGeom prst="rect">
                      <a:avLst/>
                    </a:prstGeom>
                    <a:noFill/>
                  </pic:spPr>
                </pic:pic>
              </a:graphicData>
            </a:graphic>
            <wp14:sizeRelH relativeFrom="page">
              <wp14:pctWidth>0</wp14:pctWidth>
            </wp14:sizeRelH>
            <wp14:sizeRelV relativeFrom="page">
              <wp14:pctHeight>0</wp14:pctHeight>
            </wp14:sizeRelV>
          </wp:anchor>
        </w:drawing>
      </w:r>
    </w:p>
    <w:p w:rsidR="008D3814" w:rsidRDefault="008D3814" w:rsidP="008D3814">
      <w:pPr>
        <w:spacing w:after="0" w:line="240" w:lineRule="auto"/>
        <w:ind w:left="7920"/>
        <w:rPr>
          <w:rFonts w:ascii="Arial" w:eastAsia="Times New Roman" w:hAnsi="Arial" w:cs="Times New Roman"/>
          <w:bCs/>
          <w:sz w:val="24"/>
          <w:szCs w:val="26"/>
        </w:rPr>
      </w:pPr>
      <w:r w:rsidRPr="004D18AC">
        <w:rPr>
          <w:rFonts w:ascii="Arial" w:eastAsia="Times New Roman" w:hAnsi="Arial" w:cs="Times New Roman"/>
          <w:b/>
          <w:bCs/>
          <w:noProof/>
          <w:color w:val="0072C6"/>
          <w:sz w:val="180"/>
          <w:szCs w:val="80"/>
          <w:lang w:eastAsia="en-GB"/>
        </w:rPr>
        <w:drawing>
          <wp:anchor distT="0" distB="0" distL="114300" distR="114300" simplePos="0" relativeHeight="251659264" behindDoc="0" locked="0" layoutInCell="1" allowOverlap="1" wp14:anchorId="77ED91BE" wp14:editId="6FFD29AB">
            <wp:simplePos x="0" y="0"/>
            <wp:positionH relativeFrom="page">
              <wp:posOffset>8653780</wp:posOffset>
            </wp:positionH>
            <wp:positionV relativeFrom="page">
              <wp:posOffset>672465</wp:posOffset>
            </wp:positionV>
            <wp:extent cx="1139825" cy="709930"/>
            <wp:effectExtent l="0" t="0" r="3175" b="0"/>
            <wp:wrapThrough wrapText="bothSides">
              <wp:wrapPolygon edited="0">
                <wp:start x="3610" y="0"/>
                <wp:lineTo x="3610" y="9274"/>
                <wp:lineTo x="0" y="12751"/>
                <wp:lineTo x="0" y="19707"/>
                <wp:lineTo x="5415" y="20866"/>
                <wp:lineTo x="9025" y="20866"/>
                <wp:lineTo x="21299" y="19707"/>
                <wp:lineTo x="21299" y="0"/>
                <wp:lineTo x="3610" y="0"/>
              </wp:wrapPolygon>
            </wp:wrapThrough>
            <wp:docPr id="1" name="Picture 23"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9825" cy="709930"/>
                    </a:xfrm>
                    <a:prstGeom prst="rect">
                      <a:avLst/>
                    </a:prstGeom>
                    <a:noFill/>
                  </pic:spPr>
                </pic:pic>
              </a:graphicData>
            </a:graphic>
            <wp14:sizeRelH relativeFrom="page">
              <wp14:pctWidth>0</wp14:pctWidth>
            </wp14:sizeRelH>
            <wp14:sizeRelV relativeFrom="page">
              <wp14:pctHeight>0</wp14:pctHeight>
            </wp14:sizeRelV>
          </wp:anchor>
        </w:drawing>
      </w:r>
    </w:p>
    <w:p w:rsidR="00710C7C" w:rsidRPr="00F5728C" w:rsidRDefault="00710C7C" w:rsidP="0018795D">
      <w:pPr>
        <w:spacing w:after="0" w:line="240" w:lineRule="auto"/>
        <w:outlineLvl w:val="0"/>
        <w:rPr>
          <w:rFonts w:ascii="Arial" w:eastAsia="Times New Roman" w:hAnsi="Arial" w:cs="Arial"/>
          <w:b/>
          <w:bCs/>
          <w:color w:val="0072C6"/>
          <w:kern w:val="32"/>
          <w:sz w:val="96"/>
          <w:szCs w:val="96"/>
        </w:rPr>
      </w:pPr>
      <w:bookmarkStart w:id="0" w:name="_Toc412646261"/>
      <w:r w:rsidRPr="00F5728C">
        <w:rPr>
          <w:rFonts w:ascii="Arial" w:eastAsia="Times New Roman" w:hAnsi="Arial" w:cs="Arial"/>
          <w:b/>
          <w:bCs/>
          <w:color w:val="0070C0"/>
          <w:kern w:val="32"/>
          <w:sz w:val="96"/>
          <w:szCs w:val="96"/>
        </w:rPr>
        <w:t>CQUIN</w:t>
      </w:r>
      <w:r w:rsidR="0018795D" w:rsidRPr="00F5728C">
        <w:rPr>
          <w:rFonts w:ascii="Arial" w:eastAsia="Times New Roman" w:hAnsi="Arial" w:cs="Arial"/>
          <w:b/>
          <w:bCs/>
          <w:color w:val="0072C6"/>
          <w:kern w:val="32"/>
          <w:sz w:val="96"/>
          <w:szCs w:val="96"/>
        </w:rPr>
        <w:t xml:space="preserve"> V</w:t>
      </w:r>
      <w:r w:rsidRPr="00F5728C">
        <w:rPr>
          <w:rFonts w:ascii="Arial" w:eastAsia="Times New Roman" w:hAnsi="Arial" w:cs="Arial"/>
          <w:b/>
          <w:bCs/>
          <w:color w:val="0072C6"/>
          <w:kern w:val="32"/>
          <w:sz w:val="96"/>
          <w:szCs w:val="96"/>
        </w:rPr>
        <w:t>ariation</w:t>
      </w:r>
      <w:bookmarkEnd w:id="0"/>
      <w:r w:rsidR="0018795D" w:rsidRPr="00F5728C">
        <w:rPr>
          <w:rFonts w:ascii="Arial" w:eastAsia="Times New Roman" w:hAnsi="Arial" w:cs="Arial"/>
          <w:b/>
          <w:bCs/>
          <w:color w:val="0072C6"/>
          <w:kern w:val="32"/>
          <w:sz w:val="96"/>
          <w:szCs w:val="96"/>
        </w:rPr>
        <w:t xml:space="preserve"> Template</w:t>
      </w:r>
      <w:r w:rsidR="00F5728C">
        <w:rPr>
          <w:rFonts w:ascii="Arial" w:eastAsia="Times New Roman" w:hAnsi="Arial" w:cs="Arial"/>
          <w:b/>
          <w:bCs/>
          <w:color w:val="0072C6"/>
          <w:kern w:val="32"/>
          <w:sz w:val="96"/>
          <w:szCs w:val="96"/>
        </w:rPr>
        <w:t xml:space="preserve"> 2016/17</w:t>
      </w:r>
    </w:p>
    <w:p w:rsidR="00710C7C" w:rsidRPr="00F5728C" w:rsidRDefault="00710C7C" w:rsidP="00710C7C">
      <w:pPr>
        <w:spacing w:after="0" w:line="240" w:lineRule="auto"/>
        <w:rPr>
          <w:rFonts w:ascii="Arial" w:eastAsia="Calibri" w:hAnsi="Arial" w:cs="Times New Roman"/>
          <w:bCs/>
          <w:sz w:val="96"/>
          <w:szCs w:val="96"/>
        </w:rPr>
      </w:pPr>
      <w:bookmarkStart w:id="1" w:name="_Toc412044601"/>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r w:rsidRPr="00DA4D70">
        <w:rPr>
          <w:noProof/>
          <w:lang w:eastAsia="en-GB"/>
        </w:rPr>
        <w:lastRenderedPageBreak/>
        <w:drawing>
          <wp:inline distT="0" distB="0" distL="0" distR="0" wp14:anchorId="73D97C6A" wp14:editId="7986E21E">
            <wp:extent cx="4055696" cy="4912242"/>
            <wp:effectExtent l="0" t="0" r="0" b="3175"/>
            <wp:docPr id="5" name="Picture 5" descr="  NHS England  INFORMATION  READER  BOX     &#10;       &#10;       &#10;       &#10;  Directorate     &#10;  Medical  Commissioning Operations  Patients and Information &#10;  Nursing  Trans. &amp; Corp. Ops.  Commissioning Strategy &#10;  Finance     &#10;       &#10;       &#10;       &#10;       &#10;       &#10;  Publications Gateway Reference:    04225 &#10;  Document Purpose  Guidance   &#10;  Document Name  NHS England: Commissioning for Quality and Innovation (CQUIN) - Guidance Technical Annex for 2016/17   &#10;  Author  NHS England - Commissioning Strategy Directorate   &#10;  Publication Date  09 March 2016   &#10;  Target Audience  CCG Clinical Leaders, CCG Accountable Officers   &#10;  Additional Circulation List  #VALUE!   &#10;  Description  This guidance sets out the Commissioning for Quality and Innovation (CQUIN) scheme for 2016/17, to be offered by NHS commissioners to providers of healthcare services under the NHS Standard Contract.   &#10;  Cross Reference  NHS England: Commissioning for Quality and Innovation (CQUIN) - Guidance for 2016/17   &#10;       &#10;  &quot;Superseded Docs&#10;(if applicable)&quot;  NHS England: Commissioning for Quality and Innovation (CQUIN) - Guidance for 2015/16   &#10;       &#10;  Action Required  To be actioned locally   &#10;       &#10;  &quot;Timing / Deadlines&#10;(if applicable)&quot;  Refer to guidance   &#10;  Contact Details for further information  e.cquin@nhs.net   &#10;    Contracting and Incentives   &#10;    Quarry House   &#10;    Leeds   &#10;    LS2 7UE   &#10;    0   &#10;  Document Status     &#10;  This is a controlled document.  Whilst this document may be printed, the electronic version posted on the intranet is the controlled copy.  Any printed copies of this document are not controlled.  As a controlled document, this document should not be saved onto local or network drives but should always be accessed from the intranet.      &#10;       &#10;       &#10;       &#10;       &#10;" title="Information Reader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55696" cy="4912242"/>
                    </a:xfrm>
                    <a:prstGeom prst="rect">
                      <a:avLst/>
                    </a:prstGeom>
                    <a:noFill/>
                    <a:ln>
                      <a:noFill/>
                    </a:ln>
                  </pic:spPr>
                </pic:pic>
              </a:graphicData>
            </a:graphic>
          </wp:inline>
        </w:drawing>
      </w: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Pr="00B47AC3" w:rsidRDefault="00F5728C" w:rsidP="00F5728C">
      <w:pPr>
        <w:spacing w:after="0" w:line="240" w:lineRule="auto"/>
        <w:rPr>
          <w:rFonts w:ascii="Arial" w:eastAsia="Times New Roman" w:hAnsi="Arial" w:cs="Times New Roman"/>
          <w:b/>
          <w:bCs/>
          <w:sz w:val="24"/>
          <w:szCs w:val="26"/>
        </w:rPr>
      </w:pPr>
      <w:r>
        <w:rPr>
          <w:rFonts w:ascii="Arial" w:eastAsia="Times New Roman" w:hAnsi="Arial" w:cs="Times New Roman"/>
          <w:b/>
          <w:bCs/>
          <w:sz w:val="24"/>
          <w:szCs w:val="26"/>
        </w:rPr>
        <w:lastRenderedPageBreak/>
        <w:t>CQUIN Variation Template</w:t>
      </w:r>
      <w:r w:rsidRPr="00B47AC3">
        <w:rPr>
          <w:rFonts w:ascii="Arial" w:eastAsia="Times New Roman" w:hAnsi="Arial" w:cs="Times New Roman"/>
          <w:b/>
          <w:bCs/>
          <w:sz w:val="24"/>
          <w:szCs w:val="26"/>
        </w:rPr>
        <w:t xml:space="preserve"> 2016/17</w:t>
      </w:r>
    </w:p>
    <w:p w:rsidR="00F5728C" w:rsidRPr="00B47AC3" w:rsidRDefault="00F5728C" w:rsidP="00F5728C">
      <w:pPr>
        <w:spacing w:after="0" w:line="240" w:lineRule="auto"/>
        <w:rPr>
          <w:rFonts w:ascii="Arial" w:eastAsia="Times New Roman" w:hAnsi="Arial" w:cs="Times New Roman"/>
          <w:bCs/>
          <w:sz w:val="24"/>
          <w:szCs w:val="26"/>
        </w:rPr>
      </w:pPr>
    </w:p>
    <w:p w:rsidR="00F5728C" w:rsidRPr="00B47AC3" w:rsidRDefault="00F5728C" w:rsidP="00F5728C">
      <w:pPr>
        <w:spacing w:after="0" w:line="240" w:lineRule="auto"/>
        <w:rPr>
          <w:rFonts w:ascii="Arial" w:eastAsia="Times New Roman" w:hAnsi="Arial" w:cs="Times New Roman"/>
          <w:bCs/>
          <w:sz w:val="24"/>
          <w:szCs w:val="26"/>
        </w:rPr>
      </w:pPr>
      <w:r w:rsidRPr="00B47AC3">
        <w:rPr>
          <w:rFonts w:ascii="Arial" w:eastAsia="Times New Roman" w:hAnsi="Arial" w:cs="Times New Roman"/>
          <w:bCs/>
          <w:sz w:val="24"/>
          <w:szCs w:val="26"/>
        </w:rPr>
        <w:t>Version number: 1.0</w:t>
      </w:r>
    </w:p>
    <w:p w:rsidR="00F5728C" w:rsidRPr="00B47AC3" w:rsidRDefault="00F5728C" w:rsidP="00F5728C">
      <w:pPr>
        <w:spacing w:after="0" w:line="240" w:lineRule="auto"/>
        <w:rPr>
          <w:rFonts w:ascii="Arial" w:eastAsia="Times New Roman" w:hAnsi="Arial" w:cs="Times New Roman"/>
          <w:bCs/>
          <w:sz w:val="24"/>
          <w:szCs w:val="26"/>
        </w:rPr>
      </w:pPr>
    </w:p>
    <w:p w:rsidR="00F5728C" w:rsidRPr="00B47AC3" w:rsidRDefault="00F5728C" w:rsidP="00F5728C">
      <w:pPr>
        <w:spacing w:after="0" w:line="240" w:lineRule="auto"/>
        <w:rPr>
          <w:rFonts w:ascii="Arial" w:eastAsia="Times New Roman" w:hAnsi="Arial" w:cs="Times New Roman"/>
          <w:bCs/>
          <w:sz w:val="24"/>
          <w:szCs w:val="26"/>
        </w:rPr>
      </w:pPr>
      <w:r w:rsidRPr="00B47AC3">
        <w:rPr>
          <w:rFonts w:ascii="Arial" w:eastAsia="Times New Roman" w:hAnsi="Arial" w:cs="Times New Roman"/>
          <w:bCs/>
          <w:sz w:val="24"/>
          <w:szCs w:val="26"/>
        </w:rPr>
        <w:t xml:space="preserve">First published: </w:t>
      </w:r>
      <w:r>
        <w:rPr>
          <w:rFonts w:ascii="Arial" w:eastAsia="Times New Roman" w:hAnsi="Arial" w:cs="Times New Roman"/>
          <w:bCs/>
          <w:sz w:val="24"/>
          <w:szCs w:val="26"/>
        </w:rPr>
        <w:t>March</w:t>
      </w:r>
      <w:r w:rsidRPr="00B47AC3">
        <w:rPr>
          <w:rFonts w:ascii="Arial" w:eastAsia="Times New Roman" w:hAnsi="Arial" w:cs="Times New Roman"/>
          <w:bCs/>
          <w:sz w:val="24"/>
          <w:szCs w:val="26"/>
        </w:rPr>
        <w:t xml:space="preserve"> 2016</w:t>
      </w:r>
    </w:p>
    <w:p w:rsidR="00F5728C" w:rsidRPr="00B47AC3" w:rsidRDefault="00F5728C" w:rsidP="00F5728C">
      <w:pPr>
        <w:spacing w:after="0" w:line="240" w:lineRule="auto"/>
        <w:rPr>
          <w:rFonts w:ascii="Arial" w:eastAsia="Times New Roman" w:hAnsi="Arial" w:cs="Times New Roman"/>
          <w:bCs/>
          <w:sz w:val="24"/>
          <w:szCs w:val="26"/>
        </w:rPr>
      </w:pPr>
    </w:p>
    <w:p w:rsidR="00F5728C" w:rsidRPr="00B47AC3" w:rsidRDefault="00F5728C" w:rsidP="00F5728C">
      <w:pPr>
        <w:spacing w:after="0" w:line="240" w:lineRule="auto"/>
        <w:rPr>
          <w:rFonts w:ascii="Arial" w:eastAsia="Times New Roman" w:hAnsi="Arial" w:cs="Times New Roman"/>
          <w:bCs/>
          <w:sz w:val="24"/>
          <w:szCs w:val="26"/>
        </w:rPr>
      </w:pPr>
      <w:r w:rsidRPr="00B47AC3">
        <w:rPr>
          <w:rFonts w:ascii="Arial" w:eastAsia="Times New Roman" w:hAnsi="Arial" w:cs="Times New Roman"/>
          <w:bCs/>
          <w:sz w:val="24"/>
          <w:szCs w:val="26"/>
        </w:rPr>
        <w:t>Prepared by: The Incentives Team, Commissioning Strategy</w:t>
      </w:r>
    </w:p>
    <w:p w:rsidR="00F5728C" w:rsidRPr="00B47AC3" w:rsidRDefault="00F5728C" w:rsidP="00F5728C">
      <w:pPr>
        <w:spacing w:after="0" w:line="240" w:lineRule="auto"/>
        <w:rPr>
          <w:rFonts w:ascii="Arial" w:eastAsia="Times New Roman" w:hAnsi="Arial" w:cs="Times New Roman"/>
          <w:bCs/>
          <w:sz w:val="24"/>
          <w:szCs w:val="26"/>
        </w:rPr>
      </w:pPr>
    </w:p>
    <w:p w:rsidR="00F5728C" w:rsidRPr="00B47AC3" w:rsidRDefault="00F5728C" w:rsidP="00F5728C">
      <w:pPr>
        <w:spacing w:after="0" w:line="240" w:lineRule="auto"/>
        <w:rPr>
          <w:rFonts w:ascii="Arial" w:eastAsia="Times New Roman" w:hAnsi="Arial" w:cs="Times New Roman"/>
          <w:bCs/>
          <w:sz w:val="24"/>
          <w:szCs w:val="26"/>
        </w:rPr>
      </w:pPr>
      <w:r w:rsidRPr="00B47AC3">
        <w:rPr>
          <w:rFonts w:ascii="Arial" w:eastAsia="Times New Roman" w:hAnsi="Arial" w:cs="Times New Roman"/>
          <w:bCs/>
          <w:sz w:val="24"/>
          <w:szCs w:val="26"/>
        </w:rPr>
        <w:t>Classification: OFFICIAL</w:t>
      </w:r>
    </w:p>
    <w:p w:rsidR="00F5728C" w:rsidRPr="00B47AC3" w:rsidRDefault="00F5728C" w:rsidP="00F5728C">
      <w:pPr>
        <w:spacing w:after="0" w:line="240" w:lineRule="auto"/>
        <w:rPr>
          <w:rFonts w:ascii="Arial" w:eastAsia="Times New Roman" w:hAnsi="Arial" w:cs="Times New Roman"/>
          <w:bCs/>
          <w:sz w:val="24"/>
          <w:szCs w:val="26"/>
        </w:rPr>
      </w:pPr>
    </w:p>
    <w:p w:rsidR="00F5728C" w:rsidRDefault="00F5728C" w:rsidP="00F5728C">
      <w:pPr>
        <w:spacing w:after="0" w:line="240" w:lineRule="auto"/>
        <w:rPr>
          <w:rFonts w:ascii="Arial" w:eastAsia="Times New Roman" w:hAnsi="Arial" w:cs="Times New Roman"/>
          <w:b/>
          <w:bCs/>
          <w:sz w:val="24"/>
          <w:szCs w:val="26"/>
        </w:rPr>
      </w:pPr>
    </w:p>
    <w:p w:rsidR="00F5728C" w:rsidRPr="00B47AC3" w:rsidRDefault="00F5728C" w:rsidP="00F5728C">
      <w:pPr>
        <w:spacing w:after="0" w:line="240" w:lineRule="auto"/>
        <w:rPr>
          <w:rFonts w:ascii="Arial" w:eastAsia="Times New Roman" w:hAnsi="Arial" w:cs="Times New Roman"/>
          <w:b/>
          <w:bCs/>
          <w:sz w:val="24"/>
          <w:szCs w:val="26"/>
        </w:rPr>
      </w:pPr>
    </w:p>
    <w:p w:rsidR="00F5728C" w:rsidRDefault="00F5728C" w:rsidP="00F5728C">
      <w:pPr>
        <w:spacing w:after="0" w:line="240" w:lineRule="auto"/>
        <w:rPr>
          <w:rFonts w:ascii="Arial" w:eastAsia="Times New Roman"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710C7C">
      <w:pPr>
        <w:spacing w:after="0" w:line="240" w:lineRule="auto"/>
        <w:rPr>
          <w:rFonts w:ascii="Arial" w:eastAsia="Calibri" w:hAnsi="Arial" w:cs="Times New Roman"/>
          <w:bCs/>
          <w:sz w:val="24"/>
          <w:szCs w:val="26"/>
        </w:rPr>
      </w:pPr>
    </w:p>
    <w:p w:rsidR="00F5728C" w:rsidRDefault="00F5728C" w:rsidP="00F5728C">
      <w:pPr>
        <w:spacing w:after="0" w:line="240" w:lineRule="auto"/>
        <w:outlineLvl w:val="0"/>
        <w:rPr>
          <w:rFonts w:ascii="Arial" w:eastAsia="Calibri" w:hAnsi="Arial" w:cs="Times New Roman"/>
          <w:bCs/>
          <w:sz w:val="24"/>
          <w:szCs w:val="26"/>
        </w:rPr>
      </w:pPr>
    </w:p>
    <w:p w:rsidR="00F5728C" w:rsidRPr="00F5728C" w:rsidRDefault="00F5728C" w:rsidP="00F5728C">
      <w:pPr>
        <w:spacing w:after="0" w:line="240" w:lineRule="auto"/>
        <w:outlineLvl w:val="0"/>
        <w:rPr>
          <w:rFonts w:ascii="Arial" w:eastAsia="Times New Roman" w:hAnsi="Arial" w:cs="Arial"/>
          <w:b/>
          <w:bCs/>
          <w:color w:val="0072C6"/>
          <w:kern w:val="32"/>
          <w:sz w:val="32"/>
          <w:szCs w:val="32"/>
        </w:rPr>
      </w:pPr>
      <w:r w:rsidRPr="00F5728C">
        <w:rPr>
          <w:rFonts w:ascii="Arial" w:eastAsia="Times New Roman" w:hAnsi="Arial" w:cs="Arial"/>
          <w:b/>
          <w:bCs/>
          <w:color w:val="0070C0"/>
          <w:kern w:val="32"/>
          <w:sz w:val="32"/>
          <w:szCs w:val="32"/>
        </w:rPr>
        <w:lastRenderedPageBreak/>
        <w:t>CQUIN</w:t>
      </w:r>
      <w:r w:rsidRPr="00F5728C">
        <w:rPr>
          <w:rFonts w:ascii="Arial" w:eastAsia="Times New Roman" w:hAnsi="Arial" w:cs="Arial"/>
          <w:b/>
          <w:bCs/>
          <w:color w:val="0072C6"/>
          <w:kern w:val="32"/>
          <w:sz w:val="32"/>
          <w:szCs w:val="32"/>
        </w:rPr>
        <w:t xml:space="preserve"> Variation Template 2016/17</w:t>
      </w:r>
    </w:p>
    <w:p w:rsidR="00F5728C" w:rsidRDefault="00F5728C" w:rsidP="00710C7C">
      <w:pPr>
        <w:spacing w:after="0" w:line="240" w:lineRule="auto"/>
        <w:rPr>
          <w:rFonts w:ascii="Arial" w:eastAsia="Calibri" w:hAnsi="Arial" w:cs="Times New Roman"/>
          <w:bCs/>
          <w:sz w:val="24"/>
          <w:szCs w:val="26"/>
        </w:rPr>
      </w:pPr>
    </w:p>
    <w:p w:rsidR="00710C7C" w:rsidRPr="008D3814" w:rsidRDefault="00710C7C" w:rsidP="00710C7C">
      <w:pPr>
        <w:spacing w:after="0" w:line="240" w:lineRule="auto"/>
        <w:rPr>
          <w:rFonts w:ascii="Arial" w:eastAsia="Calibri" w:hAnsi="Arial" w:cs="Times New Roman"/>
          <w:bCs/>
          <w:color w:val="0070C0"/>
          <w:sz w:val="24"/>
          <w:szCs w:val="26"/>
        </w:rPr>
      </w:pPr>
      <w:r w:rsidRPr="00710C7C">
        <w:rPr>
          <w:rFonts w:ascii="Arial" w:eastAsia="Calibri" w:hAnsi="Arial" w:cs="Times New Roman"/>
          <w:bCs/>
          <w:sz w:val="24"/>
          <w:szCs w:val="26"/>
        </w:rPr>
        <w:t xml:space="preserve">This template should be completed when commissioners and providers agree to vary from national CQUIN goals and submitted to: </w:t>
      </w:r>
      <w:hyperlink r:id="rId12" w:history="1">
        <w:r w:rsidRPr="008D3814">
          <w:rPr>
            <w:rFonts w:ascii="Arial" w:eastAsia="Calibri" w:hAnsi="Arial" w:cs="Arial"/>
            <w:bCs/>
            <w:color w:val="0070C0"/>
            <w:sz w:val="24"/>
            <w:szCs w:val="24"/>
            <w:u w:val="single"/>
          </w:rPr>
          <w:t>e.cquin@nhs.net</w:t>
        </w:r>
      </w:hyperlink>
      <w:bookmarkEnd w:id="1"/>
      <w:r w:rsidR="0018795D">
        <w:rPr>
          <w:rFonts w:ascii="Arial" w:eastAsia="Calibri" w:hAnsi="Arial" w:cs="Arial"/>
          <w:bCs/>
          <w:color w:val="0070C0"/>
          <w:sz w:val="24"/>
          <w:szCs w:val="24"/>
          <w:u w:val="single"/>
        </w:rPr>
        <w:t xml:space="preserve">. </w:t>
      </w:r>
    </w:p>
    <w:p w:rsidR="00710C7C" w:rsidRPr="00710C7C" w:rsidRDefault="00710C7C" w:rsidP="00710C7C">
      <w:pPr>
        <w:spacing w:after="0" w:line="240" w:lineRule="auto"/>
        <w:rPr>
          <w:rFonts w:ascii="Arial" w:eastAsia="Calibri" w:hAnsi="Arial" w:cs="Times New Roman"/>
          <w:bCs/>
          <w:sz w:val="20"/>
          <w:szCs w:val="26"/>
        </w:rPr>
      </w:pPr>
    </w:p>
    <w:tbl>
      <w:tblPr>
        <w:tblpPr w:leftFromText="180" w:rightFromText="180" w:vertAnchor="text" w:horzAnchor="margin" w:tblpXSpec="center" w:tblpY="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6843"/>
      </w:tblGrid>
      <w:tr w:rsidR="00710C7C" w:rsidRPr="00710C7C" w:rsidTr="001473AA">
        <w:trPr>
          <w:trHeight w:val="888"/>
        </w:trPr>
        <w:tc>
          <w:tcPr>
            <w:tcW w:w="2337" w:type="dxa"/>
            <w:shd w:val="clear" w:color="auto" w:fill="auto"/>
            <w:vAlign w:val="center"/>
          </w:tcPr>
          <w:p w:rsidR="00710C7C" w:rsidRPr="00710C7C" w:rsidRDefault="00710C7C" w:rsidP="00710C7C">
            <w:pPr>
              <w:spacing w:after="0" w:line="240" w:lineRule="auto"/>
              <w:rPr>
                <w:rFonts w:ascii="Arial" w:eastAsia="Calibri" w:hAnsi="Arial" w:cs="Arial"/>
                <w:bCs/>
                <w:sz w:val="24"/>
                <w:szCs w:val="24"/>
              </w:rPr>
            </w:pPr>
            <w:r w:rsidRPr="00710C7C">
              <w:rPr>
                <w:rFonts w:ascii="Arial" w:eastAsia="Calibri" w:hAnsi="Arial" w:cs="Arial"/>
                <w:bCs/>
                <w:sz w:val="24"/>
                <w:szCs w:val="24"/>
              </w:rPr>
              <w:t xml:space="preserve">Overview </w:t>
            </w:r>
          </w:p>
        </w:tc>
        <w:tc>
          <w:tcPr>
            <w:tcW w:w="6843" w:type="dxa"/>
            <w:shd w:val="clear" w:color="auto" w:fill="auto"/>
            <w:vAlign w:val="center"/>
          </w:tcPr>
          <w:p w:rsidR="00710C7C" w:rsidRPr="00710C7C" w:rsidRDefault="00710C7C" w:rsidP="00710C7C">
            <w:pPr>
              <w:spacing w:after="0" w:line="240" w:lineRule="auto"/>
              <w:rPr>
                <w:rFonts w:ascii="Arial" w:eastAsia="Calibri" w:hAnsi="Arial" w:cs="Arial"/>
                <w:bCs/>
                <w:i/>
                <w:sz w:val="24"/>
                <w:szCs w:val="24"/>
              </w:rPr>
            </w:pPr>
            <w:r w:rsidRPr="00710C7C">
              <w:rPr>
                <w:rFonts w:ascii="Arial" w:eastAsia="Calibri" w:hAnsi="Arial" w:cs="Arial"/>
                <w:bCs/>
                <w:i/>
                <w:sz w:val="24"/>
                <w:szCs w:val="24"/>
              </w:rPr>
              <w:t>Summary of and rationale for the service change that will be supported by varying the national CQUIN goals or rules. Justify the new approach and explain how it is in patients’ best interests.</w:t>
            </w:r>
          </w:p>
        </w:tc>
      </w:tr>
      <w:tr w:rsidR="00710C7C" w:rsidRPr="00710C7C" w:rsidTr="001473AA">
        <w:trPr>
          <w:trHeight w:val="645"/>
        </w:trPr>
        <w:tc>
          <w:tcPr>
            <w:tcW w:w="2337" w:type="dxa"/>
            <w:shd w:val="clear" w:color="auto" w:fill="auto"/>
            <w:vAlign w:val="center"/>
          </w:tcPr>
          <w:p w:rsidR="00710C7C" w:rsidRPr="00710C7C" w:rsidRDefault="00710C7C" w:rsidP="00710C7C">
            <w:pPr>
              <w:spacing w:after="0" w:line="240" w:lineRule="auto"/>
              <w:rPr>
                <w:rFonts w:ascii="Arial" w:eastAsia="Calibri" w:hAnsi="Arial" w:cs="Arial"/>
                <w:bCs/>
                <w:sz w:val="24"/>
                <w:szCs w:val="24"/>
              </w:rPr>
            </w:pPr>
            <w:r w:rsidRPr="00710C7C">
              <w:rPr>
                <w:rFonts w:ascii="Arial" w:eastAsia="Calibri" w:hAnsi="Arial" w:cs="Arial"/>
                <w:bCs/>
                <w:sz w:val="24"/>
                <w:szCs w:val="24"/>
              </w:rPr>
              <w:t>Link to local variation of national price</w:t>
            </w:r>
          </w:p>
        </w:tc>
        <w:tc>
          <w:tcPr>
            <w:tcW w:w="6843" w:type="dxa"/>
            <w:shd w:val="clear" w:color="auto" w:fill="auto"/>
            <w:vAlign w:val="center"/>
          </w:tcPr>
          <w:p w:rsidR="00710C7C" w:rsidRPr="00710C7C" w:rsidRDefault="00710C7C" w:rsidP="00710C7C">
            <w:pPr>
              <w:spacing w:after="0" w:line="240" w:lineRule="auto"/>
              <w:rPr>
                <w:rFonts w:ascii="Arial" w:eastAsia="Calibri" w:hAnsi="Arial" w:cs="Arial"/>
                <w:bCs/>
                <w:i/>
                <w:sz w:val="24"/>
                <w:szCs w:val="24"/>
              </w:rPr>
            </w:pPr>
            <w:r w:rsidRPr="00710C7C">
              <w:rPr>
                <w:rFonts w:ascii="Arial" w:eastAsia="Calibri" w:hAnsi="Arial" w:cs="Arial"/>
                <w:bCs/>
                <w:i/>
                <w:sz w:val="24"/>
                <w:szCs w:val="24"/>
              </w:rPr>
              <w:t>Is this related to a variation in national price?</w:t>
            </w:r>
          </w:p>
          <w:p w:rsidR="00710C7C" w:rsidRPr="00710C7C" w:rsidRDefault="00710C7C" w:rsidP="00710C7C">
            <w:pPr>
              <w:spacing w:after="0" w:line="240" w:lineRule="auto"/>
              <w:rPr>
                <w:rFonts w:ascii="Arial" w:eastAsia="Calibri" w:hAnsi="Arial" w:cs="Arial"/>
                <w:bCs/>
                <w:i/>
                <w:sz w:val="24"/>
                <w:szCs w:val="24"/>
              </w:rPr>
            </w:pPr>
            <w:r w:rsidRPr="00710C7C">
              <w:rPr>
                <w:rFonts w:ascii="Arial" w:eastAsia="Calibri" w:hAnsi="Arial" w:cs="Arial"/>
                <w:bCs/>
                <w:i/>
                <w:sz w:val="24"/>
                <w:szCs w:val="24"/>
              </w:rPr>
              <w:t>If Yes, which one? (</w:t>
            </w:r>
            <w:proofErr w:type="gramStart"/>
            <w:r>
              <w:rPr>
                <w:rFonts w:ascii="Arial" w:eastAsia="Calibri" w:hAnsi="Arial" w:cs="Arial"/>
                <w:bCs/>
                <w:i/>
                <w:sz w:val="24"/>
                <w:szCs w:val="24"/>
              </w:rPr>
              <w:t>r</w:t>
            </w:r>
            <w:r w:rsidRPr="00710C7C">
              <w:rPr>
                <w:rFonts w:ascii="Arial" w:eastAsia="Calibri" w:hAnsi="Arial" w:cs="Arial"/>
                <w:bCs/>
                <w:i/>
                <w:sz w:val="24"/>
                <w:szCs w:val="24"/>
              </w:rPr>
              <w:t>efer</w:t>
            </w:r>
            <w:proofErr w:type="gramEnd"/>
            <w:r w:rsidRPr="00710C7C">
              <w:rPr>
                <w:rFonts w:ascii="Arial" w:eastAsia="Calibri" w:hAnsi="Arial" w:cs="Arial"/>
                <w:bCs/>
                <w:i/>
                <w:sz w:val="24"/>
                <w:szCs w:val="24"/>
              </w:rPr>
              <w:t xml:space="preserve"> to the unique reference number of the price variation).</w:t>
            </w:r>
          </w:p>
        </w:tc>
      </w:tr>
      <w:tr w:rsidR="00710C7C" w:rsidRPr="00710C7C" w:rsidTr="001473AA">
        <w:trPr>
          <w:trHeight w:val="420"/>
        </w:trPr>
        <w:tc>
          <w:tcPr>
            <w:tcW w:w="2337" w:type="dxa"/>
            <w:shd w:val="clear" w:color="auto" w:fill="auto"/>
            <w:vAlign w:val="center"/>
          </w:tcPr>
          <w:p w:rsidR="00710C7C" w:rsidRPr="00710C7C" w:rsidRDefault="00710C7C" w:rsidP="00710C7C">
            <w:pPr>
              <w:spacing w:after="0" w:line="240" w:lineRule="auto"/>
              <w:rPr>
                <w:rFonts w:ascii="Arial" w:eastAsia="Calibri" w:hAnsi="Arial" w:cs="Arial"/>
                <w:bCs/>
                <w:sz w:val="24"/>
                <w:szCs w:val="24"/>
              </w:rPr>
            </w:pPr>
            <w:r w:rsidRPr="00710C7C">
              <w:rPr>
                <w:rFonts w:ascii="Arial" w:eastAsia="Calibri" w:hAnsi="Arial" w:cs="Arial"/>
                <w:bCs/>
                <w:sz w:val="24"/>
                <w:szCs w:val="24"/>
              </w:rPr>
              <w:t>National goals affected</w:t>
            </w:r>
          </w:p>
        </w:tc>
        <w:tc>
          <w:tcPr>
            <w:tcW w:w="6843" w:type="dxa"/>
            <w:shd w:val="clear" w:color="auto" w:fill="auto"/>
            <w:vAlign w:val="center"/>
          </w:tcPr>
          <w:p w:rsidR="00710C7C" w:rsidRPr="00710C7C" w:rsidRDefault="00710C7C" w:rsidP="00710C7C">
            <w:pPr>
              <w:spacing w:after="0" w:line="240" w:lineRule="auto"/>
              <w:rPr>
                <w:rFonts w:ascii="Arial" w:eastAsia="Calibri" w:hAnsi="Arial" w:cs="Arial"/>
                <w:bCs/>
                <w:i/>
                <w:sz w:val="24"/>
                <w:szCs w:val="24"/>
              </w:rPr>
            </w:pPr>
            <w:r w:rsidRPr="00710C7C">
              <w:rPr>
                <w:rFonts w:ascii="Arial" w:eastAsia="Calibri" w:hAnsi="Arial" w:cs="Arial"/>
                <w:bCs/>
                <w:i/>
                <w:sz w:val="24"/>
                <w:szCs w:val="24"/>
              </w:rPr>
              <w:t>National CQUIN goals affected</w:t>
            </w:r>
          </w:p>
        </w:tc>
      </w:tr>
      <w:tr w:rsidR="00710C7C" w:rsidRPr="00710C7C" w:rsidTr="001473AA">
        <w:trPr>
          <w:trHeight w:val="412"/>
        </w:trPr>
        <w:tc>
          <w:tcPr>
            <w:tcW w:w="2337" w:type="dxa"/>
            <w:shd w:val="clear" w:color="auto" w:fill="auto"/>
            <w:vAlign w:val="center"/>
          </w:tcPr>
          <w:p w:rsidR="00710C7C" w:rsidRPr="00710C7C" w:rsidRDefault="00710C7C" w:rsidP="00710C7C">
            <w:pPr>
              <w:spacing w:after="0" w:line="240" w:lineRule="auto"/>
              <w:rPr>
                <w:rFonts w:ascii="Arial" w:eastAsia="Calibri" w:hAnsi="Arial" w:cs="Arial"/>
                <w:bCs/>
                <w:sz w:val="24"/>
                <w:szCs w:val="24"/>
              </w:rPr>
            </w:pPr>
            <w:r w:rsidRPr="00710C7C">
              <w:rPr>
                <w:rFonts w:ascii="Arial" w:eastAsia="Calibri" w:hAnsi="Arial" w:cs="Arial"/>
                <w:bCs/>
                <w:sz w:val="24"/>
                <w:szCs w:val="24"/>
              </w:rPr>
              <w:t>National rules affected</w:t>
            </w:r>
          </w:p>
        </w:tc>
        <w:tc>
          <w:tcPr>
            <w:tcW w:w="6843" w:type="dxa"/>
            <w:shd w:val="clear" w:color="auto" w:fill="auto"/>
            <w:vAlign w:val="center"/>
          </w:tcPr>
          <w:p w:rsidR="00710C7C" w:rsidRPr="00710C7C" w:rsidRDefault="00710C7C" w:rsidP="00710C7C">
            <w:pPr>
              <w:spacing w:after="0" w:line="240" w:lineRule="auto"/>
              <w:rPr>
                <w:rFonts w:ascii="Arial" w:eastAsia="Calibri" w:hAnsi="Arial" w:cs="Arial"/>
                <w:bCs/>
                <w:i/>
                <w:sz w:val="24"/>
                <w:szCs w:val="24"/>
              </w:rPr>
            </w:pPr>
            <w:r w:rsidRPr="00710C7C">
              <w:rPr>
                <w:rFonts w:ascii="Arial" w:eastAsia="Calibri" w:hAnsi="Arial" w:cs="Arial"/>
                <w:bCs/>
                <w:i/>
                <w:sz w:val="24"/>
                <w:szCs w:val="24"/>
              </w:rPr>
              <w:t>CQUIN rules affected</w:t>
            </w:r>
          </w:p>
        </w:tc>
      </w:tr>
      <w:tr w:rsidR="00710C7C" w:rsidRPr="00710C7C" w:rsidTr="001473AA">
        <w:trPr>
          <w:trHeight w:val="412"/>
        </w:trPr>
        <w:tc>
          <w:tcPr>
            <w:tcW w:w="2337" w:type="dxa"/>
            <w:shd w:val="clear" w:color="auto" w:fill="auto"/>
            <w:vAlign w:val="center"/>
          </w:tcPr>
          <w:p w:rsidR="00710C7C" w:rsidRPr="00710C7C" w:rsidRDefault="00710C7C" w:rsidP="00710C7C">
            <w:pPr>
              <w:spacing w:after="0" w:line="240" w:lineRule="auto"/>
              <w:rPr>
                <w:rFonts w:ascii="Arial" w:eastAsia="Calibri" w:hAnsi="Arial" w:cs="Arial"/>
                <w:bCs/>
                <w:sz w:val="24"/>
                <w:szCs w:val="24"/>
              </w:rPr>
            </w:pPr>
            <w:r w:rsidRPr="00710C7C">
              <w:rPr>
                <w:rFonts w:ascii="Arial" w:eastAsia="Calibri" w:hAnsi="Arial" w:cs="Arial"/>
                <w:bCs/>
                <w:sz w:val="24"/>
                <w:szCs w:val="24"/>
              </w:rPr>
              <w:t>Commissioner(s)</w:t>
            </w:r>
          </w:p>
        </w:tc>
        <w:tc>
          <w:tcPr>
            <w:tcW w:w="6843" w:type="dxa"/>
            <w:shd w:val="clear" w:color="auto" w:fill="auto"/>
            <w:vAlign w:val="center"/>
          </w:tcPr>
          <w:p w:rsidR="00710C7C" w:rsidRPr="00710C7C" w:rsidRDefault="00710C7C" w:rsidP="00710C7C">
            <w:pPr>
              <w:spacing w:after="0" w:line="240" w:lineRule="auto"/>
              <w:rPr>
                <w:rFonts w:ascii="Arial" w:eastAsia="Calibri" w:hAnsi="Arial" w:cs="Arial"/>
                <w:bCs/>
                <w:i/>
                <w:sz w:val="24"/>
                <w:szCs w:val="24"/>
              </w:rPr>
            </w:pPr>
            <w:r w:rsidRPr="00710C7C">
              <w:rPr>
                <w:rFonts w:ascii="Arial" w:eastAsia="Calibri" w:hAnsi="Arial" w:cs="Arial"/>
                <w:bCs/>
                <w:i/>
                <w:sz w:val="24"/>
                <w:szCs w:val="24"/>
              </w:rPr>
              <w:t>Commissioner(s) party to the agreement</w:t>
            </w:r>
          </w:p>
        </w:tc>
      </w:tr>
      <w:tr w:rsidR="00710C7C" w:rsidRPr="00710C7C" w:rsidTr="001473AA">
        <w:trPr>
          <w:trHeight w:val="493"/>
        </w:trPr>
        <w:tc>
          <w:tcPr>
            <w:tcW w:w="2337" w:type="dxa"/>
            <w:shd w:val="clear" w:color="auto" w:fill="auto"/>
            <w:vAlign w:val="center"/>
          </w:tcPr>
          <w:p w:rsidR="00710C7C" w:rsidRPr="00710C7C" w:rsidRDefault="00710C7C" w:rsidP="00710C7C">
            <w:pPr>
              <w:spacing w:after="0" w:line="240" w:lineRule="auto"/>
              <w:rPr>
                <w:rFonts w:ascii="Arial" w:eastAsia="Calibri" w:hAnsi="Arial" w:cs="Arial"/>
                <w:bCs/>
                <w:sz w:val="24"/>
                <w:szCs w:val="24"/>
              </w:rPr>
            </w:pPr>
            <w:r w:rsidRPr="00710C7C">
              <w:rPr>
                <w:rFonts w:ascii="Arial" w:eastAsia="Calibri" w:hAnsi="Arial" w:cs="Arial"/>
                <w:bCs/>
                <w:sz w:val="24"/>
                <w:szCs w:val="24"/>
              </w:rPr>
              <w:t>Provider(s)</w:t>
            </w:r>
          </w:p>
        </w:tc>
        <w:tc>
          <w:tcPr>
            <w:tcW w:w="6843" w:type="dxa"/>
            <w:shd w:val="clear" w:color="auto" w:fill="auto"/>
            <w:vAlign w:val="center"/>
          </w:tcPr>
          <w:p w:rsidR="00710C7C" w:rsidRPr="00710C7C" w:rsidRDefault="00710C7C" w:rsidP="00710C7C">
            <w:pPr>
              <w:spacing w:after="0" w:line="240" w:lineRule="auto"/>
              <w:rPr>
                <w:rFonts w:ascii="Arial" w:eastAsia="Calibri" w:hAnsi="Arial" w:cs="Arial"/>
                <w:bCs/>
                <w:i/>
                <w:sz w:val="24"/>
                <w:szCs w:val="24"/>
              </w:rPr>
            </w:pPr>
            <w:r w:rsidRPr="00710C7C">
              <w:rPr>
                <w:rFonts w:ascii="Arial" w:eastAsia="Calibri" w:hAnsi="Arial" w:cs="Arial"/>
                <w:bCs/>
                <w:i/>
                <w:sz w:val="24"/>
                <w:szCs w:val="24"/>
              </w:rPr>
              <w:t xml:space="preserve">Provider(s) party to the agreement </w:t>
            </w:r>
          </w:p>
        </w:tc>
      </w:tr>
      <w:tr w:rsidR="00710C7C" w:rsidRPr="00710C7C" w:rsidTr="001473AA">
        <w:trPr>
          <w:trHeight w:val="434"/>
        </w:trPr>
        <w:tc>
          <w:tcPr>
            <w:tcW w:w="2337" w:type="dxa"/>
            <w:shd w:val="clear" w:color="auto" w:fill="auto"/>
            <w:vAlign w:val="center"/>
          </w:tcPr>
          <w:p w:rsidR="00710C7C" w:rsidRPr="00710C7C" w:rsidRDefault="00710C7C" w:rsidP="00710C7C">
            <w:pPr>
              <w:spacing w:after="0" w:line="240" w:lineRule="auto"/>
              <w:rPr>
                <w:rFonts w:ascii="Arial" w:eastAsia="Calibri" w:hAnsi="Arial" w:cs="Arial"/>
                <w:bCs/>
                <w:sz w:val="24"/>
                <w:szCs w:val="24"/>
              </w:rPr>
            </w:pPr>
            <w:r w:rsidRPr="00710C7C">
              <w:rPr>
                <w:rFonts w:ascii="Arial" w:eastAsia="Calibri" w:hAnsi="Arial" w:cs="Arial"/>
                <w:bCs/>
                <w:sz w:val="24"/>
                <w:szCs w:val="24"/>
              </w:rPr>
              <w:t>Estimated value</w:t>
            </w:r>
          </w:p>
        </w:tc>
        <w:tc>
          <w:tcPr>
            <w:tcW w:w="6843" w:type="dxa"/>
            <w:shd w:val="clear" w:color="auto" w:fill="auto"/>
            <w:vAlign w:val="center"/>
          </w:tcPr>
          <w:p w:rsidR="00710C7C" w:rsidRPr="00710C7C" w:rsidRDefault="00710C7C" w:rsidP="00710C7C">
            <w:pPr>
              <w:spacing w:after="0" w:line="240" w:lineRule="auto"/>
              <w:rPr>
                <w:rFonts w:ascii="Arial" w:eastAsia="Calibri" w:hAnsi="Arial" w:cs="Arial"/>
                <w:bCs/>
                <w:i/>
                <w:sz w:val="24"/>
                <w:szCs w:val="24"/>
              </w:rPr>
            </w:pPr>
            <w:r w:rsidRPr="00710C7C">
              <w:rPr>
                <w:rFonts w:ascii="Arial" w:eastAsia="Calibri" w:hAnsi="Arial" w:cs="Arial"/>
                <w:bCs/>
                <w:i/>
                <w:sz w:val="24"/>
                <w:szCs w:val="24"/>
              </w:rPr>
              <w:t xml:space="preserve">An estimate of the expected financial impact of the variation for the commissioner and provider, relative to the impact of a standard CQUIN scheme. </w:t>
            </w:r>
          </w:p>
        </w:tc>
      </w:tr>
      <w:tr w:rsidR="00710C7C" w:rsidRPr="00710C7C" w:rsidTr="001473AA">
        <w:trPr>
          <w:trHeight w:val="555"/>
        </w:trPr>
        <w:tc>
          <w:tcPr>
            <w:tcW w:w="2337" w:type="dxa"/>
            <w:shd w:val="clear" w:color="auto" w:fill="auto"/>
            <w:vAlign w:val="center"/>
          </w:tcPr>
          <w:p w:rsidR="00710C7C" w:rsidRPr="00710C7C" w:rsidRDefault="00710C7C" w:rsidP="00710C7C">
            <w:pPr>
              <w:spacing w:after="0" w:line="240" w:lineRule="auto"/>
              <w:rPr>
                <w:rFonts w:ascii="Arial" w:eastAsia="Calibri" w:hAnsi="Arial" w:cs="Arial"/>
                <w:bCs/>
                <w:sz w:val="24"/>
                <w:szCs w:val="24"/>
              </w:rPr>
            </w:pPr>
            <w:r w:rsidRPr="00710C7C">
              <w:rPr>
                <w:rFonts w:ascii="Arial" w:eastAsia="Calibri" w:hAnsi="Arial" w:cs="Arial"/>
                <w:bCs/>
                <w:sz w:val="24"/>
                <w:szCs w:val="24"/>
              </w:rPr>
              <w:t>Proposed duration</w:t>
            </w:r>
          </w:p>
        </w:tc>
        <w:tc>
          <w:tcPr>
            <w:tcW w:w="6843" w:type="dxa"/>
            <w:shd w:val="clear" w:color="auto" w:fill="auto"/>
            <w:vAlign w:val="center"/>
          </w:tcPr>
          <w:p w:rsidR="00710C7C" w:rsidRPr="00710C7C" w:rsidRDefault="00710C7C" w:rsidP="00710C7C">
            <w:pPr>
              <w:spacing w:after="0" w:line="240" w:lineRule="auto"/>
              <w:rPr>
                <w:rFonts w:ascii="Arial" w:eastAsia="Calibri" w:hAnsi="Arial" w:cs="Arial"/>
                <w:bCs/>
                <w:i/>
                <w:sz w:val="24"/>
                <w:szCs w:val="24"/>
              </w:rPr>
            </w:pPr>
            <w:r w:rsidRPr="00710C7C">
              <w:rPr>
                <w:rFonts w:ascii="Arial" w:eastAsia="Calibri" w:hAnsi="Arial" w:cs="Arial"/>
                <w:bCs/>
                <w:i/>
                <w:sz w:val="24"/>
                <w:szCs w:val="24"/>
              </w:rPr>
              <w:t>Number of years, including frequency of any planned reviews.</w:t>
            </w:r>
          </w:p>
          <w:p w:rsidR="00710C7C" w:rsidRPr="00710C7C" w:rsidRDefault="00710C7C" w:rsidP="00710C7C">
            <w:pPr>
              <w:spacing w:after="0" w:line="240" w:lineRule="auto"/>
              <w:rPr>
                <w:rFonts w:ascii="Arial" w:eastAsia="Calibri" w:hAnsi="Arial" w:cs="Arial"/>
                <w:bCs/>
                <w:i/>
                <w:sz w:val="24"/>
                <w:szCs w:val="24"/>
              </w:rPr>
            </w:pPr>
          </w:p>
          <w:p w:rsidR="00710C7C" w:rsidRPr="00710C7C" w:rsidRDefault="00710C7C" w:rsidP="00710C7C">
            <w:pPr>
              <w:spacing w:after="0" w:line="240" w:lineRule="auto"/>
              <w:rPr>
                <w:rFonts w:ascii="Arial" w:eastAsia="Calibri" w:hAnsi="Arial" w:cs="Arial"/>
                <w:bCs/>
                <w:i/>
                <w:sz w:val="24"/>
                <w:szCs w:val="24"/>
              </w:rPr>
            </w:pPr>
            <w:r w:rsidRPr="00710C7C">
              <w:rPr>
                <w:rFonts w:ascii="Arial" w:eastAsia="Calibri" w:hAnsi="Arial" w:cs="Arial"/>
                <w:bCs/>
                <w:i/>
                <w:sz w:val="24"/>
                <w:szCs w:val="24"/>
              </w:rPr>
              <w:t xml:space="preserve">Note: The duration of any CQUIN variation should not exceed (but may be less than) the duration of the overall contract within which it is agreed. </w:t>
            </w:r>
          </w:p>
          <w:p w:rsidR="00710C7C" w:rsidRPr="00710C7C" w:rsidRDefault="00710C7C" w:rsidP="00710C7C">
            <w:pPr>
              <w:spacing w:after="0" w:line="240" w:lineRule="auto"/>
              <w:rPr>
                <w:rFonts w:ascii="Arial" w:eastAsia="Calibri" w:hAnsi="Arial" w:cs="Arial"/>
                <w:bCs/>
                <w:i/>
                <w:sz w:val="24"/>
                <w:szCs w:val="24"/>
              </w:rPr>
            </w:pPr>
          </w:p>
          <w:p w:rsidR="00710C7C" w:rsidRPr="00710C7C" w:rsidRDefault="00710C7C" w:rsidP="00710C7C">
            <w:pPr>
              <w:spacing w:after="0" w:line="240" w:lineRule="auto"/>
              <w:rPr>
                <w:rFonts w:ascii="Arial" w:eastAsia="Calibri" w:hAnsi="Arial" w:cs="Arial"/>
                <w:bCs/>
                <w:i/>
                <w:sz w:val="24"/>
                <w:szCs w:val="24"/>
              </w:rPr>
            </w:pPr>
            <w:r w:rsidRPr="00710C7C">
              <w:rPr>
                <w:rFonts w:ascii="Arial" w:eastAsia="Calibri" w:hAnsi="Arial" w:cs="Arial"/>
                <w:bCs/>
                <w:i/>
                <w:sz w:val="24"/>
                <w:szCs w:val="24"/>
              </w:rPr>
              <w:t>Note: Commissioner and provider will need to agree how they will handle any future changes to CQUIN rules for multi-year schemes, e.g. what happens if the total % available for CQUIN goes up or down.</w:t>
            </w:r>
          </w:p>
        </w:tc>
      </w:tr>
      <w:tr w:rsidR="00710C7C" w:rsidRPr="00710C7C" w:rsidTr="001473AA">
        <w:trPr>
          <w:trHeight w:val="1102"/>
        </w:trPr>
        <w:tc>
          <w:tcPr>
            <w:tcW w:w="2337" w:type="dxa"/>
            <w:shd w:val="clear" w:color="auto" w:fill="auto"/>
            <w:vAlign w:val="center"/>
          </w:tcPr>
          <w:p w:rsidR="00710C7C" w:rsidRPr="00710C7C" w:rsidRDefault="00710C7C" w:rsidP="00710C7C">
            <w:pPr>
              <w:spacing w:after="0" w:line="240" w:lineRule="auto"/>
              <w:rPr>
                <w:rFonts w:ascii="Arial" w:eastAsia="Calibri" w:hAnsi="Arial" w:cs="Arial"/>
                <w:bCs/>
                <w:sz w:val="24"/>
                <w:szCs w:val="24"/>
              </w:rPr>
            </w:pPr>
            <w:r w:rsidRPr="00710C7C">
              <w:rPr>
                <w:rFonts w:ascii="Arial" w:eastAsia="Calibri" w:hAnsi="Arial" w:cs="Arial"/>
                <w:bCs/>
                <w:sz w:val="24"/>
                <w:szCs w:val="24"/>
              </w:rPr>
              <w:t>Impact</w:t>
            </w:r>
          </w:p>
        </w:tc>
        <w:tc>
          <w:tcPr>
            <w:tcW w:w="6843" w:type="dxa"/>
            <w:shd w:val="clear" w:color="auto" w:fill="auto"/>
            <w:vAlign w:val="center"/>
          </w:tcPr>
          <w:p w:rsidR="00710C7C" w:rsidRPr="00710C7C" w:rsidRDefault="00710C7C" w:rsidP="00710C7C">
            <w:pPr>
              <w:numPr>
                <w:ilvl w:val="0"/>
                <w:numId w:val="1"/>
              </w:numPr>
              <w:spacing w:after="0" w:line="240" w:lineRule="auto"/>
              <w:contextualSpacing/>
              <w:rPr>
                <w:rFonts w:ascii="Arial" w:eastAsia="Calibri" w:hAnsi="Arial" w:cs="Arial"/>
                <w:bCs/>
                <w:i/>
                <w:sz w:val="24"/>
                <w:szCs w:val="24"/>
              </w:rPr>
            </w:pPr>
            <w:r w:rsidRPr="00710C7C">
              <w:rPr>
                <w:rFonts w:ascii="Arial" w:eastAsia="Calibri" w:hAnsi="Arial" w:cs="Arial"/>
                <w:bCs/>
                <w:i/>
                <w:sz w:val="24"/>
                <w:szCs w:val="24"/>
              </w:rPr>
              <w:t xml:space="preserve">How will the new approach impact the quality of care patients receive? </w:t>
            </w:r>
          </w:p>
          <w:p w:rsidR="00710C7C" w:rsidRPr="00710C7C" w:rsidRDefault="00710C7C" w:rsidP="00710C7C">
            <w:pPr>
              <w:numPr>
                <w:ilvl w:val="0"/>
                <w:numId w:val="1"/>
              </w:numPr>
              <w:spacing w:after="0" w:line="240" w:lineRule="auto"/>
              <w:contextualSpacing/>
              <w:rPr>
                <w:rFonts w:ascii="Arial" w:eastAsia="Calibri" w:hAnsi="Arial" w:cs="Arial"/>
                <w:bCs/>
                <w:i/>
                <w:sz w:val="24"/>
                <w:szCs w:val="24"/>
              </w:rPr>
            </w:pPr>
            <w:r w:rsidRPr="00710C7C">
              <w:rPr>
                <w:rFonts w:ascii="Arial" w:eastAsia="Calibri" w:hAnsi="Arial" w:cs="Arial"/>
                <w:bCs/>
                <w:i/>
                <w:sz w:val="24"/>
                <w:szCs w:val="24"/>
              </w:rPr>
              <w:t>What quality metrics are being monitored?</w:t>
            </w:r>
          </w:p>
          <w:p w:rsidR="00710C7C" w:rsidRPr="00710C7C" w:rsidRDefault="00710C7C" w:rsidP="00710C7C">
            <w:pPr>
              <w:numPr>
                <w:ilvl w:val="0"/>
                <w:numId w:val="1"/>
              </w:numPr>
              <w:spacing w:after="0" w:line="240" w:lineRule="auto"/>
              <w:contextualSpacing/>
              <w:rPr>
                <w:rFonts w:ascii="Arial" w:eastAsia="Calibri" w:hAnsi="Arial" w:cs="Arial"/>
                <w:bCs/>
                <w:i/>
                <w:sz w:val="24"/>
                <w:szCs w:val="24"/>
              </w:rPr>
            </w:pPr>
            <w:r w:rsidRPr="00710C7C">
              <w:rPr>
                <w:rFonts w:ascii="Arial" w:eastAsia="Calibri" w:hAnsi="Arial" w:cs="Arial"/>
                <w:bCs/>
                <w:i/>
                <w:sz w:val="24"/>
                <w:szCs w:val="24"/>
              </w:rPr>
              <w:t>Are there associated operational risks? How are these being managed?</w:t>
            </w:r>
          </w:p>
          <w:p w:rsidR="00710C7C" w:rsidRPr="00710C7C" w:rsidRDefault="00710C7C" w:rsidP="00710C7C">
            <w:pPr>
              <w:numPr>
                <w:ilvl w:val="0"/>
                <w:numId w:val="1"/>
              </w:numPr>
              <w:spacing w:after="0" w:line="240" w:lineRule="auto"/>
              <w:contextualSpacing/>
              <w:rPr>
                <w:rFonts w:ascii="Arial" w:eastAsia="Calibri" w:hAnsi="Arial" w:cs="Arial"/>
                <w:bCs/>
                <w:i/>
                <w:sz w:val="24"/>
                <w:szCs w:val="24"/>
              </w:rPr>
            </w:pPr>
            <w:r w:rsidRPr="00710C7C">
              <w:rPr>
                <w:rFonts w:ascii="Arial" w:eastAsia="Calibri" w:hAnsi="Arial" w:cs="Arial"/>
                <w:bCs/>
                <w:i/>
                <w:sz w:val="24"/>
                <w:szCs w:val="24"/>
              </w:rPr>
              <w:t>How will the new approach be evaluated?</w:t>
            </w:r>
          </w:p>
          <w:p w:rsidR="00710C7C" w:rsidRPr="00710C7C" w:rsidRDefault="00710C7C" w:rsidP="00710C7C">
            <w:pPr>
              <w:numPr>
                <w:ilvl w:val="0"/>
                <w:numId w:val="1"/>
              </w:numPr>
              <w:spacing w:after="0" w:line="240" w:lineRule="auto"/>
              <w:contextualSpacing/>
              <w:rPr>
                <w:rFonts w:ascii="Arial" w:eastAsia="Calibri" w:hAnsi="Arial" w:cs="Arial"/>
                <w:bCs/>
                <w:i/>
                <w:sz w:val="24"/>
                <w:szCs w:val="24"/>
              </w:rPr>
            </w:pPr>
            <w:r w:rsidRPr="00710C7C">
              <w:rPr>
                <w:rFonts w:ascii="Arial" w:eastAsia="Calibri" w:hAnsi="Arial" w:cs="Arial"/>
                <w:bCs/>
                <w:i/>
                <w:sz w:val="24"/>
                <w:szCs w:val="24"/>
              </w:rPr>
              <w:t>How will the variation create a more effective incentive for the provider(s) to achieve the desired outcomes for patients?</w:t>
            </w:r>
          </w:p>
        </w:tc>
      </w:tr>
      <w:tr w:rsidR="00710C7C" w:rsidRPr="00710C7C" w:rsidTr="001473AA">
        <w:trPr>
          <w:trHeight w:val="437"/>
        </w:trPr>
        <w:tc>
          <w:tcPr>
            <w:tcW w:w="2337" w:type="dxa"/>
            <w:shd w:val="clear" w:color="auto" w:fill="auto"/>
            <w:vAlign w:val="center"/>
          </w:tcPr>
          <w:p w:rsidR="00710C7C" w:rsidRPr="00710C7C" w:rsidRDefault="00710C7C" w:rsidP="00710C7C">
            <w:pPr>
              <w:spacing w:after="0" w:line="240" w:lineRule="auto"/>
              <w:rPr>
                <w:rFonts w:ascii="Arial" w:eastAsia="Calibri" w:hAnsi="Arial" w:cs="Arial"/>
                <w:bCs/>
                <w:sz w:val="24"/>
                <w:szCs w:val="24"/>
              </w:rPr>
            </w:pPr>
            <w:r w:rsidRPr="00710C7C">
              <w:rPr>
                <w:rFonts w:ascii="Arial" w:eastAsia="Calibri" w:hAnsi="Arial" w:cs="Arial"/>
                <w:bCs/>
                <w:sz w:val="24"/>
                <w:szCs w:val="24"/>
              </w:rPr>
              <w:t>Start date of agreement</w:t>
            </w:r>
          </w:p>
        </w:tc>
        <w:tc>
          <w:tcPr>
            <w:tcW w:w="6843" w:type="dxa"/>
            <w:shd w:val="clear" w:color="auto" w:fill="auto"/>
            <w:vAlign w:val="center"/>
          </w:tcPr>
          <w:p w:rsidR="00710C7C" w:rsidRPr="00710C7C" w:rsidRDefault="00710C7C" w:rsidP="00710C7C">
            <w:pPr>
              <w:spacing w:after="0" w:line="240" w:lineRule="auto"/>
              <w:rPr>
                <w:rFonts w:ascii="Arial" w:eastAsia="Calibri" w:hAnsi="Arial" w:cs="Arial"/>
                <w:bCs/>
                <w:i/>
                <w:sz w:val="24"/>
                <w:szCs w:val="24"/>
              </w:rPr>
            </w:pPr>
            <w:r w:rsidRPr="00710C7C">
              <w:rPr>
                <w:rFonts w:ascii="Arial" w:eastAsia="Calibri" w:hAnsi="Arial" w:cs="Arial"/>
                <w:bCs/>
                <w:i/>
                <w:sz w:val="24"/>
                <w:szCs w:val="24"/>
              </w:rPr>
              <w:t>Date agreement begins</w:t>
            </w:r>
          </w:p>
        </w:tc>
      </w:tr>
      <w:tr w:rsidR="00710C7C" w:rsidRPr="00710C7C" w:rsidTr="001473AA">
        <w:trPr>
          <w:trHeight w:val="437"/>
        </w:trPr>
        <w:tc>
          <w:tcPr>
            <w:tcW w:w="2337" w:type="dxa"/>
            <w:shd w:val="clear" w:color="auto" w:fill="auto"/>
            <w:vAlign w:val="center"/>
          </w:tcPr>
          <w:p w:rsidR="00710C7C" w:rsidRPr="00710C7C" w:rsidRDefault="00710C7C" w:rsidP="00710C7C">
            <w:pPr>
              <w:spacing w:after="0" w:line="240" w:lineRule="auto"/>
              <w:rPr>
                <w:rFonts w:ascii="Arial" w:eastAsia="Calibri" w:hAnsi="Arial" w:cs="Arial"/>
                <w:bCs/>
                <w:sz w:val="24"/>
                <w:szCs w:val="24"/>
              </w:rPr>
            </w:pPr>
            <w:r w:rsidRPr="00710C7C">
              <w:rPr>
                <w:rFonts w:ascii="Arial" w:eastAsia="Calibri" w:hAnsi="Arial" w:cs="Arial"/>
                <w:bCs/>
                <w:sz w:val="24"/>
                <w:szCs w:val="24"/>
              </w:rPr>
              <w:t xml:space="preserve">End date of agreement </w:t>
            </w:r>
          </w:p>
        </w:tc>
        <w:tc>
          <w:tcPr>
            <w:tcW w:w="6843" w:type="dxa"/>
            <w:shd w:val="clear" w:color="auto" w:fill="auto"/>
            <w:vAlign w:val="center"/>
          </w:tcPr>
          <w:p w:rsidR="00710C7C" w:rsidRPr="00710C7C" w:rsidRDefault="00710C7C" w:rsidP="00710C7C">
            <w:pPr>
              <w:spacing w:after="0" w:line="240" w:lineRule="auto"/>
              <w:rPr>
                <w:rFonts w:ascii="Arial" w:eastAsia="Calibri" w:hAnsi="Arial" w:cs="Arial"/>
                <w:bCs/>
                <w:i/>
                <w:sz w:val="24"/>
                <w:szCs w:val="24"/>
              </w:rPr>
            </w:pPr>
            <w:r w:rsidRPr="00710C7C">
              <w:rPr>
                <w:rFonts w:ascii="Arial" w:eastAsia="Calibri" w:hAnsi="Arial" w:cs="Arial"/>
                <w:bCs/>
                <w:i/>
                <w:sz w:val="24"/>
                <w:szCs w:val="24"/>
              </w:rPr>
              <w:t>Date agreement ends</w:t>
            </w:r>
          </w:p>
        </w:tc>
      </w:tr>
      <w:tr w:rsidR="00710C7C" w:rsidRPr="00710C7C" w:rsidTr="001473AA">
        <w:trPr>
          <w:trHeight w:val="416"/>
        </w:trPr>
        <w:tc>
          <w:tcPr>
            <w:tcW w:w="2337" w:type="dxa"/>
            <w:shd w:val="clear" w:color="auto" w:fill="auto"/>
            <w:vAlign w:val="center"/>
          </w:tcPr>
          <w:p w:rsidR="00710C7C" w:rsidRPr="00710C7C" w:rsidRDefault="00710C7C" w:rsidP="00710C7C">
            <w:pPr>
              <w:spacing w:after="0" w:line="240" w:lineRule="auto"/>
              <w:rPr>
                <w:rFonts w:ascii="Arial" w:eastAsia="Calibri" w:hAnsi="Arial" w:cs="Arial"/>
                <w:bCs/>
                <w:sz w:val="24"/>
                <w:szCs w:val="24"/>
              </w:rPr>
            </w:pPr>
            <w:r w:rsidRPr="00710C7C">
              <w:rPr>
                <w:rFonts w:ascii="Arial" w:eastAsia="Calibri" w:hAnsi="Arial" w:cs="Arial"/>
                <w:bCs/>
                <w:sz w:val="24"/>
                <w:szCs w:val="24"/>
              </w:rPr>
              <w:t>Contact</w:t>
            </w:r>
          </w:p>
        </w:tc>
        <w:tc>
          <w:tcPr>
            <w:tcW w:w="6843" w:type="dxa"/>
            <w:shd w:val="clear" w:color="auto" w:fill="auto"/>
            <w:vAlign w:val="center"/>
          </w:tcPr>
          <w:p w:rsidR="00710C7C" w:rsidRPr="00710C7C" w:rsidRDefault="00710C7C" w:rsidP="00710C7C">
            <w:pPr>
              <w:spacing w:after="0" w:line="240" w:lineRule="auto"/>
              <w:rPr>
                <w:rFonts w:ascii="Arial" w:eastAsia="Calibri" w:hAnsi="Arial" w:cs="Arial"/>
                <w:bCs/>
                <w:i/>
                <w:sz w:val="24"/>
                <w:szCs w:val="24"/>
              </w:rPr>
            </w:pPr>
            <w:r w:rsidRPr="00710C7C">
              <w:rPr>
                <w:rFonts w:ascii="Arial" w:eastAsia="Calibri" w:hAnsi="Arial" w:cs="Arial"/>
                <w:bCs/>
                <w:i/>
                <w:sz w:val="24"/>
                <w:szCs w:val="24"/>
              </w:rPr>
              <w:t>Email address in case of follow up enquiries</w:t>
            </w:r>
          </w:p>
        </w:tc>
      </w:tr>
    </w:tbl>
    <w:p w:rsidR="00A2470F" w:rsidRPr="008D3814" w:rsidRDefault="00A2470F" w:rsidP="00F5728C">
      <w:pPr>
        <w:tabs>
          <w:tab w:val="left" w:pos="1140"/>
        </w:tabs>
      </w:pPr>
    </w:p>
    <w:sectPr w:rsidR="00A2470F" w:rsidRPr="008D3814">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F47" w:rsidRDefault="00A34BE1">
      <w:pPr>
        <w:spacing w:after="0" w:line="240" w:lineRule="auto"/>
      </w:pPr>
      <w:r>
        <w:separator/>
      </w:r>
    </w:p>
  </w:endnote>
  <w:endnote w:type="continuationSeparator" w:id="0">
    <w:p w:rsidR="00D82F47" w:rsidRDefault="00A34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22F" w:rsidRPr="0077722F" w:rsidRDefault="0077722F" w:rsidP="0077722F">
    <w:pPr>
      <w:pStyle w:val="Footer"/>
      <w:rPr>
        <w:rFonts w:ascii="Arial" w:hAnsi="Arial" w:cs="Arial"/>
        <w:sz w:val="20"/>
        <w:szCs w:val="20"/>
      </w:rPr>
    </w:pPr>
    <w:r w:rsidRPr="0077722F">
      <w:rPr>
        <w:rFonts w:ascii="Arial" w:hAnsi="Arial" w:cs="Arial"/>
        <w:b/>
        <w:sz w:val="20"/>
        <w:szCs w:val="20"/>
      </w:rPr>
      <w:t>Gateway Reference Number</w:t>
    </w:r>
    <w:r w:rsidR="00983699">
      <w:rPr>
        <w:rFonts w:ascii="Arial" w:hAnsi="Arial" w:cs="Arial"/>
        <w:sz w:val="20"/>
        <w:szCs w:val="20"/>
      </w:rPr>
      <w:t>: 04225</w:t>
    </w:r>
    <w:r w:rsidRPr="0077722F">
      <w:rPr>
        <w:rFonts w:ascii="Arial" w:hAnsi="Arial" w:cs="Arial"/>
        <w:sz w:val="20"/>
        <w:szCs w:val="20"/>
      </w:rPr>
      <w:tab/>
    </w:r>
  </w:p>
  <w:p w:rsidR="000A46DF" w:rsidRPr="000A46DF" w:rsidRDefault="0077722F" w:rsidP="000A46DF">
    <w:pPr>
      <w:spacing w:after="0" w:line="240" w:lineRule="auto"/>
      <w:rPr>
        <w:rFonts w:ascii="Arial" w:eastAsia="Times New Roman" w:hAnsi="Arial" w:cs="Arial"/>
        <w:bCs/>
        <w:color w:val="000000"/>
        <w:sz w:val="20"/>
        <w:szCs w:val="20"/>
      </w:rPr>
    </w:pPr>
    <w:r w:rsidRPr="0077722F">
      <w:rPr>
        <w:rFonts w:ascii="Arial" w:hAnsi="Arial" w:cs="Arial"/>
        <w:sz w:val="20"/>
        <w:szCs w:val="20"/>
      </w:rPr>
      <w:t>NB: This document forms part of the CQUIN Guidance for 20</w:t>
    </w:r>
    <w:r w:rsidR="000A46DF">
      <w:rPr>
        <w:rFonts w:ascii="Arial" w:hAnsi="Arial" w:cs="Arial"/>
        <w:sz w:val="20"/>
        <w:szCs w:val="20"/>
      </w:rPr>
      <w:t xml:space="preserve">16/17 which can be found here: </w:t>
    </w:r>
    <w:bookmarkStart w:id="2" w:name="_GoBack"/>
    <w:r w:rsidR="0014273A">
      <w:fldChar w:fldCharType="begin"/>
    </w:r>
    <w:r w:rsidR="0014273A">
      <w:instrText xml:space="preserve"> HYPERLINK "https://www.england.nhs.uk/nhs-standard-contract/cquin/cquin-16-17/" </w:instrText>
    </w:r>
    <w:r w:rsidR="0014273A">
      <w:fldChar w:fldCharType="separate"/>
    </w:r>
    <w:r w:rsidR="000A46DF" w:rsidRPr="000A46DF">
      <w:rPr>
        <w:rStyle w:val="Hyperlink"/>
        <w:rFonts w:ascii="Arial" w:hAnsi="Arial" w:cs="Arial"/>
        <w:color w:val="0070C0"/>
        <w:sz w:val="20"/>
        <w:szCs w:val="20"/>
      </w:rPr>
      <w:t>https://www.england.nhs.uk/nhs-standard-contract/cquin/cquin-16-17/</w:t>
    </w:r>
    <w:r w:rsidR="0014273A">
      <w:rPr>
        <w:rStyle w:val="Hyperlink"/>
        <w:rFonts w:ascii="Arial" w:hAnsi="Arial" w:cs="Arial"/>
        <w:color w:val="0070C0"/>
        <w:sz w:val="20"/>
        <w:szCs w:val="20"/>
      </w:rPr>
      <w:fldChar w:fldCharType="end"/>
    </w:r>
    <w:bookmarkEnd w:id="2"/>
  </w:p>
  <w:p w:rsidR="00B17140" w:rsidRPr="0077722F" w:rsidRDefault="0077722F" w:rsidP="0077722F">
    <w:pPr>
      <w:pStyle w:val="Footer"/>
      <w:rPr>
        <w:color w:val="FF0000"/>
        <w:szCs w:val="24"/>
      </w:rPr>
    </w:pPr>
    <w:r w:rsidRPr="0077722F">
      <w:rPr>
        <w:rFonts w:ascii="Arial" w:hAnsi="Arial" w:cs="Arial"/>
        <w:color w:val="FF0000"/>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F47" w:rsidRDefault="00A34BE1">
      <w:pPr>
        <w:spacing w:after="0" w:line="240" w:lineRule="auto"/>
      </w:pPr>
      <w:r>
        <w:separator/>
      </w:r>
    </w:p>
  </w:footnote>
  <w:footnote w:type="continuationSeparator" w:id="0">
    <w:p w:rsidR="00D82F47" w:rsidRDefault="00A34B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24FB8"/>
    <w:multiLevelType w:val="hybridMultilevel"/>
    <w:tmpl w:val="341A50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C7C"/>
    <w:rsid w:val="000A46DF"/>
    <w:rsid w:val="0014273A"/>
    <w:rsid w:val="0018795D"/>
    <w:rsid w:val="00710C7C"/>
    <w:rsid w:val="0077722F"/>
    <w:rsid w:val="008D3814"/>
    <w:rsid w:val="00983699"/>
    <w:rsid w:val="00A2470F"/>
    <w:rsid w:val="00A34BE1"/>
    <w:rsid w:val="00D82F47"/>
    <w:rsid w:val="00F57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10C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0C7C"/>
  </w:style>
  <w:style w:type="paragraph" w:styleId="Header">
    <w:name w:val="header"/>
    <w:basedOn w:val="Normal"/>
    <w:link w:val="HeaderChar"/>
    <w:uiPriority w:val="99"/>
    <w:unhideWhenUsed/>
    <w:rsid w:val="007772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22F"/>
  </w:style>
  <w:style w:type="character" w:styleId="Hyperlink">
    <w:name w:val="Hyperlink"/>
    <w:uiPriority w:val="99"/>
    <w:unhideWhenUsed/>
    <w:rsid w:val="000A46DF"/>
    <w:rPr>
      <w:color w:val="0000FF"/>
      <w:u w:val="single"/>
    </w:rPr>
  </w:style>
  <w:style w:type="paragraph" w:styleId="BalloonText">
    <w:name w:val="Balloon Text"/>
    <w:basedOn w:val="Normal"/>
    <w:link w:val="BalloonTextChar"/>
    <w:uiPriority w:val="99"/>
    <w:semiHidden/>
    <w:unhideWhenUsed/>
    <w:rsid w:val="008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8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10C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0C7C"/>
  </w:style>
  <w:style w:type="paragraph" w:styleId="Header">
    <w:name w:val="header"/>
    <w:basedOn w:val="Normal"/>
    <w:link w:val="HeaderChar"/>
    <w:uiPriority w:val="99"/>
    <w:unhideWhenUsed/>
    <w:rsid w:val="007772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22F"/>
  </w:style>
  <w:style w:type="character" w:styleId="Hyperlink">
    <w:name w:val="Hyperlink"/>
    <w:uiPriority w:val="99"/>
    <w:unhideWhenUsed/>
    <w:rsid w:val="000A46DF"/>
    <w:rPr>
      <w:color w:val="0000FF"/>
      <w:u w:val="single"/>
    </w:rPr>
  </w:style>
  <w:style w:type="paragraph" w:styleId="BalloonText">
    <w:name w:val="Balloon Text"/>
    <w:basedOn w:val="Normal"/>
    <w:link w:val="BalloonTextChar"/>
    <w:uiPriority w:val="99"/>
    <w:semiHidden/>
    <w:unhideWhenUsed/>
    <w:rsid w:val="008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8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cquin@nhs.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55D8E-ED0A-492E-A86C-3164A9DBA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Gulnaz Akhtar</dc:creator>
  <cp:lastModifiedBy>Cooper, Jennifer</cp:lastModifiedBy>
  <cp:revision>9</cp:revision>
  <dcterms:created xsi:type="dcterms:W3CDTF">2016-01-25T13:51:00Z</dcterms:created>
  <dcterms:modified xsi:type="dcterms:W3CDTF">2016-03-09T12:27:00Z</dcterms:modified>
</cp:coreProperties>
</file>