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AF" w:rsidRDefault="00150FAF" w:rsidP="00D836F3">
      <w:pPr>
        <w:rPr>
          <w:b/>
        </w:rPr>
      </w:pPr>
      <w:bookmarkStart w:id="0" w:name="_GoBack"/>
      <w:bookmarkEnd w:id="0"/>
    </w:p>
    <w:p w:rsidR="00150FAF" w:rsidRDefault="00150FAF" w:rsidP="00D836F3">
      <w:pPr>
        <w:rPr>
          <w:b/>
        </w:rPr>
      </w:pPr>
    </w:p>
    <w:p w:rsidR="00150FAF" w:rsidRDefault="00150FAF" w:rsidP="00D836F3">
      <w:pPr>
        <w:rPr>
          <w:b/>
        </w:rPr>
      </w:pPr>
    </w:p>
    <w:p w:rsidR="00150FAF" w:rsidRDefault="00150FAF" w:rsidP="00D836F3">
      <w:pPr>
        <w:rPr>
          <w:b/>
        </w:rPr>
      </w:pPr>
    </w:p>
    <w:p w:rsidR="00150FAF" w:rsidRDefault="00150FAF" w:rsidP="00D836F3">
      <w:pPr>
        <w:rPr>
          <w:b/>
        </w:rPr>
      </w:pPr>
    </w:p>
    <w:p w:rsidR="00150FAF" w:rsidRDefault="00150FAF" w:rsidP="00D836F3">
      <w:pPr>
        <w:rPr>
          <w:b/>
        </w:rPr>
      </w:pPr>
    </w:p>
    <w:p w:rsidR="00150FAF" w:rsidRDefault="00150FAF" w:rsidP="00D836F3">
      <w:pPr>
        <w:rPr>
          <w:b/>
        </w:rPr>
      </w:pPr>
    </w:p>
    <w:p w:rsidR="00150FAF" w:rsidRDefault="00150FAF" w:rsidP="00D836F3">
      <w:pPr>
        <w:rPr>
          <w:b/>
        </w:rPr>
      </w:pPr>
    </w:p>
    <w:p w:rsidR="00150FAF" w:rsidRPr="00712D13" w:rsidRDefault="00150FAF" w:rsidP="00D836F3">
      <w:pPr>
        <w:rPr>
          <w:b/>
          <w:szCs w:val="24"/>
        </w:rPr>
      </w:pPr>
    </w:p>
    <w:p w:rsidR="00712D13" w:rsidRPr="00712D13" w:rsidRDefault="00D836F3" w:rsidP="00712D13">
      <w:pPr>
        <w:shd w:val="clear" w:color="auto" w:fill="FFFFFF"/>
        <w:overflowPunct/>
        <w:autoSpaceDE/>
        <w:autoSpaceDN/>
        <w:adjustRightInd/>
        <w:ind w:left="-360" w:firstLine="360"/>
        <w:textAlignment w:val="auto"/>
        <w:rPr>
          <w:rFonts w:cs="Arial"/>
          <w:szCs w:val="24"/>
        </w:rPr>
      </w:pPr>
      <w:r w:rsidRPr="00712D13">
        <w:rPr>
          <w:rFonts w:cs="Arial"/>
          <w:b/>
          <w:szCs w:val="24"/>
        </w:rPr>
        <w:t xml:space="preserve">Publications Gateway Reference: </w:t>
      </w:r>
      <w:hyperlink r:id="rId9" w:history="1">
        <w:r w:rsidR="00712D13" w:rsidRPr="00712D13">
          <w:rPr>
            <w:rFonts w:cs="Arial"/>
            <w:szCs w:val="24"/>
          </w:rPr>
          <w:t>GW-159</w:t>
        </w:r>
      </w:hyperlink>
    </w:p>
    <w:p w:rsidR="00D836F3" w:rsidRPr="00832230" w:rsidRDefault="00D836F3" w:rsidP="00D836F3">
      <w:pPr>
        <w:rPr>
          <w:b/>
          <w:color w:val="FF0000"/>
        </w:rPr>
      </w:pPr>
    </w:p>
    <w:p w:rsidR="00150FAF" w:rsidRPr="00150FAF" w:rsidRDefault="00150FAF" w:rsidP="00150FAF">
      <w:pPr>
        <w:ind w:rightChars="-375" w:right="-900"/>
        <w:rPr>
          <w:color w:val="000000"/>
          <w:sz w:val="23"/>
          <w:szCs w:val="23"/>
        </w:rPr>
      </w:pPr>
      <w:r>
        <w:rPr>
          <w:rFonts w:cs="Arial"/>
          <w:b/>
          <w:noProof/>
          <w:sz w:val="28"/>
          <w:szCs w:val="28"/>
        </w:rPr>
        <mc:AlternateContent>
          <mc:Choice Requires="wps">
            <w:drawing>
              <wp:anchor distT="0" distB="0" distL="114300" distR="114300" simplePos="0" relativeHeight="251659264" behindDoc="0" locked="0" layoutInCell="1" allowOverlap="1" wp14:anchorId="599DD8B0" wp14:editId="178EB321">
                <wp:simplePos x="0" y="0"/>
                <wp:positionH relativeFrom="column">
                  <wp:posOffset>-86360</wp:posOffset>
                </wp:positionH>
                <wp:positionV relativeFrom="paragraph">
                  <wp:posOffset>276860</wp:posOffset>
                </wp:positionV>
                <wp:extent cx="6248400" cy="1424305"/>
                <wp:effectExtent l="19050" t="19050" r="19050" b="2349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424305"/>
                        </a:xfrm>
                        <a:prstGeom prst="rect">
                          <a:avLst/>
                        </a:prstGeom>
                        <a:solidFill>
                          <a:srgbClr val="FFFFFF"/>
                        </a:solidFill>
                        <a:ln w="38100" cmpd="dbl">
                          <a:solidFill>
                            <a:srgbClr val="000000"/>
                          </a:solidFill>
                          <a:miter lim="800000"/>
                          <a:headEnd/>
                          <a:tailEnd/>
                        </a:ln>
                      </wps:spPr>
                      <wps:txbx>
                        <w:txbxContent>
                          <w:p w:rsidR="00D836F3" w:rsidRDefault="00D836F3" w:rsidP="00D836F3">
                            <w:pPr>
                              <w:pStyle w:val="Heading2"/>
                              <w:pBdr>
                                <w:top w:val="none" w:sz="0" w:space="0" w:color="auto"/>
                                <w:left w:val="none" w:sz="0" w:space="0" w:color="auto"/>
                                <w:bottom w:val="none" w:sz="0" w:space="0" w:color="auto"/>
                                <w:right w:val="none" w:sz="0" w:space="0" w:color="auto"/>
                              </w:pBdr>
                              <w:ind w:rightChars="-60" w:right="-144"/>
                              <w:rPr>
                                <w:rFonts w:ascii="Arial" w:hAnsi="Arial" w:cs="Arial"/>
                                <w:sz w:val="32"/>
                                <w:szCs w:val="32"/>
                              </w:rPr>
                            </w:pPr>
                            <w:r>
                              <w:rPr>
                                <w:rFonts w:ascii="Arial" w:hAnsi="Arial" w:cs="Arial"/>
                                <w:sz w:val="32"/>
                                <w:szCs w:val="32"/>
                              </w:rPr>
                              <w:t>Protocol</w:t>
                            </w:r>
                          </w:p>
                          <w:p w:rsidR="00D836F3" w:rsidRPr="001D678E" w:rsidRDefault="00D836F3" w:rsidP="00D836F3"/>
                          <w:p w:rsidR="00D836F3" w:rsidRPr="00150FAF" w:rsidRDefault="00150FAF" w:rsidP="00D836F3">
                            <w:pPr>
                              <w:jc w:val="center"/>
                            </w:pPr>
                            <w:r w:rsidRPr="00150FAF">
                              <w:t>Administration of potassium iodide 65mg tablets to adults and children exposed to or at risk of exposure to radioactive iodine</w:t>
                            </w:r>
                            <w:r w:rsidR="007E0042">
                              <w:t xml:space="preserve"> in an emergency 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8pt;margin-top:21.8pt;width:492pt;height:1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" strokeweight="3pt">
                <v:stroke linestyle="thinThin"/>
                <v:textbox>
                  <w:txbxContent>
                    <w:p w:rsidR="00D836F3" w:rsidRDefault="00D836F3" w:rsidP="00D836F3">
                      <w:pPr>
                        <w:pStyle w:val="Heading2"/>
                        <w:pBdr>
                          <w:top w:val="none" w:sz="0" w:space="0" w:color="auto"/>
                          <w:left w:val="none" w:sz="0" w:space="0" w:color="auto"/>
                          <w:bottom w:val="none" w:sz="0" w:space="0" w:color="auto"/>
                          <w:right w:val="none" w:sz="0" w:space="0" w:color="auto"/>
                        </w:pBdr>
                        <w:ind w:rightChars="-60" w:right="-144"/>
                        <w:rPr>
                          <w:rFonts w:ascii="Arial" w:hAnsi="Arial" w:cs="Arial"/>
                          <w:sz w:val="32"/>
                          <w:szCs w:val="32"/>
                        </w:rPr>
                      </w:pPr>
                      <w:r>
                        <w:rPr>
                          <w:rFonts w:ascii="Arial" w:hAnsi="Arial" w:cs="Arial"/>
                          <w:sz w:val="32"/>
                          <w:szCs w:val="32"/>
                        </w:rPr>
                        <w:t>Protocol</w:t>
                      </w:r>
                    </w:p>
                    <w:p w:rsidR="00D836F3" w:rsidRPr="001D678E" w:rsidRDefault="00D836F3" w:rsidP="00D836F3"/>
                    <w:p w:rsidR="00D836F3" w:rsidRPr="00150FAF" w:rsidRDefault="00150FAF" w:rsidP="00D836F3">
                      <w:pPr>
                        <w:jc w:val="center"/>
                      </w:pPr>
                      <w:r w:rsidRPr="00150FAF">
                        <w:t>Administration of potassium iodide 65mg tablets to adults and children exposed to or at risk of exposure to radioactive iodine</w:t>
                      </w:r>
                      <w:r w:rsidR="007E0042">
                        <w:t xml:space="preserve"> in an emergency situation</w:t>
                      </w:r>
                    </w:p>
                  </w:txbxContent>
                </v:textbox>
                <w10:wrap type="topAndBottom"/>
              </v:rect>
            </w:pict>
          </mc:Fallback>
        </mc:AlternateContent>
      </w:r>
    </w:p>
    <w:p w:rsidR="00150FAF" w:rsidRDefault="00150FAF" w:rsidP="00D836F3">
      <w:pPr>
        <w:spacing w:line="320" w:lineRule="exact"/>
        <w:ind w:rightChars="-375" w:right="-900"/>
        <w:rPr>
          <w:rFonts w:cs="Arial"/>
          <w:color w:val="000000"/>
          <w:sz w:val="23"/>
          <w:szCs w:val="23"/>
        </w:rPr>
      </w:pPr>
    </w:p>
    <w:p w:rsidR="00D836F3" w:rsidRPr="00850733" w:rsidRDefault="00D836F3" w:rsidP="00D836F3">
      <w:pPr>
        <w:spacing w:line="320" w:lineRule="exact"/>
        <w:ind w:rightChars="-375" w:right="-900"/>
        <w:rPr>
          <w:rFonts w:cs="Arial"/>
          <w:i/>
          <w:color w:val="FF0000"/>
          <w:sz w:val="23"/>
          <w:szCs w:val="23"/>
        </w:rPr>
      </w:pPr>
      <w:r w:rsidRPr="00E47B6D">
        <w:rPr>
          <w:rFonts w:cs="Arial"/>
          <w:color w:val="000000"/>
          <w:sz w:val="23"/>
          <w:szCs w:val="23"/>
        </w:rPr>
        <w:t>Reference no:</w:t>
      </w:r>
      <w:r w:rsidRPr="00E47B6D">
        <w:rPr>
          <w:rFonts w:cs="Arial"/>
          <w:color w:val="000000"/>
          <w:sz w:val="23"/>
          <w:szCs w:val="23"/>
        </w:rPr>
        <w:tab/>
      </w:r>
      <w:r w:rsidR="003E6F4F">
        <w:rPr>
          <w:rFonts w:cs="Arial"/>
          <w:sz w:val="23"/>
          <w:szCs w:val="23"/>
        </w:rPr>
        <w:t>20181210</w:t>
      </w:r>
      <w:r w:rsidR="00150FAF">
        <w:rPr>
          <w:rFonts w:cs="Arial"/>
          <w:sz w:val="23"/>
          <w:szCs w:val="23"/>
        </w:rPr>
        <w:t xml:space="preserve"> </w:t>
      </w:r>
      <w:r w:rsidR="00150FAF" w:rsidRPr="00150FAF">
        <w:rPr>
          <w:rFonts w:cs="Arial"/>
          <w:sz w:val="23"/>
          <w:szCs w:val="23"/>
        </w:rPr>
        <w:t>Pot</w:t>
      </w:r>
      <w:r w:rsidR="00150FAF">
        <w:rPr>
          <w:rFonts w:cs="Arial"/>
          <w:sz w:val="23"/>
          <w:szCs w:val="23"/>
        </w:rPr>
        <w:t>a</w:t>
      </w:r>
      <w:r w:rsidR="00150FAF" w:rsidRPr="00150FAF">
        <w:rPr>
          <w:rFonts w:cs="Arial"/>
          <w:sz w:val="23"/>
          <w:szCs w:val="23"/>
        </w:rPr>
        <w:t>ssium iodide protocol</w:t>
      </w:r>
    </w:p>
    <w:p w:rsidR="00D836F3" w:rsidRPr="00850733" w:rsidRDefault="00D836F3" w:rsidP="00D836F3">
      <w:pPr>
        <w:spacing w:line="320" w:lineRule="exact"/>
        <w:ind w:rightChars="-375" w:right="-900"/>
        <w:rPr>
          <w:rFonts w:cs="Arial"/>
          <w:color w:val="000000"/>
          <w:sz w:val="23"/>
          <w:szCs w:val="23"/>
        </w:rPr>
      </w:pPr>
      <w:r w:rsidRPr="00850733">
        <w:rPr>
          <w:color w:val="000000"/>
          <w:sz w:val="23"/>
          <w:szCs w:val="23"/>
        </w:rPr>
        <w:t>Version no:</w:t>
      </w:r>
      <w:r w:rsidRPr="00850733">
        <w:rPr>
          <w:rFonts w:cs="Arial"/>
          <w:i/>
          <w:color w:val="FF0000"/>
          <w:sz w:val="23"/>
          <w:szCs w:val="23"/>
        </w:rPr>
        <w:t xml:space="preserve"> </w:t>
      </w:r>
      <w:r w:rsidRPr="00850733">
        <w:rPr>
          <w:rFonts w:cs="Arial"/>
          <w:i/>
          <w:color w:val="FF0000"/>
          <w:sz w:val="23"/>
          <w:szCs w:val="23"/>
        </w:rPr>
        <w:tab/>
      </w:r>
      <w:r w:rsidRPr="00850733">
        <w:rPr>
          <w:rFonts w:cs="Arial"/>
          <w:i/>
          <w:color w:val="FF0000"/>
          <w:sz w:val="23"/>
          <w:szCs w:val="23"/>
        </w:rPr>
        <w:tab/>
      </w:r>
      <w:r w:rsidRPr="00150FAF">
        <w:rPr>
          <w:rFonts w:cs="Arial"/>
          <w:sz w:val="23"/>
          <w:szCs w:val="23"/>
        </w:rPr>
        <w:t>0</w:t>
      </w:r>
      <w:r w:rsidR="00E740EA">
        <w:rPr>
          <w:rFonts w:cs="Arial"/>
          <w:sz w:val="23"/>
          <w:szCs w:val="23"/>
        </w:rPr>
        <w:t>1.00</w:t>
      </w:r>
    </w:p>
    <w:p w:rsidR="00D836F3" w:rsidRPr="00850733" w:rsidRDefault="00D836F3" w:rsidP="00D836F3">
      <w:pPr>
        <w:spacing w:line="320" w:lineRule="exact"/>
        <w:ind w:rightChars="-375" w:right="-900"/>
        <w:rPr>
          <w:rFonts w:cs="Arial"/>
          <w:sz w:val="23"/>
          <w:szCs w:val="23"/>
        </w:rPr>
      </w:pPr>
      <w:r w:rsidRPr="00850733">
        <w:rPr>
          <w:rFonts w:cs="Arial"/>
          <w:color w:val="000000"/>
          <w:sz w:val="23"/>
          <w:szCs w:val="23"/>
        </w:rPr>
        <w:t>Valid from:</w:t>
      </w:r>
      <w:r w:rsidRPr="00850733">
        <w:rPr>
          <w:rFonts w:cs="Arial"/>
          <w:color w:val="000000"/>
          <w:sz w:val="23"/>
          <w:szCs w:val="23"/>
        </w:rPr>
        <w:tab/>
      </w:r>
      <w:r w:rsidRPr="00850733">
        <w:rPr>
          <w:rFonts w:cs="Arial"/>
          <w:color w:val="000000"/>
          <w:sz w:val="23"/>
          <w:szCs w:val="23"/>
        </w:rPr>
        <w:tab/>
      </w:r>
      <w:r w:rsidR="00F3403D">
        <w:rPr>
          <w:rFonts w:cs="Arial"/>
          <w:color w:val="000000"/>
          <w:sz w:val="23"/>
          <w:szCs w:val="23"/>
        </w:rPr>
        <w:t>10</w:t>
      </w:r>
      <w:r w:rsidR="00150FAF">
        <w:rPr>
          <w:rFonts w:cs="Arial"/>
          <w:color w:val="000000"/>
          <w:sz w:val="23"/>
          <w:szCs w:val="23"/>
        </w:rPr>
        <w:t xml:space="preserve"> </w:t>
      </w:r>
      <w:r w:rsidR="00F3403D">
        <w:rPr>
          <w:rFonts w:cs="Arial"/>
          <w:color w:val="000000"/>
          <w:sz w:val="23"/>
          <w:szCs w:val="23"/>
        </w:rPr>
        <w:t>Dec</w:t>
      </w:r>
      <w:r w:rsidR="00C72A7F">
        <w:rPr>
          <w:rFonts w:cs="Arial"/>
          <w:color w:val="000000"/>
          <w:sz w:val="23"/>
          <w:szCs w:val="23"/>
        </w:rPr>
        <w:t>ember</w:t>
      </w:r>
      <w:r w:rsidR="00150FAF">
        <w:rPr>
          <w:rFonts w:cs="Arial"/>
          <w:color w:val="000000"/>
          <w:sz w:val="23"/>
          <w:szCs w:val="23"/>
        </w:rPr>
        <w:t xml:space="preserve"> 2018</w:t>
      </w:r>
      <w:r>
        <w:rPr>
          <w:rFonts w:cs="Arial"/>
          <w:i/>
          <w:sz w:val="23"/>
          <w:szCs w:val="23"/>
        </w:rPr>
        <w:t xml:space="preserve"> </w:t>
      </w:r>
    </w:p>
    <w:p w:rsidR="00D836F3" w:rsidRPr="00850733" w:rsidRDefault="00D836F3" w:rsidP="00D836F3">
      <w:pPr>
        <w:spacing w:line="320" w:lineRule="exact"/>
        <w:ind w:rightChars="-375" w:right="-900"/>
        <w:rPr>
          <w:rFonts w:cs="Arial"/>
          <w:sz w:val="23"/>
          <w:szCs w:val="23"/>
        </w:rPr>
      </w:pPr>
      <w:r w:rsidRPr="00850733">
        <w:rPr>
          <w:rFonts w:cs="Arial"/>
          <w:color w:val="000000"/>
          <w:sz w:val="23"/>
          <w:szCs w:val="23"/>
        </w:rPr>
        <w:t>Review date:</w:t>
      </w:r>
      <w:r w:rsidRPr="00850733">
        <w:rPr>
          <w:rFonts w:cs="Arial"/>
          <w:color w:val="000000"/>
          <w:sz w:val="23"/>
          <w:szCs w:val="23"/>
        </w:rPr>
        <w:tab/>
      </w:r>
      <w:r w:rsidRPr="00850733">
        <w:rPr>
          <w:rFonts w:cs="Arial"/>
          <w:color w:val="000000"/>
          <w:sz w:val="23"/>
          <w:szCs w:val="23"/>
        </w:rPr>
        <w:tab/>
      </w:r>
      <w:r w:rsidR="003E6F4F">
        <w:rPr>
          <w:rFonts w:cs="Arial"/>
          <w:color w:val="000000"/>
          <w:sz w:val="23"/>
          <w:szCs w:val="23"/>
        </w:rPr>
        <w:t>10 Dec</w:t>
      </w:r>
      <w:r w:rsidR="00C72A7F">
        <w:rPr>
          <w:rFonts w:cs="Arial"/>
          <w:sz w:val="23"/>
          <w:szCs w:val="23"/>
        </w:rPr>
        <w:t>ember</w:t>
      </w:r>
      <w:r w:rsidR="00150FAF">
        <w:rPr>
          <w:rFonts w:cs="Arial"/>
          <w:sz w:val="23"/>
          <w:szCs w:val="23"/>
        </w:rPr>
        <w:t xml:space="preserve"> 2020</w:t>
      </w:r>
      <w:r>
        <w:rPr>
          <w:rFonts w:cs="Arial"/>
          <w:i/>
          <w:sz w:val="23"/>
          <w:szCs w:val="23"/>
        </w:rPr>
        <w:t xml:space="preserve"> </w:t>
      </w:r>
    </w:p>
    <w:p w:rsidR="00D836F3" w:rsidRPr="00150FAF" w:rsidRDefault="00D836F3" w:rsidP="00D836F3">
      <w:pPr>
        <w:spacing w:line="320" w:lineRule="exact"/>
        <w:ind w:rightChars="-375" w:right="-900"/>
        <w:rPr>
          <w:rFonts w:cs="Arial"/>
          <w:color w:val="FF0000"/>
          <w:sz w:val="23"/>
          <w:szCs w:val="23"/>
        </w:rPr>
      </w:pPr>
      <w:r w:rsidRPr="00850733">
        <w:rPr>
          <w:rFonts w:cs="Arial"/>
          <w:color w:val="000000"/>
          <w:sz w:val="23"/>
          <w:szCs w:val="23"/>
        </w:rPr>
        <w:t>Expiry date:</w:t>
      </w:r>
      <w:r w:rsidRPr="00850733">
        <w:rPr>
          <w:rFonts w:cs="Arial"/>
          <w:color w:val="000000"/>
          <w:sz w:val="23"/>
          <w:szCs w:val="23"/>
        </w:rPr>
        <w:tab/>
      </w:r>
      <w:r w:rsidRPr="00850733">
        <w:rPr>
          <w:rFonts w:cs="Arial"/>
          <w:color w:val="000000"/>
          <w:sz w:val="23"/>
          <w:szCs w:val="23"/>
        </w:rPr>
        <w:tab/>
      </w:r>
      <w:r w:rsidR="003E6F4F">
        <w:rPr>
          <w:rFonts w:cs="Arial"/>
          <w:color w:val="000000"/>
          <w:sz w:val="23"/>
          <w:szCs w:val="23"/>
        </w:rPr>
        <w:t>10 Dec</w:t>
      </w:r>
      <w:r w:rsidR="00C72A7F">
        <w:rPr>
          <w:rFonts w:cs="Arial"/>
          <w:sz w:val="23"/>
          <w:szCs w:val="23"/>
        </w:rPr>
        <w:t>ember</w:t>
      </w:r>
      <w:r w:rsidR="00150FAF">
        <w:rPr>
          <w:rFonts w:cs="Arial"/>
          <w:sz w:val="23"/>
          <w:szCs w:val="23"/>
        </w:rPr>
        <w:t xml:space="preserve"> 2021</w:t>
      </w:r>
    </w:p>
    <w:p w:rsidR="00D836F3" w:rsidRPr="00E47B6D" w:rsidRDefault="00D836F3" w:rsidP="00D836F3">
      <w:pPr>
        <w:rPr>
          <w:rFonts w:cs="Arial"/>
          <w:b/>
          <w:sz w:val="23"/>
          <w:szCs w:val="23"/>
        </w:rPr>
      </w:pPr>
      <w:r w:rsidRPr="00E47B6D" w:rsidDel="00815487">
        <w:rPr>
          <w:rFonts w:cs="Arial"/>
          <w:b/>
          <w:color w:val="000000"/>
          <w:sz w:val="23"/>
          <w:szCs w:val="23"/>
        </w:rPr>
        <w:t xml:space="preserve"> </w:t>
      </w:r>
    </w:p>
    <w:p w:rsidR="00D836F3" w:rsidRPr="00E47B6D" w:rsidRDefault="00D836F3" w:rsidP="00D836F3">
      <w:pPr>
        <w:rPr>
          <w:rFonts w:cs="Arial"/>
          <w:b/>
          <w:sz w:val="23"/>
          <w:szCs w:val="23"/>
        </w:rPr>
      </w:pPr>
      <w:r w:rsidRPr="00E47B6D">
        <w:rPr>
          <w:rFonts w:cs="Arial"/>
          <w:b/>
          <w:sz w:val="23"/>
          <w:szCs w:val="23"/>
        </w:rPr>
        <w:t>Public Healt</w:t>
      </w:r>
      <w:r>
        <w:rPr>
          <w:rFonts w:cs="Arial"/>
          <w:b/>
          <w:sz w:val="23"/>
          <w:szCs w:val="23"/>
        </w:rPr>
        <w:t xml:space="preserve">h England has developed this protocol to </w:t>
      </w:r>
      <w:r w:rsidR="00150FAF">
        <w:rPr>
          <w:rFonts w:cs="Arial"/>
          <w:b/>
          <w:sz w:val="23"/>
          <w:szCs w:val="23"/>
        </w:rPr>
        <w:t>facilitate the administration of potassium iodide in an emergency situation</w:t>
      </w:r>
    </w:p>
    <w:p w:rsidR="00D836F3" w:rsidRPr="002D7A8C" w:rsidRDefault="00D836F3" w:rsidP="00D836F3">
      <w:pPr>
        <w:rPr>
          <w:rFonts w:cs="Arial"/>
          <w:b/>
          <w:sz w:val="23"/>
          <w:szCs w:val="23"/>
        </w:rPr>
      </w:pPr>
    </w:p>
    <w:p w:rsidR="00150FAF" w:rsidRPr="00150FAF" w:rsidRDefault="00D836F3" w:rsidP="00150FAF">
      <w:pPr>
        <w:overflowPunct/>
        <w:textAlignment w:val="auto"/>
        <w:rPr>
          <w:rFonts w:cs="Arial"/>
          <w:sz w:val="23"/>
          <w:szCs w:val="23"/>
        </w:rPr>
      </w:pPr>
      <w:r w:rsidRPr="002D7A8C">
        <w:rPr>
          <w:rFonts w:cs="Arial"/>
          <w:sz w:val="23"/>
          <w:szCs w:val="23"/>
        </w:rPr>
        <w:t xml:space="preserve">This protocol has been prepared by </w:t>
      </w:r>
      <w:r w:rsidR="00150FAF">
        <w:rPr>
          <w:rFonts w:cs="Arial"/>
          <w:sz w:val="23"/>
          <w:szCs w:val="23"/>
        </w:rPr>
        <w:t>the UK National Countermeasure Team</w:t>
      </w:r>
      <w:r w:rsidR="00150FAF" w:rsidRPr="00150FAF">
        <w:rPr>
          <w:rFonts w:cs="Arial"/>
          <w:sz w:val="23"/>
          <w:szCs w:val="23"/>
        </w:rPr>
        <w:t xml:space="preserve"> </w:t>
      </w:r>
      <w:r w:rsidR="00150FAF">
        <w:rPr>
          <w:rFonts w:cs="Arial"/>
          <w:sz w:val="23"/>
          <w:szCs w:val="23"/>
        </w:rPr>
        <w:t>for the administration of a Pharmacy only (P</w:t>
      </w:r>
      <w:r w:rsidR="00150FAF" w:rsidRPr="002D7A8C">
        <w:rPr>
          <w:rFonts w:cs="Arial"/>
          <w:sz w:val="23"/>
          <w:szCs w:val="23"/>
        </w:rPr>
        <w:t>) medication, for which a Patient Group Direction is not required.</w:t>
      </w:r>
    </w:p>
    <w:p w:rsidR="00D836F3" w:rsidRPr="002D7A8C" w:rsidRDefault="00D836F3" w:rsidP="00D836F3">
      <w:pPr>
        <w:overflowPunct/>
        <w:textAlignment w:val="auto"/>
        <w:rPr>
          <w:rFonts w:cs="Arial"/>
          <w:sz w:val="23"/>
          <w:szCs w:val="23"/>
        </w:rPr>
      </w:pPr>
    </w:p>
    <w:p w:rsidR="00D836F3" w:rsidRPr="002D7A8C" w:rsidRDefault="00D836F3" w:rsidP="00D836F3">
      <w:pPr>
        <w:overflowPunct/>
        <w:textAlignment w:val="auto"/>
        <w:rPr>
          <w:rFonts w:cs="Arial"/>
          <w:sz w:val="23"/>
          <w:szCs w:val="23"/>
        </w:rPr>
      </w:pPr>
      <w:r w:rsidRPr="002D7A8C">
        <w:rPr>
          <w:rFonts w:cs="Arial"/>
          <w:sz w:val="23"/>
          <w:szCs w:val="23"/>
        </w:rPr>
        <w:t xml:space="preserve">There is no legal requirement for formal authorisation of a protocol. The </w:t>
      </w:r>
      <w:r>
        <w:rPr>
          <w:rFonts w:cs="Arial"/>
          <w:sz w:val="23"/>
          <w:szCs w:val="23"/>
        </w:rPr>
        <w:t xml:space="preserve">protocol may be </w:t>
      </w:r>
      <w:r w:rsidRPr="002D7A8C">
        <w:rPr>
          <w:rFonts w:cs="Arial"/>
          <w:sz w:val="23"/>
          <w:szCs w:val="23"/>
        </w:rPr>
        <w:t>adopted by commissioners and providers to support practitioners</w:t>
      </w:r>
      <w:r w:rsidR="00150FAF">
        <w:rPr>
          <w:rFonts w:cs="Arial"/>
          <w:sz w:val="23"/>
          <w:szCs w:val="23"/>
        </w:rPr>
        <w:t>.</w:t>
      </w:r>
      <w:r w:rsidRPr="002D7A8C">
        <w:rPr>
          <w:rFonts w:cs="Arial"/>
          <w:sz w:val="23"/>
          <w:szCs w:val="23"/>
        </w:rPr>
        <w:t xml:space="preserve"> </w:t>
      </w:r>
    </w:p>
    <w:p w:rsidR="00D836F3" w:rsidRPr="002D7A8C" w:rsidRDefault="00D836F3" w:rsidP="00D836F3">
      <w:pPr>
        <w:rPr>
          <w:rFonts w:cs="Arial"/>
          <w:b/>
          <w:sz w:val="23"/>
          <w:szCs w:val="23"/>
        </w:rPr>
      </w:pPr>
    </w:p>
    <w:p w:rsidR="00150FAF" w:rsidRDefault="00D836F3" w:rsidP="00D836F3">
      <w:pPr>
        <w:overflowPunct/>
        <w:autoSpaceDE/>
        <w:autoSpaceDN/>
        <w:adjustRightInd/>
        <w:textAlignment w:val="auto"/>
        <w:rPr>
          <w:rFonts w:cs="Arial"/>
          <w:color w:val="000000"/>
          <w:sz w:val="23"/>
          <w:szCs w:val="23"/>
        </w:rPr>
      </w:pPr>
      <w:r w:rsidRPr="002D7A8C">
        <w:rPr>
          <w:rFonts w:cs="Arial"/>
          <w:color w:val="000000"/>
          <w:sz w:val="23"/>
          <w:szCs w:val="23"/>
        </w:rPr>
        <w:t>NMC Standards for Medicines Management require that NMC registrants must only supply and administer medicinal products in accordance with set processes</w:t>
      </w:r>
      <w:r w:rsidR="00150FAF">
        <w:rPr>
          <w:rFonts w:cs="Arial"/>
          <w:color w:val="000000"/>
          <w:sz w:val="23"/>
          <w:szCs w:val="23"/>
        </w:rPr>
        <w:t>. T</w:t>
      </w:r>
      <w:r w:rsidRPr="002D7A8C">
        <w:rPr>
          <w:rFonts w:cs="Arial"/>
          <w:color w:val="000000"/>
          <w:sz w:val="23"/>
          <w:szCs w:val="23"/>
        </w:rPr>
        <w:t>his protocol is intended to support nurses</w:t>
      </w:r>
      <w:r w:rsidR="00150FAF">
        <w:rPr>
          <w:rFonts w:cs="Arial"/>
          <w:color w:val="000000"/>
          <w:sz w:val="23"/>
          <w:szCs w:val="23"/>
        </w:rPr>
        <w:t xml:space="preserve"> and other healthcare practitioners</w:t>
      </w:r>
      <w:r w:rsidRPr="002D7A8C">
        <w:rPr>
          <w:rFonts w:cs="Arial"/>
          <w:color w:val="000000"/>
          <w:sz w:val="23"/>
          <w:szCs w:val="23"/>
        </w:rPr>
        <w:t xml:space="preserve"> in </w:t>
      </w:r>
      <w:r w:rsidR="00582021">
        <w:rPr>
          <w:rFonts w:cs="Arial"/>
          <w:color w:val="000000"/>
          <w:sz w:val="23"/>
          <w:szCs w:val="23"/>
        </w:rPr>
        <w:t xml:space="preserve">the administration </w:t>
      </w:r>
      <w:r w:rsidR="00150FAF">
        <w:rPr>
          <w:rFonts w:cs="Arial"/>
          <w:color w:val="000000"/>
          <w:sz w:val="23"/>
          <w:szCs w:val="23"/>
        </w:rPr>
        <w:t xml:space="preserve">of this </w:t>
      </w:r>
      <w:r w:rsidR="007B188B">
        <w:rPr>
          <w:rFonts w:cs="Arial"/>
          <w:color w:val="000000"/>
          <w:sz w:val="23"/>
          <w:szCs w:val="23"/>
        </w:rPr>
        <w:t>‘</w:t>
      </w:r>
      <w:r w:rsidR="00150FAF">
        <w:rPr>
          <w:rFonts w:cs="Arial"/>
          <w:color w:val="000000"/>
          <w:sz w:val="23"/>
          <w:szCs w:val="23"/>
        </w:rPr>
        <w:t>P</w:t>
      </w:r>
      <w:r w:rsidR="007B188B">
        <w:rPr>
          <w:rFonts w:cs="Arial"/>
          <w:color w:val="000000"/>
          <w:sz w:val="23"/>
          <w:szCs w:val="23"/>
        </w:rPr>
        <w:t>’</w:t>
      </w:r>
      <w:r w:rsidR="00150FAF">
        <w:rPr>
          <w:rFonts w:cs="Arial"/>
          <w:color w:val="000000"/>
          <w:sz w:val="23"/>
          <w:szCs w:val="23"/>
        </w:rPr>
        <w:t xml:space="preserve"> medicine.</w:t>
      </w:r>
    </w:p>
    <w:p w:rsidR="00150FAF" w:rsidRDefault="00150FAF" w:rsidP="00D836F3">
      <w:pPr>
        <w:overflowPunct/>
        <w:autoSpaceDE/>
        <w:autoSpaceDN/>
        <w:adjustRightInd/>
        <w:textAlignment w:val="auto"/>
        <w:rPr>
          <w:rFonts w:cs="Arial"/>
          <w:color w:val="000000"/>
          <w:sz w:val="23"/>
          <w:szCs w:val="23"/>
        </w:rPr>
      </w:pPr>
    </w:p>
    <w:p w:rsidR="007B188B" w:rsidRDefault="00150FAF" w:rsidP="00150FAF">
      <w:pPr>
        <w:spacing w:after="120"/>
        <w:rPr>
          <w:rStyle w:val="Hyperlink"/>
          <w:sz w:val="22"/>
          <w:szCs w:val="22"/>
        </w:rPr>
      </w:pPr>
      <w:r w:rsidRPr="00DB1A27">
        <w:rPr>
          <w:rFonts w:cs="Arial"/>
          <w:bCs/>
          <w:sz w:val="22"/>
          <w:szCs w:val="22"/>
        </w:rPr>
        <w:t>Any queries r</w:t>
      </w:r>
      <w:r>
        <w:rPr>
          <w:rFonts w:cs="Arial"/>
          <w:bCs/>
          <w:sz w:val="22"/>
          <w:szCs w:val="22"/>
        </w:rPr>
        <w:t>egarding the content of this protocol</w:t>
      </w:r>
      <w:r w:rsidRPr="00DB1A27">
        <w:rPr>
          <w:rFonts w:cs="Arial"/>
          <w:bCs/>
          <w:sz w:val="22"/>
          <w:szCs w:val="22"/>
        </w:rPr>
        <w:t xml:space="preserve"> should be addressed to: </w:t>
      </w:r>
      <w:hyperlink r:id="rId10" w:history="1">
        <w:r w:rsidR="003E6F4F" w:rsidRPr="00512A80">
          <w:rPr>
            <w:rStyle w:val="Hyperlink"/>
            <w:rFonts w:cs="Arial"/>
            <w:bCs/>
            <w:sz w:val="22"/>
            <w:szCs w:val="22"/>
          </w:rPr>
          <w:t>NSAC@phe.gov.uk</w:t>
        </w:r>
      </w:hyperlink>
      <w:r w:rsidR="003E6F4F">
        <w:rPr>
          <w:rFonts w:cs="Arial"/>
          <w:bCs/>
          <w:sz w:val="22"/>
          <w:szCs w:val="22"/>
        </w:rPr>
        <w:t xml:space="preserve"> </w:t>
      </w:r>
    </w:p>
    <w:p w:rsidR="007B188B" w:rsidRDefault="007B188B" w:rsidP="00150FAF">
      <w:pPr>
        <w:spacing w:after="120"/>
        <w:rPr>
          <w:rStyle w:val="Hyperlink"/>
          <w:sz w:val="22"/>
          <w:szCs w:val="22"/>
        </w:rPr>
      </w:pPr>
    </w:p>
    <w:p w:rsidR="007B188B" w:rsidRDefault="007B188B" w:rsidP="00150FAF">
      <w:pPr>
        <w:spacing w:after="120"/>
        <w:rPr>
          <w:rStyle w:val="Hyperlink"/>
          <w:sz w:val="22"/>
          <w:szCs w:val="22"/>
        </w:rPr>
      </w:pPr>
    </w:p>
    <w:p w:rsidR="007B188B" w:rsidRDefault="007B188B" w:rsidP="00150FAF">
      <w:pPr>
        <w:spacing w:after="120"/>
        <w:rPr>
          <w:rStyle w:val="Hyperlink"/>
          <w:sz w:val="22"/>
          <w:szCs w:val="22"/>
        </w:rPr>
      </w:pPr>
    </w:p>
    <w:p w:rsidR="007B188B" w:rsidRDefault="007B188B" w:rsidP="00150FAF">
      <w:pPr>
        <w:spacing w:after="120"/>
        <w:rPr>
          <w:rStyle w:val="Hyperlink"/>
          <w:sz w:val="22"/>
          <w:szCs w:val="22"/>
        </w:rPr>
      </w:pPr>
    </w:p>
    <w:p w:rsidR="007B188B" w:rsidRDefault="007B188B" w:rsidP="00150FAF">
      <w:pPr>
        <w:spacing w:after="120"/>
        <w:rPr>
          <w:rStyle w:val="Hyperlink"/>
          <w:sz w:val="22"/>
          <w:szCs w:val="22"/>
        </w:rPr>
      </w:pPr>
    </w:p>
    <w:p w:rsidR="00D836F3" w:rsidRPr="00222834" w:rsidRDefault="00D836F3" w:rsidP="00D836F3">
      <w:pPr>
        <w:pStyle w:val="Header"/>
        <w:numPr>
          <w:ilvl w:val="0"/>
          <w:numId w:val="3"/>
        </w:numPr>
        <w:tabs>
          <w:tab w:val="left" w:pos="720"/>
        </w:tabs>
        <w:jc w:val="both"/>
        <w:rPr>
          <w:rFonts w:ascii="Arial" w:hAnsi="Arial" w:cs="Arial"/>
          <w:b/>
          <w:szCs w:val="24"/>
        </w:rPr>
      </w:pPr>
      <w:r>
        <w:rPr>
          <w:rFonts w:ascii="Arial" w:hAnsi="Arial" w:cs="Arial"/>
          <w:b/>
          <w:szCs w:val="24"/>
        </w:rPr>
        <w:t>Protocol Development</w:t>
      </w:r>
    </w:p>
    <w:p w:rsidR="00D836F3" w:rsidRPr="00222834" w:rsidRDefault="00D836F3" w:rsidP="00D836F3">
      <w:pPr>
        <w:pStyle w:val="Header"/>
        <w:spacing w:line="276" w:lineRule="auto"/>
        <w:rPr>
          <w:rFonts w:ascii="Arial" w:hAnsi="Arial" w:cs="Arial"/>
          <w:sz w:val="16"/>
          <w:szCs w:val="16"/>
        </w:rPr>
      </w:pPr>
    </w:p>
    <w:p w:rsidR="00D836F3" w:rsidRDefault="00D836F3" w:rsidP="00D836F3">
      <w:pPr>
        <w:pStyle w:val="Header"/>
        <w:spacing w:line="276" w:lineRule="auto"/>
        <w:rPr>
          <w:rFonts w:ascii="Arial" w:hAnsi="Arial" w:cs="Arial"/>
          <w:sz w:val="22"/>
          <w:szCs w:val="22"/>
        </w:rPr>
      </w:pPr>
      <w:r>
        <w:rPr>
          <w:rFonts w:ascii="Arial" w:hAnsi="Arial" w:cs="Arial"/>
          <w:sz w:val="22"/>
          <w:szCs w:val="22"/>
        </w:rPr>
        <w:t>This protocol has been developed by the following on behalf of Public Health England:</w:t>
      </w:r>
    </w:p>
    <w:p w:rsidR="00D836F3" w:rsidRPr="00CB5D91" w:rsidRDefault="00D836F3" w:rsidP="00D836F3">
      <w:pPr>
        <w:pStyle w:val="Header"/>
        <w:rPr>
          <w:rFonts w:ascii="Arial" w:hAnsi="Arial" w:cs="Arial"/>
          <w:szCs w:val="24"/>
        </w:rPr>
      </w:pPr>
    </w:p>
    <w:tbl>
      <w:tblPr>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261"/>
        <w:gridCol w:w="6662"/>
      </w:tblGrid>
      <w:tr w:rsidR="00D836F3" w:rsidRPr="0036347F" w:rsidTr="008B36F3">
        <w:trPr>
          <w:trHeight w:val="549"/>
        </w:trPr>
        <w:tc>
          <w:tcPr>
            <w:tcW w:w="3261" w:type="dxa"/>
            <w:shd w:val="clear" w:color="auto" w:fill="C6D9F1" w:themeFill="text2" w:themeFillTint="33"/>
            <w:vAlign w:val="center"/>
          </w:tcPr>
          <w:p w:rsidR="00D836F3" w:rsidRPr="0036347F" w:rsidRDefault="00D836F3" w:rsidP="000B52F9">
            <w:pPr>
              <w:rPr>
                <w:rFonts w:cs="Arial"/>
                <w:color w:val="FF0000"/>
                <w:sz w:val="22"/>
                <w:szCs w:val="22"/>
              </w:rPr>
            </w:pPr>
            <w:r w:rsidRPr="0036347F">
              <w:rPr>
                <w:rFonts w:cs="Arial"/>
                <w:b/>
                <w:sz w:val="22"/>
                <w:szCs w:val="22"/>
              </w:rPr>
              <w:t>Developed by:</w:t>
            </w:r>
          </w:p>
        </w:tc>
        <w:tc>
          <w:tcPr>
            <w:tcW w:w="6662" w:type="dxa"/>
            <w:shd w:val="clear" w:color="auto" w:fill="C6D9F1" w:themeFill="text2" w:themeFillTint="33"/>
            <w:vAlign w:val="center"/>
          </w:tcPr>
          <w:p w:rsidR="00D836F3" w:rsidRPr="0036347F" w:rsidRDefault="00D836F3" w:rsidP="000B52F9">
            <w:pPr>
              <w:rPr>
                <w:rFonts w:cs="Arial"/>
                <w:b/>
                <w:sz w:val="22"/>
                <w:szCs w:val="22"/>
              </w:rPr>
            </w:pPr>
            <w:r w:rsidRPr="0036347F">
              <w:rPr>
                <w:rFonts w:cs="Arial"/>
                <w:b/>
                <w:sz w:val="22"/>
                <w:szCs w:val="22"/>
              </w:rPr>
              <w:t>Name</w:t>
            </w:r>
          </w:p>
        </w:tc>
      </w:tr>
      <w:tr w:rsidR="00D836F3" w:rsidRPr="0036347F" w:rsidTr="00150FAF">
        <w:trPr>
          <w:trHeight w:val="941"/>
        </w:trPr>
        <w:tc>
          <w:tcPr>
            <w:tcW w:w="3261" w:type="dxa"/>
          </w:tcPr>
          <w:p w:rsidR="00D836F3" w:rsidRPr="0036347F" w:rsidRDefault="00D836F3" w:rsidP="000B52F9">
            <w:pPr>
              <w:pStyle w:val="Heading6"/>
              <w:spacing w:before="0" w:after="0"/>
              <w:jc w:val="left"/>
              <w:rPr>
                <w:rFonts w:ascii="Arial" w:hAnsi="Arial" w:cs="Arial"/>
                <w:i w:val="0"/>
                <w:sz w:val="22"/>
                <w:szCs w:val="22"/>
              </w:rPr>
            </w:pPr>
          </w:p>
          <w:p w:rsidR="00D836F3" w:rsidRDefault="00D836F3" w:rsidP="000B52F9">
            <w:pPr>
              <w:pStyle w:val="Heading6"/>
              <w:spacing w:before="0" w:after="0"/>
              <w:jc w:val="left"/>
              <w:rPr>
                <w:rFonts w:ascii="Arial" w:hAnsi="Arial" w:cs="Arial"/>
                <w:i w:val="0"/>
                <w:sz w:val="22"/>
                <w:szCs w:val="22"/>
              </w:rPr>
            </w:pPr>
            <w:r w:rsidRPr="0036347F">
              <w:rPr>
                <w:rFonts w:ascii="Arial" w:hAnsi="Arial" w:cs="Arial"/>
                <w:i w:val="0"/>
                <w:sz w:val="22"/>
                <w:szCs w:val="22"/>
              </w:rPr>
              <w:t>Pharmacist</w:t>
            </w:r>
          </w:p>
          <w:p w:rsidR="003E6F4F" w:rsidRPr="003E6F4F" w:rsidRDefault="003E6F4F" w:rsidP="003E6F4F">
            <w:pPr>
              <w:rPr>
                <w:sz w:val="22"/>
                <w:szCs w:val="22"/>
              </w:rPr>
            </w:pPr>
            <w:r>
              <w:rPr>
                <w:sz w:val="22"/>
                <w:szCs w:val="22"/>
              </w:rPr>
              <w:t>(Lead author)</w:t>
            </w:r>
          </w:p>
          <w:p w:rsidR="00D836F3" w:rsidRPr="0036347F" w:rsidRDefault="00D836F3" w:rsidP="000B52F9">
            <w:pPr>
              <w:rPr>
                <w:rFonts w:cs="Arial"/>
                <w:sz w:val="22"/>
                <w:szCs w:val="22"/>
              </w:rPr>
            </w:pPr>
          </w:p>
        </w:tc>
        <w:tc>
          <w:tcPr>
            <w:tcW w:w="6662" w:type="dxa"/>
            <w:shd w:val="clear" w:color="auto" w:fill="auto"/>
            <w:vAlign w:val="center"/>
          </w:tcPr>
          <w:p w:rsidR="00150FAF" w:rsidRPr="00712D13" w:rsidRDefault="00150FAF" w:rsidP="008B36F3">
            <w:pPr>
              <w:spacing w:before="120"/>
              <w:rPr>
                <w:rFonts w:cs="Arial"/>
                <w:sz w:val="22"/>
                <w:szCs w:val="22"/>
              </w:rPr>
            </w:pPr>
            <w:r w:rsidRPr="00712D13">
              <w:rPr>
                <w:rFonts w:cs="Arial"/>
                <w:sz w:val="22"/>
                <w:szCs w:val="22"/>
              </w:rPr>
              <w:t>Judith Field</w:t>
            </w:r>
          </w:p>
          <w:p w:rsidR="00150FAF" w:rsidRPr="00712D13" w:rsidRDefault="00150FAF" w:rsidP="00150FAF">
            <w:pPr>
              <w:rPr>
                <w:rFonts w:cs="Arial"/>
                <w:sz w:val="22"/>
                <w:szCs w:val="22"/>
              </w:rPr>
            </w:pPr>
            <w:r w:rsidRPr="00712D13">
              <w:rPr>
                <w:rFonts w:cs="Arial"/>
                <w:sz w:val="22"/>
                <w:szCs w:val="22"/>
              </w:rPr>
              <w:t>UK National Countermeasure Manager</w:t>
            </w:r>
          </w:p>
          <w:p w:rsidR="00150FAF" w:rsidRPr="00712D13" w:rsidRDefault="00150FAF" w:rsidP="00150FAF">
            <w:pPr>
              <w:rPr>
                <w:rFonts w:cs="Arial"/>
                <w:sz w:val="22"/>
                <w:szCs w:val="22"/>
              </w:rPr>
            </w:pPr>
            <w:r w:rsidRPr="00712D13">
              <w:rPr>
                <w:rFonts w:cs="Arial"/>
                <w:sz w:val="22"/>
                <w:szCs w:val="22"/>
              </w:rPr>
              <w:t>Emergency Response Department</w:t>
            </w:r>
          </w:p>
          <w:p w:rsidR="00D836F3" w:rsidRPr="00712D13" w:rsidRDefault="00150FAF" w:rsidP="008B36F3">
            <w:pPr>
              <w:spacing w:after="120"/>
              <w:rPr>
                <w:rFonts w:cs="Arial"/>
                <w:sz w:val="22"/>
                <w:szCs w:val="22"/>
              </w:rPr>
            </w:pPr>
            <w:r w:rsidRPr="00712D13">
              <w:rPr>
                <w:rFonts w:cs="Arial"/>
                <w:sz w:val="22"/>
                <w:szCs w:val="22"/>
              </w:rPr>
              <w:t>Public Health England</w:t>
            </w:r>
          </w:p>
        </w:tc>
      </w:tr>
      <w:tr w:rsidR="00D836F3" w:rsidRPr="0036347F" w:rsidTr="000B52F9">
        <w:trPr>
          <w:trHeight w:val="621"/>
        </w:trPr>
        <w:tc>
          <w:tcPr>
            <w:tcW w:w="3261" w:type="dxa"/>
          </w:tcPr>
          <w:p w:rsidR="00D836F3" w:rsidRPr="0036347F" w:rsidRDefault="00D836F3" w:rsidP="000B52F9">
            <w:pPr>
              <w:pStyle w:val="Heading5"/>
              <w:spacing w:before="0" w:after="0"/>
              <w:rPr>
                <w:rFonts w:ascii="Arial" w:hAnsi="Arial" w:cs="Arial"/>
                <w:i w:val="0"/>
                <w:sz w:val="22"/>
                <w:szCs w:val="22"/>
              </w:rPr>
            </w:pPr>
          </w:p>
          <w:p w:rsidR="00D836F3" w:rsidRPr="0036347F" w:rsidRDefault="00D836F3" w:rsidP="000B52F9">
            <w:pPr>
              <w:pStyle w:val="Heading5"/>
              <w:spacing w:before="0" w:after="0"/>
              <w:rPr>
                <w:rFonts w:ascii="Arial" w:hAnsi="Arial" w:cs="Arial"/>
                <w:i w:val="0"/>
                <w:sz w:val="22"/>
                <w:szCs w:val="22"/>
              </w:rPr>
            </w:pPr>
            <w:r w:rsidRPr="0036347F">
              <w:rPr>
                <w:rFonts w:ascii="Arial" w:hAnsi="Arial" w:cs="Arial"/>
                <w:i w:val="0"/>
                <w:sz w:val="22"/>
                <w:szCs w:val="22"/>
              </w:rPr>
              <w:t>Doctor</w:t>
            </w:r>
          </w:p>
          <w:p w:rsidR="00D836F3" w:rsidRPr="0036347F" w:rsidRDefault="00D836F3" w:rsidP="000B52F9">
            <w:pPr>
              <w:rPr>
                <w:rFonts w:cs="Arial"/>
                <w:sz w:val="22"/>
                <w:szCs w:val="22"/>
              </w:rPr>
            </w:pPr>
          </w:p>
        </w:tc>
        <w:tc>
          <w:tcPr>
            <w:tcW w:w="6662" w:type="dxa"/>
            <w:vAlign w:val="center"/>
          </w:tcPr>
          <w:p w:rsidR="00150FAF" w:rsidRPr="00712D13" w:rsidRDefault="00150FAF" w:rsidP="008B36F3">
            <w:pPr>
              <w:spacing w:before="120"/>
              <w:rPr>
                <w:rFonts w:cs="Arial"/>
                <w:sz w:val="22"/>
                <w:szCs w:val="22"/>
              </w:rPr>
            </w:pPr>
            <w:r w:rsidRPr="00712D13">
              <w:rPr>
                <w:rFonts w:cs="Arial"/>
                <w:sz w:val="22"/>
                <w:szCs w:val="22"/>
              </w:rPr>
              <w:t>Nick Gent</w:t>
            </w:r>
          </w:p>
          <w:p w:rsidR="00150FAF" w:rsidRPr="00712D13" w:rsidRDefault="00150FAF" w:rsidP="00150FAF">
            <w:pPr>
              <w:rPr>
                <w:rFonts w:cs="Arial"/>
                <w:sz w:val="22"/>
                <w:szCs w:val="22"/>
              </w:rPr>
            </w:pPr>
            <w:r w:rsidRPr="00712D13">
              <w:rPr>
                <w:rFonts w:cs="Arial"/>
                <w:sz w:val="22"/>
                <w:szCs w:val="22"/>
              </w:rPr>
              <w:t>Consultant in Health Protection</w:t>
            </w:r>
          </w:p>
          <w:p w:rsidR="00150FAF" w:rsidRPr="00712D13" w:rsidRDefault="00150FAF" w:rsidP="00150FAF">
            <w:pPr>
              <w:rPr>
                <w:rFonts w:cs="Arial"/>
                <w:sz w:val="22"/>
                <w:szCs w:val="22"/>
              </w:rPr>
            </w:pPr>
            <w:r w:rsidRPr="00712D13">
              <w:rPr>
                <w:rFonts w:cs="Arial"/>
                <w:sz w:val="22"/>
                <w:szCs w:val="22"/>
              </w:rPr>
              <w:t>Emergency Response Department</w:t>
            </w:r>
          </w:p>
          <w:p w:rsidR="00D836F3" w:rsidRPr="00712D13" w:rsidRDefault="00150FAF" w:rsidP="008B36F3">
            <w:pPr>
              <w:spacing w:after="120"/>
              <w:rPr>
                <w:rFonts w:cs="Arial"/>
                <w:sz w:val="22"/>
                <w:szCs w:val="22"/>
              </w:rPr>
            </w:pPr>
            <w:r w:rsidRPr="00712D13">
              <w:rPr>
                <w:rFonts w:cs="Arial"/>
                <w:sz w:val="22"/>
                <w:szCs w:val="22"/>
              </w:rPr>
              <w:t>Public Health England</w:t>
            </w:r>
          </w:p>
        </w:tc>
      </w:tr>
      <w:tr w:rsidR="00D836F3" w:rsidRPr="0036347F" w:rsidTr="000B52F9">
        <w:trPr>
          <w:trHeight w:val="621"/>
        </w:trPr>
        <w:tc>
          <w:tcPr>
            <w:tcW w:w="3261" w:type="dxa"/>
          </w:tcPr>
          <w:p w:rsidR="00D836F3" w:rsidRPr="0036347F" w:rsidRDefault="00D836F3" w:rsidP="000B52F9">
            <w:pPr>
              <w:pStyle w:val="Heading5"/>
              <w:spacing w:before="0" w:after="0"/>
              <w:rPr>
                <w:rFonts w:ascii="Arial" w:hAnsi="Arial" w:cs="Arial"/>
                <w:i w:val="0"/>
                <w:color w:val="FF0000"/>
                <w:sz w:val="22"/>
                <w:szCs w:val="22"/>
              </w:rPr>
            </w:pPr>
          </w:p>
          <w:p w:rsidR="00D836F3" w:rsidRPr="0036347F" w:rsidRDefault="00D836F3" w:rsidP="000B52F9">
            <w:pPr>
              <w:pStyle w:val="Heading5"/>
              <w:spacing w:before="0" w:after="0"/>
              <w:rPr>
                <w:rFonts w:ascii="Arial" w:hAnsi="Arial" w:cs="Arial"/>
                <w:i w:val="0"/>
                <w:sz w:val="22"/>
                <w:szCs w:val="22"/>
              </w:rPr>
            </w:pPr>
            <w:r w:rsidRPr="0036347F">
              <w:rPr>
                <w:rFonts w:ascii="Arial" w:hAnsi="Arial" w:cs="Arial"/>
                <w:i w:val="0"/>
                <w:sz w:val="22"/>
                <w:szCs w:val="22"/>
              </w:rPr>
              <w:t>Registered Nurse</w:t>
            </w:r>
          </w:p>
          <w:p w:rsidR="00D836F3" w:rsidRPr="0036347F" w:rsidRDefault="00D836F3" w:rsidP="000B52F9">
            <w:pPr>
              <w:rPr>
                <w:rFonts w:cs="Arial"/>
                <w:sz w:val="22"/>
                <w:szCs w:val="22"/>
              </w:rPr>
            </w:pPr>
          </w:p>
        </w:tc>
        <w:tc>
          <w:tcPr>
            <w:tcW w:w="6662" w:type="dxa"/>
            <w:vAlign w:val="center"/>
          </w:tcPr>
          <w:p w:rsidR="00150FAF" w:rsidRPr="00712D13" w:rsidRDefault="00150FAF" w:rsidP="008B36F3">
            <w:pPr>
              <w:spacing w:before="120"/>
              <w:rPr>
                <w:sz w:val="22"/>
                <w:szCs w:val="22"/>
              </w:rPr>
            </w:pPr>
            <w:r w:rsidRPr="00712D13">
              <w:rPr>
                <w:sz w:val="22"/>
                <w:szCs w:val="22"/>
              </w:rPr>
              <w:t>Joanne Bosanquet</w:t>
            </w:r>
          </w:p>
          <w:p w:rsidR="00150FAF" w:rsidRPr="00712D13" w:rsidRDefault="00150FAF" w:rsidP="00150FAF">
            <w:pPr>
              <w:rPr>
                <w:sz w:val="22"/>
                <w:szCs w:val="22"/>
              </w:rPr>
            </w:pPr>
            <w:r w:rsidRPr="00712D13">
              <w:rPr>
                <w:sz w:val="22"/>
                <w:szCs w:val="22"/>
              </w:rPr>
              <w:t>Deputy Chief Nurse</w:t>
            </w:r>
          </w:p>
          <w:p w:rsidR="00D836F3" w:rsidRPr="00712D13" w:rsidRDefault="00150FAF" w:rsidP="008B36F3">
            <w:pPr>
              <w:spacing w:after="120"/>
              <w:rPr>
                <w:sz w:val="22"/>
                <w:szCs w:val="22"/>
              </w:rPr>
            </w:pPr>
            <w:r w:rsidRPr="00712D13">
              <w:rPr>
                <w:sz w:val="22"/>
                <w:szCs w:val="22"/>
              </w:rPr>
              <w:t>Public Health England</w:t>
            </w:r>
          </w:p>
        </w:tc>
      </w:tr>
    </w:tbl>
    <w:p w:rsidR="00D836F3" w:rsidRDefault="00D836F3" w:rsidP="00D836F3">
      <w:pPr>
        <w:rPr>
          <w:rFonts w:cs="Arial"/>
          <w:i/>
          <w:sz w:val="16"/>
          <w:szCs w:val="16"/>
        </w:rPr>
      </w:pPr>
    </w:p>
    <w:p w:rsidR="00D836F3" w:rsidRPr="00B92658" w:rsidRDefault="00D836F3" w:rsidP="00D836F3">
      <w:pPr>
        <w:rPr>
          <w:rFonts w:cs="Arial"/>
          <w:i/>
          <w:sz w:val="16"/>
          <w:szCs w:val="16"/>
        </w:rPr>
      </w:pPr>
    </w:p>
    <w:p w:rsidR="00D836F3" w:rsidRPr="001D3ADD" w:rsidRDefault="003E6F4F" w:rsidP="00D836F3">
      <w:pPr>
        <w:spacing w:line="276" w:lineRule="auto"/>
        <w:rPr>
          <w:rFonts w:cs="Arial"/>
          <w:b/>
          <w:sz w:val="22"/>
          <w:szCs w:val="22"/>
        </w:rPr>
      </w:pPr>
      <w:r>
        <w:rPr>
          <w:rFonts w:cs="Arial"/>
          <w:b/>
          <w:sz w:val="22"/>
          <w:szCs w:val="22"/>
        </w:rPr>
        <w:t>Expert Panel</w:t>
      </w:r>
    </w:p>
    <w:p w:rsidR="00D836F3" w:rsidRPr="001D3ADD" w:rsidRDefault="00D836F3" w:rsidP="00D836F3">
      <w:pPr>
        <w:spacing w:line="276" w:lineRule="auto"/>
        <w:rPr>
          <w:rFonts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6678"/>
      </w:tblGrid>
      <w:tr w:rsidR="008B36F3" w:rsidRPr="008B36F3" w:rsidTr="008B36F3">
        <w:trPr>
          <w:trHeight w:val="254"/>
        </w:trPr>
        <w:tc>
          <w:tcPr>
            <w:tcW w:w="3245" w:type="dxa"/>
            <w:shd w:val="clear" w:color="auto" w:fill="C6D9F1" w:themeFill="text2" w:themeFillTint="33"/>
            <w:vAlign w:val="center"/>
          </w:tcPr>
          <w:p w:rsidR="008B36F3" w:rsidRPr="008B36F3" w:rsidRDefault="008B36F3" w:rsidP="008B36F3">
            <w:pPr>
              <w:spacing w:before="120" w:after="120" w:line="276" w:lineRule="auto"/>
              <w:rPr>
                <w:rFonts w:cs="Arial"/>
                <w:b/>
                <w:sz w:val="22"/>
                <w:szCs w:val="22"/>
              </w:rPr>
            </w:pPr>
            <w:r w:rsidRPr="008B36F3">
              <w:rPr>
                <w:rFonts w:cs="Arial"/>
                <w:b/>
                <w:sz w:val="22"/>
                <w:szCs w:val="22"/>
              </w:rPr>
              <w:t>Name</w:t>
            </w:r>
          </w:p>
        </w:tc>
        <w:tc>
          <w:tcPr>
            <w:tcW w:w="6678" w:type="dxa"/>
            <w:shd w:val="clear" w:color="auto" w:fill="C6D9F1" w:themeFill="text2" w:themeFillTint="33"/>
            <w:vAlign w:val="center"/>
          </w:tcPr>
          <w:p w:rsidR="008B36F3" w:rsidRPr="008B36F3" w:rsidRDefault="008B36F3" w:rsidP="008B36F3">
            <w:pPr>
              <w:spacing w:before="120" w:after="120"/>
              <w:rPr>
                <w:rFonts w:cs="Arial"/>
                <w:b/>
                <w:sz w:val="22"/>
                <w:szCs w:val="22"/>
              </w:rPr>
            </w:pPr>
            <w:r w:rsidRPr="008B36F3">
              <w:rPr>
                <w:rFonts w:cs="Arial"/>
                <w:b/>
                <w:sz w:val="22"/>
                <w:szCs w:val="22"/>
              </w:rPr>
              <w:t>Designation</w:t>
            </w:r>
          </w:p>
        </w:tc>
      </w:tr>
      <w:tr w:rsidR="00D836F3" w:rsidRPr="001D3ADD" w:rsidTr="000B52F9">
        <w:trPr>
          <w:trHeight w:val="254"/>
        </w:trPr>
        <w:tc>
          <w:tcPr>
            <w:tcW w:w="3245" w:type="dxa"/>
            <w:vAlign w:val="center"/>
          </w:tcPr>
          <w:p w:rsidR="00D836F3" w:rsidRPr="005E0382" w:rsidRDefault="00150FAF" w:rsidP="000B52F9">
            <w:pPr>
              <w:spacing w:line="276" w:lineRule="auto"/>
              <w:rPr>
                <w:rFonts w:cs="Arial"/>
                <w:sz w:val="22"/>
                <w:szCs w:val="22"/>
              </w:rPr>
            </w:pPr>
            <w:r w:rsidRPr="00150FAF">
              <w:rPr>
                <w:rFonts w:cs="Arial"/>
                <w:sz w:val="22"/>
                <w:szCs w:val="22"/>
              </w:rPr>
              <w:t>John Simpson</w:t>
            </w:r>
          </w:p>
        </w:tc>
        <w:tc>
          <w:tcPr>
            <w:tcW w:w="6678" w:type="dxa"/>
            <w:vAlign w:val="center"/>
          </w:tcPr>
          <w:p w:rsidR="003E6F4F" w:rsidRDefault="003E6F4F" w:rsidP="008B36F3">
            <w:pPr>
              <w:spacing w:before="120"/>
              <w:rPr>
                <w:rFonts w:cs="Arial"/>
                <w:sz w:val="22"/>
                <w:szCs w:val="22"/>
              </w:rPr>
            </w:pPr>
            <w:r>
              <w:rPr>
                <w:rFonts w:cs="Arial"/>
                <w:sz w:val="22"/>
                <w:szCs w:val="22"/>
              </w:rPr>
              <w:t>Chair, Expert Panel</w:t>
            </w:r>
          </w:p>
          <w:p w:rsidR="00150FAF" w:rsidRPr="00150FAF" w:rsidRDefault="00150FAF" w:rsidP="003E6F4F">
            <w:pPr>
              <w:rPr>
                <w:rFonts w:cs="Arial"/>
                <w:sz w:val="22"/>
                <w:szCs w:val="22"/>
              </w:rPr>
            </w:pPr>
            <w:r w:rsidRPr="00150FAF">
              <w:rPr>
                <w:rFonts w:cs="Arial"/>
                <w:sz w:val="22"/>
                <w:szCs w:val="22"/>
              </w:rPr>
              <w:t>Director of Emergency Preparedness, Resilience and Response</w:t>
            </w:r>
          </w:p>
          <w:p w:rsidR="00D836F3" w:rsidRPr="005E0382" w:rsidRDefault="00150FAF" w:rsidP="008B36F3">
            <w:pPr>
              <w:spacing w:after="120"/>
              <w:rPr>
                <w:rFonts w:cs="Arial"/>
                <w:sz w:val="22"/>
                <w:szCs w:val="22"/>
              </w:rPr>
            </w:pPr>
            <w:r w:rsidRPr="00150FAF">
              <w:rPr>
                <w:rFonts w:cs="Arial"/>
                <w:sz w:val="22"/>
                <w:szCs w:val="22"/>
              </w:rPr>
              <w:t>Public Health England</w:t>
            </w:r>
          </w:p>
        </w:tc>
      </w:tr>
      <w:tr w:rsidR="00D836F3" w:rsidRPr="001D3ADD" w:rsidTr="000B52F9">
        <w:trPr>
          <w:trHeight w:val="254"/>
        </w:trPr>
        <w:tc>
          <w:tcPr>
            <w:tcW w:w="3245" w:type="dxa"/>
          </w:tcPr>
          <w:p w:rsidR="00D836F3" w:rsidRPr="001776DE" w:rsidRDefault="00150FAF" w:rsidP="008B36F3">
            <w:pPr>
              <w:pStyle w:val="Default"/>
              <w:spacing w:before="120"/>
              <w:rPr>
                <w:color w:val="auto"/>
                <w:sz w:val="22"/>
                <w:szCs w:val="22"/>
              </w:rPr>
            </w:pPr>
            <w:r w:rsidRPr="001776DE">
              <w:rPr>
                <w:color w:val="auto"/>
                <w:sz w:val="22"/>
                <w:szCs w:val="22"/>
              </w:rPr>
              <w:t>Jacqueline Lamberty</w:t>
            </w:r>
          </w:p>
        </w:tc>
        <w:tc>
          <w:tcPr>
            <w:tcW w:w="6678" w:type="dxa"/>
          </w:tcPr>
          <w:p w:rsidR="00150FAF" w:rsidRPr="00150FAF" w:rsidRDefault="00150FAF" w:rsidP="008B36F3">
            <w:pPr>
              <w:spacing w:before="120"/>
              <w:rPr>
                <w:rFonts w:cs="Arial"/>
                <w:bCs/>
                <w:sz w:val="22"/>
                <w:szCs w:val="22"/>
              </w:rPr>
            </w:pPr>
            <w:r w:rsidRPr="00150FAF">
              <w:rPr>
                <w:rFonts w:cs="Arial"/>
                <w:bCs/>
                <w:sz w:val="22"/>
                <w:szCs w:val="22"/>
              </w:rPr>
              <w:t>Lead Pharmacist Medicines Management Services</w:t>
            </w:r>
          </w:p>
          <w:p w:rsidR="00D836F3" w:rsidRPr="001776DE" w:rsidRDefault="00150FAF" w:rsidP="008B36F3">
            <w:pPr>
              <w:spacing w:after="120"/>
              <w:rPr>
                <w:rFonts w:cs="Arial"/>
                <w:bCs/>
                <w:sz w:val="22"/>
                <w:szCs w:val="22"/>
              </w:rPr>
            </w:pPr>
            <w:r w:rsidRPr="00150FAF">
              <w:rPr>
                <w:rFonts w:cs="Arial"/>
                <w:bCs/>
                <w:sz w:val="22"/>
                <w:szCs w:val="22"/>
              </w:rPr>
              <w:t>Public Health England</w:t>
            </w:r>
          </w:p>
        </w:tc>
      </w:tr>
      <w:tr w:rsidR="00D836F3" w:rsidRPr="001D3ADD" w:rsidTr="000B52F9">
        <w:trPr>
          <w:trHeight w:val="267"/>
        </w:trPr>
        <w:tc>
          <w:tcPr>
            <w:tcW w:w="3245" w:type="dxa"/>
          </w:tcPr>
          <w:p w:rsidR="00D836F3" w:rsidRPr="001776DE" w:rsidRDefault="00150FAF" w:rsidP="008B36F3">
            <w:pPr>
              <w:pStyle w:val="Default"/>
              <w:spacing w:before="120"/>
              <w:rPr>
                <w:color w:val="auto"/>
                <w:sz w:val="22"/>
                <w:szCs w:val="22"/>
              </w:rPr>
            </w:pPr>
            <w:r w:rsidRPr="00150FAF">
              <w:rPr>
                <w:color w:val="auto"/>
                <w:sz w:val="22"/>
                <w:szCs w:val="22"/>
              </w:rPr>
              <w:t>Sally Millership</w:t>
            </w:r>
          </w:p>
        </w:tc>
        <w:tc>
          <w:tcPr>
            <w:tcW w:w="6678" w:type="dxa"/>
          </w:tcPr>
          <w:p w:rsidR="00150FAF" w:rsidRPr="00150FAF" w:rsidRDefault="00150FAF" w:rsidP="008B36F3">
            <w:pPr>
              <w:pStyle w:val="Default"/>
              <w:spacing w:before="120"/>
              <w:rPr>
                <w:color w:val="auto"/>
                <w:sz w:val="22"/>
                <w:szCs w:val="22"/>
              </w:rPr>
            </w:pPr>
            <w:r w:rsidRPr="00150FAF">
              <w:rPr>
                <w:color w:val="auto"/>
                <w:sz w:val="22"/>
                <w:szCs w:val="22"/>
              </w:rPr>
              <w:t>Consultant in Communicable Disease Control</w:t>
            </w:r>
          </w:p>
          <w:p w:rsidR="00D836F3" w:rsidRPr="001776DE" w:rsidRDefault="00150FAF" w:rsidP="008B36F3">
            <w:pPr>
              <w:pStyle w:val="Default"/>
              <w:spacing w:after="120"/>
              <w:rPr>
                <w:color w:val="auto"/>
                <w:sz w:val="22"/>
                <w:szCs w:val="22"/>
              </w:rPr>
            </w:pPr>
            <w:r w:rsidRPr="00150FAF">
              <w:rPr>
                <w:color w:val="auto"/>
                <w:sz w:val="22"/>
                <w:szCs w:val="22"/>
              </w:rPr>
              <w:t>Public Health England East of England</w:t>
            </w:r>
          </w:p>
        </w:tc>
      </w:tr>
      <w:tr w:rsidR="00D836F3" w:rsidRPr="001D3ADD" w:rsidTr="000B52F9">
        <w:trPr>
          <w:trHeight w:val="267"/>
        </w:trPr>
        <w:tc>
          <w:tcPr>
            <w:tcW w:w="3245" w:type="dxa"/>
          </w:tcPr>
          <w:p w:rsidR="00D836F3" w:rsidRPr="001776DE" w:rsidRDefault="00150FAF" w:rsidP="008B36F3">
            <w:pPr>
              <w:pStyle w:val="Default"/>
              <w:spacing w:before="120"/>
              <w:rPr>
                <w:color w:val="auto"/>
                <w:sz w:val="22"/>
                <w:szCs w:val="22"/>
              </w:rPr>
            </w:pPr>
            <w:r w:rsidRPr="00150FAF">
              <w:rPr>
                <w:color w:val="auto"/>
                <w:sz w:val="22"/>
                <w:szCs w:val="22"/>
              </w:rPr>
              <w:t>Andrew Simpson</w:t>
            </w:r>
          </w:p>
        </w:tc>
        <w:tc>
          <w:tcPr>
            <w:tcW w:w="6678" w:type="dxa"/>
          </w:tcPr>
          <w:p w:rsidR="00150FAF" w:rsidRPr="00150FAF" w:rsidRDefault="00150FAF" w:rsidP="008B36F3">
            <w:pPr>
              <w:spacing w:before="120"/>
              <w:rPr>
                <w:rFonts w:cs="Arial"/>
                <w:bCs/>
                <w:sz w:val="22"/>
                <w:szCs w:val="22"/>
              </w:rPr>
            </w:pPr>
            <w:r w:rsidRPr="00150FAF">
              <w:rPr>
                <w:rFonts w:cs="Arial"/>
                <w:bCs/>
                <w:sz w:val="22"/>
                <w:szCs w:val="22"/>
              </w:rPr>
              <w:t>Consultant Medical Microbiologist</w:t>
            </w:r>
          </w:p>
          <w:p w:rsidR="00D836F3" w:rsidRPr="001776DE" w:rsidRDefault="00150FAF" w:rsidP="008B36F3">
            <w:pPr>
              <w:spacing w:after="120"/>
              <w:rPr>
                <w:rFonts w:cs="Arial"/>
                <w:bCs/>
                <w:sz w:val="22"/>
                <w:szCs w:val="22"/>
              </w:rPr>
            </w:pPr>
            <w:r w:rsidRPr="00150FAF">
              <w:rPr>
                <w:rFonts w:cs="Arial"/>
                <w:bCs/>
                <w:sz w:val="22"/>
                <w:szCs w:val="22"/>
              </w:rPr>
              <w:t>Public Health England</w:t>
            </w:r>
          </w:p>
        </w:tc>
      </w:tr>
      <w:tr w:rsidR="007B2082" w:rsidRPr="001D3ADD" w:rsidTr="000B52F9">
        <w:trPr>
          <w:trHeight w:val="267"/>
        </w:trPr>
        <w:tc>
          <w:tcPr>
            <w:tcW w:w="3245" w:type="dxa"/>
          </w:tcPr>
          <w:p w:rsidR="007B2082" w:rsidRPr="009F6F6E" w:rsidRDefault="007B2082" w:rsidP="006B6897">
            <w:pPr>
              <w:tabs>
                <w:tab w:val="left" w:pos="1642"/>
              </w:tabs>
              <w:spacing w:before="120" w:after="120"/>
              <w:rPr>
                <w:rFonts w:cs="Arial"/>
                <w:sz w:val="22"/>
                <w:szCs w:val="22"/>
              </w:rPr>
            </w:pPr>
            <w:r w:rsidRPr="00150FAF">
              <w:rPr>
                <w:sz w:val="22"/>
                <w:szCs w:val="22"/>
              </w:rPr>
              <w:t>Duncan Cox</w:t>
            </w:r>
            <w:r w:rsidRPr="001776DE">
              <w:rPr>
                <w:rFonts w:cs="Arial"/>
                <w:sz w:val="22"/>
                <w:szCs w:val="22"/>
              </w:rPr>
              <w:tab/>
            </w:r>
          </w:p>
          <w:p w:rsidR="007B2082" w:rsidRPr="00150FAF" w:rsidRDefault="007B2082" w:rsidP="006B6897">
            <w:pPr>
              <w:pStyle w:val="Default"/>
              <w:spacing w:before="120"/>
              <w:rPr>
                <w:color w:val="auto"/>
                <w:sz w:val="22"/>
                <w:szCs w:val="22"/>
              </w:rPr>
            </w:pPr>
          </w:p>
        </w:tc>
        <w:tc>
          <w:tcPr>
            <w:tcW w:w="6678" w:type="dxa"/>
          </w:tcPr>
          <w:p w:rsidR="007B2082" w:rsidRDefault="007B2082" w:rsidP="006B6897">
            <w:pPr>
              <w:spacing w:before="120"/>
              <w:rPr>
                <w:rFonts w:cs="Arial"/>
                <w:sz w:val="22"/>
                <w:szCs w:val="22"/>
              </w:rPr>
            </w:pPr>
            <w:r w:rsidRPr="00150FAF">
              <w:rPr>
                <w:rFonts w:cs="Arial"/>
                <w:sz w:val="22"/>
                <w:szCs w:val="22"/>
              </w:rPr>
              <w:t>Specialist Radiation Protection Scientist</w:t>
            </w:r>
          </w:p>
          <w:p w:rsidR="007B2082" w:rsidRPr="00150FAF" w:rsidRDefault="007B2082" w:rsidP="006B6897">
            <w:pPr>
              <w:rPr>
                <w:rFonts w:cs="Arial"/>
                <w:bCs/>
                <w:sz w:val="22"/>
                <w:szCs w:val="22"/>
              </w:rPr>
            </w:pPr>
            <w:r w:rsidRPr="00150FAF">
              <w:rPr>
                <w:rFonts w:cs="Arial"/>
                <w:sz w:val="22"/>
                <w:szCs w:val="22"/>
              </w:rPr>
              <w:t>Public Health England</w:t>
            </w:r>
          </w:p>
        </w:tc>
      </w:tr>
    </w:tbl>
    <w:p w:rsidR="00D836F3" w:rsidRDefault="00D836F3" w:rsidP="00D836F3">
      <w:pPr>
        <w:ind w:left="-142" w:right="423"/>
        <w:jc w:val="both"/>
        <w:rPr>
          <w:sz w:val="22"/>
          <w:szCs w:val="22"/>
        </w:rPr>
      </w:pPr>
    </w:p>
    <w:p w:rsidR="00D836F3" w:rsidRDefault="00D836F3" w:rsidP="00D836F3">
      <w:pPr>
        <w:ind w:left="-142" w:right="423"/>
        <w:jc w:val="both"/>
        <w:rPr>
          <w:sz w:val="22"/>
          <w:szCs w:val="22"/>
        </w:rPr>
      </w:pPr>
    </w:p>
    <w:p w:rsidR="00D836F3" w:rsidRDefault="00D836F3" w:rsidP="00D836F3">
      <w:pPr>
        <w:ind w:left="-142" w:right="423"/>
        <w:jc w:val="both"/>
        <w:rPr>
          <w:sz w:val="22"/>
          <w:szCs w:val="22"/>
        </w:rPr>
      </w:pPr>
    </w:p>
    <w:p w:rsidR="00D836F3" w:rsidRDefault="00D836F3" w:rsidP="00D836F3">
      <w:pPr>
        <w:ind w:left="-142" w:right="423"/>
        <w:jc w:val="both"/>
        <w:rPr>
          <w:sz w:val="22"/>
          <w:szCs w:val="22"/>
        </w:rPr>
      </w:pPr>
    </w:p>
    <w:p w:rsidR="00D836F3" w:rsidRDefault="00D836F3" w:rsidP="00D836F3">
      <w:pPr>
        <w:ind w:left="-142" w:right="423"/>
        <w:jc w:val="both"/>
        <w:rPr>
          <w:sz w:val="22"/>
          <w:szCs w:val="22"/>
        </w:rPr>
      </w:pPr>
    </w:p>
    <w:p w:rsidR="00D836F3" w:rsidRDefault="00D836F3" w:rsidP="00D836F3">
      <w:pPr>
        <w:ind w:left="-142" w:right="423"/>
        <w:jc w:val="both"/>
        <w:rPr>
          <w:sz w:val="22"/>
          <w:szCs w:val="22"/>
        </w:rPr>
      </w:pPr>
    </w:p>
    <w:p w:rsidR="00D836F3" w:rsidRDefault="00D836F3" w:rsidP="00D836F3">
      <w:pPr>
        <w:ind w:left="-142" w:right="423"/>
        <w:jc w:val="both"/>
        <w:rPr>
          <w:sz w:val="22"/>
          <w:szCs w:val="22"/>
        </w:rPr>
      </w:pPr>
    </w:p>
    <w:p w:rsidR="00D836F3" w:rsidRDefault="00D836F3" w:rsidP="00D836F3">
      <w:pPr>
        <w:ind w:left="-142" w:right="423"/>
        <w:jc w:val="both"/>
        <w:rPr>
          <w:sz w:val="22"/>
          <w:szCs w:val="22"/>
        </w:rPr>
      </w:pPr>
    </w:p>
    <w:p w:rsidR="00D836F3" w:rsidRDefault="00D836F3" w:rsidP="00D836F3">
      <w:pPr>
        <w:ind w:right="423"/>
        <w:jc w:val="both"/>
        <w:rPr>
          <w:sz w:val="22"/>
          <w:szCs w:val="22"/>
        </w:rPr>
      </w:pPr>
    </w:p>
    <w:p w:rsidR="00D836F3" w:rsidRDefault="00D836F3" w:rsidP="00D836F3">
      <w:pPr>
        <w:ind w:right="423"/>
        <w:jc w:val="both"/>
        <w:rPr>
          <w:sz w:val="22"/>
          <w:szCs w:val="22"/>
        </w:rPr>
      </w:pPr>
    </w:p>
    <w:p w:rsidR="00D836F3" w:rsidRDefault="00D836F3" w:rsidP="00D836F3">
      <w:pPr>
        <w:pStyle w:val="Heading4"/>
        <w:numPr>
          <w:ilvl w:val="0"/>
          <w:numId w:val="3"/>
        </w:numPr>
        <w:ind w:left="714" w:hanging="357"/>
        <w:contextualSpacing/>
        <w:rPr>
          <w:rFonts w:ascii="Arial" w:hAnsi="Arial" w:cs="Arial"/>
          <w:sz w:val="24"/>
          <w:szCs w:val="24"/>
        </w:rPr>
      </w:pPr>
      <w:r>
        <w:rPr>
          <w:szCs w:val="24"/>
        </w:rPr>
        <w:br w:type="page"/>
      </w:r>
      <w:r w:rsidRPr="00014C79">
        <w:rPr>
          <w:rFonts w:ascii="Arial" w:hAnsi="Arial" w:cs="Arial"/>
          <w:sz w:val="24"/>
          <w:szCs w:val="24"/>
        </w:rPr>
        <w:lastRenderedPageBreak/>
        <w:t xml:space="preserve"> </w:t>
      </w:r>
      <w:r w:rsidRPr="00CB5D91">
        <w:rPr>
          <w:rFonts w:ascii="Arial" w:hAnsi="Arial" w:cs="Arial"/>
          <w:sz w:val="24"/>
          <w:szCs w:val="24"/>
        </w:rPr>
        <w:t>Characteristics of Staff</w:t>
      </w:r>
    </w:p>
    <w:p w:rsidR="00D836F3" w:rsidRPr="00FE6654" w:rsidRDefault="00D836F3" w:rsidP="00D836F3">
      <w:pPr>
        <w:contextualSpacing/>
        <w:rPr>
          <w:sz w:val="22"/>
          <w:szCs w:val="2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6953"/>
      </w:tblGrid>
      <w:tr w:rsidR="00D836F3" w:rsidRPr="00CB5D91" w:rsidTr="000B52F9">
        <w:tc>
          <w:tcPr>
            <w:tcW w:w="2970" w:type="dxa"/>
          </w:tcPr>
          <w:p w:rsidR="00D836F3" w:rsidRPr="00DF40E8" w:rsidRDefault="00D836F3" w:rsidP="000B52F9">
            <w:pPr>
              <w:pStyle w:val="Header"/>
              <w:tabs>
                <w:tab w:val="left" w:pos="720"/>
              </w:tabs>
              <w:spacing w:before="120" w:after="120"/>
              <w:rPr>
                <w:rFonts w:ascii="Arial" w:hAnsi="Arial" w:cs="Arial"/>
                <w:b/>
                <w:sz w:val="22"/>
                <w:szCs w:val="22"/>
              </w:rPr>
            </w:pPr>
            <w:r w:rsidRPr="00DF40E8">
              <w:rPr>
                <w:rFonts w:ascii="Arial" w:hAnsi="Arial" w:cs="Arial"/>
                <w:b/>
                <w:sz w:val="22"/>
                <w:szCs w:val="22"/>
              </w:rPr>
              <w:t xml:space="preserve">Qualifications </w:t>
            </w:r>
            <w:r>
              <w:rPr>
                <w:rFonts w:ascii="Arial" w:hAnsi="Arial" w:cs="Arial"/>
                <w:b/>
                <w:sz w:val="22"/>
                <w:szCs w:val="22"/>
              </w:rPr>
              <w:t xml:space="preserve">and professional registration </w:t>
            </w:r>
          </w:p>
        </w:tc>
        <w:tc>
          <w:tcPr>
            <w:tcW w:w="6953" w:type="dxa"/>
          </w:tcPr>
          <w:p w:rsidR="00D836F3" w:rsidRPr="00EF2750" w:rsidRDefault="00D836F3" w:rsidP="000B52F9">
            <w:pPr>
              <w:pStyle w:val="Header"/>
              <w:tabs>
                <w:tab w:val="left" w:pos="720"/>
              </w:tabs>
              <w:spacing w:before="120" w:after="120"/>
              <w:rPr>
                <w:rFonts w:ascii="Arial" w:hAnsi="Arial" w:cs="Arial"/>
                <w:sz w:val="22"/>
                <w:szCs w:val="22"/>
              </w:rPr>
            </w:pPr>
            <w:r>
              <w:rPr>
                <w:rFonts w:ascii="Arial" w:hAnsi="Arial" w:cs="Arial"/>
                <w:sz w:val="22"/>
                <w:szCs w:val="22"/>
              </w:rPr>
              <w:t xml:space="preserve">This protocol is intended for use by </w:t>
            </w:r>
            <w:r w:rsidR="009D5B48">
              <w:rPr>
                <w:rFonts w:ascii="Arial" w:hAnsi="Arial" w:cs="Arial"/>
                <w:sz w:val="22"/>
                <w:szCs w:val="22"/>
              </w:rPr>
              <w:t>healthcare practitioners eg</w:t>
            </w:r>
            <w:r w:rsidR="009D5B48" w:rsidRPr="009D5B48">
              <w:rPr>
                <w:rFonts w:cs="Arial"/>
                <w:sz w:val="22"/>
                <w:szCs w:val="22"/>
              </w:rPr>
              <w:t xml:space="preserve"> </w:t>
            </w:r>
            <w:r w:rsidR="009D5B48" w:rsidRPr="009D5B48">
              <w:rPr>
                <w:rFonts w:ascii="Arial" w:hAnsi="Arial" w:cs="Arial"/>
                <w:sz w:val="22"/>
                <w:szCs w:val="22"/>
              </w:rPr>
              <w:t>nurses currently registered with the Nursing and Midwifery Council (NMC)</w:t>
            </w:r>
            <w:r w:rsidR="009D5B48">
              <w:rPr>
                <w:rFonts w:ascii="Arial" w:hAnsi="Arial" w:cs="Arial"/>
                <w:sz w:val="22"/>
                <w:szCs w:val="22"/>
              </w:rPr>
              <w:t xml:space="preserve">, </w:t>
            </w:r>
            <w:r w:rsidR="009D5B48" w:rsidRPr="009D5B48">
              <w:rPr>
                <w:rFonts w:ascii="Arial" w:hAnsi="Arial" w:cs="Arial"/>
                <w:sz w:val="22"/>
                <w:szCs w:val="22"/>
              </w:rPr>
              <w:t>pharmacists currently registered with the General Pharmaceutical Council (GPhC</w:t>
            </w:r>
            <w:r w:rsidR="009D5B48">
              <w:rPr>
                <w:rFonts w:ascii="Arial" w:hAnsi="Arial" w:cs="Arial"/>
                <w:sz w:val="22"/>
                <w:szCs w:val="22"/>
              </w:rPr>
              <w:t>), additional registered healthcare practitioners</w:t>
            </w:r>
          </w:p>
        </w:tc>
      </w:tr>
    </w:tbl>
    <w:p w:rsidR="00D836F3" w:rsidRPr="003225CC" w:rsidRDefault="00D836F3" w:rsidP="00D836F3">
      <w:pPr>
        <w:overflowPunct/>
        <w:autoSpaceDE/>
        <w:autoSpaceDN/>
        <w:adjustRightInd/>
        <w:textAlignment w:val="auto"/>
        <w:rPr>
          <w:rFonts w:cs="Arial"/>
          <w:b/>
          <w:sz w:val="2"/>
          <w:szCs w:val="2"/>
        </w:rPr>
      </w:pPr>
    </w:p>
    <w:p w:rsidR="00D836F3" w:rsidRPr="00B5718A" w:rsidRDefault="00D836F3" w:rsidP="00D836F3">
      <w:pPr>
        <w:overflowPunct/>
        <w:autoSpaceDE/>
        <w:autoSpaceDN/>
        <w:adjustRightInd/>
        <w:textAlignment w:val="auto"/>
        <w:rPr>
          <w:sz w:val="22"/>
          <w:szCs w:val="22"/>
        </w:rPr>
      </w:pPr>
    </w:p>
    <w:p w:rsidR="00D836F3" w:rsidRPr="00FE6654" w:rsidRDefault="00D836F3" w:rsidP="00D836F3">
      <w:pPr>
        <w:pStyle w:val="ListParagraph"/>
        <w:numPr>
          <w:ilvl w:val="0"/>
          <w:numId w:val="3"/>
        </w:numPr>
        <w:ind w:left="714" w:hanging="357"/>
        <w:rPr>
          <w:b/>
          <w:szCs w:val="24"/>
        </w:rPr>
      </w:pPr>
      <w:r w:rsidRPr="00FE6654">
        <w:rPr>
          <w:b/>
          <w:szCs w:val="24"/>
        </w:rPr>
        <w:t>Clinical condition or situation to which this</w:t>
      </w:r>
      <w:r>
        <w:rPr>
          <w:b/>
          <w:szCs w:val="24"/>
        </w:rPr>
        <w:t xml:space="preserve"> protocol</w:t>
      </w:r>
      <w:r w:rsidRPr="00FE6654">
        <w:rPr>
          <w:b/>
          <w:szCs w:val="24"/>
        </w:rPr>
        <w:t xml:space="preserve"> applies.</w:t>
      </w:r>
    </w:p>
    <w:p w:rsidR="00D836F3" w:rsidRPr="0008353A" w:rsidRDefault="00D836F3" w:rsidP="00D836F3">
      <w:pPr>
        <w:pStyle w:val="ListParagraph"/>
        <w:ind w:left="1080"/>
        <w:rPr>
          <w:rFonts w:cs="Arial"/>
          <w:szCs w:val="24"/>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946"/>
      </w:tblGrid>
      <w:tr w:rsidR="00D836F3" w:rsidRPr="00CB5D91" w:rsidTr="000B52F9">
        <w:tc>
          <w:tcPr>
            <w:tcW w:w="2977" w:type="dxa"/>
          </w:tcPr>
          <w:p w:rsidR="00D836F3" w:rsidRPr="00436253" w:rsidRDefault="00D836F3" w:rsidP="000B52F9">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t>C</w:t>
            </w:r>
            <w:r w:rsidRPr="00032A94">
              <w:rPr>
                <w:rFonts w:ascii="Arial" w:hAnsi="Arial" w:cs="Arial"/>
                <w:b/>
                <w:sz w:val="22"/>
                <w:szCs w:val="22"/>
              </w:rPr>
              <w:t>linical condition or situation to which this</w:t>
            </w:r>
            <w:r>
              <w:rPr>
                <w:rFonts w:ascii="Arial" w:hAnsi="Arial" w:cs="Arial"/>
                <w:b/>
                <w:sz w:val="22"/>
                <w:szCs w:val="22"/>
              </w:rPr>
              <w:t xml:space="preserve"> protocol</w:t>
            </w:r>
            <w:r w:rsidRPr="00032A94">
              <w:rPr>
                <w:rFonts w:ascii="Arial" w:hAnsi="Arial" w:cs="Arial"/>
                <w:b/>
                <w:sz w:val="22"/>
                <w:szCs w:val="22"/>
              </w:rPr>
              <w:t xml:space="preserve"> applies</w:t>
            </w:r>
          </w:p>
        </w:tc>
        <w:tc>
          <w:tcPr>
            <w:tcW w:w="6946" w:type="dxa"/>
          </w:tcPr>
          <w:p w:rsidR="00D836F3" w:rsidRPr="002A5085" w:rsidRDefault="009D5B48" w:rsidP="000B52F9">
            <w:pPr>
              <w:pStyle w:val="BodyText3"/>
              <w:overflowPunct/>
              <w:autoSpaceDE/>
              <w:autoSpaceDN/>
              <w:adjustRightInd/>
              <w:spacing w:before="120"/>
              <w:textAlignment w:val="auto"/>
              <w:rPr>
                <w:sz w:val="22"/>
                <w:szCs w:val="22"/>
              </w:rPr>
            </w:pPr>
            <w:r w:rsidRPr="009D5B48">
              <w:rPr>
                <w:sz w:val="22"/>
                <w:szCs w:val="22"/>
              </w:rPr>
              <w:t>Known or suspected exposure to radioactiv</w:t>
            </w:r>
            <w:r w:rsidR="00AE25C9">
              <w:rPr>
                <w:sz w:val="22"/>
                <w:szCs w:val="22"/>
              </w:rPr>
              <w:t>e iodine or at risk of exposure, in an emergency situation.</w:t>
            </w:r>
          </w:p>
        </w:tc>
      </w:tr>
      <w:tr w:rsidR="00D836F3" w:rsidRPr="00CB5D91" w:rsidTr="000B52F9">
        <w:tc>
          <w:tcPr>
            <w:tcW w:w="2977" w:type="dxa"/>
          </w:tcPr>
          <w:p w:rsidR="00D836F3" w:rsidRPr="00717869" w:rsidRDefault="00D836F3" w:rsidP="000B52F9">
            <w:pPr>
              <w:spacing w:before="120" w:after="120"/>
              <w:rPr>
                <w:rFonts w:cs="Arial"/>
                <w:b/>
                <w:sz w:val="22"/>
                <w:szCs w:val="22"/>
              </w:rPr>
            </w:pPr>
            <w:r w:rsidRPr="00717869">
              <w:rPr>
                <w:rFonts w:cs="Arial"/>
                <w:b/>
                <w:sz w:val="22"/>
                <w:szCs w:val="22"/>
              </w:rPr>
              <w:t>Criteria for inclusion</w:t>
            </w:r>
          </w:p>
        </w:tc>
        <w:tc>
          <w:tcPr>
            <w:tcW w:w="6946" w:type="dxa"/>
          </w:tcPr>
          <w:p w:rsidR="009D5B48" w:rsidRPr="009D5B48" w:rsidRDefault="009D5B48" w:rsidP="009D5B48">
            <w:pPr>
              <w:spacing w:before="120" w:after="120"/>
              <w:rPr>
                <w:rFonts w:cs="Arial"/>
                <w:sz w:val="22"/>
                <w:szCs w:val="22"/>
              </w:rPr>
            </w:pPr>
            <w:r w:rsidRPr="009D5B48">
              <w:rPr>
                <w:rFonts w:cs="Arial"/>
                <w:sz w:val="22"/>
                <w:szCs w:val="22"/>
              </w:rPr>
              <w:t>All age groups ie adults, including pregnant and lactating women, children, babies and neonates:</w:t>
            </w:r>
          </w:p>
          <w:p w:rsidR="009D5B48" w:rsidRPr="009D5B48" w:rsidRDefault="009D5B48" w:rsidP="009D5B48">
            <w:pPr>
              <w:spacing w:after="120"/>
              <w:ind w:left="317" w:hanging="283"/>
              <w:rPr>
                <w:rFonts w:cs="Arial"/>
                <w:sz w:val="22"/>
                <w:szCs w:val="22"/>
              </w:rPr>
            </w:pPr>
            <w:r>
              <w:rPr>
                <w:rFonts w:cs="Arial"/>
                <w:sz w:val="22"/>
                <w:szCs w:val="22"/>
              </w:rPr>
              <w:t xml:space="preserve">1. </w:t>
            </w:r>
            <w:r w:rsidRPr="009D5B48">
              <w:rPr>
                <w:rFonts w:cs="Arial"/>
                <w:sz w:val="22"/>
                <w:szCs w:val="22"/>
              </w:rPr>
              <w:t xml:space="preserve">With known or suspected </w:t>
            </w:r>
            <w:r w:rsidR="00AE25C9">
              <w:rPr>
                <w:rFonts w:cs="Arial"/>
                <w:sz w:val="22"/>
                <w:szCs w:val="22"/>
              </w:rPr>
              <w:t xml:space="preserve">imminent </w:t>
            </w:r>
            <w:r w:rsidRPr="009D5B48">
              <w:rPr>
                <w:rFonts w:cs="Arial"/>
                <w:sz w:val="22"/>
                <w:szCs w:val="22"/>
              </w:rPr>
              <w:t>exposure to radioactive iodine or at risk of exposure</w:t>
            </w:r>
          </w:p>
          <w:p w:rsidR="009D5B48" w:rsidRPr="009D5B48" w:rsidRDefault="009D5B48" w:rsidP="009D5B48">
            <w:pPr>
              <w:spacing w:after="120"/>
              <w:rPr>
                <w:rFonts w:cs="Arial"/>
                <w:sz w:val="22"/>
                <w:szCs w:val="22"/>
              </w:rPr>
            </w:pPr>
            <w:r>
              <w:rPr>
                <w:rFonts w:cs="Arial"/>
                <w:sz w:val="22"/>
                <w:szCs w:val="22"/>
              </w:rPr>
              <w:t xml:space="preserve">2. </w:t>
            </w:r>
            <w:r w:rsidRPr="009D5B48">
              <w:rPr>
                <w:rFonts w:cs="Arial"/>
                <w:sz w:val="22"/>
                <w:szCs w:val="22"/>
              </w:rPr>
              <w:t>As a precautionary countermeasure as declared by PHE</w:t>
            </w:r>
          </w:p>
          <w:p w:rsidR="00D836F3" w:rsidRPr="009D5B48" w:rsidRDefault="009D5B48" w:rsidP="009D5B48">
            <w:pPr>
              <w:spacing w:after="120"/>
              <w:rPr>
                <w:rFonts w:cs="Arial"/>
                <w:sz w:val="22"/>
                <w:szCs w:val="22"/>
              </w:rPr>
            </w:pPr>
            <w:r w:rsidRPr="009D5B48">
              <w:rPr>
                <w:rFonts w:cs="Arial"/>
                <w:sz w:val="22"/>
                <w:szCs w:val="22"/>
              </w:rPr>
              <w:t xml:space="preserve">Note: Pregnant and lactating women, neonates, infants and children are a priority for treatment. Prophylactic administration of potassium iodide to the pregnant mother is also effective in </w:t>
            </w:r>
            <w:r w:rsidR="00D274DE">
              <w:rPr>
                <w:rFonts w:cs="Arial"/>
                <w:sz w:val="22"/>
                <w:szCs w:val="22"/>
              </w:rPr>
              <w:t>protecting the thyroid of the f</w:t>
            </w:r>
            <w:r w:rsidR="00962B85">
              <w:rPr>
                <w:rFonts w:cs="Arial"/>
                <w:sz w:val="22"/>
                <w:szCs w:val="22"/>
              </w:rPr>
              <w:t>o</w:t>
            </w:r>
            <w:r w:rsidRPr="009D5B48">
              <w:rPr>
                <w:rFonts w:cs="Arial"/>
                <w:sz w:val="22"/>
                <w:szCs w:val="22"/>
              </w:rPr>
              <w:t>etus</w:t>
            </w:r>
            <w:r w:rsidR="00D274DE">
              <w:rPr>
                <w:rFonts w:cs="Arial"/>
                <w:sz w:val="22"/>
                <w:szCs w:val="22"/>
              </w:rPr>
              <w:t>.</w:t>
            </w:r>
          </w:p>
        </w:tc>
      </w:tr>
      <w:tr w:rsidR="00D836F3" w:rsidRPr="00CB5D91" w:rsidTr="000B52F9">
        <w:tc>
          <w:tcPr>
            <w:tcW w:w="2977" w:type="dxa"/>
            <w:tcBorders>
              <w:bottom w:val="single" w:sz="4" w:space="0" w:color="auto"/>
            </w:tcBorders>
          </w:tcPr>
          <w:p w:rsidR="00D836F3" w:rsidRDefault="00D836F3" w:rsidP="000B52F9">
            <w:pPr>
              <w:spacing w:before="120" w:after="120"/>
              <w:rPr>
                <w:rFonts w:cs="Arial"/>
                <w:b/>
                <w:sz w:val="22"/>
                <w:szCs w:val="22"/>
              </w:rPr>
            </w:pPr>
            <w:r w:rsidRPr="00717869">
              <w:rPr>
                <w:rFonts w:cs="Arial"/>
                <w:b/>
                <w:sz w:val="22"/>
                <w:szCs w:val="22"/>
              </w:rPr>
              <w:t>Criteria for exclusion</w:t>
            </w:r>
          </w:p>
          <w:p w:rsidR="00D836F3" w:rsidRDefault="00D836F3" w:rsidP="000B52F9">
            <w:pPr>
              <w:spacing w:before="120" w:after="120"/>
              <w:rPr>
                <w:rFonts w:cs="Arial"/>
                <w:b/>
                <w:sz w:val="22"/>
                <w:szCs w:val="22"/>
              </w:rPr>
            </w:pPr>
          </w:p>
          <w:p w:rsidR="00D836F3" w:rsidRDefault="00D836F3" w:rsidP="000B52F9">
            <w:pPr>
              <w:spacing w:before="120" w:after="120"/>
              <w:contextualSpacing/>
              <w:rPr>
                <w:rFonts w:cs="Arial"/>
                <w:sz w:val="22"/>
                <w:szCs w:val="22"/>
              </w:rPr>
            </w:pPr>
          </w:p>
          <w:p w:rsidR="00D836F3" w:rsidRPr="0038578B" w:rsidRDefault="00D836F3" w:rsidP="000B52F9">
            <w:pPr>
              <w:spacing w:before="120" w:after="120"/>
              <w:contextualSpacing/>
              <w:rPr>
                <w:rFonts w:cs="Arial"/>
                <w:sz w:val="22"/>
                <w:szCs w:val="22"/>
              </w:rPr>
            </w:pPr>
          </w:p>
          <w:p w:rsidR="00D836F3" w:rsidRPr="007E045E" w:rsidRDefault="00D836F3" w:rsidP="000B52F9">
            <w:pPr>
              <w:spacing w:before="120" w:after="120"/>
              <w:rPr>
                <w:rFonts w:cs="Arial"/>
                <w:b/>
                <w:sz w:val="22"/>
                <w:szCs w:val="22"/>
              </w:rPr>
            </w:pPr>
          </w:p>
        </w:tc>
        <w:tc>
          <w:tcPr>
            <w:tcW w:w="6946" w:type="dxa"/>
          </w:tcPr>
          <w:p w:rsidR="009D5B48" w:rsidRPr="009D5B48" w:rsidRDefault="009D5B48" w:rsidP="009D5B48">
            <w:pPr>
              <w:spacing w:before="120" w:after="120"/>
              <w:rPr>
                <w:rFonts w:cs="Arial"/>
                <w:color w:val="000000"/>
                <w:sz w:val="22"/>
                <w:szCs w:val="22"/>
              </w:rPr>
            </w:pPr>
            <w:r w:rsidRPr="009D5B48">
              <w:rPr>
                <w:rFonts w:cs="Arial"/>
                <w:color w:val="000000"/>
                <w:sz w:val="22"/>
                <w:szCs w:val="22"/>
              </w:rPr>
              <w:t xml:space="preserve">Individuals with known: </w:t>
            </w:r>
          </w:p>
          <w:p w:rsidR="009D5B48" w:rsidRPr="009D5B48" w:rsidRDefault="009D5B48" w:rsidP="009D5B48">
            <w:pPr>
              <w:pStyle w:val="ListParagraph"/>
              <w:numPr>
                <w:ilvl w:val="0"/>
                <w:numId w:val="14"/>
              </w:numPr>
              <w:spacing w:after="120"/>
              <w:ind w:left="317" w:hanging="317"/>
              <w:rPr>
                <w:rFonts w:cs="Arial"/>
                <w:color w:val="000000"/>
                <w:sz w:val="22"/>
                <w:szCs w:val="22"/>
              </w:rPr>
            </w:pPr>
            <w:r w:rsidRPr="009D5B48">
              <w:rPr>
                <w:rFonts w:cs="Arial"/>
                <w:color w:val="000000"/>
                <w:sz w:val="22"/>
                <w:szCs w:val="22"/>
              </w:rPr>
              <w:t>anaphylaxis, severe allergy or sensitivity to any iodine containing medicines</w:t>
            </w:r>
          </w:p>
          <w:p w:rsidR="009D5B48" w:rsidRPr="009D5B48" w:rsidRDefault="009D5B48" w:rsidP="009D5B48">
            <w:pPr>
              <w:pStyle w:val="ListParagraph"/>
              <w:numPr>
                <w:ilvl w:val="0"/>
                <w:numId w:val="14"/>
              </w:numPr>
              <w:spacing w:after="120"/>
              <w:ind w:left="317" w:hanging="317"/>
              <w:rPr>
                <w:rFonts w:cs="Arial"/>
                <w:color w:val="000000"/>
                <w:sz w:val="22"/>
                <w:szCs w:val="22"/>
              </w:rPr>
            </w:pPr>
            <w:r w:rsidRPr="009D5B48">
              <w:rPr>
                <w:rFonts w:cs="Arial"/>
                <w:color w:val="000000"/>
                <w:sz w:val="22"/>
                <w:szCs w:val="22"/>
              </w:rPr>
              <w:t>renal failure</w:t>
            </w:r>
          </w:p>
          <w:p w:rsidR="00D836F3" w:rsidRPr="009D5B48" w:rsidRDefault="009D5B48" w:rsidP="009D5B48">
            <w:pPr>
              <w:spacing w:after="120"/>
              <w:rPr>
                <w:rFonts w:cs="Arial"/>
                <w:color w:val="000000"/>
                <w:sz w:val="22"/>
                <w:szCs w:val="22"/>
              </w:rPr>
            </w:pPr>
            <w:r w:rsidRPr="00BA19D3">
              <w:rPr>
                <w:rFonts w:cs="Arial"/>
                <w:sz w:val="22"/>
                <w:szCs w:val="22"/>
              </w:rPr>
              <w:t xml:space="preserve">Pregnancy and hyperthyroidism are </w:t>
            </w:r>
            <w:r w:rsidRPr="00BA19D3">
              <w:rPr>
                <w:rFonts w:cs="Arial"/>
                <w:b/>
                <w:sz w:val="22"/>
                <w:szCs w:val="22"/>
              </w:rPr>
              <w:t xml:space="preserve">not </w:t>
            </w:r>
            <w:r w:rsidRPr="00BA19D3">
              <w:rPr>
                <w:rFonts w:cs="Arial"/>
                <w:sz w:val="22"/>
                <w:szCs w:val="22"/>
              </w:rPr>
              <w:t>exclusion criteria</w:t>
            </w:r>
            <w:r>
              <w:rPr>
                <w:rStyle w:val="FootnoteReference"/>
                <w:rFonts w:cs="Arial"/>
                <w:sz w:val="22"/>
                <w:szCs w:val="22"/>
              </w:rPr>
              <w:footnoteReference w:id="1"/>
            </w:r>
            <w:r w:rsidRPr="00BA19D3">
              <w:rPr>
                <w:rFonts w:cs="Arial"/>
                <w:sz w:val="22"/>
                <w:szCs w:val="22"/>
              </w:rPr>
              <w:t>.</w:t>
            </w:r>
          </w:p>
        </w:tc>
      </w:tr>
      <w:tr w:rsidR="00D836F3" w:rsidRPr="00CB5D91" w:rsidTr="009D5B48">
        <w:tc>
          <w:tcPr>
            <w:tcW w:w="2977" w:type="dxa"/>
            <w:tcBorders>
              <w:top w:val="single" w:sz="4" w:space="0" w:color="auto"/>
              <w:bottom w:val="single" w:sz="4" w:space="0" w:color="auto"/>
            </w:tcBorders>
          </w:tcPr>
          <w:p w:rsidR="00D836F3" w:rsidRPr="004010D7" w:rsidRDefault="00D836F3" w:rsidP="000B52F9">
            <w:pPr>
              <w:spacing w:before="120" w:after="120"/>
              <w:rPr>
                <w:rFonts w:cs="Arial"/>
                <w:b/>
                <w:sz w:val="22"/>
                <w:szCs w:val="22"/>
              </w:rPr>
            </w:pPr>
            <w:r>
              <w:rPr>
                <w:rFonts w:cs="Arial"/>
                <w:b/>
                <w:sz w:val="22"/>
                <w:szCs w:val="22"/>
              </w:rPr>
              <w:t>Cautions including any relevant action to be taken</w:t>
            </w:r>
          </w:p>
        </w:tc>
        <w:tc>
          <w:tcPr>
            <w:tcW w:w="6946" w:type="dxa"/>
          </w:tcPr>
          <w:p w:rsidR="00D836F3" w:rsidRPr="0074182B" w:rsidRDefault="009D5B48" w:rsidP="000B52F9">
            <w:pPr>
              <w:spacing w:before="120" w:after="120"/>
              <w:rPr>
                <w:rFonts w:cs="Arial"/>
                <w:color w:val="000000"/>
                <w:sz w:val="22"/>
                <w:szCs w:val="22"/>
              </w:rPr>
            </w:pPr>
            <w:r>
              <w:rPr>
                <w:rFonts w:cs="Arial"/>
                <w:color w:val="000000"/>
                <w:sz w:val="22"/>
                <w:szCs w:val="22"/>
              </w:rPr>
              <w:t>None</w:t>
            </w:r>
          </w:p>
        </w:tc>
      </w:tr>
      <w:tr w:rsidR="009D5B48" w:rsidRPr="0064061D" w:rsidTr="000B52F9">
        <w:tc>
          <w:tcPr>
            <w:tcW w:w="2977" w:type="dxa"/>
          </w:tcPr>
          <w:p w:rsidR="009D5B48" w:rsidRDefault="009D5B48" w:rsidP="00B84D21">
            <w:pPr>
              <w:spacing w:before="120" w:after="120"/>
              <w:rPr>
                <w:rFonts w:cs="Arial"/>
                <w:b/>
                <w:sz w:val="22"/>
                <w:szCs w:val="22"/>
              </w:rPr>
            </w:pPr>
            <w:r w:rsidRPr="004010D7">
              <w:rPr>
                <w:rFonts w:cs="Arial"/>
                <w:b/>
                <w:sz w:val="22"/>
                <w:szCs w:val="22"/>
              </w:rPr>
              <w:t xml:space="preserve">Action </w:t>
            </w:r>
            <w:r>
              <w:rPr>
                <w:rFonts w:cs="Arial"/>
                <w:b/>
                <w:sz w:val="22"/>
                <w:szCs w:val="22"/>
              </w:rPr>
              <w:t xml:space="preserve">to be taken </w:t>
            </w:r>
            <w:r w:rsidRPr="004010D7">
              <w:rPr>
                <w:rFonts w:cs="Arial"/>
                <w:b/>
                <w:sz w:val="22"/>
                <w:szCs w:val="22"/>
              </w:rPr>
              <w:t xml:space="preserve">if </w:t>
            </w:r>
            <w:r>
              <w:rPr>
                <w:rFonts w:cs="Arial"/>
                <w:b/>
                <w:sz w:val="22"/>
                <w:szCs w:val="22"/>
              </w:rPr>
              <w:t xml:space="preserve">the patient is </w:t>
            </w:r>
            <w:r w:rsidRPr="004010D7">
              <w:rPr>
                <w:rFonts w:cs="Arial"/>
                <w:b/>
                <w:sz w:val="22"/>
                <w:szCs w:val="22"/>
              </w:rPr>
              <w:t>excluded</w:t>
            </w:r>
          </w:p>
        </w:tc>
        <w:tc>
          <w:tcPr>
            <w:tcW w:w="6946" w:type="dxa"/>
          </w:tcPr>
          <w:p w:rsidR="003E6F4F" w:rsidRDefault="009D5B48" w:rsidP="00B84D21">
            <w:pPr>
              <w:pStyle w:val="Header"/>
              <w:spacing w:before="120" w:after="120"/>
            </w:pPr>
            <w:r w:rsidRPr="009D5B48">
              <w:rPr>
                <w:rFonts w:ascii="Arial" w:hAnsi="Arial" w:cs="Arial"/>
                <w:sz w:val="22"/>
                <w:szCs w:val="22"/>
              </w:rPr>
              <w:t>Explain why they have been excluded and refer the individual to the supervising doctor.</w:t>
            </w:r>
            <w:r w:rsidR="00F3403D">
              <w:t xml:space="preserve"> </w:t>
            </w:r>
          </w:p>
          <w:p w:rsidR="009D5B48" w:rsidRPr="009D5B48" w:rsidRDefault="00F3403D" w:rsidP="00B84D21">
            <w:pPr>
              <w:pStyle w:val="Header"/>
              <w:spacing w:before="120" w:after="120"/>
              <w:rPr>
                <w:rFonts w:ascii="Arial" w:eastAsia="Arial" w:hAnsi="Arial" w:cs="Arial"/>
                <w:spacing w:val="-37"/>
                <w:sz w:val="22"/>
                <w:szCs w:val="22"/>
              </w:rPr>
            </w:pPr>
            <w:r w:rsidRPr="00F3403D">
              <w:rPr>
                <w:rFonts w:ascii="Arial" w:hAnsi="Arial" w:cs="Arial"/>
                <w:sz w:val="22"/>
                <w:szCs w:val="22"/>
              </w:rPr>
              <w:t>If the supervising doctor decides the product can be administered, the doctor will either need to provide a Patient Specific Direction or administer the medicine themselves.</w:t>
            </w:r>
          </w:p>
        </w:tc>
      </w:tr>
      <w:tr w:rsidR="009D5B48" w:rsidRPr="0064061D" w:rsidTr="000B52F9">
        <w:tc>
          <w:tcPr>
            <w:tcW w:w="2977" w:type="dxa"/>
          </w:tcPr>
          <w:p w:rsidR="009D5B48" w:rsidRPr="004010D7" w:rsidRDefault="009D5B48" w:rsidP="00CA01A1">
            <w:pPr>
              <w:pStyle w:val="Header"/>
              <w:tabs>
                <w:tab w:val="left" w:pos="720"/>
              </w:tabs>
              <w:spacing w:before="120" w:after="120"/>
              <w:rPr>
                <w:rFonts w:ascii="Arial" w:hAnsi="Arial" w:cs="Arial"/>
                <w:b/>
                <w:sz w:val="22"/>
                <w:szCs w:val="22"/>
              </w:rPr>
            </w:pPr>
            <w:r w:rsidRPr="004010D7">
              <w:rPr>
                <w:rFonts w:ascii="Arial" w:hAnsi="Arial" w:cs="Arial"/>
                <w:b/>
                <w:sz w:val="22"/>
                <w:szCs w:val="22"/>
              </w:rPr>
              <w:t xml:space="preserve">Action </w:t>
            </w:r>
            <w:r>
              <w:rPr>
                <w:rFonts w:ascii="Arial" w:hAnsi="Arial" w:cs="Arial"/>
                <w:b/>
                <w:sz w:val="22"/>
                <w:szCs w:val="22"/>
              </w:rPr>
              <w:t xml:space="preserve">to be taken </w:t>
            </w:r>
            <w:r w:rsidRPr="004010D7">
              <w:rPr>
                <w:rFonts w:ascii="Arial" w:hAnsi="Arial" w:cs="Arial"/>
                <w:b/>
                <w:sz w:val="22"/>
                <w:szCs w:val="22"/>
              </w:rPr>
              <w:t xml:space="preserve">if </w:t>
            </w:r>
            <w:r>
              <w:rPr>
                <w:rFonts w:ascii="Arial" w:hAnsi="Arial" w:cs="Arial"/>
                <w:b/>
                <w:sz w:val="22"/>
                <w:szCs w:val="22"/>
              </w:rPr>
              <w:t xml:space="preserve">the </w:t>
            </w:r>
            <w:r w:rsidRPr="004010D7">
              <w:rPr>
                <w:rFonts w:ascii="Arial" w:hAnsi="Arial" w:cs="Arial"/>
                <w:b/>
                <w:sz w:val="22"/>
                <w:szCs w:val="22"/>
              </w:rPr>
              <w:t xml:space="preserve">patient </w:t>
            </w:r>
            <w:r>
              <w:rPr>
                <w:rFonts w:ascii="Arial" w:hAnsi="Arial" w:cs="Arial"/>
                <w:b/>
                <w:sz w:val="22"/>
                <w:szCs w:val="22"/>
              </w:rPr>
              <w:t xml:space="preserve">or carer </w:t>
            </w:r>
            <w:r w:rsidRPr="004010D7">
              <w:rPr>
                <w:rFonts w:ascii="Arial" w:hAnsi="Arial" w:cs="Arial"/>
                <w:b/>
                <w:sz w:val="22"/>
                <w:szCs w:val="22"/>
              </w:rPr>
              <w:t>declines treatment</w:t>
            </w:r>
          </w:p>
        </w:tc>
        <w:tc>
          <w:tcPr>
            <w:tcW w:w="6946" w:type="dxa"/>
          </w:tcPr>
          <w:p w:rsidR="009D5B48" w:rsidRPr="009D5B48" w:rsidRDefault="009D5B48" w:rsidP="00CA01A1">
            <w:pPr>
              <w:spacing w:before="120" w:after="120"/>
              <w:rPr>
                <w:rFonts w:cs="Arial"/>
                <w:sz w:val="22"/>
                <w:szCs w:val="22"/>
              </w:rPr>
            </w:pPr>
            <w:r w:rsidRPr="009D5B48">
              <w:rPr>
                <w:rFonts w:cs="Arial"/>
                <w:sz w:val="22"/>
                <w:szCs w:val="22"/>
              </w:rPr>
              <w:t>Advise the individual or their carer of the possible consequences of refusing treatment and about its protective effects.</w:t>
            </w:r>
          </w:p>
          <w:p w:rsidR="009D5B48" w:rsidRPr="0064061D" w:rsidRDefault="009D5B48" w:rsidP="00CA01A1">
            <w:pPr>
              <w:spacing w:after="120"/>
              <w:rPr>
                <w:rFonts w:cs="Arial"/>
                <w:sz w:val="22"/>
                <w:szCs w:val="22"/>
              </w:rPr>
            </w:pPr>
            <w:r w:rsidRPr="009D5B48">
              <w:rPr>
                <w:rFonts w:cs="Arial"/>
                <w:sz w:val="22"/>
                <w:szCs w:val="22"/>
              </w:rPr>
              <w:t>Refer the individual to the supervising doctor.</w:t>
            </w:r>
          </w:p>
        </w:tc>
      </w:tr>
      <w:tr w:rsidR="009D5B48" w:rsidRPr="0064061D" w:rsidTr="000B52F9">
        <w:tc>
          <w:tcPr>
            <w:tcW w:w="2977" w:type="dxa"/>
          </w:tcPr>
          <w:p w:rsidR="009D5B48" w:rsidRDefault="009D5B48" w:rsidP="00725905">
            <w:pPr>
              <w:spacing w:before="120" w:after="120"/>
              <w:rPr>
                <w:rFonts w:cs="Arial"/>
                <w:b/>
                <w:sz w:val="22"/>
                <w:szCs w:val="22"/>
              </w:rPr>
            </w:pPr>
            <w:r>
              <w:rPr>
                <w:rFonts w:cs="Arial"/>
                <w:b/>
                <w:sz w:val="22"/>
                <w:szCs w:val="22"/>
              </w:rPr>
              <w:t>Arrangements for referral for medical advice</w:t>
            </w:r>
          </w:p>
        </w:tc>
        <w:tc>
          <w:tcPr>
            <w:tcW w:w="6946" w:type="dxa"/>
          </w:tcPr>
          <w:p w:rsidR="009D5B48" w:rsidRPr="00980E67" w:rsidRDefault="009D5B48" w:rsidP="00725905">
            <w:pPr>
              <w:spacing w:before="120" w:after="120"/>
              <w:rPr>
                <w:rFonts w:cs="Arial"/>
                <w:sz w:val="22"/>
                <w:szCs w:val="22"/>
              </w:rPr>
            </w:pPr>
            <w:r w:rsidRPr="00980E67">
              <w:rPr>
                <w:rFonts w:cs="Arial"/>
                <w:sz w:val="22"/>
                <w:szCs w:val="22"/>
              </w:rPr>
              <w:t>As per local policy</w:t>
            </w:r>
          </w:p>
        </w:tc>
      </w:tr>
    </w:tbl>
    <w:p w:rsidR="00D836F3" w:rsidRPr="006D6C62" w:rsidRDefault="00D836F3" w:rsidP="006D6C62">
      <w:pPr>
        <w:pStyle w:val="ListParagraph"/>
        <w:numPr>
          <w:ilvl w:val="0"/>
          <w:numId w:val="3"/>
        </w:numPr>
        <w:spacing w:before="120" w:after="120"/>
        <w:ind w:left="714" w:hanging="357"/>
        <w:rPr>
          <w:rFonts w:cs="Arial"/>
          <w:b/>
          <w:szCs w:val="24"/>
        </w:rPr>
      </w:pPr>
      <w:r w:rsidRPr="009D5B48">
        <w:rPr>
          <w:rFonts w:cs="Arial"/>
          <w:b/>
          <w:szCs w:val="24"/>
        </w:rPr>
        <w:br w:type="page"/>
      </w:r>
      <w:r w:rsidRPr="009D5B48">
        <w:rPr>
          <w:rFonts w:cs="Arial"/>
          <w:b/>
          <w:szCs w:val="24"/>
        </w:rPr>
        <w:lastRenderedPageBreak/>
        <w:t>Description of Treatment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0"/>
        <w:gridCol w:w="6991"/>
      </w:tblGrid>
      <w:tr w:rsidR="00BB17A6" w:rsidRPr="007C1B5E" w:rsidTr="000B52F9">
        <w:tc>
          <w:tcPr>
            <w:tcW w:w="2790" w:type="dxa"/>
          </w:tcPr>
          <w:p w:rsidR="00BB17A6" w:rsidRPr="007C1B5E" w:rsidRDefault="00BB17A6" w:rsidP="000B52F9">
            <w:pPr>
              <w:spacing w:before="120" w:after="120"/>
              <w:rPr>
                <w:rFonts w:cs="Arial"/>
                <w:b/>
                <w:sz w:val="22"/>
                <w:szCs w:val="22"/>
              </w:rPr>
            </w:pPr>
            <w:r w:rsidRPr="007C1B5E">
              <w:rPr>
                <w:rFonts w:cs="Arial"/>
                <w:b/>
                <w:sz w:val="22"/>
                <w:szCs w:val="22"/>
              </w:rPr>
              <w:t>Name, strength &amp; formulation of drug</w:t>
            </w:r>
          </w:p>
        </w:tc>
        <w:tc>
          <w:tcPr>
            <w:tcW w:w="6991" w:type="dxa"/>
          </w:tcPr>
          <w:p w:rsidR="00BB17A6" w:rsidRPr="006D6C62" w:rsidRDefault="00BB17A6" w:rsidP="006D6C62">
            <w:pPr>
              <w:tabs>
                <w:tab w:val="left" w:pos="252"/>
              </w:tabs>
              <w:spacing w:before="120" w:after="120"/>
              <w:rPr>
                <w:rFonts w:cs="Arial"/>
                <w:sz w:val="22"/>
                <w:szCs w:val="22"/>
              </w:rPr>
            </w:pPr>
            <w:r>
              <w:rPr>
                <w:rFonts w:cs="Arial"/>
                <w:sz w:val="22"/>
                <w:szCs w:val="22"/>
              </w:rPr>
              <w:t>Potassium iodide 6</w:t>
            </w:r>
            <w:r w:rsidRPr="00BA19D3">
              <w:rPr>
                <w:rFonts w:cs="Arial"/>
                <w:sz w:val="22"/>
                <w:szCs w:val="22"/>
              </w:rPr>
              <w:t>5mg tablets equivalent to 50mg of iodine</w:t>
            </w:r>
          </w:p>
        </w:tc>
      </w:tr>
      <w:tr w:rsidR="00BB17A6" w:rsidRPr="007C1B5E" w:rsidTr="000B52F9">
        <w:tc>
          <w:tcPr>
            <w:tcW w:w="2790" w:type="dxa"/>
          </w:tcPr>
          <w:p w:rsidR="00BB17A6" w:rsidRPr="007C1B5E" w:rsidRDefault="00BB17A6" w:rsidP="000B52F9">
            <w:pPr>
              <w:spacing w:before="120" w:after="120"/>
              <w:rPr>
                <w:rFonts w:cs="Arial"/>
                <w:b/>
                <w:sz w:val="22"/>
                <w:szCs w:val="22"/>
              </w:rPr>
            </w:pPr>
            <w:r w:rsidRPr="007C1B5E">
              <w:rPr>
                <w:rFonts w:cs="Arial"/>
                <w:b/>
                <w:sz w:val="22"/>
                <w:szCs w:val="22"/>
              </w:rPr>
              <w:t xml:space="preserve">Legal </w:t>
            </w:r>
            <w:r>
              <w:rPr>
                <w:rFonts w:cs="Arial"/>
                <w:b/>
                <w:sz w:val="22"/>
                <w:szCs w:val="22"/>
              </w:rPr>
              <w:t>category</w:t>
            </w:r>
          </w:p>
        </w:tc>
        <w:tc>
          <w:tcPr>
            <w:tcW w:w="6991" w:type="dxa"/>
          </w:tcPr>
          <w:p w:rsidR="00BB17A6" w:rsidRPr="00BA19D3" w:rsidRDefault="00BB17A6" w:rsidP="000B52F9">
            <w:pPr>
              <w:spacing w:before="120" w:after="120"/>
              <w:rPr>
                <w:sz w:val="22"/>
                <w:szCs w:val="22"/>
              </w:rPr>
            </w:pPr>
            <w:r w:rsidRPr="00BA19D3">
              <w:rPr>
                <w:rFonts w:cs="Arial"/>
                <w:sz w:val="22"/>
                <w:szCs w:val="22"/>
              </w:rPr>
              <w:t>Pharmacy only (P) medicine</w:t>
            </w:r>
          </w:p>
        </w:tc>
      </w:tr>
      <w:tr w:rsidR="00BB17A6" w:rsidRPr="007C1B5E" w:rsidTr="000B52F9">
        <w:tc>
          <w:tcPr>
            <w:tcW w:w="2790" w:type="dxa"/>
          </w:tcPr>
          <w:p w:rsidR="00BB17A6" w:rsidRPr="0034683E" w:rsidRDefault="00BB17A6" w:rsidP="000B52F9">
            <w:pPr>
              <w:spacing w:before="120" w:after="120"/>
              <w:rPr>
                <w:rFonts w:cs="Arial"/>
                <w:b/>
                <w:sz w:val="22"/>
                <w:szCs w:val="22"/>
              </w:rPr>
            </w:pPr>
            <w:r w:rsidRPr="0034683E">
              <w:rPr>
                <w:rFonts w:cs="Arial"/>
                <w:b/>
                <w:sz w:val="22"/>
                <w:szCs w:val="22"/>
              </w:rPr>
              <w:t>Black Triangle</w:t>
            </w:r>
            <w:r w:rsidRPr="0034683E">
              <w:rPr>
                <w:rFonts w:cs="Arial"/>
                <w:b/>
                <w:sz w:val="22"/>
                <w:szCs w:val="22"/>
              </w:rPr>
              <w:sym w:font="Wingdings 3" w:char="F071"/>
            </w:r>
            <w:r w:rsidRPr="0034683E">
              <w:rPr>
                <w:rFonts w:cs="Arial"/>
                <w:b/>
                <w:sz w:val="22"/>
                <w:szCs w:val="22"/>
              </w:rPr>
              <w:t xml:space="preserve"> </w:t>
            </w:r>
          </w:p>
        </w:tc>
        <w:tc>
          <w:tcPr>
            <w:tcW w:w="6991" w:type="dxa"/>
          </w:tcPr>
          <w:p w:rsidR="00BB17A6" w:rsidRPr="00BA19D3" w:rsidRDefault="00BB17A6" w:rsidP="000B52F9">
            <w:pPr>
              <w:spacing w:before="120" w:after="120"/>
              <w:rPr>
                <w:sz w:val="22"/>
                <w:szCs w:val="22"/>
              </w:rPr>
            </w:pPr>
            <w:r w:rsidRPr="00BA19D3">
              <w:rPr>
                <w:sz w:val="22"/>
                <w:szCs w:val="22"/>
              </w:rPr>
              <w:t>No</w:t>
            </w:r>
          </w:p>
        </w:tc>
      </w:tr>
      <w:tr w:rsidR="00BB17A6" w:rsidRPr="007C1B5E" w:rsidTr="000B52F9">
        <w:tc>
          <w:tcPr>
            <w:tcW w:w="2790" w:type="dxa"/>
          </w:tcPr>
          <w:p w:rsidR="00BB17A6" w:rsidRPr="0034683E" w:rsidRDefault="00BB17A6" w:rsidP="000B52F9">
            <w:pPr>
              <w:spacing w:before="120" w:after="120"/>
              <w:rPr>
                <w:rFonts w:cs="Arial"/>
                <w:b/>
                <w:sz w:val="22"/>
                <w:szCs w:val="22"/>
              </w:rPr>
            </w:pPr>
            <w:r>
              <w:rPr>
                <w:rFonts w:cs="Arial"/>
                <w:b/>
                <w:sz w:val="22"/>
                <w:szCs w:val="22"/>
              </w:rPr>
              <w:t>Off-</w:t>
            </w:r>
            <w:r w:rsidRPr="0034683E">
              <w:rPr>
                <w:rFonts w:cs="Arial"/>
                <w:b/>
                <w:sz w:val="22"/>
                <w:szCs w:val="22"/>
              </w:rPr>
              <w:t>label use</w:t>
            </w:r>
          </w:p>
        </w:tc>
        <w:tc>
          <w:tcPr>
            <w:tcW w:w="6991" w:type="dxa"/>
          </w:tcPr>
          <w:p w:rsidR="00BB17A6" w:rsidRDefault="00BB17A6" w:rsidP="000B52F9">
            <w:pPr>
              <w:spacing w:before="120" w:after="120"/>
              <w:rPr>
                <w:rFonts w:cs="Arial"/>
                <w:sz w:val="22"/>
                <w:szCs w:val="22"/>
              </w:rPr>
            </w:pPr>
            <w:r>
              <w:rPr>
                <w:rFonts w:cs="Arial"/>
                <w:sz w:val="22"/>
                <w:szCs w:val="22"/>
              </w:rPr>
              <w:t>Yes</w:t>
            </w:r>
          </w:p>
          <w:p w:rsidR="00BB17A6" w:rsidRDefault="00BB17A6" w:rsidP="000B52F9">
            <w:pPr>
              <w:pStyle w:val="CommentText"/>
              <w:rPr>
                <w:rFonts w:cs="Arial"/>
                <w:sz w:val="22"/>
                <w:szCs w:val="22"/>
              </w:rPr>
            </w:pPr>
            <w:r>
              <w:rPr>
                <w:rFonts w:cs="Arial"/>
                <w:sz w:val="22"/>
                <w:szCs w:val="22"/>
              </w:rPr>
              <w:t>Although the Summary of Product Characteristics (SPC) states that treatment should be initiated within one hour of exposure, treatment should nevertheless be considered after this time period as the likely benefits of treatment outweigh the likely risks of non-treatment.</w:t>
            </w:r>
          </w:p>
          <w:p w:rsidR="00BB17A6" w:rsidRDefault="00BB17A6" w:rsidP="000B52F9">
            <w:pPr>
              <w:spacing w:before="120" w:after="120"/>
              <w:rPr>
                <w:sz w:val="22"/>
                <w:szCs w:val="22"/>
              </w:rPr>
            </w:pPr>
            <w:r>
              <w:rPr>
                <w:sz w:val="22"/>
                <w:szCs w:val="22"/>
              </w:rPr>
              <w:t>T</w:t>
            </w:r>
            <w:r w:rsidR="007B188B">
              <w:rPr>
                <w:sz w:val="22"/>
                <w:szCs w:val="22"/>
              </w:rPr>
              <w:t>he t</w:t>
            </w:r>
            <w:r>
              <w:rPr>
                <w:sz w:val="22"/>
                <w:szCs w:val="22"/>
              </w:rPr>
              <w:t>imeframe to be decided according to local advice at the time of an incident.</w:t>
            </w:r>
          </w:p>
          <w:p w:rsidR="00F3403D" w:rsidRPr="00EC7FE7" w:rsidRDefault="00F3403D" w:rsidP="000B52F9">
            <w:pPr>
              <w:spacing w:before="120" w:after="120"/>
              <w:rPr>
                <w:sz w:val="22"/>
                <w:szCs w:val="22"/>
              </w:rPr>
            </w:pPr>
            <w:r w:rsidRPr="00F3403D">
              <w:rPr>
                <w:sz w:val="22"/>
                <w:szCs w:val="22"/>
              </w:rPr>
              <w:t>Where a product is recommended off-label consider, as part of the consent process, informing the individual/carer that the product is being offered in accordance with national guidance but that this is outside the product licence.</w:t>
            </w:r>
          </w:p>
        </w:tc>
      </w:tr>
      <w:tr w:rsidR="00BB17A6" w:rsidRPr="007C1B5E" w:rsidTr="000B52F9">
        <w:tc>
          <w:tcPr>
            <w:tcW w:w="2790" w:type="dxa"/>
          </w:tcPr>
          <w:p w:rsidR="00BB17A6" w:rsidRPr="0034683E" w:rsidRDefault="00BB17A6" w:rsidP="00712D13">
            <w:pPr>
              <w:spacing w:before="120" w:after="120"/>
              <w:rPr>
                <w:rFonts w:cs="Arial"/>
                <w:b/>
                <w:sz w:val="22"/>
                <w:szCs w:val="22"/>
              </w:rPr>
            </w:pPr>
            <w:r w:rsidRPr="0034683E">
              <w:rPr>
                <w:rFonts w:cs="Arial"/>
                <w:b/>
                <w:sz w:val="22"/>
                <w:szCs w:val="22"/>
              </w:rPr>
              <w:t>Route/method</w:t>
            </w:r>
            <w:r>
              <w:rPr>
                <w:rFonts w:cs="Arial"/>
                <w:b/>
                <w:sz w:val="22"/>
                <w:szCs w:val="22"/>
              </w:rPr>
              <w:t xml:space="preserve"> of administration</w:t>
            </w:r>
          </w:p>
        </w:tc>
        <w:tc>
          <w:tcPr>
            <w:tcW w:w="6991" w:type="dxa"/>
          </w:tcPr>
          <w:p w:rsidR="00BB17A6" w:rsidRDefault="00BB17A6" w:rsidP="000B52F9">
            <w:pPr>
              <w:spacing w:before="120" w:after="120"/>
              <w:rPr>
                <w:rFonts w:cs="Arial"/>
                <w:color w:val="1A1A18"/>
                <w:sz w:val="22"/>
                <w:szCs w:val="22"/>
              </w:rPr>
            </w:pPr>
            <w:r w:rsidRPr="00EC7FE7">
              <w:rPr>
                <w:rFonts w:cs="Arial"/>
                <w:color w:val="1A1A18"/>
                <w:sz w:val="22"/>
                <w:szCs w:val="22"/>
              </w:rPr>
              <w:t>Oral</w:t>
            </w:r>
          </w:p>
          <w:p w:rsidR="00BB17A6" w:rsidRPr="00EC7FE7" w:rsidRDefault="00BB17A6" w:rsidP="000B52F9">
            <w:pPr>
              <w:pStyle w:val="CommentText"/>
              <w:spacing w:after="120"/>
              <w:rPr>
                <w:rFonts w:cs="Arial"/>
                <w:color w:val="1A1A18"/>
                <w:sz w:val="22"/>
                <w:szCs w:val="22"/>
              </w:rPr>
            </w:pPr>
            <w:r>
              <w:rPr>
                <w:sz w:val="22"/>
                <w:szCs w:val="22"/>
              </w:rPr>
              <w:t>The dose may be crushed and mixed with milk, water or fruit juice, honey, jam or yoghurt before administration</w:t>
            </w:r>
          </w:p>
        </w:tc>
      </w:tr>
      <w:tr w:rsidR="00BB17A6" w:rsidRPr="007C1B5E" w:rsidTr="000B52F9">
        <w:tc>
          <w:tcPr>
            <w:tcW w:w="2790" w:type="dxa"/>
          </w:tcPr>
          <w:p w:rsidR="00BB17A6" w:rsidRPr="0034683E" w:rsidRDefault="00BB17A6" w:rsidP="000B52F9">
            <w:pPr>
              <w:pStyle w:val="Header"/>
              <w:tabs>
                <w:tab w:val="clear" w:pos="4153"/>
                <w:tab w:val="clear" w:pos="8306"/>
              </w:tabs>
              <w:spacing w:before="120" w:after="120"/>
              <w:rPr>
                <w:rFonts w:ascii="Arial" w:hAnsi="Arial" w:cs="Arial"/>
                <w:b/>
                <w:sz w:val="22"/>
                <w:szCs w:val="22"/>
              </w:rPr>
            </w:pPr>
            <w:r w:rsidRPr="0034683E">
              <w:rPr>
                <w:rFonts w:ascii="Arial" w:hAnsi="Arial" w:cs="Arial"/>
                <w:b/>
                <w:sz w:val="22"/>
                <w:szCs w:val="22"/>
              </w:rPr>
              <w:t xml:space="preserve">Dose </w:t>
            </w:r>
            <w:r>
              <w:rPr>
                <w:rFonts w:ascii="Arial" w:hAnsi="Arial" w:cs="Arial"/>
                <w:b/>
                <w:sz w:val="22"/>
                <w:szCs w:val="22"/>
              </w:rPr>
              <w:t>and f</w:t>
            </w:r>
            <w:r w:rsidRPr="00EB4085">
              <w:rPr>
                <w:rFonts w:ascii="Arial" w:hAnsi="Arial" w:cs="Arial"/>
                <w:b/>
                <w:sz w:val="22"/>
                <w:szCs w:val="22"/>
              </w:rPr>
              <w:t>requency of administration</w:t>
            </w:r>
          </w:p>
        </w:tc>
        <w:tc>
          <w:tcPr>
            <w:tcW w:w="6991" w:type="dxa"/>
          </w:tcPr>
          <w:tbl>
            <w:tblPr>
              <w:tblW w:w="5000" w:type="pct"/>
              <w:tblCellSpacing w:w="0" w:type="dxa"/>
              <w:tblLayout w:type="fixed"/>
              <w:tblCellMar>
                <w:top w:w="60" w:type="dxa"/>
                <w:left w:w="60" w:type="dxa"/>
                <w:bottom w:w="60" w:type="dxa"/>
                <w:right w:w="60" w:type="dxa"/>
              </w:tblCellMar>
              <w:tblLook w:val="04A0" w:firstRow="1" w:lastRow="0" w:firstColumn="1" w:lastColumn="0" w:noHBand="0" w:noVBand="1"/>
            </w:tblPr>
            <w:tblGrid>
              <w:gridCol w:w="2711"/>
              <w:gridCol w:w="2033"/>
              <w:gridCol w:w="2031"/>
            </w:tblGrid>
            <w:tr w:rsidR="00BB17A6" w:rsidRPr="00522BBC" w:rsidTr="000B52F9">
              <w:trPr>
                <w:tblCellSpacing w:w="0" w:type="dxa"/>
              </w:trPr>
              <w:tc>
                <w:tcPr>
                  <w:tcW w:w="2001" w:type="pct"/>
                  <w:hideMark/>
                </w:tcPr>
                <w:p w:rsidR="00BB17A6" w:rsidRPr="00522BBC" w:rsidRDefault="00BB17A6" w:rsidP="000B52F9">
                  <w:pPr>
                    <w:spacing w:before="120" w:after="75"/>
                    <w:rPr>
                      <w:rFonts w:cs="Arial"/>
                      <w:color w:val="000000"/>
                      <w:sz w:val="22"/>
                      <w:szCs w:val="22"/>
                    </w:rPr>
                  </w:pPr>
                  <w:r w:rsidRPr="00522BBC">
                    <w:rPr>
                      <w:rFonts w:cs="Arial"/>
                      <w:color w:val="000000"/>
                      <w:sz w:val="22"/>
                      <w:szCs w:val="22"/>
                    </w:rPr>
                    <w:t>Where possible, the dose should b</w:t>
                  </w:r>
                  <w:r w:rsidR="00D274DE">
                    <w:rPr>
                      <w:rFonts w:cs="Arial"/>
                      <w:color w:val="000000"/>
                      <w:sz w:val="22"/>
                      <w:szCs w:val="22"/>
                    </w:rPr>
                    <w:t xml:space="preserve">e administered </w:t>
                  </w:r>
                  <w:r w:rsidR="00AE25C9">
                    <w:rPr>
                      <w:rFonts w:cs="Arial"/>
                      <w:color w:val="000000"/>
                      <w:sz w:val="22"/>
                      <w:szCs w:val="22"/>
                    </w:rPr>
                    <w:t xml:space="preserve">shortly </w:t>
                  </w:r>
                  <w:r w:rsidR="00D274DE">
                    <w:rPr>
                      <w:rFonts w:cs="Arial"/>
                      <w:color w:val="000000"/>
                      <w:sz w:val="22"/>
                      <w:szCs w:val="22"/>
                    </w:rPr>
                    <w:t xml:space="preserve">before exposure </w:t>
                  </w:r>
                  <w:r w:rsidRPr="00522BBC">
                    <w:rPr>
                      <w:rFonts w:cs="Arial"/>
                      <w:color w:val="000000"/>
                      <w:sz w:val="22"/>
                      <w:szCs w:val="22"/>
                    </w:rPr>
                    <w:t>or as soon as possible after an exposure has occurred.  </w:t>
                  </w:r>
                </w:p>
              </w:tc>
              <w:tc>
                <w:tcPr>
                  <w:tcW w:w="1500" w:type="pct"/>
                  <w:hideMark/>
                </w:tcPr>
                <w:p w:rsidR="00BB17A6" w:rsidRPr="00522BBC" w:rsidRDefault="00BB17A6" w:rsidP="000B52F9">
                  <w:pPr>
                    <w:spacing w:before="120" w:after="75"/>
                    <w:rPr>
                      <w:rFonts w:cs="Arial"/>
                      <w:color w:val="000000"/>
                      <w:sz w:val="22"/>
                      <w:szCs w:val="22"/>
                    </w:rPr>
                  </w:pPr>
                  <w:r w:rsidRPr="00522BBC">
                    <w:rPr>
                      <w:rFonts w:cs="Arial"/>
                      <w:color w:val="000000"/>
                      <w:sz w:val="22"/>
                      <w:szCs w:val="22"/>
                      <w:u w:val="single"/>
                    </w:rPr>
                    <w:t>Tablets</w:t>
                  </w:r>
                </w:p>
              </w:tc>
              <w:tc>
                <w:tcPr>
                  <w:tcW w:w="1499" w:type="pct"/>
                  <w:hideMark/>
                </w:tcPr>
                <w:p w:rsidR="00BB17A6" w:rsidRPr="00522BBC" w:rsidRDefault="00BB17A6" w:rsidP="000B52F9">
                  <w:pPr>
                    <w:spacing w:before="120" w:after="75"/>
                    <w:rPr>
                      <w:rFonts w:cs="Arial"/>
                      <w:color w:val="000000"/>
                      <w:sz w:val="22"/>
                      <w:szCs w:val="22"/>
                    </w:rPr>
                  </w:pPr>
                  <w:r w:rsidRPr="00522BBC">
                    <w:rPr>
                      <w:rFonts w:cs="Arial"/>
                      <w:color w:val="000000"/>
                      <w:sz w:val="22"/>
                      <w:szCs w:val="22"/>
                      <w:u w:val="single"/>
                    </w:rPr>
                    <w:t>Iodine equivalent</w:t>
                  </w:r>
                </w:p>
              </w:tc>
            </w:tr>
            <w:tr w:rsidR="00BB17A6" w:rsidRPr="00522BBC" w:rsidTr="000B52F9">
              <w:trPr>
                <w:tblCellSpacing w:w="0" w:type="dxa"/>
              </w:trPr>
              <w:tc>
                <w:tcPr>
                  <w:tcW w:w="2001" w:type="pct"/>
                  <w:hideMark/>
                </w:tcPr>
                <w:p w:rsidR="00BB17A6" w:rsidRPr="00522BBC" w:rsidRDefault="00BB17A6" w:rsidP="000B52F9">
                  <w:pPr>
                    <w:spacing w:before="100" w:beforeAutospacing="1" w:after="75"/>
                    <w:rPr>
                      <w:rFonts w:cs="Arial"/>
                      <w:color w:val="000000"/>
                      <w:sz w:val="22"/>
                      <w:szCs w:val="22"/>
                    </w:rPr>
                  </w:pPr>
                  <w:r w:rsidRPr="00522BBC">
                    <w:rPr>
                      <w:rFonts w:cs="Arial"/>
                      <w:i/>
                      <w:iCs/>
                      <w:color w:val="000000"/>
                      <w:sz w:val="22"/>
                      <w:szCs w:val="22"/>
                    </w:rPr>
                    <w:t>Adults, elderly and adolescents (over 12 years)</w:t>
                  </w:r>
                </w:p>
              </w:tc>
              <w:tc>
                <w:tcPr>
                  <w:tcW w:w="1500" w:type="pct"/>
                  <w:hideMark/>
                </w:tcPr>
                <w:p w:rsidR="00BB17A6" w:rsidRPr="00522BBC" w:rsidRDefault="00BB17A6" w:rsidP="000B52F9">
                  <w:pPr>
                    <w:spacing w:before="100" w:beforeAutospacing="1" w:after="75"/>
                    <w:rPr>
                      <w:rFonts w:cs="Arial"/>
                      <w:color w:val="000000"/>
                      <w:sz w:val="22"/>
                      <w:szCs w:val="22"/>
                    </w:rPr>
                  </w:pPr>
                  <w:r w:rsidRPr="00522BBC">
                    <w:rPr>
                      <w:rFonts w:cs="Arial"/>
                      <w:color w:val="000000"/>
                      <w:sz w:val="22"/>
                      <w:szCs w:val="22"/>
                    </w:rPr>
                    <w:t xml:space="preserve">2 tablets </w:t>
                  </w:r>
                </w:p>
              </w:tc>
              <w:tc>
                <w:tcPr>
                  <w:tcW w:w="1499" w:type="pct"/>
                  <w:hideMark/>
                </w:tcPr>
                <w:p w:rsidR="00BB17A6" w:rsidRPr="00522BBC" w:rsidRDefault="00BB17A6" w:rsidP="000B52F9">
                  <w:pPr>
                    <w:spacing w:before="100" w:beforeAutospacing="1" w:after="75"/>
                    <w:rPr>
                      <w:rFonts w:cs="Arial"/>
                      <w:color w:val="000000"/>
                      <w:sz w:val="22"/>
                      <w:szCs w:val="22"/>
                    </w:rPr>
                  </w:pPr>
                  <w:r w:rsidRPr="00522BBC">
                    <w:rPr>
                      <w:rFonts w:cs="Arial"/>
                      <w:color w:val="000000"/>
                      <w:sz w:val="22"/>
                      <w:szCs w:val="22"/>
                    </w:rPr>
                    <w:t xml:space="preserve">100mg </w:t>
                  </w:r>
                </w:p>
              </w:tc>
            </w:tr>
            <w:tr w:rsidR="00BB17A6" w:rsidRPr="00522BBC" w:rsidTr="000B52F9">
              <w:trPr>
                <w:tblCellSpacing w:w="0" w:type="dxa"/>
              </w:trPr>
              <w:tc>
                <w:tcPr>
                  <w:tcW w:w="2001" w:type="pct"/>
                  <w:hideMark/>
                </w:tcPr>
                <w:p w:rsidR="00BB17A6" w:rsidRPr="00522BBC" w:rsidRDefault="00BB17A6" w:rsidP="000B52F9">
                  <w:pPr>
                    <w:spacing w:before="100" w:beforeAutospacing="1" w:after="75"/>
                    <w:rPr>
                      <w:rFonts w:cs="Arial"/>
                      <w:color w:val="000000"/>
                      <w:sz w:val="22"/>
                      <w:szCs w:val="22"/>
                    </w:rPr>
                  </w:pPr>
                  <w:r w:rsidRPr="00522BBC">
                    <w:rPr>
                      <w:rFonts w:cs="Arial"/>
                      <w:i/>
                      <w:iCs/>
                      <w:color w:val="000000"/>
                      <w:sz w:val="22"/>
                      <w:szCs w:val="22"/>
                    </w:rPr>
                    <w:t>Children (3-12 years)</w:t>
                  </w:r>
                </w:p>
              </w:tc>
              <w:tc>
                <w:tcPr>
                  <w:tcW w:w="1500" w:type="pct"/>
                  <w:hideMark/>
                </w:tcPr>
                <w:p w:rsidR="00BB17A6" w:rsidRPr="00522BBC" w:rsidRDefault="00BB17A6" w:rsidP="000B52F9">
                  <w:pPr>
                    <w:spacing w:before="100" w:beforeAutospacing="1" w:after="75"/>
                    <w:rPr>
                      <w:rFonts w:cs="Arial"/>
                      <w:color w:val="000000"/>
                      <w:sz w:val="22"/>
                      <w:szCs w:val="22"/>
                    </w:rPr>
                  </w:pPr>
                  <w:r w:rsidRPr="00522BBC">
                    <w:rPr>
                      <w:rFonts w:cs="Arial"/>
                      <w:color w:val="000000"/>
                      <w:sz w:val="22"/>
                      <w:szCs w:val="22"/>
                    </w:rPr>
                    <w:t xml:space="preserve">1 tablet </w:t>
                  </w:r>
                </w:p>
              </w:tc>
              <w:tc>
                <w:tcPr>
                  <w:tcW w:w="1499" w:type="pct"/>
                  <w:hideMark/>
                </w:tcPr>
                <w:p w:rsidR="00BB17A6" w:rsidRPr="00522BBC" w:rsidRDefault="00BB17A6" w:rsidP="000B52F9">
                  <w:pPr>
                    <w:spacing w:before="100" w:beforeAutospacing="1" w:after="75"/>
                    <w:rPr>
                      <w:rFonts w:cs="Arial"/>
                      <w:color w:val="000000"/>
                      <w:sz w:val="22"/>
                      <w:szCs w:val="22"/>
                    </w:rPr>
                  </w:pPr>
                  <w:r w:rsidRPr="00522BBC">
                    <w:rPr>
                      <w:rFonts w:cs="Arial"/>
                      <w:color w:val="000000"/>
                      <w:sz w:val="22"/>
                      <w:szCs w:val="22"/>
                    </w:rPr>
                    <w:t xml:space="preserve">50mg </w:t>
                  </w:r>
                </w:p>
              </w:tc>
            </w:tr>
            <w:tr w:rsidR="00BB17A6" w:rsidRPr="00522BBC" w:rsidTr="000B52F9">
              <w:trPr>
                <w:tblCellSpacing w:w="0" w:type="dxa"/>
              </w:trPr>
              <w:tc>
                <w:tcPr>
                  <w:tcW w:w="2001" w:type="pct"/>
                  <w:hideMark/>
                </w:tcPr>
                <w:p w:rsidR="00D274DE" w:rsidRDefault="00D274DE" w:rsidP="00D274DE">
                  <w:pPr>
                    <w:spacing w:before="100" w:beforeAutospacing="1"/>
                    <w:rPr>
                      <w:rFonts w:cs="Arial"/>
                      <w:i/>
                      <w:iCs/>
                      <w:color w:val="000000"/>
                      <w:sz w:val="22"/>
                      <w:szCs w:val="22"/>
                    </w:rPr>
                  </w:pPr>
                  <w:r>
                    <w:rPr>
                      <w:rFonts w:cs="Arial"/>
                      <w:i/>
                      <w:iCs/>
                      <w:color w:val="000000"/>
                      <w:sz w:val="22"/>
                      <w:szCs w:val="22"/>
                    </w:rPr>
                    <w:t xml:space="preserve">Children (1 month to </w:t>
                  </w:r>
                </w:p>
                <w:p w:rsidR="00BB17A6" w:rsidRPr="00D274DE" w:rsidRDefault="00B474C6" w:rsidP="00B474C6">
                  <w:pPr>
                    <w:rPr>
                      <w:rFonts w:cs="Arial"/>
                      <w:i/>
                      <w:iCs/>
                      <w:color w:val="000000"/>
                      <w:sz w:val="22"/>
                      <w:szCs w:val="22"/>
                    </w:rPr>
                  </w:pPr>
                  <w:r>
                    <w:rPr>
                      <w:rFonts w:cs="Arial"/>
                      <w:i/>
                      <w:iCs/>
                      <w:color w:val="000000"/>
                      <w:sz w:val="22"/>
                      <w:szCs w:val="22"/>
                    </w:rPr>
                    <w:t>les</w:t>
                  </w:r>
                  <w:r w:rsidR="00D274DE">
                    <w:rPr>
                      <w:rFonts w:cs="Arial"/>
                      <w:i/>
                      <w:iCs/>
                      <w:color w:val="000000"/>
                      <w:sz w:val="22"/>
                      <w:szCs w:val="22"/>
                    </w:rPr>
                    <w:t xml:space="preserve">s than </w:t>
                  </w:r>
                  <w:r w:rsidR="00BB17A6" w:rsidRPr="00522BBC">
                    <w:rPr>
                      <w:rFonts w:cs="Arial"/>
                      <w:i/>
                      <w:iCs/>
                      <w:color w:val="000000"/>
                      <w:sz w:val="22"/>
                      <w:szCs w:val="22"/>
                    </w:rPr>
                    <w:t>3 years)</w:t>
                  </w:r>
                </w:p>
              </w:tc>
              <w:tc>
                <w:tcPr>
                  <w:tcW w:w="1500" w:type="pct"/>
                  <w:hideMark/>
                </w:tcPr>
                <w:p w:rsidR="00BB17A6" w:rsidRPr="00522BBC" w:rsidRDefault="00BB17A6" w:rsidP="000B52F9">
                  <w:pPr>
                    <w:spacing w:before="100" w:beforeAutospacing="1" w:after="75"/>
                    <w:rPr>
                      <w:rFonts w:cs="Arial"/>
                      <w:color w:val="000000"/>
                      <w:sz w:val="22"/>
                      <w:szCs w:val="22"/>
                    </w:rPr>
                  </w:pPr>
                  <w:r w:rsidRPr="00522BBC">
                    <w:rPr>
                      <w:rFonts w:cs="Arial"/>
                      <w:color w:val="000000"/>
                      <w:sz w:val="22"/>
                      <w:szCs w:val="22"/>
                    </w:rPr>
                    <w:t xml:space="preserve">½ tablet </w:t>
                  </w:r>
                </w:p>
              </w:tc>
              <w:tc>
                <w:tcPr>
                  <w:tcW w:w="1499" w:type="pct"/>
                  <w:hideMark/>
                </w:tcPr>
                <w:p w:rsidR="00BB17A6" w:rsidRPr="00522BBC" w:rsidRDefault="00BB17A6" w:rsidP="000B52F9">
                  <w:pPr>
                    <w:spacing w:before="100" w:beforeAutospacing="1" w:after="75"/>
                    <w:rPr>
                      <w:rFonts w:cs="Arial"/>
                      <w:color w:val="000000"/>
                      <w:sz w:val="22"/>
                      <w:szCs w:val="22"/>
                    </w:rPr>
                  </w:pPr>
                  <w:r w:rsidRPr="00522BBC">
                    <w:rPr>
                      <w:rFonts w:cs="Arial"/>
                      <w:color w:val="000000"/>
                      <w:sz w:val="22"/>
                      <w:szCs w:val="22"/>
                    </w:rPr>
                    <w:t xml:space="preserve">25mg </w:t>
                  </w:r>
                </w:p>
              </w:tc>
            </w:tr>
            <w:tr w:rsidR="00BB17A6" w:rsidRPr="00D322E3" w:rsidTr="000B52F9">
              <w:trPr>
                <w:tblCellSpacing w:w="0" w:type="dxa"/>
              </w:trPr>
              <w:tc>
                <w:tcPr>
                  <w:tcW w:w="2001" w:type="pct"/>
                  <w:hideMark/>
                </w:tcPr>
                <w:p w:rsidR="00BB17A6" w:rsidRPr="00522BBC" w:rsidRDefault="00D274DE" w:rsidP="000B52F9">
                  <w:pPr>
                    <w:spacing w:before="100" w:beforeAutospacing="1" w:after="75"/>
                    <w:rPr>
                      <w:rFonts w:cs="Arial"/>
                      <w:color w:val="000000"/>
                      <w:sz w:val="22"/>
                      <w:szCs w:val="22"/>
                    </w:rPr>
                  </w:pPr>
                  <w:r>
                    <w:rPr>
                      <w:rFonts w:cs="Arial"/>
                      <w:i/>
                      <w:iCs/>
                      <w:color w:val="000000"/>
                      <w:sz w:val="22"/>
                      <w:szCs w:val="22"/>
                    </w:rPr>
                    <w:t xml:space="preserve">Neonates (birth to less than </w:t>
                  </w:r>
                  <w:r w:rsidR="00BB17A6" w:rsidRPr="00522BBC">
                    <w:rPr>
                      <w:rFonts w:cs="Arial"/>
                      <w:i/>
                      <w:iCs/>
                      <w:color w:val="000000"/>
                      <w:sz w:val="22"/>
                      <w:szCs w:val="22"/>
                    </w:rPr>
                    <w:t>1 month)</w:t>
                  </w:r>
                </w:p>
              </w:tc>
              <w:tc>
                <w:tcPr>
                  <w:tcW w:w="1500" w:type="pct"/>
                  <w:hideMark/>
                </w:tcPr>
                <w:p w:rsidR="00BB17A6" w:rsidRPr="00522BBC" w:rsidRDefault="00BB17A6" w:rsidP="000B52F9">
                  <w:pPr>
                    <w:spacing w:before="100" w:beforeAutospacing="1" w:after="75"/>
                    <w:rPr>
                      <w:rFonts w:cs="Arial"/>
                      <w:color w:val="000000"/>
                      <w:sz w:val="22"/>
                      <w:szCs w:val="22"/>
                    </w:rPr>
                  </w:pPr>
                  <w:r w:rsidRPr="00522BBC">
                    <w:rPr>
                      <w:rFonts w:cs="Arial"/>
                      <w:color w:val="000000"/>
                      <w:sz w:val="22"/>
                      <w:szCs w:val="22"/>
                    </w:rPr>
                    <w:t xml:space="preserve">¼ tablet </w:t>
                  </w:r>
                </w:p>
              </w:tc>
              <w:tc>
                <w:tcPr>
                  <w:tcW w:w="1499" w:type="pct"/>
                  <w:hideMark/>
                </w:tcPr>
                <w:p w:rsidR="00BB17A6" w:rsidRPr="00D322E3" w:rsidRDefault="00BB17A6" w:rsidP="000B52F9">
                  <w:pPr>
                    <w:spacing w:before="100" w:beforeAutospacing="1" w:after="75"/>
                    <w:rPr>
                      <w:rFonts w:cs="Arial"/>
                      <w:sz w:val="22"/>
                      <w:szCs w:val="22"/>
                    </w:rPr>
                  </w:pPr>
                  <w:r w:rsidRPr="00D322E3">
                    <w:rPr>
                      <w:rFonts w:cs="Arial"/>
                      <w:sz w:val="22"/>
                      <w:szCs w:val="22"/>
                    </w:rPr>
                    <w:t xml:space="preserve">12.5mg </w:t>
                  </w:r>
                </w:p>
              </w:tc>
            </w:tr>
          </w:tbl>
          <w:p w:rsidR="00BB17A6" w:rsidRPr="005706AE" w:rsidRDefault="00BB17A6" w:rsidP="000B52F9">
            <w:pPr>
              <w:pStyle w:val="Default"/>
              <w:spacing w:before="120" w:after="120"/>
              <w:rPr>
                <w:color w:val="191817"/>
                <w:sz w:val="22"/>
                <w:szCs w:val="22"/>
              </w:rPr>
            </w:pPr>
          </w:p>
        </w:tc>
      </w:tr>
      <w:tr w:rsidR="00BB17A6" w:rsidRPr="007C1B5E" w:rsidTr="000B52F9">
        <w:tc>
          <w:tcPr>
            <w:tcW w:w="2790" w:type="dxa"/>
            <w:tcBorders>
              <w:bottom w:val="single" w:sz="4" w:space="0" w:color="auto"/>
            </w:tcBorders>
          </w:tcPr>
          <w:p w:rsidR="00BB17A6" w:rsidRPr="0034683E" w:rsidRDefault="00BB17A6" w:rsidP="000B52F9">
            <w:pPr>
              <w:spacing w:before="120" w:after="120"/>
              <w:rPr>
                <w:rFonts w:cs="Arial"/>
                <w:b/>
                <w:sz w:val="22"/>
                <w:szCs w:val="22"/>
              </w:rPr>
            </w:pPr>
            <w:r w:rsidRPr="0034683E">
              <w:rPr>
                <w:rFonts w:cs="Arial"/>
                <w:b/>
                <w:sz w:val="22"/>
                <w:szCs w:val="22"/>
              </w:rPr>
              <w:t>Duration of treatment</w:t>
            </w:r>
          </w:p>
        </w:tc>
        <w:tc>
          <w:tcPr>
            <w:tcW w:w="6991" w:type="dxa"/>
            <w:tcBorders>
              <w:bottom w:val="single" w:sz="4" w:space="0" w:color="auto"/>
            </w:tcBorders>
          </w:tcPr>
          <w:p w:rsidR="00BB17A6" w:rsidRPr="00522BBC" w:rsidRDefault="00BB17A6" w:rsidP="000B52F9">
            <w:pPr>
              <w:spacing w:before="120" w:after="120"/>
              <w:rPr>
                <w:rFonts w:cs="Arial"/>
                <w:b/>
                <w:sz w:val="22"/>
                <w:szCs w:val="22"/>
              </w:rPr>
            </w:pPr>
            <w:r w:rsidRPr="00522BBC">
              <w:rPr>
                <w:rFonts w:cs="Arial"/>
                <w:sz w:val="22"/>
                <w:szCs w:val="22"/>
              </w:rPr>
              <w:t>A single dose to be administered</w:t>
            </w:r>
            <w:r>
              <w:rPr>
                <w:rFonts w:cs="Arial"/>
                <w:sz w:val="22"/>
                <w:szCs w:val="22"/>
              </w:rPr>
              <w:t xml:space="preserve"> immediately</w:t>
            </w:r>
            <w:r w:rsidRPr="00522BBC">
              <w:rPr>
                <w:rFonts w:cs="Arial"/>
                <w:sz w:val="22"/>
                <w:szCs w:val="22"/>
              </w:rPr>
              <w:t>. This will protect against exposure lasting up to 24 hours.</w:t>
            </w:r>
          </w:p>
        </w:tc>
      </w:tr>
      <w:tr w:rsidR="00BB17A6" w:rsidRPr="007C1B5E" w:rsidTr="000B52F9">
        <w:tc>
          <w:tcPr>
            <w:tcW w:w="2790" w:type="dxa"/>
            <w:tcBorders>
              <w:bottom w:val="single" w:sz="4" w:space="0" w:color="auto"/>
            </w:tcBorders>
          </w:tcPr>
          <w:p w:rsidR="00BB17A6" w:rsidRPr="0034683E" w:rsidRDefault="00BB17A6" w:rsidP="00712D13">
            <w:pPr>
              <w:spacing w:before="120" w:after="120"/>
              <w:rPr>
                <w:rFonts w:cs="Arial"/>
                <w:b/>
                <w:sz w:val="22"/>
                <w:szCs w:val="22"/>
              </w:rPr>
            </w:pPr>
            <w:r>
              <w:rPr>
                <w:rFonts w:cs="Arial"/>
                <w:b/>
                <w:sz w:val="22"/>
                <w:szCs w:val="22"/>
              </w:rPr>
              <w:t>Quantity to be supplied/ administered</w:t>
            </w:r>
          </w:p>
        </w:tc>
        <w:tc>
          <w:tcPr>
            <w:tcW w:w="6991" w:type="dxa"/>
            <w:tcBorders>
              <w:bottom w:val="single" w:sz="4" w:space="0" w:color="auto"/>
            </w:tcBorders>
          </w:tcPr>
          <w:p w:rsidR="00BB17A6" w:rsidRPr="002A049D" w:rsidRDefault="00BB17A6" w:rsidP="000B52F9">
            <w:pPr>
              <w:spacing w:before="120" w:after="120"/>
              <w:rPr>
                <w:rFonts w:cs="Arial"/>
                <w:sz w:val="22"/>
                <w:szCs w:val="22"/>
              </w:rPr>
            </w:pPr>
            <w:r>
              <w:rPr>
                <w:rFonts w:cs="Arial"/>
                <w:sz w:val="22"/>
                <w:szCs w:val="22"/>
              </w:rPr>
              <w:t>As above</w:t>
            </w:r>
          </w:p>
        </w:tc>
      </w:tr>
      <w:tr w:rsidR="00BB17A6" w:rsidRPr="007C1B5E" w:rsidTr="000B52F9">
        <w:tc>
          <w:tcPr>
            <w:tcW w:w="2790" w:type="dxa"/>
            <w:tcBorders>
              <w:bottom w:val="single" w:sz="4" w:space="0" w:color="auto"/>
            </w:tcBorders>
          </w:tcPr>
          <w:p w:rsidR="00BB17A6" w:rsidRPr="007C1B5E" w:rsidRDefault="00BB17A6" w:rsidP="000B52F9">
            <w:pPr>
              <w:spacing w:before="120" w:after="120"/>
              <w:rPr>
                <w:rFonts w:cs="Arial"/>
                <w:b/>
                <w:sz w:val="22"/>
                <w:szCs w:val="22"/>
              </w:rPr>
            </w:pPr>
            <w:r>
              <w:rPr>
                <w:rFonts w:cs="Arial"/>
                <w:b/>
                <w:sz w:val="22"/>
                <w:szCs w:val="22"/>
              </w:rPr>
              <w:t>Storage</w:t>
            </w:r>
          </w:p>
        </w:tc>
        <w:tc>
          <w:tcPr>
            <w:tcW w:w="6991" w:type="dxa"/>
            <w:tcBorders>
              <w:bottom w:val="single" w:sz="4" w:space="0" w:color="auto"/>
            </w:tcBorders>
          </w:tcPr>
          <w:p w:rsidR="00BB17A6" w:rsidRPr="009E4F1B" w:rsidRDefault="00BB17A6" w:rsidP="000B52F9">
            <w:pPr>
              <w:tabs>
                <w:tab w:val="left" w:pos="0"/>
              </w:tabs>
              <w:spacing w:before="120"/>
              <w:rPr>
                <w:rFonts w:cs="Arial"/>
                <w:sz w:val="22"/>
                <w:szCs w:val="22"/>
              </w:rPr>
            </w:pPr>
            <w:r w:rsidRPr="009E4F1B">
              <w:rPr>
                <w:rFonts w:cs="Arial"/>
                <w:sz w:val="22"/>
                <w:szCs w:val="22"/>
              </w:rPr>
              <w:t xml:space="preserve">Store in original container below 25 </w:t>
            </w:r>
            <w:r w:rsidRPr="009E4F1B">
              <w:rPr>
                <w:rFonts w:cs="Arial"/>
                <w:sz w:val="22"/>
                <w:szCs w:val="22"/>
                <w:vertAlign w:val="superscript"/>
              </w:rPr>
              <w:t>o</w:t>
            </w:r>
            <w:r w:rsidRPr="009E4F1B">
              <w:rPr>
                <w:rFonts w:cs="Arial"/>
                <w:sz w:val="22"/>
                <w:szCs w:val="22"/>
              </w:rPr>
              <w:t>C</w:t>
            </w:r>
          </w:p>
          <w:p w:rsidR="00BB17A6" w:rsidRPr="00EC7FE7" w:rsidRDefault="00BB17A6" w:rsidP="000B52F9">
            <w:pPr>
              <w:pStyle w:val="Header"/>
              <w:tabs>
                <w:tab w:val="clear" w:pos="4153"/>
                <w:tab w:val="clear" w:pos="8306"/>
              </w:tabs>
              <w:spacing w:after="120"/>
              <w:rPr>
                <w:rFonts w:ascii="Arial" w:hAnsi="Arial" w:cs="Arial"/>
                <w:sz w:val="22"/>
                <w:szCs w:val="22"/>
              </w:rPr>
            </w:pPr>
            <w:r w:rsidRPr="009E4F1B">
              <w:rPr>
                <w:rFonts w:ascii="Arial" w:hAnsi="Arial" w:cs="Arial"/>
                <w:sz w:val="22"/>
                <w:szCs w:val="22"/>
              </w:rPr>
              <w:t>Store out of reach and sight of children</w:t>
            </w:r>
          </w:p>
        </w:tc>
      </w:tr>
      <w:tr w:rsidR="00BB17A6" w:rsidRPr="007C1B5E" w:rsidTr="000B52F9">
        <w:tc>
          <w:tcPr>
            <w:tcW w:w="2790" w:type="dxa"/>
            <w:tcBorders>
              <w:bottom w:val="single" w:sz="4" w:space="0" w:color="auto"/>
            </w:tcBorders>
          </w:tcPr>
          <w:p w:rsidR="00BB17A6" w:rsidRDefault="00BB17A6" w:rsidP="000B52F9">
            <w:pPr>
              <w:spacing w:before="120" w:after="120"/>
              <w:rPr>
                <w:rFonts w:cs="Arial"/>
                <w:b/>
                <w:sz w:val="22"/>
                <w:szCs w:val="22"/>
              </w:rPr>
            </w:pPr>
            <w:r>
              <w:rPr>
                <w:rFonts w:cs="Arial"/>
                <w:b/>
                <w:sz w:val="22"/>
                <w:szCs w:val="22"/>
              </w:rPr>
              <w:t>Disposal</w:t>
            </w:r>
          </w:p>
        </w:tc>
        <w:tc>
          <w:tcPr>
            <w:tcW w:w="6991" w:type="dxa"/>
            <w:tcBorders>
              <w:bottom w:val="single" w:sz="4" w:space="0" w:color="auto"/>
            </w:tcBorders>
          </w:tcPr>
          <w:p w:rsidR="00BB17A6" w:rsidRPr="0004626D" w:rsidRDefault="00BB17A6" w:rsidP="000B52F9">
            <w:pPr>
              <w:spacing w:before="120" w:after="120"/>
              <w:rPr>
                <w:rFonts w:cs="Arial"/>
                <w:color w:val="7030A0"/>
                <w:sz w:val="22"/>
                <w:szCs w:val="22"/>
              </w:rPr>
            </w:pPr>
            <w:r w:rsidRPr="00B050AB">
              <w:rPr>
                <w:rFonts w:cs="Arial"/>
                <w:sz w:val="22"/>
                <w:szCs w:val="22"/>
              </w:rPr>
              <w:t>Any unused product or waste material should be disposed of in accordance with local requirements.</w:t>
            </w:r>
          </w:p>
        </w:tc>
      </w:tr>
      <w:tr w:rsidR="00BB17A6" w:rsidRPr="007C1B5E" w:rsidTr="000B52F9">
        <w:tc>
          <w:tcPr>
            <w:tcW w:w="2790" w:type="dxa"/>
            <w:tcBorders>
              <w:bottom w:val="single" w:sz="4" w:space="0" w:color="auto"/>
            </w:tcBorders>
          </w:tcPr>
          <w:p w:rsidR="00BB17A6" w:rsidRPr="001B323D" w:rsidRDefault="00BB17A6" w:rsidP="000B52F9">
            <w:pPr>
              <w:spacing w:before="120" w:after="120"/>
              <w:jc w:val="both"/>
              <w:rPr>
                <w:rFonts w:ascii="Times New Roman" w:hAnsi="Times New Roman" w:cs="Arial"/>
                <w:b/>
                <w:sz w:val="22"/>
                <w:szCs w:val="22"/>
                <w:vertAlign w:val="superscript"/>
              </w:rPr>
            </w:pPr>
            <w:r>
              <w:rPr>
                <w:rFonts w:cs="Arial"/>
                <w:b/>
                <w:sz w:val="22"/>
                <w:szCs w:val="22"/>
              </w:rPr>
              <w:lastRenderedPageBreak/>
              <w:t>Drug Interactions</w:t>
            </w:r>
          </w:p>
        </w:tc>
        <w:tc>
          <w:tcPr>
            <w:tcW w:w="6991" w:type="dxa"/>
            <w:tcBorders>
              <w:bottom w:val="single" w:sz="4" w:space="0" w:color="auto"/>
            </w:tcBorders>
          </w:tcPr>
          <w:p w:rsidR="006D6C62" w:rsidRPr="00522BBC" w:rsidRDefault="00BB17A6" w:rsidP="00E14FAB">
            <w:pPr>
              <w:tabs>
                <w:tab w:val="left" w:pos="0"/>
              </w:tabs>
              <w:spacing w:before="120" w:after="60"/>
              <w:rPr>
                <w:rFonts w:cs="Arial"/>
                <w:sz w:val="22"/>
                <w:szCs w:val="22"/>
              </w:rPr>
            </w:pPr>
            <w:r w:rsidRPr="00522BBC">
              <w:rPr>
                <w:rFonts w:cs="Arial"/>
                <w:sz w:val="22"/>
                <w:szCs w:val="22"/>
              </w:rPr>
              <w:t>The following interactions may occur, but are not contraindica</w:t>
            </w:r>
            <w:r>
              <w:rPr>
                <w:rFonts w:cs="Arial"/>
                <w:sz w:val="22"/>
                <w:szCs w:val="22"/>
              </w:rPr>
              <w:t>tions to giving potassium iodide. W</w:t>
            </w:r>
            <w:r w:rsidRPr="00522BBC">
              <w:rPr>
                <w:rFonts w:cs="Arial"/>
                <w:sz w:val="22"/>
                <w:szCs w:val="22"/>
              </w:rPr>
              <w:t xml:space="preserve">here advice is given by the appropriate public health authority that </w:t>
            </w:r>
            <w:r>
              <w:rPr>
                <w:rFonts w:cs="Arial"/>
                <w:sz w:val="22"/>
                <w:szCs w:val="22"/>
              </w:rPr>
              <w:t>potassium iodide</w:t>
            </w:r>
            <w:r w:rsidRPr="00522BBC">
              <w:rPr>
                <w:rFonts w:cs="Arial"/>
                <w:sz w:val="22"/>
                <w:szCs w:val="22"/>
              </w:rPr>
              <w:t xml:space="preserve"> should be taken then the benefit of taking this medicine outweighs the risk</w:t>
            </w:r>
            <w:r w:rsidR="006D6C62">
              <w:rPr>
                <w:rFonts w:cs="Arial"/>
                <w:sz w:val="22"/>
                <w:szCs w:val="22"/>
              </w:rPr>
              <w:t xml:space="preserve"> of the interactions given overleaf:</w:t>
            </w:r>
          </w:p>
          <w:p w:rsidR="00BB17A6" w:rsidRPr="0054765B" w:rsidRDefault="00BB17A6" w:rsidP="006D6C62">
            <w:pPr>
              <w:pStyle w:val="ListParagraph"/>
              <w:numPr>
                <w:ilvl w:val="0"/>
                <w:numId w:val="15"/>
              </w:numPr>
              <w:tabs>
                <w:tab w:val="left" w:pos="0"/>
              </w:tabs>
              <w:spacing w:before="120" w:after="120"/>
              <w:ind w:left="221" w:hanging="221"/>
              <w:contextualSpacing w:val="0"/>
              <w:rPr>
                <w:rFonts w:cs="Arial"/>
                <w:sz w:val="22"/>
                <w:szCs w:val="22"/>
              </w:rPr>
            </w:pPr>
            <w:r>
              <w:rPr>
                <w:rFonts w:cs="Arial"/>
                <w:sz w:val="22"/>
                <w:szCs w:val="22"/>
              </w:rPr>
              <w:t>m</w:t>
            </w:r>
            <w:r w:rsidRPr="0054765B">
              <w:rPr>
                <w:rFonts w:cs="Arial"/>
                <w:sz w:val="22"/>
                <w:szCs w:val="22"/>
              </w:rPr>
              <w:t xml:space="preserve">edicines such as captopril and enalapril can cause hyperkalaemia. This effect may be enhanced </w:t>
            </w:r>
            <w:r>
              <w:rPr>
                <w:rFonts w:cs="Arial"/>
                <w:sz w:val="22"/>
                <w:szCs w:val="22"/>
              </w:rPr>
              <w:t>with the use of potassium iodide</w:t>
            </w:r>
          </w:p>
          <w:p w:rsidR="00BB17A6" w:rsidRPr="0054765B" w:rsidRDefault="00BB17A6" w:rsidP="006D6C62">
            <w:pPr>
              <w:pStyle w:val="ListParagraph"/>
              <w:numPr>
                <w:ilvl w:val="0"/>
                <w:numId w:val="15"/>
              </w:numPr>
              <w:tabs>
                <w:tab w:val="left" w:pos="0"/>
              </w:tabs>
              <w:spacing w:after="120"/>
              <w:ind w:left="221" w:hanging="221"/>
              <w:contextualSpacing w:val="0"/>
              <w:rPr>
                <w:rFonts w:cs="Arial"/>
                <w:sz w:val="22"/>
                <w:szCs w:val="22"/>
              </w:rPr>
            </w:pPr>
            <w:r>
              <w:rPr>
                <w:rFonts w:cs="Arial"/>
                <w:sz w:val="22"/>
                <w:szCs w:val="22"/>
              </w:rPr>
              <w:t>t</w:t>
            </w:r>
            <w:r w:rsidRPr="0054765B">
              <w:rPr>
                <w:rFonts w:cs="Arial"/>
                <w:sz w:val="22"/>
                <w:szCs w:val="22"/>
              </w:rPr>
              <w:t>he effect of quinidine on the heart is increased by increased plasma concentration of potassium</w:t>
            </w:r>
          </w:p>
          <w:p w:rsidR="00BB17A6" w:rsidRPr="00BB17A6" w:rsidRDefault="00BB17A6" w:rsidP="006D6C62">
            <w:pPr>
              <w:pStyle w:val="ListParagraph"/>
              <w:numPr>
                <w:ilvl w:val="0"/>
                <w:numId w:val="15"/>
              </w:numPr>
              <w:spacing w:before="60" w:after="120"/>
              <w:ind w:left="221" w:hanging="221"/>
              <w:contextualSpacing w:val="0"/>
              <w:rPr>
                <w:color w:val="7030A0"/>
                <w:sz w:val="22"/>
                <w:szCs w:val="22"/>
              </w:rPr>
            </w:pPr>
            <w:r>
              <w:rPr>
                <w:rFonts w:cs="Arial"/>
                <w:sz w:val="22"/>
                <w:szCs w:val="22"/>
              </w:rPr>
              <w:t>h</w:t>
            </w:r>
            <w:r w:rsidRPr="00522BBC">
              <w:rPr>
                <w:rFonts w:cs="Arial"/>
                <w:sz w:val="22"/>
                <w:szCs w:val="22"/>
              </w:rPr>
              <w:t>yperkalaemia results from the interaction between potassium salts and potassium-sparing diuretics such as amiloride or triamterene or aldosterone antagonists</w:t>
            </w:r>
          </w:p>
          <w:p w:rsidR="00BB17A6" w:rsidRPr="00BB17A6" w:rsidRDefault="00BB17A6" w:rsidP="00E14FAB">
            <w:pPr>
              <w:spacing w:before="60" w:after="120"/>
              <w:rPr>
                <w:color w:val="7030A0"/>
                <w:sz w:val="22"/>
                <w:szCs w:val="22"/>
              </w:rPr>
            </w:pPr>
            <w:r w:rsidRPr="00BB17A6">
              <w:rPr>
                <w:sz w:val="22"/>
                <w:szCs w:val="22"/>
              </w:rPr>
              <w:t xml:space="preserve">Refer to </w:t>
            </w:r>
            <w:r>
              <w:rPr>
                <w:sz w:val="22"/>
                <w:szCs w:val="22"/>
              </w:rPr>
              <w:t xml:space="preserve">the </w:t>
            </w:r>
            <w:hyperlink r:id="rId11" w:history="1">
              <w:r w:rsidR="00E14FAB" w:rsidRPr="00E14FAB">
                <w:rPr>
                  <w:rStyle w:val="Hyperlink"/>
                  <w:sz w:val="22"/>
                  <w:szCs w:val="22"/>
                </w:rPr>
                <w:t>SPC</w:t>
              </w:r>
            </w:hyperlink>
            <w:r w:rsidR="00E14FAB">
              <w:rPr>
                <w:sz w:val="22"/>
                <w:szCs w:val="22"/>
              </w:rPr>
              <w:t xml:space="preserve"> </w:t>
            </w:r>
            <w:r w:rsidRPr="00BB17A6">
              <w:rPr>
                <w:sz w:val="22"/>
                <w:szCs w:val="22"/>
              </w:rPr>
              <w:t xml:space="preserve">for </w:t>
            </w:r>
            <w:r>
              <w:rPr>
                <w:sz w:val="22"/>
                <w:szCs w:val="22"/>
              </w:rPr>
              <w:t xml:space="preserve">a </w:t>
            </w:r>
            <w:r w:rsidRPr="00BB17A6">
              <w:rPr>
                <w:sz w:val="22"/>
                <w:szCs w:val="22"/>
              </w:rPr>
              <w:t>complete list</w:t>
            </w:r>
          </w:p>
        </w:tc>
      </w:tr>
      <w:tr w:rsidR="00BB17A6" w:rsidRPr="007C1B5E" w:rsidTr="000B52F9">
        <w:tc>
          <w:tcPr>
            <w:tcW w:w="2790" w:type="dxa"/>
            <w:tcBorders>
              <w:bottom w:val="single" w:sz="4" w:space="0" w:color="auto"/>
            </w:tcBorders>
          </w:tcPr>
          <w:p w:rsidR="00BB17A6" w:rsidRDefault="00BB17A6" w:rsidP="000B52F9">
            <w:pPr>
              <w:spacing w:before="120" w:after="120"/>
              <w:rPr>
                <w:rFonts w:cs="Arial"/>
                <w:b/>
                <w:sz w:val="22"/>
                <w:szCs w:val="22"/>
              </w:rPr>
            </w:pPr>
            <w:r>
              <w:br w:type="page"/>
            </w:r>
            <w:r w:rsidRPr="00BB5879">
              <w:rPr>
                <w:rFonts w:cs="Arial"/>
                <w:b/>
                <w:sz w:val="22"/>
                <w:szCs w:val="22"/>
              </w:rPr>
              <w:t>Identification &amp; Management of Adverse Reactions</w:t>
            </w:r>
          </w:p>
          <w:p w:rsidR="00BB17A6" w:rsidRPr="00BB5879" w:rsidRDefault="00BB17A6" w:rsidP="000B52F9">
            <w:pPr>
              <w:spacing w:before="120" w:after="120"/>
              <w:rPr>
                <w:rFonts w:cs="Arial"/>
                <w:b/>
                <w:sz w:val="22"/>
                <w:szCs w:val="22"/>
              </w:rPr>
            </w:pPr>
          </w:p>
        </w:tc>
        <w:tc>
          <w:tcPr>
            <w:tcW w:w="6991" w:type="dxa"/>
            <w:tcBorders>
              <w:bottom w:val="single" w:sz="4" w:space="0" w:color="auto"/>
            </w:tcBorders>
          </w:tcPr>
          <w:p w:rsidR="006D6C62" w:rsidRDefault="00BB17A6" w:rsidP="00BB17A6">
            <w:pPr>
              <w:spacing w:before="120" w:after="120"/>
              <w:rPr>
                <w:rFonts w:cs="Arial"/>
                <w:sz w:val="22"/>
                <w:szCs w:val="22"/>
              </w:rPr>
            </w:pPr>
            <w:r w:rsidRPr="00BB17A6">
              <w:rPr>
                <w:rFonts w:cs="Arial"/>
                <w:sz w:val="22"/>
                <w:szCs w:val="22"/>
              </w:rPr>
              <w:t xml:space="preserve">The risk of adverse reactions, particularly to a single dose, is remote. </w:t>
            </w:r>
          </w:p>
          <w:p w:rsidR="00BB17A6" w:rsidRPr="00BB17A6" w:rsidRDefault="00BB17A6" w:rsidP="00BB17A6">
            <w:pPr>
              <w:spacing w:before="120" w:after="120"/>
              <w:rPr>
                <w:rFonts w:cs="Arial"/>
                <w:sz w:val="22"/>
                <w:szCs w:val="22"/>
              </w:rPr>
            </w:pPr>
            <w:r w:rsidRPr="00BB17A6">
              <w:rPr>
                <w:rFonts w:cs="Arial"/>
                <w:sz w:val="22"/>
                <w:szCs w:val="22"/>
              </w:rPr>
              <w:t xml:space="preserve">Where advice is given by the appropriate public health authority that potassium iodide should be taken, then the benefit of taking this medicine outweighs the risk of undesirable effects. </w:t>
            </w:r>
          </w:p>
          <w:p w:rsidR="00BB17A6" w:rsidRPr="00D940F1" w:rsidRDefault="00BB17A6" w:rsidP="00BB17A6">
            <w:pPr>
              <w:spacing w:before="120" w:after="120"/>
              <w:rPr>
                <w:rFonts w:cs="Arial"/>
                <w:sz w:val="22"/>
                <w:szCs w:val="22"/>
              </w:rPr>
            </w:pPr>
            <w:r w:rsidRPr="00BB17A6">
              <w:rPr>
                <w:rFonts w:cs="Arial"/>
                <w:sz w:val="22"/>
                <w:szCs w:val="22"/>
              </w:rPr>
              <w:t>A detailed list of adverse re</w:t>
            </w:r>
            <w:r>
              <w:rPr>
                <w:rFonts w:cs="Arial"/>
                <w:sz w:val="22"/>
                <w:szCs w:val="22"/>
              </w:rPr>
              <w:t xml:space="preserve">actions is available in the </w:t>
            </w:r>
            <w:hyperlink r:id="rId12" w:history="1">
              <w:r w:rsidRPr="00BB17A6">
                <w:rPr>
                  <w:rStyle w:val="Hyperlink"/>
                  <w:rFonts w:cs="Arial"/>
                  <w:sz w:val="22"/>
                  <w:szCs w:val="22"/>
                </w:rPr>
                <w:t>SPC</w:t>
              </w:r>
            </w:hyperlink>
          </w:p>
        </w:tc>
      </w:tr>
      <w:tr w:rsidR="00BB17A6" w:rsidRPr="007C1B5E" w:rsidTr="000B52F9">
        <w:tc>
          <w:tcPr>
            <w:tcW w:w="2790" w:type="dxa"/>
            <w:tcBorders>
              <w:bottom w:val="single" w:sz="4" w:space="0" w:color="auto"/>
            </w:tcBorders>
          </w:tcPr>
          <w:p w:rsidR="00BB17A6" w:rsidRPr="00A325FD" w:rsidRDefault="00BB17A6" w:rsidP="000B52F9">
            <w:pPr>
              <w:spacing w:before="120" w:after="120"/>
              <w:rPr>
                <w:rFonts w:cs="Arial"/>
                <w:b/>
                <w:sz w:val="22"/>
                <w:szCs w:val="22"/>
              </w:rPr>
            </w:pPr>
            <w:r w:rsidRPr="00A325FD">
              <w:rPr>
                <w:rFonts w:cs="Arial"/>
                <w:b/>
                <w:sz w:val="22"/>
                <w:szCs w:val="22"/>
              </w:rPr>
              <w:t>Reporting procedure of Adverse Reactions</w:t>
            </w:r>
          </w:p>
        </w:tc>
        <w:tc>
          <w:tcPr>
            <w:tcW w:w="6991" w:type="dxa"/>
            <w:tcBorders>
              <w:bottom w:val="single" w:sz="4" w:space="0" w:color="auto"/>
            </w:tcBorders>
          </w:tcPr>
          <w:p w:rsidR="00BB17A6" w:rsidRPr="00BB17A6" w:rsidRDefault="00BB17A6" w:rsidP="00BB17A6">
            <w:pPr>
              <w:pStyle w:val="TableParagraph"/>
              <w:spacing w:before="120" w:after="120"/>
              <w:rPr>
                <w:rFonts w:ascii="Arial" w:hAnsi="Arial" w:cs="Arial"/>
              </w:rPr>
            </w:pPr>
            <w:r w:rsidRPr="00BB17A6">
              <w:rPr>
                <w:rFonts w:ascii="Arial" w:hAnsi="Arial" w:cs="Arial"/>
              </w:rPr>
              <w:t>All suspected adverse reactions in children and severe adverse reactions in adults should be report</w:t>
            </w:r>
            <w:r>
              <w:rPr>
                <w:rFonts w:ascii="Arial" w:hAnsi="Arial" w:cs="Arial"/>
              </w:rPr>
              <w:t xml:space="preserve">ed using the </w:t>
            </w:r>
            <w:hyperlink r:id="rId13" w:history="1">
              <w:r>
                <w:rPr>
                  <w:rStyle w:val="Hyperlink"/>
                  <w:rFonts w:ascii="Arial" w:hAnsi="Arial" w:cs="Arial"/>
                </w:rPr>
                <w:t>Yellow C</w:t>
              </w:r>
              <w:r w:rsidRPr="00BB17A6">
                <w:rPr>
                  <w:rStyle w:val="Hyperlink"/>
                  <w:rFonts w:ascii="Arial" w:hAnsi="Arial" w:cs="Arial"/>
                </w:rPr>
                <w:t>ard scheme</w:t>
              </w:r>
            </w:hyperlink>
            <w:r>
              <w:rPr>
                <w:rFonts w:ascii="Arial" w:hAnsi="Arial" w:cs="Arial"/>
              </w:rPr>
              <w:t>.</w:t>
            </w:r>
          </w:p>
          <w:p w:rsidR="00BB17A6" w:rsidRPr="00B805D0" w:rsidRDefault="00BB17A6" w:rsidP="00BB17A6">
            <w:pPr>
              <w:pStyle w:val="TableParagraph"/>
              <w:spacing w:before="120" w:after="120"/>
              <w:rPr>
                <w:rFonts w:ascii="Arial" w:hAnsi="Arial" w:cs="Arial"/>
                <w:b/>
              </w:rPr>
            </w:pPr>
            <w:r w:rsidRPr="00BB17A6">
              <w:rPr>
                <w:rFonts w:ascii="Arial" w:hAnsi="Arial" w:cs="Arial"/>
              </w:rPr>
              <w:t>Medical staff should also be informed.</w:t>
            </w:r>
          </w:p>
        </w:tc>
      </w:tr>
      <w:tr w:rsidR="00BB17A6" w:rsidRPr="007C1B5E" w:rsidTr="00E14FAB">
        <w:tc>
          <w:tcPr>
            <w:tcW w:w="2790" w:type="dxa"/>
          </w:tcPr>
          <w:p w:rsidR="00BB17A6" w:rsidRPr="007C1B5E" w:rsidRDefault="00BB17A6" w:rsidP="000B52F9">
            <w:pPr>
              <w:pStyle w:val="Header"/>
              <w:tabs>
                <w:tab w:val="clear" w:pos="4153"/>
                <w:tab w:val="clear" w:pos="8306"/>
              </w:tabs>
              <w:spacing w:before="120" w:after="120"/>
              <w:rPr>
                <w:rFonts w:ascii="Arial" w:hAnsi="Arial" w:cs="Arial"/>
                <w:b/>
                <w:sz w:val="22"/>
                <w:szCs w:val="22"/>
              </w:rPr>
            </w:pPr>
            <w:r>
              <w:br w:type="page"/>
            </w:r>
            <w:r>
              <w:rPr>
                <w:rFonts w:ascii="Arial" w:hAnsi="Arial" w:cs="Arial"/>
                <w:b/>
                <w:sz w:val="22"/>
                <w:szCs w:val="22"/>
              </w:rPr>
              <w:t>Written information to be given to patient or carer</w:t>
            </w:r>
          </w:p>
        </w:tc>
        <w:tc>
          <w:tcPr>
            <w:tcW w:w="6991" w:type="dxa"/>
          </w:tcPr>
          <w:p w:rsidR="00BB17A6" w:rsidRPr="00BB17A6" w:rsidRDefault="00E14FAB" w:rsidP="00BB17A6">
            <w:pPr>
              <w:spacing w:before="120" w:after="120"/>
              <w:ind w:right="89"/>
              <w:rPr>
                <w:rFonts w:eastAsia="Arial" w:cs="Arial"/>
                <w:sz w:val="22"/>
                <w:szCs w:val="22"/>
                <w:lang w:val="en-US" w:eastAsia="en-US"/>
              </w:rPr>
            </w:pPr>
            <w:r>
              <w:rPr>
                <w:rFonts w:eastAsia="Arial" w:cs="Arial"/>
                <w:sz w:val="22"/>
                <w:szCs w:val="22"/>
                <w:lang w:val="en-US" w:eastAsia="en-US"/>
              </w:rPr>
              <w:t xml:space="preserve">The </w:t>
            </w:r>
            <w:r w:rsidR="00BB17A6" w:rsidRPr="00BB17A6">
              <w:rPr>
                <w:rFonts w:eastAsia="Arial" w:cs="Arial"/>
                <w:sz w:val="22"/>
                <w:szCs w:val="22"/>
                <w:lang w:val="en-US" w:eastAsia="en-US"/>
              </w:rPr>
              <w:t>marketing</w:t>
            </w:r>
            <w:r w:rsidR="00BB17A6" w:rsidRPr="00BB17A6">
              <w:rPr>
                <w:rFonts w:eastAsia="Arial" w:cs="Arial"/>
                <w:sz w:val="22"/>
                <w:szCs w:val="22"/>
                <w:lang w:eastAsia="en-US"/>
              </w:rPr>
              <w:t xml:space="preserve"> authorisation</w:t>
            </w:r>
            <w:r w:rsidR="00BB17A6" w:rsidRPr="00BB17A6">
              <w:rPr>
                <w:rFonts w:eastAsia="Arial" w:cs="Arial"/>
                <w:sz w:val="22"/>
                <w:szCs w:val="22"/>
                <w:lang w:val="en-US" w:eastAsia="en-US"/>
              </w:rPr>
              <w:t xml:space="preserve"> holder's patient inform</w:t>
            </w:r>
            <w:r>
              <w:rPr>
                <w:rFonts w:eastAsia="Arial" w:cs="Arial"/>
                <w:sz w:val="22"/>
                <w:szCs w:val="22"/>
                <w:lang w:val="en-US" w:eastAsia="en-US"/>
              </w:rPr>
              <w:t>ation leaflet (PIL) does not need to be given when a product is administered. However, if available it would be good practice to supply the PIL.</w:t>
            </w:r>
          </w:p>
          <w:p w:rsidR="00BB17A6" w:rsidRPr="00E14FAB" w:rsidRDefault="00BB17A6" w:rsidP="00E14FAB">
            <w:pPr>
              <w:spacing w:before="120" w:after="120"/>
              <w:rPr>
                <w:rFonts w:eastAsia="Arial" w:cs="Arial"/>
                <w:sz w:val="22"/>
                <w:szCs w:val="22"/>
              </w:rPr>
            </w:pPr>
            <w:r w:rsidRPr="00BB17A6">
              <w:rPr>
                <w:rFonts w:cs="Arial"/>
                <w:sz w:val="22"/>
                <w:szCs w:val="22"/>
              </w:rPr>
              <w:t>A special Public Health England leaflet, “</w:t>
            </w:r>
            <w:hyperlink r:id="rId14" w:history="1">
              <w:r w:rsidRPr="00BB17A6">
                <w:rPr>
                  <w:rFonts w:cs="Arial"/>
                  <w:color w:val="0000FF"/>
                  <w:sz w:val="22"/>
                  <w:szCs w:val="22"/>
                  <w:u w:val="single"/>
                </w:rPr>
                <w:t>Potassium iodide tablets</w:t>
              </w:r>
            </w:hyperlink>
            <w:r w:rsidRPr="00BB17A6">
              <w:rPr>
                <w:rFonts w:cs="Arial"/>
                <w:sz w:val="22"/>
                <w:szCs w:val="22"/>
              </w:rPr>
              <w:t>”, in addition to the PIL, has been developed for giving to all individuals at the time of treatment.</w:t>
            </w:r>
          </w:p>
        </w:tc>
      </w:tr>
      <w:tr w:rsidR="00E14FAB" w:rsidRPr="007C1B5E" w:rsidTr="00E14FAB">
        <w:tc>
          <w:tcPr>
            <w:tcW w:w="2790" w:type="dxa"/>
          </w:tcPr>
          <w:p w:rsidR="00E14FAB" w:rsidRDefault="00E14FAB" w:rsidP="0065497E">
            <w:pPr>
              <w:pStyle w:val="Header"/>
              <w:tabs>
                <w:tab w:val="clear" w:pos="4153"/>
                <w:tab w:val="clear" w:pos="8306"/>
              </w:tabs>
              <w:spacing w:before="120" w:after="120"/>
              <w:rPr>
                <w:rFonts w:ascii="Arial" w:hAnsi="Arial" w:cs="Arial"/>
                <w:b/>
                <w:sz w:val="22"/>
                <w:szCs w:val="22"/>
              </w:rPr>
            </w:pPr>
            <w:r w:rsidRPr="007C1B5E">
              <w:rPr>
                <w:rFonts w:ascii="Arial" w:hAnsi="Arial" w:cs="Arial"/>
                <w:b/>
                <w:sz w:val="22"/>
                <w:szCs w:val="22"/>
              </w:rPr>
              <w:t>Patient advice/Follow up treatment</w:t>
            </w:r>
          </w:p>
          <w:p w:rsidR="00E14FAB" w:rsidRPr="00AF18A4" w:rsidRDefault="00E14FAB" w:rsidP="0065497E">
            <w:pPr>
              <w:pStyle w:val="Header"/>
              <w:tabs>
                <w:tab w:val="clear" w:pos="4153"/>
                <w:tab w:val="clear" w:pos="8306"/>
              </w:tabs>
              <w:spacing w:before="120" w:after="120"/>
              <w:rPr>
                <w:rFonts w:ascii="Arial" w:hAnsi="Arial" w:cs="Arial"/>
                <w:sz w:val="22"/>
                <w:szCs w:val="22"/>
              </w:rPr>
            </w:pPr>
          </w:p>
        </w:tc>
        <w:tc>
          <w:tcPr>
            <w:tcW w:w="6991" w:type="dxa"/>
          </w:tcPr>
          <w:p w:rsidR="00E14FAB" w:rsidRPr="00E14FAB" w:rsidRDefault="00E14FAB" w:rsidP="006D6C62">
            <w:pPr>
              <w:tabs>
                <w:tab w:val="center" w:pos="4153"/>
                <w:tab w:val="right" w:pos="8306"/>
              </w:tabs>
              <w:spacing w:before="120" w:after="120"/>
              <w:rPr>
                <w:rFonts w:cs="Arial"/>
                <w:sz w:val="22"/>
                <w:szCs w:val="22"/>
              </w:rPr>
            </w:pPr>
            <w:r w:rsidRPr="00E14FAB">
              <w:rPr>
                <w:rFonts w:cs="Arial"/>
                <w:sz w:val="22"/>
                <w:szCs w:val="22"/>
              </w:rPr>
              <w:t>Explain why the treatment is necessary.</w:t>
            </w:r>
          </w:p>
          <w:p w:rsidR="00E14FAB" w:rsidRPr="00E14FAB" w:rsidRDefault="00E14FAB" w:rsidP="006D6C62">
            <w:pPr>
              <w:spacing w:before="120" w:after="120"/>
              <w:rPr>
                <w:rFonts w:cs="Arial"/>
                <w:color w:val="000000"/>
                <w:sz w:val="22"/>
                <w:szCs w:val="22"/>
              </w:rPr>
            </w:pPr>
            <w:r w:rsidRPr="00E14FAB">
              <w:rPr>
                <w:rFonts w:cs="Arial"/>
                <w:color w:val="000000"/>
                <w:sz w:val="22"/>
                <w:szCs w:val="22"/>
              </w:rPr>
              <w:t>Advise that the dose may be crushed and mixed with milk or water, juice, jam, honey or yogurt before administration if appropriate.</w:t>
            </w:r>
          </w:p>
          <w:p w:rsidR="00E14FAB" w:rsidRPr="00E14FAB" w:rsidRDefault="00E14FAB" w:rsidP="006D6C62">
            <w:pPr>
              <w:spacing w:before="120" w:after="120"/>
              <w:rPr>
                <w:rFonts w:cs="Arial"/>
                <w:color w:val="000000"/>
                <w:sz w:val="22"/>
                <w:szCs w:val="22"/>
              </w:rPr>
            </w:pPr>
            <w:r w:rsidRPr="00E14FAB">
              <w:rPr>
                <w:rFonts w:eastAsia="Arial" w:cs="Arial"/>
                <w:sz w:val="22"/>
                <w:szCs w:val="22"/>
              </w:rPr>
              <w:t xml:space="preserve">Inform the individual or their carer of possible side effects and their management. </w:t>
            </w:r>
            <w:r w:rsidRPr="00E14FAB">
              <w:rPr>
                <w:rFonts w:cs="Arial"/>
                <w:sz w:val="22"/>
                <w:szCs w:val="22"/>
              </w:rPr>
              <w:t>Ensure</w:t>
            </w:r>
            <w:r w:rsidR="00D274DE">
              <w:rPr>
                <w:rFonts w:cs="Arial"/>
                <w:sz w:val="22"/>
                <w:szCs w:val="22"/>
              </w:rPr>
              <w:t xml:space="preserve"> </w:t>
            </w:r>
            <w:r w:rsidRPr="00E14FAB">
              <w:rPr>
                <w:rFonts w:cs="Arial"/>
                <w:sz w:val="22"/>
                <w:szCs w:val="22"/>
              </w:rPr>
              <w:t>the individual is aware that medical advice should be sought if side effects or any other unexplained effects on health are experienced.</w:t>
            </w:r>
          </w:p>
          <w:p w:rsidR="00E14FAB" w:rsidRPr="00E14FAB" w:rsidRDefault="00E14FAB" w:rsidP="006D6C62">
            <w:pPr>
              <w:overflowPunct/>
              <w:spacing w:before="120" w:after="120"/>
              <w:textAlignment w:val="auto"/>
              <w:rPr>
                <w:rFonts w:cs="Arial"/>
                <w:color w:val="000000"/>
                <w:sz w:val="22"/>
                <w:szCs w:val="22"/>
              </w:rPr>
            </w:pPr>
            <w:r w:rsidRPr="00E14FAB">
              <w:rPr>
                <w:rFonts w:cs="Arial"/>
                <w:color w:val="000000"/>
                <w:sz w:val="22"/>
                <w:szCs w:val="22"/>
              </w:rPr>
              <w:t xml:space="preserve">All pregnant women in their third trimester and those with babies aged </w:t>
            </w:r>
            <w:r w:rsidR="00FC1AE7" w:rsidRPr="00E14FAB">
              <w:rPr>
                <w:rFonts w:cs="Arial"/>
                <w:color w:val="000000"/>
                <w:sz w:val="22"/>
                <w:szCs w:val="22"/>
              </w:rPr>
              <w:t>less than</w:t>
            </w:r>
            <w:r w:rsidRPr="00E14FAB">
              <w:rPr>
                <w:rFonts w:cs="Arial"/>
                <w:color w:val="000000"/>
                <w:sz w:val="22"/>
                <w:szCs w:val="22"/>
              </w:rPr>
              <w:t xml:space="preserve"> 1 month should advise their GP a</w:t>
            </w:r>
            <w:r w:rsidR="00D274DE">
              <w:rPr>
                <w:rFonts w:cs="Arial"/>
                <w:color w:val="000000"/>
                <w:sz w:val="22"/>
                <w:szCs w:val="22"/>
              </w:rPr>
              <w:t>nd midwife so</w:t>
            </w:r>
            <w:r w:rsidRPr="00E14FAB">
              <w:rPr>
                <w:rFonts w:cs="Arial"/>
                <w:color w:val="000000"/>
                <w:sz w:val="22"/>
                <w:szCs w:val="22"/>
              </w:rPr>
              <w:t xml:space="preserve"> umbilical cord blood/blood sam</w:t>
            </w:r>
            <w:r w:rsidR="00D274DE">
              <w:rPr>
                <w:rFonts w:cs="Arial"/>
                <w:color w:val="000000"/>
                <w:sz w:val="22"/>
                <w:szCs w:val="22"/>
              </w:rPr>
              <w:t>ples can be tested</w:t>
            </w:r>
            <w:r w:rsidR="007B188B">
              <w:rPr>
                <w:rFonts w:cs="Arial"/>
                <w:color w:val="000000"/>
                <w:sz w:val="22"/>
                <w:szCs w:val="22"/>
              </w:rPr>
              <w:t xml:space="preserve"> after birth for TSH hormone levels and</w:t>
            </w:r>
            <w:r w:rsidRPr="00E14FAB">
              <w:rPr>
                <w:rFonts w:cs="Arial"/>
                <w:color w:val="000000"/>
                <w:sz w:val="22"/>
                <w:szCs w:val="22"/>
              </w:rPr>
              <w:t xml:space="preserve"> if raised, T4 levels in the baby. </w:t>
            </w:r>
          </w:p>
          <w:p w:rsidR="00E14FAB" w:rsidRPr="00E14FAB" w:rsidRDefault="00E14FAB" w:rsidP="006D6C62">
            <w:pPr>
              <w:overflowPunct/>
              <w:spacing w:before="120" w:after="120"/>
              <w:textAlignment w:val="auto"/>
              <w:rPr>
                <w:rFonts w:cs="Arial"/>
                <w:color w:val="000000"/>
                <w:sz w:val="22"/>
                <w:szCs w:val="22"/>
              </w:rPr>
            </w:pPr>
            <w:r w:rsidRPr="00E14FAB">
              <w:rPr>
                <w:rFonts w:cs="Arial"/>
                <w:color w:val="000000"/>
                <w:sz w:val="22"/>
                <w:szCs w:val="22"/>
              </w:rPr>
              <w:t>If stable iodine is given to neonates close follow up of thyroid function is essential. For neonates who have been administered potassium iodide in the first few weeks of life</w:t>
            </w:r>
            <w:r w:rsidR="007B188B">
              <w:rPr>
                <w:rFonts w:cs="Arial"/>
                <w:color w:val="000000"/>
                <w:sz w:val="22"/>
                <w:szCs w:val="22"/>
              </w:rPr>
              <w:t>, TSH levels and if necessary</w:t>
            </w:r>
            <w:r w:rsidRPr="00E14FAB">
              <w:rPr>
                <w:rFonts w:cs="Arial"/>
                <w:color w:val="000000"/>
                <w:sz w:val="22"/>
                <w:szCs w:val="22"/>
              </w:rPr>
              <w:t xml:space="preserve"> T4 levels should be monitored and appropriate replacement therapy given.</w:t>
            </w:r>
          </w:p>
          <w:p w:rsidR="00E14FAB" w:rsidRPr="00E14FAB" w:rsidRDefault="00E14FAB" w:rsidP="006D6C62">
            <w:pPr>
              <w:overflowPunct/>
              <w:spacing w:before="120" w:after="120"/>
              <w:textAlignment w:val="auto"/>
              <w:rPr>
                <w:rFonts w:cs="Arial"/>
                <w:color w:val="000000"/>
                <w:sz w:val="22"/>
                <w:szCs w:val="22"/>
              </w:rPr>
            </w:pPr>
            <w:r w:rsidRPr="00E14FAB">
              <w:rPr>
                <w:rFonts w:cs="Arial"/>
                <w:color w:val="000000"/>
                <w:sz w:val="22"/>
                <w:szCs w:val="22"/>
              </w:rPr>
              <w:t xml:space="preserve">Adults with previously treated or active thyroid disease should consult their GP if they notice any change in their condition. </w:t>
            </w:r>
          </w:p>
          <w:p w:rsidR="00E14FAB" w:rsidRPr="00F2758B" w:rsidRDefault="00E14FAB" w:rsidP="006D6C62">
            <w:pPr>
              <w:pStyle w:val="TableParagraph"/>
              <w:spacing w:before="120" w:after="120"/>
              <w:rPr>
                <w:rFonts w:cs="Arial"/>
                <w:color w:val="000000"/>
              </w:rPr>
            </w:pPr>
            <w:r w:rsidRPr="00E14FAB">
              <w:rPr>
                <w:rFonts w:ascii="Arial" w:eastAsia="Times New Roman" w:hAnsi="Arial"/>
                <w:lang w:val="en-GB" w:eastAsia="en-GB"/>
              </w:rPr>
              <w:lastRenderedPageBreak/>
              <w:t>Other individuals do not need to consult their GP unless they notice any change in their condition. If they consult their GP for any reason, they should mention that they have received potassium iodide treatment.</w:t>
            </w:r>
          </w:p>
        </w:tc>
      </w:tr>
      <w:tr w:rsidR="00E14FAB" w:rsidRPr="007C1B5E" w:rsidTr="00E14FAB">
        <w:tc>
          <w:tcPr>
            <w:tcW w:w="2790" w:type="dxa"/>
          </w:tcPr>
          <w:p w:rsidR="00E14FAB" w:rsidRPr="00A325FD" w:rsidRDefault="00E14FAB" w:rsidP="00712D13">
            <w:pPr>
              <w:spacing w:before="120" w:after="120"/>
              <w:rPr>
                <w:rFonts w:cs="Arial"/>
                <w:b/>
                <w:sz w:val="22"/>
                <w:szCs w:val="22"/>
              </w:rPr>
            </w:pPr>
            <w:r w:rsidRPr="00A325FD">
              <w:rPr>
                <w:rFonts w:cs="Arial"/>
                <w:b/>
                <w:sz w:val="22"/>
                <w:szCs w:val="22"/>
              </w:rPr>
              <w:lastRenderedPageBreak/>
              <w:t>Special Considerations/ Additional Information</w:t>
            </w:r>
          </w:p>
        </w:tc>
        <w:tc>
          <w:tcPr>
            <w:tcW w:w="6991" w:type="dxa"/>
          </w:tcPr>
          <w:p w:rsidR="00E14FAB" w:rsidRDefault="00E14FAB" w:rsidP="00D353FD">
            <w:pPr>
              <w:pStyle w:val="Header"/>
              <w:tabs>
                <w:tab w:val="left" w:pos="720"/>
              </w:tabs>
              <w:spacing w:before="120" w:after="120"/>
              <w:rPr>
                <w:rFonts w:ascii="Arial" w:hAnsi="Arial" w:cs="Arial"/>
                <w:sz w:val="22"/>
                <w:szCs w:val="22"/>
              </w:rPr>
            </w:pPr>
            <w:r w:rsidRPr="00E14FAB">
              <w:rPr>
                <w:rFonts w:ascii="Arial" w:hAnsi="Arial" w:cs="Arial"/>
                <w:sz w:val="22"/>
                <w:szCs w:val="22"/>
              </w:rPr>
              <w:t>The risk of health problems occurring, particularly to a single dose, is remote. The special precautions listed in the SPC have been consid</w:t>
            </w:r>
            <w:r w:rsidR="00962B85">
              <w:rPr>
                <w:rFonts w:ascii="Arial" w:hAnsi="Arial" w:cs="Arial"/>
                <w:sz w:val="22"/>
                <w:szCs w:val="22"/>
              </w:rPr>
              <w:t>ered but PHE has determined</w:t>
            </w:r>
            <w:r>
              <w:rPr>
                <w:rFonts w:ascii="Arial" w:hAnsi="Arial" w:cs="Arial"/>
                <w:sz w:val="22"/>
                <w:szCs w:val="22"/>
              </w:rPr>
              <w:t xml:space="preserve"> the benefit outweighs the risk, w</w:t>
            </w:r>
            <w:r w:rsidRPr="00E14FAB">
              <w:rPr>
                <w:rFonts w:ascii="Arial" w:hAnsi="Arial" w:cs="Arial"/>
                <w:sz w:val="22"/>
                <w:szCs w:val="22"/>
              </w:rPr>
              <w:t>here advice is given by the appropriate public health authority that potassium iodide</w:t>
            </w:r>
            <w:r>
              <w:rPr>
                <w:rFonts w:ascii="Arial" w:hAnsi="Arial" w:cs="Arial"/>
                <w:sz w:val="22"/>
                <w:szCs w:val="22"/>
              </w:rPr>
              <w:t xml:space="preserve"> should be taken.</w:t>
            </w:r>
            <w:r w:rsidRPr="00E14FAB">
              <w:rPr>
                <w:rFonts w:ascii="Arial" w:hAnsi="Arial" w:cs="Arial"/>
                <w:sz w:val="22"/>
                <w:szCs w:val="22"/>
              </w:rPr>
              <w:t xml:space="preserve"> </w:t>
            </w:r>
          </w:p>
          <w:p w:rsidR="00E14FAB" w:rsidRPr="00E14FAB" w:rsidRDefault="00E14FAB" w:rsidP="00D353FD">
            <w:pPr>
              <w:pStyle w:val="Header"/>
              <w:tabs>
                <w:tab w:val="left" w:pos="720"/>
              </w:tabs>
              <w:spacing w:before="120" w:after="120"/>
              <w:rPr>
                <w:rFonts w:ascii="Arial" w:hAnsi="Arial" w:cs="Arial"/>
                <w:sz w:val="22"/>
                <w:szCs w:val="22"/>
              </w:rPr>
            </w:pPr>
            <w:r w:rsidRPr="00E14FAB">
              <w:rPr>
                <w:rFonts w:ascii="Arial" w:hAnsi="Arial" w:cs="Arial"/>
                <w:sz w:val="22"/>
                <w:szCs w:val="22"/>
              </w:rPr>
              <w:t>Throughout pregnancy the number of doses of potassium iodide should be kept to a minimum and in iodine deficiency prolonged dosage could lead to maternal o</w:t>
            </w:r>
            <w:r w:rsidR="00962B85">
              <w:rPr>
                <w:rFonts w:ascii="Arial" w:hAnsi="Arial" w:cs="Arial"/>
                <w:sz w:val="22"/>
                <w:szCs w:val="22"/>
              </w:rPr>
              <w:t>r fo</w:t>
            </w:r>
            <w:r w:rsidRPr="00E14FAB">
              <w:rPr>
                <w:rFonts w:ascii="Arial" w:hAnsi="Arial" w:cs="Arial"/>
                <w:sz w:val="22"/>
                <w:szCs w:val="22"/>
              </w:rPr>
              <w:t>etal thyroid blockage w</w:t>
            </w:r>
            <w:r w:rsidR="00962B85">
              <w:rPr>
                <w:rFonts w:ascii="Arial" w:hAnsi="Arial" w:cs="Arial"/>
                <w:sz w:val="22"/>
                <w:szCs w:val="22"/>
              </w:rPr>
              <w:t>ith possible consequences for fo</w:t>
            </w:r>
            <w:r w:rsidRPr="00E14FAB">
              <w:rPr>
                <w:rFonts w:ascii="Arial" w:hAnsi="Arial" w:cs="Arial"/>
                <w:sz w:val="22"/>
                <w:szCs w:val="22"/>
              </w:rPr>
              <w:t xml:space="preserve">etal development, but this </w:t>
            </w:r>
            <w:r w:rsidR="00206F11">
              <w:rPr>
                <w:rFonts w:ascii="Arial" w:hAnsi="Arial" w:cs="Arial"/>
                <w:sz w:val="22"/>
                <w:szCs w:val="22"/>
              </w:rPr>
              <w:t>protocol</w:t>
            </w:r>
            <w:r w:rsidRPr="00E14FAB">
              <w:rPr>
                <w:rFonts w:ascii="Arial" w:hAnsi="Arial" w:cs="Arial"/>
                <w:sz w:val="22"/>
                <w:szCs w:val="22"/>
              </w:rPr>
              <w:t xml:space="preserve"> is for administration of a single dose. </w:t>
            </w:r>
          </w:p>
          <w:p w:rsidR="00E14FAB" w:rsidRPr="00E14FAB" w:rsidRDefault="00E14FAB" w:rsidP="00D353FD">
            <w:pPr>
              <w:pStyle w:val="Header"/>
              <w:tabs>
                <w:tab w:val="left" w:pos="720"/>
              </w:tabs>
              <w:spacing w:before="120" w:after="120"/>
              <w:rPr>
                <w:rFonts w:ascii="Arial" w:hAnsi="Arial" w:cs="Arial"/>
                <w:sz w:val="22"/>
                <w:szCs w:val="22"/>
              </w:rPr>
            </w:pPr>
            <w:r w:rsidRPr="00E14FAB">
              <w:rPr>
                <w:rFonts w:ascii="Arial" w:hAnsi="Arial" w:cs="Arial"/>
                <w:sz w:val="22"/>
                <w:szCs w:val="22"/>
              </w:rPr>
              <w:t xml:space="preserve">If potassium iodide is administered late in pregnancy, the thyroid function of the new-born should be monitored. This is generally met by routine screening in the neonatal period; great care should be taken to ensure that this screening is performed and reported promptly as soon as possible after birth. </w:t>
            </w:r>
          </w:p>
          <w:p w:rsidR="00E14FAB" w:rsidRPr="00E14FAB" w:rsidRDefault="00E14FAB" w:rsidP="00D353FD">
            <w:pPr>
              <w:pStyle w:val="Header"/>
              <w:tabs>
                <w:tab w:val="left" w:pos="720"/>
              </w:tabs>
              <w:spacing w:before="120" w:after="120"/>
              <w:rPr>
                <w:rFonts w:ascii="Arial" w:hAnsi="Arial" w:cs="Arial"/>
                <w:sz w:val="22"/>
                <w:szCs w:val="22"/>
              </w:rPr>
            </w:pPr>
            <w:r w:rsidRPr="00E14FAB">
              <w:rPr>
                <w:rFonts w:ascii="Arial" w:hAnsi="Arial" w:cs="Arial"/>
                <w:sz w:val="22"/>
                <w:szCs w:val="22"/>
              </w:rPr>
              <w:t>For neonates who have been administered potassium iodide in the first few weeks of life thyroid-stimulating hormone (TSH) levels and, if necessary, T4 levels should be monitored and appropriate replacement therapy given.</w:t>
            </w:r>
          </w:p>
          <w:p w:rsidR="00E14FAB" w:rsidRPr="0088002E" w:rsidRDefault="00E14FAB" w:rsidP="00D353FD">
            <w:pPr>
              <w:pStyle w:val="Header"/>
              <w:tabs>
                <w:tab w:val="left" w:pos="720"/>
              </w:tabs>
              <w:spacing w:before="120" w:after="120"/>
              <w:rPr>
                <w:rFonts w:ascii="Arial" w:hAnsi="Arial" w:cs="Arial"/>
                <w:sz w:val="22"/>
                <w:szCs w:val="22"/>
              </w:rPr>
            </w:pPr>
            <w:r w:rsidRPr="00E14FAB">
              <w:rPr>
                <w:rFonts w:ascii="Arial" w:hAnsi="Arial" w:cs="Arial"/>
                <w:sz w:val="22"/>
                <w:szCs w:val="22"/>
              </w:rPr>
              <w:t>Iodine is actively transported in breast milk; however, the dosage in breast milk is insufficient on its own to protect babies. Therefore, breast feeding mothers should continue to breast feed their babies, and these babies should also receive potassium iodide in the normal dose by age give</w:t>
            </w:r>
            <w:r>
              <w:rPr>
                <w:rFonts w:ascii="Arial" w:hAnsi="Arial" w:cs="Arial"/>
                <w:sz w:val="22"/>
                <w:szCs w:val="22"/>
              </w:rPr>
              <w:t>n above.</w:t>
            </w:r>
          </w:p>
        </w:tc>
      </w:tr>
      <w:tr w:rsidR="00E14FAB" w:rsidRPr="007C1B5E" w:rsidTr="00E14FAB">
        <w:tc>
          <w:tcPr>
            <w:tcW w:w="2790" w:type="dxa"/>
          </w:tcPr>
          <w:p w:rsidR="00E14FAB" w:rsidRPr="00A325FD" w:rsidRDefault="00E14FAB" w:rsidP="00B7286B">
            <w:pPr>
              <w:spacing w:before="120" w:after="120"/>
              <w:rPr>
                <w:rFonts w:cs="Arial"/>
                <w:b/>
                <w:sz w:val="22"/>
                <w:szCs w:val="22"/>
              </w:rPr>
            </w:pPr>
            <w:r w:rsidRPr="00151778">
              <w:rPr>
                <w:rFonts w:cs="Arial"/>
                <w:b/>
                <w:sz w:val="22"/>
                <w:szCs w:val="22"/>
              </w:rPr>
              <w:t>Records</w:t>
            </w:r>
          </w:p>
        </w:tc>
        <w:tc>
          <w:tcPr>
            <w:tcW w:w="6991" w:type="dxa"/>
          </w:tcPr>
          <w:p w:rsidR="00E14FAB" w:rsidRPr="00E14FAB" w:rsidRDefault="00E14FAB" w:rsidP="00E14FAB">
            <w:pPr>
              <w:spacing w:before="120" w:after="120"/>
              <w:rPr>
                <w:rFonts w:cs="Arial"/>
                <w:sz w:val="22"/>
                <w:szCs w:val="22"/>
              </w:rPr>
            </w:pPr>
            <w:r>
              <w:rPr>
                <w:rFonts w:cs="Arial"/>
                <w:sz w:val="22"/>
                <w:szCs w:val="22"/>
              </w:rPr>
              <w:t>Document in the</w:t>
            </w:r>
            <w:r w:rsidRPr="00E14FAB">
              <w:rPr>
                <w:rFonts w:cs="Arial"/>
                <w:sz w:val="22"/>
                <w:szCs w:val="22"/>
              </w:rPr>
              <w:t xml:space="preserve"> record </w:t>
            </w:r>
            <w:r>
              <w:rPr>
                <w:rFonts w:cs="Arial"/>
                <w:sz w:val="22"/>
                <w:szCs w:val="22"/>
              </w:rPr>
              <w:t xml:space="preserve">that potassium iodide was </w:t>
            </w:r>
            <w:r w:rsidRPr="00E14FAB">
              <w:rPr>
                <w:rFonts w:cs="Arial"/>
                <w:sz w:val="22"/>
                <w:szCs w:val="22"/>
              </w:rPr>
              <w:t>administered in accordance with this protocol.</w:t>
            </w:r>
          </w:p>
          <w:p w:rsidR="00E14FAB" w:rsidRPr="00F56903" w:rsidRDefault="00E14FAB" w:rsidP="00E14FAB">
            <w:pPr>
              <w:spacing w:after="120"/>
              <w:rPr>
                <w:rFonts w:cs="Arial"/>
                <w:sz w:val="22"/>
                <w:szCs w:val="22"/>
              </w:rPr>
            </w:pPr>
            <w:r w:rsidRPr="00E14FAB">
              <w:rPr>
                <w:rFonts w:cs="Arial"/>
                <w:sz w:val="22"/>
                <w:szCs w:val="22"/>
              </w:rPr>
              <w:t>All records should be clear, legible and contemporaneous.</w:t>
            </w:r>
          </w:p>
        </w:tc>
      </w:tr>
    </w:tbl>
    <w:p w:rsidR="00D836F3" w:rsidRPr="00E14FAB" w:rsidRDefault="00D836F3" w:rsidP="00BB17A6">
      <w:r>
        <w:br w:type="page"/>
      </w:r>
    </w:p>
    <w:p w:rsidR="00D836F3" w:rsidRDefault="00D836F3" w:rsidP="00D836F3">
      <w:pPr>
        <w:pStyle w:val="Heading4"/>
        <w:numPr>
          <w:ilvl w:val="0"/>
          <w:numId w:val="4"/>
        </w:numPr>
        <w:spacing w:before="360"/>
        <w:rPr>
          <w:rFonts w:ascii="Arial" w:hAnsi="Arial" w:cs="Arial"/>
          <w:sz w:val="24"/>
          <w:szCs w:val="24"/>
        </w:rPr>
      </w:pPr>
      <w:r>
        <w:rPr>
          <w:rFonts w:ascii="Arial" w:hAnsi="Arial" w:cs="Arial"/>
          <w:sz w:val="24"/>
          <w:szCs w:val="24"/>
        </w:rPr>
        <w:lastRenderedPageBreak/>
        <w:t>Key References</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72"/>
        <w:gridCol w:w="7151"/>
      </w:tblGrid>
      <w:tr w:rsidR="00D836F3" w:rsidTr="000B52F9">
        <w:tc>
          <w:tcPr>
            <w:tcW w:w="2772" w:type="dxa"/>
          </w:tcPr>
          <w:p w:rsidR="00D836F3" w:rsidRPr="007E045E" w:rsidRDefault="00D836F3" w:rsidP="000B52F9">
            <w:pPr>
              <w:spacing w:before="120" w:after="120"/>
              <w:rPr>
                <w:rFonts w:cs="Arial"/>
                <w:b/>
                <w:sz w:val="22"/>
                <w:szCs w:val="22"/>
              </w:rPr>
            </w:pPr>
            <w:r>
              <w:rPr>
                <w:rFonts w:cs="Arial"/>
                <w:b/>
                <w:sz w:val="22"/>
                <w:szCs w:val="22"/>
              </w:rPr>
              <w:t xml:space="preserve">Key references </w:t>
            </w:r>
          </w:p>
        </w:tc>
        <w:tc>
          <w:tcPr>
            <w:tcW w:w="7151" w:type="dxa"/>
          </w:tcPr>
          <w:p w:rsidR="00E14FAB" w:rsidRPr="00FC1AE7" w:rsidRDefault="00F07459" w:rsidP="003E6F4F">
            <w:pPr>
              <w:pStyle w:val="ListParagraph"/>
              <w:numPr>
                <w:ilvl w:val="0"/>
                <w:numId w:val="17"/>
              </w:numPr>
              <w:spacing w:before="120" w:after="120"/>
              <w:ind w:left="381" w:hanging="284"/>
              <w:contextualSpacing w:val="0"/>
              <w:rPr>
                <w:color w:val="1F497D"/>
                <w:sz w:val="22"/>
                <w:szCs w:val="22"/>
              </w:rPr>
            </w:pPr>
            <w:r>
              <w:rPr>
                <w:sz w:val="22"/>
                <w:szCs w:val="22"/>
              </w:rPr>
              <w:t>P</w:t>
            </w:r>
            <w:r w:rsidR="00E14FAB" w:rsidRPr="00E14FAB">
              <w:rPr>
                <w:sz w:val="22"/>
                <w:szCs w:val="22"/>
              </w:rPr>
              <w:t xml:space="preserve">otassium iodide 65mg tablets Summary of Product Characteristics </w:t>
            </w:r>
            <w:hyperlink r:id="rId15" w:history="1">
              <w:r w:rsidR="00E14FAB" w:rsidRPr="00FC1AE7">
                <w:rPr>
                  <w:color w:val="0000FF"/>
                  <w:sz w:val="22"/>
                  <w:szCs w:val="22"/>
                  <w:u w:val="single"/>
                </w:rPr>
                <w:t>www.medicines.org.uk/emc/</w:t>
              </w:r>
            </w:hyperlink>
            <w:r w:rsidR="00E14FAB" w:rsidRPr="00FC1AE7">
              <w:rPr>
                <w:sz w:val="22"/>
                <w:szCs w:val="22"/>
              </w:rPr>
              <w:t xml:space="preserve"> </w:t>
            </w:r>
          </w:p>
          <w:p w:rsidR="00E14FAB" w:rsidRPr="00E14FAB" w:rsidRDefault="00E14FAB" w:rsidP="003E6F4F">
            <w:pPr>
              <w:pStyle w:val="ListParagraph"/>
              <w:numPr>
                <w:ilvl w:val="0"/>
                <w:numId w:val="17"/>
              </w:numPr>
              <w:spacing w:before="120" w:after="120"/>
              <w:ind w:left="381" w:hanging="284"/>
              <w:contextualSpacing w:val="0"/>
              <w:rPr>
                <w:color w:val="1F497D"/>
                <w:sz w:val="22"/>
                <w:szCs w:val="22"/>
              </w:rPr>
            </w:pPr>
            <w:r w:rsidRPr="00E14FAB">
              <w:rPr>
                <w:sz w:val="22"/>
                <w:szCs w:val="22"/>
              </w:rPr>
              <w:t xml:space="preserve">WHO guidance </w:t>
            </w:r>
            <w:hyperlink r:id="rId16" w:history="1">
              <w:r w:rsidRPr="00E14FAB">
                <w:rPr>
                  <w:color w:val="0000FF"/>
                  <w:sz w:val="22"/>
                  <w:szCs w:val="22"/>
                  <w:u w:val="single"/>
                </w:rPr>
                <w:t>http://www.who.int/ionizing_radiation/pub_meet/iodine-thyroid-blocking/en/</w:t>
              </w:r>
            </w:hyperlink>
          </w:p>
          <w:p w:rsidR="00E14FAB" w:rsidRPr="00E14FAB" w:rsidRDefault="00E14FAB" w:rsidP="003E6F4F">
            <w:pPr>
              <w:pStyle w:val="ListParagraph"/>
              <w:numPr>
                <w:ilvl w:val="0"/>
                <w:numId w:val="17"/>
              </w:numPr>
              <w:spacing w:before="120" w:after="120"/>
              <w:ind w:left="381" w:hanging="284"/>
              <w:contextualSpacing w:val="0"/>
              <w:rPr>
                <w:rFonts w:cs="Arial"/>
                <w:color w:val="0000FF"/>
                <w:sz w:val="22"/>
                <w:szCs w:val="22"/>
                <w:u w:val="single"/>
              </w:rPr>
            </w:pPr>
            <w:r w:rsidRPr="00E14FAB">
              <w:rPr>
                <w:rFonts w:cs="Arial"/>
                <w:sz w:val="22"/>
                <w:szCs w:val="22"/>
              </w:rPr>
              <w:t xml:space="preserve">NRPB guidance </w:t>
            </w:r>
            <w:hyperlink r:id="rId17" w:history="1">
              <w:r w:rsidRPr="00E14FAB">
                <w:rPr>
                  <w:rFonts w:cs="Arial"/>
                  <w:color w:val="0000FF"/>
                  <w:sz w:val="22"/>
                  <w:szCs w:val="22"/>
                  <w:u w:val="single"/>
                </w:rPr>
                <w:t>https://www.gov.uk/government/uploads/system/uploads/attachment_data/file/425072/Documents_of_the_NRPB_Volume_12_Number_3.pdf</w:t>
              </w:r>
            </w:hyperlink>
          </w:p>
          <w:p w:rsidR="00E14FAB" w:rsidRPr="00E14FAB" w:rsidRDefault="00E14FAB" w:rsidP="003E6F4F">
            <w:pPr>
              <w:pStyle w:val="ListParagraph"/>
              <w:numPr>
                <w:ilvl w:val="0"/>
                <w:numId w:val="17"/>
              </w:numPr>
              <w:tabs>
                <w:tab w:val="left" w:pos="1440"/>
                <w:tab w:val="left" w:pos="2160"/>
                <w:tab w:val="left" w:pos="2880"/>
                <w:tab w:val="left" w:pos="4680"/>
                <w:tab w:val="left" w:pos="5400"/>
                <w:tab w:val="right" w:pos="9000"/>
              </w:tabs>
              <w:overflowPunct/>
              <w:autoSpaceDE/>
              <w:autoSpaceDN/>
              <w:adjustRightInd/>
              <w:spacing w:after="120" w:line="240" w:lineRule="atLeast"/>
              <w:ind w:left="381" w:hanging="284"/>
              <w:contextualSpacing w:val="0"/>
              <w:textAlignment w:val="auto"/>
              <w:rPr>
                <w:rFonts w:cs="Arial"/>
                <w:sz w:val="22"/>
                <w:szCs w:val="22"/>
              </w:rPr>
            </w:pPr>
            <w:r w:rsidRPr="00E14FAB">
              <w:rPr>
                <w:rFonts w:cs="Arial"/>
                <w:sz w:val="22"/>
                <w:szCs w:val="22"/>
              </w:rPr>
              <w:t xml:space="preserve">CBRN Handbook </w:t>
            </w:r>
            <w:hyperlink r:id="rId18" w:history="1">
              <w:r w:rsidRPr="00E14FAB">
                <w:rPr>
                  <w:rFonts w:cs="Arial"/>
                  <w:color w:val="0000FF"/>
                  <w:sz w:val="22"/>
                  <w:szCs w:val="22"/>
                  <w:u w:val="single"/>
                </w:rPr>
                <w:t>https://assets.publishing.service.gov.uk/government/uploads/system/uploads/attachment_data/file/712888/Chemical_biological_radiological_and_nuclear_incidents_clinical_management_and_health_protection.pdf</w:t>
              </w:r>
            </w:hyperlink>
          </w:p>
          <w:p w:rsidR="00D836F3" w:rsidRPr="000D279C" w:rsidRDefault="00D836F3" w:rsidP="000B52F9">
            <w:pPr>
              <w:pStyle w:val="ListParagraph"/>
              <w:spacing w:after="120"/>
              <w:ind w:left="238"/>
              <w:contextualSpacing w:val="0"/>
              <w:rPr>
                <w:sz w:val="22"/>
                <w:szCs w:val="22"/>
              </w:rPr>
            </w:pPr>
          </w:p>
        </w:tc>
      </w:tr>
    </w:tbl>
    <w:p w:rsidR="00D836F3" w:rsidRPr="006E3026" w:rsidRDefault="00D836F3" w:rsidP="00D836F3">
      <w:pPr>
        <w:jc w:val="both"/>
        <w:rPr>
          <w:rFonts w:cs="Arial"/>
          <w:bCs/>
          <w:sz w:val="22"/>
          <w:szCs w:val="22"/>
        </w:rPr>
      </w:pPr>
      <w:r>
        <w:rPr>
          <w:rFonts w:cs="Arial"/>
          <w:szCs w:val="24"/>
        </w:rPr>
        <w:tab/>
      </w:r>
    </w:p>
    <w:p w:rsidR="00D836F3" w:rsidRPr="002E7B44" w:rsidRDefault="00D836F3" w:rsidP="00D836F3">
      <w:pPr>
        <w:overflowPunct/>
        <w:autoSpaceDE/>
        <w:autoSpaceDN/>
        <w:adjustRightInd/>
        <w:textAlignment w:val="auto"/>
        <w:rPr>
          <w:b/>
          <w:sz w:val="22"/>
          <w:szCs w:val="22"/>
        </w:rPr>
      </w:pPr>
    </w:p>
    <w:p w:rsidR="008D40B5" w:rsidRDefault="008D40B5"/>
    <w:sectPr w:rsidR="008D40B5" w:rsidSect="00A70D66">
      <w:headerReference w:type="even" r:id="rId19"/>
      <w:headerReference w:type="default" r:id="rId20"/>
      <w:footerReference w:type="even" r:id="rId21"/>
      <w:footerReference w:type="default" r:id="rId22"/>
      <w:headerReference w:type="first" r:id="rId23"/>
      <w:footerReference w:type="first" r:id="rId24"/>
      <w:pgSz w:w="11906" w:h="16838" w:code="9"/>
      <w:pgMar w:top="1021" w:right="1021" w:bottom="1134" w:left="1021" w:header="720"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99" w:rsidRDefault="003E6999" w:rsidP="00D836F3">
      <w:r>
        <w:separator/>
      </w:r>
    </w:p>
  </w:endnote>
  <w:endnote w:type="continuationSeparator" w:id="0">
    <w:p w:rsidR="003E6999" w:rsidRDefault="003E6999" w:rsidP="00D8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
    <w:altName w:val="TimesNewRomanPS"/>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B8" w:rsidRDefault="009A5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D34" w:rsidRDefault="003E6F4F" w:rsidP="002232AB">
    <w:pPr>
      <w:pStyle w:val="Footer"/>
      <w:rPr>
        <w:rFonts w:ascii="Arial" w:hAnsi="Arial"/>
        <w:sz w:val="20"/>
      </w:rPr>
    </w:pPr>
    <w:r>
      <w:rPr>
        <w:rFonts w:ascii="Arial" w:hAnsi="Arial"/>
        <w:sz w:val="20"/>
      </w:rPr>
      <w:t>20181210</w:t>
    </w:r>
    <w:r w:rsidR="009D5B48" w:rsidRPr="009D5B48">
      <w:rPr>
        <w:rFonts w:ascii="Arial" w:hAnsi="Arial"/>
        <w:sz w:val="20"/>
      </w:rPr>
      <w:t xml:space="preserve"> potassium iodi</w:t>
    </w:r>
    <w:r>
      <w:rPr>
        <w:rFonts w:ascii="Arial" w:hAnsi="Arial"/>
        <w:sz w:val="20"/>
      </w:rPr>
      <w:t>de protocol 01.00 Valid from: 10 Dec</w:t>
    </w:r>
    <w:r w:rsidR="00C72A7F">
      <w:rPr>
        <w:rFonts w:ascii="Arial" w:hAnsi="Arial"/>
        <w:sz w:val="20"/>
      </w:rPr>
      <w:t>ember</w:t>
    </w:r>
    <w:r>
      <w:rPr>
        <w:rFonts w:ascii="Arial" w:hAnsi="Arial"/>
        <w:sz w:val="20"/>
      </w:rPr>
      <w:t xml:space="preserve"> 2018 Expiry: 10 Dec</w:t>
    </w:r>
    <w:r w:rsidR="00C72A7F">
      <w:rPr>
        <w:rFonts w:ascii="Arial" w:hAnsi="Arial"/>
        <w:sz w:val="20"/>
      </w:rPr>
      <w:t>ember</w:t>
    </w:r>
    <w:r w:rsidR="009D5B48" w:rsidRPr="009D5B48">
      <w:rPr>
        <w:rFonts w:ascii="Arial" w:hAnsi="Arial"/>
        <w:sz w:val="20"/>
      </w:rPr>
      <w:t xml:space="preserve"> 2021</w:t>
    </w:r>
    <w:r w:rsidR="009D5B48" w:rsidRPr="009D5B48">
      <w:rPr>
        <w:rFonts w:ascii="Arial" w:hAnsi="Arial"/>
        <w:sz w:val="20"/>
      </w:rPr>
      <w:tab/>
    </w:r>
    <w:r w:rsidR="00534ECB" w:rsidRPr="0004464D">
      <w:rPr>
        <w:rFonts w:ascii="Arial" w:hAnsi="Arial"/>
        <w:sz w:val="20"/>
      </w:rPr>
      <w:tab/>
    </w:r>
  </w:p>
  <w:p w:rsidR="006E1D34" w:rsidRPr="0004464D" w:rsidRDefault="00534ECB" w:rsidP="007914FD">
    <w:pPr>
      <w:pStyle w:val="Footer"/>
      <w:jc w:val="right"/>
      <w:rPr>
        <w:rStyle w:val="PageNumber"/>
        <w:rFonts w:ascii="Arial" w:hAnsi="Arial"/>
        <w:sz w:val="20"/>
      </w:rPr>
    </w:pP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sidR="00DD783B">
      <w:rPr>
        <w:rStyle w:val="PageNumber"/>
        <w:rFonts w:ascii="Arial" w:hAnsi="Arial"/>
        <w:noProof/>
        <w:sz w:val="20"/>
      </w:rPr>
      <w:t>7</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sidR="00DD783B">
      <w:rPr>
        <w:rStyle w:val="PageNumber"/>
        <w:rFonts w:ascii="Arial" w:hAnsi="Arial"/>
        <w:noProof/>
        <w:sz w:val="20"/>
      </w:rPr>
      <w:t>7</w:t>
    </w:r>
    <w:r w:rsidRPr="0004464D">
      <w:rPr>
        <w:rStyle w:val="PageNumber"/>
        <w:rFonts w:ascii="Arial" w:hAnsi="Arial"/>
        <w:sz w:val="20"/>
      </w:rPr>
      <w:fldChar w:fldCharType="end"/>
    </w:r>
  </w:p>
  <w:p w:rsidR="006E1D34" w:rsidRDefault="003E69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D34" w:rsidRPr="00150FAF" w:rsidRDefault="003E6F4F" w:rsidP="001700C1">
    <w:pPr>
      <w:pStyle w:val="Footer"/>
      <w:rPr>
        <w:rFonts w:ascii="Arial" w:hAnsi="Arial"/>
        <w:sz w:val="20"/>
      </w:rPr>
    </w:pPr>
    <w:r>
      <w:rPr>
        <w:rFonts w:ascii="Arial" w:hAnsi="Arial"/>
        <w:sz w:val="20"/>
      </w:rPr>
      <w:t>20181210</w:t>
    </w:r>
    <w:r w:rsidR="00150FAF" w:rsidRPr="00150FAF">
      <w:rPr>
        <w:rFonts w:ascii="Arial" w:hAnsi="Arial"/>
        <w:sz w:val="20"/>
      </w:rPr>
      <w:t xml:space="preserve"> potassium iodide p</w:t>
    </w:r>
    <w:r w:rsidR="006D6C62">
      <w:rPr>
        <w:rFonts w:ascii="Arial" w:hAnsi="Arial"/>
        <w:sz w:val="20"/>
      </w:rPr>
      <w:t xml:space="preserve">rotocol </w:t>
    </w:r>
    <w:r w:rsidR="00534ECB" w:rsidRPr="00150FAF">
      <w:rPr>
        <w:rFonts w:ascii="Arial" w:hAnsi="Arial"/>
        <w:sz w:val="20"/>
      </w:rPr>
      <w:t>0</w:t>
    </w:r>
    <w:r w:rsidR="00150FAF" w:rsidRPr="00150FAF">
      <w:rPr>
        <w:rFonts w:ascii="Arial" w:hAnsi="Arial"/>
        <w:sz w:val="20"/>
      </w:rPr>
      <w:t>1</w:t>
    </w:r>
    <w:r w:rsidR="006D6C62">
      <w:rPr>
        <w:rFonts w:ascii="Arial" w:hAnsi="Arial"/>
        <w:sz w:val="20"/>
      </w:rPr>
      <w:t>.00</w:t>
    </w:r>
    <w:r w:rsidR="00150FAF" w:rsidRPr="00150FAF">
      <w:rPr>
        <w:rFonts w:ascii="Arial" w:hAnsi="Arial"/>
        <w:sz w:val="20"/>
      </w:rPr>
      <w:t xml:space="preserve"> </w:t>
    </w:r>
    <w:r w:rsidR="00534ECB" w:rsidRPr="00150FAF">
      <w:rPr>
        <w:rFonts w:ascii="Arial" w:hAnsi="Arial"/>
        <w:sz w:val="20"/>
      </w:rPr>
      <w:t xml:space="preserve">Valid from: </w:t>
    </w:r>
    <w:r>
      <w:rPr>
        <w:rFonts w:ascii="Arial" w:hAnsi="Arial"/>
        <w:sz w:val="20"/>
      </w:rPr>
      <w:t>10 Dec</w:t>
    </w:r>
    <w:r w:rsidR="00206F11">
      <w:rPr>
        <w:rFonts w:ascii="Arial" w:hAnsi="Arial"/>
        <w:sz w:val="20"/>
      </w:rPr>
      <w:t>ember</w:t>
    </w:r>
    <w:r w:rsidR="00150FAF" w:rsidRPr="00150FAF">
      <w:rPr>
        <w:rFonts w:ascii="Arial" w:hAnsi="Arial"/>
        <w:sz w:val="20"/>
      </w:rPr>
      <w:t xml:space="preserve"> 2018 </w:t>
    </w:r>
    <w:r w:rsidR="00534ECB" w:rsidRPr="00150FAF">
      <w:rPr>
        <w:rFonts w:ascii="Arial" w:hAnsi="Arial"/>
        <w:sz w:val="20"/>
      </w:rPr>
      <w:t>Expiry:</w:t>
    </w:r>
    <w:r w:rsidR="00150FAF">
      <w:rPr>
        <w:rFonts w:ascii="Arial" w:hAnsi="Arial"/>
        <w:sz w:val="20"/>
      </w:rPr>
      <w:t xml:space="preserve"> </w:t>
    </w:r>
    <w:r>
      <w:rPr>
        <w:rFonts w:ascii="Arial" w:hAnsi="Arial"/>
        <w:sz w:val="20"/>
      </w:rPr>
      <w:t>10 Dec</w:t>
    </w:r>
    <w:r w:rsidR="00206F11">
      <w:rPr>
        <w:rFonts w:ascii="Arial" w:hAnsi="Arial"/>
        <w:sz w:val="20"/>
      </w:rPr>
      <w:t>ember</w:t>
    </w:r>
    <w:r w:rsidR="00150FAF" w:rsidRPr="00150FAF">
      <w:rPr>
        <w:rFonts w:ascii="Arial" w:hAnsi="Arial"/>
        <w:sz w:val="20"/>
      </w:rPr>
      <w:t xml:space="preserve"> 2021</w:t>
    </w:r>
    <w:r w:rsidR="00534ECB" w:rsidRPr="00150FAF">
      <w:rPr>
        <w:rFonts w:ascii="Arial" w:hAnsi="Arial"/>
        <w:sz w:val="20"/>
      </w:rPr>
      <w:tab/>
    </w:r>
  </w:p>
  <w:p w:rsidR="006E1D34" w:rsidRPr="0004464D" w:rsidRDefault="00534ECB" w:rsidP="001700C1">
    <w:pPr>
      <w:pStyle w:val="Footer"/>
      <w:tabs>
        <w:tab w:val="left" w:pos="7125"/>
        <w:tab w:val="right" w:pos="9637"/>
      </w:tabs>
      <w:rPr>
        <w:rStyle w:val="PageNumbe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sidRPr="0004464D">
      <w:rPr>
        <w:rFonts w:ascii="Arial" w:hAnsi="Arial"/>
        <w:sz w:val="20"/>
      </w:rPr>
      <w:t xml:space="preserve">Page </w:t>
    </w:r>
    <w:r w:rsidRPr="0004464D">
      <w:rPr>
        <w:rStyle w:val="PageNumber"/>
        <w:rFonts w:ascii="Arial" w:hAnsi="Arial"/>
        <w:sz w:val="20"/>
      </w:rPr>
      <w:fldChar w:fldCharType="begin"/>
    </w:r>
    <w:r w:rsidRPr="0004464D">
      <w:rPr>
        <w:rStyle w:val="PageNumber"/>
        <w:rFonts w:ascii="Arial" w:hAnsi="Arial"/>
        <w:sz w:val="20"/>
      </w:rPr>
      <w:instrText xml:space="preserve"> PAGE </w:instrText>
    </w:r>
    <w:r w:rsidRPr="0004464D">
      <w:rPr>
        <w:rStyle w:val="PageNumber"/>
        <w:rFonts w:ascii="Arial" w:hAnsi="Arial"/>
        <w:sz w:val="20"/>
      </w:rPr>
      <w:fldChar w:fldCharType="separate"/>
    </w:r>
    <w:r w:rsidR="00DD783B">
      <w:rPr>
        <w:rStyle w:val="PageNumber"/>
        <w:rFonts w:ascii="Arial" w:hAnsi="Arial"/>
        <w:noProof/>
        <w:sz w:val="20"/>
      </w:rPr>
      <w:t>1</w:t>
    </w:r>
    <w:r w:rsidRPr="0004464D">
      <w:rPr>
        <w:rStyle w:val="PageNumber"/>
        <w:rFonts w:ascii="Arial" w:hAnsi="Arial"/>
        <w:sz w:val="20"/>
      </w:rPr>
      <w:fldChar w:fldCharType="end"/>
    </w:r>
    <w:r w:rsidRPr="0004464D">
      <w:rPr>
        <w:rStyle w:val="PageNumber"/>
        <w:rFonts w:ascii="Arial" w:hAnsi="Arial"/>
        <w:sz w:val="20"/>
      </w:rPr>
      <w:t xml:space="preserve"> of </w:t>
    </w:r>
    <w:r w:rsidRPr="0004464D">
      <w:rPr>
        <w:rStyle w:val="PageNumber"/>
        <w:rFonts w:ascii="Arial" w:hAnsi="Arial"/>
        <w:sz w:val="20"/>
      </w:rPr>
      <w:fldChar w:fldCharType="begin"/>
    </w:r>
    <w:r w:rsidRPr="0004464D">
      <w:rPr>
        <w:rStyle w:val="PageNumber"/>
        <w:rFonts w:ascii="Arial" w:hAnsi="Arial"/>
        <w:sz w:val="20"/>
      </w:rPr>
      <w:instrText xml:space="preserve"> NUMPAGES </w:instrText>
    </w:r>
    <w:r w:rsidRPr="0004464D">
      <w:rPr>
        <w:rStyle w:val="PageNumber"/>
        <w:rFonts w:ascii="Arial" w:hAnsi="Arial"/>
        <w:sz w:val="20"/>
      </w:rPr>
      <w:fldChar w:fldCharType="separate"/>
    </w:r>
    <w:r w:rsidR="00DD783B">
      <w:rPr>
        <w:rStyle w:val="PageNumber"/>
        <w:rFonts w:ascii="Arial" w:hAnsi="Arial"/>
        <w:noProof/>
        <w:sz w:val="20"/>
      </w:rPr>
      <w:t>7</w:t>
    </w:r>
    <w:r w:rsidRPr="0004464D">
      <w:rPr>
        <w:rStyle w:val="PageNumber"/>
        <w:rFonts w:ascii="Arial" w:hAnsi="Arial"/>
        <w:sz w:val="20"/>
      </w:rPr>
      <w:fldChar w:fldCharType="end"/>
    </w:r>
  </w:p>
  <w:p w:rsidR="006E1D34" w:rsidRDefault="003E6999" w:rsidP="001700C1">
    <w:pPr>
      <w:pStyle w:val="Footer"/>
      <w:tabs>
        <w:tab w:val="clear" w:pos="4153"/>
        <w:tab w:val="clear" w:pos="8306"/>
        <w:tab w:val="left" w:pos="69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99" w:rsidRDefault="003E6999" w:rsidP="00D836F3">
      <w:r>
        <w:separator/>
      </w:r>
    </w:p>
  </w:footnote>
  <w:footnote w:type="continuationSeparator" w:id="0">
    <w:p w:rsidR="003E6999" w:rsidRDefault="003E6999" w:rsidP="00D836F3">
      <w:r>
        <w:continuationSeparator/>
      </w:r>
    </w:p>
  </w:footnote>
  <w:footnote w:id="1">
    <w:p w:rsidR="009D5B48" w:rsidRDefault="009D5B48" w:rsidP="009D5B48">
      <w:pPr>
        <w:pStyle w:val="FootnoteText"/>
        <w:ind w:left="142" w:hanging="142"/>
      </w:pPr>
      <w:r>
        <w:rPr>
          <w:rStyle w:val="FootnoteReference"/>
        </w:rPr>
        <w:footnoteRef/>
      </w:r>
      <w:r>
        <w:t xml:space="preserve"> </w:t>
      </w:r>
      <w:r w:rsidRPr="00205040">
        <w:rPr>
          <w:rFonts w:cs="Arial"/>
        </w:rPr>
        <w:t>If p</w:t>
      </w:r>
      <w:r>
        <w:rPr>
          <w:rFonts w:cs="Arial"/>
        </w:rPr>
        <w:t>regnant women with active hyperthyroidism take potass</w:t>
      </w:r>
      <w:r w:rsidR="00D274DE">
        <w:rPr>
          <w:rFonts w:cs="Arial"/>
        </w:rPr>
        <w:t>ium iodide there is a risk of f</w:t>
      </w:r>
      <w:r w:rsidR="00962B85">
        <w:rPr>
          <w:rFonts w:cs="Arial"/>
        </w:rPr>
        <w:t>o</w:t>
      </w:r>
      <w:r>
        <w:rPr>
          <w:rFonts w:cs="Arial"/>
        </w:rPr>
        <w:t>etal thyroid blockage. However this contraindication has not been included because hypothyroidism is screened post-natally in the 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B8" w:rsidRDefault="009A5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D34" w:rsidRPr="002B3FF5" w:rsidRDefault="003E6999" w:rsidP="006F4906">
    <w:pPr>
      <w:pStyle w:val="Header"/>
      <w:jc w:val="right"/>
      <w:rPr>
        <w:rFonts w:ascii="Arial" w:hAnsi="Arial"/>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D34" w:rsidRDefault="009A58B8">
    <w:pPr>
      <w:pStyle w:val="Header"/>
    </w:pPr>
    <w:r w:rsidRPr="00CC5E0A">
      <w:rPr>
        <w:noProof/>
      </w:rPr>
      <w:drawing>
        <wp:inline distT="0" distB="0" distL="0" distR="0" wp14:anchorId="0F9CBA3C" wp14:editId="0AA137D0">
          <wp:extent cx="1558290" cy="1009650"/>
          <wp:effectExtent l="0" t="0" r="3810" b="0"/>
          <wp:docPr id="10" name="Picture 2" descr="C:\Users\beth.graham\AppData\Local\Microsoft\Windows\Temporary Internet Files\Content.Outlook\8FDADWK5\PHE logo standar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graham\AppData\Local\Microsoft\Windows\Temporary Internet Files\Content.Outlook\8FDADWK5\PHE logo standard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290" cy="1009650"/>
                  </a:xfrm>
                  <a:prstGeom prst="rect">
                    <a:avLst/>
                  </a:prstGeom>
                  <a:noFill/>
                  <a:ln>
                    <a:noFill/>
                  </a:ln>
                </pic:spPr>
              </pic:pic>
            </a:graphicData>
          </a:graphic>
        </wp:inline>
      </w:drawing>
    </w:r>
    <w:r>
      <w:rPr>
        <w:noProof/>
      </w:rPr>
      <w:t xml:space="preserve">                                                                                                       </w:t>
    </w:r>
    <w:r>
      <w:rPr>
        <w:noProof/>
      </w:rPr>
      <w:drawing>
        <wp:inline distT="0" distB="0" distL="0" distR="0" wp14:anchorId="6441C390" wp14:editId="49F84CF2">
          <wp:extent cx="752580" cy="581106"/>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E logo.png"/>
                  <pic:cNvPicPr/>
                </pic:nvPicPr>
                <pic:blipFill>
                  <a:blip r:embed="rId2">
                    <a:extLst>
                      <a:ext uri="{28A0092B-C50C-407E-A947-70E740481C1C}">
                        <a14:useLocalDpi xmlns:a14="http://schemas.microsoft.com/office/drawing/2010/main" val="0"/>
                      </a:ext>
                    </a:extLst>
                  </a:blip>
                  <a:stretch>
                    <a:fillRect/>
                  </a:stretch>
                </pic:blipFill>
                <pic:spPr>
                  <a:xfrm>
                    <a:off x="0" y="0"/>
                    <a:ext cx="752580" cy="5811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0E4A"/>
    <w:multiLevelType w:val="hybridMultilevel"/>
    <w:tmpl w:val="D564E91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4C2EAD"/>
    <w:multiLevelType w:val="hybridMultilevel"/>
    <w:tmpl w:val="E436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BE6785"/>
    <w:multiLevelType w:val="hybridMultilevel"/>
    <w:tmpl w:val="3D3EBE72"/>
    <w:lvl w:ilvl="0" w:tplc="D3F2617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724062"/>
    <w:multiLevelType w:val="hybridMultilevel"/>
    <w:tmpl w:val="5108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8B2A81"/>
    <w:multiLevelType w:val="hybridMultilevel"/>
    <w:tmpl w:val="AA26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AA5BB2"/>
    <w:multiLevelType w:val="hybridMultilevel"/>
    <w:tmpl w:val="68FE6D14"/>
    <w:lvl w:ilvl="0" w:tplc="20B2D7E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6B7288"/>
    <w:multiLevelType w:val="hybridMultilevel"/>
    <w:tmpl w:val="25C2FA4C"/>
    <w:lvl w:ilvl="0" w:tplc="D3F2617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1B40C4"/>
    <w:multiLevelType w:val="hybridMultilevel"/>
    <w:tmpl w:val="B82043E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nsid w:val="3B7D6476"/>
    <w:multiLevelType w:val="hybridMultilevel"/>
    <w:tmpl w:val="AF8E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5E48C7"/>
    <w:multiLevelType w:val="hybridMultilevel"/>
    <w:tmpl w:val="8C10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8B4B65"/>
    <w:multiLevelType w:val="hybridMultilevel"/>
    <w:tmpl w:val="6B9C97EA"/>
    <w:lvl w:ilvl="0" w:tplc="D3F2617A">
      <w:start w:val="1"/>
      <w:numFmt w:val="bullet"/>
      <w:lvlText w:val=""/>
      <w:lvlJc w:val="left"/>
      <w:pPr>
        <w:ind w:left="108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F92152"/>
    <w:multiLevelType w:val="hybridMultilevel"/>
    <w:tmpl w:val="FC96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D440C7"/>
    <w:multiLevelType w:val="hybridMultilevel"/>
    <w:tmpl w:val="844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DD6360"/>
    <w:multiLevelType w:val="hybridMultilevel"/>
    <w:tmpl w:val="40DC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B12BB3"/>
    <w:multiLevelType w:val="hybridMultilevel"/>
    <w:tmpl w:val="3B36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0F4F4F"/>
    <w:multiLevelType w:val="multilevel"/>
    <w:tmpl w:val="8F925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D4132E"/>
    <w:multiLevelType w:val="hybridMultilevel"/>
    <w:tmpl w:val="77961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2"/>
  </w:num>
  <w:num w:numId="4">
    <w:abstractNumId w:val="0"/>
  </w:num>
  <w:num w:numId="5">
    <w:abstractNumId w:val="5"/>
  </w:num>
  <w:num w:numId="6">
    <w:abstractNumId w:val="17"/>
  </w:num>
  <w:num w:numId="7">
    <w:abstractNumId w:val="10"/>
  </w:num>
  <w:num w:numId="8">
    <w:abstractNumId w:val="1"/>
  </w:num>
  <w:num w:numId="9">
    <w:abstractNumId w:val="9"/>
  </w:num>
  <w:num w:numId="10">
    <w:abstractNumId w:val="8"/>
  </w:num>
  <w:num w:numId="11">
    <w:abstractNumId w:val="12"/>
  </w:num>
  <w:num w:numId="12">
    <w:abstractNumId w:val="13"/>
  </w:num>
  <w:num w:numId="13">
    <w:abstractNumId w:val="6"/>
  </w:num>
  <w:num w:numId="14">
    <w:abstractNumId w:val="11"/>
  </w:num>
  <w:num w:numId="15">
    <w:abstractNumId w:val="14"/>
  </w:num>
  <w:num w:numId="16">
    <w:abstractNumId w:val="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gy7/ZY8IDK4UUd6XSHlQfWnfzY=" w:salt="EO53k1yj3YtLH4PtJxLlR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F3"/>
    <w:rsid w:val="000428BC"/>
    <w:rsid w:val="000B0C49"/>
    <w:rsid w:val="00150FAF"/>
    <w:rsid w:val="00206F11"/>
    <w:rsid w:val="002160C9"/>
    <w:rsid w:val="00250871"/>
    <w:rsid w:val="00273044"/>
    <w:rsid w:val="00364BEF"/>
    <w:rsid w:val="0037686C"/>
    <w:rsid w:val="003B6F6D"/>
    <w:rsid w:val="003E6999"/>
    <w:rsid w:val="003E6F4F"/>
    <w:rsid w:val="0047672E"/>
    <w:rsid w:val="00534ECB"/>
    <w:rsid w:val="00564EDC"/>
    <w:rsid w:val="00582021"/>
    <w:rsid w:val="005A37C5"/>
    <w:rsid w:val="00624B0C"/>
    <w:rsid w:val="006D6C62"/>
    <w:rsid w:val="00712D13"/>
    <w:rsid w:val="007B188B"/>
    <w:rsid w:val="007B2082"/>
    <w:rsid w:val="007C378C"/>
    <w:rsid w:val="007E0042"/>
    <w:rsid w:val="00884D17"/>
    <w:rsid w:val="008B36F3"/>
    <w:rsid w:val="008D40B5"/>
    <w:rsid w:val="009051B1"/>
    <w:rsid w:val="00962B85"/>
    <w:rsid w:val="009969C7"/>
    <w:rsid w:val="009A552C"/>
    <w:rsid w:val="009A58B8"/>
    <w:rsid w:val="009B3380"/>
    <w:rsid w:val="009D5B48"/>
    <w:rsid w:val="009D6705"/>
    <w:rsid w:val="00A13A80"/>
    <w:rsid w:val="00A256C1"/>
    <w:rsid w:val="00A502DE"/>
    <w:rsid w:val="00AC5C83"/>
    <w:rsid w:val="00AE25C9"/>
    <w:rsid w:val="00B36573"/>
    <w:rsid w:val="00B474C6"/>
    <w:rsid w:val="00B53C6E"/>
    <w:rsid w:val="00BB17A6"/>
    <w:rsid w:val="00C72A7F"/>
    <w:rsid w:val="00C86E04"/>
    <w:rsid w:val="00CD73F3"/>
    <w:rsid w:val="00CE5EC6"/>
    <w:rsid w:val="00D274DE"/>
    <w:rsid w:val="00D41AE7"/>
    <w:rsid w:val="00D836F3"/>
    <w:rsid w:val="00DD783B"/>
    <w:rsid w:val="00E14FAB"/>
    <w:rsid w:val="00E45C64"/>
    <w:rsid w:val="00E740EA"/>
    <w:rsid w:val="00EC0C36"/>
    <w:rsid w:val="00EC364A"/>
    <w:rsid w:val="00F07459"/>
    <w:rsid w:val="00F26AF6"/>
    <w:rsid w:val="00F3403D"/>
    <w:rsid w:val="00FC1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F3"/>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2">
    <w:name w:val="heading 2"/>
    <w:basedOn w:val="Normal"/>
    <w:next w:val="Normal"/>
    <w:link w:val="Heading2Char"/>
    <w:qFormat/>
    <w:rsid w:val="00D836F3"/>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D836F3"/>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D836F3"/>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D836F3"/>
    <w:pPr>
      <w:keepNext/>
      <w:spacing w:before="120" w:after="120"/>
      <w:jc w:val="right"/>
      <w:outlineLvl w:val="5"/>
    </w:pPr>
    <w:rPr>
      <w:rFonts w:ascii="Times New Roman" w:hAnsi="Times New Roman"/>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36F3"/>
    <w:rPr>
      <w:rFonts w:ascii="Times New Roman" w:eastAsia="Times New Roman" w:hAnsi="Times New Roman" w:cs="Times New Roman"/>
      <w:b/>
      <w:sz w:val="40"/>
      <w:szCs w:val="20"/>
      <w:lang w:eastAsia="en-GB"/>
    </w:rPr>
  </w:style>
  <w:style w:type="character" w:customStyle="1" w:styleId="Heading4Char">
    <w:name w:val="Heading 4 Char"/>
    <w:basedOn w:val="DefaultParagraphFont"/>
    <w:link w:val="Heading4"/>
    <w:rsid w:val="00D836F3"/>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D836F3"/>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D836F3"/>
    <w:rPr>
      <w:rFonts w:ascii="Times New Roman" w:eastAsia="Times New Roman" w:hAnsi="Times New Roman" w:cs="Times New Roman"/>
      <w:b/>
      <w:i/>
      <w:sz w:val="32"/>
      <w:szCs w:val="20"/>
      <w:lang w:eastAsia="en-GB"/>
    </w:rPr>
  </w:style>
  <w:style w:type="paragraph" w:styleId="Header">
    <w:name w:val="header"/>
    <w:basedOn w:val="Normal"/>
    <w:link w:val="HeaderChar"/>
    <w:uiPriority w:val="99"/>
    <w:rsid w:val="00D836F3"/>
    <w:pPr>
      <w:tabs>
        <w:tab w:val="center" w:pos="4153"/>
        <w:tab w:val="right" w:pos="8306"/>
      </w:tabs>
    </w:pPr>
    <w:rPr>
      <w:rFonts w:ascii="Times New Roman" w:hAnsi="Times New Roman"/>
    </w:rPr>
  </w:style>
  <w:style w:type="character" w:customStyle="1" w:styleId="HeaderChar">
    <w:name w:val="Header Char"/>
    <w:basedOn w:val="DefaultParagraphFont"/>
    <w:link w:val="Header"/>
    <w:uiPriority w:val="99"/>
    <w:rsid w:val="00D836F3"/>
    <w:rPr>
      <w:rFonts w:ascii="Times New Roman" w:eastAsia="Times New Roman" w:hAnsi="Times New Roman" w:cs="Times New Roman"/>
      <w:sz w:val="24"/>
      <w:szCs w:val="20"/>
      <w:lang w:eastAsia="en-GB"/>
    </w:rPr>
  </w:style>
  <w:style w:type="paragraph" w:styleId="Footer">
    <w:name w:val="footer"/>
    <w:basedOn w:val="Normal"/>
    <w:link w:val="FooterChar"/>
    <w:rsid w:val="00D836F3"/>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D836F3"/>
    <w:rPr>
      <w:rFonts w:ascii="Times New Roman" w:eastAsia="Times New Roman" w:hAnsi="Times New Roman" w:cs="Times New Roman"/>
      <w:sz w:val="24"/>
      <w:szCs w:val="20"/>
      <w:lang w:eastAsia="en-GB"/>
    </w:rPr>
  </w:style>
  <w:style w:type="character" w:styleId="PageNumber">
    <w:name w:val="page number"/>
    <w:basedOn w:val="DefaultParagraphFont"/>
    <w:rsid w:val="00D836F3"/>
  </w:style>
  <w:style w:type="character" w:styleId="Hyperlink">
    <w:name w:val="Hyperlink"/>
    <w:basedOn w:val="DefaultParagraphFont"/>
    <w:rsid w:val="00D836F3"/>
    <w:rPr>
      <w:color w:val="0000FF"/>
      <w:u w:val="single"/>
    </w:rPr>
  </w:style>
  <w:style w:type="paragraph" w:styleId="BodyText3">
    <w:name w:val="Body Text 3"/>
    <w:basedOn w:val="Normal"/>
    <w:link w:val="BodyText3Char"/>
    <w:rsid w:val="00D836F3"/>
    <w:pPr>
      <w:spacing w:after="120"/>
    </w:pPr>
    <w:rPr>
      <w:sz w:val="16"/>
      <w:szCs w:val="16"/>
    </w:rPr>
  </w:style>
  <w:style w:type="character" w:customStyle="1" w:styleId="BodyText3Char">
    <w:name w:val="Body Text 3 Char"/>
    <w:basedOn w:val="DefaultParagraphFont"/>
    <w:link w:val="BodyText3"/>
    <w:rsid w:val="00D836F3"/>
    <w:rPr>
      <w:rFonts w:ascii="Arial" w:eastAsia="Times New Roman" w:hAnsi="Arial" w:cs="Times New Roman"/>
      <w:sz w:val="16"/>
      <w:szCs w:val="16"/>
      <w:lang w:eastAsia="en-GB"/>
    </w:rPr>
  </w:style>
  <w:style w:type="paragraph" w:styleId="FootnoteText">
    <w:name w:val="footnote text"/>
    <w:basedOn w:val="Normal"/>
    <w:link w:val="FootnoteTextChar"/>
    <w:uiPriority w:val="99"/>
    <w:semiHidden/>
    <w:unhideWhenUsed/>
    <w:rsid w:val="00D836F3"/>
    <w:rPr>
      <w:sz w:val="20"/>
    </w:rPr>
  </w:style>
  <w:style w:type="character" w:customStyle="1" w:styleId="FootnoteTextChar">
    <w:name w:val="Footnote Text Char"/>
    <w:basedOn w:val="DefaultParagraphFont"/>
    <w:link w:val="FootnoteText"/>
    <w:uiPriority w:val="99"/>
    <w:semiHidden/>
    <w:rsid w:val="00D836F3"/>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836F3"/>
    <w:rPr>
      <w:vertAlign w:val="superscript"/>
    </w:rPr>
  </w:style>
  <w:style w:type="paragraph" w:customStyle="1" w:styleId="Default">
    <w:name w:val="Default"/>
    <w:rsid w:val="00D836F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836F3"/>
    <w:pPr>
      <w:ind w:left="720"/>
      <w:contextualSpacing/>
    </w:pPr>
  </w:style>
  <w:style w:type="character" w:styleId="CommentReference">
    <w:name w:val="annotation reference"/>
    <w:basedOn w:val="DefaultParagraphFont"/>
    <w:uiPriority w:val="99"/>
    <w:semiHidden/>
    <w:unhideWhenUsed/>
    <w:rsid w:val="00D836F3"/>
    <w:rPr>
      <w:sz w:val="16"/>
      <w:szCs w:val="16"/>
    </w:rPr>
  </w:style>
  <w:style w:type="paragraph" w:styleId="CommentText">
    <w:name w:val="annotation text"/>
    <w:basedOn w:val="Normal"/>
    <w:link w:val="CommentTextChar"/>
    <w:uiPriority w:val="99"/>
    <w:unhideWhenUsed/>
    <w:rsid w:val="00D836F3"/>
    <w:rPr>
      <w:sz w:val="20"/>
    </w:rPr>
  </w:style>
  <w:style w:type="character" w:customStyle="1" w:styleId="CommentTextChar">
    <w:name w:val="Comment Text Char"/>
    <w:basedOn w:val="DefaultParagraphFont"/>
    <w:link w:val="CommentText"/>
    <w:uiPriority w:val="99"/>
    <w:rsid w:val="00D836F3"/>
    <w:rPr>
      <w:rFonts w:ascii="Arial" w:eastAsia="Times New Roman" w:hAnsi="Arial" w:cs="Times New Roman"/>
      <w:sz w:val="20"/>
      <w:szCs w:val="20"/>
      <w:lang w:eastAsia="en-GB"/>
    </w:rPr>
  </w:style>
  <w:style w:type="paragraph" w:customStyle="1" w:styleId="Pa4">
    <w:name w:val="Pa4"/>
    <w:basedOn w:val="Default"/>
    <w:next w:val="Default"/>
    <w:uiPriority w:val="99"/>
    <w:rsid w:val="00D836F3"/>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D836F3"/>
    <w:pPr>
      <w:widowControl w:val="0"/>
      <w:overflowPunct/>
      <w:autoSpaceDE/>
      <w:autoSpaceDN/>
      <w:adjustRightInd/>
      <w:textAlignment w:val="auto"/>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D836F3"/>
    <w:rPr>
      <w:rFonts w:ascii="Tahoma" w:hAnsi="Tahoma" w:cs="Tahoma"/>
      <w:sz w:val="16"/>
      <w:szCs w:val="16"/>
    </w:rPr>
  </w:style>
  <w:style w:type="character" w:customStyle="1" w:styleId="BalloonTextChar">
    <w:name w:val="Balloon Text Char"/>
    <w:basedOn w:val="DefaultParagraphFont"/>
    <w:link w:val="BalloonText"/>
    <w:uiPriority w:val="99"/>
    <w:semiHidden/>
    <w:rsid w:val="00D836F3"/>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9D6705"/>
    <w:rPr>
      <w:b/>
      <w:bCs/>
    </w:rPr>
  </w:style>
  <w:style w:type="character" w:customStyle="1" w:styleId="CommentSubjectChar">
    <w:name w:val="Comment Subject Char"/>
    <w:basedOn w:val="CommentTextChar"/>
    <w:link w:val="CommentSubject"/>
    <w:uiPriority w:val="99"/>
    <w:semiHidden/>
    <w:rsid w:val="009D6705"/>
    <w:rPr>
      <w:rFonts w:ascii="Arial" w:eastAsia="Times New Roman" w:hAnsi="Arial"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F3"/>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2">
    <w:name w:val="heading 2"/>
    <w:basedOn w:val="Normal"/>
    <w:next w:val="Normal"/>
    <w:link w:val="Heading2Char"/>
    <w:qFormat/>
    <w:rsid w:val="00D836F3"/>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D836F3"/>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D836F3"/>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D836F3"/>
    <w:pPr>
      <w:keepNext/>
      <w:spacing w:before="120" w:after="120"/>
      <w:jc w:val="right"/>
      <w:outlineLvl w:val="5"/>
    </w:pPr>
    <w:rPr>
      <w:rFonts w:ascii="Times New Roman" w:hAnsi="Times New Roman"/>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36F3"/>
    <w:rPr>
      <w:rFonts w:ascii="Times New Roman" w:eastAsia="Times New Roman" w:hAnsi="Times New Roman" w:cs="Times New Roman"/>
      <w:b/>
      <w:sz w:val="40"/>
      <w:szCs w:val="20"/>
      <w:lang w:eastAsia="en-GB"/>
    </w:rPr>
  </w:style>
  <w:style w:type="character" w:customStyle="1" w:styleId="Heading4Char">
    <w:name w:val="Heading 4 Char"/>
    <w:basedOn w:val="DefaultParagraphFont"/>
    <w:link w:val="Heading4"/>
    <w:rsid w:val="00D836F3"/>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D836F3"/>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D836F3"/>
    <w:rPr>
      <w:rFonts w:ascii="Times New Roman" w:eastAsia="Times New Roman" w:hAnsi="Times New Roman" w:cs="Times New Roman"/>
      <w:b/>
      <w:i/>
      <w:sz w:val="32"/>
      <w:szCs w:val="20"/>
      <w:lang w:eastAsia="en-GB"/>
    </w:rPr>
  </w:style>
  <w:style w:type="paragraph" w:styleId="Header">
    <w:name w:val="header"/>
    <w:basedOn w:val="Normal"/>
    <w:link w:val="HeaderChar"/>
    <w:uiPriority w:val="99"/>
    <w:rsid w:val="00D836F3"/>
    <w:pPr>
      <w:tabs>
        <w:tab w:val="center" w:pos="4153"/>
        <w:tab w:val="right" w:pos="8306"/>
      </w:tabs>
    </w:pPr>
    <w:rPr>
      <w:rFonts w:ascii="Times New Roman" w:hAnsi="Times New Roman"/>
    </w:rPr>
  </w:style>
  <w:style w:type="character" w:customStyle="1" w:styleId="HeaderChar">
    <w:name w:val="Header Char"/>
    <w:basedOn w:val="DefaultParagraphFont"/>
    <w:link w:val="Header"/>
    <w:uiPriority w:val="99"/>
    <w:rsid w:val="00D836F3"/>
    <w:rPr>
      <w:rFonts w:ascii="Times New Roman" w:eastAsia="Times New Roman" w:hAnsi="Times New Roman" w:cs="Times New Roman"/>
      <w:sz w:val="24"/>
      <w:szCs w:val="20"/>
      <w:lang w:eastAsia="en-GB"/>
    </w:rPr>
  </w:style>
  <w:style w:type="paragraph" w:styleId="Footer">
    <w:name w:val="footer"/>
    <w:basedOn w:val="Normal"/>
    <w:link w:val="FooterChar"/>
    <w:rsid w:val="00D836F3"/>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D836F3"/>
    <w:rPr>
      <w:rFonts w:ascii="Times New Roman" w:eastAsia="Times New Roman" w:hAnsi="Times New Roman" w:cs="Times New Roman"/>
      <w:sz w:val="24"/>
      <w:szCs w:val="20"/>
      <w:lang w:eastAsia="en-GB"/>
    </w:rPr>
  </w:style>
  <w:style w:type="character" w:styleId="PageNumber">
    <w:name w:val="page number"/>
    <w:basedOn w:val="DefaultParagraphFont"/>
    <w:rsid w:val="00D836F3"/>
  </w:style>
  <w:style w:type="character" w:styleId="Hyperlink">
    <w:name w:val="Hyperlink"/>
    <w:basedOn w:val="DefaultParagraphFont"/>
    <w:rsid w:val="00D836F3"/>
    <w:rPr>
      <w:color w:val="0000FF"/>
      <w:u w:val="single"/>
    </w:rPr>
  </w:style>
  <w:style w:type="paragraph" w:styleId="BodyText3">
    <w:name w:val="Body Text 3"/>
    <w:basedOn w:val="Normal"/>
    <w:link w:val="BodyText3Char"/>
    <w:rsid w:val="00D836F3"/>
    <w:pPr>
      <w:spacing w:after="120"/>
    </w:pPr>
    <w:rPr>
      <w:sz w:val="16"/>
      <w:szCs w:val="16"/>
    </w:rPr>
  </w:style>
  <w:style w:type="character" w:customStyle="1" w:styleId="BodyText3Char">
    <w:name w:val="Body Text 3 Char"/>
    <w:basedOn w:val="DefaultParagraphFont"/>
    <w:link w:val="BodyText3"/>
    <w:rsid w:val="00D836F3"/>
    <w:rPr>
      <w:rFonts w:ascii="Arial" w:eastAsia="Times New Roman" w:hAnsi="Arial" w:cs="Times New Roman"/>
      <w:sz w:val="16"/>
      <w:szCs w:val="16"/>
      <w:lang w:eastAsia="en-GB"/>
    </w:rPr>
  </w:style>
  <w:style w:type="paragraph" w:styleId="FootnoteText">
    <w:name w:val="footnote text"/>
    <w:basedOn w:val="Normal"/>
    <w:link w:val="FootnoteTextChar"/>
    <w:uiPriority w:val="99"/>
    <w:semiHidden/>
    <w:unhideWhenUsed/>
    <w:rsid w:val="00D836F3"/>
    <w:rPr>
      <w:sz w:val="20"/>
    </w:rPr>
  </w:style>
  <w:style w:type="character" w:customStyle="1" w:styleId="FootnoteTextChar">
    <w:name w:val="Footnote Text Char"/>
    <w:basedOn w:val="DefaultParagraphFont"/>
    <w:link w:val="FootnoteText"/>
    <w:uiPriority w:val="99"/>
    <w:semiHidden/>
    <w:rsid w:val="00D836F3"/>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D836F3"/>
    <w:rPr>
      <w:vertAlign w:val="superscript"/>
    </w:rPr>
  </w:style>
  <w:style w:type="paragraph" w:customStyle="1" w:styleId="Default">
    <w:name w:val="Default"/>
    <w:rsid w:val="00D836F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836F3"/>
    <w:pPr>
      <w:ind w:left="720"/>
      <w:contextualSpacing/>
    </w:pPr>
  </w:style>
  <w:style w:type="character" w:styleId="CommentReference">
    <w:name w:val="annotation reference"/>
    <w:basedOn w:val="DefaultParagraphFont"/>
    <w:uiPriority w:val="99"/>
    <w:semiHidden/>
    <w:unhideWhenUsed/>
    <w:rsid w:val="00D836F3"/>
    <w:rPr>
      <w:sz w:val="16"/>
      <w:szCs w:val="16"/>
    </w:rPr>
  </w:style>
  <w:style w:type="paragraph" w:styleId="CommentText">
    <w:name w:val="annotation text"/>
    <w:basedOn w:val="Normal"/>
    <w:link w:val="CommentTextChar"/>
    <w:uiPriority w:val="99"/>
    <w:unhideWhenUsed/>
    <w:rsid w:val="00D836F3"/>
    <w:rPr>
      <w:sz w:val="20"/>
    </w:rPr>
  </w:style>
  <w:style w:type="character" w:customStyle="1" w:styleId="CommentTextChar">
    <w:name w:val="Comment Text Char"/>
    <w:basedOn w:val="DefaultParagraphFont"/>
    <w:link w:val="CommentText"/>
    <w:uiPriority w:val="99"/>
    <w:rsid w:val="00D836F3"/>
    <w:rPr>
      <w:rFonts w:ascii="Arial" w:eastAsia="Times New Roman" w:hAnsi="Arial" w:cs="Times New Roman"/>
      <w:sz w:val="20"/>
      <w:szCs w:val="20"/>
      <w:lang w:eastAsia="en-GB"/>
    </w:rPr>
  </w:style>
  <w:style w:type="paragraph" w:customStyle="1" w:styleId="Pa4">
    <w:name w:val="Pa4"/>
    <w:basedOn w:val="Default"/>
    <w:next w:val="Default"/>
    <w:uiPriority w:val="99"/>
    <w:rsid w:val="00D836F3"/>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D836F3"/>
    <w:pPr>
      <w:widowControl w:val="0"/>
      <w:overflowPunct/>
      <w:autoSpaceDE/>
      <w:autoSpaceDN/>
      <w:adjustRightInd/>
      <w:textAlignment w:val="auto"/>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D836F3"/>
    <w:rPr>
      <w:rFonts w:ascii="Tahoma" w:hAnsi="Tahoma" w:cs="Tahoma"/>
      <w:sz w:val="16"/>
      <w:szCs w:val="16"/>
    </w:rPr>
  </w:style>
  <w:style w:type="character" w:customStyle="1" w:styleId="BalloonTextChar">
    <w:name w:val="Balloon Text Char"/>
    <w:basedOn w:val="DefaultParagraphFont"/>
    <w:link w:val="BalloonText"/>
    <w:uiPriority w:val="99"/>
    <w:semiHidden/>
    <w:rsid w:val="00D836F3"/>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9D6705"/>
    <w:rPr>
      <w:b/>
      <w:bCs/>
    </w:rPr>
  </w:style>
  <w:style w:type="character" w:customStyle="1" w:styleId="CommentSubjectChar">
    <w:name w:val="Comment Subject Char"/>
    <w:basedOn w:val="CommentTextChar"/>
    <w:link w:val="CommentSubject"/>
    <w:uiPriority w:val="99"/>
    <w:semiHidden/>
    <w:rsid w:val="009D6705"/>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ellowcard.mhra.gov.uk/" TargetMode="External"/><Relationship Id="rId18" Type="http://schemas.openxmlformats.org/officeDocument/2006/relationships/hyperlink" Target="https://assets.publishing.service.gov.uk/government/uploads/system/uploads/attachment_data/file/712888/Chemical_biological_radiological_and_nuclear_incidents_clinical_management_and_health_protection.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edicines.org.uk/emc/product/3019/smpc" TargetMode="External"/><Relationship Id="rId17" Type="http://schemas.openxmlformats.org/officeDocument/2006/relationships/hyperlink" Target="https://www.gov.uk/government/uploads/system/uploads/attachment_data/file/425072/Documents_of_the_NRPB_Volume_12_Number_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o.int/ionizing_radiation/pub_meet/iodine-thyroid-blocking/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icines.org.uk/emc/product/3019/smpc"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edicines.org.uk/emc/" TargetMode="External"/><Relationship Id="rId23" Type="http://schemas.openxmlformats.org/officeDocument/2006/relationships/header" Target="header3.xml"/><Relationship Id="rId10" Type="http://schemas.openxmlformats.org/officeDocument/2006/relationships/hyperlink" Target="mailto:NSAC@phe.gov.u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gitaltools.phe.org.uk/browse/GW-159" TargetMode="External"/><Relationship Id="rId14" Type="http://schemas.openxmlformats.org/officeDocument/2006/relationships/hyperlink" Target="http://www.nhsggc.org.uk/media/239847/potassium-iodide-2016-lefalet.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CB170-C410-4D96-80C5-A11F8953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1760</Words>
  <Characters>10036</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Lamberty</dc:creator>
  <cp:lastModifiedBy>Judith Field</cp:lastModifiedBy>
  <cp:revision>2</cp:revision>
  <dcterms:created xsi:type="dcterms:W3CDTF">2019-02-18T13:53:00Z</dcterms:created>
  <dcterms:modified xsi:type="dcterms:W3CDTF">2019-02-18T13:53:00Z</dcterms:modified>
</cp:coreProperties>
</file>