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660" w:rsidRDefault="00C15660" w:rsidP="00A611C6">
      <w:bookmarkStart w:id="0" w:name="_MacBuGuideStaticData_10602H"/>
      <w:bookmarkStart w:id="1" w:name="_MacBuGuideStaticData_3130H"/>
      <w:bookmarkStart w:id="2" w:name="_MacBuGuideStaticData_543H"/>
      <w:bookmarkStart w:id="3" w:name="_MacBuGuideStaticData_2275V"/>
      <w:r w:rsidRPr="00EC32FF">
        <w:rPr>
          <w:rFonts w:cs="Arial"/>
          <w:b/>
          <w:i/>
          <w:noProof/>
          <w:sz w:val="32"/>
          <w:szCs w:val="32"/>
          <w:lang w:eastAsia="en-GB"/>
        </w:rPr>
        <w:drawing>
          <wp:anchor distT="0" distB="0" distL="114300" distR="114300" simplePos="0" relativeHeight="251659264" behindDoc="0" locked="0" layoutInCell="1" allowOverlap="1" wp14:anchorId="16527B73" wp14:editId="7556AC30">
            <wp:simplePos x="0" y="0"/>
            <wp:positionH relativeFrom="column">
              <wp:posOffset>-262255</wp:posOffset>
            </wp:positionH>
            <wp:positionV relativeFrom="paragraph">
              <wp:posOffset>937260</wp:posOffset>
            </wp:positionV>
            <wp:extent cx="6538595" cy="5147945"/>
            <wp:effectExtent l="0" t="0" r="0" b="0"/>
            <wp:wrapSquare wrapText="bothSides"/>
            <wp:docPr id="4" name="Picture 4" descr="Cover photo of a healthcare 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 male doctor.jpg"/>
                    <pic:cNvPicPr/>
                  </pic:nvPicPr>
                  <pic:blipFill rotWithShape="1">
                    <a:blip r:embed="rId13">
                      <a:extLst>
                        <a:ext uri="{28A0092B-C50C-407E-A947-70E740481C1C}">
                          <a14:useLocalDpi xmlns:a14="http://schemas.microsoft.com/office/drawing/2010/main" val="0"/>
                        </a:ext>
                      </a:extLst>
                    </a:blip>
                    <a:srcRect r="6534"/>
                    <a:stretch/>
                  </pic:blipFill>
                  <pic:spPr bwMode="auto">
                    <a:xfrm>
                      <a:off x="0" y="0"/>
                      <a:ext cx="6538595" cy="5147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48B0">
        <w:rPr>
          <w:noProof/>
          <w:lang w:eastAsia="en-GB"/>
        </w:rPr>
        <mc:AlternateContent>
          <mc:Choice Requires="wps">
            <w:drawing>
              <wp:anchor distT="0" distB="0" distL="114300" distR="114300" simplePos="0" relativeHeight="251646464" behindDoc="0" locked="0" layoutInCell="1" allowOverlap="1" wp14:anchorId="48E3C980" wp14:editId="65B61BB9">
                <wp:simplePos x="0" y="0"/>
                <wp:positionH relativeFrom="page">
                  <wp:posOffset>485775</wp:posOffset>
                </wp:positionH>
                <wp:positionV relativeFrom="page">
                  <wp:posOffset>7115175</wp:posOffset>
                </wp:positionV>
                <wp:extent cx="6686550" cy="2771775"/>
                <wp:effectExtent l="0" t="0" r="0" b="9525"/>
                <wp:wrapThrough wrapText="bothSides">
                  <wp:wrapPolygon edited="0">
                    <wp:start x="123" y="0"/>
                    <wp:lineTo x="123" y="21526"/>
                    <wp:lineTo x="21415" y="21526"/>
                    <wp:lineTo x="21415" y="0"/>
                    <wp:lineTo x="123"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86550" cy="277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7BE" w:rsidRPr="00757ABA" w:rsidRDefault="006A57BE" w:rsidP="00757ABA">
                            <w:pPr>
                              <w:pStyle w:val="Title"/>
                              <w:rPr>
                                <w:rFonts w:cs="Arial"/>
                                <w:color w:val="0072C6"/>
                                <w:sz w:val="72"/>
                                <w:szCs w:val="72"/>
                              </w:rPr>
                            </w:pPr>
                            <w:r>
                              <w:rPr>
                                <w:rFonts w:cs="Arial"/>
                                <w:color w:val="0072C6"/>
                                <w:sz w:val="72"/>
                                <w:szCs w:val="72"/>
                              </w:rPr>
                              <w:t>NHS Standard Contract 2017</w:t>
                            </w:r>
                            <w:r w:rsidRPr="009A48B0">
                              <w:rPr>
                                <w:rFonts w:cs="Arial"/>
                                <w:color w:val="0072C6"/>
                                <w:sz w:val="72"/>
                                <w:szCs w:val="72"/>
                              </w:rPr>
                              <w:t>/1</w:t>
                            </w:r>
                            <w:r>
                              <w:rPr>
                                <w:rFonts w:cs="Arial"/>
                                <w:color w:val="0072C6"/>
                                <w:sz w:val="72"/>
                                <w:szCs w:val="72"/>
                              </w:rPr>
                              <w:t>8 and 2018/19</w:t>
                            </w:r>
                          </w:p>
                          <w:p w:rsidR="00EB59B6" w:rsidRDefault="00EB59B6" w:rsidP="00A611C6">
                            <w:pPr>
                              <w:pStyle w:val="Title"/>
                              <w:rPr>
                                <w:rFonts w:cs="Arial"/>
                                <w:color w:val="0072C6"/>
                                <w:sz w:val="56"/>
                                <w:szCs w:val="56"/>
                              </w:rPr>
                            </w:pPr>
                          </w:p>
                          <w:p w:rsidR="006A57BE" w:rsidRPr="000206D7" w:rsidRDefault="006A57BE" w:rsidP="00A611C6">
                            <w:pPr>
                              <w:pStyle w:val="Title"/>
                              <w:rPr>
                                <w:rFonts w:cs="Arial"/>
                                <w:b w:val="0"/>
                                <w:color w:val="0072C6"/>
                                <w:sz w:val="56"/>
                                <w:szCs w:val="56"/>
                              </w:rPr>
                            </w:pPr>
                            <w:r>
                              <w:rPr>
                                <w:rFonts w:cs="Arial"/>
                                <w:color w:val="0072C6"/>
                                <w:sz w:val="56"/>
                                <w:szCs w:val="56"/>
                              </w:rPr>
                              <w:t>Template SDIP for Sustainability and Transformation F</w:t>
                            </w:r>
                            <w:r w:rsidRPr="009A48B0">
                              <w:rPr>
                                <w:rFonts w:cs="Arial"/>
                                <w:color w:val="0072C6"/>
                                <w:sz w:val="56"/>
                                <w:szCs w:val="56"/>
                              </w:rPr>
                              <w:t>und</w:t>
                            </w:r>
                            <w:r>
                              <w:rPr>
                                <w:rFonts w:cs="Arial"/>
                                <w:b w:val="0"/>
                                <w:szCs w:val="24"/>
                              </w:rPr>
                              <w:t xml:space="preserve"> </w:t>
                            </w:r>
                            <w:r>
                              <w:rPr>
                                <w:rFonts w:cs="Arial"/>
                                <w:color w:val="0072C6"/>
                                <w:sz w:val="56"/>
                                <w:szCs w:val="56"/>
                              </w:rPr>
                              <w:t>performance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25pt;margin-top:560.25pt;width:526.5pt;height:218.2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" filled="f" stroked="f">
                <v:path arrowok="t"/>
                <v:textbox>
                  <w:txbxContent>
                    <w:p w:rsidR="006A57BE" w:rsidRPr="00757ABA" w:rsidRDefault="006A57BE" w:rsidP="00757ABA">
                      <w:pPr>
                        <w:pStyle w:val="Title"/>
                        <w:rPr>
                          <w:rFonts w:cs="Arial"/>
                          <w:color w:val="0072C6"/>
                          <w:sz w:val="72"/>
                          <w:szCs w:val="72"/>
                        </w:rPr>
                      </w:pPr>
                      <w:r>
                        <w:rPr>
                          <w:rFonts w:cs="Arial"/>
                          <w:color w:val="0072C6"/>
                          <w:sz w:val="72"/>
                          <w:szCs w:val="72"/>
                        </w:rPr>
                        <w:t>NHS Standard Contract 2017</w:t>
                      </w:r>
                      <w:r w:rsidRPr="009A48B0">
                        <w:rPr>
                          <w:rFonts w:cs="Arial"/>
                          <w:color w:val="0072C6"/>
                          <w:sz w:val="72"/>
                          <w:szCs w:val="72"/>
                        </w:rPr>
                        <w:t>/1</w:t>
                      </w:r>
                      <w:r>
                        <w:rPr>
                          <w:rFonts w:cs="Arial"/>
                          <w:color w:val="0072C6"/>
                          <w:sz w:val="72"/>
                          <w:szCs w:val="72"/>
                        </w:rPr>
                        <w:t>8 and 2018/19</w:t>
                      </w:r>
                    </w:p>
                    <w:p w:rsidR="00EB59B6" w:rsidRDefault="00EB59B6" w:rsidP="00A611C6">
                      <w:pPr>
                        <w:pStyle w:val="Title"/>
                        <w:rPr>
                          <w:rFonts w:cs="Arial"/>
                          <w:color w:val="0072C6"/>
                          <w:sz w:val="56"/>
                          <w:szCs w:val="56"/>
                        </w:rPr>
                      </w:pPr>
                    </w:p>
                    <w:p w:rsidR="006A57BE" w:rsidRPr="000206D7" w:rsidRDefault="006A57BE" w:rsidP="00A611C6">
                      <w:pPr>
                        <w:pStyle w:val="Title"/>
                        <w:rPr>
                          <w:rFonts w:cs="Arial"/>
                          <w:b w:val="0"/>
                          <w:color w:val="0072C6"/>
                          <w:sz w:val="56"/>
                          <w:szCs w:val="56"/>
                        </w:rPr>
                      </w:pPr>
                      <w:r>
                        <w:rPr>
                          <w:rFonts w:cs="Arial"/>
                          <w:color w:val="0072C6"/>
                          <w:sz w:val="56"/>
                          <w:szCs w:val="56"/>
                        </w:rPr>
                        <w:t>Template SDIP for Sustainability and Transformation F</w:t>
                      </w:r>
                      <w:r w:rsidRPr="009A48B0">
                        <w:rPr>
                          <w:rFonts w:cs="Arial"/>
                          <w:color w:val="0072C6"/>
                          <w:sz w:val="56"/>
                          <w:szCs w:val="56"/>
                        </w:rPr>
                        <w:t>und</w:t>
                      </w:r>
                      <w:r>
                        <w:rPr>
                          <w:rFonts w:cs="Arial"/>
                          <w:b w:val="0"/>
                          <w:szCs w:val="24"/>
                        </w:rPr>
                        <w:t xml:space="preserve"> </w:t>
                      </w:r>
                      <w:r>
                        <w:rPr>
                          <w:rFonts w:cs="Arial"/>
                          <w:color w:val="0072C6"/>
                          <w:sz w:val="56"/>
                          <w:szCs w:val="56"/>
                        </w:rPr>
                        <w:t>performance</w:t>
                      </w:r>
                    </w:p>
                  </w:txbxContent>
                </v:textbox>
                <w10:wrap type="through" anchorx="page" anchory="page"/>
              </v:shape>
            </w:pict>
          </mc:Fallback>
        </mc:AlternateContent>
      </w:r>
      <w:r w:rsidR="0002174B">
        <w:rPr>
          <w:noProof/>
          <w:lang w:eastAsia="en-GB"/>
        </w:rPr>
        <w:drawing>
          <wp:anchor distT="0" distB="0" distL="114300" distR="114300" simplePos="0" relativeHeight="251648512" behindDoc="0" locked="0" layoutInCell="1" allowOverlap="1" wp14:anchorId="0A688DF3" wp14:editId="681A5EEB">
            <wp:simplePos x="0" y="0"/>
            <wp:positionH relativeFrom="page">
              <wp:posOffset>5895340</wp:posOffset>
            </wp:positionH>
            <wp:positionV relativeFrom="page">
              <wp:posOffset>351790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40" name="Picture 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r w:rsidR="00102A99">
        <w:br w:type="page"/>
      </w:r>
      <w:bookmarkStart w:id="4" w:name="_MacBuGuideStaticData_10810H"/>
      <w:bookmarkStart w:id="5" w:name="_MacBuGuideStaticData_3861H"/>
      <w:bookmarkEnd w:id="0"/>
      <w:bookmarkEnd w:id="1"/>
      <w:bookmarkEnd w:id="2"/>
      <w:bookmarkEnd w:id="3"/>
    </w:p>
    <w:p w:rsidR="00A611C6" w:rsidRDefault="00A611C6" w:rsidP="00A611C6">
      <w:pPr>
        <w:rPr>
          <w:rFonts w:cs="Arial"/>
          <w:b/>
          <w:sz w:val="32"/>
          <w:szCs w:val="32"/>
        </w:rPr>
      </w:pPr>
      <w:r>
        <w:rPr>
          <w:rFonts w:cs="Arial"/>
          <w:b/>
          <w:sz w:val="32"/>
          <w:szCs w:val="32"/>
        </w:rPr>
        <w:t>NHS Standard Contract 201</w:t>
      </w:r>
      <w:r w:rsidR="00757ABA">
        <w:rPr>
          <w:rFonts w:cs="Arial"/>
          <w:b/>
          <w:sz w:val="32"/>
          <w:szCs w:val="32"/>
        </w:rPr>
        <w:t>7</w:t>
      </w:r>
      <w:r>
        <w:rPr>
          <w:rFonts w:cs="Arial"/>
          <w:b/>
          <w:sz w:val="32"/>
          <w:szCs w:val="32"/>
        </w:rPr>
        <w:t>/1</w:t>
      </w:r>
      <w:r w:rsidR="00757ABA">
        <w:rPr>
          <w:rFonts w:cs="Arial"/>
          <w:b/>
          <w:sz w:val="32"/>
          <w:szCs w:val="32"/>
        </w:rPr>
        <w:t>8 and 2018/19</w:t>
      </w:r>
    </w:p>
    <w:p w:rsidR="00A611C6" w:rsidRPr="009A48B0" w:rsidRDefault="00A611C6" w:rsidP="00A611C6">
      <w:pPr>
        <w:rPr>
          <w:rFonts w:cs="Arial"/>
          <w:b/>
          <w:szCs w:val="24"/>
        </w:rPr>
      </w:pPr>
    </w:p>
    <w:p w:rsidR="009A48B0" w:rsidRDefault="00492E53" w:rsidP="009A48B0">
      <w:pPr>
        <w:rPr>
          <w:rFonts w:cs="Arial"/>
          <w:b/>
          <w:szCs w:val="24"/>
        </w:rPr>
      </w:pPr>
      <w:r>
        <w:rPr>
          <w:rFonts w:cs="Arial"/>
          <w:b/>
          <w:szCs w:val="24"/>
        </w:rPr>
        <w:t>Template Service Development and I</w:t>
      </w:r>
      <w:r w:rsidR="007546C2">
        <w:rPr>
          <w:rFonts w:cs="Arial"/>
          <w:b/>
          <w:szCs w:val="24"/>
        </w:rPr>
        <w:t>mprovement P</w:t>
      </w:r>
      <w:r w:rsidR="009A48B0">
        <w:rPr>
          <w:rFonts w:cs="Arial"/>
          <w:b/>
          <w:szCs w:val="24"/>
        </w:rPr>
        <w:t>lan in relation t</w:t>
      </w:r>
      <w:r>
        <w:rPr>
          <w:rFonts w:cs="Arial"/>
          <w:b/>
          <w:szCs w:val="24"/>
        </w:rPr>
        <w:t>o provider performance against Sustainability and Transformation F</w:t>
      </w:r>
      <w:r w:rsidR="009A48B0">
        <w:rPr>
          <w:rFonts w:cs="Arial"/>
          <w:b/>
          <w:szCs w:val="24"/>
        </w:rPr>
        <w:t>und performance trajectories and assurance statements</w:t>
      </w:r>
    </w:p>
    <w:p w:rsidR="009A48B0" w:rsidRDefault="009A48B0" w:rsidP="009A48B0">
      <w:pPr>
        <w:rPr>
          <w:rFonts w:cs="Arial"/>
          <w:b/>
          <w:szCs w:val="24"/>
        </w:rPr>
      </w:pPr>
    </w:p>
    <w:p w:rsidR="00A611C6" w:rsidRDefault="00A611C6" w:rsidP="00A611C6">
      <w:pPr>
        <w:rPr>
          <w:rFonts w:cs="Arial"/>
        </w:rPr>
      </w:pPr>
      <w:r>
        <w:rPr>
          <w:rFonts w:cs="Arial"/>
        </w:rPr>
        <w:t>Version number:</w:t>
      </w:r>
      <w:r>
        <w:rPr>
          <w:rFonts w:cs="Arial"/>
        </w:rPr>
        <w:tab/>
      </w:r>
      <w:r w:rsidR="00757ABA">
        <w:rPr>
          <w:rFonts w:cs="Arial"/>
        </w:rPr>
        <w:tab/>
      </w:r>
      <w:r>
        <w:rPr>
          <w:rFonts w:cs="Arial"/>
        </w:rPr>
        <w:t>1</w:t>
      </w:r>
    </w:p>
    <w:p w:rsidR="00A611C6" w:rsidRDefault="00A611C6" w:rsidP="00A611C6">
      <w:pPr>
        <w:rPr>
          <w:rFonts w:cs="Arial"/>
        </w:rPr>
      </w:pPr>
    </w:p>
    <w:p w:rsidR="00A611C6" w:rsidRDefault="00A611C6" w:rsidP="00A611C6">
      <w:pPr>
        <w:rPr>
          <w:rFonts w:cs="Arial"/>
        </w:rPr>
      </w:pPr>
      <w:r>
        <w:rPr>
          <w:rFonts w:cs="Arial"/>
        </w:rPr>
        <w:t>First published:</w:t>
      </w:r>
      <w:r>
        <w:rPr>
          <w:rFonts w:cs="Arial"/>
        </w:rPr>
        <w:tab/>
      </w:r>
      <w:r w:rsidR="007546C2">
        <w:rPr>
          <w:rFonts w:cs="Arial"/>
        </w:rPr>
        <w:tab/>
        <w:t>November 2016</w:t>
      </w:r>
    </w:p>
    <w:p w:rsidR="00A611C6" w:rsidRDefault="00A611C6" w:rsidP="00A611C6">
      <w:pPr>
        <w:rPr>
          <w:rFonts w:cs="Arial"/>
        </w:rPr>
      </w:pPr>
    </w:p>
    <w:p w:rsidR="00A611C6" w:rsidRDefault="00A611C6" w:rsidP="00A611C6">
      <w:pPr>
        <w:rPr>
          <w:rFonts w:cs="Arial"/>
        </w:rPr>
      </w:pPr>
      <w:r>
        <w:rPr>
          <w:rFonts w:cs="Arial"/>
        </w:rPr>
        <w:t>Updated:</w:t>
      </w:r>
      <w:r>
        <w:rPr>
          <w:rFonts w:cs="Arial"/>
        </w:rPr>
        <w:tab/>
      </w:r>
      <w:r>
        <w:rPr>
          <w:rFonts w:cs="Arial"/>
        </w:rPr>
        <w:tab/>
      </w:r>
      <w:r w:rsidR="00757ABA">
        <w:rPr>
          <w:rFonts w:cs="Arial"/>
        </w:rPr>
        <w:tab/>
      </w:r>
      <w:r>
        <w:rPr>
          <w:rFonts w:cs="Arial"/>
        </w:rPr>
        <w:t>NA</w:t>
      </w:r>
    </w:p>
    <w:p w:rsidR="00A611C6" w:rsidRDefault="00A611C6" w:rsidP="00A611C6">
      <w:pPr>
        <w:rPr>
          <w:rFonts w:cs="Arial"/>
        </w:rPr>
      </w:pPr>
    </w:p>
    <w:p w:rsidR="00A611C6" w:rsidRDefault="00A611C6" w:rsidP="00A611C6">
      <w:pPr>
        <w:rPr>
          <w:rFonts w:cs="Arial"/>
        </w:rPr>
      </w:pPr>
      <w:r>
        <w:rPr>
          <w:rFonts w:cs="Arial"/>
        </w:rPr>
        <w:t>Prepared by:</w:t>
      </w:r>
      <w:r>
        <w:rPr>
          <w:rFonts w:cs="Arial"/>
        </w:rPr>
        <w:tab/>
      </w:r>
      <w:r>
        <w:rPr>
          <w:rFonts w:cs="Arial"/>
        </w:rPr>
        <w:tab/>
      </w:r>
      <w:r w:rsidR="00757ABA">
        <w:rPr>
          <w:rFonts w:cs="Arial"/>
        </w:rPr>
        <w:tab/>
      </w:r>
      <w:r>
        <w:rPr>
          <w:rFonts w:cs="Arial"/>
        </w:rPr>
        <w:t>NHS Standard Contract Team, NHS England</w:t>
      </w:r>
    </w:p>
    <w:p w:rsidR="00A611C6" w:rsidRDefault="00A611C6" w:rsidP="00A611C6"/>
    <w:p w:rsidR="00A611C6" w:rsidRDefault="00A611C6" w:rsidP="00A611C6">
      <w:r>
        <w:t>Document classification:</w:t>
      </w:r>
      <w:r>
        <w:tab/>
        <w:t>Official</w:t>
      </w:r>
    </w:p>
    <w:p w:rsidR="006B1775" w:rsidRDefault="006B1775" w:rsidP="006B1775">
      <w:pPr>
        <w:pStyle w:val="Heading1"/>
        <w:numPr>
          <w:ilvl w:val="0"/>
          <w:numId w:val="0"/>
        </w:numPr>
        <w:sectPr w:rsidR="006B1775" w:rsidSect="001B62FE">
          <w:footerReference w:type="even" r:id="rId15"/>
          <w:footerReference w:type="default" r:id="rId16"/>
          <w:pgSz w:w="11900" w:h="16840"/>
          <w:pgMar w:top="1418" w:right="1418" w:bottom="1418" w:left="1418" w:header="0" w:footer="0" w:gutter="0"/>
          <w:cols w:space="708"/>
          <w:titlePg/>
          <w:docGrid w:linePitch="326"/>
        </w:sectPr>
      </w:pPr>
    </w:p>
    <w:p w:rsidR="006B1775" w:rsidRPr="006B1775" w:rsidRDefault="006B1775" w:rsidP="006B1775">
      <w:pPr>
        <w:rPr>
          <w:rFonts w:eastAsia="Calibri" w:cs="Arial"/>
          <w:bCs w:val="0"/>
          <w:i/>
          <w:sz w:val="20"/>
          <w:szCs w:val="20"/>
        </w:rPr>
      </w:pPr>
      <w:r w:rsidRPr="006B1775">
        <w:rPr>
          <w:rFonts w:eastAsia="Calibri" w:cs="Arial"/>
          <w:bCs w:val="0"/>
          <w:i/>
          <w:sz w:val="20"/>
          <w:szCs w:val="20"/>
        </w:rPr>
        <w:t>[This Service Development and Improvement Plan template should be completed to reflect the final Performance Improvement Trajectories and Assurance Statements relevant to the Provider, as signed off by NHS Improvement and NHS England. It should then be included at Schedule 6D in each NHS Standard Contract which the Provider signs with an NHS Commis</w:t>
      </w:r>
      <w:r w:rsidR="00757ABA">
        <w:rPr>
          <w:rFonts w:eastAsia="Calibri" w:cs="Arial"/>
          <w:bCs w:val="0"/>
          <w:i/>
          <w:sz w:val="20"/>
          <w:szCs w:val="20"/>
        </w:rPr>
        <w:t>sioner or Commissioners for 2017/18</w:t>
      </w:r>
      <w:r w:rsidR="007546C2">
        <w:rPr>
          <w:rFonts w:eastAsia="Calibri" w:cs="Arial"/>
          <w:bCs w:val="0"/>
          <w:i/>
          <w:sz w:val="20"/>
          <w:szCs w:val="20"/>
        </w:rPr>
        <w:t xml:space="preserve"> and 2018/19</w:t>
      </w:r>
      <w:r w:rsidRPr="006B1775">
        <w:rPr>
          <w:rFonts w:eastAsia="Calibri" w:cs="Arial"/>
          <w:bCs w:val="0"/>
          <w:i/>
          <w:sz w:val="20"/>
          <w:szCs w:val="20"/>
        </w:rPr>
        <w:t>.</w:t>
      </w:r>
      <w:r w:rsidR="00492E53">
        <w:rPr>
          <w:rFonts w:eastAsia="Calibri" w:cs="Arial"/>
          <w:bCs w:val="0"/>
          <w:i/>
          <w:sz w:val="20"/>
          <w:szCs w:val="20"/>
        </w:rPr>
        <w:t xml:space="preserve"> Note that both the Trajectories and the Assurance Statements relate to the Provider as a whole, covering its aggregate performance under all of its separate signed contracts and including any non-contract activity.</w:t>
      </w:r>
      <w:r w:rsidRPr="006B1775">
        <w:rPr>
          <w:rFonts w:eastAsia="Calibri" w:cs="Arial"/>
          <w:bCs w:val="0"/>
          <w:i/>
          <w:sz w:val="20"/>
          <w:szCs w:val="20"/>
        </w:rPr>
        <w:t>]</w:t>
      </w:r>
    </w:p>
    <w:p w:rsidR="006B1775" w:rsidRPr="006B1775" w:rsidRDefault="006B1775" w:rsidP="006B1775">
      <w:pPr>
        <w:rPr>
          <w:rFonts w:eastAsia="Calibri" w:cs="Arial"/>
          <w:bCs w:val="0"/>
          <w:sz w:val="20"/>
          <w:szCs w:val="20"/>
        </w:rPr>
      </w:pPr>
    </w:p>
    <w:p w:rsidR="006B1775" w:rsidRPr="006B1775" w:rsidRDefault="006B1775" w:rsidP="006B1775">
      <w:pPr>
        <w:rPr>
          <w:rFonts w:eastAsia="Calibri" w:cs="Arial"/>
          <w:b/>
          <w:bCs w:val="0"/>
          <w:sz w:val="20"/>
          <w:szCs w:val="20"/>
        </w:rPr>
      </w:pPr>
      <w:r w:rsidRPr="006B1775">
        <w:rPr>
          <w:rFonts w:eastAsia="Calibri" w:cs="Arial"/>
          <w:b/>
          <w:bCs w:val="0"/>
          <w:sz w:val="20"/>
          <w:szCs w:val="20"/>
        </w:rPr>
        <w:t>Performance Improvement Trajectories</w:t>
      </w:r>
    </w:p>
    <w:p w:rsidR="006B1775" w:rsidRPr="006B1775" w:rsidRDefault="006B1775" w:rsidP="006B1775">
      <w:pPr>
        <w:rPr>
          <w:rFonts w:eastAsia="Calibri" w:cs="Arial"/>
          <w:bCs w:val="0"/>
          <w:sz w:val="20"/>
          <w:szCs w:val="20"/>
        </w:rPr>
      </w:pPr>
    </w:p>
    <w:p w:rsidR="006B1775" w:rsidRPr="006B1775" w:rsidRDefault="006B1775" w:rsidP="006B1775">
      <w:pPr>
        <w:rPr>
          <w:rFonts w:eastAsia="Calibri" w:cs="Arial"/>
          <w:bCs w:val="0"/>
          <w:sz w:val="20"/>
          <w:szCs w:val="20"/>
        </w:rPr>
      </w:pPr>
      <w:r w:rsidRPr="006B1775">
        <w:rPr>
          <w:rFonts w:eastAsia="Calibri" w:cs="Arial"/>
          <w:bCs w:val="0"/>
          <w:sz w:val="20"/>
          <w:szCs w:val="20"/>
        </w:rPr>
        <w:t xml:space="preserve">The Provider undertakes to achieve specific levels of performance, on a </w:t>
      </w:r>
      <w:r w:rsidR="00757ABA">
        <w:rPr>
          <w:rFonts w:eastAsia="Calibri" w:cs="Arial"/>
          <w:bCs w:val="0"/>
          <w:sz w:val="20"/>
          <w:szCs w:val="20"/>
        </w:rPr>
        <w:t>month-by-month basis during 2017/18</w:t>
      </w:r>
      <w:r w:rsidRPr="006B1775">
        <w:rPr>
          <w:rFonts w:eastAsia="Calibri" w:cs="Arial"/>
          <w:bCs w:val="0"/>
          <w:sz w:val="20"/>
          <w:szCs w:val="20"/>
        </w:rPr>
        <w:t xml:space="preserve">, against </w:t>
      </w:r>
      <w:r w:rsidR="00F531B7">
        <w:rPr>
          <w:rFonts w:eastAsia="Calibri" w:cs="Arial"/>
          <w:bCs w:val="0"/>
          <w:sz w:val="20"/>
          <w:szCs w:val="20"/>
        </w:rPr>
        <w:t xml:space="preserve">the following </w:t>
      </w:r>
      <w:r w:rsidRPr="006B1775">
        <w:rPr>
          <w:rFonts w:eastAsia="Calibri" w:cs="Arial"/>
          <w:bCs w:val="0"/>
          <w:sz w:val="20"/>
          <w:szCs w:val="20"/>
        </w:rPr>
        <w:t>Operational Standards</w:t>
      </w:r>
      <w:r w:rsidR="00F531B7">
        <w:rPr>
          <w:rFonts w:eastAsia="Calibri" w:cs="Arial"/>
          <w:bCs w:val="0"/>
          <w:sz w:val="20"/>
          <w:szCs w:val="20"/>
        </w:rPr>
        <w:t>,</w:t>
      </w:r>
      <w:r w:rsidRPr="006B1775">
        <w:rPr>
          <w:rFonts w:eastAsia="Calibri" w:cs="Arial"/>
          <w:bCs w:val="0"/>
          <w:sz w:val="20"/>
          <w:szCs w:val="20"/>
        </w:rPr>
        <w:t xml:space="preserve"> as set out in the table</w:t>
      </w:r>
      <w:r w:rsidR="002B7772">
        <w:rPr>
          <w:rFonts w:eastAsia="Calibri" w:cs="Arial"/>
          <w:bCs w:val="0"/>
          <w:sz w:val="20"/>
          <w:szCs w:val="20"/>
        </w:rPr>
        <w:t>s</w:t>
      </w:r>
      <w:r w:rsidRPr="006B1775">
        <w:rPr>
          <w:rFonts w:eastAsia="Calibri" w:cs="Arial"/>
          <w:bCs w:val="0"/>
          <w:sz w:val="20"/>
          <w:szCs w:val="20"/>
        </w:rPr>
        <w:t xml:space="preserve"> below.</w:t>
      </w:r>
      <w:r w:rsidR="00DB2251">
        <w:rPr>
          <w:rFonts w:eastAsia="Calibri" w:cs="Arial"/>
          <w:bCs w:val="0"/>
          <w:sz w:val="20"/>
          <w:szCs w:val="20"/>
        </w:rPr>
        <w:t xml:space="preserve"> From April 2018 onwards, the Provider undertakes </w:t>
      </w:r>
      <w:r w:rsidR="00F531B7">
        <w:rPr>
          <w:rFonts w:eastAsia="Calibri" w:cs="Arial"/>
          <w:bCs w:val="0"/>
          <w:sz w:val="20"/>
          <w:szCs w:val="20"/>
        </w:rPr>
        <w:t xml:space="preserve">to achieve these Operational Standards in full on an ongoing monthly basis. </w:t>
      </w:r>
    </w:p>
    <w:p w:rsidR="006B1775" w:rsidRPr="006B1775" w:rsidRDefault="006B1775" w:rsidP="006B1775">
      <w:pPr>
        <w:rPr>
          <w:rFonts w:eastAsia="Calibri" w:cs="Arial"/>
          <w:bCs w:val="0"/>
          <w:sz w:val="20"/>
          <w:szCs w:val="20"/>
        </w:rPr>
      </w:pPr>
    </w:p>
    <w:p w:rsidR="006B1775" w:rsidRPr="006A5511" w:rsidRDefault="00510785" w:rsidP="006B1775">
      <w:pPr>
        <w:rPr>
          <w:rFonts w:eastAsia="Calibri" w:cs="Arial"/>
          <w:bCs w:val="0"/>
          <w:i/>
          <w:sz w:val="20"/>
          <w:szCs w:val="20"/>
        </w:rPr>
      </w:pPr>
      <w:r w:rsidRPr="006A5511">
        <w:rPr>
          <w:rFonts w:eastAsia="Calibri" w:cs="Arial"/>
          <w:bCs w:val="0"/>
          <w:i/>
          <w:sz w:val="20"/>
          <w:szCs w:val="20"/>
        </w:rPr>
        <w:t>[Delete where not relevant to the Services provided by the Provider</w:t>
      </w:r>
      <w:r w:rsidR="006B1775" w:rsidRPr="006A5511">
        <w:rPr>
          <w:rFonts w:eastAsia="Calibri" w:cs="Arial"/>
          <w:bCs w:val="0"/>
          <w:i/>
          <w:sz w:val="20"/>
          <w:szCs w:val="20"/>
        </w:rPr>
        <w:t>]</w:t>
      </w:r>
    </w:p>
    <w:p w:rsidR="006B1775" w:rsidRDefault="006B1775" w:rsidP="006B1775">
      <w:pPr>
        <w:rPr>
          <w:rFonts w:eastAsia="Calibri" w:cs="Arial"/>
          <w:bCs w:val="0"/>
          <w:sz w:val="20"/>
          <w:szCs w:val="20"/>
        </w:rPr>
      </w:pPr>
    </w:p>
    <w:p w:rsidR="00492E53" w:rsidRPr="002B7772" w:rsidRDefault="00492E53" w:rsidP="006B1775">
      <w:pPr>
        <w:rPr>
          <w:rFonts w:eastAsia="Calibri" w:cs="Arial"/>
          <w:bCs w:val="0"/>
          <w:sz w:val="20"/>
          <w:szCs w:val="20"/>
        </w:rPr>
      </w:pPr>
      <w:r w:rsidRPr="002B7772">
        <w:rPr>
          <w:rFonts w:eastAsia="MS Mincho" w:cs="Arial"/>
          <w:bCs w:val="0"/>
          <w:i/>
          <w:sz w:val="20"/>
          <w:szCs w:val="20"/>
          <w:lang w:val="en-US" w:eastAsia="ja-JP"/>
        </w:rPr>
        <w:t>E.B.3</w:t>
      </w:r>
      <w:r w:rsidRPr="002B7772">
        <w:rPr>
          <w:rFonts w:eastAsia="MS Mincho" w:cs="Arial"/>
          <w:bCs w:val="0"/>
          <w:i/>
          <w:sz w:val="20"/>
          <w:szCs w:val="20"/>
          <w:lang w:val="en-US" w:eastAsia="ja-JP"/>
        </w:rPr>
        <w:tab/>
      </w:r>
      <w:r w:rsidR="002B7772">
        <w:rPr>
          <w:rFonts w:eastAsia="MS Mincho" w:cs="Arial"/>
          <w:bCs w:val="0"/>
          <w:i/>
          <w:sz w:val="20"/>
          <w:szCs w:val="20"/>
          <w:lang w:val="en-US" w:eastAsia="ja-JP"/>
        </w:rPr>
        <w:tab/>
      </w:r>
      <w:r w:rsidRPr="002B7772">
        <w:rPr>
          <w:rFonts w:eastAsia="Calibri" w:cs="Arial"/>
          <w:bCs w:val="0"/>
          <w:sz w:val="20"/>
          <w:szCs w:val="20"/>
        </w:rPr>
        <w:t>Percentage of Service Users on incomplete RTT pathways (yet to start treatment) waiting no more than 18 weeks from Referral</w:t>
      </w:r>
    </w:p>
    <w:p w:rsidR="00492E53" w:rsidRDefault="00492E53" w:rsidP="006B1775">
      <w:pPr>
        <w:rPr>
          <w:rFonts w:eastAsia="Calibri" w:cs="Arial"/>
          <w:bCs w:val="0"/>
          <w:sz w:val="20"/>
          <w:szCs w:val="20"/>
        </w:rPr>
      </w:pPr>
    </w:p>
    <w:tbl>
      <w:tblPr>
        <w:tblW w:w="12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B National Quality Requirements"/>
      </w:tblPr>
      <w:tblGrid>
        <w:gridCol w:w="2693"/>
        <w:gridCol w:w="850"/>
        <w:gridCol w:w="850"/>
        <w:gridCol w:w="850"/>
        <w:gridCol w:w="850"/>
        <w:gridCol w:w="850"/>
        <w:gridCol w:w="850"/>
        <w:gridCol w:w="850"/>
        <w:gridCol w:w="850"/>
        <w:gridCol w:w="850"/>
        <w:gridCol w:w="850"/>
        <w:gridCol w:w="850"/>
        <w:gridCol w:w="850"/>
      </w:tblGrid>
      <w:tr w:rsidR="00492E53" w:rsidRPr="00492E53" w:rsidTr="00492E53">
        <w:tc>
          <w:tcPr>
            <w:tcW w:w="2693"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Standard</w:t>
            </w:r>
          </w:p>
        </w:tc>
        <w:tc>
          <w:tcPr>
            <w:tcW w:w="850" w:type="dxa"/>
          </w:tcPr>
          <w:p w:rsidR="00492E53" w:rsidRPr="00492E53" w:rsidRDefault="00492E53" w:rsidP="006C540A">
            <w:pPr>
              <w:spacing w:before="40" w:after="40"/>
              <w:jc w:val="center"/>
              <w:rPr>
                <w:rFonts w:eastAsia="MS Mincho" w:cs="Arial"/>
                <w:bCs w:val="0"/>
                <w:sz w:val="20"/>
                <w:szCs w:val="20"/>
                <w:lang w:val="en-US" w:eastAsia="ja-JP"/>
              </w:rPr>
            </w:pPr>
            <w:r w:rsidRPr="00492E53">
              <w:rPr>
                <w:rFonts w:eastAsia="MS Mincho" w:cs="Arial"/>
                <w:bCs w:val="0"/>
                <w:sz w:val="20"/>
                <w:szCs w:val="20"/>
                <w:lang w:val="en-US" w:eastAsia="ja-JP"/>
              </w:rPr>
              <w:t>April</w:t>
            </w:r>
          </w:p>
        </w:tc>
        <w:tc>
          <w:tcPr>
            <w:tcW w:w="850" w:type="dxa"/>
          </w:tcPr>
          <w:p w:rsidR="00492E53" w:rsidRPr="00492E53" w:rsidRDefault="00492E53" w:rsidP="006C540A">
            <w:pPr>
              <w:spacing w:before="40" w:after="40"/>
              <w:jc w:val="center"/>
              <w:rPr>
                <w:rFonts w:eastAsia="MS Mincho" w:cs="Arial"/>
                <w:bCs w:val="0"/>
                <w:sz w:val="20"/>
                <w:szCs w:val="20"/>
                <w:lang w:val="en-US" w:eastAsia="ja-JP"/>
              </w:rPr>
            </w:pPr>
            <w:r w:rsidRPr="00492E53">
              <w:rPr>
                <w:rFonts w:eastAsia="MS Mincho" w:cs="Arial"/>
                <w:bCs w:val="0"/>
                <w:sz w:val="20"/>
                <w:szCs w:val="20"/>
                <w:lang w:val="en-US" w:eastAsia="ja-JP"/>
              </w:rPr>
              <w:t>May</w:t>
            </w:r>
          </w:p>
        </w:tc>
        <w:tc>
          <w:tcPr>
            <w:tcW w:w="850" w:type="dxa"/>
          </w:tcPr>
          <w:p w:rsidR="00492E53" w:rsidRPr="00492E53" w:rsidRDefault="00492E53" w:rsidP="006C540A">
            <w:pPr>
              <w:spacing w:before="40" w:after="40"/>
              <w:jc w:val="center"/>
              <w:rPr>
                <w:rFonts w:eastAsia="MS Mincho" w:cs="Arial"/>
                <w:bCs w:val="0"/>
                <w:sz w:val="20"/>
                <w:szCs w:val="20"/>
                <w:lang w:val="en-US" w:eastAsia="ja-JP"/>
              </w:rPr>
            </w:pPr>
            <w:r w:rsidRPr="00492E53">
              <w:rPr>
                <w:rFonts w:eastAsia="MS Mincho" w:cs="Arial"/>
                <w:bCs w:val="0"/>
                <w:sz w:val="20"/>
                <w:szCs w:val="20"/>
                <w:lang w:val="en-US" w:eastAsia="ja-JP"/>
              </w:rPr>
              <w:t>June</w:t>
            </w:r>
          </w:p>
        </w:tc>
        <w:tc>
          <w:tcPr>
            <w:tcW w:w="850" w:type="dxa"/>
          </w:tcPr>
          <w:p w:rsidR="00492E53" w:rsidRPr="00492E53" w:rsidRDefault="00492E53" w:rsidP="006C540A">
            <w:pPr>
              <w:spacing w:before="40" w:after="40"/>
              <w:jc w:val="center"/>
              <w:rPr>
                <w:rFonts w:eastAsia="MS Mincho" w:cs="Arial"/>
                <w:bCs w:val="0"/>
                <w:sz w:val="20"/>
                <w:szCs w:val="20"/>
                <w:lang w:val="en-US" w:eastAsia="ja-JP"/>
              </w:rPr>
            </w:pPr>
            <w:r w:rsidRPr="00492E53">
              <w:rPr>
                <w:rFonts w:eastAsia="MS Mincho" w:cs="Arial"/>
                <w:bCs w:val="0"/>
                <w:sz w:val="20"/>
                <w:szCs w:val="20"/>
                <w:lang w:val="en-US" w:eastAsia="ja-JP"/>
              </w:rPr>
              <w:t>July</w:t>
            </w:r>
          </w:p>
        </w:tc>
        <w:tc>
          <w:tcPr>
            <w:tcW w:w="850" w:type="dxa"/>
          </w:tcPr>
          <w:p w:rsidR="00492E53" w:rsidRPr="00492E53" w:rsidRDefault="00492E53" w:rsidP="006C540A">
            <w:pPr>
              <w:spacing w:before="40" w:after="40"/>
              <w:jc w:val="center"/>
              <w:rPr>
                <w:rFonts w:eastAsia="MS Mincho" w:cs="Arial"/>
                <w:bCs w:val="0"/>
                <w:sz w:val="20"/>
                <w:szCs w:val="20"/>
                <w:lang w:val="en-US" w:eastAsia="ja-JP"/>
              </w:rPr>
            </w:pPr>
            <w:r w:rsidRPr="00492E53">
              <w:rPr>
                <w:rFonts w:eastAsia="MS Mincho" w:cs="Arial"/>
                <w:bCs w:val="0"/>
                <w:sz w:val="20"/>
                <w:szCs w:val="20"/>
                <w:lang w:val="en-US" w:eastAsia="ja-JP"/>
              </w:rPr>
              <w:t>August</w:t>
            </w:r>
          </w:p>
        </w:tc>
        <w:tc>
          <w:tcPr>
            <w:tcW w:w="850" w:type="dxa"/>
          </w:tcPr>
          <w:p w:rsidR="00492E53" w:rsidRPr="00492E53" w:rsidRDefault="00492E53" w:rsidP="006C540A">
            <w:pPr>
              <w:spacing w:before="40" w:after="40"/>
              <w:jc w:val="center"/>
              <w:rPr>
                <w:rFonts w:eastAsia="MS Mincho" w:cs="Arial"/>
                <w:bCs w:val="0"/>
                <w:sz w:val="20"/>
                <w:szCs w:val="20"/>
                <w:lang w:val="en-US" w:eastAsia="ja-JP"/>
              </w:rPr>
            </w:pPr>
            <w:r w:rsidRPr="00492E53">
              <w:rPr>
                <w:rFonts w:eastAsia="MS Mincho" w:cs="Arial"/>
                <w:bCs w:val="0"/>
                <w:sz w:val="20"/>
                <w:szCs w:val="20"/>
                <w:lang w:val="en-US" w:eastAsia="ja-JP"/>
              </w:rPr>
              <w:t>Sept</w:t>
            </w:r>
          </w:p>
        </w:tc>
        <w:tc>
          <w:tcPr>
            <w:tcW w:w="850" w:type="dxa"/>
          </w:tcPr>
          <w:p w:rsidR="00492E53" w:rsidRPr="00492E53" w:rsidRDefault="00492E53" w:rsidP="006C540A">
            <w:pPr>
              <w:spacing w:before="40" w:after="40"/>
              <w:jc w:val="center"/>
              <w:rPr>
                <w:rFonts w:eastAsia="MS Mincho" w:cs="Arial"/>
                <w:bCs w:val="0"/>
                <w:sz w:val="20"/>
                <w:szCs w:val="20"/>
                <w:lang w:val="en-US" w:eastAsia="ja-JP"/>
              </w:rPr>
            </w:pPr>
            <w:r w:rsidRPr="00492E53">
              <w:rPr>
                <w:rFonts w:eastAsia="MS Mincho" w:cs="Arial"/>
                <w:bCs w:val="0"/>
                <w:sz w:val="20"/>
                <w:szCs w:val="20"/>
                <w:lang w:val="en-US" w:eastAsia="ja-JP"/>
              </w:rPr>
              <w:t>Oct</w:t>
            </w:r>
          </w:p>
        </w:tc>
        <w:tc>
          <w:tcPr>
            <w:tcW w:w="850" w:type="dxa"/>
          </w:tcPr>
          <w:p w:rsidR="00492E53" w:rsidRPr="00492E53" w:rsidRDefault="00492E53" w:rsidP="006C540A">
            <w:pPr>
              <w:spacing w:before="40" w:after="40"/>
              <w:jc w:val="center"/>
              <w:rPr>
                <w:rFonts w:eastAsia="MS Mincho" w:cs="Arial"/>
                <w:bCs w:val="0"/>
                <w:sz w:val="20"/>
                <w:szCs w:val="20"/>
                <w:lang w:val="en-US" w:eastAsia="ja-JP"/>
              </w:rPr>
            </w:pPr>
            <w:r w:rsidRPr="00492E53">
              <w:rPr>
                <w:rFonts w:eastAsia="MS Mincho" w:cs="Arial"/>
                <w:bCs w:val="0"/>
                <w:sz w:val="20"/>
                <w:szCs w:val="20"/>
                <w:lang w:val="en-US" w:eastAsia="ja-JP"/>
              </w:rPr>
              <w:t>Nov</w:t>
            </w:r>
          </w:p>
        </w:tc>
        <w:tc>
          <w:tcPr>
            <w:tcW w:w="850" w:type="dxa"/>
          </w:tcPr>
          <w:p w:rsidR="00492E53" w:rsidRPr="00492E53" w:rsidRDefault="00492E53" w:rsidP="006C540A">
            <w:pPr>
              <w:spacing w:before="40" w:after="40"/>
              <w:jc w:val="center"/>
              <w:rPr>
                <w:rFonts w:eastAsia="MS Mincho" w:cs="Arial"/>
                <w:bCs w:val="0"/>
                <w:sz w:val="20"/>
                <w:szCs w:val="20"/>
                <w:lang w:val="en-US" w:eastAsia="ja-JP"/>
              </w:rPr>
            </w:pPr>
            <w:r w:rsidRPr="00492E53">
              <w:rPr>
                <w:rFonts w:eastAsia="MS Mincho" w:cs="Arial"/>
                <w:bCs w:val="0"/>
                <w:sz w:val="20"/>
                <w:szCs w:val="20"/>
                <w:lang w:val="en-US" w:eastAsia="ja-JP"/>
              </w:rPr>
              <w:t>Dec</w:t>
            </w:r>
          </w:p>
        </w:tc>
        <w:tc>
          <w:tcPr>
            <w:tcW w:w="850" w:type="dxa"/>
          </w:tcPr>
          <w:p w:rsidR="00492E53" w:rsidRPr="00492E53" w:rsidRDefault="00492E53" w:rsidP="006C540A">
            <w:pPr>
              <w:spacing w:before="40" w:after="40"/>
              <w:jc w:val="center"/>
              <w:rPr>
                <w:rFonts w:eastAsia="MS Mincho" w:cs="Arial"/>
                <w:bCs w:val="0"/>
                <w:sz w:val="20"/>
                <w:szCs w:val="20"/>
                <w:lang w:val="en-US" w:eastAsia="ja-JP"/>
              </w:rPr>
            </w:pPr>
            <w:r w:rsidRPr="00492E53">
              <w:rPr>
                <w:rFonts w:eastAsia="MS Mincho" w:cs="Arial"/>
                <w:bCs w:val="0"/>
                <w:sz w:val="20"/>
                <w:szCs w:val="20"/>
                <w:lang w:val="en-US" w:eastAsia="ja-JP"/>
              </w:rPr>
              <w:t>Jan</w:t>
            </w:r>
          </w:p>
        </w:tc>
        <w:tc>
          <w:tcPr>
            <w:tcW w:w="850" w:type="dxa"/>
          </w:tcPr>
          <w:p w:rsidR="00492E53" w:rsidRPr="00492E53" w:rsidRDefault="00492E53" w:rsidP="006C540A">
            <w:pPr>
              <w:spacing w:before="40" w:after="40"/>
              <w:jc w:val="center"/>
              <w:rPr>
                <w:rFonts w:eastAsia="MS Mincho" w:cs="Arial"/>
                <w:bCs w:val="0"/>
                <w:sz w:val="20"/>
                <w:szCs w:val="20"/>
                <w:lang w:val="en-US" w:eastAsia="ja-JP"/>
              </w:rPr>
            </w:pPr>
            <w:r w:rsidRPr="00492E53">
              <w:rPr>
                <w:rFonts w:eastAsia="MS Mincho" w:cs="Arial"/>
                <w:bCs w:val="0"/>
                <w:sz w:val="20"/>
                <w:szCs w:val="20"/>
                <w:lang w:val="en-US" w:eastAsia="ja-JP"/>
              </w:rPr>
              <w:t>Feb</w:t>
            </w:r>
          </w:p>
        </w:tc>
        <w:tc>
          <w:tcPr>
            <w:tcW w:w="850" w:type="dxa"/>
          </w:tcPr>
          <w:p w:rsidR="00492E53" w:rsidRPr="00492E53" w:rsidRDefault="00492E53" w:rsidP="006C540A">
            <w:pPr>
              <w:spacing w:before="40" w:after="40"/>
              <w:jc w:val="center"/>
              <w:rPr>
                <w:rFonts w:eastAsia="MS Mincho" w:cs="Arial"/>
                <w:bCs w:val="0"/>
                <w:sz w:val="20"/>
                <w:szCs w:val="20"/>
                <w:lang w:val="en-US" w:eastAsia="ja-JP"/>
              </w:rPr>
            </w:pPr>
            <w:r w:rsidRPr="00492E53">
              <w:rPr>
                <w:rFonts w:eastAsia="MS Mincho" w:cs="Arial"/>
                <w:bCs w:val="0"/>
                <w:sz w:val="20"/>
                <w:szCs w:val="20"/>
                <w:lang w:val="en-US" w:eastAsia="ja-JP"/>
              </w:rPr>
              <w:t>March</w:t>
            </w:r>
          </w:p>
        </w:tc>
      </w:tr>
      <w:tr w:rsidR="00492E53" w:rsidRPr="00492E53" w:rsidTr="00492E53">
        <w:tc>
          <w:tcPr>
            <w:tcW w:w="2693" w:type="dxa"/>
          </w:tcPr>
          <w:p w:rsidR="00492E53" w:rsidRPr="00492E53" w:rsidRDefault="00492E53" w:rsidP="006C540A">
            <w:pPr>
              <w:spacing w:before="40" w:after="40"/>
              <w:rPr>
                <w:rFonts w:eastAsia="MS Mincho" w:cs="Arial"/>
                <w:sz w:val="20"/>
                <w:szCs w:val="20"/>
                <w:lang w:val="en-US" w:eastAsia="ja-JP"/>
              </w:rPr>
            </w:pPr>
            <w:r w:rsidRPr="00492E53">
              <w:rPr>
                <w:rFonts w:eastAsia="MS Mincho" w:cs="Arial"/>
                <w:sz w:val="20"/>
                <w:szCs w:val="20"/>
                <w:lang w:val="en-US" w:eastAsia="ja-JP"/>
              </w:rPr>
              <w:t>Numerator</w:t>
            </w:r>
          </w:p>
        </w:tc>
        <w:tc>
          <w:tcPr>
            <w:tcW w:w="850" w:type="dxa"/>
          </w:tcPr>
          <w:p w:rsidR="00492E53" w:rsidRPr="00492E53" w:rsidRDefault="00492E53" w:rsidP="006C540A">
            <w:pPr>
              <w:spacing w:before="40" w:after="40"/>
              <w:jc w:val="center"/>
              <w:rPr>
                <w:rFonts w:eastAsia="MS Mincho" w:cs="Arial"/>
                <w:bCs w:val="0"/>
                <w:sz w:val="20"/>
                <w:szCs w:val="20"/>
                <w:lang w:val="en-US" w:eastAsia="ja-JP"/>
              </w:rPr>
            </w:pPr>
          </w:p>
        </w:tc>
        <w:tc>
          <w:tcPr>
            <w:tcW w:w="850" w:type="dxa"/>
          </w:tcPr>
          <w:p w:rsidR="00492E53" w:rsidRPr="00492E53" w:rsidRDefault="00492E53" w:rsidP="006C540A">
            <w:pPr>
              <w:spacing w:before="40" w:after="40"/>
              <w:jc w:val="center"/>
              <w:rPr>
                <w:rFonts w:eastAsia="MS Mincho" w:cs="Arial"/>
                <w:bCs w:val="0"/>
                <w:sz w:val="20"/>
                <w:szCs w:val="20"/>
                <w:lang w:val="en-US" w:eastAsia="ja-JP"/>
              </w:rPr>
            </w:pPr>
          </w:p>
        </w:tc>
        <w:tc>
          <w:tcPr>
            <w:tcW w:w="850" w:type="dxa"/>
          </w:tcPr>
          <w:p w:rsidR="00492E53" w:rsidRPr="00492E53" w:rsidRDefault="00492E53" w:rsidP="006C540A">
            <w:pPr>
              <w:spacing w:before="40" w:after="40"/>
              <w:jc w:val="center"/>
              <w:rPr>
                <w:rFonts w:eastAsia="MS Mincho" w:cs="Arial"/>
                <w:bCs w:val="0"/>
                <w:sz w:val="20"/>
                <w:szCs w:val="20"/>
                <w:lang w:val="en-US" w:eastAsia="ja-JP"/>
              </w:rPr>
            </w:pPr>
          </w:p>
        </w:tc>
        <w:tc>
          <w:tcPr>
            <w:tcW w:w="850" w:type="dxa"/>
          </w:tcPr>
          <w:p w:rsidR="00492E53" w:rsidRPr="00492E53" w:rsidRDefault="00492E53" w:rsidP="006C540A">
            <w:pPr>
              <w:spacing w:before="40" w:after="40"/>
              <w:jc w:val="center"/>
              <w:rPr>
                <w:rFonts w:eastAsia="MS Mincho" w:cs="Arial"/>
                <w:bCs w:val="0"/>
                <w:sz w:val="20"/>
                <w:szCs w:val="20"/>
                <w:lang w:val="en-US" w:eastAsia="ja-JP"/>
              </w:rPr>
            </w:pPr>
          </w:p>
        </w:tc>
        <w:tc>
          <w:tcPr>
            <w:tcW w:w="850" w:type="dxa"/>
          </w:tcPr>
          <w:p w:rsidR="00492E53" w:rsidRPr="00492E53" w:rsidRDefault="00492E53" w:rsidP="006C540A">
            <w:pPr>
              <w:spacing w:before="40" w:after="40"/>
              <w:jc w:val="center"/>
              <w:rPr>
                <w:rFonts w:eastAsia="MS Mincho" w:cs="Arial"/>
                <w:bCs w:val="0"/>
                <w:sz w:val="20"/>
                <w:szCs w:val="20"/>
                <w:lang w:val="en-US" w:eastAsia="ja-JP"/>
              </w:rPr>
            </w:pPr>
          </w:p>
        </w:tc>
        <w:tc>
          <w:tcPr>
            <w:tcW w:w="850" w:type="dxa"/>
          </w:tcPr>
          <w:p w:rsidR="00492E53" w:rsidRPr="00492E53" w:rsidRDefault="00492E53" w:rsidP="006C540A">
            <w:pPr>
              <w:spacing w:before="40" w:after="40"/>
              <w:jc w:val="center"/>
              <w:rPr>
                <w:rFonts w:eastAsia="MS Mincho" w:cs="Arial"/>
                <w:bCs w:val="0"/>
                <w:sz w:val="20"/>
                <w:szCs w:val="20"/>
                <w:lang w:val="en-US" w:eastAsia="ja-JP"/>
              </w:rPr>
            </w:pPr>
          </w:p>
        </w:tc>
        <w:tc>
          <w:tcPr>
            <w:tcW w:w="850" w:type="dxa"/>
          </w:tcPr>
          <w:p w:rsidR="00492E53" w:rsidRPr="00492E53" w:rsidRDefault="00492E53" w:rsidP="006C540A">
            <w:pPr>
              <w:spacing w:before="40" w:after="40"/>
              <w:jc w:val="center"/>
              <w:rPr>
                <w:rFonts w:eastAsia="MS Mincho" w:cs="Arial"/>
                <w:bCs w:val="0"/>
                <w:sz w:val="20"/>
                <w:szCs w:val="20"/>
                <w:lang w:val="en-US" w:eastAsia="ja-JP"/>
              </w:rPr>
            </w:pPr>
          </w:p>
        </w:tc>
        <w:tc>
          <w:tcPr>
            <w:tcW w:w="850" w:type="dxa"/>
          </w:tcPr>
          <w:p w:rsidR="00492E53" w:rsidRPr="00492E53" w:rsidRDefault="00492E53" w:rsidP="006C540A">
            <w:pPr>
              <w:spacing w:before="40" w:after="40"/>
              <w:jc w:val="center"/>
              <w:rPr>
                <w:rFonts w:eastAsia="MS Mincho" w:cs="Arial"/>
                <w:bCs w:val="0"/>
                <w:sz w:val="20"/>
                <w:szCs w:val="20"/>
                <w:lang w:val="en-US" w:eastAsia="ja-JP"/>
              </w:rPr>
            </w:pPr>
          </w:p>
        </w:tc>
        <w:tc>
          <w:tcPr>
            <w:tcW w:w="850" w:type="dxa"/>
          </w:tcPr>
          <w:p w:rsidR="00492E53" w:rsidRPr="00492E53" w:rsidRDefault="00492E53" w:rsidP="006C540A">
            <w:pPr>
              <w:spacing w:before="40" w:after="40"/>
              <w:jc w:val="center"/>
              <w:rPr>
                <w:rFonts w:eastAsia="MS Mincho" w:cs="Arial"/>
                <w:bCs w:val="0"/>
                <w:sz w:val="20"/>
                <w:szCs w:val="20"/>
                <w:lang w:val="en-US" w:eastAsia="ja-JP"/>
              </w:rPr>
            </w:pPr>
          </w:p>
        </w:tc>
        <w:tc>
          <w:tcPr>
            <w:tcW w:w="850" w:type="dxa"/>
          </w:tcPr>
          <w:p w:rsidR="00492E53" w:rsidRPr="00492E53" w:rsidRDefault="00492E53" w:rsidP="006C540A">
            <w:pPr>
              <w:spacing w:before="40" w:after="40"/>
              <w:jc w:val="center"/>
              <w:rPr>
                <w:rFonts w:eastAsia="MS Mincho" w:cs="Arial"/>
                <w:bCs w:val="0"/>
                <w:sz w:val="20"/>
                <w:szCs w:val="20"/>
                <w:lang w:val="en-US" w:eastAsia="ja-JP"/>
              </w:rPr>
            </w:pPr>
          </w:p>
        </w:tc>
        <w:tc>
          <w:tcPr>
            <w:tcW w:w="850" w:type="dxa"/>
          </w:tcPr>
          <w:p w:rsidR="00492E53" w:rsidRPr="00492E53" w:rsidRDefault="00492E53" w:rsidP="006C540A">
            <w:pPr>
              <w:spacing w:before="40" w:after="40"/>
              <w:jc w:val="center"/>
              <w:rPr>
                <w:rFonts w:eastAsia="MS Mincho" w:cs="Arial"/>
                <w:bCs w:val="0"/>
                <w:sz w:val="20"/>
                <w:szCs w:val="20"/>
                <w:lang w:val="en-US" w:eastAsia="ja-JP"/>
              </w:rPr>
            </w:pPr>
          </w:p>
        </w:tc>
        <w:tc>
          <w:tcPr>
            <w:tcW w:w="850" w:type="dxa"/>
          </w:tcPr>
          <w:p w:rsidR="00492E53" w:rsidRPr="00492E53" w:rsidRDefault="00492E53" w:rsidP="006C540A">
            <w:pPr>
              <w:spacing w:before="40" w:after="40"/>
              <w:jc w:val="center"/>
              <w:rPr>
                <w:rFonts w:eastAsia="MS Mincho" w:cs="Arial"/>
                <w:bCs w:val="0"/>
                <w:sz w:val="20"/>
                <w:szCs w:val="20"/>
                <w:lang w:val="en-US" w:eastAsia="ja-JP"/>
              </w:rPr>
            </w:pPr>
          </w:p>
        </w:tc>
      </w:tr>
      <w:tr w:rsidR="00492E53" w:rsidRPr="00492E53" w:rsidTr="00492E53">
        <w:tc>
          <w:tcPr>
            <w:tcW w:w="2693"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Denominator</w:t>
            </w: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r>
      <w:tr w:rsidR="00492E53" w:rsidRPr="00492E53" w:rsidTr="00492E53">
        <w:tc>
          <w:tcPr>
            <w:tcW w:w="2693"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 performance</w:t>
            </w: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r>
    </w:tbl>
    <w:p w:rsidR="00492E53" w:rsidRDefault="00492E53" w:rsidP="006B1775">
      <w:pPr>
        <w:rPr>
          <w:rFonts w:eastAsia="Calibri" w:cs="Arial"/>
          <w:bCs w:val="0"/>
          <w:sz w:val="20"/>
          <w:szCs w:val="20"/>
        </w:rPr>
      </w:pPr>
    </w:p>
    <w:p w:rsidR="00492E53" w:rsidRPr="002B7772" w:rsidRDefault="00492E53" w:rsidP="006B1775">
      <w:pPr>
        <w:rPr>
          <w:rFonts w:eastAsia="MS Mincho" w:cs="Arial"/>
          <w:bCs w:val="0"/>
          <w:sz w:val="20"/>
          <w:szCs w:val="20"/>
          <w:lang w:val="en-US" w:eastAsia="ja-JP"/>
        </w:rPr>
      </w:pPr>
      <w:r w:rsidRPr="002B7772">
        <w:rPr>
          <w:rFonts w:eastAsia="MS Mincho" w:cs="Arial"/>
          <w:bCs w:val="0"/>
          <w:sz w:val="20"/>
          <w:szCs w:val="20"/>
          <w:lang w:val="en-US" w:eastAsia="ja-JP"/>
        </w:rPr>
        <w:t xml:space="preserve">E.B.5 </w:t>
      </w:r>
      <w:r w:rsidR="002B7772" w:rsidRPr="002B7772">
        <w:rPr>
          <w:rFonts w:eastAsia="MS Mincho" w:cs="Arial"/>
          <w:bCs w:val="0"/>
          <w:sz w:val="20"/>
          <w:szCs w:val="20"/>
          <w:lang w:val="en-US" w:eastAsia="ja-JP"/>
        </w:rPr>
        <w:tab/>
      </w:r>
      <w:r w:rsidRPr="002B7772">
        <w:rPr>
          <w:rFonts w:eastAsia="MS Mincho" w:cs="Arial"/>
          <w:bCs w:val="0"/>
          <w:sz w:val="20"/>
          <w:szCs w:val="20"/>
          <w:lang w:val="en-US" w:eastAsia="ja-JP"/>
        </w:rPr>
        <w:t>Percentage of A &amp; E attendances where the Service User was admitted, transferred or discharged within 4 hours of their arrival at an A&amp;E department</w:t>
      </w:r>
    </w:p>
    <w:p w:rsidR="00492E53" w:rsidRDefault="00492E53" w:rsidP="006B1775">
      <w:pPr>
        <w:rPr>
          <w:rFonts w:eastAsia="MS Mincho" w:cs="Arial"/>
          <w:bCs w:val="0"/>
          <w:i/>
          <w:sz w:val="20"/>
          <w:szCs w:val="20"/>
          <w:lang w:val="en-US" w:eastAsia="ja-JP"/>
        </w:rPr>
      </w:pPr>
    </w:p>
    <w:tbl>
      <w:tblPr>
        <w:tblW w:w="12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B National Quality Requirements"/>
      </w:tblPr>
      <w:tblGrid>
        <w:gridCol w:w="2693"/>
        <w:gridCol w:w="850"/>
        <w:gridCol w:w="850"/>
        <w:gridCol w:w="850"/>
        <w:gridCol w:w="850"/>
        <w:gridCol w:w="850"/>
        <w:gridCol w:w="850"/>
        <w:gridCol w:w="850"/>
        <w:gridCol w:w="850"/>
        <w:gridCol w:w="850"/>
        <w:gridCol w:w="850"/>
        <w:gridCol w:w="850"/>
        <w:gridCol w:w="850"/>
      </w:tblGrid>
      <w:tr w:rsidR="00492E53" w:rsidRPr="006C540A" w:rsidTr="00DB2251">
        <w:tc>
          <w:tcPr>
            <w:tcW w:w="2693"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Standard</w:t>
            </w:r>
          </w:p>
        </w:tc>
        <w:tc>
          <w:tcPr>
            <w:tcW w:w="850"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April</w:t>
            </w:r>
          </w:p>
        </w:tc>
        <w:tc>
          <w:tcPr>
            <w:tcW w:w="850"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May</w:t>
            </w:r>
          </w:p>
        </w:tc>
        <w:tc>
          <w:tcPr>
            <w:tcW w:w="850"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June</w:t>
            </w:r>
          </w:p>
        </w:tc>
        <w:tc>
          <w:tcPr>
            <w:tcW w:w="850"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July</w:t>
            </w:r>
          </w:p>
        </w:tc>
        <w:tc>
          <w:tcPr>
            <w:tcW w:w="850"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August</w:t>
            </w:r>
          </w:p>
        </w:tc>
        <w:tc>
          <w:tcPr>
            <w:tcW w:w="850"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Sept</w:t>
            </w:r>
          </w:p>
        </w:tc>
        <w:tc>
          <w:tcPr>
            <w:tcW w:w="850"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Oct</w:t>
            </w:r>
          </w:p>
        </w:tc>
        <w:tc>
          <w:tcPr>
            <w:tcW w:w="850"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Nov</w:t>
            </w:r>
          </w:p>
        </w:tc>
        <w:tc>
          <w:tcPr>
            <w:tcW w:w="850"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Dec</w:t>
            </w:r>
          </w:p>
        </w:tc>
        <w:tc>
          <w:tcPr>
            <w:tcW w:w="850"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Jan</w:t>
            </w:r>
          </w:p>
        </w:tc>
        <w:tc>
          <w:tcPr>
            <w:tcW w:w="850"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Feb</w:t>
            </w:r>
          </w:p>
        </w:tc>
        <w:tc>
          <w:tcPr>
            <w:tcW w:w="850"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March</w:t>
            </w:r>
          </w:p>
        </w:tc>
      </w:tr>
      <w:tr w:rsidR="00492E53" w:rsidRPr="006C540A" w:rsidTr="00DB2251">
        <w:tc>
          <w:tcPr>
            <w:tcW w:w="2693" w:type="dxa"/>
          </w:tcPr>
          <w:p w:rsidR="00492E53" w:rsidRPr="006C540A" w:rsidRDefault="00492E53" w:rsidP="006C540A">
            <w:pPr>
              <w:spacing w:before="40" w:after="40"/>
              <w:rPr>
                <w:rFonts w:eastAsia="MS Mincho" w:cs="Arial"/>
                <w:bCs w:val="0"/>
                <w:sz w:val="20"/>
                <w:szCs w:val="20"/>
                <w:lang w:val="en-US" w:eastAsia="ja-JP"/>
              </w:rPr>
            </w:pPr>
            <w:r w:rsidRPr="006C540A">
              <w:rPr>
                <w:rFonts w:eastAsia="MS Mincho" w:cs="Arial"/>
                <w:bCs w:val="0"/>
                <w:sz w:val="20"/>
                <w:szCs w:val="20"/>
                <w:lang w:val="en-US" w:eastAsia="ja-JP"/>
              </w:rPr>
              <w:t>Numerator</w:t>
            </w: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r>
      <w:tr w:rsidR="00492E53" w:rsidRPr="006C540A" w:rsidTr="00DB2251">
        <w:tc>
          <w:tcPr>
            <w:tcW w:w="2693"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Denominator</w:t>
            </w: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r>
      <w:tr w:rsidR="00492E53" w:rsidRPr="006C540A" w:rsidTr="00DB2251">
        <w:tc>
          <w:tcPr>
            <w:tcW w:w="2693"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 performance</w:t>
            </w: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r>
    </w:tbl>
    <w:p w:rsidR="002B7772" w:rsidRDefault="002B7772" w:rsidP="006B1775">
      <w:pPr>
        <w:rPr>
          <w:rFonts w:eastAsia="MS Mincho" w:cs="Arial"/>
          <w:bCs w:val="0"/>
          <w:i/>
          <w:sz w:val="20"/>
          <w:szCs w:val="20"/>
          <w:lang w:val="en-US" w:eastAsia="ja-JP"/>
        </w:rPr>
      </w:pPr>
    </w:p>
    <w:p w:rsidR="00492E53" w:rsidRDefault="00492E53" w:rsidP="006B1775">
      <w:pPr>
        <w:rPr>
          <w:rFonts w:eastAsia="MS Mincho" w:cs="Arial"/>
          <w:bCs w:val="0"/>
          <w:sz w:val="20"/>
          <w:szCs w:val="20"/>
          <w:lang w:val="en-US" w:eastAsia="ja-JP"/>
        </w:rPr>
      </w:pPr>
      <w:r w:rsidRPr="002B7772">
        <w:rPr>
          <w:rFonts w:eastAsia="MS Mincho" w:cs="Arial"/>
          <w:bCs w:val="0"/>
          <w:sz w:val="20"/>
          <w:szCs w:val="20"/>
          <w:lang w:val="en-US" w:eastAsia="ja-JP"/>
        </w:rPr>
        <w:t xml:space="preserve">E.B.12 </w:t>
      </w:r>
      <w:r w:rsidR="002B7772">
        <w:rPr>
          <w:rFonts w:eastAsia="MS Mincho" w:cs="Arial"/>
          <w:bCs w:val="0"/>
          <w:sz w:val="20"/>
          <w:szCs w:val="20"/>
          <w:lang w:val="en-US" w:eastAsia="ja-JP"/>
        </w:rPr>
        <w:tab/>
      </w:r>
      <w:r w:rsidR="002B7772">
        <w:rPr>
          <w:rFonts w:eastAsia="MS Mincho" w:cs="Arial"/>
          <w:bCs w:val="0"/>
          <w:sz w:val="20"/>
          <w:szCs w:val="20"/>
          <w:lang w:val="en-US" w:eastAsia="ja-JP"/>
        </w:rPr>
        <w:tab/>
      </w:r>
      <w:r w:rsidRPr="002B7772">
        <w:rPr>
          <w:rFonts w:eastAsia="MS Mincho" w:cs="Arial"/>
          <w:bCs w:val="0"/>
          <w:sz w:val="20"/>
          <w:szCs w:val="20"/>
          <w:lang w:val="en-US" w:eastAsia="ja-JP"/>
        </w:rPr>
        <w:t xml:space="preserve">Percentage of Service Users waiting no more than two months (62 days) from urgent GP referral to first definitive treatment for </w:t>
      </w:r>
      <w:bookmarkStart w:id="6" w:name="_GoBack"/>
      <w:r w:rsidRPr="002B7772">
        <w:rPr>
          <w:rFonts w:eastAsia="MS Mincho" w:cs="Arial"/>
          <w:bCs w:val="0"/>
          <w:sz w:val="20"/>
          <w:szCs w:val="20"/>
          <w:lang w:val="en-US" w:eastAsia="ja-JP"/>
        </w:rPr>
        <w:t>cancer</w:t>
      </w:r>
      <w:bookmarkEnd w:id="6"/>
    </w:p>
    <w:p w:rsidR="002B7772" w:rsidRPr="002B7772" w:rsidRDefault="002B7772" w:rsidP="006B1775">
      <w:pPr>
        <w:rPr>
          <w:rFonts w:eastAsia="MS Mincho" w:cs="Arial"/>
          <w:bCs w:val="0"/>
          <w:sz w:val="20"/>
          <w:szCs w:val="20"/>
          <w:lang w:val="en-US" w:eastAsia="ja-JP"/>
        </w:rPr>
      </w:pPr>
    </w:p>
    <w:tbl>
      <w:tblPr>
        <w:tblW w:w="12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B National Quality Requirements"/>
      </w:tblPr>
      <w:tblGrid>
        <w:gridCol w:w="2693"/>
        <w:gridCol w:w="850"/>
        <w:gridCol w:w="850"/>
        <w:gridCol w:w="850"/>
        <w:gridCol w:w="850"/>
        <w:gridCol w:w="850"/>
        <w:gridCol w:w="850"/>
        <w:gridCol w:w="850"/>
        <w:gridCol w:w="850"/>
        <w:gridCol w:w="850"/>
        <w:gridCol w:w="850"/>
        <w:gridCol w:w="850"/>
        <w:gridCol w:w="850"/>
      </w:tblGrid>
      <w:tr w:rsidR="00492E53" w:rsidRPr="006C540A" w:rsidTr="00DB2251">
        <w:tc>
          <w:tcPr>
            <w:tcW w:w="2693"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Standard</w:t>
            </w:r>
          </w:p>
        </w:tc>
        <w:tc>
          <w:tcPr>
            <w:tcW w:w="850"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April</w:t>
            </w:r>
          </w:p>
        </w:tc>
        <w:tc>
          <w:tcPr>
            <w:tcW w:w="850"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May</w:t>
            </w:r>
          </w:p>
        </w:tc>
        <w:tc>
          <w:tcPr>
            <w:tcW w:w="850"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June</w:t>
            </w:r>
          </w:p>
        </w:tc>
        <w:tc>
          <w:tcPr>
            <w:tcW w:w="850"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July</w:t>
            </w:r>
          </w:p>
        </w:tc>
        <w:tc>
          <w:tcPr>
            <w:tcW w:w="850"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August</w:t>
            </w:r>
          </w:p>
        </w:tc>
        <w:tc>
          <w:tcPr>
            <w:tcW w:w="850"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Sept</w:t>
            </w:r>
          </w:p>
        </w:tc>
        <w:tc>
          <w:tcPr>
            <w:tcW w:w="850"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Oct</w:t>
            </w:r>
          </w:p>
        </w:tc>
        <w:tc>
          <w:tcPr>
            <w:tcW w:w="850"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Nov</w:t>
            </w:r>
          </w:p>
        </w:tc>
        <w:tc>
          <w:tcPr>
            <w:tcW w:w="850"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Dec</w:t>
            </w:r>
          </w:p>
        </w:tc>
        <w:tc>
          <w:tcPr>
            <w:tcW w:w="850"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Jan</w:t>
            </w:r>
          </w:p>
        </w:tc>
        <w:tc>
          <w:tcPr>
            <w:tcW w:w="850"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Feb</w:t>
            </w:r>
          </w:p>
        </w:tc>
        <w:tc>
          <w:tcPr>
            <w:tcW w:w="850"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March</w:t>
            </w:r>
          </w:p>
        </w:tc>
      </w:tr>
      <w:tr w:rsidR="00492E53" w:rsidRPr="006C540A" w:rsidTr="00DB2251">
        <w:tc>
          <w:tcPr>
            <w:tcW w:w="2693" w:type="dxa"/>
          </w:tcPr>
          <w:p w:rsidR="00492E53" w:rsidRPr="006C540A" w:rsidRDefault="00492E53" w:rsidP="006C540A">
            <w:pPr>
              <w:spacing w:before="40" w:after="40"/>
              <w:rPr>
                <w:rFonts w:eastAsia="MS Mincho" w:cs="Arial"/>
                <w:bCs w:val="0"/>
                <w:sz w:val="20"/>
                <w:szCs w:val="20"/>
                <w:lang w:val="en-US" w:eastAsia="ja-JP"/>
              </w:rPr>
            </w:pPr>
            <w:r w:rsidRPr="006C540A">
              <w:rPr>
                <w:rFonts w:eastAsia="MS Mincho" w:cs="Arial"/>
                <w:bCs w:val="0"/>
                <w:sz w:val="20"/>
                <w:szCs w:val="20"/>
                <w:lang w:val="en-US" w:eastAsia="ja-JP"/>
              </w:rPr>
              <w:t>Numerator</w:t>
            </w: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r>
      <w:tr w:rsidR="00492E53" w:rsidRPr="006C540A" w:rsidTr="00DB2251">
        <w:tc>
          <w:tcPr>
            <w:tcW w:w="2693"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Denominator</w:t>
            </w: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r>
      <w:tr w:rsidR="00492E53" w:rsidRPr="006C540A" w:rsidTr="00DB2251">
        <w:tc>
          <w:tcPr>
            <w:tcW w:w="2693" w:type="dxa"/>
          </w:tcPr>
          <w:p w:rsidR="00492E53" w:rsidRPr="00492E53" w:rsidRDefault="00492E53" w:rsidP="006C540A">
            <w:pPr>
              <w:spacing w:before="40" w:after="40"/>
              <w:rPr>
                <w:rFonts w:eastAsia="MS Mincho" w:cs="Arial"/>
                <w:bCs w:val="0"/>
                <w:sz w:val="20"/>
                <w:szCs w:val="20"/>
                <w:lang w:val="en-US" w:eastAsia="ja-JP"/>
              </w:rPr>
            </w:pPr>
            <w:r w:rsidRPr="00492E53">
              <w:rPr>
                <w:rFonts w:eastAsia="MS Mincho" w:cs="Arial"/>
                <w:bCs w:val="0"/>
                <w:sz w:val="20"/>
                <w:szCs w:val="20"/>
                <w:lang w:val="en-US" w:eastAsia="ja-JP"/>
              </w:rPr>
              <w:t>% performance</w:t>
            </w: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c>
          <w:tcPr>
            <w:tcW w:w="850" w:type="dxa"/>
          </w:tcPr>
          <w:p w:rsidR="00492E53" w:rsidRPr="00492E53" w:rsidRDefault="00492E53" w:rsidP="006C540A">
            <w:pPr>
              <w:spacing w:before="40" w:after="40"/>
              <w:rPr>
                <w:rFonts w:eastAsia="MS Mincho" w:cs="Arial"/>
                <w:bCs w:val="0"/>
                <w:sz w:val="20"/>
                <w:szCs w:val="20"/>
                <w:lang w:val="en-US" w:eastAsia="ja-JP"/>
              </w:rPr>
            </w:pPr>
          </w:p>
        </w:tc>
      </w:tr>
    </w:tbl>
    <w:p w:rsidR="00492E53" w:rsidRPr="006A5511" w:rsidRDefault="00492E53" w:rsidP="006B1775">
      <w:pPr>
        <w:rPr>
          <w:rFonts w:eastAsia="MS Mincho" w:cs="Arial"/>
          <w:bCs w:val="0"/>
          <w:i/>
          <w:sz w:val="20"/>
          <w:szCs w:val="20"/>
          <w:lang w:val="en-US" w:eastAsia="ja-JP"/>
        </w:rPr>
      </w:pPr>
    </w:p>
    <w:p w:rsidR="006B1775" w:rsidRPr="006B1775" w:rsidRDefault="00510785" w:rsidP="006B1775">
      <w:pPr>
        <w:rPr>
          <w:rFonts w:eastAsia="Calibri" w:cs="Arial"/>
          <w:b/>
          <w:bCs w:val="0"/>
          <w:sz w:val="20"/>
          <w:szCs w:val="20"/>
        </w:rPr>
      </w:pPr>
      <w:r w:rsidRPr="006A5511">
        <w:rPr>
          <w:rFonts w:eastAsia="Calibri" w:cs="Arial"/>
          <w:bCs w:val="0"/>
          <w:sz w:val="20"/>
          <w:szCs w:val="20"/>
        </w:rPr>
        <w:t>Where no trajectory is provided for any of the Operational Standards above, the Provider undertakes that it will use all reasonable endeavours to achieve that Operational Standard in full on an ongoing basis during 2017/18 and 2018/19.</w:t>
      </w:r>
      <w:r w:rsidR="009A48B0" w:rsidRPr="006A5511">
        <w:rPr>
          <w:rFonts w:eastAsia="Calibri" w:cs="Arial"/>
          <w:bCs w:val="0"/>
          <w:sz w:val="20"/>
          <w:szCs w:val="20"/>
        </w:rPr>
        <w:br w:type="page"/>
      </w:r>
      <w:r w:rsidR="007546C2">
        <w:rPr>
          <w:rFonts w:eastAsia="Calibri" w:cs="Arial"/>
          <w:b/>
          <w:bCs w:val="0"/>
          <w:sz w:val="20"/>
          <w:szCs w:val="20"/>
        </w:rPr>
        <w:t>Assurance S</w:t>
      </w:r>
      <w:r w:rsidR="006B1775" w:rsidRPr="006B1775">
        <w:rPr>
          <w:rFonts w:eastAsia="Calibri" w:cs="Arial"/>
          <w:b/>
          <w:bCs w:val="0"/>
          <w:sz w:val="20"/>
          <w:szCs w:val="20"/>
        </w:rPr>
        <w:t>tatements</w:t>
      </w:r>
    </w:p>
    <w:p w:rsidR="00F531B7" w:rsidRDefault="00F531B7" w:rsidP="006B1775">
      <w:pPr>
        <w:rPr>
          <w:rFonts w:eastAsia="Calibri" w:cs="Arial"/>
          <w:bCs w:val="0"/>
          <w:sz w:val="20"/>
          <w:szCs w:val="20"/>
        </w:rPr>
      </w:pPr>
    </w:p>
    <w:p w:rsidR="006B1775" w:rsidRPr="006B1775" w:rsidRDefault="006C540A" w:rsidP="006B1775">
      <w:pPr>
        <w:rPr>
          <w:rFonts w:eastAsia="Calibri" w:cs="Arial"/>
          <w:bCs w:val="0"/>
          <w:sz w:val="20"/>
          <w:szCs w:val="20"/>
        </w:rPr>
      </w:pPr>
      <w:r>
        <w:rPr>
          <w:rFonts w:eastAsia="Calibri" w:cs="Arial"/>
          <w:bCs w:val="0"/>
          <w:sz w:val="20"/>
          <w:szCs w:val="20"/>
        </w:rPr>
        <w:t xml:space="preserve">In line with the </w:t>
      </w:r>
      <w:r w:rsidR="006A57BE">
        <w:rPr>
          <w:rFonts w:eastAsia="Calibri" w:cs="Arial"/>
          <w:bCs w:val="0"/>
          <w:sz w:val="20"/>
          <w:szCs w:val="20"/>
        </w:rPr>
        <w:t>assurance statements</w:t>
      </w:r>
      <w:r w:rsidR="006B1775" w:rsidRPr="006B1775">
        <w:rPr>
          <w:rFonts w:eastAsia="Calibri" w:cs="Arial"/>
          <w:bCs w:val="0"/>
          <w:sz w:val="20"/>
          <w:szCs w:val="20"/>
        </w:rPr>
        <w:t xml:space="preserve"> </w:t>
      </w:r>
      <w:r>
        <w:rPr>
          <w:rFonts w:eastAsia="Calibri" w:cs="Arial"/>
          <w:bCs w:val="0"/>
          <w:sz w:val="20"/>
          <w:szCs w:val="20"/>
        </w:rPr>
        <w:t xml:space="preserve">it has given </w:t>
      </w:r>
      <w:r w:rsidR="006B1775" w:rsidRPr="006B1775">
        <w:rPr>
          <w:rFonts w:eastAsia="Calibri" w:cs="Arial"/>
          <w:bCs w:val="0"/>
          <w:sz w:val="20"/>
          <w:szCs w:val="20"/>
        </w:rPr>
        <w:t>to NHS Improvement and NHS England</w:t>
      </w:r>
      <w:r>
        <w:rPr>
          <w:rFonts w:eastAsia="Calibri" w:cs="Arial"/>
          <w:bCs w:val="0"/>
          <w:sz w:val="20"/>
          <w:szCs w:val="20"/>
        </w:rPr>
        <w:t>, the Provider undertakes</w:t>
      </w:r>
      <w:r w:rsidR="006B1775" w:rsidRPr="006B1775">
        <w:rPr>
          <w:rFonts w:eastAsia="Calibri" w:cs="Arial"/>
          <w:bCs w:val="0"/>
          <w:sz w:val="20"/>
          <w:szCs w:val="20"/>
        </w:rPr>
        <w:t xml:space="preserve"> </w:t>
      </w:r>
      <w:r w:rsidR="006A57BE">
        <w:rPr>
          <w:rFonts w:eastAsia="Calibri" w:cs="Arial"/>
          <w:bCs w:val="0"/>
          <w:sz w:val="20"/>
          <w:szCs w:val="20"/>
        </w:rPr>
        <w:t>that it will use all</w:t>
      </w:r>
      <w:r w:rsidR="007546C2">
        <w:rPr>
          <w:rFonts w:eastAsia="Calibri" w:cs="Arial"/>
          <w:bCs w:val="0"/>
          <w:sz w:val="20"/>
          <w:szCs w:val="20"/>
        </w:rPr>
        <w:t xml:space="preserve"> reasonable endeavours to achieve in full </w:t>
      </w:r>
      <w:r w:rsidR="006A57BE">
        <w:rPr>
          <w:rFonts w:eastAsia="Calibri" w:cs="Arial"/>
          <w:bCs w:val="0"/>
          <w:sz w:val="20"/>
          <w:szCs w:val="20"/>
        </w:rPr>
        <w:t>the following Operational Standards and National Quality Requirements on an ongoing basis during 2017/18 and 2018/19.</w:t>
      </w:r>
    </w:p>
    <w:p w:rsidR="006B1775" w:rsidRPr="006B1775" w:rsidRDefault="006B1775" w:rsidP="006B1775">
      <w:pPr>
        <w:rPr>
          <w:rFonts w:eastAsia="Calibri" w:cs="Arial"/>
          <w:bCs w:val="0"/>
          <w:sz w:val="20"/>
          <w:szCs w:val="20"/>
        </w:rPr>
      </w:pPr>
    </w:p>
    <w:p w:rsidR="006B1775" w:rsidRPr="006A5511" w:rsidRDefault="00510785" w:rsidP="006B1775">
      <w:pPr>
        <w:rPr>
          <w:rFonts w:eastAsia="Calibri" w:cs="Arial"/>
          <w:bCs w:val="0"/>
          <w:i/>
          <w:sz w:val="20"/>
          <w:szCs w:val="20"/>
        </w:rPr>
      </w:pPr>
      <w:r w:rsidRPr="006A5511">
        <w:rPr>
          <w:rFonts w:eastAsia="Calibri" w:cs="Arial"/>
          <w:bCs w:val="0"/>
          <w:i/>
          <w:sz w:val="20"/>
          <w:szCs w:val="20"/>
        </w:rPr>
        <w:t>[Delete where not relevant to the Services provided by the Provider]</w:t>
      </w:r>
    </w:p>
    <w:bookmarkEnd w:id="4"/>
    <w:bookmarkEnd w:id="5"/>
    <w:p w:rsidR="002B7772" w:rsidRDefault="002B7772" w:rsidP="00492E53">
      <w:pPr>
        <w:rPr>
          <w:sz w:val="20"/>
          <w:szCs w:val="20"/>
        </w:rPr>
      </w:pPr>
    </w:p>
    <w:p w:rsidR="007546C2" w:rsidRPr="007546C2" w:rsidRDefault="007546C2" w:rsidP="00492E53">
      <w:pPr>
        <w:rPr>
          <w:sz w:val="20"/>
          <w:szCs w:val="20"/>
          <w:u w:val="single"/>
        </w:rPr>
      </w:pPr>
      <w:r w:rsidRPr="007546C2">
        <w:rPr>
          <w:sz w:val="20"/>
          <w:szCs w:val="20"/>
          <w:u w:val="single"/>
        </w:rPr>
        <w:t>Operational Standards</w:t>
      </w:r>
    </w:p>
    <w:p w:rsidR="007546C2" w:rsidRDefault="007546C2" w:rsidP="00492E53">
      <w:pPr>
        <w:rPr>
          <w:sz w:val="20"/>
          <w:szCs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2758"/>
      </w:tblGrid>
      <w:tr w:rsidR="006A57BE" w:rsidRPr="007546C2" w:rsidTr="006C540A">
        <w:tc>
          <w:tcPr>
            <w:tcW w:w="1276" w:type="dxa"/>
          </w:tcPr>
          <w:p w:rsidR="006A57BE" w:rsidRPr="007546C2" w:rsidRDefault="006A57BE" w:rsidP="006C540A">
            <w:pPr>
              <w:spacing w:before="40" w:after="40"/>
              <w:rPr>
                <w:sz w:val="20"/>
                <w:szCs w:val="20"/>
                <w:lang w:val="en-US"/>
              </w:rPr>
            </w:pPr>
            <w:r w:rsidRPr="007546C2">
              <w:rPr>
                <w:sz w:val="20"/>
                <w:szCs w:val="20"/>
                <w:lang w:val="en-US"/>
              </w:rPr>
              <w:t>E.B.4</w:t>
            </w:r>
          </w:p>
        </w:tc>
        <w:tc>
          <w:tcPr>
            <w:tcW w:w="12758" w:type="dxa"/>
          </w:tcPr>
          <w:p w:rsidR="006A57BE" w:rsidRPr="007546C2" w:rsidRDefault="006A57BE" w:rsidP="006C540A">
            <w:pPr>
              <w:spacing w:before="40" w:after="40"/>
              <w:rPr>
                <w:sz w:val="20"/>
                <w:szCs w:val="20"/>
                <w:lang w:val="en-US"/>
              </w:rPr>
            </w:pPr>
            <w:r w:rsidRPr="007546C2">
              <w:rPr>
                <w:sz w:val="20"/>
                <w:szCs w:val="20"/>
                <w:lang w:val="en-US"/>
              </w:rPr>
              <w:t>Percentage of  Service Users waiting 6 weeks or more from Referral for a diagnostic test</w:t>
            </w:r>
          </w:p>
        </w:tc>
      </w:tr>
      <w:tr w:rsidR="006A57BE" w:rsidRPr="007546C2" w:rsidTr="006C540A">
        <w:tc>
          <w:tcPr>
            <w:tcW w:w="1276" w:type="dxa"/>
          </w:tcPr>
          <w:p w:rsidR="006A57BE" w:rsidRPr="007546C2" w:rsidRDefault="006A57BE" w:rsidP="006C540A">
            <w:pPr>
              <w:spacing w:before="40" w:after="40"/>
              <w:rPr>
                <w:sz w:val="20"/>
                <w:szCs w:val="20"/>
                <w:lang w:val="en-US"/>
              </w:rPr>
            </w:pPr>
            <w:r w:rsidRPr="007546C2">
              <w:rPr>
                <w:sz w:val="20"/>
                <w:szCs w:val="20"/>
                <w:lang w:val="en-US"/>
              </w:rPr>
              <w:t>E.B.15.i</w:t>
            </w:r>
          </w:p>
        </w:tc>
        <w:tc>
          <w:tcPr>
            <w:tcW w:w="12758" w:type="dxa"/>
          </w:tcPr>
          <w:p w:rsidR="006A57BE" w:rsidRPr="007546C2" w:rsidRDefault="006A57BE" w:rsidP="006C540A">
            <w:pPr>
              <w:spacing w:before="40" w:after="40"/>
              <w:rPr>
                <w:sz w:val="20"/>
                <w:szCs w:val="20"/>
                <w:lang w:val="en-US"/>
              </w:rPr>
            </w:pPr>
            <w:r w:rsidRPr="007546C2">
              <w:rPr>
                <w:sz w:val="20"/>
                <w:szCs w:val="20"/>
                <w:lang w:val="en-US"/>
              </w:rPr>
              <w:t>Percentage of Category A Red 1 ambulance calls resulting in an emergency response arriving within 8 minutes</w:t>
            </w:r>
          </w:p>
        </w:tc>
      </w:tr>
      <w:tr w:rsidR="006A57BE" w:rsidRPr="007546C2" w:rsidTr="006C540A">
        <w:tc>
          <w:tcPr>
            <w:tcW w:w="1276" w:type="dxa"/>
          </w:tcPr>
          <w:p w:rsidR="006A57BE" w:rsidRPr="007546C2" w:rsidRDefault="006A57BE" w:rsidP="006C540A">
            <w:pPr>
              <w:spacing w:before="40" w:after="40"/>
              <w:rPr>
                <w:sz w:val="20"/>
                <w:szCs w:val="20"/>
                <w:lang w:val="en-US"/>
              </w:rPr>
            </w:pPr>
            <w:r w:rsidRPr="007546C2">
              <w:rPr>
                <w:sz w:val="20"/>
                <w:szCs w:val="20"/>
                <w:lang w:val="en-US"/>
              </w:rPr>
              <w:t>E.B.15.ii</w:t>
            </w:r>
          </w:p>
        </w:tc>
        <w:tc>
          <w:tcPr>
            <w:tcW w:w="12758" w:type="dxa"/>
          </w:tcPr>
          <w:p w:rsidR="006A57BE" w:rsidRPr="007546C2" w:rsidRDefault="006A57BE" w:rsidP="006C540A">
            <w:pPr>
              <w:spacing w:before="40" w:after="40"/>
              <w:rPr>
                <w:sz w:val="20"/>
                <w:szCs w:val="20"/>
                <w:lang w:val="en-US"/>
              </w:rPr>
            </w:pPr>
            <w:r w:rsidRPr="007546C2">
              <w:rPr>
                <w:sz w:val="20"/>
                <w:szCs w:val="20"/>
                <w:lang w:val="en-US"/>
              </w:rPr>
              <w:t>Percentage of Category A Red 2 ambulance calls resulting in an emergency response arriving within 8 minutes</w:t>
            </w:r>
          </w:p>
        </w:tc>
      </w:tr>
      <w:tr w:rsidR="006A57BE" w:rsidRPr="007546C2" w:rsidTr="006C540A">
        <w:tc>
          <w:tcPr>
            <w:tcW w:w="1276" w:type="dxa"/>
          </w:tcPr>
          <w:p w:rsidR="006A57BE" w:rsidRPr="007546C2" w:rsidRDefault="006A57BE" w:rsidP="006C540A">
            <w:pPr>
              <w:spacing w:before="40" w:after="40"/>
              <w:rPr>
                <w:sz w:val="20"/>
                <w:szCs w:val="20"/>
                <w:lang w:val="en-US"/>
              </w:rPr>
            </w:pPr>
            <w:r w:rsidRPr="007546C2">
              <w:rPr>
                <w:sz w:val="20"/>
                <w:szCs w:val="20"/>
                <w:lang w:val="en-US"/>
              </w:rPr>
              <w:t>E.B.16</w:t>
            </w:r>
          </w:p>
        </w:tc>
        <w:tc>
          <w:tcPr>
            <w:tcW w:w="12758" w:type="dxa"/>
          </w:tcPr>
          <w:p w:rsidR="006A57BE" w:rsidRPr="007546C2" w:rsidRDefault="006A57BE" w:rsidP="006C540A">
            <w:pPr>
              <w:spacing w:before="40" w:after="40"/>
              <w:rPr>
                <w:sz w:val="20"/>
                <w:szCs w:val="20"/>
                <w:lang w:val="en-US"/>
              </w:rPr>
            </w:pPr>
            <w:r w:rsidRPr="007546C2">
              <w:rPr>
                <w:sz w:val="20"/>
                <w:szCs w:val="20"/>
                <w:lang w:val="en-US"/>
              </w:rPr>
              <w:t>Percentage of Category A calls resulting in an ambulance arriving at the scene within 19 minutes</w:t>
            </w:r>
          </w:p>
        </w:tc>
      </w:tr>
    </w:tbl>
    <w:p w:rsidR="002B7772" w:rsidRDefault="002B7772" w:rsidP="00492E53">
      <w:pPr>
        <w:rPr>
          <w:sz w:val="20"/>
          <w:szCs w:val="20"/>
        </w:rPr>
      </w:pPr>
    </w:p>
    <w:p w:rsidR="007546C2" w:rsidRDefault="007546C2" w:rsidP="00492E53">
      <w:pPr>
        <w:rPr>
          <w:sz w:val="20"/>
          <w:szCs w:val="20"/>
        </w:rPr>
      </w:pPr>
    </w:p>
    <w:p w:rsidR="007546C2" w:rsidRPr="007546C2" w:rsidRDefault="007546C2" w:rsidP="00492E53">
      <w:pPr>
        <w:rPr>
          <w:sz w:val="20"/>
          <w:szCs w:val="20"/>
          <w:u w:val="single"/>
        </w:rPr>
      </w:pPr>
      <w:r w:rsidRPr="007546C2">
        <w:rPr>
          <w:sz w:val="20"/>
          <w:szCs w:val="20"/>
          <w:u w:val="single"/>
        </w:rPr>
        <w:t>National Quality Requirements</w:t>
      </w:r>
    </w:p>
    <w:p w:rsidR="002B7772" w:rsidRDefault="002B7772" w:rsidP="00492E53">
      <w:pPr>
        <w:rPr>
          <w:sz w:val="20"/>
          <w:szCs w:val="20"/>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2474"/>
      </w:tblGrid>
      <w:tr w:rsidR="006A57BE" w:rsidRPr="007546C2" w:rsidTr="006C540A">
        <w:tc>
          <w:tcPr>
            <w:tcW w:w="1276" w:type="dxa"/>
          </w:tcPr>
          <w:p w:rsidR="006A57BE" w:rsidRPr="007546C2" w:rsidRDefault="006A57BE" w:rsidP="006C540A">
            <w:pPr>
              <w:spacing w:before="40" w:after="40"/>
              <w:rPr>
                <w:sz w:val="20"/>
                <w:szCs w:val="20"/>
                <w:lang w:val="en-US"/>
              </w:rPr>
            </w:pPr>
            <w:r w:rsidRPr="007546C2">
              <w:rPr>
                <w:sz w:val="20"/>
                <w:szCs w:val="20"/>
                <w:lang w:val="en-US"/>
              </w:rPr>
              <w:t>E.B.S.4</w:t>
            </w:r>
          </w:p>
        </w:tc>
        <w:tc>
          <w:tcPr>
            <w:tcW w:w="12474" w:type="dxa"/>
          </w:tcPr>
          <w:p w:rsidR="006A57BE" w:rsidRPr="007546C2" w:rsidRDefault="006A57BE" w:rsidP="006C540A">
            <w:pPr>
              <w:spacing w:before="40" w:after="40"/>
              <w:rPr>
                <w:sz w:val="20"/>
                <w:szCs w:val="20"/>
                <w:lang w:val="en-US"/>
              </w:rPr>
            </w:pPr>
            <w:r w:rsidRPr="007546C2">
              <w:rPr>
                <w:sz w:val="20"/>
                <w:szCs w:val="20"/>
                <w:lang w:val="en-US"/>
              </w:rPr>
              <w:t>Zero tolerance RTT waits over 5</w:t>
            </w:r>
            <w:r w:rsidR="007546C2">
              <w:rPr>
                <w:sz w:val="20"/>
                <w:szCs w:val="20"/>
                <w:lang w:val="en-US"/>
              </w:rPr>
              <w:t>2 weeks for incomplete pathways</w:t>
            </w:r>
          </w:p>
        </w:tc>
      </w:tr>
      <w:tr w:rsidR="006A57BE" w:rsidRPr="007546C2" w:rsidTr="006C540A">
        <w:tc>
          <w:tcPr>
            <w:tcW w:w="1276" w:type="dxa"/>
          </w:tcPr>
          <w:p w:rsidR="006A57BE" w:rsidRPr="007546C2" w:rsidRDefault="006A57BE" w:rsidP="006C540A">
            <w:pPr>
              <w:spacing w:before="40" w:after="40"/>
              <w:rPr>
                <w:sz w:val="20"/>
                <w:szCs w:val="20"/>
                <w:lang w:val="en-US"/>
              </w:rPr>
            </w:pPr>
            <w:r w:rsidRPr="007546C2">
              <w:rPr>
                <w:sz w:val="20"/>
                <w:szCs w:val="20"/>
                <w:lang w:val="en-US"/>
              </w:rPr>
              <w:t>E.B.S.7a</w:t>
            </w:r>
          </w:p>
        </w:tc>
        <w:tc>
          <w:tcPr>
            <w:tcW w:w="12474" w:type="dxa"/>
          </w:tcPr>
          <w:p w:rsidR="006A57BE" w:rsidRPr="007546C2" w:rsidRDefault="006A57BE" w:rsidP="006C540A">
            <w:pPr>
              <w:spacing w:before="40" w:after="40"/>
              <w:rPr>
                <w:sz w:val="20"/>
                <w:szCs w:val="20"/>
                <w:lang w:val="en-US"/>
              </w:rPr>
            </w:pPr>
            <w:r w:rsidRPr="007546C2">
              <w:rPr>
                <w:sz w:val="20"/>
                <w:szCs w:val="20"/>
                <w:lang w:val="en-US"/>
              </w:rPr>
              <w:t>All handovers between ambulance and A &amp; E must take place within 15 minutes with no</w:t>
            </w:r>
            <w:r w:rsidR="007546C2">
              <w:rPr>
                <w:sz w:val="20"/>
                <w:szCs w:val="20"/>
                <w:lang w:val="en-US"/>
              </w:rPr>
              <w:t>ne waiting more than 30 minutes</w:t>
            </w:r>
          </w:p>
        </w:tc>
      </w:tr>
      <w:tr w:rsidR="007546C2" w:rsidRPr="007546C2" w:rsidTr="006C540A">
        <w:tc>
          <w:tcPr>
            <w:tcW w:w="1276" w:type="dxa"/>
          </w:tcPr>
          <w:p w:rsidR="007546C2" w:rsidRPr="007546C2" w:rsidRDefault="007546C2" w:rsidP="006C540A">
            <w:pPr>
              <w:spacing w:before="40" w:after="40"/>
              <w:rPr>
                <w:sz w:val="20"/>
                <w:szCs w:val="20"/>
                <w:lang w:val="en-US"/>
              </w:rPr>
            </w:pPr>
            <w:r w:rsidRPr="007546C2">
              <w:rPr>
                <w:sz w:val="20"/>
                <w:szCs w:val="20"/>
                <w:lang w:val="en-US"/>
              </w:rPr>
              <w:t>E.B.S.7b</w:t>
            </w:r>
          </w:p>
        </w:tc>
        <w:tc>
          <w:tcPr>
            <w:tcW w:w="12474" w:type="dxa"/>
          </w:tcPr>
          <w:p w:rsidR="007546C2" w:rsidRPr="007546C2" w:rsidRDefault="007546C2" w:rsidP="006C540A">
            <w:pPr>
              <w:spacing w:before="40" w:after="40"/>
              <w:rPr>
                <w:sz w:val="20"/>
                <w:szCs w:val="20"/>
                <w:lang w:val="en-US"/>
              </w:rPr>
            </w:pPr>
            <w:r w:rsidRPr="007546C2">
              <w:rPr>
                <w:sz w:val="20"/>
                <w:szCs w:val="20"/>
                <w:lang w:val="en-US"/>
              </w:rPr>
              <w:t>All handovers between ambulance and A &amp; E must take place within 15 minutes with no</w:t>
            </w:r>
            <w:r>
              <w:rPr>
                <w:sz w:val="20"/>
                <w:szCs w:val="20"/>
                <w:lang w:val="en-US"/>
              </w:rPr>
              <w:t>ne waiting more than 60 minutes</w:t>
            </w:r>
          </w:p>
        </w:tc>
      </w:tr>
      <w:tr w:rsidR="006A57BE" w:rsidRPr="007546C2" w:rsidTr="006C540A">
        <w:tc>
          <w:tcPr>
            <w:tcW w:w="1276" w:type="dxa"/>
          </w:tcPr>
          <w:p w:rsidR="006A57BE" w:rsidRPr="007546C2" w:rsidRDefault="006A57BE" w:rsidP="006C540A">
            <w:pPr>
              <w:spacing w:before="40" w:after="40"/>
              <w:rPr>
                <w:sz w:val="20"/>
                <w:szCs w:val="20"/>
                <w:lang w:val="en-US"/>
              </w:rPr>
            </w:pPr>
            <w:r w:rsidRPr="007546C2">
              <w:rPr>
                <w:sz w:val="20"/>
                <w:szCs w:val="20"/>
                <w:lang w:val="en-US"/>
              </w:rPr>
              <w:t>E.B.S.8a</w:t>
            </w:r>
          </w:p>
        </w:tc>
        <w:tc>
          <w:tcPr>
            <w:tcW w:w="12474" w:type="dxa"/>
          </w:tcPr>
          <w:p w:rsidR="006A57BE" w:rsidRPr="007546C2" w:rsidRDefault="006A57BE" w:rsidP="006C540A">
            <w:pPr>
              <w:spacing w:before="40" w:after="40"/>
              <w:rPr>
                <w:sz w:val="20"/>
                <w:szCs w:val="20"/>
                <w:lang w:val="en-US"/>
              </w:rPr>
            </w:pPr>
            <w:r w:rsidRPr="007546C2">
              <w:rPr>
                <w:sz w:val="20"/>
                <w:szCs w:val="20"/>
                <w:lang w:val="en-US"/>
              </w:rPr>
              <w:t>Following handover between ambulance and A &amp; E, ambulance crew should be ready to accept new calls within 15 minute</w:t>
            </w:r>
            <w:r w:rsidR="007546C2">
              <w:rPr>
                <w:sz w:val="20"/>
                <w:szCs w:val="20"/>
                <w:lang w:val="en-US"/>
              </w:rPr>
              <w:t>s and no longer than 30 minutes</w:t>
            </w:r>
          </w:p>
        </w:tc>
      </w:tr>
      <w:tr w:rsidR="006A57BE" w:rsidRPr="007546C2" w:rsidTr="006C540A">
        <w:tc>
          <w:tcPr>
            <w:tcW w:w="1276" w:type="dxa"/>
          </w:tcPr>
          <w:p w:rsidR="006A57BE" w:rsidRPr="007546C2" w:rsidRDefault="006A57BE" w:rsidP="006C540A">
            <w:pPr>
              <w:spacing w:before="40" w:after="40"/>
              <w:rPr>
                <w:sz w:val="20"/>
                <w:szCs w:val="20"/>
                <w:lang w:val="en-US"/>
              </w:rPr>
            </w:pPr>
            <w:r w:rsidRPr="007546C2">
              <w:rPr>
                <w:sz w:val="20"/>
                <w:szCs w:val="20"/>
                <w:lang w:val="en-US"/>
              </w:rPr>
              <w:t>E.B.S.8b</w:t>
            </w:r>
          </w:p>
        </w:tc>
        <w:tc>
          <w:tcPr>
            <w:tcW w:w="12474" w:type="dxa"/>
          </w:tcPr>
          <w:p w:rsidR="006A57BE" w:rsidRPr="007546C2" w:rsidRDefault="006A57BE" w:rsidP="006C540A">
            <w:pPr>
              <w:spacing w:before="40" w:after="40"/>
              <w:rPr>
                <w:sz w:val="20"/>
                <w:szCs w:val="20"/>
                <w:lang w:val="en-US"/>
              </w:rPr>
            </w:pPr>
            <w:r w:rsidRPr="007546C2">
              <w:rPr>
                <w:sz w:val="20"/>
                <w:szCs w:val="20"/>
                <w:lang w:val="en-US"/>
              </w:rPr>
              <w:t>Following handover between ambulance and A &amp; E, ambulance crew should be ready to accept new calls within 15 minute</w:t>
            </w:r>
            <w:r w:rsidR="007546C2">
              <w:rPr>
                <w:sz w:val="20"/>
                <w:szCs w:val="20"/>
                <w:lang w:val="en-US"/>
              </w:rPr>
              <w:t>s and no longer than 60 minutes</w:t>
            </w:r>
          </w:p>
        </w:tc>
      </w:tr>
      <w:tr w:rsidR="006A57BE" w:rsidRPr="007546C2" w:rsidTr="006C540A">
        <w:tc>
          <w:tcPr>
            <w:tcW w:w="1276" w:type="dxa"/>
          </w:tcPr>
          <w:p w:rsidR="006A57BE" w:rsidRPr="007546C2" w:rsidRDefault="006A57BE" w:rsidP="006C540A">
            <w:pPr>
              <w:spacing w:before="40" w:after="40"/>
              <w:rPr>
                <w:sz w:val="20"/>
                <w:szCs w:val="20"/>
                <w:lang w:val="en-US"/>
              </w:rPr>
            </w:pPr>
            <w:r w:rsidRPr="007546C2">
              <w:rPr>
                <w:sz w:val="20"/>
                <w:szCs w:val="20"/>
                <w:lang w:val="en-US"/>
              </w:rPr>
              <w:t>E.B.S.5</w:t>
            </w:r>
          </w:p>
        </w:tc>
        <w:tc>
          <w:tcPr>
            <w:tcW w:w="12474" w:type="dxa"/>
          </w:tcPr>
          <w:p w:rsidR="006A57BE" w:rsidRPr="007546C2" w:rsidRDefault="006A57BE" w:rsidP="006C540A">
            <w:pPr>
              <w:spacing w:before="40" w:after="40"/>
              <w:rPr>
                <w:sz w:val="20"/>
                <w:szCs w:val="20"/>
                <w:lang w:val="en-US"/>
              </w:rPr>
            </w:pPr>
            <w:r w:rsidRPr="007546C2">
              <w:rPr>
                <w:sz w:val="20"/>
                <w:szCs w:val="20"/>
                <w:lang w:val="en-US"/>
              </w:rPr>
              <w:t xml:space="preserve">Trolley waits </w:t>
            </w:r>
            <w:r w:rsidR="007546C2">
              <w:rPr>
                <w:sz w:val="20"/>
                <w:szCs w:val="20"/>
                <w:lang w:val="en-US"/>
              </w:rPr>
              <w:t xml:space="preserve">in A&amp;E </w:t>
            </w:r>
            <w:proofErr w:type="spellStart"/>
            <w:r w:rsidR="007546C2">
              <w:rPr>
                <w:sz w:val="20"/>
                <w:szCs w:val="20"/>
                <w:lang w:val="en-US"/>
              </w:rPr>
              <w:t>not longer</w:t>
            </w:r>
            <w:proofErr w:type="spellEnd"/>
            <w:r w:rsidR="007546C2">
              <w:rPr>
                <w:sz w:val="20"/>
                <w:szCs w:val="20"/>
                <w:lang w:val="en-US"/>
              </w:rPr>
              <w:t xml:space="preserve"> than 12 hours</w:t>
            </w:r>
          </w:p>
        </w:tc>
      </w:tr>
    </w:tbl>
    <w:p w:rsidR="002B7772" w:rsidRDefault="002B7772" w:rsidP="00492E53">
      <w:pPr>
        <w:rPr>
          <w:sz w:val="20"/>
          <w:szCs w:val="20"/>
        </w:rPr>
      </w:pPr>
    </w:p>
    <w:p w:rsidR="002B7772" w:rsidRPr="00492E53" w:rsidRDefault="002B7772" w:rsidP="00492E53">
      <w:pPr>
        <w:rPr>
          <w:sz w:val="20"/>
          <w:szCs w:val="20"/>
        </w:rPr>
      </w:pPr>
    </w:p>
    <w:p w:rsidR="00492E53" w:rsidRPr="00492E53" w:rsidRDefault="006A5511" w:rsidP="00492E53">
      <w:pPr>
        <w:rPr>
          <w:b/>
          <w:sz w:val="20"/>
          <w:szCs w:val="20"/>
        </w:rPr>
      </w:pPr>
      <w:r>
        <w:rPr>
          <w:b/>
          <w:sz w:val="20"/>
          <w:szCs w:val="20"/>
        </w:rPr>
        <w:br w:type="page"/>
      </w:r>
      <w:r w:rsidR="00492E53" w:rsidRPr="00492E53">
        <w:rPr>
          <w:b/>
          <w:sz w:val="20"/>
          <w:szCs w:val="20"/>
        </w:rPr>
        <w:t>Assumptions underpinning Performance Improvement Trajectories and Assurance Statements</w:t>
      </w:r>
    </w:p>
    <w:p w:rsidR="00492E53" w:rsidRPr="00492E53" w:rsidRDefault="00492E53" w:rsidP="00492E53">
      <w:pPr>
        <w:rPr>
          <w:sz w:val="20"/>
          <w:szCs w:val="20"/>
        </w:rPr>
      </w:pPr>
    </w:p>
    <w:p w:rsidR="00492E53" w:rsidRPr="00492E53" w:rsidRDefault="00492E53" w:rsidP="00492E53">
      <w:pPr>
        <w:rPr>
          <w:sz w:val="20"/>
          <w:szCs w:val="20"/>
        </w:rPr>
      </w:pPr>
      <w:r>
        <w:rPr>
          <w:sz w:val="20"/>
          <w:szCs w:val="20"/>
        </w:rPr>
        <w:t>Include below any assumptions</w:t>
      </w:r>
      <w:r w:rsidR="002B7772">
        <w:rPr>
          <w:sz w:val="20"/>
          <w:szCs w:val="20"/>
        </w:rPr>
        <w:t>, jointly agreed between the P</w:t>
      </w:r>
      <w:r>
        <w:rPr>
          <w:sz w:val="20"/>
          <w:szCs w:val="20"/>
        </w:rPr>
        <w:t xml:space="preserve">rovider and </w:t>
      </w:r>
      <w:r w:rsidR="002B7772">
        <w:rPr>
          <w:sz w:val="20"/>
          <w:szCs w:val="20"/>
        </w:rPr>
        <w:t>its Commissioners, which underpin the Trajectories and Assurance Statements set out above.</w:t>
      </w:r>
    </w:p>
    <w:p w:rsidR="00492E53" w:rsidRPr="00492E53" w:rsidRDefault="00492E53" w:rsidP="00492E53">
      <w:pPr>
        <w:rPr>
          <w:sz w:val="20"/>
          <w:szCs w:val="20"/>
        </w:rPr>
      </w:pPr>
    </w:p>
    <w:tbl>
      <w:tblPr>
        <w:tblStyle w:val="TableGrid"/>
        <w:tblW w:w="0" w:type="auto"/>
        <w:tblInd w:w="108" w:type="dxa"/>
        <w:tblLook w:val="04A0" w:firstRow="1" w:lastRow="0" w:firstColumn="1" w:lastColumn="0" w:noHBand="0" w:noVBand="1"/>
        <w:tblDescription w:val="Include below any assumptions, jointly agreed between the Provider and its Commissioners, which underpin the Trajectories and Assurance Statements set out above"/>
      </w:tblPr>
      <w:tblGrid>
        <w:gridCol w:w="13892"/>
      </w:tblGrid>
      <w:tr w:rsidR="00492E53" w:rsidRPr="00492E53" w:rsidTr="00E7572D">
        <w:trPr>
          <w:tblHeader/>
        </w:trPr>
        <w:tc>
          <w:tcPr>
            <w:tcW w:w="13892" w:type="dxa"/>
          </w:tcPr>
          <w:p w:rsidR="00492E53" w:rsidRPr="00492E53" w:rsidRDefault="00492E53" w:rsidP="00492E53">
            <w:pPr>
              <w:rPr>
                <w:sz w:val="20"/>
                <w:szCs w:val="20"/>
              </w:rPr>
            </w:pPr>
          </w:p>
          <w:p w:rsidR="00492E53" w:rsidRPr="00492E53" w:rsidRDefault="00492E53" w:rsidP="00492E53">
            <w:pPr>
              <w:rPr>
                <w:sz w:val="20"/>
                <w:szCs w:val="20"/>
              </w:rPr>
            </w:pPr>
          </w:p>
          <w:p w:rsidR="00492E53" w:rsidRDefault="00492E53"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2B7772" w:rsidRDefault="002B7772" w:rsidP="00492E53">
            <w:pPr>
              <w:rPr>
                <w:sz w:val="20"/>
                <w:szCs w:val="20"/>
              </w:rPr>
            </w:pPr>
          </w:p>
          <w:p w:rsidR="00492E53" w:rsidRPr="00492E53" w:rsidRDefault="00492E53" w:rsidP="00492E53">
            <w:pPr>
              <w:rPr>
                <w:sz w:val="20"/>
                <w:szCs w:val="20"/>
              </w:rPr>
            </w:pPr>
          </w:p>
        </w:tc>
      </w:tr>
    </w:tbl>
    <w:p w:rsidR="00492E53" w:rsidRPr="00492E53" w:rsidRDefault="00492E53" w:rsidP="007546C2"/>
    <w:sectPr w:rsidR="00492E53" w:rsidRPr="00492E53" w:rsidSect="006C540A">
      <w:pgSz w:w="16840" w:h="11900" w:orient="landscape"/>
      <w:pgMar w:top="1134" w:right="1418" w:bottom="1134" w:left="1418"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7BE" w:rsidRDefault="006A57BE" w:rsidP="00A716D1">
      <w:r>
        <w:separator/>
      </w:r>
    </w:p>
  </w:endnote>
  <w:endnote w:type="continuationSeparator" w:id="0">
    <w:p w:rsidR="006A57BE" w:rsidRDefault="006A57BE"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7BE" w:rsidRDefault="006A57BE"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6A57BE" w:rsidRDefault="006A57BE" w:rsidP="00A71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7BE" w:rsidRPr="004C3C1D" w:rsidRDefault="006A57BE" w:rsidP="004C3C1D">
    <w:pPr>
      <w:pStyle w:val="Footer"/>
      <w:jc w:val="center"/>
      <w:rPr>
        <w:rStyle w:val="PageNumber"/>
        <w:szCs w:val="24"/>
      </w:rPr>
    </w:pPr>
    <w:r w:rsidRPr="004C3C1D">
      <w:rPr>
        <w:rStyle w:val="PageNumber"/>
        <w:szCs w:val="24"/>
      </w:rPr>
      <w:fldChar w:fldCharType="begin"/>
    </w:r>
    <w:r w:rsidRPr="004C3C1D">
      <w:rPr>
        <w:rStyle w:val="PageNumber"/>
        <w:szCs w:val="24"/>
      </w:rPr>
      <w:instrText xml:space="preserve">PAGE  </w:instrText>
    </w:r>
    <w:r w:rsidRPr="004C3C1D">
      <w:rPr>
        <w:rStyle w:val="PageNumber"/>
        <w:szCs w:val="24"/>
      </w:rPr>
      <w:fldChar w:fldCharType="separate"/>
    </w:r>
    <w:r w:rsidR="00EB59B6">
      <w:rPr>
        <w:rStyle w:val="PageNumber"/>
        <w:noProof/>
        <w:szCs w:val="24"/>
      </w:rPr>
      <w:t>4</w:t>
    </w:r>
    <w:r w:rsidRPr="004C3C1D">
      <w:rPr>
        <w:rStyle w:val="PageNumber"/>
        <w:szCs w:val="24"/>
      </w:rPr>
      <w:fldChar w:fldCharType="end"/>
    </w:r>
  </w:p>
  <w:p w:rsidR="006A57BE" w:rsidRPr="004C3C1D" w:rsidRDefault="006A57BE" w:rsidP="004C3C1D">
    <w:pPr>
      <w:pStyle w:val="Footer"/>
      <w:jc w:val="cen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7BE" w:rsidRDefault="006A57BE" w:rsidP="00A716D1">
      <w:r>
        <w:separator/>
      </w:r>
    </w:p>
  </w:footnote>
  <w:footnote w:type="continuationSeparator" w:id="0">
    <w:p w:rsidR="006A57BE" w:rsidRDefault="006A57BE" w:rsidP="00A71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4339"/>
    <w:multiLevelType w:val="hybridMultilevel"/>
    <w:tmpl w:val="1514F6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4F1AC7"/>
    <w:multiLevelType w:val="hybridMultilevel"/>
    <w:tmpl w:val="EC54E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A938D3"/>
    <w:multiLevelType w:val="hybridMultilevel"/>
    <w:tmpl w:val="93BC0284"/>
    <w:lvl w:ilvl="0" w:tplc="C360CE7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6846E1D"/>
    <w:multiLevelType w:val="multilevel"/>
    <w:tmpl w:val="49C8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2C50471D"/>
    <w:multiLevelType w:val="multilevel"/>
    <w:tmpl w:val="37A403C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153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CF44577"/>
    <w:multiLevelType w:val="hybridMultilevel"/>
    <w:tmpl w:val="662AD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AF6228"/>
    <w:multiLevelType w:val="hybridMultilevel"/>
    <w:tmpl w:val="1A605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E74CDF"/>
    <w:multiLevelType w:val="multilevel"/>
    <w:tmpl w:val="0422D0F2"/>
    <w:lvl w:ilvl="0">
      <w:start w:val="13"/>
      <w:numFmt w:val="decimal"/>
      <w:lvlText w:val="%1"/>
      <w:lvlJc w:val="left"/>
      <w:pPr>
        <w:ind w:left="375" w:hanging="375"/>
      </w:pPr>
      <w:rPr>
        <w:rFonts w:hint="default"/>
      </w:rPr>
    </w:lvl>
    <w:lvl w:ilvl="1">
      <w:start w:val="1"/>
      <w:numFmt w:val="decimal"/>
      <w:lvlText w:val="%1.%2"/>
      <w:lvlJc w:val="left"/>
      <w:pPr>
        <w:ind w:left="659" w:hanging="37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8EB2736"/>
    <w:multiLevelType w:val="hybridMultilevel"/>
    <w:tmpl w:val="A3C2D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2B83116"/>
    <w:multiLevelType w:val="hybridMultilevel"/>
    <w:tmpl w:val="2E9EB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142C86"/>
    <w:multiLevelType w:val="hybridMultilevel"/>
    <w:tmpl w:val="009A50C0"/>
    <w:lvl w:ilvl="0" w:tplc="66065E7A">
      <w:start w:val="1"/>
      <w:numFmt w:val="bullet"/>
      <w:pStyle w:val="DHBulletlist"/>
      <w:lvlText w:val=""/>
      <w:lvlJc w:val="left"/>
      <w:pPr>
        <w:tabs>
          <w:tab w:val="num" w:pos="360"/>
        </w:tabs>
        <w:ind w:left="360" w:hanging="360"/>
      </w:pPr>
      <w:rPr>
        <w:rFonts w:ascii="Symbol" w:hAnsi="Symbol" w:hint="default"/>
        <w:color w:val="0099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83405B"/>
    <w:multiLevelType w:val="hybridMultilevel"/>
    <w:tmpl w:val="25C2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52B017C"/>
    <w:multiLevelType w:val="hybridMultilevel"/>
    <w:tmpl w:val="F3FC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1555AF"/>
    <w:multiLevelType w:val="hybridMultilevel"/>
    <w:tmpl w:val="A9EC4B5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9146B01"/>
    <w:multiLevelType w:val="hybridMultilevel"/>
    <w:tmpl w:val="F0FED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C3452EF"/>
    <w:multiLevelType w:val="hybridMultilevel"/>
    <w:tmpl w:val="A2342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0E54623"/>
    <w:multiLevelType w:val="hybridMultilevel"/>
    <w:tmpl w:val="E320F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0E96F94"/>
    <w:multiLevelType w:val="hybridMultilevel"/>
    <w:tmpl w:val="ADDA2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A2358A7"/>
    <w:multiLevelType w:val="hybridMultilevel"/>
    <w:tmpl w:val="9A36A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FE12686"/>
    <w:multiLevelType w:val="hybridMultilevel"/>
    <w:tmpl w:val="F228A8C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
  </w:num>
  <w:num w:numId="2">
    <w:abstractNumId w:val="5"/>
  </w:num>
  <w:num w:numId="3">
    <w:abstractNumId w:val="12"/>
  </w:num>
  <w:num w:numId="4">
    <w:abstractNumId w:val="2"/>
  </w:num>
  <w:num w:numId="5">
    <w:abstractNumId w:val="7"/>
  </w:num>
  <w:num w:numId="6">
    <w:abstractNumId w:val="9"/>
  </w:num>
  <w:num w:numId="7">
    <w:abstractNumId w:val="8"/>
  </w:num>
  <w:num w:numId="8">
    <w:abstractNumId w:val="13"/>
  </w:num>
  <w:num w:numId="9">
    <w:abstractNumId w:val="21"/>
  </w:num>
  <w:num w:numId="10">
    <w:abstractNumId w:val="0"/>
  </w:num>
  <w:num w:numId="11">
    <w:abstractNumId w:val="20"/>
  </w:num>
  <w:num w:numId="12">
    <w:abstractNumId w:val="16"/>
  </w:num>
  <w:num w:numId="13">
    <w:abstractNumId w:val="14"/>
  </w:num>
  <w:num w:numId="14">
    <w:abstractNumId w:val="11"/>
  </w:num>
  <w:num w:numId="15">
    <w:abstractNumId w:val="19"/>
  </w:num>
  <w:num w:numId="16">
    <w:abstractNumId w:val="22"/>
  </w:num>
  <w:num w:numId="17">
    <w:abstractNumId w:val="10"/>
  </w:num>
  <w:num w:numId="18">
    <w:abstractNumId w:val="4"/>
  </w:num>
  <w:num w:numId="19">
    <w:abstractNumId w:val="17"/>
  </w:num>
  <w:num w:numId="20">
    <w:abstractNumId w:val="3"/>
  </w:num>
  <w:num w:numId="21">
    <w:abstractNumId w:val="15"/>
  </w:num>
  <w:num w:numId="22">
    <w:abstractNumId w:val="6"/>
    <w:lvlOverride w:ilvl="0">
      <w:lvl w:ilvl="0">
        <w:start w:val="1"/>
        <w:numFmt w:val="decimal"/>
        <w:lvlText w:val="%1"/>
        <w:lvlJc w:val="left"/>
        <w:pPr>
          <w:ind w:left="851" w:hanging="851"/>
        </w:pPr>
        <w:rPr>
          <w:rFonts w:hint="default"/>
          <w:color w:val="A00054" w:themeColor="accent2"/>
          <w:sz w:val="28"/>
          <w:szCs w:val="28"/>
        </w:rPr>
      </w:lvl>
    </w:lvlOverride>
    <w:lvlOverride w:ilvl="1">
      <w:lvl w:ilvl="1">
        <w:start w:val="1"/>
        <w:numFmt w:val="decimal"/>
        <w:lvlText w:val="%1.%2"/>
        <w:lvlJc w:val="left"/>
        <w:pPr>
          <w:ind w:left="851" w:hanging="851"/>
        </w:pPr>
        <w:rPr>
          <w:rFonts w:hint="default"/>
          <w:b w:val="0"/>
          <w:color w:val="auto"/>
          <w:sz w:val="24"/>
          <w:szCs w:val="24"/>
        </w:rPr>
      </w:lvl>
    </w:lvlOverride>
    <w:lvlOverride w:ilvl="2">
      <w:lvl w:ilvl="2">
        <w:start w:val="1"/>
        <w:numFmt w:val="bullet"/>
        <w:lvlText w:val=""/>
        <w:lvlJc w:val="left"/>
        <w:pPr>
          <w:ind w:left="1531" w:hanging="397"/>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3276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Outlines" w:val="0"/>
    <w:docVar w:name="ShowStaticGuides" w:val="1"/>
  </w:docVars>
  <w:rsids>
    <w:rsidRoot w:val="005D6B38"/>
    <w:rsid w:val="000009C3"/>
    <w:rsid w:val="000206D7"/>
    <w:rsid w:val="0002174B"/>
    <w:rsid w:val="00023944"/>
    <w:rsid w:val="00031797"/>
    <w:rsid w:val="000325BD"/>
    <w:rsid w:val="00040D57"/>
    <w:rsid w:val="000419B4"/>
    <w:rsid w:val="00050D0D"/>
    <w:rsid w:val="00055930"/>
    <w:rsid w:val="00077B51"/>
    <w:rsid w:val="00095B31"/>
    <w:rsid w:val="000F195C"/>
    <w:rsid w:val="00102A99"/>
    <w:rsid w:val="0011476E"/>
    <w:rsid w:val="001466BF"/>
    <w:rsid w:val="00152FB6"/>
    <w:rsid w:val="001636C4"/>
    <w:rsid w:val="001718C6"/>
    <w:rsid w:val="00174767"/>
    <w:rsid w:val="00182516"/>
    <w:rsid w:val="00184E99"/>
    <w:rsid w:val="001940F4"/>
    <w:rsid w:val="00194EB6"/>
    <w:rsid w:val="001A3439"/>
    <w:rsid w:val="001B62FE"/>
    <w:rsid w:val="001C2FAF"/>
    <w:rsid w:val="001C50E6"/>
    <w:rsid w:val="001E477C"/>
    <w:rsid w:val="00211279"/>
    <w:rsid w:val="00222A7E"/>
    <w:rsid w:val="002559BF"/>
    <w:rsid w:val="0025692A"/>
    <w:rsid w:val="00281CE0"/>
    <w:rsid w:val="002A0C8D"/>
    <w:rsid w:val="002B1F68"/>
    <w:rsid w:val="002B7772"/>
    <w:rsid w:val="002C542F"/>
    <w:rsid w:val="002D107A"/>
    <w:rsid w:val="002E4212"/>
    <w:rsid w:val="002F2335"/>
    <w:rsid w:val="00307070"/>
    <w:rsid w:val="003113FB"/>
    <w:rsid w:val="00317645"/>
    <w:rsid w:val="00325616"/>
    <w:rsid w:val="003330F2"/>
    <w:rsid w:val="003357B2"/>
    <w:rsid w:val="00343845"/>
    <w:rsid w:val="00344C9D"/>
    <w:rsid w:val="00357AFE"/>
    <w:rsid w:val="00383ABD"/>
    <w:rsid w:val="00397E3E"/>
    <w:rsid w:val="003A13D3"/>
    <w:rsid w:val="003B2D5D"/>
    <w:rsid w:val="003B511C"/>
    <w:rsid w:val="003C7C71"/>
    <w:rsid w:val="003E1C1F"/>
    <w:rsid w:val="003E3E21"/>
    <w:rsid w:val="003F18A0"/>
    <w:rsid w:val="003F4F0A"/>
    <w:rsid w:val="00403D8C"/>
    <w:rsid w:val="004409E2"/>
    <w:rsid w:val="00460D6B"/>
    <w:rsid w:val="004704A2"/>
    <w:rsid w:val="0047274A"/>
    <w:rsid w:val="004863FB"/>
    <w:rsid w:val="0049170F"/>
    <w:rsid w:val="00492E53"/>
    <w:rsid w:val="004A19CA"/>
    <w:rsid w:val="004B2A95"/>
    <w:rsid w:val="004C1D4E"/>
    <w:rsid w:val="004C3900"/>
    <w:rsid w:val="004C3C1D"/>
    <w:rsid w:val="004C7895"/>
    <w:rsid w:val="004E2398"/>
    <w:rsid w:val="005045B3"/>
    <w:rsid w:val="00510785"/>
    <w:rsid w:val="005629D1"/>
    <w:rsid w:val="005B40B1"/>
    <w:rsid w:val="005D40A3"/>
    <w:rsid w:val="005D6B38"/>
    <w:rsid w:val="005E65DC"/>
    <w:rsid w:val="005F27A1"/>
    <w:rsid w:val="006340A7"/>
    <w:rsid w:val="006660A4"/>
    <w:rsid w:val="00667E6C"/>
    <w:rsid w:val="0069518C"/>
    <w:rsid w:val="006968CB"/>
    <w:rsid w:val="006A0B73"/>
    <w:rsid w:val="006A5511"/>
    <w:rsid w:val="006A57BE"/>
    <w:rsid w:val="006B1775"/>
    <w:rsid w:val="006C540A"/>
    <w:rsid w:val="006C5902"/>
    <w:rsid w:val="006D4362"/>
    <w:rsid w:val="006F595D"/>
    <w:rsid w:val="006F6EE6"/>
    <w:rsid w:val="007017BC"/>
    <w:rsid w:val="0071074D"/>
    <w:rsid w:val="007128F6"/>
    <w:rsid w:val="00733083"/>
    <w:rsid w:val="007546C2"/>
    <w:rsid w:val="007569A9"/>
    <w:rsid w:val="00757ABA"/>
    <w:rsid w:val="0076219B"/>
    <w:rsid w:val="0078519C"/>
    <w:rsid w:val="00785EED"/>
    <w:rsid w:val="007926F4"/>
    <w:rsid w:val="007B5FED"/>
    <w:rsid w:val="007D1356"/>
    <w:rsid w:val="007E08F7"/>
    <w:rsid w:val="007E3B4F"/>
    <w:rsid w:val="007F0755"/>
    <w:rsid w:val="00800CFA"/>
    <w:rsid w:val="00801F51"/>
    <w:rsid w:val="00805370"/>
    <w:rsid w:val="00821E02"/>
    <w:rsid w:val="00827201"/>
    <w:rsid w:val="00857123"/>
    <w:rsid w:val="00875080"/>
    <w:rsid w:val="00881053"/>
    <w:rsid w:val="00894880"/>
    <w:rsid w:val="008A4B40"/>
    <w:rsid w:val="008B1A71"/>
    <w:rsid w:val="008B71E5"/>
    <w:rsid w:val="008C174F"/>
    <w:rsid w:val="008D1D3C"/>
    <w:rsid w:val="008E31E8"/>
    <w:rsid w:val="008E34EA"/>
    <w:rsid w:val="008E574F"/>
    <w:rsid w:val="0090040F"/>
    <w:rsid w:val="009073EA"/>
    <w:rsid w:val="00947CBB"/>
    <w:rsid w:val="0097040E"/>
    <w:rsid w:val="00985B42"/>
    <w:rsid w:val="00990557"/>
    <w:rsid w:val="009A3546"/>
    <w:rsid w:val="009A48B0"/>
    <w:rsid w:val="009B0630"/>
    <w:rsid w:val="009B71E0"/>
    <w:rsid w:val="009C3A3D"/>
    <w:rsid w:val="009D0885"/>
    <w:rsid w:val="009D7A81"/>
    <w:rsid w:val="00A03CFA"/>
    <w:rsid w:val="00A2093B"/>
    <w:rsid w:val="00A4250E"/>
    <w:rsid w:val="00A5078E"/>
    <w:rsid w:val="00A55267"/>
    <w:rsid w:val="00A566AC"/>
    <w:rsid w:val="00A60833"/>
    <w:rsid w:val="00A611C6"/>
    <w:rsid w:val="00A716D1"/>
    <w:rsid w:val="00A71B20"/>
    <w:rsid w:val="00A72CBF"/>
    <w:rsid w:val="00AB549D"/>
    <w:rsid w:val="00AD18FA"/>
    <w:rsid w:val="00AE0D75"/>
    <w:rsid w:val="00AE133E"/>
    <w:rsid w:val="00AE3334"/>
    <w:rsid w:val="00B16DC1"/>
    <w:rsid w:val="00B429DF"/>
    <w:rsid w:val="00B44E3A"/>
    <w:rsid w:val="00B45176"/>
    <w:rsid w:val="00B51CDD"/>
    <w:rsid w:val="00B547E6"/>
    <w:rsid w:val="00B667BC"/>
    <w:rsid w:val="00B875DD"/>
    <w:rsid w:val="00B9046E"/>
    <w:rsid w:val="00B961B8"/>
    <w:rsid w:val="00BA1EF6"/>
    <w:rsid w:val="00BC1ED6"/>
    <w:rsid w:val="00BD0523"/>
    <w:rsid w:val="00BF4DE0"/>
    <w:rsid w:val="00C15660"/>
    <w:rsid w:val="00C16200"/>
    <w:rsid w:val="00C34B31"/>
    <w:rsid w:val="00C373AD"/>
    <w:rsid w:val="00C50A84"/>
    <w:rsid w:val="00C51EE0"/>
    <w:rsid w:val="00C641EE"/>
    <w:rsid w:val="00C648C3"/>
    <w:rsid w:val="00C66517"/>
    <w:rsid w:val="00C8654D"/>
    <w:rsid w:val="00C94915"/>
    <w:rsid w:val="00C94F2C"/>
    <w:rsid w:val="00C953C8"/>
    <w:rsid w:val="00CA78CE"/>
    <w:rsid w:val="00CB7A7F"/>
    <w:rsid w:val="00CC5B4D"/>
    <w:rsid w:val="00CD478E"/>
    <w:rsid w:val="00CE2F07"/>
    <w:rsid w:val="00CE3904"/>
    <w:rsid w:val="00D04A3A"/>
    <w:rsid w:val="00D07D9D"/>
    <w:rsid w:val="00D376C3"/>
    <w:rsid w:val="00D86A05"/>
    <w:rsid w:val="00D9536A"/>
    <w:rsid w:val="00DA2AB7"/>
    <w:rsid w:val="00DB2251"/>
    <w:rsid w:val="00DF3FB0"/>
    <w:rsid w:val="00E01309"/>
    <w:rsid w:val="00E033C2"/>
    <w:rsid w:val="00E21D91"/>
    <w:rsid w:val="00E3236C"/>
    <w:rsid w:val="00E52ACB"/>
    <w:rsid w:val="00E72C89"/>
    <w:rsid w:val="00E7572D"/>
    <w:rsid w:val="00E9155B"/>
    <w:rsid w:val="00EB549C"/>
    <w:rsid w:val="00EB59B6"/>
    <w:rsid w:val="00EB7419"/>
    <w:rsid w:val="00ED0920"/>
    <w:rsid w:val="00ED7D57"/>
    <w:rsid w:val="00EE7E9A"/>
    <w:rsid w:val="00F119E7"/>
    <w:rsid w:val="00F11B7F"/>
    <w:rsid w:val="00F17AD6"/>
    <w:rsid w:val="00F531B7"/>
    <w:rsid w:val="00F6500A"/>
    <w:rsid w:val="00F76189"/>
    <w:rsid w:val="00F775D6"/>
    <w:rsid w:val="00F85896"/>
    <w:rsid w:val="00FA7FDE"/>
    <w:rsid w:val="00FB587A"/>
    <w:rsid w:val="00FE464E"/>
    <w:rsid w:val="00FE597E"/>
    <w:rsid w:val="00FF64E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9"/>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9"/>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9"/>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9"/>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HBulletlist">
    <w:name w:val="DH Bullet list"/>
    <w:basedOn w:val="Normal"/>
    <w:rsid w:val="003113FB"/>
    <w:pPr>
      <w:numPr>
        <w:numId w:val="3"/>
      </w:numPr>
      <w:spacing w:line="320" w:lineRule="exact"/>
    </w:pPr>
    <w:rPr>
      <w:bCs w:val="0"/>
      <w:szCs w:val="20"/>
    </w:rPr>
  </w:style>
  <w:style w:type="paragraph" w:customStyle="1" w:styleId="DHSecondaryHeadingOne">
    <w:name w:val="DH Secondary Heading One"/>
    <w:basedOn w:val="Normal"/>
    <w:link w:val="DHSecondaryHeadingOneChar"/>
    <w:rsid w:val="003113FB"/>
    <w:pPr>
      <w:spacing w:line="360" w:lineRule="exact"/>
    </w:pPr>
    <w:rPr>
      <w:bCs w:val="0"/>
      <w:color w:val="009966"/>
      <w:sz w:val="28"/>
      <w:szCs w:val="20"/>
    </w:rPr>
  </w:style>
  <w:style w:type="character" w:customStyle="1" w:styleId="DHSecondaryHeadingOneChar">
    <w:name w:val="DH Secondary Heading One Char"/>
    <w:link w:val="DHSecondaryHeadingOne"/>
    <w:rsid w:val="003113FB"/>
    <w:rPr>
      <w:rFonts w:eastAsia="Times New Roman"/>
      <w:color w:val="009966"/>
      <w:sz w:val="28"/>
      <w:szCs w:val="20"/>
      <w:lang w:eastAsia="en-US"/>
    </w:rPr>
  </w:style>
  <w:style w:type="character" w:styleId="CommentReference">
    <w:name w:val="annotation reference"/>
    <w:basedOn w:val="DefaultParagraphFont"/>
    <w:uiPriority w:val="99"/>
    <w:semiHidden/>
    <w:unhideWhenUsed/>
    <w:rsid w:val="00DF3FB0"/>
    <w:rPr>
      <w:sz w:val="16"/>
      <w:szCs w:val="16"/>
    </w:rPr>
  </w:style>
  <w:style w:type="paragraph" w:styleId="CommentText">
    <w:name w:val="annotation text"/>
    <w:basedOn w:val="Normal"/>
    <w:link w:val="CommentTextChar"/>
    <w:uiPriority w:val="99"/>
    <w:semiHidden/>
    <w:unhideWhenUsed/>
    <w:rsid w:val="00DF3FB0"/>
    <w:rPr>
      <w:sz w:val="20"/>
      <w:szCs w:val="20"/>
    </w:rPr>
  </w:style>
  <w:style w:type="character" w:customStyle="1" w:styleId="CommentTextChar">
    <w:name w:val="Comment Text Char"/>
    <w:basedOn w:val="DefaultParagraphFont"/>
    <w:link w:val="CommentText"/>
    <w:uiPriority w:val="99"/>
    <w:semiHidden/>
    <w:rsid w:val="00DF3FB0"/>
    <w:rPr>
      <w:rFonts w:eastAsia="Times New Roman"/>
      <w:bCs/>
      <w:sz w:val="20"/>
      <w:szCs w:val="20"/>
      <w:lang w:eastAsia="en-US"/>
    </w:rPr>
  </w:style>
  <w:style w:type="character" w:styleId="Strong">
    <w:name w:val="Strong"/>
    <w:basedOn w:val="DefaultParagraphFont"/>
    <w:uiPriority w:val="22"/>
    <w:qFormat/>
    <w:rsid w:val="009B0630"/>
    <w:rPr>
      <w:b/>
      <w:bCs/>
    </w:rPr>
  </w:style>
  <w:style w:type="paragraph" w:customStyle="1" w:styleId="Default">
    <w:name w:val="Default"/>
    <w:rsid w:val="008E34EA"/>
    <w:pPr>
      <w:autoSpaceDE w:val="0"/>
      <w:autoSpaceDN w:val="0"/>
      <w:adjustRightInd w:val="0"/>
    </w:pPr>
    <w:rPr>
      <w:rFonts w:ascii="Syntax" w:eastAsia="MS ??" w:hAnsi="Syntax" w:cs="Syntax"/>
      <w:color w:val="000000"/>
    </w:rPr>
  </w:style>
  <w:style w:type="paragraph" w:styleId="FootnoteText">
    <w:name w:val="footnote text"/>
    <w:basedOn w:val="Normal"/>
    <w:link w:val="FootnoteTextChar"/>
    <w:uiPriority w:val="99"/>
    <w:semiHidden/>
    <w:unhideWhenUsed/>
    <w:rsid w:val="009073EA"/>
    <w:rPr>
      <w:rFonts w:cs="Arial"/>
      <w:bCs w:val="0"/>
      <w:sz w:val="20"/>
      <w:szCs w:val="20"/>
    </w:rPr>
  </w:style>
  <w:style w:type="character" w:customStyle="1" w:styleId="FootnoteTextChar">
    <w:name w:val="Footnote Text Char"/>
    <w:basedOn w:val="DefaultParagraphFont"/>
    <w:link w:val="FootnoteText"/>
    <w:uiPriority w:val="99"/>
    <w:semiHidden/>
    <w:rsid w:val="009073EA"/>
    <w:rPr>
      <w:rFonts w:eastAsia="Times New Roman" w:cs="Arial"/>
      <w:sz w:val="20"/>
      <w:szCs w:val="20"/>
      <w:lang w:eastAsia="en-US"/>
    </w:rPr>
  </w:style>
  <w:style w:type="character" w:styleId="FootnoteReference">
    <w:name w:val="footnote reference"/>
    <w:basedOn w:val="DefaultParagraphFont"/>
    <w:uiPriority w:val="99"/>
    <w:semiHidden/>
    <w:unhideWhenUsed/>
    <w:rsid w:val="009073EA"/>
    <w:rPr>
      <w:vertAlign w:val="superscript"/>
    </w:rPr>
  </w:style>
  <w:style w:type="paragraph" w:styleId="NormalWeb">
    <w:name w:val="Normal (Web)"/>
    <w:basedOn w:val="Normal"/>
    <w:uiPriority w:val="99"/>
    <w:unhideWhenUsed/>
    <w:rsid w:val="008E31E8"/>
    <w:pPr>
      <w:spacing w:before="100" w:beforeAutospacing="1" w:after="100" w:afterAutospacing="1"/>
    </w:pPr>
    <w:rPr>
      <w:rFonts w:ascii="Times New Roman" w:hAnsi="Times New Roman"/>
      <w:bCs w:val="0"/>
      <w:szCs w:val="24"/>
      <w:lang w:eastAsia="en-GB"/>
    </w:rPr>
  </w:style>
  <w:style w:type="paragraph" w:styleId="CommentSubject">
    <w:name w:val="annotation subject"/>
    <w:basedOn w:val="CommentText"/>
    <w:next w:val="CommentText"/>
    <w:link w:val="CommentSubjectChar"/>
    <w:uiPriority w:val="99"/>
    <w:semiHidden/>
    <w:unhideWhenUsed/>
    <w:rsid w:val="008B1A71"/>
    <w:rPr>
      <w:b/>
    </w:rPr>
  </w:style>
  <w:style w:type="character" w:customStyle="1" w:styleId="CommentSubjectChar">
    <w:name w:val="Comment Subject Char"/>
    <w:basedOn w:val="CommentTextChar"/>
    <w:link w:val="CommentSubject"/>
    <w:uiPriority w:val="99"/>
    <w:semiHidden/>
    <w:rsid w:val="008B1A71"/>
    <w:rPr>
      <w:rFonts w:eastAsia="Times New Roman"/>
      <w:b/>
      <w:bCs/>
      <w:sz w:val="20"/>
      <w:szCs w:val="20"/>
      <w:lang w:eastAsia="en-US"/>
    </w:rPr>
  </w:style>
  <w:style w:type="paragraph" w:customStyle="1" w:styleId="TitleV5">
    <w:name w:val="Title V5"/>
    <w:basedOn w:val="Normal"/>
    <w:next w:val="Normal"/>
    <w:qFormat/>
    <w:rsid w:val="0049170F"/>
    <w:pPr>
      <w:numPr>
        <w:ilvl w:val="1"/>
        <w:numId w:val="23"/>
      </w:numPr>
      <w:spacing w:after="200" w:line="276" w:lineRule="auto"/>
      <w:jc w:val="both"/>
    </w:pPr>
    <w:rPr>
      <w:rFonts w:cs="Arial"/>
      <w:bC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9"/>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9"/>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9"/>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9"/>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HBulletlist">
    <w:name w:val="DH Bullet list"/>
    <w:basedOn w:val="Normal"/>
    <w:rsid w:val="003113FB"/>
    <w:pPr>
      <w:numPr>
        <w:numId w:val="3"/>
      </w:numPr>
      <w:spacing w:line="320" w:lineRule="exact"/>
    </w:pPr>
    <w:rPr>
      <w:bCs w:val="0"/>
      <w:szCs w:val="20"/>
    </w:rPr>
  </w:style>
  <w:style w:type="paragraph" w:customStyle="1" w:styleId="DHSecondaryHeadingOne">
    <w:name w:val="DH Secondary Heading One"/>
    <w:basedOn w:val="Normal"/>
    <w:link w:val="DHSecondaryHeadingOneChar"/>
    <w:rsid w:val="003113FB"/>
    <w:pPr>
      <w:spacing w:line="360" w:lineRule="exact"/>
    </w:pPr>
    <w:rPr>
      <w:bCs w:val="0"/>
      <w:color w:val="009966"/>
      <w:sz w:val="28"/>
      <w:szCs w:val="20"/>
    </w:rPr>
  </w:style>
  <w:style w:type="character" w:customStyle="1" w:styleId="DHSecondaryHeadingOneChar">
    <w:name w:val="DH Secondary Heading One Char"/>
    <w:link w:val="DHSecondaryHeadingOne"/>
    <w:rsid w:val="003113FB"/>
    <w:rPr>
      <w:rFonts w:eastAsia="Times New Roman"/>
      <w:color w:val="009966"/>
      <w:sz w:val="28"/>
      <w:szCs w:val="20"/>
      <w:lang w:eastAsia="en-US"/>
    </w:rPr>
  </w:style>
  <w:style w:type="character" w:styleId="CommentReference">
    <w:name w:val="annotation reference"/>
    <w:basedOn w:val="DefaultParagraphFont"/>
    <w:uiPriority w:val="99"/>
    <w:semiHidden/>
    <w:unhideWhenUsed/>
    <w:rsid w:val="00DF3FB0"/>
    <w:rPr>
      <w:sz w:val="16"/>
      <w:szCs w:val="16"/>
    </w:rPr>
  </w:style>
  <w:style w:type="paragraph" w:styleId="CommentText">
    <w:name w:val="annotation text"/>
    <w:basedOn w:val="Normal"/>
    <w:link w:val="CommentTextChar"/>
    <w:uiPriority w:val="99"/>
    <w:semiHidden/>
    <w:unhideWhenUsed/>
    <w:rsid w:val="00DF3FB0"/>
    <w:rPr>
      <w:sz w:val="20"/>
      <w:szCs w:val="20"/>
    </w:rPr>
  </w:style>
  <w:style w:type="character" w:customStyle="1" w:styleId="CommentTextChar">
    <w:name w:val="Comment Text Char"/>
    <w:basedOn w:val="DefaultParagraphFont"/>
    <w:link w:val="CommentText"/>
    <w:uiPriority w:val="99"/>
    <w:semiHidden/>
    <w:rsid w:val="00DF3FB0"/>
    <w:rPr>
      <w:rFonts w:eastAsia="Times New Roman"/>
      <w:bCs/>
      <w:sz w:val="20"/>
      <w:szCs w:val="20"/>
      <w:lang w:eastAsia="en-US"/>
    </w:rPr>
  </w:style>
  <w:style w:type="character" w:styleId="Strong">
    <w:name w:val="Strong"/>
    <w:basedOn w:val="DefaultParagraphFont"/>
    <w:uiPriority w:val="22"/>
    <w:qFormat/>
    <w:rsid w:val="009B0630"/>
    <w:rPr>
      <w:b/>
      <w:bCs/>
    </w:rPr>
  </w:style>
  <w:style w:type="paragraph" w:customStyle="1" w:styleId="Default">
    <w:name w:val="Default"/>
    <w:rsid w:val="008E34EA"/>
    <w:pPr>
      <w:autoSpaceDE w:val="0"/>
      <w:autoSpaceDN w:val="0"/>
      <w:adjustRightInd w:val="0"/>
    </w:pPr>
    <w:rPr>
      <w:rFonts w:ascii="Syntax" w:eastAsia="MS ??" w:hAnsi="Syntax" w:cs="Syntax"/>
      <w:color w:val="000000"/>
    </w:rPr>
  </w:style>
  <w:style w:type="paragraph" w:styleId="FootnoteText">
    <w:name w:val="footnote text"/>
    <w:basedOn w:val="Normal"/>
    <w:link w:val="FootnoteTextChar"/>
    <w:uiPriority w:val="99"/>
    <w:semiHidden/>
    <w:unhideWhenUsed/>
    <w:rsid w:val="009073EA"/>
    <w:rPr>
      <w:rFonts w:cs="Arial"/>
      <w:bCs w:val="0"/>
      <w:sz w:val="20"/>
      <w:szCs w:val="20"/>
    </w:rPr>
  </w:style>
  <w:style w:type="character" w:customStyle="1" w:styleId="FootnoteTextChar">
    <w:name w:val="Footnote Text Char"/>
    <w:basedOn w:val="DefaultParagraphFont"/>
    <w:link w:val="FootnoteText"/>
    <w:uiPriority w:val="99"/>
    <w:semiHidden/>
    <w:rsid w:val="009073EA"/>
    <w:rPr>
      <w:rFonts w:eastAsia="Times New Roman" w:cs="Arial"/>
      <w:sz w:val="20"/>
      <w:szCs w:val="20"/>
      <w:lang w:eastAsia="en-US"/>
    </w:rPr>
  </w:style>
  <w:style w:type="character" w:styleId="FootnoteReference">
    <w:name w:val="footnote reference"/>
    <w:basedOn w:val="DefaultParagraphFont"/>
    <w:uiPriority w:val="99"/>
    <w:semiHidden/>
    <w:unhideWhenUsed/>
    <w:rsid w:val="009073EA"/>
    <w:rPr>
      <w:vertAlign w:val="superscript"/>
    </w:rPr>
  </w:style>
  <w:style w:type="paragraph" w:styleId="NormalWeb">
    <w:name w:val="Normal (Web)"/>
    <w:basedOn w:val="Normal"/>
    <w:uiPriority w:val="99"/>
    <w:unhideWhenUsed/>
    <w:rsid w:val="008E31E8"/>
    <w:pPr>
      <w:spacing w:before="100" w:beforeAutospacing="1" w:after="100" w:afterAutospacing="1"/>
    </w:pPr>
    <w:rPr>
      <w:rFonts w:ascii="Times New Roman" w:hAnsi="Times New Roman"/>
      <w:bCs w:val="0"/>
      <w:szCs w:val="24"/>
      <w:lang w:eastAsia="en-GB"/>
    </w:rPr>
  </w:style>
  <w:style w:type="paragraph" w:styleId="CommentSubject">
    <w:name w:val="annotation subject"/>
    <w:basedOn w:val="CommentText"/>
    <w:next w:val="CommentText"/>
    <w:link w:val="CommentSubjectChar"/>
    <w:uiPriority w:val="99"/>
    <w:semiHidden/>
    <w:unhideWhenUsed/>
    <w:rsid w:val="008B1A71"/>
    <w:rPr>
      <w:b/>
    </w:rPr>
  </w:style>
  <w:style w:type="character" w:customStyle="1" w:styleId="CommentSubjectChar">
    <w:name w:val="Comment Subject Char"/>
    <w:basedOn w:val="CommentTextChar"/>
    <w:link w:val="CommentSubject"/>
    <w:uiPriority w:val="99"/>
    <w:semiHidden/>
    <w:rsid w:val="008B1A71"/>
    <w:rPr>
      <w:rFonts w:eastAsia="Times New Roman"/>
      <w:b/>
      <w:bCs/>
      <w:sz w:val="20"/>
      <w:szCs w:val="20"/>
      <w:lang w:eastAsia="en-US"/>
    </w:rPr>
  </w:style>
  <w:style w:type="paragraph" w:customStyle="1" w:styleId="TitleV5">
    <w:name w:val="Title V5"/>
    <w:basedOn w:val="Normal"/>
    <w:next w:val="Normal"/>
    <w:qFormat/>
    <w:rsid w:val="0049170F"/>
    <w:pPr>
      <w:numPr>
        <w:ilvl w:val="1"/>
        <w:numId w:val="23"/>
      </w:numPr>
      <w:spacing w:after="200" w:line="276" w:lineRule="auto"/>
      <w:jc w:val="both"/>
    </w:pPr>
    <w:rPr>
      <w:rFonts w:cs="Arial"/>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725452">
      <w:bodyDiv w:val="1"/>
      <w:marLeft w:val="0"/>
      <w:marRight w:val="0"/>
      <w:marTop w:val="0"/>
      <w:marBottom w:val="0"/>
      <w:divBdr>
        <w:top w:val="none" w:sz="0" w:space="0" w:color="auto"/>
        <w:left w:val="none" w:sz="0" w:space="0" w:color="auto"/>
        <w:bottom w:val="none" w:sz="0" w:space="0" w:color="auto"/>
        <w:right w:val="none" w:sz="0" w:space="0" w:color="auto"/>
      </w:divBdr>
      <w:divsChild>
        <w:div w:id="795217018">
          <w:marLeft w:val="0"/>
          <w:marRight w:val="0"/>
          <w:marTop w:val="0"/>
          <w:marBottom w:val="0"/>
          <w:divBdr>
            <w:top w:val="none" w:sz="0" w:space="0" w:color="auto"/>
            <w:left w:val="none" w:sz="0" w:space="0" w:color="auto"/>
            <w:bottom w:val="none" w:sz="0" w:space="0" w:color="auto"/>
            <w:right w:val="none" w:sz="0" w:space="0" w:color="auto"/>
          </w:divBdr>
          <w:divsChild>
            <w:div w:id="1422683909">
              <w:marLeft w:val="0"/>
              <w:marRight w:val="0"/>
              <w:marTop w:val="0"/>
              <w:marBottom w:val="0"/>
              <w:divBdr>
                <w:top w:val="none" w:sz="0" w:space="0" w:color="auto"/>
                <w:left w:val="none" w:sz="0" w:space="0" w:color="auto"/>
                <w:bottom w:val="none" w:sz="0" w:space="0" w:color="auto"/>
                <w:right w:val="none" w:sz="0" w:space="0" w:color="auto"/>
              </w:divBdr>
              <w:divsChild>
                <w:div w:id="91900925">
                  <w:marLeft w:val="0"/>
                  <w:marRight w:val="0"/>
                  <w:marTop w:val="0"/>
                  <w:marBottom w:val="0"/>
                  <w:divBdr>
                    <w:top w:val="none" w:sz="0" w:space="0" w:color="auto"/>
                    <w:left w:val="none" w:sz="0" w:space="0" w:color="auto"/>
                    <w:bottom w:val="none" w:sz="0" w:space="0" w:color="auto"/>
                    <w:right w:val="none" w:sz="0" w:space="0" w:color="auto"/>
                  </w:divBdr>
                  <w:divsChild>
                    <w:div w:id="1228491825">
                      <w:marLeft w:val="0"/>
                      <w:marRight w:val="0"/>
                      <w:marTop w:val="0"/>
                      <w:marBottom w:val="0"/>
                      <w:divBdr>
                        <w:top w:val="none" w:sz="0" w:space="0" w:color="auto"/>
                        <w:left w:val="none" w:sz="0" w:space="0" w:color="auto"/>
                        <w:bottom w:val="none" w:sz="0" w:space="0" w:color="auto"/>
                        <w:right w:val="none" w:sz="0" w:space="0" w:color="auto"/>
                      </w:divBdr>
                      <w:divsChild>
                        <w:div w:id="2003459474">
                          <w:marLeft w:val="0"/>
                          <w:marRight w:val="-13800"/>
                          <w:marTop w:val="0"/>
                          <w:marBottom w:val="0"/>
                          <w:divBdr>
                            <w:top w:val="none" w:sz="0" w:space="0" w:color="auto"/>
                            <w:left w:val="none" w:sz="0" w:space="0" w:color="auto"/>
                            <w:bottom w:val="none" w:sz="0" w:space="0" w:color="auto"/>
                            <w:right w:val="none" w:sz="0" w:space="0" w:color="auto"/>
                          </w:divBdr>
                          <w:divsChild>
                            <w:div w:id="1346325262">
                              <w:marLeft w:val="0"/>
                              <w:marRight w:val="0"/>
                              <w:marTop w:val="0"/>
                              <w:marBottom w:val="0"/>
                              <w:divBdr>
                                <w:top w:val="none" w:sz="0" w:space="0" w:color="auto"/>
                                <w:left w:val="none" w:sz="0" w:space="0" w:color="auto"/>
                                <w:bottom w:val="none" w:sz="0" w:space="0" w:color="auto"/>
                                <w:right w:val="none" w:sz="0" w:space="0" w:color="auto"/>
                              </w:divBdr>
                              <w:divsChild>
                                <w:div w:id="1093086884">
                                  <w:marLeft w:val="0"/>
                                  <w:marRight w:val="0"/>
                                  <w:marTop w:val="0"/>
                                  <w:marBottom w:val="0"/>
                                  <w:divBdr>
                                    <w:top w:val="none" w:sz="0" w:space="0" w:color="auto"/>
                                    <w:left w:val="none" w:sz="0" w:space="0" w:color="auto"/>
                                    <w:bottom w:val="none" w:sz="0" w:space="0" w:color="auto"/>
                                    <w:right w:val="none" w:sz="0" w:space="0" w:color="auto"/>
                                  </w:divBdr>
                                  <w:divsChild>
                                    <w:div w:id="818956571">
                                      <w:marLeft w:val="0"/>
                                      <w:marRight w:val="0"/>
                                      <w:marTop w:val="0"/>
                                      <w:marBottom w:val="0"/>
                                      <w:divBdr>
                                        <w:top w:val="none" w:sz="0" w:space="0" w:color="auto"/>
                                        <w:left w:val="none" w:sz="0" w:space="0" w:color="auto"/>
                                        <w:bottom w:val="none" w:sz="0" w:space="0" w:color="auto"/>
                                        <w:right w:val="none" w:sz="0" w:space="0" w:color="auto"/>
                                      </w:divBdr>
                                      <w:divsChild>
                                        <w:div w:id="1980068766">
                                          <w:marLeft w:val="0"/>
                                          <w:marRight w:val="0"/>
                                          <w:marTop w:val="0"/>
                                          <w:marBottom w:val="0"/>
                                          <w:divBdr>
                                            <w:top w:val="none" w:sz="0" w:space="0" w:color="auto"/>
                                            <w:left w:val="none" w:sz="0" w:space="0" w:color="auto"/>
                                            <w:bottom w:val="none" w:sz="0" w:space="0" w:color="auto"/>
                                            <w:right w:val="none" w:sz="0" w:space="0" w:color="auto"/>
                                          </w:divBdr>
                                          <w:divsChild>
                                            <w:div w:id="13383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7325171">
      <w:bodyDiv w:val="1"/>
      <w:marLeft w:val="0"/>
      <w:marRight w:val="0"/>
      <w:marTop w:val="0"/>
      <w:marBottom w:val="0"/>
      <w:divBdr>
        <w:top w:val="none" w:sz="0" w:space="0" w:color="auto"/>
        <w:left w:val="none" w:sz="0" w:space="0" w:color="auto"/>
        <w:bottom w:val="none" w:sz="0" w:space="0" w:color="auto"/>
        <w:right w:val="none" w:sz="0" w:space="0" w:color="auto"/>
      </w:divBdr>
      <w:divsChild>
        <w:div w:id="1306742075">
          <w:marLeft w:val="0"/>
          <w:marRight w:val="0"/>
          <w:marTop w:val="0"/>
          <w:marBottom w:val="0"/>
          <w:divBdr>
            <w:top w:val="none" w:sz="0" w:space="0" w:color="auto"/>
            <w:left w:val="none" w:sz="0" w:space="0" w:color="auto"/>
            <w:bottom w:val="none" w:sz="0" w:space="0" w:color="auto"/>
            <w:right w:val="none" w:sz="0" w:space="0" w:color="auto"/>
          </w:divBdr>
          <w:divsChild>
            <w:div w:id="1962421670">
              <w:marLeft w:val="0"/>
              <w:marRight w:val="0"/>
              <w:marTop w:val="2205"/>
              <w:marBottom w:val="0"/>
              <w:divBdr>
                <w:top w:val="single" w:sz="6" w:space="0" w:color="506184"/>
                <w:left w:val="none" w:sz="0" w:space="0" w:color="auto"/>
                <w:bottom w:val="none" w:sz="0" w:space="0" w:color="auto"/>
                <w:right w:val="none" w:sz="0" w:space="0" w:color="auto"/>
              </w:divBdr>
              <w:divsChild>
                <w:div w:id="453331986">
                  <w:marLeft w:val="0"/>
                  <w:marRight w:val="0"/>
                  <w:marTop w:val="0"/>
                  <w:marBottom w:val="0"/>
                  <w:divBdr>
                    <w:top w:val="single" w:sz="6" w:space="4" w:color="506184"/>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D083DDF8B2CE45ABEDBAB4F90C7050" ma:contentTypeVersion="1" ma:contentTypeDescription="Create a new document." ma:contentTypeScope="" ma:versionID="6f0372cf94b48e3ff03ea2af8d244034">
  <xsd:schema xmlns:xsd="http://www.w3.org/2001/XMLSchema" xmlns:xs="http://www.w3.org/2001/XMLSchema" xmlns:p="http://schemas.microsoft.com/office/2006/metadata/properties" xmlns:ns2="51367701-27c8-403e-a234-85855c5cd73e" xmlns:ns3="11cf67b4-8be8-4203-926d-b1451d6a3644" targetNamespace="http://schemas.microsoft.com/office/2006/metadata/properties" ma:root="true" ma:fieldsID="6ce6b8d50e902b0a5e2178625f1a7f6a" ns2:_="" ns3:_="">
    <xsd:import namespace="51367701-27c8-403e-a234-85855c5cd73e"/>
    <xsd:import namespace="11cf67b4-8be8-4203-926d-b1451d6a364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cf67b4-8be8-4203-926d-b1451d6a36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1367701-27c8-403e-a234-85855c5cd73e">K57F673QWXRZ-1374-45</_dlc_DocId>
    <_dlc_DocIdUrl xmlns="51367701-27c8-403e-a234-85855c5cd73e">
      <Url>https://nhsengland.sharepoint.com/TeamCentre/VisionandValues/_layouts/15/DocIdRedir.aspx?ID=K57F673QWXRZ-1374-45</Url>
      <Description>K57F673QWXRZ-1374-45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87F1F-E815-42A8-97E8-18E449AE9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7701-27c8-403e-a234-85855c5cd73e"/>
    <ds:schemaRef ds:uri="11cf67b4-8be8-4203-926d-b1451d6a3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18279F-D5BA-4F5A-9186-363E2DC5E7DB}">
  <ds:schemaRefs>
    <ds:schemaRef ds:uri="51367701-27c8-403e-a234-85855c5cd73e"/>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11cf67b4-8be8-4203-926d-b1451d6a3644"/>
    <ds:schemaRef ds:uri="http://schemas.microsoft.com/office/2006/metadata/properties"/>
  </ds:schemaRefs>
</ds:datastoreItem>
</file>

<file path=customXml/itemProps3.xml><?xml version="1.0" encoding="utf-8"?>
<ds:datastoreItem xmlns:ds="http://schemas.openxmlformats.org/officeDocument/2006/customXml" ds:itemID="{B4EDF711-52DF-4E19-A9D0-42F2EA991C72}">
  <ds:schemaRefs>
    <ds:schemaRef ds:uri="http://schemas.microsoft.com/sharepoint/events"/>
  </ds:schemaRefs>
</ds:datastoreItem>
</file>

<file path=customXml/itemProps4.xml><?xml version="1.0" encoding="utf-8"?>
<ds:datastoreItem xmlns:ds="http://schemas.openxmlformats.org/officeDocument/2006/customXml" ds:itemID="{501D4C03-4B1B-4B4F-9344-EA6E033FF912}">
  <ds:schemaRefs>
    <ds:schemaRef ds:uri="http://schemas.microsoft.com/sharepoint/v3/contenttype/forms"/>
  </ds:schemaRefs>
</ds:datastoreItem>
</file>

<file path=customXml/itemProps5.xml><?xml version="1.0" encoding="utf-8"?>
<ds:datastoreItem xmlns:ds="http://schemas.openxmlformats.org/officeDocument/2006/customXml" ds:itemID="{ECE7355B-E665-4387-B680-A4E55EC1C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1</TotalTime>
  <Pages>5</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NHS England Report Template 1 - long length title</vt:lpstr>
    </vt:vector>
  </TitlesOfParts>
  <Company>Smith &amp; Milton</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1 - long length title</dc:title>
  <dc:creator>Sarah Hunter</dc:creator>
  <cp:lastModifiedBy>Michelle Coleman</cp:lastModifiedBy>
  <cp:revision>3</cp:revision>
  <cp:lastPrinted>2014-04-10T08:13:00Z</cp:lastPrinted>
  <dcterms:created xsi:type="dcterms:W3CDTF">2016-11-04T09:04:00Z</dcterms:created>
  <dcterms:modified xsi:type="dcterms:W3CDTF">2016-11-04T09:05:00Z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0x010100C8D083DDF8B2CE45ABEDBAB4F90C7050</vt:lpwstr>
  </property>
  <property fmtid="{D5CDD505-2E9C-101B-9397-08002B2CF9AE}" pid="3" name="_dlc_DocIdItemGuid">
    <vt:lpwstr>c96ac759-0749-4f80-84b2-bad9c61ce5fa</vt:lpwstr>
  </property>
</Properties>
</file>