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9A" w:rsidRPr="009D41DE" w:rsidRDefault="00DB2B9A" w:rsidP="00DB2B9A">
      <w:pPr>
        <w:pStyle w:val="Heading1"/>
        <w:numPr>
          <w:ilvl w:val="0"/>
          <w:numId w:val="0"/>
        </w:numPr>
        <w:ind w:left="432" w:hanging="432"/>
        <w:rPr>
          <w:rFonts w:eastAsia="Calibri"/>
          <w:sz w:val="24"/>
        </w:rPr>
      </w:pPr>
      <w:bookmarkStart w:id="0" w:name="_Toc455752218"/>
      <w:r w:rsidRPr="009D41DE">
        <w:rPr>
          <w:rFonts w:eastAsia="Calibri"/>
          <w:sz w:val="24"/>
        </w:rPr>
        <w:t xml:space="preserve">Annex </w:t>
      </w:r>
      <w:r>
        <w:rPr>
          <w:rFonts w:eastAsia="Calibri"/>
          <w:sz w:val="24"/>
        </w:rPr>
        <w:t>A</w:t>
      </w:r>
      <w:r w:rsidRPr="009D41DE">
        <w:rPr>
          <w:rFonts w:eastAsia="Calibri"/>
          <w:sz w:val="24"/>
        </w:rPr>
        <w:t>:</w:t>
      </w:r>
      <w:r>
        <w:rPr>
          <w:rFonts w:eastAsia="Calibri"/>
          <w:sz w:val="24"/>
        </w:rPr>
        <w:t xml:space="preserve"> Template</w:t>
      </w:r>
      <w:r w:rsidRPr="009D41DE">
        <w:rPr>
          <w:rFonts w:eastAsia="Calibri"/>
          <w:sz w:val="24"/>
        </w:rPr>
        <w:t xml:space="preserve"> Declaration of interests for CCG members and employees</w:t>
      </w:r>
      <w:bookmarkEnd w:id="0"/>
      <w:r w:rsidRPr="009D41DE">
        <w:rPr>
          <w:rFonts w:eastAsia="Calibri"/>
          <w:sz w:val="24"/>
        </w:rPr>
        <w:t xml:space="preserve">  </w:t>
      </w:r>
    </w:p>
    <w:p w:rsidR="00DB2B9A" w:rsidRPr="003F59A7" w:rsidRDefault="00DB2B9A" w:rsidP="00DB2B9A">
      <w:pPr>
        <w:rPr>
          <w:rFonts w:cs="Arial"/>
          <w:color w:val="0070C0"/>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1843"/>
        <w:gridCol w:w="710"/>
        <w:gridCol w:w="850"/>
        <w:gridCol w:w="1842"/>
      </w:tblGrid>
      <w:tr w:rsidR="00DB2B9A" w:rsidRPr="00104B29" w:rsidTr="000E0279">
        <w:tc>
          <w:tcPr>
            <w:tcW w:w="3969" w:type="dxa"/>
            <w:gridSpan w:val="2"/>
            <w:tcBorders>
              <w:top w:val="single" w:sz="12" w:space="0" w:color="auto"/>
              <w:left w:val="single" w:sz="12" w:space="0" w:color="auto"/>
              <w:bottom w:val="single" w:sz="12" w:space="0" w:color="auto"/>
              <w:right w:val="single" w:sz="12" w:space="0" w:color="auto"/>
            </w:tcBorders>
            <w:shd w:val="clear" w:color="auto" w:fill="0070C0"/>
          </w:tcPr>
          <w:p w:rsidR="00DB2B9A" w:rsidRPr="00104B29" w:rsidRDefault="00DB2B9A" w:rsidP="000E0279">
            <w:pPr>
              <w:spacing w:after="120"/>
              <w:rPr>
                <w:rFonts w:cs="Arial"/>
                <w:b/>
                <w:bCs w:val="0"/>
                <w:color w:val="FFFFFF" w:themeColor="background1"/>
                <w:sz w:val="22"/>
                <w:szCs w:val="24"/>
              </w:rPr>
            </w:pPr>
            <w:r w:rsidRPr="00104B29">
              <w:rPr>
                <w:rFonts w:cs="Arial"/>
                <w:b/>
                <w:color w:val="FFFFFF" w:themeColor="background1"/>
                <w:sz w:val="22"/>
                <w:szCs w:val="24"/>
              </w:rPr>
              <w:t>Name:</w:t>
            </w:r>
          </w:p>
        </w:tc>
        <w:tc>
          <w:tcPr>
            <w:tcW w:w="5245" w:type="dxa"/>
            <w:gridSpan w:val="4"/>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4"/>
              </w:rPr>
            </w:pPr>
          </w:p>
        </w:tc>
      </w:tr>
      <w:tr w:rsidR="00DB2B9A" w:rsidRPr="00104B29" w:rsidTr="000E0279">
        <w:tc>
          <w:tcPr>
            <w:tcW w:w="3969" w:type="dxa"/>
            <w:gridSpan w:val="2"/>
            <w:tcBorders>
              <w:top w:val="single" w:sz="12" w:space="0" w:color="auto"/>
              <w:left w:val="single" w:sz="12" w:space="0" w:color="auto"/>
              <w:bottom w:val="single" w:sz="12" w:space="0" w:color="auto"/>
              <w:right w:val="single" w:sz="12" w:space="0" w:color="auto"/>
            </w:tcBorders>
            <w:shd w:val="clear" w:color="auto" w:fill="0070C0"/>
          </w:tcPr>
          <w:p w:rsidR="00DB2B9A" w:rsidRPr="00104B29" w:rsidRDefault="00DB2B9A" w:rsidP="000E0279">
            <w:pPr>
              <w:spacing w:after="120"/>
              <w:rPr>
                <w:rFonts w:cs="Arial"/>
                <w:b/>
                <w:bCs w:val="0"/>
                <w:color w:val="FFFFFF" w:themeColor="background1"/>
                <w:sz w:val="22"/>
                <w:szCs w:val="24"/>
              </w:rPr>
            </w:pPr>
            <w:r w:rsidRPr="00104B29">
              <w:rPr>
                <w:rFonts w:cs="Arial"/>
                <w:b/>
                <w:color w:val="FFFFFF" w:themeColor="background1"/>
                <w:sz w:val="22"/>
                <w:szCs w:val="24"/>
              </w:rPr>
              <w:t>Position within, or relationship with, the CCG (or NHS England in the event of joint committees):</w:t>
            </w:r>
          </w:p>
        </w:tc>
        <w:tc>
          <w:tcPr>
            <w:tcW w:w="5245" w:type="dxa"/>
            <w:gridSpan w:val="4"/>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ind w:left="175" w:hanging="175"/>
              <w:rPr>
                <w:rFonts w:cs="Arial"/>
                <w:b/>
                <w:bCs w:val="0"/>
                <w:sz w:val="22"/>
                <w:szCs w:val="24"/>
              </w:rPr>
            </w:pPr>
          </w:p>
        </w:tc>
      </w:tr>
      <w:tr w:rsidR="00DB2B9A" w:rsidRPr="00104B29" w:rsidTr="000E0279">
        <w:tc>
          <w:tcPr>
            <w:tcW w:w="9214" w:type="dxa"/>
            <w:gridSpan w:val="6"/>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sz w:val="22"/>
                <w:szCs w:val="24"/>
              </w:rPr>
            </w:pPr>
            <w:r w:rsidRPr="00104B29">
              <w:rPr>
                <w:rFonts w:cs="Arial"/>
                <w:b/>
                <w:sz w:val="22"/>
                <w:szCs w:val="24"/>
              </w:rPr>
              <w:t>Detail of interests held (complete all that are applicable):</w:t>
            </w:r>
          </w:p>
        </w:tc>
      </w:tr>
      <w:tr w:rsidR="00DB2B9A" w:rsidRPr="00104B29" w:rsidTr="000E0279">
        <w:tc>
          <w:tcPr>
            <w:tcW w:w="1134" w:type="dxa"/>
            <w:tcBorders>
              <w:top w:val="single" w:sz="12" w:space="0" w:color="auto"/>
              <w:left w:val="single" w:sz="12" w:space="0" w:color="auto"/>
              <w:bottom w:val="single" w:sz="12" w:space="0" w:color="auto"/>
            </w:tcBorders>
            <w:shd w:val="clear" w:color="auto" w:fill="0070C0"/>
          </w:tcPr>
          <w:p w:rsidR="00DB2B9A" w:rsidRPr="00104B29" w:rsidRDefault="00DB2B9A" w:rsidP="000E0279">
            <w:pPr>
              <w:spacing w:after="120"/>
              <w:rPr>
                <w:rFonts w:cs="Arial"/>
                <w:b/>
                <w:color w:val="FFFFFF" w:themeColor="background1"/>
                <w:sz w:val="22"/>
                <w:szCs w:val="22"/>
              </w:rPr>
            </w:pPr>
            <w:r w:rsidRPr="00104B29">
              <w:rPr>
                <w:rFonts w:cs="Arial"/>
                <w:b/>
                <w:color w:val="FFFFFF" w:themeColor="background1"/>
                <w:sz w:val="22"/>
                <w:szCs w:val="22"/>
              </w:rPr>
              <w:t>Type of Interest*</w:t>
            </w:r>
          </w:p>
          <w:p w:rsidR="00DB2B9A" w:rsidRPr="00104B29" w:rsidRDefault="00DB2B9A" w:rsidP="000E0279">
            <w:pPr>
              <w:spacing w:after="120"/>
              <w:rPr>
                <w:rFonts w:cs="Arial"/>
                <w:b/>
                <w:bCs w:val="0"/>
                <w:color w:val="FFFFFF" w:themeColor="background1"/>
                <w:sz w:val="22"/>
                <w:szCs w:val="22"/>
              </w:rPr>
            </w:pPr>
            <w:r w:rsidRPr="00104B29">
              <w:rPr>
                <w:rFonts w:cs="Arial"/>
                <w:b/>
                <w:color w:val="FFFFFF" w:themeColor="background1"/>
                <w:sz w:val="22"/>
                <w:szCs w:val="22"/>
              </w:rPr>
              <w:t>*See reverse of form for details</w:t>
            </w:r>
          </w:p>
        </w:tc>
        <w:tc>
          <w:tcPr>
            <w:tcW w:w="4678" w:type="dxa"/>
            <w:gridSpan w:val="2"/>
            <w:tcBorders>
              <w:top w:val="single" w:sz="12" w:space="0" w:color="auto"/>
              <w:bottom w:val="single" w:sz="12" w:space="0" w:color="auto"/>
            </w:tcBorders>
            <w:shd w:val="clear" w:color="auto" w:fill="0070C0"/>
          </w:tcPr>
          <w:p w:rsidR="00DB2B9A" w:rsidRPr="00104B29" w:rsidRDefault="00DB2B9A" w:rsidP="000E0279">
            <w:pPr>
              <w:spacing w:after="120"/>
              <w:rPr>
                <w:rFonts w:cs="Arial"/>
                <w:b/>
                <w:bCs w:val="0"/>
                <w:color w:val="FFFFFF" w:themeColor="background1"/>
                <w:sz w:val="22"/>
                <w:szCs w:val="22"/>
              </w:rPr>
            </w:pPr>
            <w:r w:rsidRPr="00104B29">
              <w:rPr>
                <w:rFonts w:cs="Arial"/>
                <w:b/>
                <w:color w:val="FFFFFF" w:themeColor="background1"/>
                <w:sz w:val="22"/>
                <w:szCs w:val="22"/>
              </w:rPr>
              <w:t xml:space="preserve">Description of Interest (including for indirect </w:t>
            </w:r>
            <w:r>
              <w:rPr>
                <w:rFonts w:cs="Arial"/>
                <w:b/>
                <w:color w:val="FFFFFF" w:themeColor="background1"/>
                <w:sz w:val="22"/>
                <w:szCs w:val="22"/>
              </w:rPr>
              <w:t>i</w:t>
            </w:r>
            <w:r w:rsidRPr="00104B29">
              <w:rPr>
                <w:rFonts w:cs="Arial"/>
                <w:b/>
                <w:color w:val="FFFFFF" w:themeColor="background1"/>
                <w:sz w:val="22"/>
                <w:szCs w:val="22"/>
              </w:rPr>
              <w:t>nterests, details of the relationship with the person who has the interest)</w:t>
            </w:r>
          </w:p>
        </w:tc>
        <w:tc>
          <w:tcPr>
            <w:tcW w:w="1560" w:type="dxa"/>
            <w:gridSpan w:val="2"/>
            <w:tcBorders>
              <w:top w:val="single" w:sz="12" w:space="0" w:color="auto"/>
              <w:bottom w:val="single" w:sz="12" w:space="0" w:color="auto"/>
              <w:right w:val="single" w:sz="12" w:space="0" w:color="auto"/>
            </w:tcBorders>
            <w:shd w:val="clear" w:color="auto" w:fill="0070C0"/>
          </w:tcPr>
          <w:p w:rsidR="00DB2B9A" w:rsidRPr="00104B29" w:rsidRDefault="00DB2B9A" w:rsidP="000E0279">
            <w:pPr>
              <w:spacing w:after="120"/>
              <w:rPr>
                <w:rFonts w:cs="Arial"/>
                <w:b/>
                <w:color w:val="FFFFFF" w:themeColor="background1"/>
                <w:sz w:val="22"/>
                <w:szCs w:val="22"/>
              </w:rPr>
            </w:pPr>
            <w:r w:rsidRPr="00104B29">
              <w:rPr>
                <w:rFonts w:cs="Arial"/>
                <w:b/>
                <w:color w:val="FFFFFF" w:themeColor="background1"/>
                <w:sz w:val="22"/>
                <w:szCs w:val="22"/>
              </w:rPr>
              <w:t>Date interest relates</w:t>
            </w:r>
          </w:p>
          <w:p w:rsidR="00DB2B9A" w:rsidRPr="00104B29" w:rsidRDefault="00DB2B9A" w:rsidP="000E0279">
            <w:pPr>
              <w:spacing w:after="120"/>
              <w:rPr>
                <w:rFonts w:cs="Arial"/>
                <w:b/>
                <w:color w:val="FFFFFF" w:themeColor="background1"/>
                <w:sz w:val="22"/>
                <w:szCs w:val="22"/>
              </w:rPr>
            </w:pPr>
            <w:r w:rsidRPr="00104B29">
              <w:rPr>
                <w:rFonts w:cs="Arial"/>
                <w:b/>
                <w:color w:val="FFFFFF" w:themeColor="background1"/>
                <w:sz w:val="22"/>
                <w:szCs w:val="22"/>
              </w:rPr>
              <w:t>From &amp; To</w:t>
            </w:r>
          </w:p>
        </w:tc>
        <w:tc>
          <w:tcPr>
            <w:tcW w:w="1842" w:type="dxa"/>
            <w:tcBorders>
              <w:top w:val="single" w:sz="12" w:space="0" w:color="auto"/>
              <w:bottom w:val="single" w:sz="12" w:space="0" w:color="auto"/>
              <w:right w:val="single" w:sz="12" w:space="0" w:color="auto"/>
            </w:tcBorders>
            <w:shd w:val="clear" w:color="auto" w:fill="0070C0"/>
          </w:tcPr>
          <w:p w:rsidR="00DB2B9A" w:rsidRPr="00104B29" w:rsidRDefault="00DB2B9A" w:rsidP="000E0279">
            <w:pPr>
              <w:spacing w:after="120"/>
              <w:rPr>
                <w:rFonts w:cs="Arial"/>
                <w:b/>
                <w:color w:val="FFFFFF" w:themeColor="background1"/>
                <w:sz w:val="22"/>
                <w:szCs w:val="22"/>
              </w:rPr>
            </w:pPr>
            <w:r w:rsidRPr="00104B29">
              <w:rPr>
                <w:rFonts w:cs="Arial"/>
                <w:b/>
                <w:color w:val="FFFFFF" w:themeColor="background1"/>
                <w:sz w:val="22"/>
                <w:szCs w:val="22"/>
              </w:rPr>
              <w:t>Actions to be taken to mitigate risk</w:t>
            </w:r>
          </w:p>
          <w:p w:rsidR="00DB2B9A" w:rsidRPr="00104B29" w:rsidRDefault="00DB2B9A" w:rsidP="000E0279">
            <w:pPr>
              <w:spacing w:after="120"/>
              <w:rPr>
                <w:rFonts w:cs="Arial"/>
                <w:b/>
                <w:color w:val="FFFFFF" w:themeColor="background1"/>
                <w:sz w:val="22"/>
                <w:szCs w:val="22"/>
              </w:rPr>
            </w:pPr>
            <w:r w:rsidRPr="00104B29">
              <w:rPr>
                <w:rFonts w:cs="Arial"/>
                <w:b/>
                <w:color w:val="FFFFFF" w:themeColor="background1"/>
                <w:sz w:val="22"/>
                <w:szCs w:val="22"/>
              </w:rPr>
              <w:t>(to be agreed with line manager or a senior CCG manager)</w:t>
            </w:r>
          </w:p>
        </w:tc>
      </w:tr>
      <w:tr w:rsidR="00DB2B9A" w:rsidRPr="00104B29" w:rsidTr="000E0279">
        <w:trPr>
          <w:trHeight w:val="744"/>
        </w:trPr>
        <w:tc>
          <w:tcPr>
            <w:tcW w:w="1134"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Cs w:val="0"/>
                <w:sz w:val="22"/>
                <w:szCs w:val="22"/>
              </w:rPr>
            </w:pPr>
          </w:p>
        </w:tc>
        <w:tc>
          <w:tcPr>
            <w:tcW w:w="4678" w:type="dxa"/>
            <w:gridSpan w:val="2"/>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p w:rsidR="00DB2B9A" w:rsidRPr="00104B29" w:rsidRDefault="00DB2B9A" w:rsidP="000E0279">
            <w:pPr>
              <w:spacing w:after="120"/>
              <w:rPr>
                <w:rFonts w:cs="Arial"/>
                <w:b/>
                <w:bCs w:val="0"/>
                <w:sz w:val="22"/>
                <w:szCs w:val="22"/>
              </w:rPr>
            </w:pPr>
          </w:p>
        </w:tc>
        <w:tc>
          <w:tcPr>
            <w:tcW w:w="71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ind w:right="-108"/>
              <w:rPr>
                <w:rFonts w:cs="Arial"/>
                <w:b/>
                <w:bCs w:val="0"/>
                <w:sz w:val="22"/>
                <w:szCs w:val="22"/>
              </w:rPr>
            </w:pPr>
          </w:p>
        </w:tc>
        <w:tc>
          <w:tcPr>
            <w:tcW w:w="85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1842"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r>
      <w:tr w:rsidR="00DB2B9A" w:rsidRPr="00104B29" w:rsidTr="000E0279">
        <w:trPr>
          <w:trHeight w:val="705"/>
        </w:trPr>
        <w:tc>
          <w:tcPr>
            <w:tcW w:w="1134"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Cs w:val="0"/>
                <w:sz w:val="22"/>
                <w:szCs w:val="22"/>
              </w:rPr>
            </w:pPr>
          </w:p>
        </w:tc>
        <w:tc>
          <w:tcPr>
            <w:tcW w:w="4678" w:type="dxa"/>
            <w:gridSpan w:val="2"/>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71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85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1842"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r>
      <w:tr w:rsidR="00DB2B9A" w:rsidRPr="00104B29" w:rsidTr="000E0279">
        <w:trPr>
          <w:trHeight w:val="705"/>
        </w:trPr>
        <w:tc>
          <w:tcPr>
            <w:tcW w:w="1134"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4678" w:type="dxa"/>
            <w:gridSpan w:val="2"/>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71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850"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c>
          <w:tcPr>
            <w:tcW w:w="1842" w:type="dxa"/>
            <w:tcBorders>
              <w:top w:val="single" w:sz="12" w:space="0" w:color="auto"/>
              <w:left w:val="single" w:sz="12" w:space="0" w:color="auto"/>
              <w:bottom w:val="single" w:sz="12" w:space="0" w:color="auto"/>
              <w:right w:val="single" w:sz="12" w:space="0" w:color="auto"/>
            </w:tcBorders>
          </w:tcPr>
          <w:p w:rsidR="00DB2B9A" w:rsidRPr="00104B29" w:rsidRDefault="00DB2B9A" w:rsidP="000E0279">
            <w:pPr>
              <w:spacing w:after="120"/>
              <w:rPr>
                <w:rFonts w:cs="Arial"/>
                <w:b/>
                <w:bCs w:val="0"/>
                <w:sz w:val="22"/>
                <w:szCs w:val="22"/>
              </w:rPr>
            </w:pPr>
          </w:p>
        </w:tc>
      </w:tr>
    </w:tbl>
    <w:p w:rsidR="00DB2B9A" w:rsidRPr="003F59A7" w:rsidRDefault="00DB2B9A" w:rsidP="00DB2B9A">
      <w:pPr>
        <w:jc w:val="both"/>
        <w:rPr>
          <w:rFonts w:cs="Arial"/>
          <w:szCs w:val="24"/>
        </w:rPr>
      </w:pPr>
    </w:p>
    <w:p w:rsidR="00DB2B9A" w:rsidRPr="005A0055" w:rsidRDefault="00DB2B9A" w:rsidP="00DB2B9A">
      <w:pPr>
        <w:rPr>
          <w:rFonts w:cs="Arial"/>
          <w:i/>
          <w:sz w:val="22"/>
          <w:szCs w:val="22"/>
        </w:rPr>
      </w:pPr>
      <w:r w:rsidRPr="005A0055">
        <w:rPr>
          <w:rFonts w:cs="Arial"/>
          <w:i/>
          <w:sz w:val="22"/>
          <w:szCs w:val="22"/>
        </w:rPr>
        <w:t>The information submitted will be held by the CCG for personnel or other reasons specified on this form and to comply with the organisation’s policies. This information may be held in both manual and electronic form in accordance with the Data Protection Act 1998.  Information may be disclosed to third parties in accordance with the Freedom of Information Act 2000 and</w:t>
      </w:r>
      <w:r w:rsidRPr="0001310E">
        <w:rPr>
          <w:rFonts w:cs="Arial"/>
          <w:i/>
          <w:sz w:val="22"/>
          <w:szCs w:val="22"/>
        </w:rPr>
        <w:t>, in the case of ‘decision making staff’ (as defined in the</w:t>
      </w:r>
      <w:r w:rsidRPr="0001310E">
        <w:rPr>
          <w:szCs w:val="22"/>
        </w:rPr>
        <w:t xml:space="preserve"> </w:t>
      </w:r>
      <w:r w:rsidRPr="0001310E">
        <w:rPr>
          <w:rFonts w:cs="Arial"/>
          <w:i/>
          <w:sz w:val="22"/>
          <w:szCs w:val="22"/>
        </w:rPr>
        <w:t>statutory guidance on managing conflicts of interest for CCGs)</w:t>
      </w:r>
      <w:r>
        <w:rPr>
          <w:rFonts w:cs="Arial"/>
          <w:i/>
          <w:sz w:val="22"/>
          <w:szCs w:val="22"/>
        </w:rPr>
        <w:t xml:space="preserve"> </w:t>
      </w:r>
      <w:r w:rsidRPr="0001310E">
        <w:rPr>
          <w:rFonts w:cs="Arial"/>
          <w:i/>
          <w:sz w:val="22"/>
          <w:szCs w:val="22"/>
        </w:rPr>
        <w:t>may be</w:t>
      </w:r>
      <w:r w:rsidRPr="005A0055">
        <w:rPr>
          <w:rFonts w:cs="Arial"/>
          <w:i/>
          <w:sz w:val="22"/>
          <w:szCs w:val="22"/>
        </w:rPr>
        <w:t xml:space="preserve"> published in registers that the CCG holds.</w:t>
      </w:r>
    </w:p>
    <w:p w:rsidR="00DB2B9A" w:rsidRPr="003F59A7" w:rsidRDefault="00DB2B9A" w:rsidP="00DB2B9A">
      <w:pPr>
        <w:rPr>
          <w:rFonts w:cs="Arial"/>
          <w:sz w:val="22"/>
          <w:szCs w:val="22"/>
        </w:rPr>
      </w:pPr>
    </w:p>
    <w:p w:rsidR="00DB2B9A" w:rsidRPr="003F59A7" w:rsidRDefault="00DB2B9A" w:rsidP="00DB2B9A">
      <w:pPr>
        <w:rPr>
          <w:rFonts w:cs="Arial"/>
          <w:sz w:val="22"/>
          <w:szCs w:val="22"/>
        </w:rPr>
      </w:pPr>
      <w:r w:rsidRPr="003F59A7">
        <w:rPr>
          <w:rFonts w:cs="Arial"/>
          <w:sz w:val="22"/>
          <w:szCs w:val="22"/>
        </w:rPr>
        <w:t>I confirm that the information provided above is complete and correct. I acknowledge that any changes in these declarations must be notified to the CCG as soon as practicable and no later than 28 days after the interest arises. I am aware that if I do not make full, accurate and timely declarations then civil, criminal, or internal disciplinary action may result.</w:t>
      </w:r>
    </w:p>
    <w:p w:rsidR="00DB2B9A" w:rsidRPr="003F59A7" w:rsidRDefault="00DB2B9A" w:rsidP="00DB2B9A">
      <w:pPr>
        <w:rPr>
          <w:rFonts w:cs="Arial"/>
          <w:sz w:val="22"/>
          <w:szCs w:val="22"/>
        </w:rPr>
      </w:pPr>
    </w:p>
    <w:p w:rsidR="0026113D" w:rsidRPr="00B91E25" w:rsidRDefault="0026113D" w:rsidP="0026113D">
      <w:pPr>
        <w:rPr>
          <w:sz w:val="22"/>
          <w:szCs w:val="22"/>
        </w:rPr>
      </w:pPr>
      <w:r w:rsidRPr="00B91E25">
        <w:rPr>
          <w:sz w:val="22"/>
          <w:szCs w:val="22"/>
        </w:rPr>
        <w:t xml:space="preserve">Decision making staff should be aware that the information provided in this form will be added to the CCG’s registers which are held in hardcopy for inspection by the public and published on the CCG’s website.  Decision making staff must make any third party whose personal data they are providing in this form aware that the personal data will held in hardcopy for inspection by the public and published on the CCG’s website and must inform the third party that the CCG’s privacy policy is available on the CCG’s website.   If you are not sure whether you are a ‘decision making’ member of staff, please speak to your line manager before completing this form.  </w:t>
      </w:r>
    </w:p>
    <w:p w:rsidR="00DB2B9A" w:rsidRDefault="00DB2B9A" w:rsidP="00DB2B9A">
      <w:pPr>
        <w:rPr>
          <w:rFonts w:cs="Arial"/>
          <w:sz w:val="22"/>
          <w:szCs w:val="22"/>
        </w:rPr>
      </w:pPr>
    </w:p>
    <w:p w:rsidR="00DB2B9A" w:rsidRDefault="00DB2B9A" w:rsidP="00DB2B9A">
      <w:pPr>
        <w:rPr>
          <w:rFonts w:cs="Arial"/>
          <w:sz w:val="22"/>
          <w:szCs w:val="22"/>
        </w:rPr>
      </w:pPr>
    </w:p>
    <w:p w:rsidR="00DB2B9A" w:rsidRPr="003F59A7" w:rsidRDefault="00DB2B9A" w:rsidP="00DB2B9A">
      <w:pPr>
        <w:rPr>
          <w:rFonts w:cs="Arial"/>
          <w:sz w:val="22"/>
          <w:szCs w:val="22"/>
        </w:rPr>
      </w:pPr>
      <w:r w:rsidRPr="005A0055">
        <w:rPr>
          <w:rFonts w:cs="Arial"/>
          <w:b/>
          <w:sz w:val="22"/>
          <w:szCs w:val="22"/>
        </w:rPr>
        <w:t>Signed</w:t>
      </w:r>
      <w:r w:rsidRPr="003F59A7">
        <w:rPr>
          <w:rFonts w:cs="Arial"/>
          <w:sz w:val="22"/>
          <w:szCs w:val="22"/>
        </w:rPr>
        <w:t>:</w:t>
      </w:r>
      <w:r>
        <w:rPr>
          <w:rFonts w:cs="Arial"/>
          <w:sz w:val="22"/>
          <w:szCs w:val="22"/>
        </w:rPr>
        <w:t xml:space="preserve"> </w:t>
      </w:r>
      <w:r w:rsidRPr="003F59A7">
        <w:rPr>
          <w:rFonts w:cs="Arial"/>
          <w:sz w:val="22"/>
          <w:szCs w:val="22"/>
        </w:rPr>
        <w:tab/>
      </w:r>
      <w:r w:rsidRPr="003F59A7">
        <w:rPr>
          <w:rFonts w:cs="Arial"/>
          <w:sz w:val="22"/>
          <w:szCs w:val="22"/>
        </w:rPr>
        <w:tab/>
      </w:r>
      <w:r w:rsidRPr="003F59A7">
        <w:rPr>
          <w:rFonts w:cs="Arial"/>
          <w:sz w:val="22"/>
          <w:szCs w:val="22"/>
        </w:rPr>
        <w:tab/>
      </w:r>
      <w:r w:rsidRPr="003F59A7">
        <w:rPr>
          <w:rFonts w:cs="Arial"/>
          <w:sz w:val="22"/>
          <w:szCs w:val="22"/>
        </w:rPr>
        <w:tab/>
      </w:r>
      <w:r w:rsidRPr="003F59A7">
        <w:rPr>
          <w:rFonts w:cs="Arial"/>
          <w:sz w:val="22"/>
          <w:szCs w:val="22"/>
        </w:rPr>
        <w:tab/>
      </w:r>
      <w:r w:rsidRPr="003F59A7">
        <w:rPr>
          <w:rFonts w:cs="Arial"/>
          <w:sz w:val="22"/>
          <w:szCs w:val="22"/>
        </w:rPr>
        <w:tab/>
      </w:r>
      <w:r w:rsidRPr="003F59A7">
        <w:rPr>
          <w:rFonts w:cs="Arial"/>
          <w:sz w:val="22"/>
          <w:szCs w:val="22"/>
        </w:rPr>
        <w:tab/>
      </w:r>
      <w:r w:rsidRPr="003F59A7">
        <w:rPr>
          <w:rFonts w:cs="Arial"/>
          <w:sz w:val="22"/>
          <w:szCs w:val="22"/>
        </w:rPr>
        <w:tab/>
      </w:r>
      <w:r w:rsidRPr="005A0055">
        <w:rPr>
          <w:rFonts w:cs="Arial"/>
          <w:b/>
          <w:sz w:val="22"/>
          <w:szCs w:val="22"/>
        </w:rPr>
        <w:t>Date</w:t>
      </w:r>
      <w:r w:rsidRPr="003F59A7">
        <w:rPr>
          <w:rFonts w:cs="Arial"/>
          <w:sz w:val="22"/>
          <w:szCs w:val="22"/>
        </w:rPr>
        <w:t>:</w:t>
      </w:r>
    </w:p>
    <w:p w:rsidR="00DB2B9A" w:rsidRDefault="00DB2B9A" w:rsidP="00DB2B9A">
      <w:pPr>
        <w:rPr>
          <w:rFonts w:cs="Arial"/>
          <w:sz w:val="22"/>
          <w:szCs w:val="22"/>
        </w:rPr>
      </w:pPr>
    </w:p>
    <w:p w:rsidR="00DB2B9A" w:rsidRDefault="00DB2B9A" w:rsidP="00DB2B9A">
      <w:pPr>
        <w:rPr>
          <w:rFonts w:cs="Arial"/>
          <w:b/>
          <w:sz w:val="22"/>
          <w:szCs w:val="22"/>
        </w:rPr>
      </w:pPr>
      <w:r w:rsidRPr="003A025D">
        <w:rPr>
          <w:rFonts w:cs="Arial"/>
          <w:b/>
          <w:sz w:val="22"/>
          <w:szCs w:val="22"/>
        </w:rPr>
        <w:t>Signed:</w:t>
      </w:r>
      <w:r w:rsidRPr="003A025D">
        <w:rPr>
          <w:rFonts w:cs="Arial"/>
          <w:b/>
          <w:sz w:val="22"/>
          <w:szCs w:val="22"/>
        </w:rPr>
        <w:tab/>
      </w:r>
      <w:r w:rsidRPr="003A025D">
        <w:rPr>
          <w:rFonts w:cs="Arial"/>
          <w:b/>
          <w:sz w:val="22"/>
          <w:szCs w:val="22"/>
        </w:rPr>
        <w:tab/>
      </w:r>
      <w:r w:rsidRPr="003A025D">
        <w:rPr>
          <w:rFonts w:cs="Arial"/>
          <w:b/>
          <w:sz w:val="22"/>
          <w:szCs w:val="22"/>
        </w:rPr>
        <w:tab/>
        <w:t>Position:</w:t>
      </w:r>
      <w:r w:rsidRPr="003A025D">
        <w:rPr>
          <w:rFonts w:cs="Arial"/>
          <w:b/>
          <w:sz w:val="22"/>
          <w:szCs w:val="22"/>
        </w:rPr>
        <w:tab/>
      </w:r>
      <w:r w:rsidRPr="003A025D">
        <w:rPr>
          <w:rFonts w:cs="Arial"/>
          <w:b/>
          <w:sz w:val="22"/>
          <w:szCs w:val="22"/>
        </w:rPr>
        <w:tab/>
      </w:r>
      <w:r w:rsidRPr="003A025D">
        <w:rPr>
          <w:rFonts w:cs="Arial"/>
          <w:b/>
          <w:sz w:val="22"/>
          <w:szCs w:val="22"/>
        </w:rPr>
        <w:tab/>
      </w:r>
      <w:r w:rsidRPr="003A025D">
        <w:rPr>
          <w:rFonts w:cs="Arial"/>
          <w:b/>
          <w:sz w:val="22"/>
          <w:szCs w:val="22"/>
        </w:rPr>
        <w:tab/>
        <w:t>Date:</w:t>
      </w:r>
    </w:p>
    <w:p w:rsidR="00DB2B9A" w:rsidRDefault="00DB2B9A" w:rsidP="00DB2B9A">
      <w:pPr>
        <w:rPr>
          <w:rFonts w:cs="Arial"/>
          <w:b/>
          <w:sz w:val="22"/>
          <w:szCs w:val="22"/>
        </w:rPr>
      </w:pPr>
      <w:r>
        <w:rPr>
          <w:rFonts w:cs="Arial"/>
          <w:b/>
          <w:sz w:val="22"/>
          <w:szCs w:val="22"/>
        </w:rPr>
        <w:t>(Line Manager or Senior CCG Manager)</w:t>
      </w:r>
    </w:p>
    <w:p w:rsidR="00DB2B9A" w:rsidRPr="003A025D" w:rsidRDefault="00DB2B9A" w:rsidP="00DB2B9A">
      <w:pPr>
        <w:rPr>
          <w:rFonts w:cs="Arial"/>
          <w:b/>
          <w:sz w:val="22"/>
          <w:szCs w:val="22"/>
        </w:rPr>
      </w:pPr>
    </w:p>
    <w:p w:rsidR="00DB2B9A" w:rsidRDefault="00DB2B9A" w:rsidP="00DB2B9A">
      <w:pPr>
        <w:rPr>
          <w:rFonts w:cs="Arial"/>
          <w:b/>
          <w:sz w:val="22"/>
          <w:szCs w:val="22"/>
        </w:rPr>
      </w:pPr>
      <w:r w:rsidRPr="003F59A7">
        <w:rPr>
          <w:rFonts w:cs="Arial"/>
          <w:sz w:val="22"/>
          <w:szCs w:val="22"/>
        </w:rPr>
        <w:t>Please return to</w:t>
      </w:r>
      <w:r w:rsidRPr="003F59A7">
        <w:rPr>
          <w:rFonts w:cs="Arial"/>
          <w:b/>
          <w:sz w:val="22"/>
          <w:szCs w:val="22"/>
        </w:rPr>
        <w:t xml:space="preserve"> &lt;insert name/contact details for team or individual in CCG nominated to provide advice, support, and guidance on how conflicts of interest should be managed, and administer asso</w:t>
      </w:r>
      <w:r>
        <w:rPr>
          <w:rFonts w:cs="Arial"/>
          <w:b/>
          <w:sz w:val="22"/>
          <w:szCs w:val="22"/>
        </w:rPr>
        <w:t>ciated administrative processes&gt;</w:t>
      </w:r>
    </w:p>
    <w:tbl>
      <w:tblPr>
        <w:tblStyle w:val="TableGrid"/>
        <w:tblW w:w="9782"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Description w:val="details of interests, including a description"/>
      </w:tblPr>
      <w:tblGrid>
        <w:gridCol w:w="1276"/>
        <w:gridCol w:w="8506"/>
      </w:tblGrid>
      <w:tr w:rsidR="00DB2B9A" w:rsidRPr="00104B29" w:rsidTr="000E0279">
        <w:tc>
          <w:tcPr>
            <w:tcW w:w="1276" w:type="dxa"/>
            <w:shd w:val="clear" w:color="auto" w:fill="0070C0"/>
          </w:tcPr>
          <w:p w:rsidR="00DB2B9A" w:rsidRPr="00104B29" w:rsidRDefault="00DB2B9A" w:rsidP="000E0279">
            <w:pPr>
              <w:rPr>
                <w:rFonts w:cs="Arial"/>
                <w:b/>
                <w:color w:val="FFFFFF" w:themeColor="background1"/>
                <w:sz w:val="22"/>
                <w:szCs w:val="22"/>
              </w:rPr>
            </w:pPr>
            <w:bookmarkStart w:id="1" w:name="_GoBack" w:colFirst="0" w:colLast="2"/>
            <w:r w:rsidRPr="00104B29">
              <w:rPr>
                <w:rFonts w:cs="Arial"/>
                <w:b/>
                <w:color w:val="FFFFFF" w:themeColor="background1"/>
                <w:sz w:val="22"/>
                <w:szCs w:val="22"/>
              </w:rPr>
              <w:lastRenderedPageBreak/>
              <w:t>Type of Interest</w:t>
            </w:r>
          </w:p>
        </w:tc>
        <w:tc>
          <w:tcPr>
            <w:tcW w:w="8506" w:type="dxa"/>
            <w:shd w:val="clear" w:color="auto" w:fill="0070C0"/>
          </w:tcPr>
          <w:p w:rsidR="00DB2B9A" w:rsidRPr="004B2876" w:rsidRDefault="00DB2B9A" w:rsidP="000E0279">
            <w:pPr>
              <w:jc w:val="both"/>
              <w:rPr>
                <w:rFonts w:cs="Arial"/>
                <w:b/>
                <w:color w:val="FFFFFF" w:themeColor="background1"/>
                <w:sz w:val="22"/>
                <w:szCs w:val="22"/>
              </w:rPr>
            </w:pPr>
            <w:r w:rsidRPr="004B2876">
              <w:rPr>
                <w:rFonts w:cs="Arial"/>
                <w:b/>
                <w:color w:val="FFFFFF" w:themeColor="background1"/>
                <w:sz w:val="22"/>
                <w:szCs w:val="22"/>
              </w:rPr>
              <w:t>Description</w:t>
            </w:r>
          </w:p>
        </w:tc>
      </w:tr>
      <w:bookmarkEnd w:id="1"/>
      <w:tr w:rsidR="00DB2B9A" w:rsidRPr="00104B29" w:rsidTr="000E0279">
        <w:tc>
          <w:tcPr>
            <w:tcW w:w="1276" w:type="dxa"/>
          </w:tcPr>
          <w:p w:rsidR="00DB2B9A" w:rsidRPr="00104B29" w:rsidRDefault="00DB2B9A" w:rsidP="000E0279">
            <w:pPr>
              <w:spacing w:after="120"/>
              <w:rPr>
                <w:rFonts w:cs="Arial"/>
                <w:bCs w:val="0"/>
                <w:sz w:val="22"/>
                <w:szCs w:val="22"/>
              </w:rPr>
            </w:pPr>
            <w:r w:rsidRPr="00104B29">
              <w:rPr>
                <w:rFonts w:cs="Arial"/>
                <w:b/>
                <w:bCs w:val="0"/>
                <w:sz w:val="22"/>
                <w:szCs w:val="22"/>
              </w:rPr>
              <w:t>Financial Interests</w:t>
            </w:r>
          </w:p>
        </w:tc>
        <w:tc>
          <w:tcPr>
            <w:tcW w:w="8506" w:type="dxa"/>
          </w:tcPr>
          <w:p w:rsidR="00DB2B9A" w:rsidRPr="00D74FDF" w:rsidRDefault="00DB2B9A" w:rsidP="000E0279">
            <w:pPr>
              <w:jc w:val="both"/>
              <w:rPr>
                <w:rFonts w:cs="Arial"/>
                <w:sz w:val="20"/>
                <w:szCs w:val="22"/>
              </w:rPr>
            </w:pPr>
            <w:r w:rsidRPr="00D74FDF">
              <w:rPr>
                <w:rFonts w:cs="Arial"/>
                <w:sz w:val="20"/>
                <w:szCs w:val="22"/>
              </w:rPr>
              <w:t>This is whe</w:t>
            </w:r>
            <w:r w:rsidRPr="00D74FDF">
              <w:rPr>
                <w:rFonts w:cs="Arial"/>
                <w:bCs w:val="0"/>
                <w:sz w:val="20"/>
                <w:szCs w:val="22"/>
              </w:rPr>
              <w:t>re</w:t>
            </w:r>
            <w:r w:rsidRPr="00D74FDF">
              <w:rPr>
                <w:rFonts w:cs="Arial"/>
                <w:sz w:val="20"/>
                <w:szCs w:val="22"/>
              </w:rPr>
              <w:t xml:space="preserve"> an individual </w:t>
            </w:r>
            <w:r w:rsidRPr="00D74FDF">
              <w:rPr>
                <w:rFonts w:cs="Arial"/>
                <w:bCs w:val="0"/>
                <w:sz w:val="20"/>
                <w:szCs w:val="22"/>
              </w:rPr>
              <w:t>may get direct financial benefits from the consequences of a commissioning decision</w:t>
            </w:r>
            <w:r w:rsidRPr="00D74FDF">
              <w:rPr>
                <w:rFonts w:cs="Arial"/>
                <w:sz w:val="20"/>
                <w:szCs w:val="22"/>
              </w:rPr>
              <w:t>. This could, for example, include being:</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A director, including a non-executive director, or senior employee in a private company or public limited company or other organisation which is doing, or which is likely, or possibly seeking to do, business with health or social care organisations. This includes involvement with a potential provider of a new care model;</w:t>
            </w:r>
          </w:p>
          <w:p w:rsidR="00DB2B9A" w:rsidRPr="00D74FDF" w:rsidRDefault="00DB2B9A" w:rsidP="00DB2B9A">
            <w:pPr>
              <w:pStyle w:val="ListParagraph"/>
              <w:numPr>
                <w:ilvl w:val="0"/>
                <w:numId w:val="2"/>
              </w:numPr>
              <w:jc w:val="both"/>
              <w:rPr>
                <w:rFonts w:eastAsiaTheme="minorHAnsi" w:cs="Arial"/>
                <w:bCs w:val="0"/>
                <w:sz w:val="20"/>
                <w:szCs w:val="22"/>
              </w:rPr>
            </w:pPr>
            <w:r w:rsidRPr="00D74FDF">
              <w:rPr>
                <w:rFonts w:cs="Arial"/>
                <w:sz w:val="20"/>
                <w:szCs w:val="22"/>
              </w:rPr>
              <w:t>A shareholder (or similar ownership interests), a partner or owner of a private or not-for-profit company, business, partnership or consultancy which is doing, or which is likely, or possibly seeking to do, business with health or social care organisations;</w:t>
            </w:r>
          </w:p>
          <w:p w:rsidR="00DB2B9A" w:rsidRPr="00D74FDF" w:rsidRDefault="00DB2B9A" w:rsidP="00DB2B9A">
            <w:pPr>
              <w:pStyle w:val="ListParagraph"/>
              <w:numPr>
                <w:ilvl w:val="0"/>
                <w:numId w:val="2"/>
              </w:numPr>
              <w:jc w:val="both"/>
              <w:rPr>
                <w:rFonts w:eastAsiaTheme="minorHAnsi" w:cs="Arial"/>
                <w:bCs w:val="0"/>
                <w:sz w:val="20"/>
                <w:szCs w:val="22"/>
              </w:rPr>
            </w:pPr>
            <w:r w:rsidRPr="00D74FDF">
              <w:rPr>
                <w:rFonts w:cs="Arial"/>
                <w:sz w:val="20"/>
                <w:szCs w:val="22"/>
              </w:rPr>
              <w:t>A management consultant for a provider; or</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A provider of clinical private practice.</w:t>
            </w:r>
          </w:p>
          <w:p w:rsidR="00DB2B9A" w:rsidRPr="00D74FDF" w:rsidRDefault="00DB2B9A" w:rsidP="000E0279">
            <w:pPr>
              <w:jc w:val="both"/>
              <w:rPr>
                <w:rFonts w:cs="Arial"/>
                <w:sz w:val="20"/>
                <w:szCs w:val="22"/>
              </w:rPr>
            </w:pPr>
            <w:r w:rsidRPr="00D74FDF">
              <w:rPr>
                <w:rFonts w:cs="Arial"/>
                <w:sz w:val="20"/>
                <w:szCs w:val="22"/>
              </w:rPr>
              <w:t xml:space="preserve">This could </w:t>
            </w:r>
            <w:r w:rsidRPr="00D74FDF">
              <w:rPr>
                <w:rFonts w:cs="Arial"/>
                <w:bCs w:val="0"/>
                <w:sz w:val="20"/>
                <w:szCs w:val="22"/>
              </w:rPr>
              <w:t>also</w:t>
            </w:r>
            <w:r w:rsidRPr="00D74FDF">
              <w:rPr>
                <w:rFonts w:cs="Arial"/>
                <w:sz w:val="20"/>
                <w:szCs w:val="22"/>
              </w:rPr>
              <w:t xml:space="preserve"> include an individual being:</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In  employment outside of the CCG (see paragraph 79-81);</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In receipt of secondary income;</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In receipt of a grant from a provider;</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 xml:space="preserve">In receipt of any payments (for example honoraria, one-off payments, day allowances or travel or subsistence) from a provider; </w:t>
            </w:r>
          </w:p>
          <w:p w:rsidR="00DB2B9A" w:rsidRPr="00D74FDF" w:rsidRDefault="00DB2B9A" w:rsidP="00DB2B9A">
            <w:pPr>
              <w:pStyle w:val="ListParagraph"/>
              <w:numPr>
                <w:ilvl w:val="0"/>
                <w:numId w:val="2"/>
              </w:numPr>
              <w:jc w:val="both"/>
              <w:rPr>
                <w:rFonts w:cs="Arial"/>
                <w:sz w:val="20"/>
                <w:szCs w:val="22"/>
              </w:rPr>
            </w:pPr>
            <w:r w:rsidRPr="00D74FDF">
              <w:rPr>
                <w:rFonts w:cs="Arial"/>
                <w:sz w:val="20"/>
                <w:szCs w:val="22"/>
              </w:rPr>
              <w:t xml:space="preserve">In receipt of research funding, including grants that may be received by the individual or any organisation in which they have an interest or role; and </w:t>
            </w:r>
          </w:p>
          <w:p w:rsidR="00DB2B9A" w:rsidRDefault="00DB2B9A" w:rsidP="00DB2B9A">
            <w:pPr>
              <w:pStyle w:val="ListParagraph"/>
              <w:numPr>
                <w:ilvl w:val="0"/>
                <w:numId w:val="2"/>
              </w:numPr>
              <w:jc w:val="both"/>
              <w:rPr>
                <w:rFonts w:cs="Arial"/>
                <w:sz w:val="20"/>
                <w:szCs w:val="22"/>
              </w:rPr>
            </w:pPr>
            <w:r w:rsidRPr="00D74FDF">
              <w:rPr>
                <w:rFonts w:cs="Arial"/>
                <w:sz w:val="20"/>
                <w:szCs w:val="22"/>
              </w:rPr>
              <w:t xml:space="preserve">Having a pension that is funded by a provider (where the value of this might be affected by the success or failure of the provider).  </w:t>
            </w:r>
          </w:p>
          <w:p w:rsidR="00DB2B9A" w:rsidRPr="00B72491" w:rsidRDefault="00DB2B9A" w:rsidP="000E0279">
            <w:pPr>
              <w:pStyle w:val="ListParagraph"/>
              <w:ind w:left="360"/>
              <w:jc w:val="both"/>
              <w:rPr>
                <w:rFonts w:cs="Arial"/>
                <w:sz w:val="20"/>
                <w:szCs w:val="22"/>
              </w:rPr>
            </w:pPr>
          </w:p>
        </w:tc>
      </w:tr>
      <w:tr w:rsidR="00DB2B9A" w:rsidRPr="00104B29" w:rsidTr="000E0279">
        <w:tc>
          <w:tcPr>
            <w:tcW w:w="1276" w:type="dxa"/>
          </w:tcPr>
          <w:p w:rsidR="00DB2B9A" w:rsidRPr="00104B29" w:rsidRDefault="00DB2B9A" w:rsidP="000E0279">
            <w:pPr>
              <w:spacing w:after="120"/>
              <w:rPr>
                <w:rFonts w:cs="Arial"/>
                <w:bCs w:val="0"/>
                <w:sz w:val="22"/>
                <w:szCs w:val="22"/>
              </w:rPr>
            </w:pPr>
            <w:r w:rsidRPr="00104B29">
              <w:rPr>
                <w:rFonts w:cs="Arial"/>
                <w:b/>
                <w:bCs w:val="0"/>
                <w:sz w:val="22"/>
                <w:szCs w:val="22"/>
              </w:rPr>
              <w:t xml:space="preserve">Non-Financial Professional Interests </w:t>
            </w:r>
          </w:p>
        </w:tc>
        <w:tc>
          <w:tcPr>
            <w:tcW w:w="8506" w:type="dxa"/>
          </w:tcPr>
          <w:p w:rsidR="00DB2B9A" w:rsidRPr="00D74FDF" w:rsidRDefault="00DB2B9A" w:rsidP="000E0279">
            <w:pPr>
              <w:jc w:val="both"/>
              <w:rPr>
                <w:rFonts w:cs="Arial"/>
                <w:sz w:val="20"/>
                <w:szCs w:val="20"/>
              </w:rPr>
            </w:pPr>
            <w:r w:rsidRPr="00D74FDF">
              <w:rPr>
                <w:rFonts w:cs="Arial"/>
                <w:bCs w:val="0"/>
                <w:sz w:val="20"/>
                <w:szCs w:val="20"/>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An advocate for a particular group of patients;</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 GP with special interests e.g., in dermatology, acupuncture etc.:</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An active member of a particular specialist professional body (although routine GP membership of the Royal College of General Practitioners (RCGP), British Medical Association (BMA) or a medical defence organisation would not usually by itself amount to an interest which needed to be declared);</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An advisor for the Care Quality Commission (CQC) or the National Institute for Health and Care Excellence (NICE);</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 xml:space="preserve">Engaged in a research role;  </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 xml:space="preserve">The development and holding of patents and other intellectual property rights which allow staff to protect something that they create, preventing unauthorised use of products or the copying of protected ideas; or </w:t>
            </w:r>
          </w:p>
          <w:p w:rsidR="00DB2B9A" w:rsidRDefault="00DB2B9A" w:rsidP="00DB2B9A">
            <w:pPr>
              <w:pStyle w:val="ListParagraph"/>
              <w:numPr>
                <w:ilvl w:val="0"/>
                <w:numId w:val="2"/>
              </w:numPr>
              <w:jc w:val="both"/>
              <w:rPr>
                <w:rFonts w:cs="Arial"/>
                <w:sz w:val="20"/>
                <w:szCs w:val="20"/>
              </w:rPr>
            </w:pPr>
            <w:r w:rsidRPr="00D74FDF">
              <w:rPr>
                <w:rFonts w:cs="Arial"/>
                <w:sz w:val="20"/>
                <w:szCs w:val="20"/>
              </w:rPr>
              <w:t>GPs and practice managers, who are members of the governing body or committees of the CCG, should declare details of their roles and responsibilities held within their GP practices.</w:t>
            </w:r>
          </w:p>
          <w:p w:rsidR="00DB2B9A" w:rsidRPr="00B72491" w:rsidRDefault="00DB2B9A" w:rsidP="000E0279">
            <w:pPr>
              <w:pStyle w:val="ListParagraph"/>
              <w:ind w:left="360"/>
              <w:jc w:val="both"/>
              <w:rPr>
                <w:rFonts w:cs="Arial"/>
                <w:sz w:val="20"/>
                <w:szCs w:val="20"/>
              </w:rPr>
            </w:pPr>
          </w:p>
        </w:tc>
      </w:tr>
      <w:tr w:rsidR="00DB2B9A" w:rsidRPr="00104B29" w:rsidTr="000E0279">
        <w:tc>
          <w:tcPr>
            <w:tcW w:w="1276" w:type="dxa"/>
          </w:tcPr>
          <w:p w:rsidR="00DB2B9A" w:rsidRPr="00104B29" w:rsidRDefault="00DB2B9A" w:rsidP="000E0279">
            <w:pPr>
              <w:spacing w:after="120"/>
              <w:rPr>
                <w:rFonts w:cs="Arial"/>
                <w:bCs w:val="0"/>
                <w:sz w:val="22"/>
                <w:szCs w:val="22"/>
              </w:rPr>
            </w:pPr>
            <w:r w:rsidRPr="00104B29">
              <w:rPr>
                <w:rFonts w:cs="Arial"/>
                <w:b/>
                <w:bCs w:val="0"/>
                <w:sz w:val="22"/>
                <w:szCs w:val="22"/>
              </w:rPr>
              <w:t>Non-Financial Personal Interests</w:t>
            </w:r>
          </w:p>
        </w:tc>
        <w:tc>
          <w:tcPr>
            <w:tcW w:w="8506" w:type="dxa"/>
          </w:tcPr>
          <w:p w:rsidR="00DB2B9A" w:rsidRPr="00D74FDF" w:rsidRDefault="00DB2B9A" w:rsidP="000E0279">
            <w:pPr>
              <w:jc w:val="both"/>
              <w:rPr>
                <w:rFonts w:cs="Arial"/>
                <w:sz w:val="20"/>
                <w:szCs w:val="20"/>
              </w:rPr>
            </w:pPr>
            <w:r w:rsidRPr="00D74FDF">
              <w:rPr>
                <w:rFonts w:cs="Arial"/>
                <w:bCs w:val="0"/>
                <w:sz w:val="20"/>
                <w:szCs w:val="20"/>
              </w:rPr>
              <w:t>This is where an individual may benefit personally in ways which are not directly linked to their professional career and do not give rise to a direct financial benefit. This could include, for example, where the individual is:</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 voluntary sector champion for a provider;</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 volunteer for a provider;</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A member of a voluntary sector board or has any other position of authority in or connection with a voluntary sector organisation;</w:t>
            </w:r>
          </w:p>
          <w:p w:rsidR="00DB2B9A" w:rsidRPr="00D74FDF" w:rsidRDefault="00DB2B9A" w:rsidP="00DB2B9A">
            <w:pPr>
              <w:pStyle w:val="ListParagraph"/>
              <w:numPr>
                <w:ilvl w:val="0"/>
                <w:numId w:val="2"/>
              </w:numPr>
              <w:jc w:val="both"/>
              <w:rPr>
                <w:rFonts w:cs="Arial"/>
                <w:sz w:val="20"/>
                <w:szCs w:val="20"/>
              </w:rPr>
            </w:pPr>
            <w:r w:rsidRPr="00D74FDF">
              <w:rPr>
                <w:rFonts w:cs="Arial"/>
                <w:sz w:val="20"/>
                <w:szCs w:val="20"/>
              </w:rPr>
              <w:t>Suffering from a particular condition requiring individually funded treatment;</w:t>
            </w:r>
          </w:p>
          <w:p w:rsidR="00DB2B9A" w:rsidRDefault="00DB2B9A" w:rsidP="00DB2B9A">
            <w:pPr>
              <w:pStyle w:val="ListParagraph"/>
              <w:numPr>
                <w:ilvl w:val="0"/>
                <w:numId w:val="2"/>
              </w:numPr>
              <w:jc w:val="both"/>
              <w:rPr>
                <w:rFonts w:cs="Arial"/>
                <w:sz w:val="20"/>
                <w:szCs w:val="20"/>
              </w:rPr>
            </w:pPr>
            <w:r w:rsidRPr="00D74FDF">
              <w:rPr>
                <w:rFonts w:cs="Arial"/>
                <w:sz w:val="20"/>
                <w:szCs w:val="20"/>
              </w:rPr>
              <w:t>A member of a lobby or pressure group with an interest in health and care.</w:t>
            </w:r>
          </w:p>
          <w:p w:rsidR="00DB2B9A" w:rsidRPr="00B72491" w:rsidRDefault="00DB2B9A" w:rsidP="000E0279">
            <w:pPr>
              <w:pStyle w:val="ListParagraph"/>
              <w:ind w:left="360"/>
              <w:jc w:val="both"/>
              <w:rPr>
                <w:rFonts w:cs="Arial"/>
                <w:sz w:val="20"/>
                <w:szCs w:val="20"/>
              </w:rPr>
            </w:pPr>
          </w:p>
        </w:tc>
      </w:tr>
      <w:tr w:rsidR="00DB2B9A" w:rsidRPr="00104B29" w:rsidTr="000E0279">
        <w:tc>
          <w:tcPr>
            <w:tcW w:w="1276" w:type="dxa"/>
          </w:tcPr>
          <w:p w:rsidR="00DB2B9A" w:rsidRPr="00104B29" w:rsidRDefault="00DB2B9A" w:rsidP="000E0279">
            <w:pPr>
              <w:spacing w:after="120"/>
              <w:rPr>
                <w:rFonts w:cs="Arial"/>
                <w:b/>
                <w:bCs w:val="0"/>
                <w:sz w:val="22"/>
                <w:szCs w:val="22"/>
              </w:rPr>
            </w:pPr>
            <w:r w:rsidRPr="00104B29">
              <w:rPr>
                <w:rFonts w:cs="Arial"/>
                <w:b/>
                <w:bCs w:val="0"/>
                <w:sz w:val="22"/>
                <w:szCs w:val="22"/>
              </w:rPr>
              <w:t>Indirect Interests</w:t>
            </w:r>
          </w:p>
        </w:tc>
        <w:tc>
          <w:tcPr>
            <w:tcW w:w="8506" w:type="dxa"/>
          </w:tcPr>
          <w:p w:rsidR="00DB2B9A" w:rsidRPr="00B72491" w:rsidRDefault="00DB2B9A" w:rsidP="000E0279">
            <w:pPr>
              <w:jc w:val="both"/>
              <w:rPr>
                <w:rFonts w:cs="Arial"/>
                <w:sz w:val="20"/>
                <w:szCs w:val="20"/>
              </w:rPr>
            </w:pPr>
            <w:r w:rsidRPr="00B72491">
              <w:rPr>
                <w:rFonts w:cs="Arial"/>
                <w:sz w:val="20"/>
                <w:szCs w:val="20"/>
              </w:rPr>
              <w:t xml:space="preserve">This is where an individual has a close association with an individual who has a financial interest, a non-financial professional interest or a non-financial personal interest in a commissioning decision (as those categories are described above) for example, a: </w:t>
            </w:r>
          </w:p>
          <w:p w:rsidR="00DB2B9A" w:rsidRDefault="00DB2B9A" w:rsidP="00DB2B9A">
            <w:pPr>
              <w:pStyle w:val="ListParagraph"/>
              <w:numPr>
                <w:ilvl w:val="0"/>
                <w:numId w:val="2"/>
              </w:numPr>
              <w:jc w:val="both"/>
              <w:rPr>
                <w:rFonts w:cs="Arial"/>
                <w:sz w:val="20"/>
                <w:szCs w:val="20"/>
              </w:rPr>
            </w:pPr>
            <w:r w:rsidRPr="00B72491">
              <w:rPr>
                <w:rFonts w:cs="Arial"/>
                <w:sz w:val="20"/>
                <w:szCs w:val="20"/>
              </w:rPr>
              <w:t>Spouse / partner;</w:t>
            </w:r>
          </w:p>
          <w:p w:rsidR="00DB2B9A" w:rsidRPr="00B72491" w:rsidRDefault="00DB2B9A" w:rsidP="00DB2B9A">
            <w:pPr>
              <w:pStyle w:val="ListParagraph"/>
              <w:numPr>
                <w:ilvl w:val="0"/>
                <w:numId w:val="2"/>
              </w:numPr>
              <w:jc w:val="both"/>
              <w:rPr>
                <w:rFonts w:cs="Arial"/>
                <w:sz w:val="20"/>
                <w:szCs w:val="20"/>
              </w:rPr>
            </w:pPr>
            <w:r w:rsidRPr="00B72491">
              <w:rPr>
                <w:rFonts w:cs="Arial"/>
                <w:sz w:val="20"/>
                <w:szCs w:val="20"/>
              </w:rPr>
              <w:t>Close family member or relative e.g., parent, grandparent, child, grandchild or sibling;</w:t>
            </w:r>
          </w:p>
          <w:p w:rsidR="00DB2B9A" w:rsidRPr="00B72491" w:rsidRDefault="00DB2B9A" w:rsidP="00DB2B9A">
            <w:pPr>
              <w:pStyle w:val="ListParagraph"/>
              <w:numPr>
                <w:ilvl w:val="0"/>
                <w:numId w:val="2"/>
              </w:numPr>
              <w:jc w:val="both"/>
              <w:rPr>
                <w:rFonts w:cs="Arial"/>
                <w:sz w:val="20"/>
                <w:szCs w:val="20"/>
              </w:rPr>
            </w:pPr>
            <w:r w:rsidRPr="00B72491">
              <w:rPr>
                <w:rFonts w:cs="Arial"/>
                <w:sz w:val="20"/>
                <w:szCs w:val="20"/>
              </w:rPr>
              <w:t>Close friend or associate; or</w:t>
            </w:r>
          </w:p>
          <w:p w:rsidR="00DB2B9A" w:rsidRPr="00B72491" w:rsidRDefault="00DB2B9A" w:rsidP="00DB2B9A">
            <w:pPr>
              <w:pStyle w:val="ListParagraph"/>
              <w:numPr>
                <w:ilvl w:val="0"/>
                <w:numId w:val="2"/>
              </w:numPr>
              <w:jc w:val="both"/>
              <w:rPr>
                <w:rFonts w:cs="Arial"/>
                <w:sz w:val="20"/>
                <w:szCs w:val="20"/>
              </w:rPr>
            </w:pPr>
            <w:r w:rsidRPr="00B72491">
              <w:rPr>
                <w:rFonts w:cs="Arial"/>
                <w:sz w:val="20"/>
                <w:szCs w:val="20"/>
              </w:rPr>
              <w:t>Business partner.</w:t>
            </w:r>
          </w:p>
        </w:tc>
      </w:tr>
    </w:tbl>
    <w:p w:rsidR="00DB2B9A" w:rsidRPr="003C4500" w:rsidRDefault="00DB2B9A" w:rsidP="00DB2B9A">
      <w:pPr>
        <w:spacing w:after="200" w:line="276" w:lineRule="auto"/>
        <w:rPr>
          <w:rFonts w:cs="Arial"/>
          <w:sz w:val="22"/>
          <w:szCs w:val="22"/>
        </w:rPr>
        <w:sectPr w:rsidR="00DB2B9A" w:rsidRPr="003C4500" w:rsidSect="00F63299">
          <w:headerReference w:type="default" r:id="rId8"/>
          <w:footerReference w:type="default" r:id="rId9"/>
          <w:pgSz w:w="11900" w:h="16840"/>
          <w:pgMar w:top="851" w:right="1361" w:bottom="993" w:left="1361" w:header="0" w:footer="0" w:gutter="0"/>
          <w:paperSrc w:first="1" w:other="1"/>
          <w:cols w:space="708"/>
          <w:titlePg/>
          <w:docGrid w:linePitch="326"/>
        </w:sectPr>
      </w:pPr>
    </w:p>
    <w:p w:rsidR="0080509D" w:rsidRDefault="00E56805"/>
    <w:sectPr w:rsidR="008050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1D" w:rsidRDefault="0026113D">
      <w:r>
        <w:separator/>
      </w:r>
    </w:p>
  </w:endnote>
  <w:endnote w:type="continuationSeparator" w:id="0">
    <w:p w:rsidR="00E3501D" w:rsidRDefault="0026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336786"/>
      <w:docPartObj>
        <w:docPartGallery w:val="Page Numbers (Bottom of Page)"/>
        <w:docPartUnique/>
      </w:docPartObj>
    </w:sdtPr>
    <w:sdtEndPr>
      <w:rPr>
        <w:noProof/>
      </w:rPr>
    </w:sdtEndPr>
    <w:sdtContent>
      <w:p w:rsidR="00D43141" w:rsidRDefault="00DB2B9A">
        <w:pPr>
          <w:pStyle w:val="Footer"/>
          <w:jc w:val="right"/>
        </w:pPr>
        <w:r>
          <w:fldChar w:fldCharType="begin"/>
        </w:r>
        <w:r>
          <w:instrText xml:space="preserve"> PAGE   \* MERGEFORMAT </w:instrText>
        </w:r>
        <w:r>
          <w:fldChar w:fldCharType="separate"/>
        </w:r>
        <w:r w:rsidR="00E56805">
          <w:rPr>
            <w:noProof/>
          </w:rPr>
          <w:t>2</w:t>
        </w:r>
        <w:r>
          <w:rPr>
            <w:noProof/>
          </w:rPr>
          <w:fldChar w:fldCharType="end"/>
        </w:r>
      </w:p>
    </w:sdtContent>
  </w:sdt>
  <w:p w:rsidR="00D43141" w:rsidRDefault="00E56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1D" w:rsidRDefault="0026113D">
      <w:r>
        <w:separator/>
      </w:r>
    </w:p>
  </w:footnote>
  <w:footnote w:type="continuationSeparator" w:id="0">
    <w:p w:rsidR="00E3501D" w:rsidRDefault="00261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41" w:rsidRDefault="00E56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7FB"/>
    <w:multiLevelType w:val="hybridMultilevel"/>
    <w:tmpl w:val="C34A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9A"/>
    <w:rsid w:val="0026113D"/>
    <w:rsid w:val="00637420"/>
    <w:rsid w:val="007E70E5"/>
    <w:rsid w:val="00DB2B9A"/>
    <w:rsid w:val="00E3501D"/>
    <w:rsid w:val="00E5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9A"/>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DB2B9A"/>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DB2B9A"/>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DB2B9A"/>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DB2B9A"/>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DB2B9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2B9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2B9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2B9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2B9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B9A"/>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DB2B9A"/>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DB2B9A"/>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DB2B9A"/>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DB2B9A"/>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DB2B9A"/>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DB2B9A"/>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DB2B9A"/>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DB2B9A"/>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DB2B9A"/>
    <w:pPr>
      <w:tabs>
        <w:tab w:val="center" w:pos="4320"/>
        <w:tab w:val="right" w:pos="8640"/>
      </w:tabs>
    </w:pPr>
  </w:style>
  <w:style w:type="character" w:customStyle="1" w:styleId="HeaderChar">
    <w:name w:val="Header Char"/>
    <w:basedOn w:val="DefaultParagraphFont"/>
    <w:link w:val="Header"/>
    <w:uiPriority w:val="99"/>
    <w:rsid w:val="00DB2B9A"/>
    <w:rPr>
      <w:rFonts w:ascii="Arial" w:eastAsia="Times New Roman" w:hAnsi="Arial" w:cs="Times New Roman"/>
      <w:bCs/>
      <w:sz w:val="24"/>
      <w:szCs w:val="26"/>
    </w:rPr>
  </w:style>
  <w:style w:type="paragraph" w:styleId="Footer">
    <w:name w:val="footer"/>
    <w:basedOn w:val="Normal"/>
    <w:link w:val="FooterChar"/>
    <w:uiPriority w:val="99"/>
    <w:unhideWhenUsed/>
    <w:rsid w:val="00DB2B9A"/>
    <w:pPr>
      <w:tabs>
        <w:tab w:val="center" w:pos="4320"/>
        <w:tab w:val="right" w:pos="8640"/>
      </w:tabs>
    </w:pPr>
  </w:style>
  <w:style w:type="character" w:customStyle="1" w:styleId="FooterChar">
    <w:name w:val="Footer Char"/>
    <w:basedOn w:val="DefaultParagraphFont"/>
    <w:link w:val="Footer"/>
    <w:uiPriority w:val="99"/>
    <w:rsid w:val="00DB2B9A"/>
    <w:rPr>
      <w:rFonts w:ascii="Arial" w:eastAsia="Times New Roman" w:hAnsi="Arial" w:cs="Times New Roman"/>
      <w:bCs/>
      <w:sz w:val="24"/>
      <w:szCs w:val="26"/>
    </w:rPr>
  </w:style>
  <w:style w:type="table" w:styleId="TableGrid">
    <w:name w:val="Table Grid"/>
    <w:basedOn w:val="TableNormal"/>
    <w:uiPriority w:val="59"/>
    <w:rsid w:val="00DB2B9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B2B9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DB2B9A"/>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9A"/>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DB2B9A"/>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DB2B9A"/>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DB2B9A"/>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DB2B9A"/>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DB2B9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2B9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2B9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2B9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2B9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B9A"/>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DB2B9A"/>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DB2B9A"/>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DB2B9A"/>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DB2B9A"/>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DB2B9A"/>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DB2B9A"/>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DB2B9A"/>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DB2B9A"/>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DB2B9A"/>
    <w:pPr>
      <w:tabs>
        <w:tab w:val="center" w:pos="4320"/>
        <w:tab w:val="right" w:pos="8640"/>
      </w:tabs>
    </w:pPr>
  </w:style>
  <w:style w:type="character" w:customStyle="1" w:styleId="HeaderChar">
    <w:name w:val="Header Char"/>
    <w:basedOn w:val="DefaultParagraphFont"/>
    <w:link w:val="Header"/>
    <w:uiPriority w:val="99"/>
    <w:rsid w:val="00DB2B9A"/>
    <w:rPr>
      <w:rFonts w:ascii="Arial" w:eastAsia="Times New Roman" w:hAnsi="Arial" w:cs="Times New Roman"/>
      <w:bCs/>
      <w:sz w:val="24"/>
      <w:szCs w:val="26"/>
    </w:rPr>
  </w:style>
  <w:style w:type="paragraph" w:styleId="Footer">
    <w:name w:val="footer"/>
    <w:basedOn w:val="Normal"/>
    <w:link w:val="FooterChar"/>
    <w:uiPriority w:val="99"/>
    <w:unhideWhenUsed/>
    <w:rsid w:val="00DB2B9A"/>
    <w:pPr>
      <w:tabs>
        <w:tab w:val="center" w:pos="4320"/>
        <w:tab w:val="right" w:pos="8640"/>
      </w:tabs>
    </w:pPr>
  </w:style>
  <w:style w:type="character" w:customStyle="1" w:styleId="FooterChar">
    <w:name w:val="Footer Char"/>
    <w:basedOn w:val="DefaultParagraphFont"/>
    <w:link w:val="Footer"/>
    <w:uiPriority w:val="99"/>
    <w:rsid w:val="00DB2B9A"/>
    <w:rPr>
      <w:rFonts w:ascii="Arial" w:eastAsia="Times New Roman" w:hAnsi="Arial" w:cs="Times New Roman"/>
      <w:bCs/>
      <w:sz w:val="24"/>
      <w:szCs w:val="26"/>
    </w:rPr>
  </w:style>
  <w:style w:type="table" w:styleId="TableGrid">
    <w:name w:val="Table Grid"/>
    <w:basedOn w:val="TableNormal"/>
    <w:uiPriority w:val="59"/>
    <w:rsid w:val="00DB2B9A"/>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B2B9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DB2B9A"/>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Saiqa</dc:creator>
  <cp:lastModifiedBy>Paul Goulding</cp:lastModifiedBy>
  <cp:revision>3</cp:revision>
  <dcterms:created xsi:type="dcterms:W3CDTF">2017-07-07T10:33:00Z</dcterms:created>
  <dcterms:modified xsi:type="dcterms:W3CDTF">2017-07-10T09:39:00Z</dcterms:modified>
</cp:coreProperties>
</file>