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AE" w:rsidRPr="00905E41" w:rsidRDefault="00C53AAE" w:rsidP="00C53AAE">
      <w:pPr>
        <w:pStyle w:val="Heading1"/>
        <w:numPr>
          <w:ilvl w:val="0"/>
          <w:numId w:val="0"/>
        </w:numPr>
        <w:rPr>
          <w:rFonts w:eastAsia="Calibri"/>
          <w:sz w:val="24"/>
        </w:rPr>
      </w:pPr>
      <w:bookmarkStart w:id="0" w:name="_Toc455752230"/>
      <w:r w:rsidRPr="00905E41">
        <w:rPr>
          <w:rFonts w:eastAsia="Calibri"/>
          <w:sz w:val="24"/>
        </w:rPr>
        <w:t xml:space="preserve">Annex </w:t>
      </w:r>
      <w:r>
        <w:rPr>
          <w:rFonts w:eastAsia="Calibri"/>
          <w:sz w:val="24"/>
        </w:rPr>
        <w:t>J</w:t>
      </w:r>
      <w:r w:rsidRPr="00905E41">
        <w:rPr>
          <w:rFonts w:eastAsia="Calibri"/>
          <w:sz w:val="24"/>
        </w:rPr>
        <w:t>: Conflicts of interest policy checklist</w:t>
      </w:r>
      <w:bookmarkEnd w:id="0"/>
    </w:p>
    <w:p w:rsidR="00C53AAE" w:rsidRDefault="00C53AAE" w:rsidP="00C53AAE">
      <w:pPr>
        <w:rPr>
          <w:rFonts w:cs="Arial"/>
          <w:sz w:val="22"/>
          <w:szCs w:val="22"/>
        </w:rPr>
      </w:pPr>
    </w:p>
    <w:p w:rsidR="00C53AAE" w:rsidRPr="00D6019B" w:rsidRDefault="00C53AAE" w:rsidP="00C53AAE">
      <w:pPr>
        <w:rPr>
          <w:b/>
          <w:sz w:val="22"/>
          <w:szCs w:val="22"/>
        </w:rPr>
      </w:pPr>
      <w:r w:rsidRPr="00D6019B">
        <w:rPr>
          <w:rFonts w:cs="Arial"/>
          <w:sz w:val="22"/>
          <w:szCs w:val="22"/>
        </w:rPr>
        <w:t>In accordance with the Health and Social Care Act 2012, there is a legal requirement for Clinical Commissioning Groups (CCGs) to manage the process of conflicts of interest, both actual and perceived.</w:t>
      </w:r>
      <w:r>
        <w:rPr>
          <w:rFonts w:cs="Arial"/>
          <w:sz w:val="22"/>
          <w:szCs w:val="22"/>
        </w:rPr>
        <w:t xml:space="preserve"> </w:t>
      </w:r>
      <w:r w:rsidRPr="00D6019B">
        <w:rPr>
          <w:rFonts w:cs="Arial"/>
          <w:sz w:val="22"/>
          <w:szCs w:val="22"/>
        </w:rPr>
        <w:t xml:space="preserve">The aim of the conflicts of interest </w:t>
      </w:r>
      <w:r>
        <w:rPr>
          <w:rFonts w:cs="Arial"/>
          <w:sz w:val="22"/>
          <w:szCs w:val="22"/>
        </w:rPr>
        <w:t>policy checklist is to support CCGs to develop</w:t>
      </w:r>
      <w:r w:rsidRPr="00D6019B">
        <w:rPr>
          <w:rFonts w:cs="Arial"/>
          <w:sz w:val="22"/>
          <w:szCs w:val="22"/>
        </w:rPr>
        <w:t xml:space="preserve"> </w:t>
      </w:r>
      <w:r>
        <w:rPr>
          <w:rFonts w:cs="Arial"/>
          <w:sz w:val="22"/>
          <w:szCs w:val="22"/>
        </w:rPr>
        <w:t>their conflict of interest policy.</w:t>
      </w:r>
      <w:r w:rsidRPr="00D6019B">
        <w:rPr>
          <w:rFonts w:cs="Arial"/>
          <w:sz w:val="22"/>
          <w:szCs w:val="22"/>
        </w:rPr>
        <w:t xml:space="preserve"> It is recommended that the CCG makes a commitment to review their conflicts of interest policy (subject to changes) annually to ensure all material is up to date.</w:t>
      </w:r>
      <w:r>
        <w:rPr>
          <w:rFonts w:cs="Arial"/>
          <w:sz w:val="22"/>
          <w:szCs w:val="22"/>
        </w:rPr>
        <w:t xml:space="preserve"> CCGs should refer to</w:t>
      </w:r>
      <w:r w:rsidRPr="00D6019B">
        <w:rPr>
          <w:rFonts w:cs="Arial"/>
          <w:b/>
          <w:sz w:val="22"/>
          <w:szCs w:val="22"/>
        </w:rPr>
        <w:t xml:space="preserve"> </w:t>
      </w:r>
      <w:r w:rsidRPr="00D6019B">
        <w:rPr>
          <w:b/>
          <w:i/>
          <w:sz w:val="22"/>
          <w:szCs w:val="22"/>
        </w:rPr>
        <w:t xml:space="preserve">Managing Conflicts of Interest: Revised Statutory Guidance for CCGs </w:t>
      </w:r>
      <w:r w:rsidRPr="00856330">
        <w:rPr>
          <w:sz w:val="22"/>
          <w:szCs w:val="22"/>
        </w:rPr>
        <w:t xml:space="preserve">when developing the conflicts of interest policy. </w:t>
      </w:r>
    </w:p>
    <w:p w:rsidR="00C53AAE" w:rsidRPr="00D6019B" w:rsidRDefault="00C53AAE" w:rsidP="00C53AAE">
      <w:pPr>
        <w:rPr>
          <w:rFonts w:cs="Arial"/>
          <w:sz w:val="22"/>
          <w:szCs w:val="22"/>
        </w:rPr>
      </w:pPr>
    </w:p>
    <w:tbl>
      <w:tblPr>
        <w:tblStyle w:val="TableGrid"/>
        <w:tblW w:w="893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10;Conflicts of interest &#10;policy - checklist&#10; Key areas for consideration&#10;Introduction to the policy&#10;&#10;&#10; &#10;• Introduction;&#10;• Aims and objectives of the policy;&#10;• Consider the CCG’s constitution and specified requirements in terms of conducting business appropriately; &#10;• Consider the legal requirements in terms of managing conflicts of interest;&#10;• Consider any other appropriate regulations;&#10;• Scope of the policy &lt;whom the policy applies to&gt;&#10;• Commitment to review &lt;include frequency&gt;&#10;Definition of an interest&#10; &#10;• Definition of an interest:&#10;• Types of an interest, including:&#10;o Financial interests;&#10;o Non-financial professional interests&#10;o Non-financial personal interests; or&#10;o Indirect interests where an individual has a close association with an individual who has a financial interest, a non-financial professional interest or a non-financial personal interest in a commissioning decision&#10;&#10;Refer to paragraphs 16  of the CCG Guidance for further information&#10;&#10;Principles &#10;• Principles of good governance for consideration, include those set out in the following:&#10;o The Seven Principles of Public Life (commonly known as the Nolan Principles); &#10;o The Good Governance Standards of Public Services;&#10;o The Seven Key Principles of the NHS Constitution;&#10;o The Equality Act 2010.&#10;Declaration of interests&#10; &#10;• Consideration should be given to the statutory requirements;&#10;• Detail the types of interests to be declared - as outlined in the definition of an interest section;&#10;• Details of when a conflict of interest should be declared;&#10;• State the contact details of the nominated person to whom declarations of interest should be reported to;&#10;• Consider visual formats including a flowchart detailing the process of declaring conflicts of interest in various settings i.e. meetings, the transfer of information onto registers of interest, etc.;&#10;• Declarations of interest should be made by those listed in section 45 of the statutory guidance. &#10;&#10;A declaration on interests template should be appended to the policy&#10;&#10;Register(s) of interest&#10; &#10;• Consideration should be given to the statutory requirements.&#10;&#10;• CCGs should maintain one or more registers of interest for the individuals listed in paragraph 45 of the statutory guidance.&#10;&#10;• As a minimum, CCGs should publish register(s) of interests of decision making staff at least annually in a prominent place on their website and make them available at their headquarters upon request.&#10;&#10;• For the purposes of this guidance, decision-making staff are individuals who are more likely than others to have a decision making influence on the use of taxpayers’ money, because of the requirements of their role. &#10;&#10;• The following non-exhaustive list describes who these individuals are likely to be:&#10;• All governing body members; &#10;• Members of advisory groups which contribute to direct or delegated decision making on the commissioning or provision of taxpayer funded services such as working groups involved in service redesign or stakeholder engagement that will affect future provision of services; &#10;• Members of the Primary Care Commissioning Committee (PCCC);&#10;• Members of other committees of the CCG e.g., audit committee, remuneration committee etc.;&#10;• Members of new care models joint provider / commissioner groups / committees;&#10;• Members of procurement (sub-)committees;&#10;• Those at Agenda for Change band 8d and above; &#10;• Management, administrative and clinical staff who have the power to enter into contracts on behalf of the CCG; and &#10;• Management, administrative and clinical staff involved in decision making concerning the commissioning of services, purchasing of goods, medicines, medical devices or equipment, and formulary decisions. &#10;&#10;• Stipulate the period of time within which registers of interest have to be updated- upon receiving a declaration of interest in line with the guidance;&#10;• Stipulate publication arrangements for registers of interests for decision making staff in line with the guidance.&#10;&#10;A register of interests template should be appended to the policy&#10;&#10;Declaration of &#10;gifts and hospitality&#10;&#10; &#10;• Consideration should be given to the statutory requirements;&#10;• Consideration of risks when accepting gifts and hospitality;&#10;• Define acceptable types of gifts and hospitality;&#10;• Define the process for reporting gifts and hospitality;&#10;• State the contact details of the nominated person to whom declarations of gifts and hospitality should be reported to;&#10;• Declarations of gifts and hospitality should be made by those listed in section 45 of the statutory guidance.&#10;&#10;&#10;A declaration of gifts and hospitality form template should be appended to the policy. &#10;&#10;&#10;Maintaining a register of &#10;gifts and hospitality&#10; &#10;• Consideration should be given to the statutory requirements. &#10;• CCGs should maintain one or more registers of gifts and hospitality for the individuals listed in paragraph 45 of the statutory guidance.&#10;• As a minimum, CCGs should publish register(s) of gifts and hospitality of decision making staff at least annually in a prominent place on their website and make them available at their headquarters upon request.  See above for the meaning of ‘decision making staff.’&#10;• Consideration should be given to the time period for updating the registers of gifts and hospitality upon receiving a declaration of gifts and hospitality in line with the guidance;&#10;• Stipulate publication arrangements for registers of gifts and hospitality in line with the guidance.&#10;&#10;A register of gifts and hospitality template should be appended to the policy&#10;&#10;&#10;&#10;&#10;Roles and responsibilities&#10;&#10;&#10;&#10;&#10; &#10;• Key considerations when appointing governing body or committee members including the following:&#10;o Whether conflicts of interest should exclude individuals from appointment;&#10;o Assessing materiality of interest;&#10;o Determining the extent of the interest.&#10;&#10;• The role of CCG lay members in managing organisational conflicts of interest, including the following:&#10;o Conflicts of interest guardian;&#10;o Primary care commissioning committee chair.&#10;&#10;Governance arrangements and decision making&#10; &#10;• Consider the CCG’s policy on outside employment and procedure for declaring details- how will this impact on appointing governing board members.&#10;&#10;• Define the procedure to be followed in governing body, committee and sub-committee meetings, including:&#10;o Declarations of interest checklist (a template should be appended to the policy);&#10;o Register of interests declared to be available for the Chair in advance of the meeting;&#10;o Process for declaring interests during the meeting;&#10;o Recording minutes of the meeting including interests declared.&#10;&#10;• Procedures to be followed for managing conflicts of interest which arise during a governing body, committee or sub-committee meeting, including, where appropriate:&#10;o Excluding the conflicted individual(s) from any associated discussions and decisions;&#10;o Actions to be taken if the exclusion affects the quorum of the meeting- including postponing the agenda item until a quorum can be achieved without conflict;&#10;o Clearly recording the agenda item for which the interest has been declared.&#10;&#10;See paragraphs 82 – 106 of the CCG Guidance (Managing conflicts of interest at meetings) for further details&#10;&#10;• Consider openness and transparency in decision making processes through:&#10;o Effective record keeping in the form of clear minutes of the meeting. &#10;o All minutes should clearly record the context of discussions, any decisions and how any conflicts of interest were raised and managed.&#10; &#10;A template for recording minutes of the meeting should be appended to the policy.&#10;&#10;&#10;Managing conflicts of interest throughout the &#10;commissioning cycle&#10; &#10;• Key areas for consideration include the following:&#10;&#10;• Service design, this can either increase or reduce the level of perceived or actual conflicts of interest;&#10;o Consider public and patient involvement and provider engagement in service design;&#10;o Consider how you involve PPI in needs assessment, planning and prioritisation to service design, procurement and monitoring;&#10;o Consider how you will engage relevant providers, especially clinicians, in confirming the design of service specifications- ensuring an audit train/ evidence base is maintained;&#10;o Consider how you ensure provider engagement is in accordance with the three main principles of procurement law, namely equal treatment, non-discrimination and transparency;&#10;o Are specifications clear and transparent.&#10;&#10;• Procurement, are there clear processes to recognise and manage any conflicts or potential conflicts of interest that may arise in relation to procurement&#10;o Consideration should be given to statutory regulations and guidance when procuring and contracting clinical services;&#10;o Consideration should be given to how you ensure transparency and scrutiny of decisions i.e. keeping records of any conflicts and how these were managed;&#10;o Maintaining register of procurement decisions detailing decisions taken, either for the procurement of a new service or any extension or material variation of a current contract.&#10;&#10;A procurement template and register of procurement decisions should be appended to the policy.&#10;&#10;• Contract monitoring, consider conflicts of interest as part of the process i.e., the Chair of a contract management meeting should invite declarations of interests; &#10;o Process for recording any declared interests in the minutes of the meeting; and how these are managed;&#10;o Consider commercial sensitivity of information i.e. which information should be disseminated.    &#10;&#10;A template for recording minutes of the contract meeting should be appended to the policy.&#10;&#10;&#10;&#10;Raising concerns&#10;&#10;&#10;&#10; &#10;• Key areas for consideration:&#10;o When should a concern regarding conflicts of interest be reported;&#10;o What is the process for reporting concerns;&#10;o Who should concerns be raised with;&#10;o How will concerns be investigated;&#10;o Who is responsible for making the decision;&#10;o How do you ensure confidentiality;&#10;o Reporting requirements.&#10;&#10;Breach of conflicts of interest policy&#10;&#10; &#10;• Consider and agree a clear, defined process for managing breaches of the CCG’s conflicts of interest policy, including:&#10;o How the breach is recorded;&#10;o How it is investigated;&#10;o The governance arrangements and reporting mechanisms;&#10;o Clear links to whistleblowing and HR policies; &#10;o Communications and management of any media interest;&#10;o When and who to notify NHS England;&#10;o Process for publishing the breach on the CCG website.&#10;&#10;"/>
      </w:tblPr>
      <w:tblGrid>
        <w:gridCol w:w="2552"/>
        <w:gridCol w:w="6379"/>
      </w:tblGrid>
      <w:tr w:rsidR="00C53AAE" w:rsidRPr="00D6019B" w:rsidTr="000E0279">
        <w:tc>
          <w:tcPr>
            <w:tcW w:w="2552" w:type="dxa"/>
            <w:shd w:val="clear" w:color="auto" w:fill="0070C0"/>
            <w:vAlign w:val="center"/>
          </w:tcPr>
          <w:p w:rsidR="00C53AAE" w:rsidRPr="00D6019B" w:rsidRDefault="00C53AAE" w:rsidP="000E0279">
            <w:pPr>
              <w:jc w:val="center"/>
              <w:rPr>
                <w:rFonts w:cs="Arial"/>
                <w:b/>
                <w:color w:val="FFFFFF" w:themeColor="background1"/>
                <w:sz w:val="22"/>
                <w:szCs w:val="22"/>
              </w:rPr>
            </w:pPr>
            <w:bookmarkStart w:id="1" w:name="_GoBack" w:colFirst="0" w:colLast="2"/>
          </w:p>
          <w:p w:rsidR="00C53AAE" w:rsidRDefault="00C53AAE" w:rsidP="000E0279">
            <w:pPr>
              <w:jc w:val="center"/>
              <w:rPr>
                <w:rFonts w:cs="Arial"/>
                <w:b/>
                <w:color w:val="FFFFFF" w:themeColor="background1"/>
                <w:sz w:val="22"/>
                <w:szCs w:val="22"/>
              </w:rPr>
            </w:pPr>
            <w:r>
              <w:rPr>
                <w:rFonts w:cs="Arial"/>
                <w:b/>
                <w:color w:val="FFFFFF" w:themeColor="background1"/>
                <w:sz w:val="22"/>
                <w:szCs w:val="22"/>
              </w:rPr>
              <w:t>Conflicts of i</w:t>
            </w:r>
            <w:r w:rsidRPr="00D6019B">
              <w:rPr>
                <w:rFonts w:cs="Arial"/>
                <w:b/>
                <w:color w:val="FFFFFF" w:themeColor="background1"/>
                <w:sz w:val="22"/>
                <w:szCs w:val="22"/>
              </w:rPr>
              <w:t xml:space="preserve">nterest </w:t>
            </w:r>
          </w:p>
          <w:p w:rsidR="00C53AAE" w:rsidRPr="00D6019B" w:rsidRDefault="00C53AAE" w:rsidP="000E0279">
            <w:pPr>
              <w:jc w:val="center"/>
              <w:rPr>
                <w:rFonts w:cs="Arial"/>
                <w:b/>
                <w:color w:val="FFFFFF" w:themeColor="background1"/>
                <w:sz w:val="22"/>
                <w:szCs w:val="22"/>
              </w:rPr>
            </w:pPr>
            <w:r>
              <w:rPr>
                <w:rFonts w:cs="Arial"/>
                <w:b/>
                <w:color w:val="FFFFFF" w:themeColor="background1"/>
                <w:sz w:val="22"/>
                <w:szCs w:val="22"/>
              </w:rPr>
              <w:t>policy - c</w:t>
            </w:r>
            <w:r w:rsidRPr="00D6019B">
              <w:rPr>
                <w:rFonts w:cs="Arial"/>
                <w:b/>
                <w:color w:val="FFFFFF" w:themeColor="background1"/>
                <w:sz w:val="22"/>
                <w:szCs w:val="22"/>
              </w:rPr>
              <w:t>hecklist</w:t>
            </w:r>
          </w:p>
          <w:p w:rsidR="00C53AAE" w:rsidRPr="00D6019B" w:rsidRDefault="00C53AAE" w:rsidP="000E0279">
            <w:pPr>
              <w:jc w:val="center"/>
              <w:rPr>
                <w:rFonts w:cs="Arial"/>
                <w:b/>
                <w:color w:val="FFFFFF" w:themeColor="background1"/>
                <w:sz w:val="22"/>
                <w:szCs w:val="22"/>
              </w:rPr>
            </w:pPr>
          </w:p>
        </w:tc>
        <w:tc>
          <w:tcPr>
            <w:tcW w:w="6379" w:type="dxa"/>
            <w:shd w:val="clear" w:color="auto" w:fill="0070C0"/>
            <w:vAlign w:val="center"/>
          </w:tcPr>
          <w:p w:rsidR="00C53AAE" w:rsidRPr="00D6019B" w:rsidRDefault="00C53AAE" w:rsidP="000E0279">
            <w:pPr>
              <w:jc w:val="center"/>
              <w:rPr>
                <w:rFonts w:cs="Arial"/>
                <w:b/>
                <w:color w:val="FFFFFF" w:themeColor="background1"/>
                <w:sz w:val="22"/>
                <w:szCs w:val="22"/>
              </w:rPr>
            </w:pPr>
            <w:r w:rsidRPr="00D6019B">
              <w:rPr>
                <w:rFonts w:cs="Arial"/>
                <w:b/>
                <w:color w:val="FFFFFF" w:themeColor="background1"/>
                <w:sz w:val="22"/>
                <w:szCs w:val="22"/>
              </w:rPr>
              <w:t>Key areas for consideration</w:t>
            </w:r>
          </w:p>
        </w:tc>
      </w:tr>
      <w:tr w:rsidR="00C53AAE" w:rsidRPr="00D6019B" w:rsidTr="000E0279">
        <w:tc>
          <w:tcPr>
            <w:tcW w:w="2552" w:type="dxa"/>
            <w:shd w:val="clear" w:color="auto" w:fill="0070C0"/>
            <w:vAlign w:val="center"/>
          </w:tcPr>
          <w:p w:rsidR="00C53AAE" w:rsidRPr="00D6019B" w:rsidRDefault="00C53AAE" w:rsidP="000E0279">
            <w:pPr>
              <w:jc w:val="center"/>
              <w:rPr>
                <w:rFonts w:cs="Arial"/>
                <w:b/>
                <w:color w:val="FFFFFF" w:themeColor="background1"/>
                <w:sz w:val="22"/>
                <w:szCs w:val="22"/>
              </w:rPr>
            </w:pPr>
            <w:r w:rsidRPr="00D6019B">
              <w:rPr>
                <w:rFonts w:cs="Arial"/>
                <w:b/>
                <w:color w:val="FFFFFF" w:themeColor="background1"/>
                <w:sz w:val="22"/>
                <w:szCs w:val="22"/>
              </w:rPr>
              <w:t>Introduction to the policy</w:t>
            </w:r>
          </w:p>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p>
        </w:tc>
        <w:tc>
          <w:tcPr>
            <w:tcW w:w="6379" w:type="dxa"/>
          </w:tcPr>
          <w:p w:rsidR="00C53AAE" w:rsidRPr="00D43141" w:rsidRDefault="00C53AAE" w:rsidP="000E0279">
            <w:pPr>
              <w:pStyle w:val="ListParagraph"/>
              <w:rPr>
                <w:rFonts w:cs="Arial"/>
                <w:sz w:val="21"/>
                <w:szCs w:val="21"/>
              </w:rPr>
            </w:pPr>
          </w:p>
          <w:p w:rsidR="00C53AAE" w:rsidRPr="007E4767" w:rsidRDefault="00C53AAE" w:rsidP="00C53AAE">
            <w:pPr>
              <w:pStyle w:val="ListParagraph"/>
              <w:numPr>
                <w:ilvl w:val="0"/>
                <w:numId w:val="2"/>
              </w:numPr>
              <w:rPr>
                <w:rFonts w:cs="Arial"/>
                <w:sz w:val="21"/>
                <w:szCs w:val="21"/>
              </w:rPr>
            </w:pPr>
            <w:r w:rsidRPr="007E4767">
              <w:rPr>
                <w:rFonts w:cs="Arial"/>
                <w:b/>
                <w:sz w:val="21"/>
                <w:szCs w:val="21"/>
              </w:rPr>
              <w:t>Introduction</w:t>
            </w:r>
            <w:r w:rsidRPr="007E4767">
              <w:rPr>
                <w:rFonts w:cs="Arial"/>
                <w:sz w:val="21"/>
                <w:szCs w:val="21"/>
              </w:rPr>
              <w:t>;</w:t>
            </w:r>
          </w:p>
          <w:p w:rsidR="00C53AAE" w:rsidRPr="007E4767" w:rsidRDefault="00C53AAE" w:rsidP="00C53AAE">
            <w:pPr>
              <w:pStyle w:val="ListParagraph"/>
              <w:numPr>
                <w:ilvl w:val="0"/>
                <w:numId w:val="2"/>
              </w:numPr>
              <w:rPr>
                <w:rFonts w:cs="Arial"/>
                <w:sz w:val="21"/>
                <w:szCs w:val="21"/>
              </w:rPr>
            </w:pPr>
            <w:r w:rsidRPr="007E4767">
              <w:rPr>
                <w:rFonts w:cs="Arial"/>
                <w:sz w:val="21"/>
                <w:szCs w:val="21"/>
              </w:rPr>
              <w:t>Aims and objectives of the policy;</w:t>
            </w:r>
          </w:p>
          <w:p w:rsidR="00C53AAE" w:rsidRPr="007E4767" w:rsidRDefault="00C53AAE" w:rsidP="00C53AAE">
            <w:pPr>
              <w:pStyle w:val="ListParagraph"/>
              <w:numPr>
                <w:ilvl w:val="0"/>
                <w:numId w:val="2"/>
              </w:numPr>
              <w:rPr>
                <w:rFonts w:cs="Arial"/>
                <w:sz w:val="21"/>
                <w:szCs w:val="21"/>
              </w:rPr>
            </w:pPr>
            <w:r w:rsidRPr="007E4767">
              <w:rPr>
                <w:rFonts w:cs="Arial"/>
                <w:sz w:val="21"/>
                <w:szCs w:val="21"/>
              </w:rPr>
              <w:t xml:space="preserve">Consider the </w:t>
            </w:r>
            <w:r w:rsidRPr="007E4767">
              <w:rPr>
                <w:rFonts w:cs="Arial"/>
                <w:b/>
                <w:sz w:val="21"/>
                <w:szCs w:val="21"/>
              </w:rPr>
              <w:t>CCG’s constitution</w:t>
            </w:r>
            <w:r w:rsidRPr="007E4767">
              <w:rPr>
                <w:rFonts w:cs="Arial"/>
                <w:sz w:val="21"/>
                <w:szCs w:val="21"/>
              </w:rPr>
              <w:t xml:space="preserve"> and specified requirements in terms of conducting business appropriately; </w:t>
            </w:r>
          </w:p>
          <w:p w:rsidR="00C53AAE" w:rsidRPr="007E4767" w:rsidRDefault="00C53AAE" w:rsidP="00C53AAE">
            <w:pPr>
              <w:pStyle w:val="ListParagraph"/>
              <w:numPr>
                <w:ilvl w:val="0"/>
                <w:numId w:val="2"/>
              </w:numPr>
              <w:rPr>
                <w:rFonts w:cs="Arial"/>
                <w:sz w:val="21"/>
                <w:szCs w:val="21"/>
              </w:rPr>
            </w:pPr>
            <w:r w:rsidRPr="007E4767">
              <w:rPr>
                <w:rFonts w:cs="Arial"/>
                <w:sz w:val="21"/>
                <w:szCs w:val="21"/>
              </w:rPr>
              <w:t xml:space="preserve">Consider the </w:t>
            </w:r>
            <w:r w:rsidRPr="007E4767">
              <w:rPr>
                <w:rFonts w:cs="Arial"/>
                <w:b/>
                <w:sz w:val="21"/>
                <w:szCs w:val="21"/>
              </w:rPr>
              <w:t>legal requirements</w:t>
            </w:r>
            <w:r w:rsidRPr="007E4767">
              <w:rPr>
                <w:rFonts w:cs="Arial"/>
                <w:sz w:val="21"/>
                <w:szCs w:val="21"/>
              </w:rPr>
              <w:t xml:space="preserve"> in terms of managing conflicts of interest;</w:t>
            </w:r>
          </w:p>
          <w:p w:rsidR="00C53AAE" w:rsidRPr="007E4767" w:rsidRDefault="00C53AAE" w:rsidP="00C53AAE">
            <w:pPr>
              <w:pStyle w:val="ListParagraph"/>
              <w:numPr>
                <w:ilvl w:val="0"/>
                <w:numId w:val="2"/>
              </w:numPr>
              <w:rPr>
                <w:rFonts w:cs="Arial"/>
                <w:sz w:val="21"/>
                <w:szCs w:val="21"/>
              </w:rPr>
            </w:pPr>
            <w:r w:rsidRPr="007E4767">
              <w:rPr>
                <w:rFonts w:cs="Arial"/>
                <w:sz w:val="21"/>
                <w:szCs w:val="21"/>
              </w:rPr>
              <w:t>Consider any other appropriate regulations;</w:t>
            </w:r>
          </w:p>
          <w:p w:rsidR="00C53AAE" w:rsidRPr="007E4767" w:rsidRDefault="00C53AAE" w:rsidP="00C53AAE">
            <w:pPr>
              <w:pStyle w:val="ListParagraph"/>
              <w:numPr>
                <w:ilvl w:val="0"/>
                <w:numId w:val="2"/>
              </w:numPr>
              <w:rPr>
                <w:rFonts w:cs="Arial"/>
                <w:sz w:val="21"/>
                <w:szCs w:val="21"/>
              </w:rPr>
            </w:pPr>
            <w:r w:rsidRPr="007E4767">
              <w:rPr>
                <w:rFonts w:cs="Arial"/>
                <w:b/>
                <w:sz w:val="21"/>
                <w:szCs w:val="21"/>
              </w:rPr>
              <w:t>Scope of the policy</w:t>
            </w:r>
            <w:r w:rsidRPr="007E4767">
              <w:rPr>
                <w:rFonts w:cs="Arial"/>
                <w:sz w:val="21"/>
                <w:szCs w:val="21"/>
              </w:rPr>
              <w:t xml:space="preserve"> &lt;whom the policy applies to&gt;</w:t>
            </w:r>
          </w:p>
          <w:p w:rsidR="00C53AAE" w:rsidRPr="007E4767" w:rsidRDefault="00C53AAE" w:rsidP="00C53AAE">
            <w:pPr>
              <w:pStyle w:val="ListParagraph"/>
              <w:numPr>
                <w:ilvl w:val="0"/>
                <w:numId w:val="2"/>
              </w:numPr>
              <w:ind w:right="-141"/>
              <w:rPr>
                <w:rFonts w:cs="Arial"/>
                <w:sz w:val="21"/>
                <w:szCs w:val="21"/>
              </w:rPr>
            </w:pPr>
            <w:r w:rsidRPr="007E4767">
              <w:rPr>
                <w:rFonts w:cs="Arial"/>
                <w:b/>
                <w:sz w:val="21"/>
                <w:szCs w:val="21"/>
              </w:rPr>
              <w:t>Commitment to review</w:t>
            </w:r>
            <w:r w:rsidRPr="007E4767">
              <w:rPr>
                <w:rFonts w:cs="Arial"/>
                <w:sz w:val="21"/>
                <w:szCs w:val="21"/>
              </w:rPr>
              <w:t xml:space="preserve"> &lt;include frequency&gt;</w:t>
            </w:r>
          </w:p>
          <w:p w:rsidR="00C53AAE" w:rsidRPr="007E4767" w:rsidRDefault="00C53AAE" w:rsidP="000E0279">
            <w:pPr>
              <w:rPr>
                <w:rFonts w:cs="Arial"/>
                <w:sz w:val="21"/>
                <w:szCs w:val="21"/>
              </w:rPr>
            </w:pPr>
          </w:p>
        </w:tc>
      </w:tr>
      <w:tr w:rsidR="00C53AAE" w:rsidRPr="00D6019B" w:rsidTr="000E0279">
        <w:tc>
          <w:tcPr>
            <w:tcW w:w="2552" w:type="dxa"/>
            <w:shd w:val="clear" w:color="auto" w:fill="0070C0"/>
            <w:vAlign w:val="center"/>
          </w:tcPr>
          <w:p w:rsidR="00C53AAE" w:rsidRPr="00D6019B" w:rsidRDefault="00C53AAE" w:rsidP="000E0279">
            <w:pPr>
              <w:jc w:val="center"/>
              <w:rPr>
                <w:rFonts w:cs="Arial"/>
                <w:b/>
                <w:color w:val="FFFFFF" w:themeColor="background1"/>
                <w:sz w:val="22"/>
                <w:szCs w:val="22"/>
              </w:rPr>
            </w:pPr>
            <w:r w:rsidRPr="00D6019B">
              <w:rPr>
                <w:rFonts w:cs="Arial"/>
                <w:b/>
                <w:color w:val="FFFFFF" w:themeColor="background1"/>
                <w:sz w:val="22"/>
                <w:szCs w:val="22"/>
              </w:rPr>
              <w:t>Definition of an interest</w:t>
            </w:r>
          </w:p>
          <w:p w:rsidR="00C53AAE" w:rsidRPr="00D6019B" w:rsidRDefault="00C53AAE" w:rsidP="000E0279">
            <w:pPr>
              <w:jc w:val="center"/>
              <w:rPr>
                <w:rFonts w:cs="Arial"/>
                <w:b/>
                <w:color w:val="FFFFFF" w:themeColor="background1"/>
                <w:sz w:val="22"/>
                <w:szCs w:val="22"/>
              </w:rPr>
            </w:pPr>
          </w:p>
        </w:tc>
        <w:tc>
          <w:tcPr>
            <w:tcW w:w="6379" w:type="dxa"/>
          </w:tcPr>
          <w:p w:rsidR="00C53AAE" w:rsidRPr="00D43141" w:rsidRDefault="00C53AAE" w:rsidP="000E0279">
            <w:pPr>
              <w:pStyle w:val="ListParagraph"/>
              <w:rPr>
                <w:rFonts w:cs="Arial"/>
                <w:sz w:val="22"/>
                <w:szCs w:val="22"/>
              </w:rPr>
            </w:pPr>
          </w:p>
          <w:p w:rsidR="00C53AAE" w:rsidRPr="00137CDF" w:rsidRDefault="00C53AAE" w:rsidP="00C53AAE">
            <w:pPr>
              <w:pStyle w:val="ListParagraph"/>
              <w:numPr>
                <w:ilvl w:val="0"/>
                <w:numId w:val="14"/>
              </w:numPr>
              <w:rPr>
                <w:rFonts w:cs="Arial"/>
                <w:sz w:val="22"/>
                <w:szCs w:val="22"/>
              </w:rPr>
            </w:pPr>
            <w:r w:rsidRPr="00137CDF">
              <w:rPr>
                <w:rFonts w:cs="Arial"/>
                <w:b/>
                <w:sz w:val="22"/>
                <w:szCs w:val="22"/>
              </w:rPr>
              <w:t>Definition of an interest</w:t>
            </w:r>
            <w:r w:rsidRPr="00137CDF">
              <w:rPr>
                <w:rFonts w:cs="Arial"/>
                <w:sz w:val="22"/>
                <w:szCs w:val="22"/>
              </w:rPr>
              <w:t>:</w:t>
            </w:r>
          </w:p>
          <w:p w:rsidR="00C53AAE" w:rsidRPr="00137CDF" w:rsidRDefault="00C53AAE" w:rsidP="00C53AAE">
            <w:pPr>
              <w:pStyle w:val="ListParagraph"/>
              <w:numPr>
                <w:ilvl w:val="0"/>
                <w:numId w:val="14"/>
              </w:numPr>
              <w:rPr>
                <w:rFonts w:cs="Arial"/>
                <w:sz w:val="22"/>
                <w:szCs w:val="22"/>
              </w:rPr>
            </w:pPr>
            <w:r w:rsidRPr="00137CDF">
              <w:rPr>
                <w:rFonts w:cs="Arial"/>
                <w:b/>
                <w:sz w:val="22"/>
                <w:szCs w:val="22"/>
              </w:rPr>
              <w:t>Types of an interest</w:t>
            </w:r>
            <w:r w:rsidRPr="00137CDF">
              <w:rPr>
                <w:rFonts w:cs="Arial"/>
                <w:sz w:val="22"/>
                <w:szCs w:val="22"/>
              </w:rPr>
              <w:t>, including:</w:t>
            </w:r>
          </w:p>
          <w:p w:rsidR="00C53AAE" w:rsidRPr="00137CDF" w:rsidRDefault="00C53AAE" w:rsidP="00C53AAE">
            <w:pPr>
              <w:pStyle w:val="ListParagraph"/>
              <w:numPr>
                <w:ilvl w:val="0"/>
                <w:numId w:val="15"/>
              </w:numPr>
              <w:rPr>
                <w:rFonts w:cs="Arial"/>
                <w:sz w:val="22"/>
                <w:szCs w:val="22"/>
              </w:rPr>
            </w:pPr>
            <w:r w:rsidRPr="00137CDF">
              <w:rPr>
                <w:rFonts w:cs="Arial"/>
                <w:b/>
                <w:bCs w:val="0"/>
                <w:sz w:val="22"/>
                <w:szCs w:val="22"/>
              </w:rPr>
              <w:t>Financial</w:t>
            </w:r>
            <w:r w:rsidRPr="00137CDF">
              <w:rPr>
                <w:rFonts w:cs="Arial"/>
                <w:bCs w:val="0"/>
                <w:sz w:val="22"/>
                <w:szCs w:val="22"/>
              </w:rPr>
              <w:t xml:space="preserve"> interests;</w:t>
            </w:r>
          </w:p>
          <w:p w:rsidR="00C53AAE" w:rsidRPr="00137CDF" w:rsidRDefault="00C53AAE" w:rsidP="00C53AAE">
            <w:pPr>
              <w:pStyle w:val="ListParagraph"/>
              <w:numPr>
                <w:ilvl w:val="0"/>
                <w:numId w:val="15"/>
              </w:numPr>
              <w:rPr>
                <w:rFonts w:cs="Arial"/>
                <w:sz w:val="22"/>
                <w:szCs w:val="22"/>
              </w:rPr>
            </w:pPr>
            <w:r w:rsidRPr="00137CDF">
              <w:rPr>
                <w:rFonts w:cs="Arial"/>
                <w:b/>
                <w:bCs w:val="0"/>
                <w:sz w:val="22"/>
                <w:szCs w:val="22"/>
              </w:rPr>
              <w:t>Non-financial professional interests</w:t>
            </w:r>
          </w:p>
          <w:p w:rsidR="00C53AAE" w:rsidRPr="00137CDF" w:rsidRDefault="00C53AAE" w:rsidP="00C53AAE">
            <w:pPr>
              <w:pStyle w:val="ListParagraph"/>
              <w:numPr>
                <w:ilvl w:val="0"/>
                <w:numId w:val="15"/>
              </w:numPr>
              <w:rPr>
                <w:rFonts w:cs="Arial"/>
                <w:sz w:val="22"/>
                <w:szCs w:val="22"/>
              </w:rPr>
            </w:pPr>
            <w:r w:rsidRPr="00137CDF">
              <w:rPr>
                <w:rFonts w:cs="Arial"/>
                <w:b/>
                <w:bCs w:val="0"/>
                <w:sz w:val="22"/>
                <w:szCs w:val="22"/>
              </w:rPr>
              <w:t>Non-financial personal interests</w:t>
            </w:r>
            <w:r w:rsidRPr="00137CDF">
              <w:rPr>
                <w:rFonts w:cs="Arial"/>
                <w:bCs w:val="0"/>
                <w:sz w:val="22"/>
                <w:szCs w:val="22"/>
              </w:rPr>
              <w:t>; or</w:t>
            </w:r>
          </w:p>
          <w:p w:rsidR="00C53AAE" w:rsidRPr="00137CDF" w:rsidRDefault="00C53AAE" w:rsidP="00C53AAE">
            <w:pPr>
              <w:pStyle w:val="ListParagraph"/>
              <w:numPr>
                <w:ilvl w:val="0"/>
                <w:numId w:val="15"/>
              </w:numPr>
              <w:rPr>
                <w:rFonts w:cs="Arial"/>
                <w:sz w:val="22"/>
                <w:szCs w:val="22"/>
              </w:rPr>
            </w:pPr>
            <w:r w:rsidRPr="00137CDF">
              <w:rPr>
                <w:rFonts w:cs="Arial"/>
                <w:b/>
                <w:bCs w:val="0"/>
                <w:sz w:val="22"/>
                <w:szCs w:val="22"/>
              </w:rPr>
              <w:t xml:space="preserve">Indirect interests </w:t>
            </w:r>
            <w:r w:rsidRPr="00137CDF">
              <w:rPr>
                <w:rFonts w:cs="Arial"/>
                <w:bCs w:val="0"/>
                <w:sz w:val="22"/>
                <w:szCs w:val="22"/>
              </w:rPr>
              <w:t>where an individual has a close association with an individual who has a financial interest, a non-financial professional interest or a non-financial personal interest in a commissioning decision</w:t>
            </w:r>
          </w:p>
          <w:p w:rsidR="00C53AAE" w:rsidRPr="00137CDF" w:rsidRDefault="00C53AAE" w:rsidP="000E0279">
            <w:pPr>
              <w:pStyle w:val="ListParagraph"/>
              <w:ind w:left="1080"/>
              <w:rPr>
                <w:rFonts w:cs="Arial"/>
                <w:b/>
                <w:bCs w:val="0"/>
                <w:sz w:val="22"/>
                <w:szCs w:val="22"/>
              </w:rPr>
            </w:pPr>
          </w:p>
          <w:p w:rsidR="00C53AAE" w:rsidRPr="00137CDF" w:rsidRDefault="00C53AAE" w:rsidP="000E0279">
            <w:pPr>
              <w:pStyle w:val="ListParagraph"/>
              <w:ind w:left="1080"/>
              <w:rPr>
                <w:rFonts w:cs="Arial"/>
                <w:sz w:val="22"/>
                <w:szCs w:val="22"/>
              </w:rPr>
            </w:pPr>
            <w:r w:rsidRPr="00137CDF">
              <w:rPr>
                <w:rFonts w:cs="Arial"/>
                <w:sz w:val="22"/>
                <w:szCs w:val="22"/>
              </w:rPr>
              <w:t xml:space="preserve">Refer to paragraphs </w:t>
            </w:r>
            <w:r>
              <w:rPr>
                <w:rFonts w:cs="Arial"/>
                <w:sz w:val="22"/>
                <w:szCs w:val="22"/>
              </w:rPr>
              <w:t xml:space="preserve">16 </w:t>
            </w:r>
            <w:r w:rsidRPr="00137CDF">
              <w:rPr>
                <w:rFonts w:cs="Arial"/>
                <w:sz w:val="22"/>
                <w:szCs w:val="22"/>
              </w:rPr>
              <w:t xml:space="preserve"> of the CCG Guidance for further information</w:t>
            </w:r>
          </w:p>
          <w:p w:rsidR="00C53AAE" w:rsidRPr="00137CDF" w:rsidRDefault="00C53AAE" w:rsidP="000E0279">
            <w:pPr>
              <w:rPr>
                <w:rFonts w:cs="Arial"/>
                <w:sz w:val="22"/>
                <w:szCs w:val="22"/>
              </w:rPr>
            </w:pPr>
          </w:p>
        </w:tc>
      </w:tr>
      <w:tr w:rsidR="00C53AAE" w:rsidRPr="00D6019B" w:rsidTr="000E0279">
        <w:tc>
          <w:tcPr>
            <w:tcW w:w="2552" w:type="dxa"/>
            <w:shd w:val="clear" w:color="auto" w:fill="0070C0"/>
            <w:vAlign w:val="center"/>
          </w:tcPr>
          <w:p w:rsidR="00C53AAE" w:rsidRPr="00D6019B" w:rsidRDefault="00C53AAE" w:rsidP="000E0279">
            <w:pPr>
              <w:jc w:val="center"/>
              <w:rPr>
                <w:rFonts w:cs="Arial"/>
                <w:b/>
                <w:color w:val="FFFFFF" w:themeColor="background1"/>
                <w:sz w:val="22"/>
                <w:szCs w:val="22"/>
              </w:rPr>
            </w:pPr>
            <w:r w:rsidRPr="00D6019B">
              <w:rPr>
                <w:rFonts w:cs="Arial"/>
                <w:b/>
                <w:color w:val="FFFFFF" w:themeColor="background1"/>
                <w:sz w:val="22"/>
                <w:szCs w:val="22"/>
              </w:rPr>
              <w:t>Principles</w:t>
            </w:r>
          </w:p>
        </w:tc>
        <w:tc>
          <w:tcPr>
            <w:tcW w:w="6379" w:type="dxa"/>
          </w:tcPr>
          <w:p w:rsidR="00C53AAE" w:rsidRPr="00D43141" w:rsidRDefault="00C53AAE" w:rsidP="000E0279">
            <w:pPr>
              <w:pStyle w:val="ListParagraph"/>
              <w:rPr>
                <w:rFonts w:cs="Arial"/>
                <w:sz w:val="22"/>
                <w:szCs w:val="22"/>
              </w:rPr>
            </w:pPr>
          </w:p>
          <w:p w:rsidR="00C53AAE" w:rsidRPr="00137CDF" w:rsidRDefault="00C53AAE" w:rsidP="00C53AAE">
            <w:pPr>
              <w:pStyle w:val="ListParagraph"/>
              <w:numPr>
                <w:ilvl w:val="0"/>
                <w:numId w:val="3"/>
              </w:numPr>
              <w:rPr>
                <w:rFonts w:cs="Arial"/>
                <w:sz w:val="22"/>
                <w:szCs w:val="22"/>
              </w:rPr>
            </w:pPr>
            <w:r w:rsidRPr="00137CDF">
              <w:rPr>
                <w:rFonts w:cs="Arial"/>
                <w:b/>
                <w:sz w:val="22"/>
                <w:szCs w:val="22"/>
              </w:rPr>
              <w:t>Principles of good governance</w:t>
            </w:r>
            <w:r w:rsidRPr="00137CDF">
              <w:rPr>
                <w:rFonts w:cs="Arial"/>
                <w:sz w:val="22"/>
                <w:szCs w:val="22"/>
              </w:rPr>
              <w:t xml:space="preserve"> for consideration, include those set out in the following:</w:t>
            </w:r>
          </w:p>
          <w:p w:rsidR="00C53AAE" w:rsidRPr="00137CDF" w:rsidRDefault="00C53AAE" w:rsidP="00C53AAE">
            <w:pPr>
              <w:pStyle w:val="ListParagraph"/>
              <w:numPr>
                <w:ilvl w:val="0"/>
                <w:numId w:val="16"/>
              </w:numPr>
              <w:rPr>
                <w:rFonts w:cs="Arial"/>
                <w:sz w:val="22"/>
                <w:szCs w:val="22"/>
              </w:rPr>
            </w:pPr>
            <w:r w:rsidRPr="00137CDF">
              <w:rPr>
                <w:rFonts w:cs="Arial"/>
                <w:sz w:val="22"/>
                <w:szCs w:val="22"/>
              </w:rPr>
              <w:t xml:space="preserve">The </w:t>
            </w:r>
            <w:r w:rsidRPr="00137CDF">
              <w:rPr>
                <w:rFonts w:cs="Arial"/>
                <w:b/>
                <w:sz w:val="22"/>
                <w:szCs w:val="22"/>
              </w:rPr>
              <w:t>Seven Principles of Public Life</w:t>
            </w:r>
            <w:r w:rsidRPr="00137CDF">
              <w:rPr>
                <w:rFonts w:cs="Arial"/>
                <w:sz w:val="22"/>
                <w:szCs w:val="22"/>
              </w:rPr>
              <w:t xml:space="preserve"> (commonly known as the Nolan Principles); </w:t>
            </w:r>
          </w:p>
          <w:p w:rsidR="00C53AAE" w:rsidRPr="00137CDF" w:rsidRDefault="00C53AAE" w:rsidP="00C53AAE">
            <w:pPr>
              <w:pStyle w:val="ListParagraph"/>
              <w:numPr>
                <w:ilvl w:val="0"/>
                <w:numId w:val="16"/>
              </w:numPr>
              <w:rPr>
                <w:rFonts w:cs="Arial"/>
                <w:sz w:val="22"/>
                <w:szCs w:val="22"/>
              </w:rPr>
            </w:pPr>
            <w:r w:rsidRPr="00137CDF">
              <w:rPr>
                <w:rFonts w:cs="Arial"/>
                <w:sz w:val="22"/>
                <w:szCs w:val="22"/>
              </w:rPr>
              <w:t xml:space="preserve">The </w:t>
            </w:r>
            <w:r w:rsidRPr="00137CDF">
              <w:rPr>
                <w:rFonts w:cs="Arial"/>
                <w:b/>
                <w:sz w:val="22"/>
                <w:szCs w:val="22"/>
              </w:rPr>
              <w:t>Good Governance Standards of Public Services</w:t>
            </w:r>
            <w:r w:rsidRPr="00137CDF">
              <w:rPr>
                <w:rFonts w:cs="Arial"/>
                <w:sz w:val="22"/>
                <w:szCs w:val="22"/>
              </w:rPr>
              <w:t>;</w:t>
            </w:r>
          </w:p>
          <w:p w:rsidR="00C53AAE" w:rsidRPr="00137CDF" w:rsidRDefault="00C53AAE" w:rsidP="00C53AAE">
            <w:pPr>
              <w:pStyle w:val="ListParagraph"/>
              <w:numPr>
                <w:ilvl w:val="0"/>
                <w:numId w:val="16"/>
              </w:numPr>
              <w:rPr>
                <w:rFonts w:cs="Arial"/>
                <w:sz w:val="22"/>
                <w:szCs w:val="22"/>
              </w:rPr>
            </w:pPr>
            <w:r w:rsidRPr="00137CDF">
              <w:rPr>
                <w:rFonts w:cs="Arial"/>
                <w:sz w:val="22"/>
                <w:szCs w:val="22"/>
              </w:rPr>
              <w:t xml:space="preserve">The </w:t>
            </w:r>
            <w:r w:rsidRPr="00137CDF">
              <w:rPr>
                <w:rFonts w:cs="Arial"/>
                <w:b/>
                <w:sz w:val="22"/>
                <w:szCs w:val="22"/>
              </w:rPr>
              <w:t>Seven Key Principles of the NHS Constitution</w:t>
            </w:r>
            <w:r w:rsidRPr="00137CDF">
              <w:rPr>
                <w:rFonts w:cs="Arial"/>
                <w:sz w:val="22"/>
                <w:szCs w:val="22"/>
              </w:rPr>
              <w:t>;</w:t>
            </w:r>
          </w:p>
          <w:p w:rsidR="00C53AAE" w:rsidRPr="00137CDF" w:rsidRDefault="00C53AAE" w:rsidP="00C53AAE">
            <w:pPr>
              <w:pStyle w:val="ListParagraph"/>
              <w:numPr>
                <w:ilvl w:val="0"/>
                <w:numId w:val="16"/>
              </w:numPr>
              <w:rPr>
                <w:rFonts w:cs="Arial"/>
                <w:b/>
                <w:sz w:val="22"/>
                <w:szCs w:val="22"/>
              </w:rPr>
            </w:pPr>
            <w:r w:rsidRPr="00137CDF">
              <w:rPr>
                <w:rFonts w:cs="Arial"/>
                <w:sz w:val="22"/>
                <w:szCs w:val="22"/>
              </w:rPr>
              <w:t xml:space="preserve">The </w:t>
            </w:r>
            <w:r w:rsidRPr="00137CDF">
              <w:rPr>
                <w:rFonts w:cs="Arial"/>
                <w:b/>
                <w:sz w:val="22"/>
                <w:szCs w:val="22"/>
              </w:rPr>
              <w:t>Equality Act 2010</w:t>
            </w:r>
            <w:r w:rsidRPr="00137CDF">
              <w:rPr>
                <w:rFonts w:cs="Arial"/>
                <w:sz w:val="22"/>
                <w:szCs w:val="22"/>
              </w:rPr>
              <w:t>.</w:t>
            </w:r>
          </w:p>
          <w:p w:rsidR="00C53AAE" w:rsidRPr="00137CDF" w:rsidRDefault="00C53AAE" w:rsidP="000E0279">
            <w:pPr>
              <w:rPr>
                <w:rFonts w:cs="Arial"/>
                <w:b/>
                <w:sz w:val="22"/>
                <w:szCs w:val="22"/>
              </w:rPr>
            </w:pPr>
          </w:p>
        </w:tc>
      </w:tr>
      <w:tr w:rsidR="00C53AAE" w:rsidRPr="00D6019B" w:rsidTr="000E0279">
        <w:tc>
          <w:tcPr>
            <w:tcW w:w="2552" w:type="dxa"/>
            <w:shd w:val="clear" w:color="auto" w:fill="0070C0"/>
            <w:vAlign w:val="center"/>
          </w:tcPr>
          <w:p w:rsidR="00C53AAE" w:rsidRPr="00D6019B" w:rsidRDefault="00C53AAE" w:rsidP="000E0279">
            <w:pPr>
              <w:jc w:val="center"/>
              <w:rPr>
                <w:rFonts w:cs="Arial"/>
                <w:b/>
                <w:color w:val="FFFFFF" w:themeColor="background1"/>
                <w:sz w:val="22"/>
                <w:szCs w:val="22"/>
              </w:rPr>
            </w:pPr>
            <w:r>
              <w:rPr>
                <w:rFonts w:cs="Arial"/>
                <w:b/>
                <w:color w:val="FFFFFF" w:themeColor="background1"/>
                <w:sz w:val="22"/>
                <w:szCs w:val="22"/>
              </w:rPr>
              <w:t>Declaration of interests</w:t>
            </w:r>
          </w:p>
          <w:p w:rsidR="00C53AAE" w:rsidRPr="00D6019B" w:rsidRDefault="00C53AAE" w:rsidP="000E0279">
            <w:pPr>
              <w:jc w:val="center"/>
              <w:rPr>
                <w:rFonts w:cs="Arial"/>
                <w:b/>
                <w:color w:val="FFFFFF" w:themeColor="background1"/>
                <w:sz w:val="22"/>
                <w:szCs w:val="22"/>
              </w:rPr>
            </w:pPr>
          </w:p>
        </w:tc>
        <w:tc>
          <w:tcPr>
            <w:tcW w:w="6379" w:type="dxa"/>
          </w:tcPr>
          <w:p w:rsidR="00C53AAE" w:rsidRDefault="00C53AAE" w:rsidP="000E0279">
            <w:pPr>
              <w:pStyle w:val="ListParagraph"/>
              <w:rPr>
                <w:rFonts w:cs="Arial"/>
                <w:sz w:val="22"/>
                <w:szCs w:val="22"/>
              </w:rPr>
            </w:pPr>
          </w:p>
          <w:p w:rsidR="00C53AAE" w:rsidRPr="00137CDF" w:rsidRDefault="00C53AAE" w:rsidP="00C53AAE">
            <w:pPr>
              <w:pStyle w:val="ListParagraph"/>
              <w:numPr>
                <w:ilvl w:val="0"/>
                <w:numId w:val="4"/>
              </w:numPr>
              <w:rPr>
                <w:rFonts w:cs="Arial"/>
                <w:sz w:val="22"/>
                <w:szCs w:val="22"/>
              </w:rPr>
            </w:pPr>
            <w:r w:rsidRPr="00137CDF">
              <w:rPr>
                <w:rFonts w:cs="Arial"/>
                <w:sz w:val="22"/>
                <w:szCs w:val="22"/>
              </w:rPr>
              <w:t xml:space="preserve">Consideration should be given to the </w:t>
            </w:r>
            <w:r w:rsidRPr="00137CDF">
              <w:rPr>
                <w:rFonts w:cs="Arial"/>
                <w:b/>
                <w:sz w:val="22"/>
                <w:szCs w:val="22"/>
              </w:rPr>
              <w:t>statutory requirements</w:t>
            </w:r>
            <w:r w:rsidRPr="00137CDF">
              <w:rPr>
                <w:rFonts w:cs="Arial"/>
                <w:sz w:val="22"/>
                <w:szCs w:val="22"/>
              </w:rPr>
              <w:t>;</w:t>
            </w:r>
          </w:p>
          <w:p w:rsidR="00C53AAE" w:rsidRPr="00137CDF" w:rsidRDefault="00C53AAE" w:rsidP="00C53AAE">
            <w:pPr>
              <w:pStyle w:val="ListParagraph"/>
              <w:numPr>
                <w:ilvl w:val="0"/>
                <w:numId w:val="4"/>
              </w:numPr>
              <w:rPr>
                <w:rFonts w:cs="Arial"/>
                <w:sz w:val="22"/>
                <w:szCs w:val="22"/>
              </w:rPr>
            </w:pPr>
            <w:r w:rsidRPr="00137CDF">
              <w:rPr>
                <w:rFonts w:cs="Arial"/>
                <w:sz w:val="22"/>
                <w:szCs w:val="22"/>
              </w:rPr>
              <w:t xml:space="preserve">Detail the </w:t>
            </w:r>
            <w:r w:rsidRPr="00137CDF">
              <w:rPr>
                <w:rFonts w:cs="Arial"/>
                <w:b/>
                <w:sz w:val="22"/>
                <w:szCs w:val="22"/>
              </w:rPr>
              <w:t xml:space="preserve">types of interests to be declared </w:t>
            </w:r>
            <w:r w:rsidRPr="00137CDF">
              <w:rPr>
                <w:rFonts w:cs="Arial"/>
                <w:sz w:val="22"/>
                <w:szCs w:val="22"/>
              </w:rPr>
              <w:t xml:space="preserve">- as </w:t>
            </w:r>
            <w:r w:rsidRPr="00137CDF">
              <w:rPr>
                <w:rFonts w:cs="Arial"/>
                <w:sz w:val="22"/>
                <w:szCs w:val="22"/>
              </w:rPr>
              <w:lastRenderedPageBreak/>
              <w:t xml:space="preserve">outlined in the </w:t>
            </w:r>
            <w:r w:rsidRPr="00137CDF">
              <w:rPr>
                <w:rFonts w:cs="Arial"/>
                <w:i/>
                <w:sz w:val="22"/>
                <w:szCs w:val="22"/>
              </w:rPr>
              <w:t>definition of an interest</w:t>
            </w:r>
            <w:r w:rsidRPr="00137CDF">
              <w:rPr>
                <w:rFonts w:cs="Arial"/>
                <w:sz w:val="22"/>
                <w:szCs w:val="22"/>
              </w:rPr>
              <w:t xml:space="preserve"> section;</w:t>
            </w:r>
          </w:p>
          <w:p w:rsidR="00C53AAE" w:rsidRPr="00137CDF" w:rsidRDefault="00C53AAE" w:rsidP="00C53AAE">
            <w:pPr>
              <w:pStyle w:val="ListParagraph"/>
              <w:numPr>
                <w:ilvl w:val="0"/>
                <w:numId w:val="4"/>
              </w:numPr>
              <w:rPr>
                <w:rFonts w:cs="Arial"/>
                <w:sz w:val="22"/>
                <w:szCs w:val="22"/>
              </w:rPr>
            </w:pPr>
            <w:r w:rsidRPr="00137CDF">
              <w:rPr>
                <w:rFonts w:cs="Arial"/>
                <w:sz w:val="22"/>
                <w:szCs w:val="22"/>
              </w:rPr>
              <w:t xml:space="preserve">Details of </w:t>
            </w:r>
            <w:r w:rsidRPr="00137CDF">
              <w:rPr>
                <w:rFonts w:cs="Arial"/>
                <w:b/>
                <w:sz w:val="22"/>
                <w:szCs w:val="22"/>
              </w:rPr>
              <w:t>when a conflict of interest should be declared</w:t>
            </w:r>
            <w:r w:rsidRPr="00137CDF">
              <w:rPr>
                <w:rFonts w:cs="Arial"/>
                <w:sz w:val="22"/>
                <w:szCs w:val="22"/>
              </w:rPr>
              <w:t>;</w:t>
            </w:r>
          </w:p>
          <w:p w:rsidR="00C53AAE" w:rsidRPr="00137CDF" w:rsidRDefault="00C53AAE" w:rsidP="00C53AAE">
            <w:pPr>
              <w:pStyle w:val="ListParagraph"/>
              <w:numPr>
                <w:ilvl w:val="0"/>
                <w:numId w:val="4"/>
              </w:numPr>
              <w:rPr>
                <w:rFonts w:cs="Arial"/>
                <w:sz w:val="22"/>
                <w:szCs w:val="22"/>
              </w:rPr>
            </w:pPr>
            <w:r w:rsidRPr="00137CDF">
              <w:rPr>
                <w:rFonts w:cs="Arial"/>
                <w:sz w:val="22"/>
                <w:szCs w:val="22"/>
              </w:rPr>
              <w:t xml:space="preserve">State the </w:t>
            </w:r>
            <w:r w:rsidRPr="00137CDF">
              <w:rPr>
                <w:rFonts w:cs="Arial"/>
                <w:b/>
                <w:sz w:val="22"/>
                <w:szCs w:val="22"/>
              </w:rPr>
              <w:t>contact details of the nominated person</w:t>
            </w:r>
            <w:r w:rsidRPr="00137CDF">
              <w:rPr>
                <w:rFonts w:cs="Arial"/>
                <w:sz w:val="22"/>
                <w:szCs w:val="22"/>
              </w:rPr>
              <w:t xml:space="preserve"> to whom declarations of interest should be reported to;</w:t>
            </w:r>
          </w:p>
          <w:p w:rsidR="00C53AAE" w:rsidRPr="00137CDF" w:rsidRDefault="00C53AAE" w:rsidP="00C53AAE">
            <w:pPr>
              <w:pStyle w:val="ListParagraph"/>
              <w:numPr>
                <w:ilvl w:val="0"/>
                <w:numId w:val="4"/>
              </w:numPr>
              <w:ind w:right="-108"/>
              <w:rPr>
                <w:rFonts w:cs="Arial"/>
                <w:sz w:val="22"/>
                <w:szCs w:val="22"/>
              </w:rPr>
            </w:pPr>
            <w:r w:rsidRPr="00137CDF">
              <w:rPr>
                <w:rFonts w:cs="Arial"/>
                <w:sz w:val="22"/>
                <w:szCs w:val="22"/>
              </w:rPr>
              <w:t xml:space="preserve">Consider </w:t>
            </w:r>
            <w:r w:rsidRPr="00137CDF">
              <w:rPr>
                <w:rFonts w:cs="Arial"/>
                <w:b/>
                <w:sz w:val="22"/>
                <w:szCs w:val="22"/>
              </w:rPr>
              <w:t>visual formats</w:t>
            </w:r>
            <w:r w:rsidRPr="00137CDF">
              <w:rPr>
                <w:rFonts w:cs="Arial"/>
                <w:sz w:val="22"/>
                <w:szCs w:val="22"/>
              </w:rPr>
              <w:t xml:space="preserve"> including a </w:t>
            </w:r>
            <w:r w:rsidRPr="00137CDF">
              <w:rPr>
                <w:rFonts w:cs="Arial"/>
                <w:b/>
                <w:sz w:val="22"/>
                <w:szCs w:val="22"/>
              </w:rPr>
              <w:t>flowchart detailing the process</w:t>
            </w:r>
            <w:r w:rsidRPr="00137CDF">
              <w:rPr>
                <w:rFonts w:cs="Arial"/>
                <w:sz w:val="22"/>
                <w:szCs w:val="22"/>
              </w:rPr>
              <w:t xml:space="preserve"> of declaring conflicts of interest in various settings i.e. meetings, the transfer of information onto registers of interest, etc.;</w:t>
            </w:r>
          </w:p>
          <w:p w:rsidR="00C53AAE" w:rsidRPr="00137CDF" w:rsidRDefault="00C53AAE" w:rsidP="00C53AAE">
            <w:pPr>
              <w:pStyle w:val="ListParagraph"/>
              <w:numPr>
                <w:ilvl w:val="0"/>
                <w:numId w:val="5"/>
              </w:numPr>
              <w:rPr>
                <w:rFonts w:cs="Arial"/>
                <w:sz w:val="22"/>
                <w:szCs w:val="22"/>
              </w:rPr>
            </w:pPr>
            <w:r w:rsidRPr="00137CDF">
              <w:rPr>
                <w:rFonts w:cs="Arial"/>
                <w:sz w:val="22"/>
                <w:szCs w:val="22"/>
              </w:rPr>
              <w:t>Declarations of interest should be made by</w:t>
            </w:r>
            <w:r>
              <w:rPr>
                <w:rFonts w:cs="Arial"/>
                <w:sz w:val="22"/>
                <w:szCs w:val="22"/>
              </w:rPr>
              <w:t xml:space="preserve"> those listed in section 45 of the statutory guidance. </w:t>
            </w:r>
          </w:p>
          <w:p w:rsidR="00C53AAE" w:rsidRPr="00137CDF" w:rsidRDefault="00C53AAE" w:rsidP="000E0279">
            <w:pPr>
              <w:ind w:left="33" w:right="-108" w:firstLine="27"/>
              <w:rPr>
                <w:rFonts w:cs="Arial"/>
                <w:sz w:val="22"/>
                <w:szCs w:val="22"/>
              </w:rPr>
            </w:pPr>
          </w:p>
          <w:p w:rsidR="00C53AAE" w:rsidRPr="00137CDF" w:rsidRDefault="00C53AAE" w:rsidP="000E0279">
            <w:pPr>
              <w:rPr>
                <w:rFonts w:cs="Arial"/>
                <w:b/>
                <w:sz w:val="22"/>
                <w:szCs w:val="22"/>
              </w:rPr>
            </w:pPr>
            <w:r w:rsidRPr="00137CDF">
              <w:rPr>
                <w:rFonts w:cs="Arial"/>
                <w:b/>
                <w:sz w:val="22"/>
                <w:szCs w:val="22"/>
              </w:rPr>
              <w:t>A declaration on interests template should be appended to the policy</w:t>
            </w:r>
          </w:p>
          <w:p w:rsidR="00C53AAE" w:rsidRPr="00137CDF" w:rsidRDefault="00C53AAE" w:rsidP="000E0279">
            <w:pPr>
              <w:rPr>
                <w:rFonts w:cs="Arial"/>
                <w:sz w:val="22"/>
                <w:szCs w:val="22"/>
              </w:rPr>
            </w:pPr>
          </w:p>
        </w:tc>
      </w:tr>
      <w:tr w:rsidR="00C53AAE" w:rsidRPr="00D6019B" w:rsidTr="000E0279">
        <w:tc>
          <w:tcPr>
            <w:tcW w:w="2552" w:type="dxa"/>
            <w:shd w:val="clear" w:color="auto" w:fill="0070C0"/>
            <w:vAlign w:val="center"/>
          </w:tcPr>
          <w:p w:rsidR="00C53AAE" w:rsidRPr="00D6019B" w:rsidRDefault="00C53AAE" w:rsidP="000E0279">
            <w:pPr>
              <w:jc w:val="center"/>
              <w:rPr>
                <w:rFonts w:cs="Arial"/>
                <w:b/>
                <w:color w:val="FFFFFF" w:themeColor="background1"/>
                <w:sz w:val="22"/>
                <w:szCs w:val="22"/>
              </w:rPr>
            </w:pPr>
            <w:r>
              <w:rPr>
                <w:rFonts w:cs="Arial"/>
                <w:b/>
                <w:color w:val="FFFFFF" w:themeColor="background1"/>
                <w:sz w:val="22"/>
                <w:szCs w:val="22"/>
              </w:rPr>
              <w:lastRenderedPageBreak/>
              <w:t>Register(s) of i</w:t>
            </w:r>
            <w:r w:rsidRPr="00D6019B">
              <w:rPr>
                <w:rFonts w:cs="Arial"/>
                <w:b/>
                <w:color w:val="FFFFFF" w:themeColor="background1"/>
                <w:sz w:val="22"/>
                <w:szCs w:val="22"/>
              </w:rPr>
              <w:t>nterest</w:t>
            </w:r>
          </w:p>
          <w:p w:rsidR="00C53AAE" w:rsidRPr="00D6019B" w:rsidRDefault="00C53AAE" w:rsidP="000E0279">
            <w:pPr>
              <w:jc w:val="center"/>
              <w:rPr>
                <w:rFonts w:cs="Arial"/>
                <w:b/>
                <w:color w:val="FFFFFF" w:themeColor="background1"/>
                <w:sz w:val="22"/>
                <w:szCs w:val="22"/>
              </w:rPr>
            </w:pPr>
          </w:p>
        </w:tc>
        <w:tc>
          <w:tcPr>
            <w:tcW w:w="6379" w:type="dxa"/>
          </w:tcPr>
          <w:p w:rsidR="00C53AAE" w:rsidRDefault="00C53AAE" w:rsidP="000E0279">
            <w:pPr>
              <w:pStyle w:val="ListParagraph"/>
              <w:rPr>
                <w:rFonts w:cs="Arial"/>
                <w:sz w:val="22"/>
                <w:szCs w:val="22"/>
              </w:rPr>
            </w:pPr>
          </w:p>
          <w:p w:rsidR="00C53AAE" w:rsidRPr="00075C6F" w:rsidRDefault="00C53AAE" w:rsidP="00C53AAE">
            <w:pPr>
              <w:pStyle w:val="ListParagraph"/>
              <w:numPr>
                <w:ilvl w:val="0"/>
                <w:numId w:val="5"/>
              </w:numPr>
              <w:rPr>
                <w:rFonts w:cs="Arial"/>
                <w:sz w:val="22"/>
                <w:szCs w:val="22"/>
              </w:rPr>
            </w:pPr>
            <w:r w:rsidRPr="00075C6F">
              <w:rPr>
                <w:rFonts w:cs="Arial"/>
                <w:sz w:val="22"/>
                <w:szCs w:val="22"/>
              </w:rPr>
              <w:t>Consideration should be given to the statutory requirements.</w:t>
            </w:r>
          </w:p>
          <w:p w:rsidR="00C53AAE" w:rsidRPr="00075C6F" w:rsidRDefault="00C53AAE" w:rsidP="000E0279">
            <w:pPr>
              <w:pStyle w:val="ListParagraph"/>
              <w:rPr>
                <w:rFonts w:cs="Arial"/>
                <w:sz w:val="22"/>
                <w:szCs w:val="22"/>
              </w:rPr>
            </w:pPr>
          </w:p>
          <w:p w:rsidR="00C53AAE" w:rsidRPr="00075C6F" w:rsidRDefault="00C53AAE" w:rsidP="00C53AAE">
            <w:pPr>
              <w:pStyle w:val="ListParagraph"/>
              <w:numPr>
                <w:ilvl w:val="0"/>
                <w:numId w:val="5"/>
              </w:numPr>
              <w:rPr>
                <w:rFonts w:cs="Arial"/>
                <w:sz w:val="22"/>
                <w:szCs w:val="22"/>
              </w:rPr>
            </w:pPr>
            <w:r w:rsidRPr="00075C6F">
              <w:rPr>
                <w:rFonts w:cs="Arial"/>
                <w:sz w:val="22"/>
                <w:szCs w:val="22"/>
              </w:rPr>
              <w:t xml:space="preserve">CCGs should maintain one or more registers of </w:t>
            </w:r>
            <w:r>
              <w:rPr>
                <w:rFonts w:cs="Arial"/>
                <w:sz w:val="22"/>
                <w:szCs w:val="22"/>
              </w:rPr>
              <w:t xml:space="preserve">interest </w:t>
            </w:r>
            <w:r w:rsidRPr="00075C6F">
              <w:rPr>
                <w:rFonts w:cs="Arial"/>
                <w:sz w:val="22"/>
                <w:szCs w:val="22"/>
              </w:rPr>
              <w:t>for the individuals listed in paragraph 45 of the statutory guidance.</w:t>
            </w:r>
          </w:p>
          <w:p w:rsidR="00C53AAE" w:rsidRPr="00075C6F" w:rsidRDefault="00C53AAE" w:rsidP="000E0279">
            <w:pPr>
              <w:rPr>
                <w:rFonts w:cs="Arial"/>
                <w:sz w:val="22"/>
                <w:szCs w:val="22"/>
              </w:rPr>
            </w:pPr>
          </w:p>
          <w:p w:rsidR="00C53AAE" w:rsidRPr="00075C6F" w:rsidRDefault="00C53AAE" w:rsidP="00C53AAE">
            <w:pPr>
              <w:pStyle w:val="ListParagraph"/>
              <w:numPr>
                <w:ilvl w:val="0"/>
                <w:numId w:val="5"/>
              </w:numPr>
              <w:jc w:val="both"/>
              <w:rPr>
                <w:rFonts w:cs="Arial"/>
                <w:sz w:val="22"/>
                <w:szCs w:val="22"/>
              </w:rPr>
            </w:pPr>
            <w:r w:rsidRPr="00075C6F">
              <w:rPr>
                <w:sz w:val="22"/>
                <w:szCs w:val="22"/>
              </w:rPr>
              <w:t>As a minimum, CCGs should publish register(s) of interests of decision making staff at least annually in a prominent place on their website and make them available at their headquarters upon request.</w:t>
            </w:r>
          </w:p>
          <w:p w:rsidR="00C53AAE" w:rsidRPr="00075C6F" w:rsidRDefault="00C53AAE" w:rsidP="000E0279">
            <w:pPr>
              <w:jc w:val="both"/>
              <w:rPr>
                <w:rFonts w:cs="Arial"/>
                <w:sz w:val="22"/>
                <w:szCs w:val="22"/>
              </w:rPr>
            </w:pPr>
          </w:p>
          <w:p w:rsidR="00C53AAE" w:rsidRPr="00F63299" w:rsidRDefault="00C53AAE" w:rsidP="00C53AAE">
            <w:pPr>
              <w:pStyle w:val="ListParagraph"/>
              <w:numPr>
                <w:ilvl w:val="0"/>
                <w:numId w:val="5"/>
              </w:numPr>
              <w:jc w:val="both"/>
              <w:rPr>
                <w:rFonts w:cs="Arial"/>
                <w:sz w:val="22"/>
                <w:szCs w:val="22"/>
              </w:rPr>
            </w:pPr>
            <w:r w:rsidRPr="00F63299">
              <w:rPr>
                <w:rFonts w:cs="Arial"/>
                <w:sz w:val="22"/>
                <w:szCs w:val="22"/>
              </w:rPr>
              <w:t xml:space="preserve">For the purposes of this guidance, decision-making </w:t>
            </w:r>
            <w:proofErr w:type="gramStart"/>
            <w:r w:rsidRPr="00F63299">
              <w:rPr>
                <w:rFonts w:cs="Arial"/>
                <w:sz w:val="22"/>
                <w:szCs w:val="22"/>
              </w:rPr>
              <w:t xml:space="preserve">staff </w:t>
            </w:r>
            <w:r w:rsidRPr="00F63299">
              <w:rPr>
                <w:sz w:val="22"/>
                <w:szCs w:val="22"/>
              </w:rPr>
              <w:t>are</w:t>
            </w:r>
            <w:proofErr w:type="gramEnd"/>
            <w:r w:rsidRPr="00F63299">
              <w:rPr>
                <w:sz w:val="22"/>
                <w:szCs w:val="22"/>
              </w:rPr>
              <w:t xml:space="preserve"> individuals who are more likely than others to have a decision making influence on the use of taxpayers’ money, because of the requirements of their role.</w:t>
            </w:r>
            <w:r w:rsidRPr="00F63299">
              <w:rPr>
                <w:rFonts w:cs="Arial"/>
                <w:sz w:val="22"/>
                <w:szCs w:val="22"/>
              </w:rPr>
              <w:t xml:space="preserve"> </w:t>
            </w:r>
          </w:p>
          <w:p w:rsidR="00C53AAE" w:rsidRPr="00F63299" w:rsidRDefault="00C53AAE" w:rsidP="000E0279">
            <w:pPr>
              <w:rPr>
                <w:rFonts w:cs="Arial"/>
                <w:sz w:val="22"/>
                <w:szCs w:val="22"/>
              </w:rPr>
            </w:pPr>
          </w:p>
          <w:p w:rsidR="00C53AAE" w:rsidRPr="00F63299" w:rsidRDefault="00C53AAE" w:rsidP="00C53AAE">
            <w:pPr>
              <w:pStyle w:val="ListParagraph"/>
              <w:numPr>
                <w:ilvl w:val="0"/>
                <w:numId w:val="5"/>
              </w:numPr>
              <w:jc w:val="both"/>
              <w:rPr>
                <w:sz w:val="22"/>
                <w:szCs w:val="22"/>
              </w:rPr>
            </w:pPr>
            <w:r w:rsidRPr="00F63299">
              <w:rPr>
                <w:sz w:val="22"/>
                <w:szCs w:val="22"/>
              </w:rPr>
              <w:t>The following non-exhaustive list describes who these individuals are likely to be:</w:t>
            </w:r>
          </w:p>
          <w:p w:rsidR="00C53AAE" w:rsidRPr="00F63299" w:rsidRDefault="00C53AAE" w:rsidP="00C53AAE">
            <w:pPr>
              <w:pStyle w:val="ListParagraph"/>
              <w:numPr>
                <w:ilvl w:val="0"/>
                <w:numId w:val="22"/>
              </w:numPr>
              <w:autoSpaceDE w:val="0"/>
              <w:autoSpaceDN w:val="0"/>
              <w:adjustRightInd w:val="0"/>
              <w:ind w:left="1134" w:hanging="425"/>
              <w:jc w:val="both"/>
              <w:rPr>
                <w:rFonts w:eastAsia="HGSMinchoE" w:cs="Arial"/>
                <w:bCs w:val="0"/>
                <w:sz w:val="22"/>
                <w:szCs w:val="22"/>
              </w:rPr>
            </w:pPr>
            <w:r w:rsidRPr="00F63299">
              <w:rPr>
                <w:rFonts w:eastAsia="HGSMinchoE" w:cs="Arial"/>
                <w:bCs w:val="0"/>
                <w:sz w:val="22"/>
                <w:szCs w:val="22"/>
              </w:rPr>
              <w:t xml:space="preserve">All governing body members; </w:t>
            </w:r>
          </w:p>
          <w:p w:rsidR="00C53AAE" w:rsidRPr="00F63299" w:rsidRDefault="00C53AAE" w:rsidP="00C53AAE">
            <w:pPr>
              <w:pStyle w:val="ListParagraph"/>
              <w:numPr>
                <w:ilvl w:val="0"/>
                <w:numId w:val="22"/>
              </w:numPr>
              <w:autoSpaceDE w:val="0"/>
              <w:autoSpaceDN w:val="0"/>
              <w:adjustRightInd w:val="0"/>
              <w:ind w:left="1134" w:hanging="425"/>
              <w:jc w:val="both"/>
              <w:rPr>
                <w:rFonts w:eastAsia="HGSMinchoE" w:cs="Arial"/>
                <w:bCs w:val="0"/>
                <w:sz w:val="22"/>
                <w:szCs w:val="22"/>
              </w:rPr>
            </w:pPr>
            <w:r w:rsidRPr="00F63299">
              <w:rPr>
                <w:rFonts w:eastAsia="HGSMinchoE" w:cs="Arial"/>
                <w:bCs w:val="0"/>
                <w:sz w:val="22"/>
                <w:szCs w:val="22"/>
              </w:rPr>
              <w:t xml:space="preserve">Members of advisory groups which contribute to direct or delegated decision making on the commissioning or provision of taxpayer funded services such as working groups involved in service redesign or stakeholder engagement that will affect future provision of services; </w:t>
            </w:r>
          </w:p>
          <w:p w:rsidR="00C53AAE" w:rsidRPr="00F63299" w:rsidRDefault="00C53AAE" w:rsidP="00C53AAE">
            <w:pPr>
              <w:pStyle w:val="ListParagraph"/>
              <w:numPr>
                <w:ilvl w:val="0"/>
                <w:numId w:val="22"/>
              </w:numPr>
              <w:autoSpaceDE w:val="0"/>
              <w:autoSpaceDN w:val="0"/>
              <w:adjustRightInd w:val="0"/>
              <w:ind w:left="1134" w:hanging="425"/>
              <w:jc w:val="both"/>
              <w:rPr>
                <w:rFonts w:eastAsia="HGSMinchoE" w:cs="Arial"/>
                <w:bCs w:val="0"/>
                <w:sz w:val="22"/>
                <w:szCs w:val="22"/>
              </w:rPr>
            </w:pPr>
            <w:r w:rsidRPr="00F63299">
              <w:rPr>
                <w:rFonts w:eastAsia="HGSMinchoE" w:cs="Arial"/>
                <w:bCs w:val="0"/>
                <w:sz w:val="22"/>
                <w:szCs w:val="22"/>
              </w:rPr>
              <w:t>Members of the Primary Care Commissioning Committee (PCCC);</w:t>
            </w:r>
          </w:p>
          <w:p w:rsidR="00C53AAE" w:rsidRPr="00F63299" w:rsidRDefault="00C53AAE" w:rsidP="00C53AAE">
            <w:pPr>
              <w:pStyle w:val="ListParagraph"/>
              <w:numPr>
                <w:ilvl w:val="0"/>
                <w:numId w:val="22"/>
              </w:numPr>
              <w:autoSpaceDE w:val="0"/>
              <w:autoSpaceDN w:val="0"/>
              <w:adjustRightInd w:val="0"/>
              <w:ind w:left="1134" w:hanging="425"/>
              <w:jc w:val="both"/>
              <w:rPr>
                <w:rFonts w:eastAsia="HGSMinchoE" w:cs="Arial"/>
                <w:bCs w:val="0"/>
                <w:sz w:val="22"/>
                <w:szCs w:val="22"/>
              </w:rPr>
            </w:pPr>
            <w:r w:rsidRPr="00F63299">
              <w:rPr>
                <w:rFonts w:eastAsia="HGSMinchoE" w:cs="Arial"/>
                <w:bCs w:val="0"/>
                <w:sz w:val="22"/>
                <w:szCs w:val="22"/>
              </w:rPr>
              <w:t>Members of other committees of the CCG e.g., audit committee, remuneration committee etc.;</w:t>
            </w:r>
          </w:p>
          <w:p w:rsidR="00C53AAE" w:rsidRPr="00F63299" w:rsidRDefault="00C53AAE" w:rsidP="00C53AAE">
            <w:pPr>
              <w:pStyle w:val="ListParagraph"/>
              <w:numPr>
                <w:ilvl w:val="0"/>
                <w:numId w:val="22"/>
              </w:numPr>
              <w:autoSpaceDE w:val="0"/>
              <w:autoSpaceDN w:val="0"/>
              <w:adjustRightInd w:val="0"/>
              <w:ind w:left="1134" w:hanging="425"/>
              <w:jc w:val="both"/>
              <w:rPr>
                <w:rFonts w:eastAsia="HGSMinchoE" w:cs="Arial"/>
                <w:bCs w:val="0"/>
                <w:sz w:val="22"/>
                <w:szCs w:val="22"/>
              </w:rPr>
            </w:pPr>
            <w:r w:rsidRPr="00F63299">
              <w:rPr>
                <w:rFonts w:eastAsia="HGSMinchoE" w:cs="Arial"/>
                <w:bCs w:val="0"/>
                <w:sz w:val="22"/>
                <w:szCs w:val="22"/>
              </w:rPr>
              <w:t>Members of new care models joint provider / commissioner groups / committees;</w:t>
            </w:r>
          </w:p>
          <w:p w:rsidR="00C53AAE" w:rsidRPr="00F63299" w:rsidRDefault="00C53AAE" w:rsidP="00C53AAE">
            <w:pPr>
              <w:pStyle w:val="ListParagraph"/>
              <w:numPr>
                <w:ilvl w:val="0"/>
                <w:numId w:val="22"/>
              </w:numPr>
              <w:autoSpaceDE w:val="0"/>
              <w:autoSpaceDN w:val="0"/>
              <w:adjustRightInd w:val="0"/>
              <w:ind w:left="1134" w:hanging="425"/>
              <w:jc w:val="both"/>
              <w:rPr>
                <w:rFonts w:eastAsia="HGSMinchoE" w:cs="Arial"/>
                <w:bCs w:val="0"/>
                <w:sz w:val="22"/>
                <w:szCs w:val="22"/>
              </w:rPr>
            </w:pPr>
            <w:r w:rsidRPr="00F63299">
              <w:rPr>
                <w:rFonts w:eastAsia="HGSMinchoE" w:cs="Arial"/>
                <w:bCs w:val="0"/>
                <w:sz w:val="22"/>
                <w:szCs w:val="22"/>
              </w:rPr>
              <w:t>Members of procurement (sub-)committees;</w:t>
            </w:r>
          </w:p>
          <w:p w:rsidR="00C53AAE" w:rsidRPr="00F63299" w:rsidRDefault="00C53AAE" w:rsidP="00C53AAE">
            <w:pPr>
              <w:pStyle w:val="ListParagraph"/>
              <w:numPr>
                <w:ilvl w:val="0"/>
                <w:numId w:val="22"/>
              </w:numPr>
              <w:autoSpaceDE w:val="0"/>
              <w:autoSpaceDN w:val="0"/>
              <w:adjustRightInd w:val="0"/>
              <w:ind w:left="1134" w:hanging="425"/>
              <w:jc w:val="both"/>
              <w:rPr>
                <w:rFonts w:eastAsia="HGSMinchoE" w:cs="Arial"/>
                <w:bCs w:val="0"/>
                <w:sz w:val="22"/>
                <w:szCs w:val="22"/>
              </w:rPr>
            </w:pPr>
            <w:r w:rsidRPr="00F63299">
              <w:rPr>
                <w:rFonts w:eastAsia="HGSMinchoE" w:cs="Arial"/>
                <w:bCs w:val="0"/>
                <w:sz w:val="22"/>
                <w:szCs w:val="22"/>
              </w:rPr>
              <w:t xml:space="preserve">Those at Agenda for Change band 8d and above; </w:t>
            </w:r>
          </w:p>
          <w:p w:rsidR="00C53AAE" w:rsidRPr="00F63299" w:rsidRDefault="00C53AAE" w:rsidP="00C53AAE">
            <w:pPr>
              <w:pStyle w:val="ListParagraph"/>
              <w:numPr>
                <w:ilvl w:val="0"/>
                <w:numId w:val="22"/>
              </w:numPr>
              <w:autoSpaceDE w:val="0"/>
              <w:autoSpaceDN w:val="0"/>
              <w:adjustRightInd w:val="0"/>
              <w:ind w:left="1134" w:hanging="425"/>
              <w:jc w:val="both"/>
              <w:rPr>
                <w:rFonts w:eastAsia="HGSMinchoE" w:cs="Arial"/>
                <w:bCs w:val="0"/>
                <w:sz w:val="22"/>
                <w:szCs w:val="22"/>
              </w:rPr>
            </w:pPr>
            <w:r w:rsidRPr="00F63299">
              <w:rPr>
                <w:rFonts w:eastAsia="HGSMinchoE" w:cs="Arial"/>
                <w:bCs w:val="0"/>
                <w:sz w:val="22"/>
                <w:szCs w:val="22"/>
              </w:rPr>
              <w:t xml:space="preserve">Management, administrative and clinical staff who have the power to enter into contracts on behalf of the CCG; and </w:t>
            </w:r>
          </w:p>
          <w:p w:rsidR="00C53AAE" w:rsidRPr="00F63299" w:rsidRDefault="00C53AAE" w:rsidP="00C53AAE">
            <w:pPr>
              <w:pStyle w:val="ListParagraph"/>
              <w:numPr>
                <w:ilvl w:val="0"/>
                <w:numId w:val="22"/>
              </w:numPr>
              <w:autoSpaceDE w:val="0"/>
              <w:autoSpaceDN w:val="0"/>
              <w:adjustRightInd w:val="0"/>
              <w:spacing w:after="120"/>
              <w:ind w:left="1134" w:hanging="425"/>
              <w:jc w:val="both"/>
              <w:rPr>
                <w:rFonts w:eastAsia="HGSMinchoE" w:cs="Arial"/>
                <w:bCs w:val="0"/>
                <w:sz w:val="22"/>
                <w:szCs w:val="22"/>
              </w:rPr>
            </w:pPr>
            <w:r w:rsidRPr="00F63299">
              <w:rPr>
                <w:rFonts w:eastAsia="HGSMinchoE" w:cs="Arial"/>
                <w:bCs w:val="0"/>
                <w:sz w:val="22"/>
                <w:szCs w:val="22"/>
              </w:rPr>
              <w:t xml:space="preserve">Management, administrative and clinical staff </w:t>
            </w:r>
            <w:r w:rsidRPr="00F63299">
              <w:rPr>
                <w:rFonts w:eastAsia="HGSMinchoE" w:cs="Arial"/>
                <w:bCs w:val="0"/>
                <w:sz w:val="22"/>
                <w:szCs w:val="22"/>
              </w:rPr>
              <w:lastRenderedPageBreak/>
              <w:t xml:space="preserve">involved in decision making concerning the commissioning of services, purchasing of goods, medicines, medical devices or equipment, and formulary decisions. </w:t>
            </w:r>
          </w:p>
          <w:p w:rsidR="00C53AAE" w:rsidRPr="00D43141" w:rsidRDefault="00C53AAE" w:rsidP="000E0279">
            <w:pPr>
              <w:autoSpaceDE w:val="0"/>
              <w:autoSpaceDN w:val="0"/>
              <w:adjustRightInd w:val="0"/>
              <w:jc w:val="both"/>
              <w:rPr>
                <w:rFonts w:eastAsia="HGSMinchoE" w:cs="Arial"/>
                <w:bCs w:val="0"/>
                <w:color w:val="000000"/>
                <w:sz w:val="22"/>
                <w:szCs w:val="22"/>
              </w:rPr>
            </w:pPr>
          </w:p>
          <w:p w:rsidR="00C53AAE" w:rsidRPr="006308BB" w:rsidRDefault="00C53AAE" w:rsidP="00C53AAE">
            <w:pPr>
              <w:pStyle w:val="ListParagraph"/>
              <w:numPr>
                <w:ilvl w:val="0"/>
                <w:numId w:val="5"/>
              </w:numPr>
              <w:rPr>
                <w:rFonts w:cs="Arial"/>
                <w:sz w:val="22"/>
                <w:szCs w:val="22"/>
              </w:rPr>
            </w:pPr>
            <w:r w:rsidRPr="006308BB">
              <w:rPr>
                <w:rFonts w:cs="Arial"/>
                <w:sz w:val="22"/>
                <w:szCs w:val="22"/>
              </w:rPr>
              <w:t>Stipulate the period of time within which registers of interest have to be updated- upon receiving a declaration of interest in line with the guidance;</w:t>
            </w:r>
          </w:p>
          <w:p w:rsidR="00C53AAE" w:rsidRPr="006308BB" w:rsidRDefault="00C53AAE" w:rsidP="00C53AAE">
            <w:pPr>
              <w:pStyle w:val="ListParagraph"/>
              <w:numPr>
                <w:ilvl w:val="0"/>
                <w:numId w:val="5"/>
              </w:numPr>
              <w:rPr>
                <w:rFonts w:cs="Arial"/>
                <w:sz w:val="22"/>
                <w:szCs w:val="22"/>
              </w:rPr>
            </w:pPr>
            <w:r w:rsidRPr="006308BB">
              <w:rPr>
                <w:rFonts w:cs="Arial"/>
                <w:sz w:val="22"/>
                <w:szCs w:val="22"/>
              </w:rPr>
              <w:t>Stipulate publication arrangements for registers of interests</w:t>
            </w:r>
            <w:r>
              <w:rPr>
                <w:rFonts w:cs="Arial"/>
                <w:sz w:val="22"/>
                <w:szCs w:val="22"/>
              </w:rPr>
              <w:t xml:space="preserve"> for decision making staff</w:t>
            </w:r>
            <w:r w:rsidRPr="006308BB">
              <w:rPr>
                <w:rFonts w:cs="Arial"/>
                <w:sz w:val="22"/>
                <w:szCs w:val="22"/>
              </w:rPr>
              <w:t xml:space="preserve"> in line with the guidance.</w:t>
            </w:r>
          </w:p>
          <w:p w:rsidR="00C53AAE" w:rsidRPr="006308BB" w:rsidRDefault="00C53AAE" w:rsidP="000E0279">
            <w:pPr>
              <w:rPr>
                <w:rFonts w:cs="Arial"/>
                <w:sz w:val="22"/>
                <w:szCs w:val="22"/>
              </w:rPr>
            </w:pPr>
          </w:p>
          <w:p w:rsidR="00C53AAE" w:rsidRPr="006308BB" w:rsidRDefault="00C53AAE" w:rsidP="000E0279">
            <w:pPr>
              <w:rPr>
                <w:rFonts w:cs="Arial"/>
                <w:b/>
                <w:sz w:val="22"/>
                <w:szCs w:val="22"/>
              </w:rPr>
            </w:pPr>
            <w:r w:rsidRPr="006308BB">
              <w:rPr>
                <w:rFonts w:cs="Arial"/>
                <w:b/>
                <w:sz w:val="22"/>
                <w:szCs w:val="22"/>
              </w:rPr>
              <w:t>A register of interests template should be appended to the policy</w:t>
            </w:r>
          </w:p>
          <w:p w:rsidR="00C53AAE" w:rsidRPr="006308BB" w:rsidRDefault="00C53AAE" w:rsidP="000E0279">
            <w:pPr>
              <w:rPr>
                <w:rFonts w:cs="Arial"/>
                <w:sz w:val="22"/>
                <w:szCs w:val="22"/>
              </w:rPr>
            </w:pPr>
          </w:p>
        </w:tc>
      </w:tr>
      <w:tr w:rsidR="00C53AAE" w:rsidRPr="00D6019B" w:rsidTr="000E0279">
        <w:tc>
          <w:tcPr>
            <w:tcW w:w="2552" w:type="dxa"/>
            <w:shd w:val="clear" w:color="auto" w:fill="0070C0"/>
            <w:vAlign w:val="center"/>
          </w:tcPr>
          <w:p w:rsidR="00C53AAE" w:rsidRPr="00D6019B" w:rsidRDefault="00C53AAE" w:rsidP="000E0279">
            <w:pPr>
              <w:jc w:val="center"/>
              <w:rPr>
                <w:rFonts w:cs="Arial"/>
                <w:b/>
                <w:color w:val="FFFFFF" w:themeColor="background1"/>
                <w:sz w:val="22"/>
                <w:szCs w:val="22"/>
              </w:rPr>
            </w:pPr>
            <w:r w:rsidRPr="00D6019B">
              <w:rPr>
                <w:rFonts w:cs="Arial"/>
                <w:b/>
                <w:color w:val="FFFFFF" w:themeColor="background1"/>
                <w:sz w:val="22"/>
                <w:szCs w:val="22"/>
              </w:rPr>
              <w:lastRenderedPageBreak/>
              <w:t xml:space="preserve">Declaration of </w:t>
            </w:r>
          </w:p>
          <w:p w:rsidR="00C53AAE" w:rsidRPr="00D6019B" w:rsidRDefault="00C53AAE" w:rsidP="000E0279">
            <w:pPr>
              <w:jc w:val="center"/>
              <w:rPr>
                <w:rFonts w:cs="Arial"/>
                <w:b/>
                <w:color w:val="FFFFFF" w:themeColor="background1"/>
                <w:sz w:val="22"/>
                <w:szCs w:val="22"/>
              </w:rPr>
            </w:pPr>
            <w:r>
              <w:rPr>
                <w:rFonts w:cs="Arial"/>
                <w:b/>
                <w:color w:val="FFFFFF" w:themeColor="background1"/>
                <w:sz w:val="22"/>
                <w:szCs w:val="22"/>
              </w:rPr>
              <w:t>gifts and h</w:t>
            </w:r>
            <w:r w:rsidRPr="00D6019B">
              <w:rPr>
                <w:rFonts w:cs="Arial"/>
                <w:b/>
                <w:color w:val="FFFFFF" w:themeColor="background1"/>
                <w:sz w:val="22"/>
                <w:szCs w:val="22"/>
              </w:rPr>
              <w:t>ospitality</w:t>
            </w:r>
          </w:p>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p>
        </w:tc>
        <w:tc>
          <w:tcPr>
            <w:tcW w:w="6379" w:type="dxa"/>
          </w:tcPr>
          <w:p w:rsidR="00C53AAE" w:rsidRPr="007E4767" w:rsidRDefault="00C53AAE" w:rsidP="000E0279">
            <w:pPr>
              <w:pStyle w:val="ListParagraph"/>
              <w:rPr>
                <w:rFonts w:cs="Arial"/>
                <w:sz w:val="21"/>
                <w:szCs w:val="21"/>
              </w:rPr>
            </w:pPr>
          </w:p>
          <w:p w:rsidR="00C53AAE" w:rsidRPr="007E4767" w:rsidRDefault="00C53AAE" w:rsidP="00C53AAE">
            <w:pPr>
              <w:pStyle w:val="ListParagraph"/>
              <w:numPr>
                <w:ilvl w:val="0"/>
                <w:numId w:val="4"/>
              </w:numPr>
              <w:ind w:right="-108"/>
              <w:rPr>
                <w:rFonts w:cs="Arial"/>
                <w:sz w:val="21"/>
                <w:szCs w:val="21"/>
              </w:rPr>
            </w:pPr>
            <w:r w:rsidRPr="007E4767">
              <w:rPr>
                <w:rFonts w:cs="Arial"/>
                <w:sz w:val="21"/>
                <w:szCs w:val="21"/>
              </w:rPr>
              <w:t>Consideration should be given to the statutory requirements;</w:t>
            </w:r>
          </w:p>
          <w:p w:rsidR="00C53AAE" w:rsidRPr="007E4767" w:rsidRDefault="00C53AAE" w:rsidP="00C53AAE">
            <w:pPr>
              <w:pStyle w:val="ListParagraph"/>
              <w:numPr>
                <w:ilvl w:val="0"/>
                <w:numId w:val="4"/>
              </w:numPr>
              <w:rPr>
                <w:rFonts w:cs="Arial"/>
                <w:sz w:val="21"/>
                <w:szCs w:val="21"/>
              </w:rPr>
            </w:pPr>
            <w:r w:rsidRPr="007E4767">
              <w:rPr>
                <w:rFonts w:cs="Arial"/>
                <w:sz w:val="21"/>
                <w:szCs w:val="21"/>
              </w:rPr>
              <w:t>Consideration of risks when accepting gifts and hospitality;</w:t>
            </w:r>
          </w:p>
          <w:p w:rsidR="00C53AAE" w:rsidRPr="007E4767" w:rsidRDefault="00C53AAE" w:rsidP="00C53AAE">
            <w:pPr>
              <w:pStyle w:val="ListParagraph"/>
              <w:numPr>
                <w:ilvl w:val="0"/>
                <w:numId w:val="4"/>
              </w:numPr>
              <w:rPr>
                <w:rFonts w:cs="Arial"/>
                <w:sz w:val="21"/>
                <w:szCs w:val="21"/>
              </w:rPr>
            </w:pPr>
            <w:r w:rsidRPr="007E4767">
              <w:rPr>
                <w:rFonts w:cs="Arial"/>
                <w:sz w:val="21"/>
                <w:szCs w:val="21"/>
              </w:rPr>
              <w:t>Define acceptable types of gifts and hospitality;</w:t>
            </w:r>
          </w:p>
          <w:p w:rsidR="00C53AAE" w:rsidRPr="007E4767" w:rsidRDefault="00C53AAE" w:rsidP="00C53AAE">
            <w:pPr>
              <w:pStyle w:val="ListParagraph"/>
              <w:numPr>
                <w:ilvl w:val="0"/>
                <w:numId w:val="4"/>
              </w:numPr>
              <w:rPr>
                <w:rFonts w:cs="Arial"/>
                <w:sz w:val="21"/>
                <w:szCs w:val="21"/>
              </w:rPr>
            </w:pPr>
            <w:r w:rsidRPr="007E4767">
              <w:rPr>
                <w:rFonts w:cs="Arial"/>
                <w:sz w:val="21"/>
                <w:szCs w:val="21"/>
              </w:rPr>
              <w:t>Define the process for reporting gifts and hospitality;</w:t>
            </w:r>
          </w:p>
          <w:p w:rsidR="00C53AAE" w:rsidRDefault="00C53AAE" w:rsidP="00C53AAE">
            <w:pPr>
              <w:pStyle w:val="ListParagraph"/>
              <w:numPr>
                <w:ilvl w:val="0"/>
                <w:numId w:val="4"/>
              </w:numPr>
              <w:rPr>
                <w:rFonts w:cs="Arial"/>
                <w:sz w:val="21"/>
                <w:szCs w:val="21"/>
              </w:rPr>
            </w:pPr>
            <w:r w:rsidRPr="007E4767">
              <w:rPr>
                <w:rFonts w:cs="Arial"/>
                <w:sz w:val="21"/>
                <w:szCs w:val="21"/>
              </w:rPr>
              <w:t>State the contact details of the nominated person to whom declarations of gifts and ho</w:t>
            </w:r>
            <w:r>
              <w:rPr>
                <w:rFonts w:cs="Arial"/>
                <w:sz w:val="21"/>
                <w:szCs w:val="21"/>
              </w:rPr>
              <w:t>spitality should be reported to;</w:t>
            </w:r>
          </w:p>
          <w:p w:rsidR="00C53AAE" w:rsidRDefault="00C53AAE" w:rsidP="00C53AAE">
            <w:pPr>
              <w:pStyle w:val="ListParagraph"/>
              <w:numPr>
                <w:ilvl w:val="0"/>
                <w:numId w:val="4"/>
              </w:numPr>
              <w:autoSpaceDE w:val="0"/>
              <w:autoSpaceDN w:val="0"/>
              <w:adjustRightInd w:val="0"/>
              <w:rPr>
                <w:rFonts w:eastAsia="HGSMinchoE" w:cs="Arial"/>
                <w:szCs w:val="22"/>
              </w:rPr>
            </w:pPr>
            <w:r w:rsidRPr="0001310E">
              <w:rPr>
                <w:rFonts w:eastAsia="HGSMinchoE" w:cs="Arial"/>
                <w:sz w:val="22"/>
                <w:szCs w:val="22"/>
              </w:rPr>
              <w:t>Declarations of gifts and hospitality should be made by those listed in section 45 of the statutory guidance.</w:t>
            </w:r>
          </w:p>
          <w:p w:rsidR="00C53AAE" w:rsidRPr="008E5AEF" w:rsidRDefault="00C53AAE" w:rsidP="000E0279">
            <w:pPr>
              <w:ind w:left="360"/>
              <w:rPr>
                <w:rFonts w:cs="Arial"/>
                <w:sz w:val="21"/>
                <w:szCs w:val="21"/>
              </w:rPr>
            </w:pPr>
          </w:p>
          <w:p w:rsidR="00C53AAE" w:rsidRPr="007E4767" w:rsidRDefault="00C53AAE" w:rsidP="000E0279">
            <w:pPr>
              <w:rPr>
                <w:rFonts w:cs="Arial"/>
                <w:sz w:val="21"/>
                <w:szCs w:val="21"/>
              </w:rPr>
            </w:pPr>
          </w:p>
          <w:p w:rsidR="00C53AAE" w:rsidRPr="007E4767" w:rsidRDefault="00C53AAE" w:rsidP="000E0279">
            <w:pPr>
              <w:rPr>
                <w:rFonts w:cs="Arial"/>
                <w:b/>
                <w:sz w:val="21"/>
                <w:szCs w:val="21"/>
              </w:rPr>
            </w:pPr>
            <w:r w:rsidRPr="007E4767">
              <w:rPr>
                <w:rFonts w:cs="Arial"/>
                <w:b/>
                <w:sz w:val="21"/>
                <w:szCs w:val="21"/>
              </w:rPr>
              <w:t xml:space="preserve">A declaration of gifts and hospitality form template should be appended to the policy. </w:t>
            </w:r>
          </w:p>
          <w:p w:rsidR="00C53AAE" w:rsidRDefault="00C53AAE" w:rsidP="000E0279">
            <w:pPr>
              <w:rPr>
                <w:rFonts w:cs="Arial"/>
                <w:sz w:val="21"/>
                <w:szCs w:val="21"/>
              </w:rPr>
            </w:pPr>
          </w:p>
          <w:p w:rsidR="00C53AAE" w:rsidRPr="007E4767" w:rsidRDefault="00C53AAE" w:rsidP="000E0279">
            <w:pPr>
              <w:rPr>
                <w:rFonts w:cs="Arial"/>
                <w:sz w:val="21"/>
                <w:szCs w:val="21"/>
              </w:rPr>
            </w:pPr>
          </w:p>
        </w:tc>
      </w:tr>
      <w:tr w:rsidR="00C53AAE" w:rsidRPr="00D6019B" w:rsidTr="000E0279">
        <w:tc>
          <w:tcPr>
            <w:tcW w:w="2552" w:type="dxa"/>
            <w:shd w:val="clear" w:color="auto" w:fill="0070C0"/>
            <w:vAlign w:val="center"/>
          </w:tcPr>
          <w:p w:rsidR="00C53AAE" w:rsidRPr="00D6019B" w:rsidRDefault="00C53AAE" w:rsidP="000E0279">
            <w:pPr>
              <w:jc w:val="center"/>
              <w:rPr>
                <w:rFonts w:cs="Arial"/>
                <w:b/>
                <w:color w:val="FFFFFF" w:themeColor="background1"/>
                <w:sz w:val="22"/>
                <w:szCs w:val="22"/>
              </w:rPr>
            </w:pPr>
            <w:r>
              <w:rPr>
                <w:rFonts w:cs="Arial"/>
                <w:b/>
                <w:color w:val="FFFFFF" w:themeColor="background1"/>
                <w:sz w:val="22"/>
                <w:szCs w:val="22"/>
              </w:rPr>
              <w:t>Maintaining a r</w:t>
            </w:r>
            <w:r w:rsidRPr="00D6019B">
              <w:rPr>
                <w:rFonts w:cs="Arial"/>
                <w:b/>
                <w:color w:val="FFFFFF" w:themeColor="background1"/>
                <w:sz w:val="22"/>
                <w:szCs w:val="22"/>
              </w:rPr>
              <w:t xml:space="preserve">egister of </w:t>
            </w:r>
          </w:p>
          <w:p w:rsidR="00C53AAE" w:rsidRPr="00D6019B" w:rsidRDefault="00C53AAE" w:rsidP="000E0279">
            <w:pPr>
              <w:jc w:val="center"/>
              <w:rPr>
                <w:rFonts w:cs="Arial"/>
                <w:b/>
                <w:color w:val="FFFFFF" w:themeColor="background1"/>
                <w:sz w:val="22"/>
                <w:szCs w:val="22"/>
              </w:rPr>
            </w:pPr>
            <w:r>
              <w:rPr>
                <w:rFonts w:cs="Arial"/>
                <w:b/>
                <w:color w:val="FFFFFF" w:themeColor="background1"/>
                <w:sz w:val="22"/>
                <w:szCs w:val="22"/>
              </w:rPr>
              <w:t>gifts and h</w:t>
            </w:r>
            <w:r w:rsidRPr="00D6019B">
              <w:rPr>
                <w:rFonts w:cs="Arial"/>
                <w:b/>
                <w:color w:val="FFFFFF" w:themeColor="background1"/>
                <w:sz w:val="22"/>
                <w:szCs w:val="22"/>
              </w:rPr>
              <w:t>ospitality</w:t>
            </w:r>
          </w:p>
          <w:p w:rsidR="00C53AAE" w:rsidRPr="00D6019B" w:rsidRDefault="00C53AAE" w:rsidP="000E0279">
            <w:pPr>
              <w:jc w:val="center"/>
              <w:rPr>
                <w:rFonts w:cs="Arial"/>
                <w:b/>
                <w:color w:val="FFFFFF" w:themeColor="background1"/>
                <w:sz w:val="22"/>
                <w:szCs w:val="22"/>
              </w:rPr>
            </w:pPr>
          </w:p>
        </w:tc>
        <w:tc>
          <w:tcPr>
            <w:tcW w:w="6379" w:type="dxa"/>
          </w:tcPr>
          <w:p w:rsidR="00C53AAE" w:rsidRPr="00D6019B" w:rsidRDefault="00C53AAE" w:rsidP="000E0279">
            <w:pPr>
              <w:pStyle w:val="ListParagraph"/>
              <w:rPr>
                <w:rFonts w:cs="Arial"/>
                <w:sz w:val="22"/>
                <w:szCs w:val="22"/>
              </w:rPr>
            </w:pPr>
          </w:p>
          <w:p w:rsidR="00C53AAE" w:rsidRPr="00F63299" w:rsidRDefault="00C53AAE" w:rsidP="00C53AAE">
            <w:pPr>
              <w:pStyle w:val="ListParagraph"/>
              <w:numPr>
                <w:ilvl w:val="0"/>
                <w:numId w:val="23"/>
              </w:numPr>
              <w:autoSpaceDE w:val="0"/>
              <w:autoSpaceDN w:val="0"/>
              <w:adjustRightInd w:val="0"/>
              <w:rPr>
                <w:rFonts w:eastAsia="HGSMinchoE" w:cs="Arial"/>
                <w:szCs w:val="22"/>
              </w:rPr>
            </w:pPr>
            <w:r w:rsidRPr="008E5AEF">
              <w:rPr>
                <w:rFonts w:cs="Arial"/>
                <w:sz w:val="22"/>
                <w:szCs w:val="22"/>
              </w:rPr>
              <w:t>Consideration should be given to the statutory requirements.</w:t>
            </w:r>
            <w:r w:rsidRPr="0001310E">
              <w:rPr>
                <w:rFonts w:eastAsia="HGSMinchoE" w:cs="Arial"/>
                <w:sz w:val="22"/>
                <w:szCs w:val="22"/>
              </w:rPr>
              <w:t xml:space="preserve"> </w:t>
            </w:r>
          </w:p>
          <w:p w:rsidR="00C53AAE" w:rsidRDefault="00C53AAE" w:rsidP="00C53AAE">
            <w:pPr>
              <w:pStyle w:val="ListParagraph"/>
              <w:numPr>
                <w:ilvl w:val="0"/>
                <w:numId w:val="23"/>
              </w:numPr>
              <w:autoSpaceDE w:val="0"/>
              <w:autoSpaceDN w:val="0"/>
              <w:adjustRightInd w:val="0"/>
              <w:rPr>
                <w:rFonts w:eastAsia="HGSMinchoE" w:cs="Arial"/>
                <w:szCs w:val="22"/>
              </w:rPr>
            </w:pPr>
            <w:r w:rsidRPr="0001310E">
              <w:rPr>
                <w:rFonts w:eastAsia="HGSMinchoE" w:cs="Arial"/>
                <w:sz w:val="22"/>
                <w:szCs w:val="22"/>
              </w:rPr>
              <w:t>CCGs should maintain one or more registers of gifts and hospitality for the individuals listed in paragraph 45 of the statutory guidance.</w:t>
            </w:r>
          </w:p>
          <w:p w:rsidR="00C53AAE" w:rsidRDefault="00C53AAE" w:rsidP="00C53AAE">
            <w:pPr>
              <w:pStyle w:val="ListParagraph"/>
              <w:numPr>
                <w:ilvl w:val="0"/>
                <w:numId w:val="23"/>
              </w:numPr>
              <w:autoSpaceDE w:val="0"/>
              <w:autoSpaceDN w:val="0"/>
              <w:adjustRightInd w:val="0"/>
              <w:jc w:val="both"/>
              <w:rPr>
                <w:rFonts w:eastAsia="HGSMinchoE" w:cs="Arial"/>
                <w:szCs w:val="22"/>
              </w:rPr>
            </w:pPr>
            <w:r w:rsidRPr="0001310E">
              <w:rPr>
                <w:rFonts w:eastAsia="HGSMinchoE"/>
                <w:sz w:val="22"/>
                <w:szCs w:val="22"/>
              </w:rPr>
              <w:t>As a minimum, CCGs should publish register(s) of gifts and hospitality of decision making staff at least annually in a prominent place on their website and make them available at their headquarters upon request.  See above for the meaning of ‘decision making staff.’</w:t>
            </w:r>
          </w:p>
          <w:p w:rsidR="00C53AAE" w:rsidRPr="00D6019B" w:rsidRDefault="00C53AAE" w:rsidP="00C53AAE">
            <w:pPr>
              <w:pStyle w:val="ListParagraph"/>
              <w:numPr>
                <w:ilvl w:val="0"/>
                <w:numId w:val="5"/>
              </w:numPr>
              <w:rPr>
                <w:rFonts w:cs="Arial"/>
                <w:sz w:val="22"/>
                <w:szCs w:val="22"/>
              </w:rPr>
            </w:pPr>
            <w:r w:rsidRPr="00D6019B">
              <w:rPr>
                <w:rFonts w:cs="Arial"/>
                <w:sz w:val="22"/>
                <w:szCs w:val="22"/>
              </w:rPr>
              <w:t>Consideration shoul</w:t>
            </w:r>
            <w:r>
              <w:rPr>
                <w:rFonts w:cs="Arial"/>
                <w:sz w:val="22"/>
                <w:szCs w:val="22"/>
              </w:rPr>
              <w:t xml:space="preserve">d be given to the time period for updating the registers of </w:t>
            </w:r>
            <w:r w:rsidRPr="00D6019B">
              <w:rPr>
                <w:rFonts w:cs="Arial"/>
                <w:sz w:val="22"/>
                <w:szCs w:val="22"/>
              </w:rPr>
              <w:t>gifts and hospitality upon receiving a declaration of gifts and hospitality</w:t>
            </w:r>
            <w:r>
              <w:rPr>
                <w:rFonts w:cs="Arial"/>
                <w:sz w:val="22"/>
                <w:szCs w:val="22"/>
              </w:rPr>
              <w:t xml:space="preserve"> in line with the guidance</w:t>
            </w:r>
            <w:r w:rsidRPr="00D6019B">
              <w:rPr>
                <w:rFonts w:cs="Arial"/>
                <w:sz w:val="22"/>
                <w:szCs w:val="22"/>
              </w:rPr>
              <w:t>;</w:t>
            </w:r>
          </w:p>
          <w:p w:rsidR="00C53AAE" w:rsidRPr="00D6019B" w:rsidRDefault="00C53AAE" w:rsidP="00C53AAE">
            <w:pPr>
              <w:pStyle w:val="ListParagraph"/>
              <w:numPr>
                <w:ilvl w:val="0"/>
                <w:numId w:val="5"/>
              </w:numPr>
              <w:rPr>
                <w:rFonts w:cs="Arial"/>
                <w:sz w:val="22"/>
                <w:szCs w:val="22"/>
              </w:rPr>
            </w:pPr>
            <w:r w:rsidRPr="00D6019B">
              <w:rPr>
                <w:rFonts w:cs="Arial"/>
                <w:sz w:val="22"/>
                <w:szCs w:val="22"/>
              </w:rPr>
              <w:t>Stipulate publication arrangements for registers of gifts and hospitality</w:t>
            </w:r>
            <w:r>
              <w:rPr>
                <w:rFonts w:cs="Arial"/>
                <w:sz w:val="22"/>
                <w:szCs w:val="22"/>
              </w:rPr>
              <w:t xml:space="preserve"> in line with the guidance</w:t>
            </w:r>
            <w:r w:rsidRPr="00D6019B">
              <w:rPr>
                <w:rFonts w:cs="Arial"/>
                <w:sz w:val="22"/>
                <w:szCs w:val="22"/>
              </w:rPr>
              <w:t>.</w:t>
            </w:r>
          </w:p>
          <w:p w:rsidR="00C53AAE" w:rsidRPr="00D6019B" w:rsidRDefault="00C53AAE" w:rsidP="000E0279">
            <w:pPr>
              <w:rPr>
                <w:rFonts w:cs="Arial"/>
                <w:sz w:val="22"/>
                <w:szCs w:val="22"/>
              </w:rPr>
            </w:pPr>
          </w:p>
          <w:p w:rsidR="00C53AAE" w:rsidRPr="00D6019B" w:rsidRDefault="00C53AAE" w:rsidP="000E0279">
            <w:pPr>
              <w:rPr>
                <w:rFonts w:cs="Arial"/>
                <w:b/>
                <w:sz w:val="22"/>
                <w:szCs w:val="22"/>
              </w:rPr>
            </w:pPr>
            <w:r w:rsidRPr="00D6019B">
              <w:rPr>
                <w:rFonts w:cs="Arial"/>
                <w:b/>
                <w:sz w:val="22"/>
                <w:szCs w:val="22"/>
              </w:rPr>
              <w:t>A register of gifts and hospitality template should be appended to the policy</w:t>
            </w:r>
          </w:p>
          <w:p w:rsidR="00C53AAE" w:rsidRPr="00D6019B" w:rsidRDefault="00C53AAE" w:rsidP="000E0279">
            <w:pPr>
              <w:rPr>
                <w:rFonts w:cs="Arial"/>
                <w:sz w:val="22"/>
                <w:szCs w:val="22"/>
              </w:rPr>
            </w:pPr>
          </w:p>
        </w:tc>
      </w:tr>
      <w:tr w:rsidR="00C53AAE" w:rsidRPr="00D6019B" w:rsidTr="000E0279">
        <w:tc>
          <w:tcPr>
            <w:tcW w:w="2552" w:type="dxa"/>
            <w:shd w:val="clear" w:color="auto" w:fill="0070C0"/>
            <w:vAlign w:val="center"/>
          </w:tcPr>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r>
              <w:rPr>
                <w:rFonts w:cs="Arial"/>
                <w:b/>
                <w:color w:val="FFFFFF" w:themeColor="background1"/>
                <w:sz w:val="22"/>
                <w:szCs w:val="22"/>
              </w:rPr>
              <w:lastRenderedPageBreak/>
              <w:t>Roles and r</w:t>
            </w:r>
            <w:r w:rsidRPr="00D6019B">
              <w:rPr>
                <w:rFonts w:cs="Arial"/>
                <w:b/>
                <w:color w:val="FFFFFF" w:themeColor="background1"/>
                <w:sz w:val="22"/>
                <w:szCs w:val="22"/>
              </w:rPr>
              <w:t>esponsibilities</w:t>
            </w:r>
          </w:p>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p>
        </w:tc>
        <w:tc>
          <w:tcPr>
            <w:tcW w:w="6379" w:type="dxa"/>
          </w:tcPr>
          <w:p w:rsidR="00C53AAE" w:rsidRPr="00D6019B" w:rsidRDefault="00C53AAE" w:rsidP="000E0279">
            <w:pPr>
              <w:rPr>
                <w:rFonts w:cs="Arial"/>
                <w:sz w:val="22"/>
                <w:szCs w:val="22"/>
              </w:rPr>
            </w:pPr>
          </w:p>
          <w:p w:rsidR="00C53AAE" w:rsidRPr="00D6019B" w:rsidRDefault="00C53AAE" w:rsidP="00C53AAE">
            <w:pPr>
              <w:pStyle w:val="ListParagraph"/>
              <w:numPr>
                <w:ilvl w:val="0"/>
                <w:numId w:val="6"/>
              </w:numPr>
              <w:rPr>
                <w:rFonts w:cs="Arial"/>
                <w:sz w:val="22"/>
                <w:szCs w:val="22"/>
              </w:rPr>
            </w:pPr>
            <w:r w:rsidRPr="000D2D2A">
              <w:rPr>
                <w:rFonts w:cs="Arial"/>
                <w:b/>
                <w:sz w:val="22"/>
                <w:szCs w:val="22"/>
              </w:rPr>
              <w:t xml:space="preserve">Key considerations </w:t>
            </w:r>
            <w:r w:rsidRPr="00D6019B">
              <w:rPr>
                <w:rFonts w:cs="Arial"/>
                <w:sz w:val="22"/>
                <w:szCs w:val="22"/>
              </w:rPr>
              <w:t>when appointing governing body or committee members including the following:</w:t>
            </w:r>
          </w:p>
          <w:p w:rsidR="00C53AAE" w:rsidRPr="00D6019B" w:rsidRDefault="00C53AAE" w:rsidP="00C53AAE">
            <w:pPr>
              <w:pStyle w:val="ListParagraph"/>
              <w:numPr>
                <w:ilvl w:val="0"/>
                <w:numId w:val="7"/>
              </w:numPr>
              <w:rPr>
                <w:rFonts w:cs="Arial"/>
                <w:sz w:val="22"/>
                <w:szCs w:val="22"/>
              </w:rPr>
            </w:pPr>
            <w:r w:rsidRPr="000D2D2A">
              <w:rPr>
                <w:rFonts w:cs="Arial"/>
                <w:b/>
                <w:sz w:val="22"/>
                <w:szCs w:val="22"/>
              </w:rPr>
              <w:lastRenderedPageBreak/>
              <w:t>Whether conflicts of interest should exclude</w:t>
            </w:r>
            <w:r w:rsidRPr="00D6019B">
              <w:rPr>
                <w:rFonts w:cs="Arial"/>
                <w:sz w:val="22"/>
                <w:szCs w:val="22"/>
              </w:rPr>
              <w:t xml:space="preserve"> individuals from </w:t>
            </w:r>
            <w:r>
              <w:rPr>
                <w:rFonts w:cs="Arial"/>
                <w:sz w:val="22"/>
                <w:szCs w:val="22"/>
              </w:rPr>
              <w:t>appointment</w:t>
            </w:r>
            <w:r w:rsidRPr="00D6019B">
              <w:rPr>
                <w:rFonts w:cs="Arial"/>
                <w:sz w:val="22"/>
                <w:szCs w:val="22"/>
              </w:rPr>
              <w:t>;</w:t>
            </w:r>
          </w:p>
          <w:p w:rsidR="00C53AAE" w:rsidRPr="00D6019B" w:rsidRDefault="00C53AAE" w:rsidP="00C53AAE">
            <w:pPr>
              <w:pStyle w:val="ListParagraph"/>
              <w:numPr>
                <w:ilvl w:val="0"/>
                <w:numId w:val="7"/>
              </w:numPr>
              <w:rPr>
                <w:rFonts w:cs="Arial"/>
                <w:sz w:val="22"/>
                <w:szCs w:val="22"/>
              </w:rPr>
            </w:pPr>
            <w:r w:rsidRPr="000D2D2A">
              <w:rPr>
                <w:rFonts w:cs="Arial"/>
                <w:b/>
                <w:sz w:val="22"/>
                <w:szCs w:val="22"/>
              </w:rPr>
              <w:t>Assessing materiality</w:t>
            </w:r>
            <w:r w:rsidRPr="00D6019B">
              <w:rPr>
                <w:rFonts w:cs="Arial"/>
                <w:sz w:val="22"/>
                <w:szCs w:val="22"/>
              </w:rPr>
              <w:t xml:space="preserve"> of interest;</w:t>
            </w:r>
          </w:p>
          <w:p w:rsidR="00C53AAE" w:rsidRPr="00D6019B" w:rsidRDefault="00C53AAE" w:rsidP="00C53AAE">
            <w:pPr>
              <w:pStyle w:val="ListParagraph"/>
              <w:numPr>
                <w:ilvl w:val="0"/>
                <w:numId w:val="7"/>
              </w:numPr>
              <w:rPr>
                <w:rFonts w:cs="Arial"/>
                <w:sz w:val="22"/>
                <w:szCs w:val="22"/>
              </w:rPr>
            </w:pPr>
            <w:r w:rsidRPr="000D2D2A">
              <w:rPr>
                <w:rFonts w:cs="Arial"/>
                <w:b/>
                <w:sz w:val="22"/>
                <w:szCs w:val="22"/>
              </w:rPr>
              <w:t>Determining the extent</w:t>
            </w:r>
            <w:r w:rsidRPr="00D6019B">
              <w:rPr>
                <w:rFonts w:cs="Arial"/>
                <w:sz w:val="22"/>
                <w:szCs w:val="22"/>
              </w:rPr>
              <w:t xml:space="preserve"> of the interest.</w:t>
            </w:r>
          </w:p>
          <w:p w:rsidR="00C53AAE" w:rsidRPr="00D6019B" w:rsidRDefault="00C53AAE" w:rsidP="000E0279">
            <w:pPr>
              <w:rPr>
                <w:rFonts w:cs="Arial"/>
                <w:sz w:val="22"/>
                <w:szCs w:val="22"/>
              </w:rPr>
            </w:pPr>
          </w:p>
          <w:p w:rsidR="00C53AAE" w:rsidRPr="00D6019B" w:rsidRDefault="00C53AAE" w:rsidP="00C53AAE">
            <w:pPr>
              <w:pStyle w:val="ListParagraph"/>
              <w:numPr>
                <w:ilvl w:val="0"/>
                <w:numId w:val="6"/>
              </w:numPr>
              <w:rPr>
                <w:rFonts w:cs="Arial"/>
                <w:sz w:val="22"/>
                <w:szCs w:val="22"/>
              </w:rPr>
            </w:pPr>
            <w:r>
              <w:rPr>
                <w:rFonts w:cs="Arial"/>
                <w:sz w:val="22"/>
                <w:szCs w:val="22"/>
              </w:rPr>
              <w:t xml:space="preserve">The </w:t>
            </w:r>
            <w:r w:rsidRPr="000D2D2A">
              <w:rPr>
                <w:rFonts w:cs="Arial"/>
                <w:b/>
                <w:sz w:val="22"/>
                <w:szCs w:val="22"/>
              </w:rPr>
              <w:t>role of CCG lay members</w:t>
            </w:r>
            <w:r w:rsidRPr="00D6019B">
              <w:rPr>
                <w:rFonts w:cs="Arial"/>
                <w:sz w:val="22"/>
                <w:szCs w:val="22"/>
              </w:rPr>
              <w:t xml:space="preserve"> in managing organisational conflicts of interest, including the following:</w:t>
            </w:r>
          </w:p>
          <w:p w:rsidR="00C53AAE" w:rsidRPr="00D6019B" w:rsidRDefault="00C53AAE" w:rsidP="00C53AAE">
            <w:pPr>
              <w:pStyle w:val="ListParagraph"/>
              <w:numPr>
                <w:ilvl w:val="0"/>
                <w:numId w:val="8"/>
              </w:numPr>
              <w:rPr>
                <w:rFonts w:cs="Arial"/>
                <w:sz w:val="22"/>
                <w:szCs w:val="22"/>
              </w:rPr>
            </w:pPr>
            <w:r w:rsidRPr="000D2D2A">
              <w:rPr>
                <w:rFonts w:cs="Arial"/>
                <w:b/>
                <w:sz w:val="22"/>
                <w:szCs w:val="22"/>
              </w:rPr>
              <w:t>Conflicts of interest guardian</w:t>
            </w:r>
            <w:r w:rsidRPr="00D6019B">
              <w:rPr>
                <w:rFonts w:cs="Arial"/>
                <w:sz w:val="22"/>
                <w:szCs w:val="22"/>
              </w:rPr>
              <w:t>;</w:t>
            </w:r>
          </w:p>
          <w:p w:rsidR="00C53AAE" w:rsidRPr="00D6019B" w:rsidRDefault="00C53AAE" w:rsidP="00C53AAE">
            <w:pPr>
              <w:pStyle w:val="ListParagraph"/>
              <w:numPr>
                <w:ilvl w:val="0"/>
                <w:numId w:val="8"/>
              </w:numPr>
              <w:rPr>
                <w:rFonts w:cs="Arial"/>
                <w:sz w:val="22"/>
                <w:szCs w:val="22"/>
              </w:rPr>
            </w:pPr>
            <w:r w:rsidRPr="00A97C92">
              <w:rPr>
                <w:rFonts w:cs="Arial"/>
                <w:b/>
                <w:sz w:val="22"/>
                <w:szCs w:val="22"/>
              </w:rPr>
              <w:t xml:space="preserve">Primary </w:t>
            </w:r>
            <w:r>
              <w:rPr>
                <w:rFonts w:cs="Arial"/>
                <w:b/>
                <w:sz w:val="22"/>
                <w:szCs w:val="22"/>
              </w:rPr>
              <w:t>c</w:t>
            </w:r>
            <w:r w:rsidRPr="00A97C92">
              <w:rPr>
                <w:rFonts w:cs="Arial"/>
                <w:b/>
                <w:sz w:val="22"/>
                <w:szCs w:val="22"/>
              </w:rPr>
              <w:t xml:space="preserve">are </w:t>
            </w:r>
            <w:r>
              <w:rPr>
                <w:rFonts w:cs="Arial"/>
                <w:b/>
                <w:sz w:val="22"/>
                <w:szCs w:val="22"/>
              </w:rPr>
              <w:t>c</w:t>
            </w:r>
            <w:r w:rsidRPr="00A97C92">
              <w:rPr>
                <w:rFonts w:cs="Arial"/>
                <w:b/>
                <w:sz w:val="22"/>
                <w:szCs w:val="22"/>
              </w:rPr>
              <w:t>ommissioning</w:t>
            </w:r>
            <w:r w:rsidRPr="00D6019B">
              <w:rPr>
                <w:rFonts w:cs="Arial"/>
                <w:sz w:val="22"/>
                <w:szCs w:val="22"/>
              </w:rPr>
              <w:t xml:space="preserve"> </w:t>
            </w:r>
            <w:r>
              <w:rPr>
                <w:rFonts w:cs="Arial"/>
                <w:b/>
                <w:sz w:val="22"/>
                <w:szCs w:val="22"/>
              </w:rPr>
              <w:t>c</w:t>
            </w:r>
            <w:r w:rsidRPr="000D2D2A">
              <w:rPr>
                <w:rFonts w:cs="Arial"/>
                <w:b/>
                <w:sz w:val="22"/>
                <w:szCs w:val="22"/>
              </w:rPr>
              <w:t xml:space="preserve">ommittee </w:t>
            </w:r>
            <w:r>
              <w:rPr>
                <w:rFonts w:cs="Arial"/>
                <w:b/>
                <w:sz w:val="22"/>
                <w:szCs w:val="22"/>
              </w:rPr>
              <w:t>c</w:t>
            </w:r>
            <w:r w:rsidRPr="000D2D2A">
              <w:rPr>
                <w:rFonts w:cs="Arial"/>
                <w:b/>
                <w:sz w:val="22"/>
                <w:szCs w:val="22"/>
              </w:rPr>
              <w:t>hair</w:t>
            </w:r>
            <w:r w:rsidRPr="00D6019B">
              <w:rPr>
                <w:rFonts w:cs="Arial"/>
                <w:sz w:val="22"/>
                <w:szCs w:val="22"/>
              </w:rPr>
              <w:t>.</w:t>
            </w:r>
          </w:p>
          <w:p w:rsidR="00C53AAE" w:rsidRPr="00D6019B" w:rsidRDefault="00C53AAE" w:rsidP="000E0279">
            <w:pPr>
              <w:rPr>
                <w:rFonts w:cs="Arial"/>
                <w:sz w:val="22"/>
                <w:szCs w:val="22"/>
              </w:rPr>
            </w:pPr>
          </w:p>
        </w:tc>
      </w:tr>
      <w:tr w:rsidR="00C53AAE" w:rsidRPr="00D6019B" w:rsidTr="000E0279">
        <w:tc>
          <w:tcPr>
            <w:tcW w:w="2552" w:type="dxa"/>
            <w:shd w:val="clear" w:color="auto" w:fill="0070C0"/>
            <w:vAlign w:val="center"/>
          </w:tcPr>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r>
              <w:rPr>
                <w:rFonts w:cs="Arial"/>
                <w:b/>
                <w:color w:val="FFFFFF" w:themeColor="background1"/>
                <w:sz w:val="22"/>
                <w:szCs w:val="22"/>
              </w:rPr>
              <w:t>Governance arrangements and decision m</w:t>
            </w:r>
            <w:r w:rsidRPr="00D6019B">
              <w:rPr>
                <w:rFonts w:cs="Arial"/>
                <w:b/>
                <w:color w:val="FFFFFF" w:themeColor="background1"/>
                <w:sz w:val="22"/>
                <w:szCs w:val="22"/>
              </w:rPr>
              <w:t>aking</w:t>
            </w:r>
          </w:p>
          <w:p w:rsidR="00C53AAE" w:rsidRPr="00D6019B" w:rsidRDefault="00C53AAE" w:rsidP="000E0279">
            <w:pPr>
              <w:jc w:val="center"/>
              <w:rPr>
                <w:rFonts w:cs="Arial"/>
                <w:b/>
                <w:color w:val="FFFFFF" w:themeColor="background1"/>
                <w:sz w:val="22"/>
                <w:szCs w:val="22"/>
              </w:rPr>
            </w:pPr>
          </w:p>
        </w:tc>
        <w:tc>
          <w:tcPr>
            <w:tcW w:w="6379" w:type="dxa"/>
          </w:tcPr>
          <w:p w:rsidR="00C53AAE" w:rsidRPr="001D21E7" w:rsidRDefault="00C53AAE" w:rsidP="000E0279">
            <w:pPr>
              <w:rPr>
                <w:rFonts w:cs="Arial"/>
                <w:sz w:val="21"/>
                <w:szCs w:val="21"/>
              </w:rPr>
            </w:pPr>
          </w:p>
          <w:p w:rsidR="00C53AAE" w:rsidRDefault="00C53AAE" w:rsidP="00C53AAE">
            <w:pPr>
              <w:pStyle w:val="ListParagraph"/>
              <w:numPr>
                <w:ilvl w:val="0"/>
                <w:numId w:val="6"/>
              </w:numPr>
              <w:ind w:right="-108"/>
              <w:rPr>
                <w:rFonts w:cs="Arial"/>
                <w:sz w:val="21"/>
                <w:szCs w:val="21"/>
              </w:rPr>
            </w:pPr>
            <w:r w:rsidRPr="001D21E7">
              <w:rPr>
                <w:rFonts w:cs="Arial"/>
                <w:sz w:val="21"/>
                <w:szCs w:val="21"/>
              </w:rPr>
              <w:t xml:space="preserve">Consider the </w:t>
            </w:r>
            <w:r w:rsidRPr="001D21E7">
              <w:rPr>
                <w:rFonts w:cs="Arial"/>
                <w:b/>
                <w:sz w:val="21"/>
                <w:szCs w:val="21"/>
              </w:rPr>
              <w:t xml:space="preserve">CCG’s policy </w:t>
            </w:r>
            <w:r>
              <w:rPr>
                <w:rFonts w:cs="Arial"/>
                <w:b/>
                <w:sz w:val="21"/>
                <w:szCs w:val="21"/>
              </w:rPr>
              <w:t>on</w:t>
            </w:r>
            <w:r w:rsidRPr="001D21E7">
              <w:rPr>
                <w:rFonts w:cs="Arial"/>
                <w:b/>
                <w:sz w:val="21"/>
                <w:szCs w:val="21"/>
              </w:rPr>
              <w:t xml:space="preserve"> </w:t>
            </w:r>
            <w:r>
              <w:rPr>
                <w:rFonts w:cs="Arial"/>
                <w:b/>
                <w:sz w:val="21"/>
                <w:szCs w:val="21"/>
              </w:rPr>
              <w:t xml:space="preserve">outside </w:t>
            </w:r>
            <w:r w:rsidRPr="001D21E7">
              <w:rPr>
                <w:rFonts w:cs="Arial"/>
                <w:b/>
                <w:sz w:val="21"/>
                <w:szCs w:val="21"/>
              </w:rPr>
              <w:t>employment</w:t>
            </w:r>
            <w:r w:rsidRPr="001D21E7">
              <w:rPr>
                <w:rFonts w:cs="Arial"/>
                <w:sz w:val="21"/>
                <w:szCs w:val="21"/>
              </w:rPr>
              <w:t xml:space="preserve"> and procedure for declaring details- how will this impact on appointing governing board members</w:t>
            </w:r>
            <w:r>
              <w:rPr>
                <w:rFonts w:cs="Arial"/>
                <w:sz w:val="21"/>
                <w:szCs w:val="21"/>
              </w:rPr>
              <w:t>.</w:t>
            </w:r>
          </w:p>
          <w:p w:rsidR="00C53AAE" w:rsidRPr="001D21E7" w:rsidRDefault="00C53AAE" w:rsidP="000E0279">
            <w:pPr>
              <w:pStyle w:val="ListParagraph"/>
              <w:ind w:right="-108"/>
              <w:rPr>
                <w:rFonts w:cs="Arial"/>
                <w:sz w:val="21"/>
                <w:szCs w:val="21"/>
              </w:rPr>
            </w:pPr>
          </w:p>
          <w:p w:rsidR="00C53AAE" w:rsidRPr="001D21E7" w:rsidRDefault="00C53AAE" w:rsidP="00C53AAE">
            <w:pPr>
              <w:pStyle w:val="ListParagraph"/>
              <w:numPr>
                <w:ilvl w:val="0"/>
                <w:numId w:val="9"/>
              </w:numPr>
              <w:rPr>
                <w:rFonts w:cs="Arial"/>
                <w:sz w:val="21"/>
                <w:szCs w:val="21"/>
              </w:rPr>
            </w:pPr>
            <w:r w:rsidRPr="001D21E7">
              <w:rPr>
                <w:rFonts w:cs="Arial"/>
                <w:b/>
                <w:sz w:val="21"/>
                <w:szCs w:val="21"/>
              </w:rPr>
              <w:t>Define the procedure</w:t>
            </w:r>
            <w:r w:rsidRPr="001D21E7">
              <w:rPr>
                <w:rFonts w:cs="Arial"/>
                <w:sz w:val="21"/>
                <w:szCs w:val="21"/>
              </w:rPr>
              <w:t xml:space="preserve"> to be followed in governing body, committee and sub-committee meetings, including:</w:t>
            </w:r>
          </w:p>
          <w:p w:rsidR="00C53AAE" w:rsidRPr="001D21E7" w:rsidRDefault="00C53AAE" w:rsidP="00C53AAE">
            <w:pPr>
              <w:pStyle w:val="ListParagraph"/>
              <w:numPr>
                <w:ilvl w:val="0"/>
                <w:numId w:val="10"/>
              </w:numPr>
              <w:ind w:right="-141"/>
              <w:rPr>
                <w:rFonts w:cs="Arial"/>
                <w:sz w:val="21"/>
                <w:szCs w:val="21"/>
              </w:rPr>
            </w:pPr>
            <w:r w:rsidRPr="001D21E7">
              <w:rPr>
                <w:rFonts w:cs="Arial"/>
                <w:sz w:val="21"/>
                <w:szCs w:val="21"/>
              </w:rPr>
              <w:t xml:space="preserve">Declarations of interest checklist </w:t>
            </w:r>
            <w:r w:rsidRPr="001D21E7">
              <w:rPr>
                <w:rFonts w:cs="Arial"/>
                <w:b/>
                <w:sz w:val="21"/>
                <w:szCs w:val="21"/>
              </w:rPr>
              <w:t>(a template should be appended to the policy)</w:t>
            </w:r>
            <w:r w:rsidRPr="001D21E7">
              <w:rPr>
                <w:rFonts w:cs="Arial"/>
                <w:sz w:val="21"/>
                <w:szCs w:val="21"/>
              </w:rPr>
              <w:t>;</w:t>
            </w:r>
          </w:p>
          <w:p w:rsidR="00C53AAE" w:rsidRPr="001D21E7" w:rsidRDefault="00C53AAE" w:rsidP="00C53AAE">
            <w:pPr>
              <w:pStyle w:val="ListParagraph"/>
              <w:numPr>
                <w:ilvl w:val="0"/>
                <w:numId w:val="10"/>
              </w:numPr>
              <w:rPr>
                <w:rFonts w:cs="Arial"/>
                <w:sz w:val="21"/>
                <w:szCs w:val="21"/>
              </w:rPr>
            </w:pPr>
            <w:r w:rsidRPr="001D21E7">
              <w:rPr>
                <w:rFonts w:cs="Arial"/>
                <w:b/>
                <w:sz w:val="21"/>
                <w:szCs w:val="21"/>
              </w:rPr>
              <w:t>Register of interests declared</w:t>
            </w:r>
            <w:r w:rsidRPr="001D21E7">
              <w:rPr>
                <w:rFonts w:cs="Arial"/>
                <w:sz w:val="21"/>
                <w:szCs w:val="21"/>
              </w:rPr>
              <w:t xml:space="preserve"> to be </w:t>
            </w:r>
            <w:r w:rsidRPr="001D21E7">
              <w:rPr>
                <w:rFonts w:cs="Arial"/>
                <w:b/>
                <w:sz w:val="21"/>
                <w:szCs w:val="21"/>
              </w:rPr>
              <w:t>available for the Chair</w:t>
            </w:r>
            <w:r w:rsidRPr="001D21E7">
              <w:rPr>
                <w:rFonts w:cs="Arial"/>
                <w:sz w:val="21"/>
                <w:szCs w:val="21"/>
              </w:rPr>
              <w:t xml:space="preserve"> in advance of the meeting;</w:t>
            </w:r>
          </w:p>
          <w:p w:rsidR="00C53AAE" w:rsidRPr="001D21E7" w:rsidRDefault="00C53AAE" w:rsidP="00C53AAE">
            <w:pPr>
              <w:pStyle w:val="ListParagraph"/>
              <w:numPr>
                <w:ilvl w:val="0"/>
                <w:numId w:val="10"/>
              </w:numPr>
              <w:rPr>
                <w:rFonts w:cs="Arial"/>
                <w:sz w:val="21"/>
                <w:szCs w:val="21"/>
              </w:rPr>
            </w:pPr>
            <w:r w:rsidRPr="001D21E7">
              <w:rPr>
                <w:rFonts w:cs="Arial"/>
                <w:b/>
                <w:sz w:val="21"/>
                <w:szCs w:val="21"/>
              </w:rPr>
              <w:t>Process for declaring interests</w:t>
            </w:r>
            <w:r w:rsidRPr="001D21E7">
              <w:rPr>
                <w:rFonts w:cs="Arial"/>
                <w:sz w:val="21"/>
                <w:szCs w:val="21"/>
              </w:rPr>
              <w:t xml:space="preserve"> during the meeting;</w:t>
            </w:r>
          </w:p>
          <w:p w:rsidR="00C53AAE" w:rsidRPr="001D21E7" w:rsidRDefault="00C53AAE" w:rsidP="00C53AAE">
            <w:pPr>
              <w:pStyle w:val="ListParagraph"/>
              <w:numPr>
                <w:ilvl w:val="0"/>
                <w:numId w:val="10"/>
              </w:numPr>
              <w:rPr>
                <w:rFonts w:cs="Arial"/>
                <w:b/>
                <w:sz w:val="21"/>
                <w:szCs w:val="21"/>
              </w:rPr>
            </w:pPr>
            <w:r w:rsidRPr="001D21E7">
              <w:rPr>
                <w:rFonts w:cs="Arial"/>
                <w:b/>
                <w:sz w:val="21"/>
                <w:szCs w:val="21"/>
              </w:rPr>
              <w:t>Recording minutes</w:t>
            </w:r>
            <w:r w:rsidRPr="001D21E7">
              <w:rPr>
                <w:rFonts w:cs="Arial"/>
                <w:sz w:val="21"/>
                <w:szCs w:val="21"/>
              </w:rPr>
              <w:t xml:space="preserve"> </w:t>
            </w:r>
            <w:r w:rsidRPr="001D21E7">
              <w:rPr>
                <w:rFonts w:cs="Arial"/>
                <w:b/>
                <w:sz w:val="21"/>
                <w:szCs w:val="21"/>
              </w:rPr>
              <w:t>of the meeting</w:t>
            </w:r>
            <w:r>
              <w:rPr>
                <w:rFonts w:cs="Arial"/>
                <w:sz w:val="21"/>
                <w:szCs w:val="21"/>
              </w:rPr>
              <w:t xml:space="preserve"> including interests declared.</w:t>
            </w:r>
          </w:p>
          <w:p w:rsidR="00C53AAE" w:rsidRPr="001D21E7" w:rsidRDefault="00C53AAE" w:rsidP="000E0279">
            <w:pPr>
              <w:pStyle w:val="ListParagraph"/>
              <w:ind w:left="1080"/>
              <w:rPr>
                <w:rFonts w:cs="Arial"/>
                <w:b/>
                <w:sz w:val="21"/>
                <w:szCs w:val="21"/>
              </w:rPr>
            </w:pPr>
          </w:p>
          <w:p w:rsidR="00C53AAE" w:rsidRPr="001D21E7" w:rsidRDefault="00C53AAE" w:rsidP="00C53AAE">
            <w:pPr>
              <w:pStyle w:val="ListParagraph"/>
              <w:numPr>
                <w:ilvl w:val="0"/>
                <w:numId w:val="11"/>
              </w:numPr>
              <w:rPr>
                <w:rFonts w:cs="Arial"/>
                <w:sz w:val="21"/>
                <w:szCs w:val="21"/>
              </w:rPr>
            </w:pPr>
            <w:r w:rsidRPr="001D21E7">
              <w:rPr>
                <w:rFonts w:cs="Arial"/>
                <w:b/>
                <w:sz w:val="21"/>
                <w:szCs w:val="21"/>
              </w:rPr>
              <w:t>Procedures to be followed</w:t>
            </w:r>
            <w:r w:rsidRPr="001D21E7">
              <w:rPr>
                <w:rFonts w:cs="Arial"/>
                <w:sz w:val="21"/>
                <w:szCs w:val="21"/>
              </w:rPr>
              <w:t xml:space="preserve"> for managing conflicts of interest which arise during a governing body, committee or sub-committee meeting, including, where appropriate:</w:t>
            </w:r>
          </w:p>
          <w:p w:rsidR="00C53AAE" w:rsidRPr="001D21E7" w:rsidRDefault="00C53AAE" w:rsidP="00C53AAE">
            <w:pPr>
              <w:pStyle w:val="ListParagraph"/>
              <w:numPr>
                <w:ilvl w:val="0"/>
                <w:numId w:val="12"/>
              </w:numPr>
              <w:rPr>
                <w:rFonts w:cs="Arial"/>
                <w:sz w:val="21"/>
                <w:szCs w:val="21"/>
              </w:rPr>
            </w:pPr>
            <w:r w:rsidRPr="001D21E7">
              <w:rPr>
                <w:rFonts w:cs="Arial"/>
                <w:b/>
                <w:sz w:val="21"/>
                <w:szCs w:val="21"/>
              </w:rPr>
              <w:t>Excluding the conflicted individual(s)</w:t>
            </w:r>
            <w:r w:rsidRPr="001D21E7">
              <w:rPr>
                <w:rFonts w:cs="Arial"/>
                <w:sz w:val="21"/>
                <w:szCs w:val="21"/>
              </w:rPr>
              <w:t xml:space="preserve"> from any associated discussions and decisions;</w:t>
            </w:r>
          </w:p>
          <w:p w:rsidR="00C53AAE" w:rsidRPr="001D21E7" w:rsidRDefault="00C53AAE" w:rsidP="00C53AAE">
            <w:pPr>
              <w:pStyle w:val="ListParagraph"/>
              <w:numPr>
                <w:ilvl w:val="0"/>
                <w:numId w:val="12"/>
              </w:numPr>
              <w:rPr>
                <w:rFonts w:cs="Arial"/>
                <w:sz w:val="21"/>
                <w:szCs w:val="21"/>
              </w:rPr>
            </w:pPr>
            <w:r w:rsidRPr="001D21E7">
              <w:rPr>
                <w:rFonts w:cs="Arial"/>
                <w:b/>
                <w:sz w:val="21"/>
                <w:szCs w:val="21"/>
              </w:rPr>
              <w:t>Actions to be taken</w:t>
            </w:r>
            <w:r w:rsidRPr="001D21E7">
              <w:rPr>
                <w:rFonts w:cs="Arial"/>
                <w:sz w:val="21"/>
                <w:szCs w:val="21"/>
              </w:rPr>
              <w:t xml:space="preserve"> if the exclusion affects the quorum of the meeting- including postponing the agenda item until a quorum can be achieved without conflict;</w:t>
            </w:r>
          </w:p>
          <w:p w:rsidR="00C53AAE" w:rsidRPr="001D21E7" w:rsidRDefault="00C53AAE" w:rsidP="00C53AAE">
            <w:pPr>
              <w:pStyle w:val="ListParagraph"/>
              <w:numPr>
                <w:ilvl w:val="0"/>
                <w:numId w:val="12"/>
              </w:numPr>
              <w:rPr>
                <w:rFonts w:cs="Arial"/>
                <w:sz w:val="21"/>
                <w:szCs w:val="21"/>
              </w:rPr>
            </w:pPr>
            <w:r w:rsidRPr="001D21E7">
              <w:rPr>
                <w:rFonts w:cs="Arial"/>
                <w:b/>
                <w:sz w:val="21"/>
                <w:szCs w:val="21"/>
              </w:rPr>
              <w:t xml:space="preserve">Clearly recording </w:t>
            </w:r>
            <w:r w:rsidRPr="001D21E7">
              <w:rPr>
                <w:rFonts w:cs="Arial"/>
                <w:sz w:val="21"/>
                <w:szCs w:val="21"/>
              </w:rPr>
              <w:t>the agenda item for which the interest has been declared.</w:t>
            </w:r>
          </w:p>
          <w:p w:rsidR="00C53AAE" w:rsidRPr="001D21E7" w:rsidRDefault="00C53AAE" w:rsidP="000E0279">
            <w:pPr>
              <w:ind w:left="690"/>
              <w:rPr>
                <w:rFonts w:cs="Arial"/>
                <w:sz w:val="21"/>
                <w:szCs w:val="21"/>
              </w:rPr>
            </w:pPr>
          </w:p>
          <w:p w:rsidR="00C53AAE" w:rsidRPr="001D21E7" w:rsidRDefault="00C53AAE" w:rsidP="000E0279">
            <w:pPr>
              <w:ind w:left="690"/>
              <w:rPr>
                <w:rFonts w:cs="Arial"/>
                <w:sz w:val="21"/>
                <w:szCs w:val="21"/>
              </w:rPr>
            </w:pPr>
            <w:r>
              <w:rPr>
                <w:rFonts w:cs="Arial"/>
                <w:sz w:val="21"/>
                <w:szCs w:val="21"/>
              </w:rPr>
              <w:t xml:space="preserve">See </w:t>
            </w:r>
            <w:r w:rsidRPr="008A16AE">
              <w:rPr>
                <w:rFonts w:cs="Arial"/>
                <w:sz w:val="21"/>
                <w:szCs w:val="21"/>
              </w:rPr>
              <w:t xml:space="preserve">paragraphs </w:t>
            </w:r>
            <w:r>
              <w:rPr>
                <w:rFonts w:cs="Arial"/>
                <w:sz w:val="21"/>
                <w:szCs w:val="21"/>
              </w:rPr>
              <w:t xml:space="preserve">82 – 106 </w:t>
            </w:r>
            <w:r w:rsidRPr="001D21E7">
              <w:rPr>
                <w:rFonts w:cs="Arial"/>
                <w:sz w:val="21"/>
                <w:szCs w:val="21"/>
              </w:rPr>
              <w:t>of the CCG Guidance (Managing conflicts of interest at meetings) for further details</w:t>
            </w:r>
          </w:p>
          <w:p w:rsidR="00C53AAE" w:rsidRPr="001D21E7" w:rsidRDefault="00C53AAE" w:rsidP="000E0279">
            <w:pPr>
              <w:ind w:left="690"/>
              <w:rPr>
                <w:sz w:val="21"/>
                <w:szCs w:val="21"/>
              </w:rPr>
            </w:pPr>
          </w:p>
          <w:p w:rsidR="00C53AAE" w:rsidRPr="001D21E7" w:rsidRDefault="00C53AAE" w:rsidP="00C53AAE">
            <w:pPr>
              <w:pStyle w:val="ListParagraph"/>
              <w:numPr>
                <w:ilvl w:val="0"/>
                <w:numId w:val="11"/>
              </w:numPr>
              <w:rPr>
                <w:rFonts w:cs="Arial"/>
                <w:sz w:val="21"/>
                <w:szCs w:val="21"/>
              </w:rPr>
            </w:pPr>
            <w:r w:rsidRPr="001D21E7">
              <w:rPr>
                <w:rFonts w:cs="Arial"/>
                <w:sz w:val="21"/>
                <w:szCs w:val="21"/>
              </w:rPr>
              <w:t>Consider</w:t>
            </w:r>
            <w:r w:rsidRPr="001D21E7">
              <w:rPr>
                <w:rFonts w:cs="Arial"/>
                <w:b/>
                <w:sz w:val="21"/>
                <w:szCs w:val="21"/>
              </w:rPr>
              <w:t xml:space="preserve"> openness and transparency in decision making processes</w:t>
            </w:r>
            <w:r w:rsidRPr="001D21E7">
              <w:rPr>
                <w:rFonts w:cs="Arial"/>
                <w:sz w:val="21"/>
                <w:szCs w:val="21"/>
              </w:rPr>
              <w:t xml:space="preserve"> through:</w:t>
            </w:r>
          </w:p>
          <w:p w:rsidR="00C53AAE" w:rsidRPr="001D21E7" w:rsidRDefault="00C53AAE" w:rsidP="00C53AAE">
            <w:pPr>
              <w:pStyle w:val="ListParagraph"/>
              <w:numPr>
                <w:ilvl w:val="0"/>
                <w:numId w:val="13"/>
              </w:numPr>
              <w:rPr>
                <w:rFonts w:cs="Arial"/>
                <w:sz w:val="21"/>
                <w:szCs w:val="21"/>
              </w:rPr>
            </w:pPr>
            <w:r w:rsidRPr="001D21E7">
              <w:rPr>
                <w:rFonts w:cs="Arial"/>
                <w:sz w:val="21"/>
                <w:szCs w:val="21"/>
              </w:rPr>
              <w:t xml:space="preserve">Effective record keeping in the form of clear minutes of the meeting. </w:t>
            </w:r>
          </w:p>
          <w:p w:rsidR="00C53AAE" w:rsidRPr="001D21E7" w:rsidRDefault="00C53AAE" w:rsidP="00C53AAE">
            <w:pPr>
              <w:pStyle w:val="ListParagraph"/>
              <w:numPr>
                <w:ilvl w:val="0"/>
                <w:numId w:val="13"/>
              </w:numPr>
              <w:rPr>
                <w:rFonts w:cs="Arial"/>
                <w:sz w:val="21"/>
                <w:szCs w:val="21"/>
              </w:rPr>
            </w:pPr>
            <w:r w:rsidRPr="001D21E7">
              <w:rPr>
                <w:rFonts w:cs="Arial"/>
                <w:sz w:val="21"/>
                <w:szCs w:val="21"/>
              </w:rPr>
              <w:t>All minutes should clearly record the context of discussions, any decisions and how any conflicts of interest were raised and managed.</w:t>
            </w:r>
          </w:p>
          <w:p w:rsidR="00C53AAE" w:rsidRPr="001D21E7" w:rsidRDefault="00C53AAE" w:rsidP="000E0279">
            <w:pPr>
              <w:pStyle w:val="ListParagraph"/>
              <w:ind w:left="1050"/>
              <w:rPr>
                <w:rFonts w:cs="Arial"/>
                <w:sz w:val="21"/>
                <w:szCs w:val="21"/>
              </w:rPr>
            </w:pPr>
            <w:r w:rsidRPr="001D21E7">
              <w:rPr>
                <w:rFonts w:cs="Arial"/>
                <w:sz w:val="21"/>
                <w:szCs w:val="21"/>
              </w:rPr>
              <w:t xml:space="preserve"> </w:t>
            </w:r>
          </w:p>
          <w:p w:rsidR="00C53AAE" w:rsidRPr="001D21E7" w:rsidRDefault="00C53AAE" w:rsidP="000E0279">
            <w:pPr>
              <w:ind w:right="-141"/>
              <w:rPr>
                <w:rFonts w:cs="Arial"/>
                <w:b/>
                <w:sz w:val="21"/>
                <w:szCs w:val="21"/>
              </w:rPr>
            </w:pPr>
            <w:r w:rsidRPr="001D21E7">
              <w:rPr>
                <w:rFonts w:cs="Arial"/>
                <w:b/>
                <w:sz w:val="21"/>
                <w:szCs w:val="21"/>
              </w:rPr>
              <w:t>A template for recording minutes of the meeting should be appended to the policy.</w:t>
            </w:r>
          </w:p>
          <w:p w:rsidR="00C53AAE" w:rsidRPr="001D21E7" w:rsidRDefault="00C53AAE" w:rsidP="000E0279">
            <w:pPr>
              <w:rPr>
                <w:rFonts w:cs="Arial"/>
                <w:sz w:val="21"/>
                <w:szCs w:val="21"/>
              </w:rPr>
            </w:pPr>
          </w:p>
        </w:tc>
      </w:tr>
      <w:tr w:rsidR="00C53AAE" w:rsidRPr="00D6019B" w:rsidTr="000E0279">
        <w:tc>
          <w:tcPr>
            <w:tcW w:w="2552" w:type="dxa"/>
            <w:shd w:val="clear" w:color="auto" w:fill="0070C0"/>
            <w:vAlign w:val="center"/>
          </w:tcPr>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r>
              <w:rPr>
                <w:rFonts w:cs="Arial"/>
                <w:b/>
                <w:color w:val="FFFFFF" w:themeColor="background1"/>
                <w:sz w:val="22"/>
                <w:szCs w:val="22"/>
              </w:rPr>
              <w:t>Managing conflicts of i</w:t>
            </w:r>
            <w:r w:rsidRPr="00D6019B">
              <w:rPr>
                <w:rFonts w:cs="Arial"/>
                <w:b/>
                <w:color w:val="FFFFFF" w:themeColor="background1"/>
                <w:sz w:val="22"/>
                <w:szCs w:val="22"/>
              </w:rPr>
              <w:t xml:space="preserve">nterest throughout the </w:t>
            </w:r>
          </w:p>
          <w:p w:rsidR="00C53AAE" w:rsidRPr="00D6019B" w:rsidRDefault="00C53AAE" w:rsidP="000E0279">
            <w:pPr>
              <w:jc w:val="center"/>
              <w:rPr>
                <w:rFonts w:cs="Arial"/>
                <w:b/>
                <w:color w:val="FFFFFF" w:themeColor="background1"/>
                <w:sz w:val="22"/>
                <w:szCs w:val="22"/>
              </w:rPr>
            </w:pPr>
            <w:r>
              <w:rPr>
                <w:rFonts w:cs="Arial"/>
                <w:b/>
                <w:color w:val="FFFFFF" w:themeColor="background1"/>
                <w:sz w:val="22"/>
                <w:szCs w:val="22"/>
              </w:rPr>
              <w:t>commissioning c</w:t>
            </w:r>
            <w:r w:rsidRPr="00D6019B">
              <w:rPr>
                <w:rFonts w:cs="Arial"/>
                <w:b/>
                <w:color w:val="FFFFFF" w:themeColor="background1"/>
                <w:sz w:val="22"/>
                <w:szCs w:val="22"/>
              </w:rPr>
              <w:t>ycle</w:t>
            </w:r>
          </w:p>
          <w:p w:rsidR="00C53AAE" w:rsidRPr="00D6019B" w:rsidRDefault="00C53AAE" w:rsidP="000E0279">
            <w:pPr>
              <w:jc w:val="center"/>
              <w:rPr>
                <w:rFonts w:cs="Arial"/>
                <w:b/>
                <w:color w:val="FFFFFF" w:themeColor="background1"/>
                <w:sz w:val="22"/>
                <w:szCs w:val="22"/>
              </w:rPr>
            </w:pPr>
          </w:p>
        </w:tc>
        <w:tc>
          <w:tcPr>
            <w:tcW w:w="6379" w:type="dxa"/>
          </w:tcPr>
          <w:p w:rsidR="00C53AAE" w:rsidRPr="001D21E7" w:rsidRDefault="00C53AAE" w:rsidP="000E0279">
            <w:pPr>
              <w:rPr>
                <w:rFonts w:cs="Arial"/>
                <w:sz w:val="21"/>
                <w:szCs w:val="21"/>
              </w:rPr>
            </w:pPr>
          </w:p>
          <w:p w:rsidR="00C53AAE" w:rsidRPr="001D21E7" w:rsidRDefault="00C53AAE" w:rsidP="00C53AAE">
            <w:pPr>
              <w:pStyle w:val="ListParagraph"/>
              <w:numPr>
                <w:ilvl w:val="0"/>
                <w:numId w:val="17"/>
              </w:numPr>
              <w:rPr>
                <w:rFonts w:cs="Arial"/>
                <w:sz w:val="21"/>
                <w:szCs w:val="21"/>
              </w:rPr>
            </w:pPr>
            <w:r w:rsidRPr="001D21E7">
              <w:rPr>
                <w:rFonts w:cs="Arial"/>
                <w:sz w:val="21"/>
                <w:szCs w:val="21"/>
              </w:rPr>
              <w:t>Key areas for consideration include the following:</w:t>
            </w:r>
          </w:p>
          <w:p w:rsidR="00C53AAE" w:rsidRPr="001D21E7" w:rsidRDefault="00C53AAE" w:rsidP="000E0279">
            <w:pPr>
              <w:pStyle w:val="ListParagraph"/>
              <w:rPr>
                <w:rFonts w:cs="Arial"/>
                <w:sz w:val="21"/>
                <w:szCs w:val="21"/>
              </w:rPr>
            </w:pPr>
          </w:p>
          <w:p w:rsidR="00C53AAE" w:rsidRPr="001D21E7" w:rsidRDefault="00C53AAE" w:rsidP="00C53AAE">
            <w:pPr>
              <w:pStyle w:val="ListParagraph"/>
              <w:numPr>
                <w:ilvl w:val="0"/>
                <w:numId w:val="17"/>
              </w:numPr>
              <w:rPr>
                <w:rFonts w:cs="Arial"/>
                <w:sz w:val="21"/>
                <w:szCs w:val="21"/>
              </w:rPr>
            </w:pPr>
            <w:r w:rsidRPr="001D21E7">
              <w:rPr>
                <w:rFonts w:cs="Arial"/>
                <w:b/>
                <w:sz w:val="21"/>
                <w:szCs w:val="21"/>
              </w:rPr>
              <w:t>Service design</w:t>
            </w:r>
            <w:r w:rsidRPr="001D21E7">
              <w:rPr>
                <w:rFonts w:cs="Arial"/>
                <w:sz w:val="21"/>
                <w:szCs w:val="21"/>
              </w:rPr>
              <w:t xml:space="preserve">, </w:t>
            </w:r>
            <w:r w:rsidRPr="001D21E7">
              <w:rPr>
                <w:rFonts w:cs="Arial"/>
                <w:bCs w:val="0"/>
                <w:sz w:val="21"/>
                <w:szCs w:val="21"/>
              </w:rPr>
              <w:t xml:space="preserve">this can either increase or reduce the level of perceived or actual </w:t>
            </w:r>
            <w:r w:rsidRPr="001D21E7">
              <w:rPr>
                <w:sz w:val="21"/>
                <w:szCs w:val="21"/>
              </w:rPr>
              <w:t>conflicts</w:t>
            </w:r>
            <w:r w:rsidRPr="001D21E7">
              <w:rPr>
                <w:rFonts w:cs="Arial"/>
                <w:bCs w:val="0"/>
                <w:sz w:val="21"/>
                <w:szCs w:val="21"/>
              </w:rPr>
              <w:t xml:space="preserve"> of interest;</w:t>
            </w:r>
          </w:p>
          <w:p w:rsidR="00C53AAE" w:rsidRPr="001D21E7" w:rsidRDefault="00C53AAE" w:rsidP="00C53AAE">
            <w:pPr>
              <w:pStyle w:val="ListParagraph"/>
              <w:numPr>
                <w:ilvl w:val="0"/>
                <w:numId w:val="18"/>
              </w:numPr>
              <w:rPr>
                <w:rFonts w:cs="Arial"/>
                <w:sz w:val="21"/>
                <w:szCs w:val="21"/>
              </w:rPr>
            </w:pPr>
            <w:r w:rsidRPr="001D21E7">
              <w:rPr>
                <w:rFonts w:cs="Arial"/>
                <w:bCs w:val="0"/>
                <w:sz w:val="21"/>
                <w:szCs w:val="21"/>
              </w:rPr>
              <w:lastRenderedPageBreak/>
              <w:t xml:space="preserve">Consider </w:t>
            </w:r>
            <w:r w:rsidRPr="001D21E7">
              <w:rPr>
                <w:rFonts w:cs="Arial"/>
                <w:b/>
                <w:bCs w:val="0"/>
                <w:sz w:val="21"/>
                <w:szCs w:val="21"/>
              </w:rPr>
              <w:t xml:space="preserve">public and patient involvement </w:t>
            </w:r>
            <w:r w:rsidRPr="001D21E7">
              <w:rPr>
                <w:rFonts w:cs="Arial"/>
                <w:bCs w:val="0"/>
                <w:sz w:val="21"/>
                <w:szCs w:val="21"/>
              </w:rPr>
              <w:t xml:space="preserve">and </w:t>
            </w:r>
            <w:r w:rsidRPr="001D21E7">
              <w:rPr>
                <w:rFonts w:cs="Arial"/>
                <w:b/>
                <w:bCs w:val="0"/>
                <w:sz w:val="21"/>
                <w:szCs w:val="21"/>
              </w:rPr>
              <w:t>provider engagement</w:t>
            </w:r>
            <w:r w:rsidRPr="001D21E7">
              <w:rPr>
                <w:rFonts w:cs="Arial"/>
                <w:bCs w:val="0"/>
                <w:sz w:val="21"/>
                <w:szCs w:val="21"/>
              </w:rPr>
              <w:t xml:space="preserve"> in service design;</w:t>
            </w:r>
          </w:p>
          <w:p w:rsidR="00C53AAE" w:rsidRPr="001D21E7" w:rsidRDefault="00C53AAE" w:rsidP="00C53AAE">
            <w:pPr>
              <w:pStyle w:val="ListParagraph"/>
              <w:numPr>
                <w:ilvl w:val="0"/>
                <w:numId w:val="18"/>
              </w:numPr>
              <w:rPr>
                <w:rFonts w:cs="Arial"/>
                <w:sz w:val="21"/>
                <w:szCs w:val="21"/>
              </w:rPr>
            </w:pPr>
            <w:r w:rsidRPr="001D21E7">
              <w:rPr>
                <w:rFonts w:cs="Arial"/>
                <w:bCs w:val="0"/>
                <w:sz w:val="21"/>
                <w:szCs w:val="21"/>
              </w:rPr>
              <w:t xml:space="preserve">Consider how you </w:t>
            </w:r>
            <w:r w:rsidRPr="001D21E7">
              <w:rPr>
                <w:rFonts w:cs="Arial"/>
                <w:b/>
                <w:bCs w:val="0"/>
                <w:sz w:val="21"/>
                <w:szCs w:val="21"/>
              </w:rPr>
              <w:t>involve PPI in</w:t>
            </w:r>
            <w:r w:rsidRPr="001D21E7">
              <w:rPr>
                <w:rFonts w:cs="Arial"/>
                <w:bCs w:val="0"/>
                <w:sz w:val="21"/>
                <w:szCs w:val="21"/>
              </w:rPr>
              <w:t xml:space="preserve"> needs assessment, planning and prioritisation to service design, procurement and monitoring;</w:t>
            </w:r>
          </w:p>
          <w:p w:rsidR="00C53AAE" w:rsidRPr="00CC22B8" w:rsidRDefault="00C53AAE" w:rsidP="00C53AAE">
            <w:pPr>
              <w:pStyle w:val="ListParagraph"/>
              <w:numPr>
                <w:ilvl w:val="0"/>
                <w:numId w:val="18"/>
              </w:numPr>
              <w:rPr>
                <w:rFonts w:cs="Arial"/>
                <w:sz w:val="21"/>
                <w:szCs w:val="21"/>
              </w:rPr>
            </w:pPr>
            <w:r w:rsidRPr="001D21E7">
              <w:rPr>
                <w:rFonts w:cs="Arial"/>
                <w:bCs w:val="0"/>
                <w:sz w:val="21"/>
                <w:szCs w:val="21"/>
              </w:rPr>
              <w:t xml:space="preserve">Consider how you will </w:t>
            </w:r>
            <w:r w:rsidRPr="001D21E7">
              <w:rPr>
                <w:rFonts w:cs="Arial"/>
                <w:b/>
                <w:bCs w:val="0"/>
                <w:sz w:val="21"/>
                <w:szCs w:val="21"/>
              </w:rPr>
              <w:t>engage relevant providers, especially clinicians</w:t>
            </w:r>
            <w:r>
              <w:rPr>
                <w:rFonts w:cs="Arial"/>
                <w:bCs w:val="0"/>
                <w:sz w:val="21"/>
                <w:szCs w:val="21"/>
              </w:rPr>
              <w:t>, in confirming</w:t>
            </w:r>
            <w:r w:rsidRPr="001D21E7">
              <w:rPr>
                <w:rFonts w:cs="Arial"/>
                <w:bCs w:val="0"/>
                <w:sz w:val="21"/>
                <w:szCs w:val="21"/>
              </w:rPr>
              <w:t xml:space="preserve"> the design of service specifications- ensuring an audit train/ evidence base is maintained;</w:t>
            </w:r>
          </w:p>
          <w:p w:rsidR="00C53AAE" w:rsidRPr="001D21E7" w:rsidRDefault="00C53AAE" w:rsidP="00C53AAE">
            <w:pPr>
              <w:pStyle w:val="ListParagraph"/>
              <w:numPr>
                <w:ilvl w:val="0"/>
                <w:numId w:val="18"/>
              </w:numPr>
              <w:rPr>
                <w:rFonts w:cs="Arial"/>
                <w:sz w:val="21"/>
                <w:szCs w:val="21"/>
              </w:rPr>
            </w:pPr>
            <w:r w:rsidRPr="001D21E7">
              <w:rPr>
                <w:rFonts w:cs="Arial"/>
                <w:bCs w:val="0"/>
                <w:sz w:val="21"/>
                <w:szCs w:val="21"/>
              </w:rPr>
              <w:t>Consider how you ensure provider engagement is in accordance with the three main principles of procurement law, namely</w:t>
            </w:r>
            <w:r w:rsidRPr="001D21E7">
              <w:rPr>
                <w:rFonts w:cs="Arial"/>
                <w:b/>
                <w:bCs w:val="0"/>
                <w:sz w:val="21"/>
                <w:szCs w:val="21"/>
              </w:rPr>
              <w:t xml:space="preserve"> equal treatment, non-discrimination and transparency</w:t>
            </w:r>
            <w:r>
              <w:rPr>
                <w:rFonts w:cs="Arial"/>
                <w:b/>
                <w:bCs w:val="0"/>
                <w:sz w:val="21"/>
                <w:szCs w:val="21"/>
              </w:rPr>
              <w:t>;</w:t>
            </w:r>
          </w:p>
          <w:p w:rsidR="00C53AAE" w:rsidRPr="001D21E7" w:rsidRDefault="00C53AAE" w:rsidP="00C53AAE">
            <w:pPr>
              <w:pStyle w:val="ListParagraph"/>
              <w:numPr>
                <w:ilvl w:val="0"/>
                <w:numId w:val="18"/>
              </w:numPr>
              <w:rPr>
                <w:rFonts w:cs="Arial"/>
                <w:sz w:val="21"/>
                <w:szCs w:val="21"/>
              </w:rPr>
            </w:pPr>
            <w:r w:rsidRPr="001D21E7">
              <w:rPr>
                <w:rFonts w:cs="Arial"/>
                <w:sz w:val="21"/>
                <w:szCs w:val="21"/>
              </w:rPr>
              <w:t xml:space="preserve">Are </w:t>
            </w:r>
            <w:r w:rsidRPr="001D21E7">
              <w:rPr>
                <w:rFonts w:cs="Arial"/>
                <w:b/>
                <w:sz w:val="21"/>
                <w:szCs w:val="21"/>
              </w:rPr>
              <w:t xml:space="preserve">specifications </w:t>
            </w:r>
            <w:r w:rsidRPr="001D21E7">
              <w:rPr>
                <w:rFonts w:eastAsia="HGSMinchoE" w:cs="Arial"/>
                <w:b/>
                <w:bCs w:val="0"/>
                <w:color w:val="000000"/>
                <w:sz w:val="21"/>
                <w:szCs w:val="21"/>
              </w:rPr>
              <w:t xml:space="preserve">clear and </w:t>
            </w:r>
            <w:proofErr w:type="gramStart"/>
            <w:r w:rsidRPr="001D21E7">
              <w:rPr>
                <w:rFonts w:eastAsia="HGSMinchoE" w:cs="Arial"/>
                <w:b/>
                <w:bCs w:val="0"/>
                <w:color w:val="000000"/>
                <w:sz w:val="21"/>
                <w:szCs w:val="21"/>
              </w:rPr>
              <w:t>transparent.</w:t>
            </w:r>
            <w:proofErr w:type="gramEnd"/>
          </w:p>
          <w:p w:rsidR="00C53AAE" w:rsidRPr="001D21E7" w:rsidRDefault="00C53AAE" w:rsidP="000E0279">
            <w:pPr>
              <w:pStyle w:val="ListParagraph"/>
              <w:ind w:left="1050"/>
              <w:rPr>
                <w:rFonts w:cs="Arial"/>
                <w:sz w:val="21"/>
                <w:szCs w:val="21"/>
              </w:rPr>
            </w:pPr>
          </w:p>
          <w:p w:rsidR="00C53AAE" w:rsidRPr="001D21E7" w:rsidRDefault="00C53AAE" w:rsidP="00C53AAE">
            <w:pPr>
              <w:pStyle w:val="ListParagraph"/>
              <w:numPr>
                <w:ilvl w:val="0"/>
                <w:numId w:val="17"/>
              </w:numPr>
              <w:rPr>
                <w:rFonts w:cs="Arial"/>
                <w:sz w:val="21"/>
                <w:szCs w:val="21"/>
              </w:rPr>
            </w:pPr>
            <w:r w:rsidRPr="001D21E7">
              <w:rPr>
                <w:rFonts w:cs="Arial"/>
                <w:b/>
                <w:sz w:val="21"/>
                <w:szCs w:val="21"/>
              </w:rPr>
              <w:t>Procurement</w:t>
            </w:r>
            <w:r w:rsidRPr="001D21E7">
              <w:rPr>
                <w:rFonts w:cs="Arial"/>
                <w:sz w:val="21"/>
                <w:szCs w:val="21"/>
              </w:rPr>
              <w:t xml:space="preserve">, </w:t>
            </w:r>
            <w:r>
              <w:rPr>
                <w:rFonts w:cs="Arial"/>
                <w:bCs w:val="0"/>
                <w:sz w:val="21"/>
                <w:szCs w:val="21"/>
              </w:rPr>
              <w:t>are</w:t>
            </w:r>
            <w:r w:rsidRPr="001D21E7">
              <w:rPr>
                <w:rFonts w:cs="Arial"/>
                <w:bCs w:val="0"/>
                <w:sz w:val="21"/>
                <w:szCs w:val="21"/>
              </w:rPr>
              <w:t xml:space="preserve"> there clear processes to recognise and manage any conflicts or </w:t>
            </w:r>
            <w:r w:rsidRPr="001D21E7">
              <w:rPr>
                <w:rFonts w:eastAsia="HGSMinchoE" w:cs="Arial"/>
                <w:bCs w:val="0"/>
                <w:color w:val="000000"/>
                <w:sz w:val="21"/>
                <w:szCs w:val="21"/>
              </w:rPr>
              <w:t>potential</w:t>
            </w:r>
            <w:r w:rsidRPr="001D21E7">
              <w:rPr>
                <w:rFonts w:cs="Arial"/>
                <w:bCs w:val="0"/>
                <w:sz w:val="21"/>
                <w:szCs w:val="21"/>
              </w:rPr>
              <w:t xml:space="preserve"> conflicts of interest that may arise in relation to procurement</w:t>
            </w:r>
          </w:p>
          <w:p w:rsidR="00C53AAE" w:rsidRPr="001D21E7" w:rsidRDefault="00C53AAE" w:rsidP="00C53AAE">
            <w:pPr>
              <w:pStyle w:val="ListParagraph"/>
              <w:numPr>
                <w:ilvl w:val="0"/>
                <w:numId w:val="21"/>
              </w:numPr>
              <w:ind w:left="1026" w:hanging="284"/>
              <w:rPr>
                <w:rFonts w:cs="Arial"/>
                <w:sz w:val="21"/>
                <w:szCs w:val="21"/>
              </w:rPr>
            </w:pPr>
            <w:r w:rsidRPr="001D21E7">
              <w:rPr>
                <w:rFonts w:eastAsia="HGSMinchoE" w:cs="Arial"/>
                <w:bCs w:val="0"/>
                <w:color w:val="000000"/>
                <w:sz w:val="21"/>
                <w:szCs w:val="21"/>
              </w:rPr>
              <w:t xml:space="preserve">Consideration should be given to </w:t>
            </w:r>
            <w:r w:rsidRPr="001D21E7">
              <w:rPr>
                <w:rFonts w:cs="Arial"/>
                <w:b/>
                <w:bCs w:val="0"/>
                <w:sz w:val="21"/>
                <w:szCs w:val="21"/>
              </w:rPr>
              <w:t xml:space="preserve">statutory regulations and guidance when procuring </w:t>
            </w:r>
            <w:r w:rsidRPr="001D21E7">
              <w:rPr>
                <w:rFonts w:cs="Arial"/>
                <w:bCs w:val="0"/>
                <w:sz w:val="21"/>
                <w:szCs w:val="21"/>
              </w:rPr>
              <w:t>and contracting clinical services;</w:t>
            </w:r>
          </w:p>
          <w:p w:rsidR="00C53AAE" w:rsidRPr="001D21E7" w:rsidRDefault="00C53AAE" w:rsidP="00C53AAE">
            <w:pPr>
              <w:pStyle w:val="ListParagraph"/>
              <w:numPr>
                <w:ilvl w:val="0"/>
                <w:numId w:val="21"/>
              </w:numPr>
              <w:ind w:left="1026" w:hanging="284"/>
              <w:rPr>
                <w:rFonts w:cs="Arial"/>
                <w:sz w:val="21"/>
                <w:szCs w:val="21"/>
              </w:rPr>
            </w:pPr>
            <w:r w:rsidRPr="001D21E7">
              <w:rPr>
                <w:rFonts w:cs="Arial"/>
                <w:bCs w:val="0"/>
                <w:sz w:val="21"/>
                <w:szCs w:val="21"/>
              </w:rPr>
              <w:t xml:space="preserve">Consideration should be given to how you ensure </w:t>
            </w:r>
            <w:r w:rsidRPr="001D21E7">
              <w:rPr>
                <w:rFonts w:cs="Arial"/>
                <w:b/>
                <w:bCs w:val="0"/>
                <w:sz w:val="21"/>
                <w:szCs w:val="21"/>
              </w:rPr>
              <w:t>transparency and scrutiny of decisions</w:t>
            </w:r>
            <w:r w:rsidRPr="001D21E7">
              <w:rPr>
                <w:rFonts w:cs="Arial"/>
                <w:bCs w:val="0"/>
                <w:sz w:val="21"/>
                <w:szCs w:val="21"/>
              </w:rPr>
              <w:t xml:space="preserve"> i.e. </w:t>
            </w:r>
            <w:r w:rsidRPr="001D21E7">
              <w:rPr>
                <w:rFonts w:eastAsiaTheme="minorHAnsi" w:cs="Arial"/>
                <w:bCs w:val="0"/>
                <w:color w:val="000000"/>
                <w:sz w:val="21"/>
                <w:szCs w:val="21"/>
              </w:rPr>
              <w:t>keeping records of any conflicts and how these were managed;</w:t>
            </w:r>
          </w:p>
          <w:p w:rsidR="00C53AAE" w:rsidRPr="001D21E7" w:rsidRDefault="00C53AAE" w:rsidP="00C53AAE">
            <w:pPr>
              <w:pStyle w:val="ListParagraph"/>
              <w:numPr>
                <w:ilvl w:val="0"/>
                <w:numId w:val="18"/>
              </w:numPr>
              <w:rPr>
                <w:rFonts w:cs="Arial"/>
                <w:sz w:val="21"/>
                <w:szCs w:val="21"/>
              </w:rPr>
            </w:pPr>
            <w:r w:rsidRPr="001D21E7">
              <w:rPr>
                <w:rFonts w:cs="Arial"/>
                <w:sz w:val="21"/>
                <w:szCs w:val="21"/>
              </w:rPr>
              <w:t xml:space="preserve">Maintaining </w:t>
            </w:r>
            <w:r w:rsidRPr="001D21E7">
              <w:rPr>
                <w:rFonts w:cs="Arial"/>
                <w:b/>
                <w:sz w:val="21"/>
                <w:szCs w:val="21"/>
              </w:rPr>
              <w:t xml:space="preserve">register of procurement decisions </w:t>
            </w:r>
            <w:r w:rsidRPr="001D21E7">
              <w:rPr>
                <w:rFonts w:eastAsiaTheme="minorHAnsi" w:cs="Arial"/>
                <w:bCs w:val="0"/>
                <w:color w:val="000000"/>
                <w:sz w:val="21"/>
                <w:szCs w:val="21"/>
              </w:rPr>
              <w:t>detailing decisions taken, either for the procurement of a new service or any extension or material variation of a current contract</w:t>
            </w:r>
            <w:r w:rsidRPr="001D21E7">
              <w:rPr>
                <w:rFonts w:cs="Arial"/>
                <w:sz w:val="21"/>
                <w:szCs w:val="21"/>
              </w:rPr>
              <w:t>.</w:t>
            </w:r>
          </w:p>
          <w:p w:rsidR="00C53AAE" w:rsidRPr="001D21E7" w:rsidRDefault="00C53AAE" w:rsidP="000E0279">
            <w:pPr>
              <w:ind w:right="-141"/>
              <w:rPr>
                <w:rFonts w:cs="Arial"/>
                <w:b/>
                <w:sz w:val="21"/>
                <w:szCs w:val="21"/>
              </w:rPr>
            </w:pPr>
          </w:p>
          <w:p w:rsidR="00C53AAE" w:rsidRPr="001D21E7" w:rsidRDefault="00C53AAE" w:rsidP="000E0279">
            <w:pPr>
              <w:ind w:right="-141"/>
              <w:rPr>
                <w:rFonts w:cs="Arial"/>
                <w:b/>
                <w:sz w:val="21"/>
                <w:szCs w:val="21"/>
              </w:rPr>
            </w:pPr>
            <w:r w:rsidRPr="001D21E7">
              <w:rPr>
                <w:rFonts w:cs="Arial"/>
                <w:b/>
                <w:sz w:val="21"/>
                <w:szCs w:val="21"/>
              </w:rPr>
              <w:t>A procurement template and register of procurement decisions should be appended to the policy.</w:t>
            </w:r>
          </w:p>
          <w:p w:rsidR="00C53AAE" w:rsidRPr="001D21E7" w:rsidRDefault="00C53AAE" w:rsidP="000E0279">
            <w:pPr>
              <w:rPr>
                <w:rFonts w:cs="Arial"/>
                <w:sz w:val="21"/>
                <w:szCs w:val="21"/>
              </w:rPr>
            </w:pPr>
          </w:p>
          <w:p w:rsidR="00C53AAE" w:rsidRPr="001D21E7" w:rsidRDefault="00C53AAE" w:rsidP="00C53AAE">
            <w:pPr>
              <w:pStyle w:val="ListParagraph"/>
              <w:numPr>
                <w:ilvl w:val="0"/>
                <w:numId w:val="17"/>
              </w:numPr>
              <w:rPr>
                <w:rFonts w:cs="Arial"/>
                <w:sz w:val="21"/>
                <w:szCs w:val="21"/>
              </w:rPr>
            </w:pPr>
            <w:r w:rsidRPr="001D21E7">
              <w:rPr>
                <w:rFonts w:cs="Arial"/>
                <w:sz w:val="21"/>
                <w:szCs w:val="21"/>
              </w:rPr>
              <w:t xml:space="preserve">Contract monitoring, consider conflicts of interest as part of the process i.e., the Chair of a contract management meeting should invite declarations of interests; </w:t>
            </w:r>
          </w:p>
          <w:p w:rsidR="00C53AAE" w:rsidRPr="001D21E7" w:rsidRDefault="00C53AAE" w:rsidP="00C53AAE">
            <w:pPr>
              <w:pStyle w:val="ListParagraph"/>
              <w:numPr>
                <w:ilvl w:val="0"/>
                <w:numId w:val="18"/>
              </w:numPr>
              <w:rPr>
                <w:rFonts w:cs="Arial"/>
                <w:sz w:val="21"/>
                <w:szCs w:val="21"/>
              </w:rPr>
            </w:pPr>
            <w:r w:rsidRPr="001D21E7">
              <w:rPr>
                <w:rFonts w:cs="Arial"/>
                <w:b/>
                <w:sz w:val="21"/>
                <w:szCs w:val="21"/>
              </w:rPr>
              <w:t>Process for recording</w:t>
            </w:r>
            <w:r w:rsidRPr="001D21E7">
              <w:rPr>
                <w:rFonts w:cs="Arial"/>
                <w:sz w:val="21"/>
                <w:szCs w:val="21"/>
              </w:rPr>
              <w:t xml:space="preserve"> any declared interests in the minutes of the meeting; and how these are managed;</w:t>
            </w:r>
          </w:p>
          <w:p w:rsidR="00C53AAE" w:rsidRPr="001D21E7" w:rsidRDefault="00C53AAE" w:rsidP="00C53AAE">
            <w:pPr>
              <w:pStyle w:val="ListParagraph"/>
              <w:numPr>
                <w:ilvl w:val="0"/>
                <w:numId w:val="18"/>
              </w:numPr>
              <w:rPr>
                <w:rFonts w:cs="Arial"/>
                <w:sz w:val="21"/>
                <w:szCs w:val="21"/>
              </w:rPr>
            </w:pPr>
            <w:r w:rsidRPr="001D21E7">
              <w:rPr>
                <w:rFonts w:cs="Arial"/>
                <w:sz w:val="21"/>
                <w:szCs w:val="21"/>
              </w:rPr>
              <w:t xml:space="preserve">Consider </w:t>
            </w:r>
            <w:r w:rsidRPr="001D21E7">
              <w:rPr>
                <w:rFonts w:cs="Arial"/>
                <w:b/>
                <w:sz w:val="21"/>
                <w:szCs w:val="21"/>
              </w:rPr>
              <w:t>commercial sensitivity of information</w:t>
            </w:r>
            <w:r w:rsidRPr="001D21E7">
              <w:rPr>
                <w:rFonts w:cs="Arial"/>
                <w:sz w:val="21"/>
                <w:szCs w:val="21"/>
              </w:rPr>
              <w:t xml:space="preserve"> i.e. which information should be disseminated.    </w:t>
            </w:r>
          </w:p>
          <w:p w:rsidR="00C53AAE" w:rsidRPr="001D21E7" w:rsidRDefault="00C53AAE" w:rsidP="000E0279">
            <w:pPr>
              <w:rPr>
                <w:rFonts w:cs="Arial"/>
                <w:sz w:val="21"/>
                <w:szCs w:val="21"/>
              </w:rPr>
            </w:pPr>
          </w:p>
          <w:p w:rsidR="00C53AAE" w:rsidRPr="001D21E7" w:rsidRDefault="00C53AAE" w:rsidP="000E0279">
            <w:pPr>
              <w:ind w:right="-141"/>
              <w:rPr>
                <w:rFonts w:cs="Arial"/>
                <w:b/>
                <w:sz w:val="21"/>
                <w:szCs w:val="21"/>
              </w:rPr>
            </w:pPr>
            <w:r w:rsidRPr="001D21E7">
              <w:rPr>
                <w:rFonts w:cs="Arial"/>
                <w:b/>
                <w:sz w:val="21"/>
                <w:szCs w:val="21"/>
              </w:rPr>
              <w:t>A template for recording minutes of the contract meeting should be appended to the policy.</w:t>
            </w:r>
          </w:p>
          <w:p w:rsidR="00C53AAE" w:rsidRPr="001D21E7" w:rsidRDefault="00C53AAE" w:rsidP="000E0279">
            <w:pPr>
              <w:ind w:right="-141"/>
              <w:rPr>
                <w:rFonts w:cs="Arial"/>
                <w:b/>
                <w:sz w:val="21"/>
                <w:szCs w:val="21"/>
              </w:rPr>
            </w:pPr>
          </w:p>
        </w:tc>
      </w:tr>
      <w:tr w:rsidR="00C53AAE" w:rsidRPr="00D6019B" w:rsidTr="000E0279">
        <w:tc>
          <w:tcPr>
            <w:tcW w:w="2552" w:type="dxa"/>
            <w:shd w:val="clear" w:color="auto" w:fill="0070C0"/>
            <w:vAlign w:val="center"/>
          </w:tcPr>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r>
              <w:rPr>
                <w:rFonts w:cs="Arial"/>
                <w:b/>
                <w:color w:val="FFFFFF" w:themeColor="background1"/>
                <w:sz w:val="22"/>
                <w:szCs w:val="22"/>
              </w:rPr>
              <w:t>Raising c</w:t>
            </w:r>
            <w:r w:rsidRPr="00D6019B">
              <w:rPr>
                <w:rFonts w:cs="Arial"/>
                <w:b/>
                <w:color w:val="FFFFFF" w:themeColor="background1"/>
                <w:sz w:val="22"/>
                <w:szCs w:val="22"/>
              </w:rPr>
              <w:t>oncerns</w:t>
            </w:r>
          </w:p>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p>
          <w:p w:rsidR="00C53AAE" w:rsidRPr="00D6019B" w:rsidRDefault="00C53AAE" w:rsidP="000E0279">
            <w:pPr>
              <w:rPr>
                <w:rFonts w:cs="Arial"/>
                <w:b/>
                <w:color w:val="FFFFFF" w:themeColor="background1"/>
                <w:sz w:val="22"/>
                <w:szCs w:val="22"/>
              </w:rPr>
            </w:pPr>
          </w:p>
        </w:tc>
        <w:tc>
          <w:tcPr>
            <w:tcW w:w="6379" w:type="dxa"/>
          </w:tcPr>
          <w:p w:rsidR="00C53AAE" w:rsidRPr="001D21E7" w:rsidRDefault="00C53AAE" w:rsidP="000E0279">
            <w:pPr>
              <w:rPr>
                <w:rFonts w:cs="Arial"/>
                <w:sz w:val="21"/>
                <w:szCs w:val="21"/>
              </w:rPr>
            </w:pPr>
          </w:p>
          <w:p w:rsidR="00C53AAE" w:rsidRPr="001D21E7" w:rsidRDefault="00C53AAE" w:rsidP="00C53AAE">
            <w:pPr>
              <w:pStyle w:val="ListParagraph"/>
              <w:numPr>
                <w:ilvl w:val="0"/>
                <w:numId w:val="17"/>
              </w:numPr>
              <w:rPr>
                <w:rFonts w:cs="Arial"/>
                <w:sz w:val="21"/>
                <w:szCs w:val="21"/>
              </w:rPr>
            </w:pPr>
            <w:r w:rsidRPr="001D21E7">
              <w:rPr>
                <w:rFonts w:cs="Arial"/>
                <w:sz w:val="21"/>
                <w:szCs w:val="21"/>
              </w:rPr>
              <w:t>Key areas for consideration:</w:t>
            </w:r>
          </w:p>
          <w:p w:rsidR="00C53AAE" w:rsidRPr="001D21E7" w:rsidRDefault="00C53AAE" w:rsidP="00C53AAE">
            <w:pPr>
              <w:pStyle w:val="ListParagraph"/>
              <w:numPr>
                <w:ilvl w:val="0"/>
                <w:numId w:val="20"/>
              </w:numPr>
              <w:ind w:left="1026" w:hanging="284"/>
              <w:rPr>
                <w:rFonts w:cs="Arial"/>
                <w:sz w:val="21"/>
                <w:szCs w:val="21"/>
              </w:rPr>
            </w:pPr>
            <w:r w:rsidRPr="001D21E7">
              <w:rPr>
                <w:rFonts w:cs="Arial"/>
                <w:b/>
                <w:sz w:val="21"/>
                <w:szCs w:val="21"/>
              </w:rPr>
              <w:t>When should a concern</w:t>
            </w:r>
            <w:r w:rsidRPr="001D21E7">
              <w:rPr>
                <w:rFonts w:cs="Arial"/>
                <w:sz w:val="21"/>
                <w:szCs w:val="21"/>
              </w:rPr>
              <w:t xml:space="preserve"> regarding conflicts of interest </w:t>
            </w:r>
            <w:r w:rsidRPr="001D21E7">
              <w:rPr>
                <w:rFonts w:cs="Arial"/>
                <w:b/>
                <w:sz w:val="21"/>
                <w:szCs w:val="21"/>
              </w:rPr>
              <w:t>be reported</w:t>
            </w:r>
            <w:r w:rsidRPr="001D21E7">
              <w:rPr>
                <w:rFonts w:cs="Arial"/>
                <w:sz w:val="21"/>
                <w:szCs w:val="21"/>
              </w:rPr>
              <w:t>;</w:t>
            </w:r>
          </w:p>
          <w:p w:rsidR="00C53AAE" w:rsidRPr="001D21E7" w:rsidRDefault="00C53AAE" w:rsidP="00C53AAE">
            <w:pPr>
              <w:pStyle w:val="ListParagraph"/>
              <w:numPr>
                <w:ilvl w:val="0"/>
                <w:numId w:val="20"/>
              </w:numPr>
              <w:ind w:left="1026" w:hanging="284"/>
              <w:rPr>
                <w:rFonts w:cs="Arial"/>
                <w:sz w:val="21"/>
                <w:szCs w:val="21"/>
              </w:rPr>
            </w:pPr>
            <w:r w:rsidRPr="001D21E7">
              <w:rPr>
                <w:rFonts w:cs="Arial"/>
                <w:sz w:val="21"/>
                <w:szCs w:val="21"/>
              </w:rPr>
              <w:t xml:space="preserve">What is the </w:t>
            </w:r>
            <w:r w:rsidRPr="001D21E7">
              <w:rPr>
                <w:rFonts w:cs="Arial"/>
                <w:b/>
                <w:sz w:val="21"/>
                <w:szCs w:val="21"/>
              </w:rPr>
              <w:t>process for reporting</w:t>
            </w:r>
            <w:r w:rsidRPr="001D21E7">
              <w:rPr>
                <w:rFonts w:cs="Arial"/>
                <w:sz w:val="21"/>
                <w:szCs w:val="21"/>
              </w:rPr>
              <w:t xml:space="preserve"> concerns;</w:t>
            </w:r>
          </w:p>
          <w:p w:rsidR="00C53AAE" w:rsidRPr="001D21E7" w:rsidRDefault="00C53AAE" w:rsidP="00C53AAE">
            <w:pPr>
              <w:pStyle w:val="ListParagraph"/>
              <w:numPr>
                <w:ilvl w:val="0"/>
                <w:numId w:val="20"/>
              </w:numPr>
              <w:ind w:left="1026" w:hanging="284"/>
              <w:rPr>
                <w:rFonts w:cs="Arial"/>
                <w:sz w:val="21"/>
                <w:szCs w:val="21"/>
              </w:rPr>
            </w:pPr>
            <w:r w:rsidRPr="001D21E7">
              <w:rPr>
                <w:rFonts w:cs="Arial"/>
                <w:b/>
                <w:sz w:val="21"/>
                <w:szCs w:val="21"/>
              </w:rPr>
              <w:t>Who should concerns be raised with</w:t>
            </w:r>
            <w:r w:rsidRPr="001D21E7">
              <w:rPr>
                <w:rFonts w:cs="Arial"/>
                <w:sz w:val="21"/>
                <w:szCs w:val="21"/>
              </w:rPr>
              <w:t>;</w:t>
            </w:r>
          </w:p>
          <w:p w:rsidR="00C53AAE" w:rsidRPr="001D21E7" w:rsidRDefault="00C53AAE" w:rsidP="00C53AAE">
            <w:pPr>
              <w:pStyle w:val="ListParagraph"/>
              <w:numPr>
                <w:ilvl w:val="0"/>
                <w:numId w:val="20"/>
              </w:numPr>
              <w:ind w:left="1026" w:hanging="284"/>
              <w:rPr>
                <w:rFonts w:cs="Arial"/>
                <w:sz w:val="21"/>
                <w:szCs w:val="21"/>
              </w:rPr>
            </w:pPr>
            <w:r w:rsidRPr="001D21E7">
              <w:rPr>
                <w:rFonts w:cs="Arial"/>
                <w:sz w:val="21"/>
                <w:szCs w:val="21"/>
              </w:rPr>
              <w:t xml:space="preserve">How will concerns </w:t>
            </w:r>
            <w:r w:rsidRPr="001D21E7">
              <w:rPr>
                <w:rFonts w:cs="Arial"/>
                <w:b/>
                <w:sz w:val="21"/>
                <w:szCs w:val="21"/>
              </w:rPr>
              <w:t>be investigated</w:t>
            </w:r>
            <w:r w:rsidRPr="001D21E7">
              <w:rPr>
                <w:rFonts w:cs="Arial"/>
                <w:sz w:val="21"/>
                <w:szCs w:val="21"/>
              </w:rPr>
              <w:t>;</w:t>
            </w:r>
          </w:p>
          <w:p w:rsidR="00C53AAE" w:rsidRPr="001D21E7" w:rsidRDefault="00C53AAE" w:rsidP="00C53AAE">
            <w:pPr>
              <w:pStyle w:val="ListParagraph"/>
              <w:numPr>
                <w:ilvl w:val="0"/>
                <w:numId w:val="20"/>
              </w:numPr>
              <w:ind w:left="1026" w:hanging="284"/>
              <w:rPr>
                <w:rFonts w:cs="Arial"/>
                <w:sz w:val="21"/>
                <w:szCs w:val="21"/>
              </w:rPr>
            </w:pPr>
            <w:r w:rsidRPr="001D21E7">
              <w:rPr>
                <w:rFonts w:cs="Arial"/>
                <w:b/>
                <w:sz w:val="21"/>
                <w:szCs w:val="21"/>
              </w:rPr>
              <w:t>Who is responsible</w:t>
            </w:r>
            <w:r w:rsidRPr="001D21E7">
              <w:rPr>
                <w:rFonts w:cs="Arial"/>
                <w:sz w:val="21"/>
                <w:szCs w:val="21"/>
              </w:rPr>
              <w:t xml:space="preserve"> for making the decision;</w:t>
            </w:r>
          </w:p>
          <w:p w:rsidR="00C53AAE" w:rsidRPr="001D21E7" w:rsidRDefault="00C53AAE" w:rsidP="00C53AAE">
            <w:pPr>
              <w:pStyle w:val="ListParagraph"/>
              <w:numPr>
                <w:ilvl w:val="0"/>
                <w:numId w:val="20"/>
              </w:numPr>
              <w:ind w:left="1026" w:hanging="284"/>
              <w:rPr>
                <w:rFonts w:cs="Arial"/>
                <w:sz w:val="21"/>
                <w:szCs w:val="21"/>
              </w:rPr>
            </w:pPr>
            <w:r w:rsidRPr="001D21E7">
              <w:rPr>
                <w:rFonts w:cs="Arial"/>
                <w:sz w:val="21"/>
                <w:szCs w:val="21"/>
              </w:rPr>
              <w:t xml:space="preserve">How do you </w:t>
            </w:r>
            <w:r w:rsidRPr="001D21E7">
              <w:rPr>
                <w:rFonts w:cs="Arial"/>
                <w:b/>
                <w:sz w:val="21"/>
                <w:szCs w:val="21"/>
              </w:rPr>
              <w:t>ensure confidentiality;</w:t>
            </w:r>
          </w:p>
          <w:p w:rsidR="00C53AAE" w:rsidRPr="001D21E7" w:rsidRDefault="00C53AAE" w:rsidP="00C53AAE">
            <w:pPr>
              <w:pStyle w:val="ListParagraph"/>
              <w:numPr>
                <w:ilvl w:val="0"/>
                <w:numId w:val="20"/>
              </w:numPr>
              <w:ind w:left="1026" w:hanging="284"/>
              <w:rPr>
                <w:rFonts w:cs="Arial"/>
                <w:sz w:val="21"/>
                <w:szCs w:val="21"/>
              </w:rPr>
            </w:pPr>
            <w:r w:rsidRPr="001D21E7">
              <w:rPr>
                <w:rFonts w:cs="Arial"/>
                <w:b/>
                <w:sz w:val="21"/>
                <w:szCs w:val="21"/>
              </w:rPr>
              <w:t>Reporting requirements.</w:t>
            </w:r>
          </w:p>
          <w:p w:rsidR="00C53AAE" w:rsidRPr="001D21E7" w:rsidRDefault="00C53AAE" w:rsidP="000E0279">
            <w:pPr>
              <w:pStyle w:val="ListParagraph"/>
              <w:ind w:left="1026"/>
              <w:rPr>
                <w:rFonts w:cs="Arial"/>
                <w:sz w:val="21"/>
                <w:szCs w:val="21"/>
              </w:rPr>
            </w:pPr>
          </w:p>
        </w:tc>
      </w:tr>
      <w:tr w:rsidR="00C53AAE" w:rsidRPr="00D6019B" w:rsidTr="000E0279">
        <w:tc>
          <w:tcPr>
            <w:tcW w:w="2552" w:type="dxa"/>
            <w:shd w:val="clear" w:color="auto" w:fill="0070C0"/>
            <w:vAlign w:val="center"/>
          </w:tcPr>
          <w:p w:rsidR="00C53AAE" w:rsidRDefault="00C53AAE" w:rsidP="000E0279">
            <w:pPr>
              <w:jc w:val="center"/>
              <w:rPr>
                <w:rFonts w:cs="Arial"/>
                <w:b/>
                <w:color w:val="FFFFFF" w:themeColor="background1"/>
                <w:sz w:val="22"/>
                <w:szCs w:val="22"/>
              </w:rPr>
            </w:pPr>
          </w:p>
          <w:p w:rsidR="00C53AAE" w:rsidRDefault="00C53AAE" w:rsidP="000E0279">
            <w:pPr>
              <w:jc w:val="center"/>
              <w:rPr>
                <w:rFonts w:cs="Arial"/>
                <w:b/>
                <w:color w:val="FFFFFF" w:themeColor="background1"/>
                <w:sz w:val="22"/>
                <w:szCs w:val="22"/>
              </w:rPr>
            </w:pPr>
            <w:r>
              <w:rPr>
                <w:rFonts w:cs="Arial"/>
                <w:b/>
                <w:color w:val="FFFFFF" w:themeColor="background1"/>
                <w:sz w:val="22"/>
                <w:szCs w:val="22"/>
              </w:rPr>
              <w:t>Breach of conflicts of interest policy</w:t>
            </w:r>
          </w:p>
          <w:p w:rsidR="00C53AAE" w:rsidRDefault="00C53AAE" w:rsidP="000E0279">
            <w:pPr>
              <w:jc w:val="center"/>
              <w:rPr>
                <w:rFonts w:cs="Arial"/>
                <w:b/>
                <w:color w:val="FFFFFF" w:themeColor="background1"/>
                <w:sz w:val="22"/>
                <w:szCs w:val="22"/>
              </w:rPr>
            </w:pPr>
          </w:p>
          <w:p w:rsidR="00C53AAE" w:rsidRPr="00D6019B" w:rsidRDefault="00C53AAE" w:rsidP="000E0279">
            <w:pPr>
              <w:jc w:val="center"/>
              <w:rPr>
                <w:rFonts w:cs="Arial"/>
                <w:b/>
                <w:color w:val="FFFFFF" w:themeColor="background1"/>
                <w:sz w:val="22"/>
                <w:szCs w:val="22"/>
              </w:rPr>
            </w:pPr>
          </w:p>
        </w:tc>
        <w:tc>
          <w:tcPr>
            <w:tcW w:w="6379" w:type="dxa"/>
          </w:tcPr>
          <w:p w:rsidR="00C53AAE" w:rsidRPr="001D21E7" w:rsidRDefault="00C53AAE" w:rsidP="000E0279">
            <w:pPr>
              <w:pStyle w:val="ListParagraph"/>
              <w:rPr>
                <w:rFonts w:cs="Arial"/>
                <w:bCs w:val="0"/>
                <w:sz w:val="21"/>
                <w:szCs w:val="21"/>
              </w:rPr>
            </w:pPr>
          </w:p>
          <w:p w:rsidR="00C53AAE" w:rsidRPr="001D21E7" w:rsidRDefault="00C53AAE" w:rsidP="00C53AAE">
            <w:pPr>
              <w:pStyle w:val="ListParagraph"/>
              <w:numPr>
                <w:ilvl w:val="0"/>
                <w:numId w:val="17"/>
              </w:numPr>
              <w:rPr>
                <w:rFonts w:cs="Arial"/>
                <w:bCs w:val="0"/>
                <w:sz w:val="21"/>
                <w:szCs w:val="21"/>
              </w:rPr>
            </w:pPr>
            <w:r w:rsidRPr="001D21E7">
              <w:rPr>
                <w:rFonts w:cs="Arial"/>
                <w:bCs w:val="0"/>
                <w:sz w:val="21"/>
                <w:szCs w:val="21"/>
              </w:rPr>
              <w:t xml:space="preserve">Consider and agree a clear, </w:t>
            </w:r>
            <w:r w:rsidRPr="001D21E7">
              <w:rPr>
                <w:rFonts w:cs="Arial"/>
                <w:b/>
                <w:bCs w:val="0"/>
                <w:sz w:val="21"/>
                <w:szCs w:val="21"/>
              </w:rPr>
              <w:t xml:space="preserve">defined </w:t>
            </w:r>
            <w:r w:rsidRPr="001D21E7">
              <w:rPr>
                <w:rFonts w:cs="Arial"/>
                <w:b/>
                <w:sz w:val="21"/>
                <w:szCs w:val="21"/>
              </w:rPr>
              <w:t>process for managing breaches of the CCG’s conflicts of interest policy</w:t>
            </w:r>
            <w:r w:rsidRPr="001D21E7">
              <w:rPr>
                <w:rFonts w:cs="Arial"/>
                <w:sz w:val="21"/>
                <w:szCs w:val="21"/>
              </w:rPr>
              <w:t>, including:</w:t>
            </w:r>
          </w:p>
          <w:p w:rsidR="00C53AAE" w:rsidRPr="001D21E7" w:rsidRDefault="00C53AAE" w:rsidP="00C53AAE">
            <w:pPr>
              <w:pStyle w:val="ListParagraph"/>
              <w:numPr>
                <w:ilvl w:val="0"/>
                <w:numId w:val="19"/>
              </w:numPr>
              <w:ind w:left="1026" w:hanging="284"/>
              <w:rPr>
                <w:rFonts w:cs="Arial"/>
                <w:bCs w:val="0"/>
                <w:sz w:val="21"/>
                <w:szCs w:val="21"/>
              </w:rPr>
            </w:pPr>
            <w:r w:rsidRPr="001D21E7">
              <w:rPr>
                <w:rFonts w:cs="Arial"/>
                <w:b/>
                <w:sz w:val="21"/>
                <w:szCs w:val="21"/>
              </w:rPr>
              <w:lastRenderedPageBreak/>
              <w:t>How the breach is recorded</w:t>
            </w:r>
            <w:r w:rsidRPr="001D21E7">
              <w:rPr>
                <w:rFonts w:cs="Arial"/>
                <w:sz w:val="21"/>
                <w:szCs w:val="21"/>
              </w:rPr>
              <w:t>;</w:t>
            </w:r>
          </w:p>
          <w:p w:rsidR="00C53AAE" w:rsidRPr="001D21E7" w:rsidRDefault="00C53AAE" w:rsidP="00C53AAE">
            <w:pPr>
              <w:pStyle w:val="ListParagraph"/>
              <w:numPr>
                <w:ilvl w:val="0"/>
                <w:numId w:val="19"/>
              </w:numPr>
              <w:ind w:left="1026" w:hanging="284"/>
              <w:rPr>
                <w:rFonts w:cs="Arial"/>
                <w:bCs w:val="0"/>
                <w:sz w:val="21"/>
                <w:szCs w:val="21"/>
              </w:rPr>
            </w:pPr>
            <w:r w:rsidRPr="001D21E7">
              <w:rPr>
                <w:rFonts w:cs="Arial"/>
                <w:sz w:val="21"/>
                <w:szCs w:val="21"/>
              </w:rPr>
              <w:t xml:space="preserve">How it is </w:t>
            </w:r>
            <w:r w:rsidRPr="001D21E7">
              <w:rPr>
                <w:rFonts w:cs="Arial"/>
                <w:b/>
                <w:sz w:val="21"/>
                <w:szCs w:val="21"/>
              </w:rPr>
              <w:t>investigated</w:t>
            </w:r>
            <w:r w:rsidRPr="001D21E7">
              <w:rPr>
                <w:rFonts w:cs="Arial"/>
                <w:sz w:val="21"/>
                <w:szCs w:val="21"/>
              </w:rPr>
              <w:t>;</w:t>
            </w:r>
          </w:p>
          <w:p w:rsidR="00C53AAE" w:rsidRPr="001D21E7" w:rsidRDefault="00C53AAE" w:rsidP="00C53AAE">
            <w:pPr>
              <w:pStyle w:val="ListParagraph"/>
              <w:numPr>
                <w:ilvl w:val="0"/>
                <w:numId w:val="19"/>
              </w:numPr>
              <w:ind w:left="1026" w:hanging="284"/>
              <w:rPr>
                <w:rFonts w:cs="Arial"/>
                <w:bCs w:val="0"/>
                <w:sz w:val="21"/>
                <w:szCs w:val="21"/>
              </w:rPr>
            </w:pPr>
            <w:r w:rsidRPr="001D21E7">
              <w:rPr>
                <w:rFonts w:cs="Arial"/>
                <w:sz w:val="21"/>
                <w:szCs w:val="21"/>
              </w:rPr>
              <w:t xml:space="preserve">The </w:t>
            </w:r>
            <w:r w:rsidRPr="001D21E7">
              <w:rPr>
                <w:rFonts w:cs="Arial"/>
                <w:b/>
                <w:sz w:val="21"/>
                <w:szCs w:val="21"/>
              </w:rPr>
              <w:t>governance arrangements and reporting mechanisms</w:t>
            </w:r>
            <w:r w:rsidRPr="001D21E7">
              <w:rPr>
                <w:rFonts w:cs="Arial"/>
                <w:sz w:val="21"/>
                <w:szCs w:val="21"/>
              </w:rPr>
              <w:t>;</w:t>
            </w:r>
          </w:p>
          <w:p w:rsidR="00C53AAE" w:rsidRPr="001D21E7" w:rsidRDefault="00C53AAE" w:rsidP="00C53AAE">
            <w:pPr>
              <w:pStyle w:val="ListParagraph"/>
              <w:numPr>
                <w:ilvl w:val="0"/>
                <w:numId w:val="19"/>
              </w:numPr>
              <w:ind w:left="1026" w:hanging="284"/>
              <w:rPr>
                <w:rFonts w:cs="Arial"/>
                <w:bCs w:val="0"/>
                <w:sz w:val="21"/>
                <w:szCs w:val="21"/>
              </w:rPr>
            </w:pPr>
            <w:r w:rsidRPr="001D21E7">
              <w:rPr>
                <w:rFonts w:cs="Arial"/>
                <w:sz w:val="21"/>
                <w:szCs w:val="21"/>
              </w:rPr>
              <w:t xml:space="preserve">Clear </w:t>
            </w:r>
            <w:r w:rsidRPr="001D21E7">
              <w:rPr>
                <w:rFonts w:cs="Arial"/>
                <w:b/>
                <w:sz w:val="21"/>
                <w:szCs w:val="21"/>
              </w:rPr>
              <w:t>links to whistleblowing and HR policies</w:t>
            </w:r>
            <w:r w:rsidRPr="001D21E7">
              <w:rPr>
                <w:rFonts w:cs="Arial"/>
                <w:sz w:val="21"/>
                <w:szCs w:val="21"/>
              </w:rPr>
              <w:t xml:space="preserve">; </w:t>
            </w:r>
          </w:p>
          <w:p w:rsidR="00C53AAE" w:rsidRPr="001D21E7" w:rsidRDefault="00C53AAE" w:rsidP="00C53AAE">
            <w:pPr>
              <w:pStyle w:val="ListParagraph"/>
              <w:numPr>
                <w:ilvl w:val="0"/>
                <w:numId w:val="19"/>
              </w:numPr>
              <w:ind w:left="1026" w:hanging="284"/>
              <w:rPr>
                <w:rFonts w:cs="Arial"/>
                <w:bCs w:val="0"/>
                <w:sz w:val="21"/>
                <w:szCs w:val="21"/>
              </w:rPr>
            </w:pPr>
            <w:r w:rsidRPr="001D21E7">
              <w:rPr>
                <w:rFonts w:cs="Arial"/>
                <w:b/>
                <w:sz w:val="21"/>
                <w:szCs w:val="21"/>
              </w:rPr>
              <w:t>Communications and management of any media interest</w:t>
            </w:r>
            <w:r w:rsidRPr="001D21E7">
              <w:rPr>
                <w:rFonts w:cs="Arial"/>
                <w:sz w:val="21"/>
                <w:szCs w:val="21"/>
              </w:rPr>
              <w:t>;</w:t>
            </w:r>
          </w:p>
          <w:p w:rsidR="00C53AAE" w:rsidRPr="001D21E7" w:rsidRDefault="00C53AAE" w:rsidP="00C53AAE">
            <w:pPr>
              <w:pStyle w:val="ListParagraph"/>
              <w:numPr>
                <w:ilvl w:val="0"/>
                <w:numId w:val="19"/>
              </w:numPr>
              <w:ind w:left="1026" w:hanging="284"/>
              <w:rPr>
                <w:rFonts w:cs="Arial"/>
                <w:bCs w:val="0"/>
                <w:sz w:val="21"/>
                <w:szCs w:val="21"/>
              </w:rPr>
            </w:pPr>
            <w:r w:rsidRPr="001D21E7">
              <w:rPr>
                <w:rFonts w:cs="Arial"/>
                <w:sz w:val="21"/>
                <w:szCs w:val="21"/>
              </w:rPr>
              <w:t xml:space="preserve">When and who to </w:t>
            </w:r>
            <w:r w:rsidRPr="001D21E7">
              <w:rPr>
                <w:rFonts w:cs="Arial"/>
                <w:b/>
                <w:sz w:val="21"/>
                <w:szCs w:val="21"/>
              </w:rPr>
              <w:t>notify NHS England</w:t>
            </w:r>
            <w:r w:rsidRPr="001D21E7">
              <w:rPr>
                <w:rFonts w:cs="Arial"/>
                <w:sz w:val="21"/>
                <w:szCs w:val="21"/>
              </w:rPr>
              <w:t>;</w:t>
            </w:r>
          </w:p>
          <w:p w:rsidR="00C53AAE" w:rsidRPr="001D21E7" w:rsidRDefault="00C53AAE" w:rsidP="00C53AAE">
            <w:pPr>
              <w:pStyle w:val="ListParagraph"/>
              <w:numPr>
                <w:ilvl w:val="0"/>
                <w:numId w:val="19"/>
              </w:numPr>
              <w:ind w:left="1026" w:hanging="284"/>
              <w:rPr>
                <w:rFonts w:cs="Arial"/>
                <w:bCs w:val="0"/>
                <w:sz w:val="21"/>
                <w:szCs w:val="21"/>
              </w:rPr>
            </w:pPr>
            <w:r w:rsidRPr="001D21E7">
              <w:rPr>
                <w:rFonts w:cs="Arial"/>
                <w:b/>
                <w:sz w:val="21"/>
                <w:szCs w:val="21"/>
              </w:rPr>
              <w:t>Process for publishing the breach</w:t>
            </w:r>
            <w:r w:rsidRPr="001D21E7">
              <w:rPr>
                <w:rFonts w:cs="Arial"/>
                <w:sz w:val="21"/>
                <w:szCs w:val="21"/>
              </w:rPr>
              <w:t xml:space="preserve"> on the CCG website.</w:t>
            </w:r>
          </w:p>
          <w:p w:rsidR="00C53AAE" w:rsidRPr="001D21E7" w:rsidRDefault="00C53AAE" w:rsidP="000E0279">
            <w:pPr>
              <w:rPr>
                <w:rFonts w:cs="Arial"/>
                <w:sz w:val="21"/>
                <w:szCs w:val="21"/>
              </w:rPr>
            </w:pPr>
          </w:p>
        </w:tc>
      </w:tr>
      <w:bookmarkEnd w:id="1"/>
    </w:tbl>
    <w:p w:rsidR="00C53AAE" w:rsidRPr="00D6019B" w:rsidRDefault="00C53AAE" w:rsidP="00C53AAE">
      <w:pPr>
        <w:rPr>
          <w:sz w:val="22"/>
          <w:szCs w:val="22"/>
        </w:rPr>
      </w:pPr>
    </w:p>
    <w:p w:rsidR="00C53AAE" w:rsidRPr="00D6019B" w:rsidRDefault="00C53AAE" w:rsidP="00C53AAE">
      <w:pPr>
        <w:rPr>
          <w:sz w:val="22"/>
          <w:szCs w:val="22"/>
        </w:rPr>
      </w:pPr>
    </w:p>
    <w:p w:rsidR="00C53AAE" w:rsidRDefault="00C53AAE" w:rsidP="00C53AAE">
      <w:pPr>
        <w:pStyle w:val="Title"/>
        <w:rPr>
          <w:rFonts w:eastAsia="Calibri"/>
          <w:color w:val="0072C6"/>
          <w:sz w:val="22"/>
          <w:szCs w:val="22"/>
        </w:rPr>
      </w:pPr>
    </w:p>
    <w:p w:rsidR="00C53AAE" w:rsidRDefault="00C53AAE" w:rsidP="00C53AAE">
      <w:pPr>
        <w:pStyle w:val="Title"/>
        <w:rPr>
          <w:rFonts w:eastAsia="Calibri"/>
          <w:color w:val="0072C6"/>
          <w:sz w:val="22"/>
          <w:szCs w:val="22"/>
        </w:rPr>
      </w:pPr>
    </w:p>
    <w:sectPr w:rsidR="00C53AAE" w:rsidSect="00C531F7">
      <w:pgSz w:w="11906" w:h="16838"/>
      <w:pgMar w:top="1440" w:right="99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GSMinchoE">
    <w:altName w:val="MS P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E1A61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1B36D91"/>
    <w:multiLevelType w:val="hybridMultilevel"/>
    <w:tmpl w:val="506C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3A4FAE"/>
    <w:multiLevelType w:val="hybridMultilevel"/>
    <w:tmpl w:val="12AC95CC"/>
    <w:lvl w:ilvl="0" w:tplc="08090003">
      <w:start w:val="1"/>
      <w:numFmt w:val="bullet"/>
      <w:lvlText w:val="o"/>
      <w:lvlJc w:val="left"/>
      <w:pPr>
        <w:ind w:left="1050" w:hanging="360"/>
      </w:pPr>
      <w:rPr>
        <w:rFonts w:ascii="Courier New" w:hAnsi="Courier New" w:cs="Courier New"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
    <w:nsid w:val="0C555DF8"/>
    <w:multiLevelType w:val="hybridMultilevel"/>
    <w:tmpl w:val="8FC60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FC0D87"/>
    <w:multiLevelType w:val="hybridMultilevel"/>
    <w:tmpl w:val="51B87A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6305291"/>
    <w:multiLevelType w:val="hybridMultilevel"/>
    <w:tmpl w:val="FDCA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B65C48"/>
    <w:multiLevelType w:val="hybridMultilevel"/>
    <w:tmpl w:val="E1A6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9687F"/>
    <w:multiLevelType w:val="hybridMultilevel"/>
    <w:tmpl w:val="52F2A328"/>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8">
    <w:nsid w:val="23064A37"/>
    <w:multiLevelType w:val="hybridMultilevel"/>
    <w:tmpl w:val="E7DC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274C3856"/>
    <w:multiLevelType w:val="hybridMultilevel"/>
    <w:tmpl w:val="CB18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B04349"/>
    <w:multiLevelType w:val="hybridMultilevel"/>
    <w:tmpl w:val="82E4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4023CA"/>
    <w:multiLevelType w:val="hybridMultilevel"/>
    <w:tmpl w:val="58B4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BB7F9B"/>
    <w:multiLevelType w:val="hybridMultilevel"/>
    <w:tmpl w:val="7B9EE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3AA0597"/>
    <w:multiLevelType w:val="hybridMultilevel"/>
    <w:tmpl w:val="46E8B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6196423"/>
    <w:multiLevelType w:val="hybridMultilevel"/>
    <w:tmpl w:val="AD0AC7CA"/>
    <w:lvl w:ilvl="0" w:tplc="08090003">
      <w:start w:val="1"/>
      <w:numFmt w:val="bullet"/>
      <w:lvlText w:val="o"/>
      <w:lvlJc w:val="left"/>
      <w:pPr>
        <w:ind w:left="1050" w:hanging="360"/>
      </w:pPr>
      <w:rPr>
        <w:rFonts w:ascii="Courier New" w:hAnsi="Courier New" w:cs="Courier New"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6">
    <w:nsid w:val="492B3B3A"/>
    <w:multiLevelType w:val="hybridMultilevel"/>
    <w:tmpl w:val="388830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9A50B24"/>
    <w:multiLevelType w:val="hybridMultilevel"/>
    <w:tmpl w:val="360A7ADA"/>
    <w:lvl w:ilvl="0" w:tplc="08090003">
      <w:start w:val="1"/>
      <w:numFmt w:val="bullet"/>
      <w:lvlText w:val="o"/>
      <w:lvlJc w:val="left"/>
      <w:pPr>
        <w:ind w:left="1125" w:hanging="360"/>
      </w:pPr>
      <w:rPr>
        <w:rFonts w:ascii="Courier New" w:hAnsi="Courier New" w:cs="Courier New"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8">
    <w:nsid w:val="4C854880"/>
    <w:multiLevelType w:val="hybridMultilevel"/>
    <w:tmpl w:val="565807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05859CA"/>
    <w:multiLevelType w:val="hybridMultilevel"/>
    <w:tmpl w:val="BFCEE046"/>
    <w:lvl w:ilvl="0" w:tplc="08090003">
      <w:start w:val="1"/>
      <w:numFmt w:val="bullet"/>
      <w:lvlText w:val="o"/>
      <w:lvlJc w:val="left"/>
      <w:pPr>
        <w:ind w:left="1050" w:hanging="360"/>
      </w:pPr>
      <w:rPr>
        <w:rFonts w:ascii="Courier New" w:hAnsi="Courier New" w:cs="Courier New"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0">
    <w:nsid w:val="60670FFA"/>
    <w:multiLevelType w:val="hybridMultilevel"/>
    <w:tmpl w:val="1388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D102EE"/>
    <w:multiLevelType w:val="hybridMultilevel"/>
    <w:tmpl w:val="BE56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4576D1"/>
    <w:multiLevelType w:val="hybridMultilevel"/>
    <w:tmpl w:val="EF8450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10"/>
  </w:num>
  <w:num w:numId="4">
    <w:abstractNumId w:val="20"/>
  </w:num>
  <w:num w:numId="5">
    <w:abstractNumId w:val="6"/>
  </w:num>
  <w:num w:numId="6">
    <w:abstractNumId w:val="21"/>
  </w:num>
  <w:num w:numId="7">
    <w:abstractNumId w:val="3"/>
  </w:num>
  <w:num w:numId="8">
    <w:abstractNumId w:val="2"/>
  </w:num>
  <w:num w:numId="9">
    <w:abstractNumId w:val="11"/>
  </w:num>
  <w:num w:numId="10">
    <w:abstractNumId w:val="13"/>
  </w:num>
  <w:num w:numId="11">
    <w:abstractNumId w:val="5"/>
  </w:num>
  <w:num w:numId="12">
    <w:abstractNumId w:val="19"/>
  </w:num>
  <w:num w:numId="13">
    <w:abstractNumId w:val="22"/>
  </w:num>
  <w:num w:numId="14">
    <w:abstractNumId w:val="8"/>
  </w:num>
  <w:num w:numId="15">
    <w:abstractNumId w:val="16"/>
  </w:num>
  <w:num w:numId="16">
    <w:abstractNumId w:val="17"/>
  </w:num>
  <w:num w:numId="17">
    <w:abstractNumId w:val="1"/>
  </w:num>
  <w:num w:numId="18">
    <w:abstractNumId w:val="15"/>
  </w:num>
  <w:num w:numId="19">
    <w:abstractNumId w:val="7"/>
  </w:num>
  <w:num w:numId="20">
    <w:abstractNumId w:val="18"/>
  </w:num>
  <w:num w:numId="21">
    <w:abstractNumId w:val="4"/>
  </w:num>
  <w:num w:numId="22">
    <w:abstractNumId w:val="14"/>
  </w:num>
  <w:num w:numId="23">
    <w:abstractNumId w:val="0"/>
    <w:lvlOverride w:ilvl="0">
      <w:lvl w:ilvl="0" w:tplc="08090001">
        <w:start w:val="1"/>
        <w:numFmt w:val="bullet"/>
        <w:lvlText w:val=""/>
        <w:lvlJc w:val="left"/>
        <w:pPr>
          <w:ind w:left="720" w:hanging="360"/>
        </w:pPr>
        <w:rPr>
          <w:rFonts w:ascii="Symbol" w:hAnsi="Symbol" w:hint="default"/>
          <w:color w:val="auto"/>
          <w:u w:val="none"/>
        </w:rPr>
      </w:lvl>
    </w:lvlOverride>
    <w:lvlOverride w:ilvl="1">
      <w:lvl w:ilvl="1" w:tplc="08090003">
        <w:start w:val="1"/>
        <w:numFmt w:val="bullet"/>
        <w:lvlText w:val="o"/>
        <w:lvlJc w:val="left"/>
        <w:pPr>
          <w:ind w:left="1440" w:hanging="360"/>
        </w:pPr>
        <w:rPr>
          <w:rFonts w:ascii="Courier New" w:hAnsi="Courier New" w:hint="default"/>
          <w:color w:val="0000FF"/>
          <w:u w:val="double"/>
        </w:rPr>
      </w:lvl>
    </w:lvlOverride>
    <w:lvlOverride w:ilvl="2">
      <w:lvl w:ilvl="2" w:tplc="08090005">
        <w:start w:val="1"/>
        <w:numFmt w:val="bullet"/>
        <w:lvlText w:val=""/>
        <w:lvlJc w:val="left"/>
        <w:pPr>
          <w:ind w:left="2160" w:hanging="360"/>
        </w:pPr>
        <w:rPr>
          <w:rFonts w:ascii="Wingdings" w:hAnsi="Wingdings" w:hint="default"/>
          <w:color w:val="0000FF"/>
          <w:u w:val="double"/>
        </w:rPr>
      </w:lvl>
    </w:lvlOverride>
    <w:lvlOverride w:ilvl="3">
      <w:lvl w:ilvl="3" w:tplc="08090001">
        <w:start w:val="1"/>
        <w:numFmt w:val="bullet"/>
        <w:lvlText w:val=""/>
        <w:lvlJc w:val="left"/>
        <w:pPr>
          <w:ind w:left="2880" w:hanging="360"/>
        </w:pPr>
        <w:rPr>
          <w:rFonts w:ascii="Symbol" w:hAnsi="Symbol" w:hint="default"/>
          <w:color w:val="0000FF"/>
          <w:u w:val="double"/>
        </w:rPr>
      </w:lvl>
    </w:lvlOverride>
    <w:lvlOverride w:ilvl="4">
      <w:lvl w:ilvl="4" w:tplc="08090003">
        <w:start w:val="1"/>
        <w:numFmt w:val="bullet"/>
        <w:lvlText w:val="o"/>
        <w:lvlJc w:val="left"/>
        <w:pPr>
          <w:ind w:left="3600" w:hanging="360"/>
        </w:pPr>
        <w:rPr>
          <w:rFonts w:ascii="Courier New" w:hAnsi="Courier New" w:hint="default"/>
          <w:color w:val="0000FF"/>
          <w:u w:val="double"/>
        </w:rPr>
      </w:lvl>
    </w:lvlOverride>
    <w:lvlOverride w:ilvl="5">
      <w:lvl w:ilvl="5" w:tplc="08090005">
        <w:start w:val="1"/>
        <w:numFmt w:val="bullet"/>
        <w:lvlText w:val=""/>
        <w:lvlJc w:val="left"/>
        <w:pPr>
          <w:ind w:left="4320" w:hanging="360"/>
        </w:pPr>
        <w:rPr>
          <w:rFonts w:ascii="Wingdings" w:hAnsi="Wingdings" w:hint="default"/>
          <w:color w:val="0000FF"/>
          <w:u w:val="double"/>
        </w:rPr>
      </w:lvl>
    </w:lvlOverride>
    <w:lvlOverride w:ilvl="6">
      <w:lvl w:ilvl="6" w:tplc="08090001">
        <w:start w:val="1"/>
        <w:numFmt w:val="bullet"/>
        <w:lvlText w:val=""/>
        <w:lvlJc w:val="left"/>
        <w:pPr>
          <w:ind w:left="5040" w:hanging="360"/>
        </w:pPr>
        <w:rPr>
          <w:rFonts w:ascii="Symbol" w:hAnsi="Symbol" w:hint="default"/>
          <w:color w:val="0000FF"/>
          <w:u w:val="double"/>
        </w:rPr>
      </w:lvl>
    </w:lvlOverride>
    <w:lvlOverride w:ilvl="7">
      <w:lvl w:ilvl="7" w:tplc="08090003">
        <w:start w:val="1"/>
        <w:numFmt w:val="bullet"/>
        <w:lvlText w:val="o"/>
        <w:lvlJc w:val="left"/>
        <w:pPr>
          <w:ind w:left="5760" w:hanging="360"/>
        </w:pPr>
        <w:rPr>
          <w:rFonts w:ascii="Courier New" w:hAnsi="Courier New" w:hint="default"/>
          <w:color w:val="0000FF"/>
          <w:u w:val="double"/>
        </w:rPr>
      </w:lvl>
    </w:lvlOverride>
    <w:lvlOverride w:ilvl="8">
      <w:lvl w:ilvl="8" w:tplc="08090005">
        <w:start w:val="1"/>
        <w:numFmt w:val="bullet"/>
        <w:lvlText w:val=""/>
        <w:lvlJc w:val="left"/>
        <w:pPr>
          <w:ind w:left="6480" w:hanging="360"/>
        </w:pPr>
        <w:rPr>
          <w:rFonts w:ascii="Wingdings" w:hAnsi="Wingdings" w:hint="default"/>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AE"/>
    <w:rsid w:val="00637420"/>
    <w:rsid w:val="007E1464"/>
    <w:rsid w:val="007E70E5"/>
    <w:rsid w:val="00AB1D16"/>
    <w:rsid w:val="00C531F7"/>
    <w:rsid w:val="00C53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AAE"/>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C53AAE"/>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C53AAE"/>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nhideWhenUsed/>
    <w:qFormat/>
    <w:rsid w:val="00C53AAE"/>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C53AAE"/>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C53AA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3AA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3AA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3AA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3AA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AAE"/>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C53AAE"/>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rsid w:val="00C53AAE"/>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C53AAE"/>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C53AAE"/>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C53AAE"/>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C53AAE"/>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C53AAE"/>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C53AAE"/>
    <w:rPr>
      <w:rFonts w:asciiTheme="majorHAnsi" w:eastAsiaTheme="majorEastAsia" w:hAnsiTheme="majorHAnsi" w:cstheme="majorBidi"/>
      <w:bCs/>
      <w:i/>
      <w:iCs/>
      <w:color w:val="404040" w:themeColor="text1" w:themeTint="BF"/>
      <w:sz w:val="20"/>
      <w:szCs w:val="20"/>
    </w:rPr>
  </w:style>
  <w:style w:type="paragraph" w:styleId="Title">
    <w:name w:val="Title"/>
    <w:basedOn w:val="Normal"/>
    <w:next w:val="Normal"/>
    <w:link w:val="TitleChar"/>
    <w:uiPriority w:val="10"/>
    <w:qFormat/>
    <w:rsid w:val="00C53AAE"/>
    <w:rPr>
      <w:b/>
      <w:color w:val="1F497D" w:themeColor="text2"/>
      <w:sz w:val="80"/>
      <w:szCs w:val="80"/>
    </w:rPr>
  </w:style>
  <w:style w:type="character" w:customStyle="1" w:styleId="TitleChar">
    <w:name w:val="Title Char"/>
    <w:basedOn w:val="DefaultParagraphFont"/>
    <w:link w:val="Title"/>
    <w:uiPriority w:val="10"/>
    <w:rsid w:val="00C53AAE"/>
    <w:rPr>
      <w:rFonts w:ascii="Arial" w:eastAsia="Times New Roman" w:hAnsi="Arial" w:cs="Times New Roman"/>
      <w:b/>
      <w:bCs/>
      <w:color w:val="1F497D" w:themeColor="text2"/>
      <w:sz w:val="80"/>
      <w:szCs w:val="80"/>
    </w:rPr>
  </w:style>
  <w:style w:type="table" w:styleId="TableGrid">
    <w:name w:val="Table Grid"/>
    <w:basedOn w:val="TableNormal"/>
    <w:uiPriority w:val="59"/>
    <w:rsid w:val="00C53AA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C53AAE"/>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C53AAE"/>
    <w:rPr>
      <w:rFonts w:ascii="Arial" w:eastAsia="Times New Roman" w:hAnsi="Arial" w:cs="Times New Roman"/>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AAE"/>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C53AAE"/>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C53AAE"/>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nhideWhenUsed/>
    <w:qFormat/>
    <w:rsid w:val="00C53AAE"/>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C53AAE"/>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C53AA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3AA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3AA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3AA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3AA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AAE"/>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C53AAE"/>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rsid w:val="00C53AAE"/>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C53AAE"/>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C53AAE"/>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C53AAE"/>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C53AAE"/>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C53AAE"/>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C53AAE"/>
    <w:rPr>
      <w:rFonts w:asciiTheme="majorHAnsi" w:eastAsiaTheme="majorEastAsia" w:hAnsiTheme="majorHAnsi" w:cstheme="majorBidi"/>
      <w:bCs/>
      <w:i/>
      <w:iCs/>
      <w:color w:val="404040" w:themeColor="text1" w:themeTint="BF"/>
      <w:sz w:val="20"/>
      <w:szCs w:val="20"/>
    </w:rPr>
  </w:style>
  <w:style w:type="paragraph" w:styleId="Title">
    <w:name w:val="Title"/>
    <w:basedOn w:val="Normal"/>
    <w:next w:val="Normal"/>
    <w:link w:val="TitleChar"/>
    <w:uiPriority w:val="10"/>
    <w:qFormat/>
    <w:rsid w:val="00C53AAE"/>
    <w:rPr>
      <w:b/>
      <w:color w:val="1F497D" w:themeColor="text2"/>
      <w:sz w:val="80"/>
      <w:szCs w:val="80"/>
    </w:rPr>
  </w:style>
  <w:style w:type="character" w:customStyle="1" w:styleId="TitleChar">
    <w:name w:val="Title Char"/>
    <w:basedOn w:val="DefaultParagraphFont"/>
    <w:link w:val="Title"/>
    <w:uiPriority w:val="10"/>
    <w:rsid w:val="00C53AAE"/>
    <w:rPr>
      <w:rFonts w:ascii="Arial" w:eastAsia="Times New Roman" w:hAnsi="Arial" w:cs="Times New Roman"/>
      <w:b/>
      <w:bCs/>
      <w:color w:val="1F497D" w:themeColor="text2"/>
      <w:sz w:val="80"/>
      <w:szCs w:val="80"/>
    </w:rPr>
  </w:style>
  <w:style w:type="table" w:styleId="TableGrid">
    <w:name w:val="Table Grid"/>
    <w:basedOn w:val="TableNormal"/>
    <w:uiPriority w:val="59"/>
    <w:rsid w:val="00C53AA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C53AAE"/>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C53AAE"/>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C6503-698A-41CA-A42A-20B21DD4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Iqbal, Saiqa</dc:creator>
  <cp:lastModifiedBy>Joanne Boshell</cp:lastModifiedBy>
  <cp:revision>4</cp:revision>
  <dcterms:created xsi:type="dcterms:W3CDTF">2017-06-15T13:22:00Z</dcterms:created>
  <dcterms:modified xsi:type="dcterms:W3CDTF">2017-06-16T10:58:00Z</dcterms:modified>
</cp:coreProperties>
</file>