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851F3" w14:textId="77777777" w:rsidR="000F5E9D" w:rsidRPr="000F5E9D" w:rsidRDefault="000F5E9D" w:rsidP="000F5E9D">
      <w:pPr>
        <w:pStyle w:val="Heading2"/>
        <w:numPr>
          <w:ilvl w:val="0"/>
          <w:numId w:val="0"/>
        </w:numPr>
      </w:pPr>
      <w:bookmarkStart w:id="0" w:name="_Toc496297713"/>
      <w:bookmarkStart w:id="1" w:name="_GoBack"/>
      <w:bookmarkEnd w:id="1"/>
      <w:r w:rsidRPr="000F5E9D">
        <w:rPr>
          <w:lang w:val="en-US"/>
        </w:rPr>
        <w:t>4.1</w:t>
      </w:r>
      <w:r w:rsidR="000F0568">
        <w:rPr>
          <w:lang w:val="en-US"/>
        </w:rPr>
        <w:t>7</w:t>
      </w:r>
      <w:r w:rsidRPr="000F5E9D">
        <w:rPr>
          <w:lang w:val="en-US"/>
        </w:rPr>
        <w:t xml:space="preserve"> Appendix A</w:t>
      </w:r>
      <w:r w:rsidR="000F0568">
        <w:rPr>
          <w:lang w:val="en-US"/>
        </w:rPr>
        <w:t>:</w:t>
      </w:r>
      <w:r w:rsidRPr="000F5E9D">
        <w:t xml:space="preserve"> Framework for a Memorandum of Understanding between GP Practice and Private provider (MH facility)</w:t>
      </w:r>
      <w:bookmarkEnd w:id="0"/>
    </w:p>
    <w:p w14:paraId="67AC92EB" w14:textId="77777777" w:rsidR="000F5E9D" w:rsidRDefault="000F5E9D" w:rsidP="000F5E9D">
      <w:pPr>
        <w:pStyle w:val="Heading1"/>
        <w:numPr>
          <w:ilvl w:val="0"/>
          <w:numId w:val="0"/>
        </w:numPr>
        <w:rPr>
          <w:lang w:val="en-US"/>
        </w:rPr>
      </w:pPr>
    </w:p>
    <w:p w14:paraId="628D31B0" w14:textId="77777777" w:rsidR="000F5E9D" w:rsidRPr="000F5E9D" w:rsidRDefault="000F5E9D" w:rsidP="000F5E9D">
      <w:pPr>
        <w:pStyle w:val="Heading2"/>
      </w:pPr>
      <w:bookmarkStart w:id="2" w:name="_Toc465328115"/>
      <w:bookmarkStart w:id="3" w:name="_Toc465330639"/>
      <w:bookmarkStart w:id="4" w:name="_Toc468365164"/>
      <w:bookmarkStart w:id="5" w:name="_Toc488146117"/>
      <w:r w:rsidRPr="000F5E9D">
        <w:t>Background</w:t>
      </w:r>
    </w:p>
    <w:p w14:paraId="5DB8117D" w14:textId="77777777" w:rsidR="000F5E9D" w:rsidRPr="00644B6E" w:rsidRDefault="000F5E9D" w:rsidP="000F5E9D">
      <w:pPr>
        <w:pStyle w:val="Heading3"/>
      </w:pPr>
      <w:r>
        <w:t xml:space="preserve">1.1.  </w:t>
      </w:r>
      <w:r w:rsidRPr="00644B6E">
        <w:t xml:space="preserve">This Memorandum of Understanding sets out the understanding between the parties in relation to how [INSERT] “the GP Practice” will provide services to its registered patients who are resident at [INSERT] run by [INSERT] (“the Provider”).  It does not require the GP Practice to provide any services above that which it is contracted to do under its contract with NHS England. Other services are the responsibility of the Hospital or the commissioning CCG. </w:t>
      </w:r>
    </w:p>
    <w:p w14:paraId="7983DF78" w14:textId="77777777" w:rsidR="000F5E9D" w:rsidRPr="007C4635" w:rsidRDefault="000F5E9D" w:rsidP="000F5E9D">
      <w:pPr>
        <w:spacing w:before="120" w:after="120" w:line="276" w:lineRule="auto"/>
      </w:pPr>
    </w:p>
    <w:p w14:paraId="5320F07C" w14:textId="77777777" w:rsidR="000F5E9D" w:rsidRPr="000F5E9D" w:rsidRDefault="000F5E9D" w:rsidP="000F5E9D">
      <w:pPr>
        <w:pStyle w:val="Heading2"/>
      </w:pPr>
      <w:r w:rsidRPr="000F5E9D">
        <w:t>Duration</w:t>
      </w:r>
      <w:bookmarkEnd w:id="2"/>
      <w:bookmarkEnd w:id="3"/>
      <w:bookmarkEnd w:id="4"/>
      <w:bookmarkEnd w:id="5"/>
      <w:r w:rsidRPr="000F5E9D">
        <w:t xml:space="preserve"> </w:t>
      </w:r>
    </w:p>
    <w:p w14:paraId="31B6A27C" w14:textId="77777777" w:rsidR="000F5E9D" w:rsidRPr="00644B6E" w:rsidRDefault="000F5E9D" w:rsidP="000F5E9D">
      <w:pPr>
        <w:pStyle w:val="Heading3"/>
      </w:pPr>
      <w:r>
        <w:t>T</w:t>
      </w:r>
      <w:r w:rsidRPr="00644B6E">
        <w:t xml:space="preserve">his Agreement will commence on DATE and will be reviewed XXX years from this date </w:t>
      </w:r>
    </w:p>
    <w:p w14:paraId="468435EE" w14:textId="77777777" w:rsidR="000F5E9D" w:rsidRPr="000E7075" w:rsidRDefault="000F5E9D" w:rsidP="000F5E9D">
      <w:pPr>
        <w:spacing w:before="120" w:after="120" w:line="276" w:lineRule="auto"/>
        <w:ind w:left="1134" w:hanging="708"/>
        <w:jc w:val="both"/>
        <w:rPr>
          <w:rFonts w:cs="Arial"/>
          <w:szCs w:val="24"/>
        </w:rPr>
      </w:pPr>
    </w:p>
    <w:p w14:paraId="5915BEDB" w14:textId="77777777" w:rsidR="000F5E9D" w:rsidRPr="000F5E9D" w:rsidRDefault="000F5E9D" w:rsidP="000F5E9D">
      <w:pPr>
        <w:pStyle w:val="Heading2"/>
      </w:pPr>
      <w:bookmarkStart w:id="6" w:name="_Toc465328116"/>
      <w:bookmarkStart w:id="7" w:name="_Toc465330640"/>
      <w:bookmarkStart w:id="8" w:name="_Toc468365165"/>
      <w:bookmarkStart w:id="9" w:name="_Toc488146118"/>
      <w:r w:rsidRPr="000F5E9D">
        <w:t>Responsibilities</w:t>
      </w:r>
      <w:bookmarkEnd w:id="6"/>
      <w:bookmarkEnd w:id="7"/>
      <w:bookmarkEnd w:id="8"/>
      <w:bookmarkEnd w:id="9"/>
    </w:p>
    <w:p w14:paraId="3247B7C5" w14:textId="77777777" w:rsidR="000F5E9D" w:rsidRPr="00644B6E" w:rsidRDefault="000F5E9D" w:rsidP="000F5E9D">
      <w:pPr>
        <w:pStyle w:val="Heading3"/>
      </w:pPr>
      <w:r w:rsidRPr="00644B6E">
        <w:t>The GP Practice shall provide all essential services as required under the terms of their contract with NHS England to its registered patients including, but not limited to the following:</w:t>
      </w:r>
    </w:p>
    <w:p w14:paraId="0461BCBD" w14:textId="77777777" w:rsidR="000F5E9D" w:rsidRPr="0062122E" w:rsidRDefault="000F5E9D" w:rsidP="000F5E9D">
      <w:pPr>
        <w:pStyle w:val="ListParagraph"/>
        <w:spacing w:before="120" w:after="120" w:line="276" w:lineRule="auto"/>
        <w:ind w:left="786"/>
        <w:jc w:val="both"/>
        <w:rPr>
          <w:rFonts w:cs="Arial"/>
          <w:szCs w:val="24"/>
        </w:rPr>
      </w:pPr>
    </w:p>
    <w:p w14:paraId="34924CAB" w14:textId="77777777" w:rsidR="000F5E9D" w:rsidRPr="00644B6E" w:rsidRDefault="000F5E9D" w:rsidP="000F5E9D">
      <w:pPr>
        <w:pStyle w:val="ListParagraph"/>
        <w:numPr>
          <w:ilvl w:val="0"/>
          <w:numId w:val="5"/>
        </w:numPr>
        <w:spacing w:before="120" w:after="120" w:line="276" w:lineRule="auto"/>
        <w:jc w:val="both"/>
        <w:rPr>
          <w:rFonts w:cs="Arial"/>
          <w:szCs w:val="24"/>
        </w:rPr>
      </w:pPr>
      <w:r w:rsidRPr="00644B6E">
        <w:rPr>
          <w:rFonts w:cs="Arial"/>
          <w:szCs w:val="24"/>
        </w:rPr>
        <w:t>appointments at the practice and [include description of when a visit may be required and for what reasons in a manner determined by the</w:t>
      </w:r>
      <w:r w:rsidRPr="00644B6E">
        <w:rPr>
          <w:rFonts w:cs="Arial"/>
          <w:color w:val="FF0000"/>
          <w:szCs w:val="24"/>
        </w:rPr>
        <w:t xml:space="preserve"> </w:t>
      </w:r>
      <w:r w:rsidRPr="00644B6E">
        <w:rPr>
          <w:rFonts w:cs="Arial"/>
          <w:szCs w:val="24"/>
        </w:rPr>
        <w:t>practice</w:t>
      </w:r>
      <w:r w:rsidRPr="00644B6E">
        <w:rPr>
          <w:rFonts w:cs="Arial"/>
          <w:color w:val="FF0000"/>
          <w:szCs w:val="24"/>
        </w:rPr>
        <w:t xml:space="preserve"> </w:t>
      </w:r>
      <w:r w:rsidRPr="00644B6E">
        <w:rPr>
          <w:rFonts w:cs="Arial"/>
          <w:i/>
          <w:szCs w:val="24"/>
        </w:rPr>
        <w:t>(e.g. excluding organisational convenience which would be considered an enhanced service funded by either the CCG or the private hospital</w:t>
      </w:r>
      <w:r w:rsidRPr="00644B6E">
        <w:rPr>
          <w:rFonts w:cs="Arial"/>
          <w:szCs w:val="24"/>
        </w:rPr>
        <w:t>);</w:t>
      </w:r>
    </w:p>
    <w:p w14:paraId="6B9403D3" w14:textId="77777777" w:rsidR="000F5E9D" w:rsidRPr="00644B6E" w:rsidRDefault="000F5E9D" w:rsidP="000F5E9D">
      <w:pPr>
        <w:pStyle w:val="ListParagraph"/>
        <w:numPr>
          <w:ilvl w:val="0"/>
          <w:numId w:val="5"/>
        </w:numPr>
        <w:spacing w:before="120" w:after="120" w:line="276" w:lineRule="auto"/>
        <w:jc w:val="both"/>
        <w:rPr>
          <w:rFonts w:cs="Arial"/>
          <w:szCs w:val="24"/>
        </w:rPr>
      </w:pPr>
      <w:r w:rsidRPr="00644B6E">
        <w:rPr>
          <w:rFonts w:cs="Arial"/>
          <w:szCs w:val="24"/>
        </w:rPr>
        <w:t>Diagnosis and treatment plans in respect of conditions which are not directly related to the condition for which the Provider has been commissioned to provide care to the registered patient and/or which are not under the management of a consultant engaged by the Provider</w:t>
      </w:r>
    </w:p>
    <w:p w14:paraId="2863AF56" w14:textId="77777777" w:rsidR="000F5E9D" w:rsidRPr="00644B6E" w:rsidRDefault="000F5E9D" w:rsidP="000F5E9D">
      <w:pPr>
        <w:pStyle w:val="ListParagraph"/>
        <w:numPr>
          <w:ilvl w:val="0"/>
          <w:numId w:val="5"/>
        </w:numPr>
        <w:spacing w:before="120" w:after="120" w:line="276" w:lineRule="auto"/>
        <w:jc w:val="both"/>
        <w:rPr>
          <w:rFonts w:cs="Arial"/>
          <w:szCs w:val="24"/>
        </w:rPr>
      </w:pPr>
      <w:r w:rsidRPr="00644B6E">
        <w:rPr>
          <w:rFonts w:cs="Arial"/>
          <w:szCs w:val="24"/>
        </w:rPr>
        <w:t>Referral to other services as necessary;</w:t>
      </w:r>
    </w:p>
    <w:p w14:paraId="134A4F7C" w14:textId="77777777" w:rsidR="000F5E9D" w:rsidRPr="00644B6E" w:rsidRDefault="000F5E9D" w:rsidP="000F5E9D">
      <w:pPr>
        <w:pStyle w:val="ListParagraph"/>
        <w:numPr>
          <w:ilvl w:val="0"/>
          <w:numId w:val="5"/>
        </w:numPr>
        <w:spacing w:before="120" w:after="120" w:line="276" w:lineRule="auto"/>
        <w:jc w:val="both"/>
        <w:rPr>
          <w:rFonts w:cs="Arial"/>
          <w:szCs w:val="24"/>
        </w:rPr>
      </w:pPr>
      <w:r w:rsidRPr="00644B6E">
        <w:rPr>
          <w:rFonts w:cs="Arial"/>
          <w:szCs w:val="24"/>
        </w:rPr>
        <w:t xml:space="preserve">Routine screening programmes </w:t>
      </w:r>
    </w:p>
    <w:p w14:paraId="24D80856" w14:textId="77777777" w:rsidR="000F5E9D" w:rsidRPr="0062122E" w:rsidRDefault="000F5E9D" w:rsidP="000F5E9D">
      <w:pPr>
        <w:pStyle w:val="ListParagraph"/>
        <w:spacing w:before="120" w:after="120" w:line="276" w:lineRule="auto"/>
        <w:ind w:left="1212"/>
        <w:jc w:val="both"/>
        <w:rPr>
          <w:rFonts w:cs="Arial"/>
          <w:szCs w:val="24"/>
        </w:rPr>
      </w:pPr>
    </w:p>
    <w:p w14:paraId="0EC49F3D" w14:textId="77777777" w:rsidR="000F5E9D" w:rsidRPr="00644B6E" w:rsidRDefault="000F5E9D" w:rsidP="000F5E9D">
      <w:pPr>
        <w:pStyle w:val="Heading3"/>
      </w:pPr>
      <w:r>
        <w:t xml:space="preserve">3.2. </w:t>
      </w:r>
      <w:r w:rsidRPr="00644B6E">
        <w:t xml:space="preserve">The provider shall provide necessary care and support to the patient including but not limited to the following: </w:t>
      </w:r>
    </w:p>
    <w:p w14:paraId="281DB264" w14:textId="77777777" w:rsidR="000F5E9D" w:rsidRPr="000F5E9D" w:rsidRDefault="000F5E9D" w:rsidP="000F5E9D">
      <w:pPr>
        <w:pStyle w:val="ListParagraph"/>
        <w:numPr>
          <w:ilvl w:val="0"/>
          <w:numId w:val="6"/>
        </w:numPr>
        <w:spacing w:before="120" w:after="120" w:line="276" w:lineRule="auto"/>
        <w:jc w:val="both"/>
        <w:rPr>
          <w:rFonts w:cs="Arial"/>
          <w:szCs w:val="24"/>
        </w:rPr>
      </w:pPr>
      <w:r w:rsidRPr="000F5E9D">
        <w:rPr>
          <w:rFonts w:cs="Arial"/>
          <w:szCs w:val="24"/>
        </w:rPr>
        <w:t>Every opportunity for the resident to attend surgery during core hours</w:t>
      </w:r>
    </w:p>
    <w:p w14:paraId="165167E5" w14:textId="77777777" w:rsidR="000F5E9D" w:rsidRPr="000F5E9D" w:rsidRDefault="000F5E9D" w:rsidP="000F5E9D">
      <w:pPr>
        <w:pStyle w:val="ListParagraph"/>
        <w:numPr>
          <w:ilvl w:val="0"/>
          <w:numId w:val="6"/>
        </w:numPr>
        <w:spacing w:before="120" w:after="120" w:line="276" w:lineRule="auto"/>
        <w:jc w:val="both"/>
        <w:rPr>
          <w:rFonts w:cs="Arial"/>
          <w:szCs w:val="24"/>
        </w:rPr>
      </w:pPr>
      <w:r w:rsidRPr="000F5E9D">
        <w:rPr>
          <w:rFonts w:cs="Arial"/>
          <w:szCs w:val="24"/>
        </w:rPr>
        <w:lastRenderedPageBreak/>
        <w:t>24 hour psychiatrist cover which enables all mental health and behavioural problems to be covered “in house” with no need to consult GP.</w:t>
      </w:r>
    </w:p>
    <w:p w14:paraId="4C0B6D32" w14:textId="77777777" w:rsidR="000F5E9D" w:rsidRPr="000F5E9D" w:rsidRDefault="000F5E9D" w:rsidP="000F5E9D">
      <w:pPr>
        <w:pStyle w:val="ListParagraph"/>
        <w:numPr>
          <w:ilvl w:val="0"/>
          <w:numId w:val="6"/>
        </w:numPr>
        <w:spacing w:before="120" w:after="120" w:line="276" w:lineRule="auto"/>
        <w:jc w:val="both"/>
        <w:rPr>
          <w:rFonts w:cs="Arial"/>
          <w:szCs w:val="24"/>
        </w:rPr>
      </w:pPr>
      <w:r w:rsidRPr="000F5E9D">
        <w:rPr>
          <w:rFonts w:cs="Arial"/>
          <w:szCs w:val="24"/>
        </w:rPr>
        <w:t>24 hour nursing cover including for any incidents arising as a result of the condition for which the patient is receiving treatment with the Provider for example in relation to self harm or other physical consequences of the condition or treatment.</w:t>
      </w:r>
    </w:p>
    <w:p w14:paraId="6D68E90F" w14:textId="77777777" w:rsidR="000F5E9D" w:rsidRPr="000F5E9D" w:rsidRDefault="000F5E9D" w:rsidP="000F5E9D">
      <w:pPr>
        <w:pStyle w:val="ListParagraph"/>
        <w:numPr>
          <w:ilvl w:val="0"/>
          <w:numId w:val="6"/>
        </w:numPr>
        <w:spacing w:before="120" w:after="120" w:line="276" w:lineRule="auto"/>
        <w:jc w:val="both"/>
        <w:rPr>
          <w:rFonts w:cs="Arial"/>
          <w:szCs w:val="24"/>
        </w:rPr>
      </w:pPr>
      <w:r w:rsidRPr="000F5E9D">
        <w:rPr>
          <w:rFonts w:cs="Arial"/>
          <w:szCs w:val="24"/>
        </w:rPr>
        <w:t>Monitoring of medication prescribed by the Provider including through blood testing.</w:t>
      </w:r>
    </w:p>
    <w:p w14:paraId="6CC1D2BE" w14:textId="77777777" w:rsidR="000F5E9D" w:rsidRPr="000F5E9D" w:rsidRDefault="000F5E9D" w:rsidP="000F5E9D">
      <w:pPr>
        <w:pStyle w:val="ListParagraph"/>
        <w:numPr>
          <w:ilvl w:val="0"/>
          <w:numId w:val="6"/>
        </w:numPr>
        <w:spacing w:before="120" w:after="120" w:line="276" w:lineRule="auto"/>
        <w:jc w:val="both"/>
        <w:rPr>
          <w:rFonts w:cs="Arial"/>
          <w:szCs w:val="24"/>
        </w:rPr>
      </w:pPr>
      <w:r w:rsidRPr="000F5E9D">
        <w:rPr>
          <w:rFonts w:cs="Arial"/>
          <w:szCs w:val="24"/>
        </w:rPr>
        <w:t xml:space="preserve">Access to psychology, OT and speech and Language therapy without recourse to the GP Practice </w:t>
      </w:r>
    </w:p>
    <w:p w14:paraId="62BEAB3F" w14:textId="77777777" w:rsidR="000F5E9D" w:rsidRPr="000F5E9D" w:rsidRDefault="000F5E9D" w:rsidP="000F5E9D">
      <w:pPr>
        <w:pStyle w:val="ListParagraph"/>
        <w:numPr>
          <w:ilvl w:val="0"/>
          <w:numId w:val="6"/>
        </w:numPr>
        <w:spacing w:before="120" w:after="120" w:line="276" w:lineRule="auto"/>
        <w:jc w:val="both"/>
        <w:rPr>
          <w:rFonts w:cs="Arial"/>
          <w:szCs w:val="24"/>
        </w:rPr>
      </w:pPr>
      <w:r w:rsidRPr="000F5E9D">
        <w:rPr>
          <w:rFonts w:cs="Arial"/>
          <w:szCs w:val="24"/>
        </w:rPr>
        <w:t>All aspects of MHA and MCA are covered by in house practice and training.</w:t>
      </w:r>
    </w:p>
    <w:p w14:paraId="47BC8334" w14:textId="77777777" w:rsidR="000F5E9D" w:rsidRPr="000E7075" w:rsidRDefault="000F5E9D" w:rsidP="000F5E9D">
      <w:pPr>
        <w:spacing w:before="120" w:after="120" w:line="276" w:lineRule="auto"/>
        <w:jc w:val="both"/>
        <w:rPr>
          <w:rFonts w:cs="Arial"/>
          <w:szCs w:val="24"/>
        </w:rPr>
      </w:pPr>
    </w:p>
    <w:p w14:paraId="26022A46" w14:textId="77777777" w:rsidR="000F5E9D" w:rsidRPr="000F5E9D" w:rsidRDefault="000F5E9D" w:rsidP="000F5E9D">
      <w:pPr>
        <w:pStyle w:val="Heading2"/>
      </w:pPr>
      <w:bookmarkStart w:id="10" w:name="_Toc465328117"/>
      <w:bookmarkStart w:id="11" w:name="_Toc465330641"/>
      <w:bookmarkStart w:id="12" w:name="_Toc468365166"/>
      <w:bookmarkStart w:id="13" w:name="_Toc488146119"/>
      <w:r w:rsidRPr="000F5E9D">
        <w:t>Information</w:t>
      </w:r>
    </w:p>
    <w:p w14:paraId="3C1C84BD" w14:textId="77777777" w:rsidR="000F5E9D" w:rsidRDefault="000F5E9D" w:rsidP="000F5E9D">
      <w:pPr>
        <w:pStyle w:val="Heading3"/>
      </w:pPr>
      <w:r w:rsidRPr="002D3FAF">
        <w:t>[</w:t>
      </w:r>
      <w:r w:rsidRPr="0062122E">
        <w:t xml:space="preserve">Insert </w:t>
      </w:r>
      <w:r>
        <w:t>an</w:t>
      </w:r>
      <w:r w:rsidRPr="0062122E">
        <w:t xml:space="preserve"> agreement around ensuring the GP has the necessary information in relation to each patient including contact arrangements should the GP require further information</w:t>
      </w:r>
      <w:r w:rsidRPr="002D3FAF">
        <w:t>].</w:t>
      </w:r>
      <w:r>
        <w:t xml:space="preserve"> </w:t>
      </w:r>
    </w:p>
    <w:p w14:paraId="2D1D212D" w14:textId="77777777" w:rsidR="000F5E9D" w:rsidRDefault="000F5E9D" w:rsidP="000F5E9D">
      <w:pPr>
        <w:pStyle w:val="Heading3"/>
      </w:pPr>
      <w:r>
        <w:t xml:space="preserve">Both parties recognise the importance to patient safety of ensuring that when the other party is treating the patient they are doing so in full knowledge of the care and treatment plans in place under the care of the other party. </w:t>
      </w:r>
    </w:p>
    <w:p w14:paraId="518E7F02" w14:textId="77777777" w:rsidR="000F5E9D" w:rsidRDefault="000F5E9D" w:rsidP="000F5E9D">
      <w:pPr>
        <w:pStyle w:val="Heading3"/>
      </w:pPr>
      <w:r>
        <w:t>In order to achieve this, the parties will ensure that up to date and accurate information about the current treatment regime is communicated to the other party.</w:t>
      </w:r>
    </w:p>
    <w:p w14:paraId="62AB4A63" w14:textId="77777777" w:rsidR="000F5E9D" w:rsidRDefault="000F5E9D" w:rsidP="000F5E9D">
      <w:pPr>
        <w:pStyle w:val="Heading3"/>
      </w:pPr>
      <w:r>
        <w:t xml:space="preserve">Where new patients are to be registered the hospital undertakes to supply a full and accurate statement of the current clinical regime, and to update this where this changes. Where necessary when a patient is attending the practice the hospital will ensure that a competent member of the hospital staff accompanies the patient to provide information about the Treatment regime </w:t>
      </w:r>
    </w:p>
    <w:p w14:paraId="6051AFEC" w14:textId="77777777" w:rsidR="000F5E9D" w:rsidRPr="007C4635" w:rsidRDefault="000F5E9D" w:rsidP="000F5E9D">
      <w:pPr>
        <w:spacing w:before="120" w:after="120" w:line="276" w:lineRule="auto"/>
      </w:pPr>
    </w:p>
    <w:p w14:paraId="38D6E985" w14:textId="77777777" w:rsidR="000F5E9D" w:rsidRPr="000F5E9D" w:rsidRDefault="000F5E9D" w:rsidP="000F5E9D">
      <w:pPr>
        <w:pStyle w:val="Heading2"/>
      </w:pPr>
      <w:r w:rsidRPr="000F5E9D">
        <w:t>Date and arrangements for review</w:t>
      </w:r>
      <w:bookmarkEnd w:id="10"/>
      <w:bookmarkEnd w:id="11"/>
      <w:bookmarkEnd w:id="12"/>
      <w:bookmarkEnd w:id="13"/>
    </w:p>
    <w:p w14:paraId="27C965AA" w14:textId="77777777" w:rsidR="00D2468D" w:rsidRDefault="000F5E9D" w:rsidP="000F5E9D">
      <w:pPr>
        <w:pStyle w:val="Heading3"/>
      </w:pPr>
      <w:r w:rsidRPr="0025290F">
        <w:t>The Parties agree that if one or more of the circumstances/assumptions on which this agreement is based should change, then the Parties agree that they should consult with each other in good faith as to how to reconsider the extent to which the provisions of this agreement are valid or need amending to meet the needs of the patient</w:t>
      </w:r>
    </w:p>
    <w:p w14:paraId="744DF622" w14:textId="77777777" w:rsidR="00F97763" w:rsidRPr="00171D13" w:rsidRDefault="00F97763" w:rsidP="00F97763">
      <w:pPr>
        <w:pStyle w:val="Heading2"/>
      </w:pPr>
      <w:r w:rsidRPr="00171D13">
        <w:t>Signatories</w:t>
      </w:r>
    </w:p>
    <w:p w14:paraId="6DE86C36" w14:textId="77777777" w:rsidR="00F97763" w:rsidRPr="000E7075" w:rsidRDefault="00F97763" w:rsidP="00F97763">
      <w:pPr>
        <w:pStyle w:val="ListParagraph"/>
        <w:spacing w:before="200" w:after="60"/>
        <w:ind w:left="426"/>
        <w:jc w:val="both"/>
        <w:rPr>
          <w:rFonts w:cs="Arial"/>
          <w:szCs w:val="24"/>
        </w:rPr>
      </w:pPr>
    </w:p>
    <w:p w14:paraId="088C492F" w14:textId="77777777" w:rsidR="00F97763" w:rsidRPr="00543D50" w:rsidRDefault="00F97763" w:rsidP="00F97763">
      <w:pPr>
        <w:spacing w:before="200" w:after="60"/>
        <w:jc w:val="both"/>
        <w:rPr>
          <w:b/>
        </w:rPr>
      </w:pPr>
      <w:r w:rsidRPr="00543D50">
        <w:rPr>
          <w:b/>
        </w:rPr>
        <w:t xml:space="preserve">For and on behalf of the </w:t>
      </w:r>
      <w:r>
        <w:rPr>
          <w:b/>
        </w:rPr>
        <w:t>GP Practice</w:t>
      </w:r>
      <w:r w:rsidRPr="00543D50">
        <w:rPr>
          <w:b/>
        </w:rPr>
        <w:t>;</w:t>
      </w:r>
    </w:p>
    <w:p w14:paraId="08E04367" w14:textId="77777777" w:rsidR="00F97763" w:rsidRPr="00EE3DB8" w:rsidRDefault="00F97763" w:rsidP="00F97763">
      <w:pPr>
        <w:spacing w:before="200" w:after="60"/>
        <w:jc w:val="both"/>
        <w:rPr>
          <w:b/>
        </w:rPr>
      </w:pPr>
    </w:p>
    <w:p w14:paraId="1E868A28" w14:textId="77777777" w:rsidR="00F97763" w:rsidRPr="00EE3DB8" w:rsidRDefault="00F97763" w:rsidP="00F97763">
      <w:pPr>
        <w:tabs>
          <w:tab w:val="left" w:pos="2268"/>
        </w:tabs>
        <w:spacing w:before="200" w:after="60"/>
        <w:ind w:left="426"/>
        <w:jc w:val="both"/>
        <w:rPr>
          <w:b/>
        </w:rPr>
      </w:pPr>
      <w:r w:rsidRPr="00EE3DB8">
        <w:rPr>
          <w:b/>
        </w:rPr>
        <w:t xml:space="preserve">SIGNED BY: </w:t>
      </w:r>
      <w:r w:rsidRPr="00EE3DB8">
        <w:rPr>
          <w:b/>
        </w:rPr>
        <w:tab/>
        <w:t>________________________________</w:t>
      </w:r>
    </w:p>
    <w:p w14:paraId="2A6EDBCD" w14:textId="77777777" w:rsidR="00F97763" w:rsidRPr="00EE3DB8" w:rsidRDefault="00F97763" w:rsidP="00F97763">
      <w:pPr>
        <w:spacing w:before="200" w:after="60"/>
        <w:ind w:left="426"/>
        <w:jc w:val="both"/>
        <w:rPr>
          <w:b/>
        </w:rPr>
      </w:pPr>
    </w:p>
    <w:p w14:paraId="79F314F2" w14:textId="77777777" w:rsidR="00F97763" w:rsidRPr="00EE3DB8" w:rsidRDefault="00F97763" w:rsidP="00F97763">
      <w:pPr>
        <w:tabs>
          <w:tab w:val="left" w:pos="2268"/>
        </w:tabs>
        <w:spacing w:before="200" w:after="60"/>
        <w:ind w:left="426"/>
        <w:jc w:val="both"/>
        <w:rPr>
          <w:b/>
        </w:rPr>
      </w:pPr>
      <w:r w:rsidRPr="00EE3DB8">
        <w:rPr>
          <w:b/>
        </w:rPr>
        <w:t>Name:</w:t>
      </w:r>
      <w:r w:rsidRPr="00EE3DB8">
        <w:rPr>
          <w:b/>
        </w:rPr>
        <w:tab/>
        <w:t>________________________________</w:t>
      </w:r>
    </w:p>
    <w:p w14:paraId="7D778112" w14:textId="77777777" w:rsidR="00F97763" w:rsidRDefault="00F97763" w:rsidP="00F97763">
      <w:pPr>
        <w:spacing w:before="200" w:after="60"/>
        <w:ind w:left="426"/>
        <w:jc w:val="both"/>
        <w:rPr>
          <w:b/>
        </w:rPr>
      </w:pPr>
      <w:r w:rsidRPr="00EE3DB8">
        <w:rPr>
          <w:b/>
        </w:rPr>
        <w:t xml:space="preserve">                                    </w:t>
      </w:r>
    </w:p>
    <w:p w14:paraId="6C9F84CD" w14:textId="77777777" w:rsidR="00F97763" w:rsidRPr="00EE3DB8" w:rsidRDefault="00F97763" w:rsidP="00F97763">
      <w:pPr>
        <w:tabs>
          <w:tab w:val="left" w:pos="2268"/>
        </w:tabs>
        <w:spacing w:before="200" w:after="60"/>
        <w:ind w:left="426"/>
        <w:jc w:val="both"/>
        <w:rPr>
          <w:b/>
        </w:rPr>
      </w:pPr>
      <w:r w:rsidRPr="00EE3DB8">
        <w:rPr>
          <w:b/>
        </w:rPr>
        <w:t>Designation:</w:t>
      </w:r>
      <w:r w:rsidRPr="00EE3DB8">
        <w:rPr>
          <w:b/>
        </w:rPr>
        <w:tab/>
        <w:t>________________________________</w:t>
      </w:r>
    </w:p>
    <w:p w14:paraId="3EB690A7" w14:textId="77777777" w:rsidR="00F97763" w:rsidRPr="00EE3DB8" w:rsidRDefault="00F97763" w:rsidP="00F97763">
      <w:pPr>
        <w:spacing w:before="200" w:after="60"/>
        <w:ind w:left="426"/>
        <w:jc w:val="both"/>
        <w:rPr>
          <w:b/>
        </w:rPr>
      </w:pPr>
      <w:r w:rsidRPr="00EE3DB8">
        <w:rPr>
          <w:b/>
        </w:rPr>
        <w:t xml:space="preserve">                        </w:t>
      </w:r>
    </w:p>
    <w:p w14:paraId="7CD82AF5" w14:textId="77777777" w:rsidR="00F97763" w:rsidRPr="00EE3DB8" w:rsidRDefault="00F97763" w:rsidP="00F97763">
      <w:pPr>
        <w:tabs>
          <w:tab w:val="left" w:pos="2268"/>
        </w:tabs>
        <w:spacing w:before="200" w:after="60"/>
        <w:ind w:left="426"/>
        <w:jc w:val="both"/>
        <w:rPr>
          <w:b/>
        </w:rPr>
      </w:pPr>
      <w:r w:rsidRPr="00EE3DB8">
        <w:rPr>
          <w:b/>
        </w:rPr>
        <w:t xml:space="preserve">Date: </w:t>
      </w:r>
      <w:r w:rsidRPr="00EE3DB8">
        <w:rPr>
          <w:b/>
        </w:rPr>
        <w:tab/>
        <w:t>________________________________</w:t>
      </w:r>
    </w:p>
    <w:p w14:paraId="0BF50679" w14:textId="77777777" w:rsidR="00F97763" w:rsidRPr="00EE3DB8" w:rsidRDefault="00F97763" w:rsidP="00F97763">
      <w:pPr>
        <w:spacing w:before="200" w:after="60"/>
        <w:jc w:val="both"/>
        <w:rPr>
          <w:b/>
        </w:rPr>
      </w:pPr>
    </w:p>
    <w:p w14:paraId="52060109" w14:textId="77777777" w:rsidR="00F97763" w:rsidRPr="00EE3DB8" w:rsidRDefault="00F97763" w:rsidP="00F97763">
      <w:pPr>
        <w:spacing w:before="200" w:after="60"/>
        <w:ind w:left="426"/>
        <w:jc w:val="both"/>
        <w:rPr>
          <w:b/>
        </w:rPr>
      </w:pPr>
      <w:r w:rsidRPr="00EE3DB8">
        <w:rPr>
          <w:b/>
        </w:rPr>
        <w:t xml:space="preserve">For and on behalf of </w:t>
      </w:r>
      <w:r>
        <w:rPr>
          <w:b/>
        </w:rPr>
        <w:t>the provider;</w:t>
      </w:r>
    </w:p>
    <w:p w14:paraId="4B628F22" w14:textId="77777777" w:rsidR="00F97763" w:rsidRPr="00EE3DB8" w:rsidRDefault="00F97763" w:rsidP="00F97763">
      <w:pPr>
        <w:spacing w:before="200" w:after="60"/>
        <w:ind w:left="426"/>
        <w:jc w:val="both"/>
        <w:rPr>
          <w:b/>
        </w:rPr>
      </w:pPr>
    </w:p>
    <w:p w14:paraId="1F19F587" w14:textId="77777777" w:rsidR="00F97763" w:rsidRPr="00EE3DB8" w:rsidRDefault="00F97763" w:rsidP="00F97763">
      <w:pPr>
        <w:tabs>
          <w:tab w:val="left" w:pos="2268"/>
        </w:tabs>
        <w:spacing w:before="200" w:after="60"/>
        <w:ind w:left="426"/>
        <w:jc w:val="both"/>
        <w:rPr>
          <w:b/>
        </w:rPr>
      </w:pPr>
      <w:r w:rsidRPr="00EE3DB8">
        <w:rPr>
          <w:b/>
        </w:rPr>
        <w:t xml:space="preserve">SIGNED BY: </w:t>
      </w:r>
      <w:r w:rsidRPr="00EE3DB8">
        <w:rPr>
          <w:b/>
        </w:rPr>
        <w:tab/>
        <w:t>________________________________</w:t>
      </w:r>
    </w:p>
    <w:p w14:paraId="41ECFE48" w14:textId="77777777" w:rsidR="00F97763" w:rsidRPr="00EE3DB8" w:rsidRDefault="00F97763" w:rsidP="00F97763">
      <w:pPr>
        <w:spacing w:before="200" w:after="60"/>
        <w:ind w:left="426"/>
        <w:jc w:val="both"/>
        <w:rPr>
          <w:b/>
        </w:rPr>
      </w:pPr>
    </w:p>
    <w:p w14:paraId="3BE3D983" w14:textId="77777777" w:rsidR="00F97763" w:rsidRPr="00EE3DB8" w:rsidRDefault="00F97763" w:rsidP="00F97763">
      <w:pPr>
        <w:tabs>
          <w:tab w:val="left" w:pos="2268"/>
        </w:tabs>
        <w:spacing w:before="200" w:after="60"/>
        <w:ind w:left="426"/>
        <w:jc w:val="both"/>
        <w:rPr>
          <w:b/>
        </w:rPr>
      </w:pPr>
      <w:r w:rsidRPr="00EE3DB8">
        <w:rPr>
          <w:b/>
        </w:rPr>
        <w:t>Name:</w:t>
      </w:r>
      <w:r w:rsidRPr="00EE3DB8">
        <w:rPr>
          <w:b/>
        </w:rPr>
        <w:tab/>
        <w:t>________________________________</w:t>
      </w:r>
    </w:p>
    <w:p w14:paraId="2F1C49C3" w14:textId="77777777" w:rsidR="00F97763" w:rsidRDefault="00F97763" w:rsidP="00F97763">
      <w:pPr>
        <w:spacing w:before="200" w:after="60"/>
        <w:ind w:left="426"/>
        <w:jc w:val="both"/>
        <w:rPr>
          <w:b/>
        </w:rPr>
      </w:pPr>
      <w:r w:rsidRPr="00EE3DB8">
        <w:rPr>
          <w:b/>
        </w:rPr>
        <w:t xml:space="preserve">                                    </w:t>
      </w:r>
    </w:p>
    <w:p w14:paraId="6B468924" w14:textId="77777777" w:rsidR="00F97763" w:rsidRPr="00EE3DB8" w:rsidRDefault="00F97763" w:rsidP="00F97763">
      <w:pPr>
        <w:tabs>
          <w:tab w:val="left" w:pos="2268"/>
        </w:tabs>
        <w:spacing w:before="200" w:after="60"/>
        <w:ind w:left="426"/>
        <w:jc w:val="both"/>
        <w:rPr>
          <w:b/>
        </w:rPr>
      </w:pPr>
      <w:r w:rsidRPr="00EE3DB8">
        <w:rPr>
          <w:b/>
        </w:rPr>
        <w:t>Designation:</w:t>
      </w:r>
      <w:r w:rsidRPr="00EE3DB8">
        <w:rPr>
          <w:b/>
        </w:rPr>
        <w:tab/>
        <w:t>________________________________</w:t>
      </w:r>
    </w:p>
    <w:p w14:paraId="0C0818FA" w14:textId="77777777" w:rsidR="00F97763" w:rsidRPr="00EE3DB8" w:rsidRDefault="00F97763" w:rsidP="00F97763">
      <w:pPr>
        <w:spacing w:before="200" w:after="60"/>
        <w:ind w:left="426"/>
        <w:jc w:val="both"/>
        <w:rPr>
          <w:b/>
        </w:rPr>
      </w:pPr>
      <w:r w:rsidRPr="00EE3DB8">
        <w:rPr>
          <w:b/>
        </w:rPr>
        <w:t xml:space="preserve">                        </w:t>
      </w:r>
    </w:p>
    <w:p w14:paraId="2DB2DBB4" w14:textId="77777777" w:rsidR="00F97763" w:rsidRPr="00EE3DB8" w:rsidRDefault="00F97763" w:rsidP="00F97763">
      <w:pPr>
        <w:tabs>
          <w:tab w:val="left" w:pos="2268"/>
        </w:tabs>
        <w:spacing w:before="200" w:after="60"/>
        <w:ind w:left="426"/>
        <w:jc w:val="both"/>
        <w:rPr>
          <w:b/>
        </w:rPr>
      </w:pPr>
      <w:r w:rsidRPr="00EE3DB8">
        <w:rPr>
          <w:b/>
        </w:rPr>
        <w:t xml:space="preserve">Date: </w:t>
      </w:r>
      <w:r w:rsidRPr="00EE3DB8">
        <w:rPr>
          <w:b/>
        </w:rPr>
        <w:tab/>
        <w:t>________________________________</w:t>
      </w:r>
    </w:p>
    <w:p w14:paraId="41A35AAA" w14:textId="77777777" w:rsidR="00F97763" w:rsidRDefault="00F97763" w:rsidP="00F97763">
      <w:pPr>
        <w:spacing w:before="200" w:after="60"/>
        <w:jc w:val="both"/>
        <w:rPr>
          <w:b/>
        </w:rPr>
      </w:pPr>
    </w:p>
    <w:sectPr w:rsidR="00F97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68D4"/>
    <w:multiLevelType w:val="hybridMultilevel"/>
    <w:tmpl w:val="43BE5CE0"/>
    <w:lvl w:ilvl="0" w:tplc="0809000F">
      <w:start w:val="1"/>
      <w:numFmt w:val="decimal"/>
      <w:lvlText w:val="%1."/>
      <w:lvlJc w:val="left"/>
      <w:pPr>
        <w:ind w:left="720" w:hanging="360"/>
      </w:pPr>
      <w:rPr>
        <w:rFonts w:hint="default"/>
      </w:rPr>
    </w:lvl>
    <w:lvl w:ilvl="1" w:tplc="E73CA98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919D8"/>
    <w:multiLevelType w:val="hybridMultilevel"/>
    <w:tmpl w:val="43BE5CE0"/>
    <w:lvl w:ilvl="0" w:tplc="0809000F">
      <w:start w:val="1"/>
      <w:numFmt w:val="decimal"/>
      <w:lvlText w:val="%1."/>
      <w:lvlJc w:val="left"/>
      <w:pPr>
        <w:ind w:left="720" w:hanging="360"/>
      </w:pPr>
      <w:rPr>
        <w:rFonts w:hint="default"/>
      </w:rPr>
    </w:lvl>
    <w:lvl w:ilvl="1" w:tplc="E73CA98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A5A4B"/>
    <w:multiLevelType w:val="hybridMultilevel"/>
    <w:tmpl w:val="43BE5CE0"/>
    <w:lvl w:ilvl="0" w:tplc="0809000F">
      <w:start w:val="1"/>
      <w:numFmt w:val="decimal"/>
      <w:lvlText w:val="%1."/>
      <w:lvlJc w:val="left"/>
      <w:pPr>
        <w:ind w:left="720" w:hanging="360"/>
      </w:pPr>
      <w:rPr>
        <w:rFonts w:hint="default"/>
      </w:rPr>
    </w:lvl>
    <w:lvl w:ilvl="1" w:tplc="E73CA98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D55FA7"/>
    <w:multiLevelType w:val="multilevel"/>
    <w:tmpl w:val="8EEECF84"/>
    <w:lvl w:ilvl="0">
      <w:start w:val="1"/>
      <w:numFmt w:val="decimal"/>
      <w:lvlText w:val="%1."/>
      <w:lvlJc w:val="left"/>
      <w:pPr>
        <w:ind w:left="720" w:hanging="360"/>
      </w:p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244E0BD9"/>
    <w:multiLevelType w:val="multilevel"/>
    <w:tmpl w:val="AE0A59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sz w:val="24"/>
        <w:szCs w:val="24"/>
      </w:rPr>
    </w:lvl>
    <w:lvl w:ilvl="3">
      <w:start w:val="1"/>
      <w:numFmt w:val="decimal"/>
      <w:pStyle w:val="Heading4"/>
      <w:lvlText w:val="%1.%2.%3.%4"/>
      <w:lvlJc w:val="left"/>
      <w:pPr>
        <w:ind w:left="864" w:hanging="864"/>
      </w:pPr>
      <w:rPr>
        <w:rFonts w:hint="default"/>
        <w:b w:val="0"/>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E9C7A32"/>
    <w:multiLevelType w:val="hybridMultilevel"/>
    <w:tmpl w:val="526091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9D"/>
    <w:rsid w:val="000F0568"/>
    <w:rsid w:val="000F5E9D"/>
    <w:rsid w:val="005117BB"/>
    <w:rsid w:val="005E62DF"/>
    <w:rsid w:val="006C0315"/>
    <w:rsid w:val="00D2468D"/>
    <w:rsid w:val="00E22A4A"/>
    <w:rsid w:val="00E6608C"/>
    <w:rsid w:val="00F9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753D"/>
  <w15:docId w15:val="{41DF1110-7ED1-4BB0-B270-E6A6E8FE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5E9D"/>
    <w:rPr>
      <w:rFonts w:ascii="Arial" w:eastAsia="Times New Roman" w:hAnsi="Arial" w:cs="Times New Roman"/>
      <w:bCs/>
      <w:sz w:val="24"/>
      <w:szCs w:val="26"/>
    </w:rPr>
  </w:style>
  <w:style w:type="paragraph" w:styleId="Heading1">
    <w:name w:val="heading 1"/>
    <w:basedOn w:val="Normal"/>
    <w:next w:val="Normal"/>
    <w:link w:val="Heading1Char"/>
    <w:uiPriority w:val="1"/>
    <w:qFormat/>
    <w:rsid w:val="000F5E9D"/>
    <w:pPr>
      <w:numPr>
        <w:numId w:val="1"/>
      </w:numPr>
      <w:outlineLvl w:val="0"/>
    </w:pPr>
    <w:rPr>
      <w:rFonts w:cs="Arial"/>
      <w:b/>
      <w:color w:val="1F497D" w:themeColor="text2"/>
      <w:kern w:val="32"/>
      <w:sz w:val="32"/>
      <w:szCs w:val="32"/>
    </w:rPr>
  </w:style>
  <w:style w:type="paragraph" w:styleId="Heading2">
    <w:name w:val="heading 2"/>
    <w:basedOn w:val="Normal"/>
    <w:next w:val="Normal"/>
    <w:link w:val="Heading2Char"/>
    <w:uiPriority w:val="1"/>
    <w:unhideWhenUsed/>
    <w:qFormat/>
    <w:rsid w:val="000F5E9D"/>
    <w:pPr>
      <w:numPr>
        <w:ilvl w:val="1"/>
        <w:numId w:val="1"/>
      </w:numPr>
      <w:spacing w:line="360" w:lineRule="auto"/>
      <w:outlineLvl w:val="1"/>
    </w:pPr>
    <w:rPr>
      <w:b/>
      <w:iCs/>
      <w:color w:val="C0504D" w:themeColor="accent2"/>
      <w:sz w:val="28"/>
      <w:szCs w:val="28"/>
    </w:rPr>
  </w:style>
  <w:style w:type="paragraph" w:styleId="Heading3">
    <w:name w:val="heading 3"/>
    <w:basedOn w:val="Normal"/>
    <w:next w:val="Normal"/>
    <w:link w:val="Heading3Char"/>
    <w:unhideWhenUsed/>
    <w:qFormat/>
    <w:rsid w:val="000F5E9D"/>
    <w:pPr>
      <w:numPr>
        <w:ilvl w:val="2"/>
        <w:numId w:val="1"/>
      </w:numPr>
      <w:spacing w:line="360" w:lineRule="auto"/>
      <w:outlineLvl w:val="2"/>
    </w:pPr>
  </w:style>
  <w:style w:type="paragraph" w:styleId="Heading4">
    <w:name w:val="heading 4"/>
    <w:basedOn w:val="Normal"/>
    <w:next w:val="Normal"/>
    <w:link w:val="Heading4Char"/>
    <w:unhideWhenUsed/>
    <w:qFormat/>
    <w:rsid w:val="000F5E9D"/>
    <w:pPr>
      <w:keepNext/>
      <w:keepLines/>
      <w:numPr>
        <w:ilvl w:val="3"/>
        <w:numId w:val="1"/>
      </w:numPr>
      <w:spacing w:before="200" w:line="360" w:lineRule="auto"/>
      <w:outlineLvl w:val="3"/>
    </w:pPr>
    <w:rPr>
      <w:rFonts w:eastAsiaTheme="majorEastAsia" w:cstheme="majorBidi"/>
      <w:bCs w:val="0"/>
      <w:iCs/>
      <w:color w:val="000000" w:themeColor="text1"/>
      <w:lang w:eastAsia="en-GB"/>
    </w:rPr>
  </w:style>
  <w:style w:type="paragraph" w:styleId="Heading5">
    <w:name w:val="heading 5"/>
    <w:basedOn w:val="Normal"/>
    <w:next w:val="Normal"/>
    <w:link w:val="Heading5Char"/>
    <w:unhideWhenUsed/>
    <w:qFormat/>
    <w:rsid w:val="000F5E9D"/>
    <w:pPr>
      <w:keepNext/>
      <w:keepLines/>
      <w:numPr>
        <w:ilvl w:val="4"/>
        <w:numId w:val="1"/>
      </w:numPr>
      <w:spacing w:before="200" w:line="360" w:lineRule="auto"/>
      <w:outlineLvl w:val="4"/>
    </w:pPr>
    <w:rPr>
      <w:rFonts w:eastAsiaTheme="majorEastAsia" w:cs="Arial"/>
      <w:color w:val="243F60" w:themeColor="accent1" w:themeShade="7F"/>
      <w:lang w:eastAsia="en-GB"/>
    </w:rPr>
  </w:style>
  <w:style w:type="paragraph" w:styleId="Heading6">
    <w:name w:val="heading 6"/>
    <w:basedOn w:val="Normal"/>
    <w:next w:val="Normal"/>
    <w:link w:val="Heading6Char"/>
    <w:unhideWhenUsed/>
    <w:qFormat/>
    <w:rsid w:val="000F5E9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0F5E9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F5E9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0F5E9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5E9D"/>
    <w:rPr>
      <w:rFonts w:ascii="Arial" w:eastAsia="Times New Roman" w:hAnsi="Arial" w:cs="Arial"/>
      <w:b/>
      <w:bCs/>
      <w:color w:val="1F497D" w:themeColor="text2"/>
      <w:kern w:val="32"/>
      <w:sz w:val="32"/>
      <w:szCs w:val="32"/>
    </w:rPr>
  </w:style>
  <w:style w:type="character" w:customStyle="1" w:styleId="Heading2Char">
    <w:name w:val="Heading 2 Char"/>
    <w:basedOn w:val="DefaultParagraphFont"/>
    <w:link w:val="Heading2"/>
    <w:uiPriority w:val="1"/>
    <w:rsid w:val="000F5E9D"/>
    <w:rPr>
      <w:rFonts w:ascii="Arial" w:eastAsia="Times New Roman" w:hAnsi="Arial" w:cs="Times New Roman"/>
      <w:b/>
      <w:bCs/>
      <w:iCs/>
      <w:color w:val="C0504D" w:themeColor="accent2"/>
      <w:sz w:val="28"/>
      <w:szCs w:val="28"/>
    </w:rPr>
  </w:style>
  <w:style w:type="character" w:customStyle="1" w:styleId="Heading3Char">
    <w:name w:val="Heading 3 Char"/>
    <w:basedOn w:val="DefaultParagraphFont"/>
    <w:link w:val="Heading3"/>
    <w:rsid w:val="000F5E9D"/>
    <w:rPr>
      <w:rFonts w:ascii="Arial" w:eastAsia="Times New Roman" w:hAnsi="Arial" w:cs="Times New Roman"/>
      <w:bCs/>
      <w:sz w:val="24"/>
      <w:szCs w:val="26"/>
    </w:rPr>
  </w:style>
  <w:style w:type="character" w:customStyle="1" w:styleId="Heading4Char">
    <w:name w:val="Heading 4 Char"/>
    <w:basedOn w:val="DefaultParagraphFont"/>
    <w:link w:val="Heading4"/>
    <w:rsid w:val="000F5E9D"/>
    <w:rPr>
      <w:rFonts w:ascii="Arial" w:eastAsiaTheme="majorEastAsia" w:hAnsi="Arial" w:cstheme="majorBidi"/>
      <w:iCs/>
      <w:color w:val="000000" w:themeColor="text1"/>
      <w:sz w:val="24"/>
      <w:szCs w:val="26"/>
      <w:lang w:eastAsia="en-GB"/>
    </w:rPr>
  </w:style>
  <w:style w:type="character" w:customStyle="1" w:styleId="Heading5Char">
    <w:name w:val="Heading 5 Char"/>
    <w:basedOn w:val="DefaultParagraphFont"/>
    <w:link w:val="Heading5"/>
    <w:rsid w:val="000F5E9D"/>
    <w:rPr>
      <w:rFonts w:ascii="Arial" w:eastAsiaTheme="majorEastAsia" w:hAnsi="Arial" w:cs="Arial"/>
      <w:bCs/>
      <w:color w:val="243F60" w:themeColor="accent1" w:themeShade="7F"/>
      <w:sz w:val="24"/>
      <w:szCs w:val="26"/>
      <w:lang w:eastAsia="en-GB"/>
    </w:rPr>
  </w:style>
  <w:style w:type="character" w:customStyle="1" w:styleId="Heading6Char">
    <w:name w:val="Heading 6 Char"/>
    <w:basedOn w:val="DefaultParagraphFont"/>
    <w:link w:val="Heading6"/>
    <w:rsid w:val="000F5E9D"/>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rsid w:val="000F5E9D"/>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0F5E9D"/>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0F5E9D"/>
    <w:rPr>
      <w:rFonts w:asciiTheme="majorHAnsi" w:eastAsiaTheme="majorEastAsia" w:hAnsiTheme="majorHAnsi" w:cstheme="majorBidi"/>
      <w:bCs/>
      <w:i/>
      <w:iCs/>
      <w:color w:val="404040" w:themeColor="text1" w:themeTint="BF"/>
      <w:sz w:val="20"/>
      <w:szCs w:val="20"/>
    </w:rPr>
  </w:style>
  <w:style w:type="paragraph" w:styleId="ListParagraph">
    <w:name w:val="List Paragraph"/>
    <w:basedOn w:val="Normal"/>
    <w:link w:val="ListParagraphChar"/>
    <w:uiPriority w:val="34"/>
    <w:qFormat/>
    <w:rsid w:val="000F5E9D"/>
    <w:pPr>
      <w:ind w:left="720"/>
      <w:contextualSpacing/>
    </w:pPr>
  </w:style>
  <w:style w:type="character" w:styleId="CommentReference">
    <w:name w:val="annotation reference"/>
    <w:basedOn w:val="DefaultParagraphFont"/>
    <w:uiPriority w:val="99"/>
    <w:unhideWhenUsed/>
    <w:rsid w:val="000F5E9D"/>
    <w:rPr>
      <w:sz w:val="16"/>
      <w:szCs w:val="16"/>
    </w:rPr>
  </w:style>
  <w:style w:type="paragraph" w:styleId="CommentText">
    <w:name w:val="annotation text"/>
    <w:basedOn w:val="Normal"/>
    <w:link w:val="CommentTextChar"/>
    <w:uiPriority w:val="99"/>
    <w:unhideWhenUsed/>
    <w:rsid w:val="000F5E9D"/>
    <w:rPr>
      <w:sz w:val="20"/>
      <w:szCs w:val="20"/>
    </w:rPr>
  </w:style>
  <w:style w:type="character" w:customStyle="1" w:styleId="CommentTextChar">
    <w:name w:val="Comment Text Char"/>
    <w:basedOn w:val="DefaultParagraphFont"/>
    <w:link w:val="CommentText"/>
    <w:uiPriority w:val="99"/>
    <w:rsid w:val="000F5E9D"/>
    <w:rPr>
      <w:rFonts w:ascii="Arial" w:eastAsia="Times New Roman" w:hAnsi="Arial" w:cs="Times New Roman"/>
      <w:bCs/>
      <w:sz w:val="20"/>
      <w:szCs w:val="20"/>
    </w:rPr>
  </w:style>
  <w:style w:type="character" w:customStyle="1" w:styleId="ListParagraphChar">
    <w:name w:val="List Paragraph Char"/>
    <w:basedOn w:val="DefaultParagraphFont"/>
    <w:link w:val="ListParagraph"/>
    <w:uiPriority w:val="1"/>
    <w:rsid w:val="000F5E9D"/>
    <w:rPr>
      <w:rFonts w:ascii="Arial" w:eastAsia="Times New Roman" w:hAnsi="Arial" w:cs="Times New Roman"/>
      <w:bCs/>
      <w:sz w:val="24"/>
      <w:szCs w:val="26"/>
    </w:rPr>
  </w:style>
  <w:style w:type="paragraph" w:styleId="BodyText">
    <w:name w:val="Body Text"/>
    <w:basedOn w:val="Normal"/>
    <w:link w:val="BodyTextChar1"/>
    <w:uiPriority w:val="1"/>
    <w:qFormat/>
    <w:rsid w:val="000F5E9D"/>
    <w:pPr>
      <w:widowControl w:val="0"/>
      <w:spacing w:after="120"/>
      <w:jc w:val="both"/>
    </w:pPr>
    <w:rPr>
      <w:bCs w:val="0"/>
      <w:sz w:val="20"/>
      <w:szCs w:val="20"/>
      <w:lang w:eastAsia="en-GB"/>
    </w:rPr>
  </w:style>
  <w:style w:type="character" w:customStyle="1" w:styleId="BodyTextChar">
    <w:name w:val="Body Text Char"/>
    <w:basedOn w:val="DefaultParagraphFont"/>
    <w:uiPriority w:val="99"/>
    <w:semiHidden/>
    <w:rsid w:val="000F5E9D"/>
    <w:rPr>
      <w:rFonts w:ascii="Arial" w:eastAsia="Times New Roman" w:hAnsi="Arial" w:cs="Times New Roman"/>
      <w:bCs/>
      <w:sz w:val="24"/>
      <w:szCs w:val="26"/>
    </w:rPr>
  </w:style>
  <w:style w:type="character" w:customStyle="1" w:styleId="BodyTextChar1">
    <w:name w:val="Body Text Char1"/>
    <w:basedOn w:val="DefaultParagraphFont"/>
    <w:link w:val="BodyText"/>
    <w:uiPriority w:val="1"/>
    <w:rsid w:val="000F5E9D"/>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0F5E9D"/>
    <w:rPr>
      <w:rFonts w:ascii="Tahoma" w:hAnsi="Tahoma" w:cs="Tahoma"/>
      <w:sz w:val="16"/>
      <w:szCs w:val="16"/>
    </w:rPr>
  </w:style>
  <w:style w:type="character" w:customStyle="1" w:styleId="BalloonTextChar">
    <w:name w:val="Balloon Text Char"/>
    <w:basedOn w:val="DefaultParagraphFont"/>
    <w:link w:val="BalloonText"/>
    <w:uiPriority w:val="99"/>
    <w:semiHidden/>
    <w:rsid w:val="000F5E9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3613</Characters>
  <Application>Microsoft Office Word</Application>
  <DocSecurity>0</DocSecurity>
  <Lines>144</Lines>
  <Paragraphs>71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Sansom, Paul</cp:lastModifiedBy>
  <cp:revision>2</cp:revision>
  <dcterms:created xsi:type="dcterms:W3CDTF">2020-11-12T17:58:00Z</dcterms:created>
  <dcterms:modified xsi:type="dcterms:W3CDTF">2020-11-12T17:58:00Z</dcterms:modified>
</cp:coreProperties>
</file>