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10" w:rsidRPr="00BD0210" w:rsidRDefault="00BD0210" w:rsidP="00BD0210">
      <w:pPr>
        <w:autoSpaceDE w:val="0"/>
        <w:autoSpaceDN w:val="0"/>
        <w:adjustRightInd w:val="0"/>
        <w:spacing w:before="200" w:after="60"/>
        <w:ind w:right="-23"/>
        <w:jc w:val="center"/>
        <w:rPr>
          <w:rFonts w:cs="Arial"/>
          <w:color w:val="1C6CB4"/>
          <w:sz w:val="28"/>
          <w:szCs w:val="28"/>
        </w:rPr>
      </w:pPr>
      <w:r w:rsidRPr="00BD0210">
        <w:rPr>
          <w:rFonts w:cs="Arial"/>
          <w:color w:val="1C6CB4"/>
          <w:sz w:val="28"/>
          <w:szCs w:val="28"/>
        </w:rPr>
        <w:t>Annex 11</w:t>
      </w:r>
    </w:p>
    <w:p w:rsidR="00BD0210" w:rsidRPr="00BD0210" w:rsidRDefault="00BD0210" w:rsidP="00BD0210">
      <w:pPr>
        <w:autoSpaceDE w:val="0"/>
        <w:autoSpaceDN w:val="0"/>
        <w:adjustRightInd w:val="0"/>
        <w:spacing w:before="200" w:after="60"/>
        <w:ind w:right="-23"/>
        <w:jc w:val="center"/>
        <w:rPr>
          <w:rFonts w:cs="Arial"/>
          <w:color w:val="1C6CB4"/>
          <w:sz w:val="32"/>
          <w:szCs w:val="32"/>
        </w:rPr>
      </w:pPr>
      <w:r w:rsidRPr="00BD0210">
        <w:rPr>
          <w:rFonts w:cs="Arial"/>
          <w:color w:val="1C6CB4"/>
          <w:sz w:val="32"/>
          <w:szCs w:val="32"/>
        </w:rPr>
        <w:t>Fitness to Practice Matters</w:t>
      </w:r>
    </w:p>
    <w:p w:rsidR="00BD0210" w:rsidRPr="00BD0210" w:rsidRDefault="00BD0210" w:rsidP="00BD0210">
      <w:pPr>
        <w:spacing w:before="120" w:after="120" w:line="276" w:lineRule="auto"/>
        <w:jc w:val="center"/>
        <w:rPr>
          <w:rFonts w:cs="Arial"/>
          <w:sz w:val="24"/>
          <w:szCs w:val="24"/>
        </w:rPr>
      </w:pPr>
      <w:r w:rsidRPr="00BD0210">
        <w:rPr>
          <w:rFonts w:cs="Arial"/>
          <w:sz w:val="24"/>
          <w:szCs w:val="24"/>
        </w:rPr>
        <w:t>Part C</w:t>
      </w:r>
    </w:p>
    <w:p w:rsidR="00BD0210" w:rsidRPr="00BD0210" w:rsidRDefault="00BD0210" w:rsidP="00BD0210">
      <w:pPr>
        <w:spacing w:before="120" w:after="120" w:line="276" w:lineRule="auto"/>
        <w:jc w:val="center"/>
        <w:rPr>
          <w:rFonts w:cs="Arial"/>
          <w:sz w:val="24"/>
          <w:szCs w:val="24"/>
        </w:rPr>
      </w:pPr>
      <w:r w:rsidRPr="00BD0210">
        <w:rPr>
          <w:rFonts w:cs="Arial"/>
          <w:sz w:val="24"/>
          <w:szCs w:val="24"/>
        </w:rPr>
        <w:t>APMS Contracts</w:t>
      </w:r>
    </w:p>
    <w:p w:rsidR="00BD0210" w:rsidRPr="00BD0210" w:rsidRDefault="00BD0210" w:rsidP="00BD0210">
      <w:pPr>
        <w:spacing w:before="120" w:after="120" w:line="276" w:lineRule="auto"/>
        <w:jc w:val="center"/>
        <w:rPr>
          <w:rFonts w:cs="Arial"/>
          <w:b/>
          <w:sz w:val="24"/>
          <w:szCs w:val="24"/>
        </w:rPr>
      </w:pPr>
    </w:p>
    <w:p w:rsidR="00BD0210" w:rsidRPr="00BD0210" w:rsidRDefault="00BD0210" w:rsidP="00BD0210">
      <w:pPr>
        <w:spacing w:before="120" w:after="120" w:line="276" w:lineRule="auto"/>
        <w:jc w:val="left"/>
        <w:rPr>
          <w:rFonts w:cs="Arial"/>
          <w:sz w:val="24"/>
          <w:szCs w:val="24"/>
        </w:rPr>
      </w:pPr>
      <w:r w:rsidRPr="00BD0210">
        <w:rPr>
          <w:rFonts w:cs="Arial"/>
          <w:sz w:val="24"/>
          <w:szCs w:val="24"/>
        </w:rPr>
        <w:t>The wording below reflects Direction 6(1</w:t>
      </w:r>
      <w:proofErr w:type="gramStart"/>
      <w:r w:rsidRPr="00BD0210">
        <w:rPr>
          <w:rFonts w:cs="Arial"/>
          <w:sz w:val="24"/>
          <w:szCs w:val="24"/>
        </w:rPr>
        <w:t>)(</w:t>
      </w:r>
      <w:proofErr w:type="gramEnd"/>
      <w:r w:rsidRPr="00BD0210">
        <w:rPr>
          <w:rFonts w:cs="Arial"/>
          <w:sz w:val="24"/>
          <w:szCs w:val="24"/>
        </w:rPr>
        <w:t>v) of the APMS Directions as of 1 June 2015</w:t>
      </w:r>
    </w:p>
    <w:p w:rsidR="00BD0210" w:rsidRPr="00BD0210" w:rsidRDefault="00BD0210" w:rsidP="00BD0210">
      <w:pPr>
        <w:autoSpaceDE w:val="0"/>
        <w:autoSpaceDN w:val="0"/>
        <w:adjustRightInd w:val="0"/>
        <w:spacing w:before="120" w:after="120" w:line="276" w:lineRule="auto"/>
        <w:ind w:left="720" w:hanging="720"/>
        <w:rPr>
          <w:rFonts w:cs="Arial"/>
          <w:sz w:val="24"/>
          <w:szCs w:val="24"/>
        </w:rPr>
      </w:pPr>
      <w:r w:rsidRPr="00BD0210">
        <w:rPr>
          <w:rFonts w:cs="Arial"/>
          <w:sz w:val="24"/>
          <w:szCs w:val="24"/>
        </w:rPr>
        <w:t>(1)</w:t>
      </w:r>
      <w:r w:rsidRPr="00BD0210">
        <w:rPr>
          <w:rFonts w:cs="Arial"/>
          <w:sz w:val="24"/>
          <w:szCs w:val="24"/>
        </w:rPr>
        <w:tab/>
        <w:t>The Board may serve notice in writing on the contractor terminating the APMS contract forthwith, or from such date as may be specified in the notice if–</w:t>
      </w:r>
    </w:p>
    <w:p w:rsidR="00BD0210" w:rsidRPr="00BD0210" w:rsidRDefault="00BD0210" w:rsidP="00BD0210">
      <w:pPr>
        <w:autoSpaceDE w:val="0"/>
        <w:autoSpaceDN w:val="0"/>
        <w:adjustRightInd w:val="0"/>
        <w:spacing w:before="120" w:after="120" w:line="276" w:lineRule="auto"/>
        <w:ind w:left="1418" w:hanging="698"/>
        <w:rPr>
          <w:rFonts w:cs="Arial"/>
          <w:sz w:val="24"/>
          <w:szCs w:val="24"/>
        </w:rPr>
      </w:pPr>
      <w:r w:rsidRPr="00BD0210">
        <w:rPr>
          <w:rFonts w:cs="Arial"/>
          <w:sz w:val="24"/>
          <w:szCs w:val="24"/>
        </w:rPr>
        <w:t>(a)</w:t>
      </w:r>
      <w:r w:rsidRPr="00BD0210">
        <w:rPr>
          <w:rFonts w:cs="Arial"/>
          <w:sz w:val="24"/>
          <w:szCs w:val="24"/>
        </w:rPr>
        <w:tab/>
      </w:r>
      <w:proofErr w:type="gramStart"/>
      <w:r w:rsidRPr="00BD0210">
        <w:rPr>
          <w:rFonts w:cs="Arial"/>
          <w:sz w:val="24"/>
          <w:szCs w:val="24"/>
        </w:rPr>
        <w:t>in</w:t>
      </w:r>
      <w:proofErr w:type="gramEnd"/>
      <w:r w:rsidRPr="00BD0210">
        <w:rPr>
          <w:rFonts w:cs="Arial"/>
          <w:sz w:val="24"/>
          <w:szCs w:val="24"/>
        </w:rPr>
        <w:t xml:space="preserve"> the case of an APMS contract with an individual as a party, that individual; </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(b)</w:t>
      </w:r>
      <w:r w:rsidRPr="00BD0210">
        <w:rPr>
          <w:rFonts w:cs="Arial"/>
          <w:sz w:val="24"/>
          <w:szCs w:val="24"/>
        </w:rPr>
        <w:tab/>
      </w:r>
      <w:proofErr w:type="gramStart"/>
      <w:r w:rsidRPr="00BD0210">
        <w:rPr>
          <w:rFonts w:cs="Arial"/>
          <w:sz w:val="24"/>
          <w:szCs w:val="24"/>
        </w:rPr>
        <w:t>in</w:t>
      </w:r>
      <w:proofErr w:type="gramEnd"/>
      <w:r w:rsidRPr="00BD0210">
        <w:rPr>
          <w:rFonts w:cs="Arial"/>
          <w:sz w:val="24"/>
          <w:szCs w:val="24"/>
        </w:rPr>
        <w:t xml:space="preserve"> the case of an APMS contract with a company–</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(i)</w:t>
      </w:r>
      <w:r w:rsidRPr="00BD0210">
        <w:rPr>
          <w:rFonts w:cs="Arial"/>
          <w:sz w:val="24"/>
          <w:szCs w:val="24"/>
        </w:rPr>
        <w:tab/>
      </w:r>
      <w:proofErr w:type="gramStart"/>
      <w:r w:rsidRPr="00BD0210">
        <w:rPr>
          <w:rFonts w:cs="Arial"/>
          <w:sz w:val="24"/>
          <w:szCs w:val="24"/>
        </w:rPr>
        <w:t>the</w:t>
      </w:r>
      <w:proofErr w:type="gramEnd"/>
      <w:r w:rsidRPr="00BD0210">
        <w:rPr>
          <w:rFonts w:cs="Arial"/>
          <w:sz w:val="24"/>
          <w:szCs w:val="24"/>
        </w:rPr>
        <w:t xml:space="preserve"> company, or</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(ii)</w:t>
      </w:r>
      <w:r w:rsidRPr="00BD0210">
        <w:rPr>
          <w:rFonts w:cs="Arial"/>
          <w:sz w:val="24"/>
          <w:szCs w:val="24"/>
        </w:rPr>
        <w:tab/>
      </w:r>
      <w:proofErr w:type="gramStart"/>
      <w:r w:rsidRPr="00BD0210">
        <w:rPr>
          <w:rFonts w:cs="Arial"/>
          <w:sz w:val="24"/>
          <w:szCs w:val="24"/>
        </w:rPr>
        <w:t>any</w:t>
      </w:r>
      <w:proofErr w:type="gramEnd"/>
      <w:r w:rsidRPr="00BD0210">
        <w:rPr>
          <w:rFonts w:cs="Arial"/>
          <w:sz w:val="24"/>
          <w:szCs w:val="24"/>
        </w:rPr>
        <w:t xml:space="preserve"> director or company secretary of the company,</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(c)</w:t>
      </w:r>
      <w:r w:rsidRPr="00BD0210">
        <w:rPr>
          <w:rFonts w:cs="Arial"/>
          <w:sz w:val="24"/>
          <w:szCs w:val="24"/>
        </w:rPr>
        <w:tab/>
      </w:r>
      <w:proofErr w:type="gramStart"/>
      <w:r w:rsidRPr="00BD0210">
        <w:rPr>
          <w:rFonts w:cs="Arial"/>
          <w:sz w:val="24"/>
          <w:szCs w:val="24"/>
        </w:rPr>
        <w:t>in</w:t>
      </w:r>
      <w:proofErr w:type="gramEnd"/>
      <w:r w:rsidRPr="00BD0210">
        <w:rPr>
          <w:rFonts w:cs="Arial"/>
          <w:sz w:val="24"/>
          <w:szCs w:val="24"/>
        </w:rPr>
        <w:t xml:space="preserve"> the case of an APMS contract with a partnership-</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(i)</w:t>
      </w:r>
      <w:r w:rsidRPr="00BD0210">
        <w:rPr>
          <w:rFonts w:cs="Arial"/>
          <w:sz w:val="24"/>
          <w:szCs w:val="24"/>
        </w:rPr>
        <w:tab/>
      </w:r>
      <w:proofErr w:type="gramStart"/>
      <w:r w:rsidRPr="00BD0210">
        <w:rPr>
          <w:rFonts w:cs="Arial"/>
          <w:sz w:val="24"/>
          <w:szCs w:val="24"/>
        </w:rPr>
        <w:t>and</w:t>
      </w:r>
      <w:proofErr w:type="gramEnd"/>
      <w:r w:rsidRPr="00BD0210">
        <w:rPr>
          <w:rFonts w:cs="Arial"/>
          <w:sz w:val="24"/>
          <w:szCs w:val="24"/>
        </w:rPr>
        <w:t xml:space="preserve"> individual member of the partnership, or</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(ii)</w:t>
      </w:r>
      <w:r w:rsidRPr="00BD0210">
        <w:rPr>
          <w:rFonts w:cs="Arial"/>
          <w:sz w:val="24"/>
          <w:szCs w:val="24"/>
        </w:rPr>
        <w:tab/>
      </w:r>
      <w:proofErr w:type="gramStart"/>
      <w:r w:rsidRPr="00BD0210">
        <w:rPr>
          <w:rFonts w:cs="Arial"/>
          <w:sz w:val="24"/>
          <w:szCs w:val="24"/>
        </w:rPr>
        <w:t>the</w:t>
      </w:r>
      <w:proofErr w:type="gramEnd"/>
      <w:r w:rsidRPr="00BD0210">
        <w:rPr>
          <w:rFonts w:cs="Arial"/>
          <w:sz w:val="24"/>
          <w:szCs w:val="24"/>
        </w:rPr>
        <w:t xml:space="preserve"> partnership; or</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(d)</w:t>
      </w:r>
      <w:r w:rsidRPr="00BD0210">
        <w:rPr>
          <w:rFonts w:cs="Arial"/>
          <w:sz w:val="24"/>
          <w:szCs w:val="24"/>
        </w:rPr>
        <w:tab/>
        <w:t>in the case of an APMS contract with an industrial and provident society, a friendly society, a voluntary organisation or any other body-</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(i)</w:t>
      </w:r>
      <w:r w:rsidRPr="00BD0210">
        <w:rPr>
          <w:rFonts w:cs="Arial"/>
          <w:sz w:val="24"/>
          <w:szCs w:val="24"/>
        </w:rPr>
        <w:tab/>
      </w:r>
      <w:proofErr w:type="gramStart"/>
      <w:r w:rsidRPr="00BD0210">
        <w:rPr>
          <w:rFonts w:cs="Arial"/>
          <w:sz w:val="24"/>
          <w:szCs w:val="24"/>
        </w:rPr>
        <w:t>the</w:t>
      </w:r>
      <w:proofErr w:type="gramEnd"/>
      <w:r w:rsidRPr="00BD0210">
        <w:rPr>
          <w:rFonts w:cs="Arial"/>
          <w:sz w:val="24"/>
          <w:szCs w:val="24"/>
        </w:rPr>
        <w:t xml:space="preserve"> society, organisation or other body; or</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(ii)</w:t>
      </w:r>
      <w:r w:rsidRPr="00BD0210">
        <w:rPr>
          <w:rFonts w:cs="Arial"/>
          <w:sz w:val="24"/>
          <w:szCs w:val="24"/>
        </w:rPr>
        <w:tab/>
      </w:r>
      <w:proofErr w:type="gramStart"/>
      <w:r w:rsidRPr="00BD0210">
        <w:rPr>
          <w:rFonts w:cs="Arial"/>
          <w:sz w:val="24"/>
          <w:szCs w:val="24"/>
        </w:rPr>
        <w:t>an</w:t>
      </w:r>
      <w:proofErr w:type="gramEnd"/>
      <w:r w:rsidRPr="00BD0210">
        <w:rPr>
          <w:rFonts w:cs="Arial"/>
          <w:sz w:val="24"/>
          <w:szCs w:val="24"/>
        </w:rPr>
        <w:t xml:space="preserve"> officer, trustee or any other person concerned with the management of the society, organisation of other body, falls within sub-paragraph (3) during the existence of APMS contract.</w:t>
      </w:r>
    </w:p>
    <w:p w:rsidR="00BD0210" w:rsidRPr="00BD0210" w:rsidRDefault="00BD0210" w:rsidP="00BD0210">
      <w:pPr>
        <w:autoSpaceDE w:val="0"/>
        <w:autoSpaceDN w:val="0"/>
        <w:adjustRightInd w:val="0"/>
        <w:spacing w:before="120" w:after="120" w:line="276" w:lineRule="auto"/>
        <w:rPr>
          <w:rFonts w:cs="Arial"/>
          <w:sz w:val="24"/>
          <w:szCs w:val="24"/>
        </w:rPr>
      </w:pPr>
      <w:r w:rsidRPr="00BD0210">
        <w:rPr>
          <w:rFonts w:cs="Arial"/>
          <w:sz w:val="24"/>
          <w:szCs w:val="24"/>
        </w:rPr>
        <w:t>(2)</w:t>
      </w:r>
      <w:r w:rsidRPr="00BD0210">
        <w:rPr>
          <w:rFonts w:cs="Arial"/>
          <w:sz w:val="24"/>
          <w:szCs w:val="24"/>
        </w:rPr>
        <w:tab/>
        <w:t>Not used</w:t>
      </w:r>
    </w:p>
    <w:p w:rsidR="00BD0210" w:rsidRPr="00BD0210" w:rsidRDefault="00BD0210" w:rsidP="00BD0210">
      <w:pPr>
        <w:autoSpaceDE w:val="0"/>
        <w:autoSpaceDN w:val="0"/>
        <w:adjustRightInd w:val="0"/>
        <w:spacing w:before="120" w:after="120" w:line="276" w:lineRule="auto"/>
        <w:rPr>
          <w:rFonts w:cs="Arial"/>
          <w:sz w:val="24"/>
          <w:szCs w:val="24"/>
        </w:rPr>
      </w:pPr>
      <w:r w:rsidRPr="00BD0210">
        <w:rPr>
          <w:rFonts w:cs="Arial"/>
          <w:sz w:val="24"/>
          <w:szCs w:val="24"/>
        </w:rPr>
        <w:t>(3)</w:t>
      </w:r>
      <w:r w:rsidRPr="00BD0210">
        <w:rPr>
          <w:rFonts w:cs="Arial"/>
          <w:sz w:val="24"/>
          <w:szCs w:val="24"/>
        </w:rPr>
        <w:tab/>
        <w:t>A person falls within this sub-paragraph if–</w:t>
      </w:r>
    </w:p>
    <w:p w:rsidR="00BD0210" w:rsidRPr="00BD0210" w:rsidRDefault="00BD0210" w:rsidP="00BD0210">
      <w:pPr>
        <w:autoSpaceDE w:val="0"/>
        <w:autoSpaceDN w:val="0"/>
        <w:adjustRightInd w:val="0"/>
        <w:spacing w:before="120" w:after="120" w:line="276" w:lineRule="auto"/>
        <w:ind w:left="1418" w:hanging="698"/>
        <w:rPr>
          <w:rFonts w:cs="Arial"/>
          <w:sz w:val="24"/>
          <w:szCs w:val="24"/>
        </w:rPr>
      </w:pPr>
      <w:r w:rsidRPr="00BD0210">
        <w:rPr>
          <w:rFonts w:cs="Arial"/>
          <w:sz w:val="24"/>
          <w:szCs w:val="24"/>
        </w:rPr>
        <w:t>(a)</w:t>
      </w:r>
      <w:r w:rsidRPr="00BD0210">
        <w:rPr>
          <w:rFonts w:cs="Arial"/>
          <w:sz w:val="24"/>
          <w:szCs w:val="24"/>
        </w:rPr>
        <w:tab/>
      </w:r>
      <w:proofErr w:type="gramStart"/>
      <w:r w:rsidRPr="00BD0210">
        <w:rPr>
          <w:rFonts w:cs="Arial"/>
          <w:sz w:val="24"/>
          <w:szCs w:val="24"/>
        </w:rPr>
        <w:t>he</w:t>
      </w:r>
      <w:proofErr w:type="gramEnd"/>
      <w:r w:rsidRPr="00BD0210">
        <w:rPr>
          <w:rFonts w:cs="Arial"/>
          <w:sz w:val="24"/>
          <w:szCs w:val="24"/>
        </w:rPr>
        <w:t xml:space="preserve"> or it (in the case of a qualifying body) is the subject of a national disqualification;</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(b)</w:t>
      </w:r>
      <w:r w:rsidRPr="00BD0210">
        <w:rPr>
          <w:rFonts w:cs="Arial"/>
          <w:sz w:val="24"/>
          <w:szCs w:val="24"/>
        </w:rPr>
        <w:tab/>
      </w:r>
      <w:proofErr w:type="gramStart"/>
      <w:r w:rsidRPr="00BD0210">
        <w:rPr>
          <w:rFonts w:cs="Arial"/>
          <w:sz w:val="24"/>
          <w:szCs w:val="24"/>
        </w:rPr>
        <w:t>subject</w:t>
      </w:r>
      <w:proofErr w:type="gramEnd"/>
      <w:r w:rsidRPr="00BD0210">
        <w:rPr>
          <w:rFonts w:cs="Arial"/>
          <w:sz w:val="24"/>
          <w:szCs w:val="24"/>
        </w:rPr>
        <w:t xml:space="preserve"> to sub-paragraph (4), he or it is disqualified or suspended (other than by an interim suspension order or direction pending an investigation or a suspension on the grounds of ill-health) from practising by any licensing body anywhere in the world;</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(c)</w:t>
      </w:r>
      <w:r w:rsidRPr="00BD0210">
        <w:rPr>
          <w:rFonts w:cs="Arial"/>
          <w:sz w:val="24"/>
          <w:szCs w:val="24"/>
        </w:rPr>
        <w:tab/>
      </w:r>
      <w:proofErr w:type="gramStart"/>
      <w:r w:rsidRPr="00BD0210">
        <w:rPr>
          <w:rFonts w:cs="Arial"/>
          <w:sz w:val="24"/>
          <w:szCs w:val="24"/>
        </w:rPr>
        <w:t>subject</w:t>
      </w:r>
      <w:proofErr w:type="gramEnd"/>
      <w:r w:rsidRPr="00BD0210">
        <w:rPr>
          <w:rFonts w:cs="Arial"/>
          <w:sz w:val="24"/>
          <w:szCs w:val="24"/>
        </w:rPr>
        <w:t xml:space="preserve"> to sub-paragraph (5), he has been dismissed (otherwise than by reason of redundancy) from any employment by a health service body unless before the Board</w:t>
      </w:r>
      <w:r w:rsidRPr="00BD0210">
        <w:rPr>
          <w:rFonts w:cs="Arial"/>
          <w:b/>
          <w:bCs/>
          <w:sz w:val="24"/>
          <w:szCs w:val="24"/>
        </w:rPr>
        <w:t xml:space="preserve"> </w:t>
      </w:r>
      <w:r w:rsidRPr="00BD0210">
        <w:rPr>
          <w:rFonts w:cs="Arial"/>
          <w:sz w:val="24"/>
          <w:szCs w:val="24"/>
        </w:rPr>
        <w:t>has served a notice terminating the agreement pursuant to this paragraph, he is employed by the health service body that dismissed him or by another health service body;</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(d)</w:t>
      </w:r>
      <w:r w:rsidRPr="00BD0210">
        <w:rPr>
          <w:rFonts w:cs="Arial"/>
          <w:sz w:val="24"/>
          <w:szCs w:val="24"/>
        </w:rPr>
        <w:tab/>
        <w:t>he or it is removed from, or refused admission to, a primary care list by reason of inefficiency, fraud or unsuitability (within the meaning of section 151(2), (3) and (4) of the 2006 Act respectively) unless his name has subsequently been included in such a list;</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(e)</w:t>
      </w:r>
      <w:r w:rsidRPr="00BD0210">
        <w:rPr>
          <w:rFonts w:cs="Arial"/>
          <w:sz w:val="24"/>
          <w:szCs w:val="24"/>
        </w:rPr>
        <w:tab/>
      </w:r>
      <w:proofErr w:type="gramStart"/>
      <w:r w:rsidRPr="00BD0210">
        <w:rPr>
          <w:rFonts w:cs="Arial"/>
          <w:sz w:val="24"/>
          <w:szCs w:val="24"/>
        </w:rPr>
        <w:t>he</w:t>
      </w:r>
      <w:proofErr w:type="gramEnd"/>
      <w:r w:rsidRPr="00BD0210">
        <w:rPr>
          <w:rFonts w:cs="Arial"/>
          <w:sz w:val="24"/>
          <w:szCs w:val="24"/>
        </w:rPr>
        <w:t xml:space="preserve"> has been convicted in the United Kingdom of murder;</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(f)</w:t>
      </w:r>
      <w:r w:rsidRPr="00BD0210">
        <w:rPr>
          <w:rFonts w:cs="Arial"/>
          <w:sz w:val="24"/>
          <w:szCs w:val="24"/>
        </w:rPr>
        <w:tab/>
      </w:r>
      <w:proofErr w:type="gramStart"/>
      <w:r w:rsidRPr="00BD0210">
        <w:rPr>
          <w:rFonts w:cs="Arial"/>
          <w:sz w:val="24"/>
          <w:szCs w:val="24"/>
        </w:rPr>
        <w:t>he</w:t>
      </w:r>
      <w:proofErr w:type="gramEnd"/>
      <w:r w:rsidRPr="00BD0210">
        <w:rPr>
          <w:rFonts w:cs="Arial"/>
          <w:sz w:val="24"/>
          <w:szCs w:val="24"/>
        </w:rPr>
        <w:t xml:space="preserve"> has been convicted in the United Kingdom of a criminal offence and has been sentenced to a term of imprisonment of over six months;</w:t>
      </w:r>
    </w:p>
    <w:p w:rsidR="00BD0210" w:rsidRPr="00BD0210" w:rsidRDefault="00BD0210" w:rsidP="00BD0210">
      <w:pPr>
        <w:autoSpaceDE w:val="0"/>
        <w:autoSpaceDN w:val="0"/>
        <w:adjustRightInd w:val="0"/>
        <w:spacing w:before="120" w:after="120" w:line="276" w:lineRule="auto"/>
        <w:ind w:left="1418" w:hanging="698"/>
        <w:rPr>
          <w:rFonts w:cs="Arial"/>
          <w:sz w:val="24"/>
          <w:szCs w:val="24"/>
        </w:rPr>
      </w:pPr>
      <w:r w:rsidRPr="00BD0210">
        <w:rPr>
          <w:rFonts w:cs="Arial"/>
          <w:sz w:val="24"/>
          <w:szCs w:val="24"/>
        </w:rPr>
        <w:t>(g)</w:t>
      </w:r>
      <w:r w:rsidRPr="00BD0210">
        <w:rPr>
          <w:rFonts w:cs="Arial"/>
          <w:sz w:val="24"/>
          <w:szCs w:val="24"/>
        </w:rPr>
        <w:tab/>
      </w:r>
      <w:proofErr w:type="gramStart"/>
      <w:r w:rsidRPr="00BD0210">
        <w:rPr>
          <w:rFonts w:cs="Arial"/>
          <w:sz w:val="24"/>
          <w:szCs w:val="24"/>
        </w:rPr>
        <w:t>subject</w:t>
      </w:r>
      <w:proofErr w:type="gramEnd"/>
      <w:r w:rsidRPr="00BD0210">
        <w:rPr>
          <w:rFonts w:cs="Arial"/>
          <w:sz w:val="24"/>
          <w:szCs w:val="24"/>
        </w:rPr>
        <w:t xml:space="preserve"> to sub-paragraph (6), he has been convicted elsewhere of an offence–</w:t>
      </w:r>
    </w:p>
    <w:p w:rsidR="00BD0210" w:rsidRPr="00BD0210" w:rsidRDefault="00BD0210" w:rsidP="00BD0210">
      <w:pPr>
        <w:autoSpaceDE w:val="0"/>
        <w:autoSpaceDN w:val="0"/>
        <w:adjustRightInd w:val="0"/>
        <w:spacing w:before="120" w:after="120" w:line="276" w:lineRule="auto"/>
        <w:ind w:left="2127" w:hanging="687"/>
        <w:rPr>
          <w:rFonts w:cs="Arial"/>
          <w:sz w:val="24"/>
          <w:szCs w:val="24"/>
        </w:rPr>
      </w:pPr>
      <w:r w:rsidRPr="00BD0210">
        <w:rPr>
          <w:rFonts w:cs="Arial"/>
          <w:sz w:val="24"/>
          <w:szCs w:val="24"/>
        </w:rPr>
        <w:t>(i)</w:t>
      </w:r>
      <w:r w:rsidRPr="00BD0210">
        <w:rPr>
          <w:rFonts w:cs="Arial"/>
          <w:sz w:val="24"/>
          <w:szCs w:val="24"/>
        </w:rPr>
        <w:tab/>
      </w:r>
      <w:proofErr w:type="gramStart"/>
      <w:r w:rsidRPr="00BD0210">
        <w:rPr>
          <w:rFonts w:cs="Arial"/>
          <w:sz w:val="24"/>
          <w:szCs w:val="24"/>
        </w:rPr>
        <w:t>which</w:t>
      </w:r>
      <w:proofErr w:type="gramEnd"/>
      <w:r w:rsidRPr="00BD0210">
        <w:rPr>
          <w:rFonts w:cs="Arial"/>
          <w:sz w:val="24"/>
          <w:szCs w:val="24"/>
        </w:rPr>
        <w:t xml:space="preserve"> would, if committed in England and Wales, constitute murder, or</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(ii)</w:t>
      </w:r>
      <w:r w:rsidRPr="00BD0210">
        <w:rPr>
          <w:rFonts w:cs="Arial"/>
          <w:sz w:val="24"/>
          <w:szCs w:val="24"/>
        </w:rPr>
        <w:tab/>
      </w:r>
      <w:proofErr w:type="gramStart"/>
      <w:r w:rsidRPr="00BD0210">
        <w:rPr>
          <w:rFonts w:cs="Arial"/>
          <w:sz w:val="24"/>
          <w:szCs w:val="24"/>
        </w:rPr>
        <w:t>which</w:t>
      </w:r>
      <w:proofErr w:type="gramEnd"/>
      <w:r w:rsidRPr="00BD0210">
        <w:rPr>
          <w:rFonts w:cs="Arial"/>
          <w:sz w:val="24"/>
          <w:szCs w:val="24"/>
        </w:rPr>
        <w:t xml:space="preserve"> would, if committed in England and Wales, constitute a criminal offence other than murder, and been sentenced to a term of imprisonment of over six months;</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(h)</w:t>
      </w:r>
      <w:r w:rsidRPr="00BD0210">
        <w:rPr>
          <w:rFonts w:cs="Arial"/>
          <w:sz w:val="24"/>
          <w:szCs w:val="24"/>
        </w:rPr>
        <w:tab/>
      </w:r>
      <w:proofErr w:type="gramStart"/>
      <w:r w:rsidRPr="00BD0210">
        <w:rPr>
          <w:rFonts w:cs="Arial"/>
          <w:sz w:val="24"/>
          <w:szCs w:val="24"/>
        </w:rPr>
        <w:t>he</w:t>
      </w:r>
      <w:proofErr w:type="gramEnd"/>
      <w:r w:rsidRPr="00BD0210">
        <w:rPr>
          <w:rFonts w:cs="Arial"/>
          <w:sz w:val="24"/>
          <w:szCs w:val="24"/>
        </w:rPr>
        <w:t xml:space="preserve"> has been convicted of an offence referred to in Schedule 1 to the Children and Young Persons Act 1933;</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(i)</w:t>
      </w:r>
      <w:r w:rsidRPr="00BD0210">
        <w:rPr>
          <w:rFonts w:cs="Arial"/>
          <w:sz w:val="24"/>
          <w:szCs w:val="24"/>
        </w:rPr>
        <w:tab/>
      </w:r>
      <w:proofErr w:type="gramStart"/>
      <w:r w:rsidRPr="00BD0210">
        <w:rPr>
          <w:rFonts w:cs="Arial"/>
          <w:sz w:val="24"/>
          <w:szCs w:val="24"/>
        </w:rPr>
        <w:t>he</w:t>
      </w:r>
      <w:proofErr w:type="gramEnd"/>
      <w:r w:rsidRPr="00BD0210">
        <w:rPr>
          <w:rFonts w:cs="Arial"/>
          <w:sz w:val="24"/>
          <w:szCs w:val="24"/>
        </w:rPr>
        <w:t xml:space="preserve"> or it has–</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w:t>
      </w:r>
      <w:r w:rsidRPr="00BD0210">
        <w:rPr>
          <w:rFonts w:cs="Arial"/>
          <w:sz w:val="24"/>
          <w:szCs w:val="24"/>
        </w:rPr>
        <w:tab/>
        <w:t>been adjudged bankrupt or had sequestration of his estate awarded or is a person in relation to whom a moratorium period under a debt relief order (under Part 7A of the Insolvency Act 1986) applies unless</w:t>
      </w:r>
      <w:r w:rsidRPr="00BD0210">
        <w:rPr>
          <w:rFonts w:cs="Arial"/>
          <w:b/>
          <w:bCs/>
          <w:sz w:val="24"/>
          <w:szCs w:val="24"/>
        </w:rPr>
        <w:t xml:space="preserve"> </w:t>
      </w:r>
      <w:r w:rsidRPr="00BD0210">
        <w:rPr>
          <w:rFonts w:cs="Arial"/>
          <w:sz w:val="24"/>
          <w:szCs w:val="24"/>
        </w:rPr>
        <w:t xml:space="preserve">he has been discharged </w:t>
      </w:r>
      <w:r w:rsidRPr="00BD0210">
        <w:rPr>
          <w:rFonts w:cs="Arial"/>
          <w:b/>
          <w:bCs/>
          <w:sz w:val="24"/>
          <w:szCs w:val="24"/>
        </w:rPr>
        <w:t xml:space="preserve">[ </w:t>
      </w:r>
      <w:r w:rsidRPr="00BD0210">
        <w:rPr>
          <w:rFonts w:cs="Arial"/>
          <w:sz w:val="24"/>
          <w:szCs w:val="24"/>
        </w:rPr>
        <w:t>from the bankruptcy or the sequestration</w:t>
      </w:r>
      <w:r w:rsidRPr="00BD0210">
        <w:rPr>
          <w:rFonts w:cs="Arial"/>
          <w:b/>
          <w:bCs/>
          <w:sz w:val="24"/>
          <w:szCs w:val="24"/>
        </w:rPr>
        <w:t xml:space="preserve"> </w:t>
      </w:r>
      <w:r w:rsidRPr="00BD0210">
        <w:rPr>
          <w:rFonts w:cs="Arial"/>
          <w:sz w:val="24"/>
          <w:szCs w:val="24"/>
        </w:rPr>
        <w:t>or the bankruptcy order has been annulled,</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(ii)</w:t>
      </w:r>
      <w:r w:rsidRPr="00BD0210">
        <w:rPr>
          <w:rFonts w:cs="Arial"/>
          <w:sz w:val="24"/>
          <w:szCs w:val="24"/>
        </w:rPr>
        <w:tab/>
        <w:t>been made the subject of a bankruptcy restrictions order or an interim bankruptcy restrictions order under Schedule 4A to the Insolvency Act 1986</w:t>
      </w:r>
      <w:r w:rsidRPr="00BD0210">
        <w:rPr>
          <w:rFonts w:cs="Arial"/>
          <w:b/>
          <w:bCs/>
          <w:sz w:val="24"/>
          <w:szCs w:val="24"/>
        </w:rPr>
        <w:t xml:space="preserve"> </w:t>
      </w:r>
      <w:r w:rsidRPr="00BD0210">
        <w:rPr>
          <w:rFonts w:cs="Arial"/>
          <w:sz w:val="24"/>
          <w:szCs w:val="24"/>
        </w:rPr>
        <w:t>or Schedule 2A to the Insolvency (Northern Ireland) Order 1989, unless that order has ceased to have effect or has been annulled,</w:t>
      </w:r>
    </w:p>
    <w:p w:rsidR="00BD0210" w:rsidRPr="00BD0210" w:rsidRDefault="00BD0210" w:rsidP="00BD0210">
      <w:pPr>
        <w:autoSpaceDE w:val="0"/>
        <w:autoSpaceDN w:val="0"/>
        <w:adjustRightInd w:val="0"/>
        <w:spacing w:before="120" w:after="120" w:line="276" w:lineRule="auto"/>
        <w:ind w:left="2160" w:hanging="720"/>
        <w:rPr>
          <w:rFonts w:cs="Arial"/>
          <w:b/>
          <w:bCs/>
          <w:sz w:val="24"/>
          <w:szCs w:val="24"/>
        </w:rPr>
      </w:pPr>
      <w:r w:rsidRPr="00BD0210">
        <w:rPr>
          <w:rFonts w:cs="Arial"/>
          <w:sz w:val="24"/>
          <w:szCs w:val="24"/>
        </w:rPr>
        <w:t>(</w:t>
      </w:r>
      <w:proofErr w:type="spellStart"/>
      <w:r w:rsidRPr="00BD0210">
        <w:rPr>
          <w:rFonts w:cs="Arial"/>
          <w:sz w:val="24"/>
          <w:szCs w:val="24"/>
        </w:rPr>
        <w:t>iia</w:t>
      </w:r>
      <w:proofErr w:type="spellEnd"/>
      <w:r w:rsidRPr="00BD0210">
        <w:rPr>
          <w:rFonts w:cs="Arial"/>
          <w:sz w:val="24"/>
          <w:szCs w:val="24"/>
        </w:rPr>
        <w:t>)</w:t>
      </w:r>
      <w:r w:rsidRPr="00BD0210">
        <w:rPr>
          <w:rFonts w:cs="Arial"/>
          <w:sz w:val="24"/>
          <w:szCs w:val="24"/>
        </w:rPr>
        <w:tab/>
        <w:t>been made the subject of a debt relief restrictions order or interim debt relief restrictions order under Schedule 4ZB to the Insolvency Act 1986 unless that order has ceased to have effect or has been annulled, or</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(iii)</w:t>
      </w:r>
      <w:r w:rsidRPr="00BD0210">
        <w:rPr>
          <w:rFonts w:cs="Arial"/>
          <w:sz w:val="24"/>
          <w:szCs w:val="24"/>
        </w:rPr>
        <w:tab/>
      </w:r>
      <w:proofErr w:type="gramStart"/>
      <w:r w:rsidRPr="00BD0210">
        <w:rPr>
          <w:rFonts w:cs="Arial"/>
          <w:sz w:val="24"/>
          <w:szCs w:val="24"/>
        </w:rPr>
        <w:t>made</w:t>
      </w:r>
      <w:proofErr w:type="gramEnd"/>
      <w:r w:rsidRPr="00BD0210">
        <w:rPr>
          <w:rFonts w:cs="Arial"/>
          <w:sz w:val="24"/>
          <w:szCs w:val="24"/>
        </w:rPr>
        <w:t xml:space="preserve"> a composition or arrangement with, or granted a trust deed for, his or its creditors unless he or it has been discharged in respect of it,</w:t>
      </w:r>
    </w:p>
    <w:p w:rsidR="00BD0210" w:rsidRPr="00BD0210" w:rsidRDefault="00BD0210" w:rsidP="00BD0210">
      <w:pPr>
        <w:autoSpaceDE w:val="0"/>
        <w:autoSpaceDN w:val="0"/>
        <w:adjustRightInd w:val="0"/>
        <w:spacing w:before="120" w:after="120" w:line="276" w:lineRule="auto"/>
        <w:ind w:left="2127" w:hanging="687"/>
        <w:rPr>
          <w:rFonts w:cs="Arial"/>
          <w:sz w:val="24"/>
          <w:szCs w:val="24"/>
        </w:rPr>
      </w:pPr>
      <w:r w:rsidRPr="00BD0210">
        <w:rPr>
          <w:rFonts w:cs="Arial"/>
          <w:sz w:val="24"/>
          <w:szCs w:val="24"/>
        </w:rPr>
        <w:t>(iv)</w:t>
      </w:r>
      <w:r w:rsidRPr="00BD0210">
        <w:rPr>
          <w:rFonts w:cs="Arial"/>
          <w:sz w:val="24"/>
          <w:szCs w:val="24"/>
        </w:rPr>
        <w:tab/>
      </w:r>
      <w:proofErr w:type="gramStart"/>
      <w:r w:rsidRPr="00BD0210">
        <w:rPr>
          <w:rFonts w:cs="Arial"/>
          <w:sz w:val="24"/>
          <w:szCs w:val="24"/>
        </w:rPr>
        <w:t>an</w:t>
      </w:r>
      <w:proofErr w:type="gramEnd"/>
      <w:r w:rsidRPr="00BD0210">
        <w:rPr>
          <w:rFonts w:cs="Arial"/>
          <w:sz w:val="24"/>
          <w:szCs w:val="24"/>
        </w:rPr>
        <w:t xml:space="preserve"> administrator, administrative receiver or receiver appointed in respect of it,</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(v)</w:t>
      </w:r>
      <w:r w:rsidRPr="00BD0210">
        <w:rPr>
          <w:rFonts w:cs="Arial"/>
          <w:sz w:val="24"/>
          <w:szCs w:val="24"/>
        </w:rPr>
        <w:tab/>
      </w:r>
      <w:proofErr w:type="gramStart"/>
      <w:r w:rsidRPr="00BD0210">
        <w:rPr>
          <w:rFonts w:cs="Arial"/>
          <w:sz w:val="24"/>
          <w:szCs w:val="24"/>
        </w:rPr>
        <w:t>an</w:t>
      </w:r>
      <w:proofErr w:type="gramEnd"/>
      <w:r w:rsidRPr="00BD0210">
        <w:rPr>
          <w:rFonts w:cs="Arial"/>
          <w:sz w:val="24"/>
          <w:szCs w:val="24"/>
        </w:rPr>
        <w:t xml:space="preserve"> administration order made in respect of it under Schedule B1 to the Insolvency Act 1986, or</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(vi)</w:t>
      </w:r>
      <w:r w:rsidRPr="00BD0210">
        <w:rPr>
          <w:rFonts w:cs="Arial"/>
          <w:sz w:val="24"/>
          <w:szCs w:val="24"/>
        </w:rPr>
        <w:tab/>
      </w:r>
      <w:proofErr w:type="gramStart"/>
      <w:r w:rsidRPr="00BD0210">
        <w:rPr>
          <w:rFonts w:cs="Arial"/>
          <w:sz w:val="24"/>
          <w:szCs w:val="24"/>
        </w:rPr>
        <w:t>been</w:t>
      </w:r>
      <w:proofErr w:type="gramEnd"/>
      <w:r w:rsidRPr="00BD0210">
        <w:rPr>
          <w:rFonts w:cs="Arial"/>
          <w:sz w:val="24"/>
          <w:szCs w:val="24"/>
        </w:rPr>
        <w:t xml:space="preserve"> wound up under Part IV of the Insolvency Act 1986;</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(j)</w:t>
      </w:r>
      <w:r w:rsidRPr="00BD0210">
        <w:rPr>
          <w:rFonts w:cs="Arial"/>
          <w:sz w:val="24"/>
          <w:szCs w:val="24"/>
        </w:rPr>
        <w:tab/>
      </w:r>
      <w:proofErr w:type="gramStart"/>
      <w:r w:rsidRPr="00BD0210">
        <w:rPr>
          <w:rFonts w:cs="Arial"/>
          <w:sz w:val="24"/>
          <w:szCs w:val="24"/>
        </w:rPr>
        <w:t>he</w:t>
      </w:r>
      <w:proofErr w:type="gramEnd"/>
      <w:r w:rsidRPr="00BD0210">
        <w:rPr>
          <w:rFonts w:cs="Arial"/>
          <w:sz w:val="24"/>
          <w:szCs w:val="24"/>
        </w:rPr>
        <w:t xml:space="preserve"> has been–</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w:t>
      </w:r>
      <w:r w:rsidRPr="00BD0210">
        <w:rPr>
          <w:rFonts w:cs="Arial"/>
          <w:sz w:val="24"/>
          <w:szCs w:val="24"/>
        </w:rPr>
        <w:tab/>
        <w:t>removed from the office of charity trustee or trustee for a charity by an order made by the Charity commissioners or the High Court on the grounds of any misconduct or mismanagement in the administration of the charity for which he was responsible or to which he was privy, or which he by his conduct contributed to or facilitated, or</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(ii)</w:t>
      </w:r>
      <w:r w:rsidRPr="00BD0210">
        <w:rPr>
          <w:rFonts w:cs="Arial"/>
          <w:sz w:val="24"/>
          <w:szCs w:val="24"/>
        </w:rPr>
        <w:tab/>
      </w:r>
      <w:proofErr w:type="gramStart"/>
      <w:r w:rsidRPr="00BD0210">
        <w:rPr>
          <w:rFonts w:cs="Arial"/>
          <w:sz w:val="24"/>
          <w:szCs w:val="24"/>
        </w:rPr>
        <w:t>removed</w:t>
      </w:r>
      <w:proofErr w:type="gramEnd"/>
      <w:r w:rsidRPr="00BD0210">
        <w:rPr>
          <w:rFonts w:cs="Arial"/>
          <w:sz w:val="24"/>
          <w:szCs w:val="24"/>
        </w:rPr>
        <w:t xml:space="preserve"> under section 7 of the Law Reform (Miscellaneous Provisions) (Scotland) Act 1990 (powers of the Court of Session to deal with management of charities) or under section 34 of the Charities and Trustee Investment (Scotland) Act 2005 (powers of Court of Session, from being concerned in the management or control of </w:t>
      </w:r>
      <w:proofErr w:type="spellStart"/>
      <w:r w:rsidRPr="00BD0210">
        <w:rPr>
          <w:rFonts w:cs="Arial"/>
          <w:sz w:val="24"/>
          <w:szCs w:val="24"/>
        </w:rPr>
        <w:t>any body</w:t>
      </w:r>
      <w:proofErr w:type="spellEnd"/>
      <w:r w:rsidRPr="00BD0210">
        <w:rPr>
          <w:rFonts w:cs="Arial"/>
          <w:sz w:val="24"/>
          <w:szCs w:val="24"/>
        </w:rPr>
        <w:t>;</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(k)</w:t>
      </w:r>
      <w:r w:rsidRPr="00BD0210">
        <w:rPr>
          <w:rFonts w:cs="Arial"/>
          <w:sz w:val="24"/>
          <w:szCs w:val="24"/>
        </w:rPr>
        <w:tab/>
      </w:r>
      <w:proofErr w:type="gramStart"/>
      <w:r w:rsidRPr="00BD0210">
        <w:rPr>
          <w:rFonts w:cs="Arial"/>
          <w:sz w:val="24"/>
          <w:szCs w:val="24"/>
        </w:rPr>
        <w:t>he</w:t>
      </w:r>
      <w:proofErr w:type="gramEnd"/>
      <w:r w:rsidRPr="00BD0210">
        <w:rPr>
          <w:rFonts w:cs="Arial"/>
          <w:sz w:val="24"/>
          <w:szCs w:val="24"/>
        </w:rPr>
        <w:t xml:space="preserve"> is subject to a disqualification order under the Company Directors Disqualification Act 1986</w:t>
      </w:r>
      <w:r w:rsidRPr="00BD0210">
        <w:rPr>
          <w:rFonts w:cs="Arial"/>
          <w:b/>
          <w:bCs/>
          <w:sz w:val="24"/>
          <w:szCs w:val="24"/>
        </w:rPr>
        <w:t xml:space="preserve"> </w:t>
      </w:r>
      <w:r w:rsidRPr="00BD0210">
        <w:rPr>
          <w:rFonts w:cs="Arial"/>
          <w:sz w:val="24"/>
          <w:szCs w:val="24"/>
        </w:rPr>
        <w:t>, the Companies (Northern Ireland) Order 1986 or to an order made under section 429(2)(b) of the Insolvency Act 1986 (failure to pay under county court administration order); or</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(l)</w:t>
      </w:r>
      <w:r w:rsidRPr="00BD0210">
        <w:rPr>
          <w:rFonts w:cs="Arial"/>
          <w:sz w:val="24"/>
          <w:szCs w:val="24"/>
        </w:rPr>
        <w:tab/>
      </w:r>
      <w:proofErr w:type="gramStart"/>
      <w:r w:rsidRPr="00BD0210">
        <w:rPr>
          <w:rFonts w:cs="Arial"/>
          <w:sz w:val="24"/>
          <w:szCs w:val="24"/>
        </w:rPr>
        <w:t>has</w:t>
      </w:r>
      <w:proofErr w:type="gramEnd"/>
      <w:r w:rsidRPr="00BD0210">
        <w:rPr>
          <w:rFonts w:cs="Arial"/>
          <w:sz w:val="24"/>
          <w:szCs w:val="24"/>
        </w:rPr>
        <w:t xml:space="preserve"> refused to comply with a request by the relevant body for him to be medically examined on the grounds that it is concerned that he is incapable of adequately providing services under the agreement. </w:t>
      </w:r>
    </w:p>
    <w:p w:rsidR="00BD0210" w:rsidRPr="00BD0210" w:rsidRDefault="00BD0210" w:rsidP="00BD0210">
      <w:pPr>
        <w:autoSpaceDE w:val="0"/>
        <w:autoSpaceDN w:val="0"/>
        <w:adjustRightInd w:val="0"/>
        <w:spacing w:before="120" w:after="120" w:line="276" w:lineRule="auto"/>
        <w:ind w:left="720" w:hanging="720"/>
        <w:rPr>
          <w:rFonts w:cs="Arial"/>
          <w:sz w:val="24"/>
          <w:szCs w:val="24"/>
        </w:rPr>
      </w:pPr>
      <w:r w:rsidRPr="00BD0210">
        <w:rPr>
          <w:rFonts w:cs="Arial"/>
          <w:sz w:val="24"/>
          <w:szCs w:val="24"/>
        </w:rPr>
        <w:t>(4)</w:t>
      </w:r>
      <w:r w:rsidRPr="00BD0210">
        <w:rPr>
          <w:rFonts w:cs="Arial"/>
          <w:sz w:val="24"/>
          <w:szCs w:val="24"/>
        </w:rPr>
        <w:tab/>
        <w:t>The Board</w:t>
      </w:r>
      <w:r w:rsidRPr="00BD0210">
        <w:rPr>
          <w:rFonts w:cs="Arial"/>
          <w:b/>
          <w:bCs/>
          <w:sz w:val="24"/>
          <w:szCs w:val="24"/>
        </w:rPr>
        <w:t xml:space="preserve"> </w:t>
      </w:r>
      <w:r w:rsidRPr="00BD0210">
        <w:rPr>
          <w:rFonts w:cs="Arial"/>
          <w:sz w:val="24"/>
          <w:szCs w:val="24"/>
        </w:rPr>
        <w:t>shall not terminate the agreement pursuant to sub-paragraph (3</w:t>
      </w:r>
      <w:proofErr w:type="gramStart"/>
      <w:r w:rsidRPr="00BD0210">
        <w:rPr>
          <w:rFonts w:cs="Arial"/>
          <w:sz w:val="24"/>
          <w:szCs w:val="24"/>
        </w:rPr>
        <w:t>)(</w:t>
      </w:r>
      <w:proofErr w:type="gramEnd"/>
      <w:r w:rsidRPr="00BD0210">
        <w:rPr>
          <w:rFonts w:cs="Arial"/>
          <w:sz w:val="24"/>
          <w:szCs w:val="24"/>
        </w:rPr>
        <w:t>b) where the Board is satisfied that the disqualification or suspension imposed by a licensing body outside the United Kingdom does not make the person unsuitable to be–</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(a)</w:t>
      </w:r>
      <w:r w:rsidRPr="00BD0210">
        <w:rPr>
          <w:rFonts w:cs="Arial"/>
          <w:sz w:val="24"/>
          <w:szCs w:val="24"/>
        </w:rPr>
        <w:tab/>
      </w:r>
      <w:proofErr w:type="gramStart"/>
      <w:r w:rsidRPr="00BD0210">
        <w:rPr>
          <w:rFonts w:cs="Arial"/>
          <w:sz w:val="24"/>
          <w:szCs w:val="24"/>
        </w:rPr>
        <w:t>a</w:t>
      </w:r>
      <w:proofErr w:type="gramEnd"/>
      <w:r w:rsidRPr="00BD0210">
        <w:rPr>
          <w:rFonts w:cs="Arial"/>
          <w:sz w:val="24"/>
          <w:szCs w:val="24"/>
        </w:rPr>
        <w:t xml:space="preserve"> party to the agreement;</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(b)</w:t>
      </w:r>
      <w:r w:rsidRPr="00BD0210">
        <w:rPr>
          <w:rFonts w:cs="Arial"/>
          <w:sz w:val="24"/>
          <w:szCs w:val="24"/>
        </w:rPr>
        <w:tab/>
      </w:r>
      <w:proofErr w:type="gramStart"/>
      <w:r w:rsidRPr="00BD0210">
        <w:rPr>
          <w:rFonts w:cs="Arial"/>
          <w:sz w:val="24"/>
          <w:szCs w:val="24"/>
        </w:rPr>
        <w:t>in</w:t>
      </w:r>
      <w:proofErr w:type="gramEnd"/>
      <w:r w:rsidRPr="00BD0210">
        <w:rPr>
          <w:rFonts w:cs="Arial"/>
          <w:sz w:val="24"/>
          <w:szCs w:val="24"/>
        </w:rPr>
        <w:t xml:space="preserve"> the case of an agreement with a qualifying body–</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w:t>
      </w:r>
      <w:r w:rsidRPr="00BD0210">
        <w:rPr>
          <w:rFonts w:cs="Arial"/>
          <w:sz w:val="24"/>
          <w:szCs w:val="24"/>
        </w:rPr>
        <w:tab/>
      </w:r>
      <w:proofErr w:type="gramStart"/>
      <w:r w:rsidRPr="00BD0210">
        <w:rPr>
          <w:rFonts w:cs="Arial"/>
          <w:sz w:val="24"/>
          <w:szCs w:val="24"/>
        </w:rPr>
        <w:t>a</w:t>
      </w:r>
      <w:proofErr w:type="gramEnd"/>
      <w:r w:rsidRPr="00BD0210">
        <w:rPr>
          <w:rFonts w:cs="Arial"/>
          <w:sz w:val="24"/>
          <w:szCs w:val="24"/>
        </w:rPr>
        <w:t xml:space="preserve"> person both legally and beneficially owning a share in the qualifying body, or</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(ii)</w:t>
      </w:r>
      <w:r w:rsidRPr="00BD0210">
        <w:rPr>
          <w:rFonts w:cs="Arial"/>
          <w:sz w:val="24"/>
          <w:szCs w:val="24"/>
        </w:rPr>
        <w:tab/>
      </w:r>
      <w:proofErr w:type="gramStart"/>
      <w:r w:rsidRPr="00BD0210">
        <w:rPr>
          <w:rFonts w:cs="Arial"/>
          <w:sz w:val="24"/>
          <w:szCs w:val="24"/>
        </w:rPr>
        <w:t>a</w:t>
      </w:r>
      <w:proofErr w:type="gramEnd"/>
      <w:r w:rsidRPr="00BD0210">
        <w:rPr>
          <w:rFonts w:cs="Arial"/>
          <w:sz w:val="24"/>
          <w:szCs w:val="24"/>
        </w:rPr>
        <w:t xml:space="preserve"> director or secretary of the qualifying body,</w:t>
      </w:r>
    </w:p>
    <w:p w:rsidR="00BD0210" w:rsidRPr="00BD0210" w:rsidRDefault="00BD0210" w:rsidP="00BD0210">
      <w:pPr>
        <w:autoSpaceDE w:val="0"/>
        <w:autoSpaceDN w:val="0"/>
        <w:adjustRightInd w:val="0"/>
        <w:spacing w:before="120" w:after="120" w:line="276" w:lineRule="auto"/>
        <w:ind w:firstLine="720"/>
        <w:rPr>
          <w:rFonts w:cs="Arial"/>
          <w:sz w:val="24"/>
          <w:szCs w:val="24"/>
        </w:rPr>
      </w:pPr>
      <w:proofErr w:type="gramStart"/>
      <w:r w:rsidRPr="00BD0210">
        <w:rPr>
          <w:rFonts w:cs="Arial"/>
          <w:sz w:val="24"/>
          <w:szCs w:val="24"/>
        </w:rPr>
        <w:t>as</w:t>
      </w:r>
      <w:proofErr w:type="gramEnd"/>
      <w:r w:rsidRPr="00BD0210">
        <w:rPr>
          <w:rFonts w:cs="Arial"/>
          <w:sz w:val="24"/>
          <w:szCs w:val="24"/>
        </w:rPr>
        <w:t xml:space="preserve"> the case may be.</w:t>
      </w:r>
    </w:p>
    <w:p w:rsidR="00BD0210" w:rsidRPr="00BD0210" w:rsidRDefault="00BD0210" w:rsidP="00BD0210">
      <w:pPr>
        <w:autoSpaceDE w:val="0"/>
        <w:autoSpaceDN w:val="0"/>
        <w:adjustRightInd w:val="0"/>
        <w:spacing w:before="120" w:after="120" w:line="276" w:lineRule="auto"/>
        <w:ind w:left="709" w:hanging="709"/>
        <w:rPr>
          <w:rFonts w:cs="Arial"/>
          <w:sz w:val="24"/>
          <w:szCs w:val="24"/>
        </w:rPr>
      </w:pPr>
      <w:r w:rsidRPr="00BD0210">
        <w:rPr>
          <w:rFonts w:cs="Arial"/>
          <w:sz w:val="24"/>
          <w:szCs w:val="24"/>
        </w:rPr>
        <w:t>(5)</w:t>
      </w:r>
      <w:r w:rsidRPr="00BD0210">
        <w:rPr>
          <w:rFonts w:cs="Arial"/>
          <w:sz w:val="24"/>
          <w:szCs w:val="24"/>
        </w:rPr>
        <w:tab/>
        <w:t>The Board shall not terminate the agreement pursuant to sub-paragraph (3</w:t>
      </w:r>
      <w:proofErr w:type="gramStart"/>
      <w:r w:rsidRPr="00BD0210">
        <w:rPr>
          <w:rFonts w:cs="Arial"/>
          <w:sz w:val="24"/>
          <w:szCs w:val="24"/>
        </w:rPr>
        <w:t>)(</w:t>
      </w:r>
      <w:proofErr w:type="gramEnd"/>
      <w:r w:rsidRPr="00BD0210">
        <w:rPr>
          <w:rFonts w:cs="Arial"/>
          <w:sz w:val="24"/>
          <w:szCs w:val="24"/>
        </w:rPr>
        <w:t>c)–</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(a)</w:t>
      </w:r>
      <w:r w:rsidRPr="00BD0210">
        <w:rPr>
          <w:rFonts w:cs="Arial"/>
          <w:sz w:val="24"/>
          <w:szCs w:val="24"/>
        </w:rPr>
        <w:tab/>
      </w:r>
      <w:proofErr w:type="gramStart"/>
      <w:r w:rsidRPr="00BD0210">
        <w:rPr>
          <w:rFonts w:cs="Arial"/>
          <w:sz w:val="24"/>
          <w:szCs w:val="24"/>
        </w:rPr>
        <w:t>until</w:t>
      </w:r>
      <w:proofErr w:type="gramEnd"/>
      <w:r w:rsidRPr="00BD0210">
        <w:rPr>
          <w:rFonts w:cs="Arial"/>
          <w:sz w:val="24"/>
          <w:szCs w:val="24"/>
        </w:rPr>
        <w:t xml:space="preserve"> a period of at least three months has elapsed since the date of the dismissal of the person concerned; or</w:t>
      </w:r>
    </w:p>
    <w:p w:rsidR="00BD0210" w:rsidRPr="00BD0210" w:rsidRDefault="00BD0210" w:rsidP="00BD0210">
      <w:pPr>
        <w:autoSpaceDE w:val="0"/>
        <w:autoSpaceDN w:val="0"/>
        <w:adjustRightInd w:val="0"/>
        <w:spacing w:before="120" w:after="120" w:line="276" w:lineRule="auto"/>
        <w:ind w:left="1440" w:hanging="720"/>
        <w:rPr>
          <w:rFonts w:cs="Arial"/>
          <w:sz w:val="24"/>
          <w:szCs w:val="24"/>
        </w:rPr>
      </w:pPr>
      <w:r w:rsidRPr="00BD0210">
        <w:rPr>
          <w:rFonts w:cs="Arial"/>
          <w:sz w:val="24"/>
          <w:szCs w:val="24"/>
        </w:rPr>
        <w:t>(b)</w:t>
      </w:r>
      <w:r w:rsidRPr="00BD0210">
        <w:rPr>
          <w:rFonts w:cs="Arial"/>
          <w:sz w:val="24"/>
          <w:szCs w:val="24"/>
        </w:rPr>
        <w:tab/>
      </w:r>
      <w:proofErr w:type="gramStart"/>
      <w:r w:rsidRPr="00BD0210">
        <w:rPr>
          <w:rFonts w:cs="Arial"/>
          <w:sz w:val="24"/>
          <w:szCs w:val="24"/>
        </w:rPr>
        <w:t>if</w:t>
      </w:r>
      <w:proofErr w:type="gramEnd"/>
      <w:r w:rsidRPr="00BD0210">
        <w:rPr>
          <w:rFonts w:cs="Arial"/>
          <w:sz w:val="24"/>
          <w:szCs w:val="24"/>
        </w:rPr>
        <w:t xml:space="preserve">, during the period of time specified in paragraph (a), the person concerned brings proceedings in any competent tribunal or court in respect of his dismissal, until proceedings before that tribunal or court are concluded, </w:t>
      </w:r>
    </w:p>
    <w:p w:rsidR="00BD0210" w:rsidRPr="00BD0210" w:rsidRDefault="00BD0210" w:rsidP="00BD0210">
      <w:pPr>
        <w:autoSpaceDE w:val="0"/>
        <w:autoSpaceDN w:val="0"/>
        <w:adjustRightInd w:val="0"/>
        <w:spacing w:before="120" w:after="120" w:line="276" w:lineRule="auto"/>
        <w:ind w:left="720"/>
        <w:rPr>
          <w:rFonts w:cs="Arial"/>
          <w:sz w:val="24"/>
          <w:szCs w:val="24"/>
        </w:rPr>
      </w:pPr>
      <w:proofErr w:type="gramStart"/>
      <w:r w:rsidRPr="00BD0210">
        <w:rPr>
          <w:rFonts w:cs="Arial"/>
          <w:sz w:val="24"/>
          <w:szCs w:val="24"/>
        </w:rPr>
        <w:t>and</w:t>
      </w:r>
      <w:proofErr w:type="gramEnd"/>
      <w:r w:rsidRPr="00BD0210">
        <w:rPr>
          <w:rFonts w:cs="Arial"/>
          <w:b/>
          <w:bCs/>
          <w:sz w:val="24"/>
          <w:szCs w:val="24"/>
        </w:rPr>
        <w:t xml:space="preserve"> </w:t>
      </w:r>
      <w:r w:rsidRPr="00BD0210">
        <w:rPr>
          <w:rFonts w:cs="Arial"/>
          <w:sz w:val="24"/>
          <w:szCs w:val="24"/>
        </w:rPr>
        <w:t>the Board</w:t>
      </w:r>
      <w:r w:rsidRPr="00BD0210">
        <w:rPr>
          <w:rFonts w:cs="Arial"/>
          <w:b/>
          <w:bCs/>
          <w:sz w:val="24"/>
          <w:szCs w:val="24"/>
        </w:rPr>
        <w:t xml:space="preserve"> </w:t>
      </w:r>
      <w:r w:rsidRPr="00BD0210">
        <w:rPr>
          <w:rFonts w:cs="Arial"/>
          <w:sz w:val="24"/>
          <w:szCs w:val="24"/>
        </w:rPr>
        <w:t>may only terminate the agreement at the end of the period specified in paragraph (b) if there is no finding of unfair dismissal at the end of those proceedings.</w:t>
      </w:r>
    </w:p>
    <w:p w:rsidR="00BD0210" w:rsidRPr="00BD0210" w:rsidRDefault="00BD0210" w:rsidP="00BD0210">
      <w:pPr>
        <w:autoSpaceDE w:val="0"/>
        <w:autoSpaceDN w:val="0"/>
        <w:adjustRightInd w:val="0"/>
        <w:spacing w:before="120" w:after="120" w:line="276" w:lineRule="auto"/>
        <w:ind w:left="720" w:hanging="720"/>
        <w:rPr>
          <w:rFonts w:cs="Arial"/>
          <w:sz w:val="24"/>
          <w:szCs w:val="24"/>
        </w:rPr>
      </w:pPr>
      <w:r w:rsidRPr="00BD0210">
        <w:rPr>
          <w:rFonts w:cs="Arial"/>
          <w:sz w:val="24"/>
          <w:szCs w:val="24"/>
        </w:rPr>
        <w:t>(6)</w:t>
      </w:r>
      <w:r w:rsidRPr="00BD0210">
        <w:rPr>
          <w:rFonts w:cs="Arial"/>
          <w:sz w:val="24"/>
          <w:szCs w:val="24"/>
        </w:rPr>
        <w:tab/>
        <w:t>The Board shall not terminate the agreement pursuant to sub-paragraph (3</w:t>
      </w:r>
      <w:proofErr w:type="gramStart"/>
      <w:r w:rsidRPr="00BD0210">
        <w:rPr>
          <w:rFonts w:cs="Arial"/>
          <w:sz w:val="24"/>
          <w:szCs w:val="24"/>
        </w:rPr>
        <w:t>)(</w:t>
      </w:r>
      <w:proofErr w:type="gramEnd"/>
      <w:r w:rsidRPr="00BD0210">
        <w:rPr>
          <w:rFonts w:cs="Arial"/>
          <w:sz w:val="24"/>
          <w:szCs w:val="24"/>
        </w:rPr>
        <w:t>g) where the Board is satisfied that the conviction does not make the person unsuitable to be–</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(a)</w:t>
      </w:r>
      <w:r w:rsidRPr="00BD0210">
        <w:rPr>
          <w:rFonts w:cs="Arial"/>
          <w:sz w:val="24"/>
          <w:szCs w:val="24"/>
        </w:rPr>
        <w:tab/>
      </w:r>
      <w:proofErr w:type="gramStart"/>
      <w:r w:rsidRPr="00BD0210">
        <w:rPr>
          <w:rFonts w:cs="Arial"/>
          <w:sz w:val="24"/>
          <w:szCs w:val="24"/>
        </w:rPr>
        <w:t>a</w:t>
      </w:r>
      <w:proofErr w:type="gramEnd"/>
      <w:r w:rsidRPr="00BD0210">
        <w:rPr>
          <w:rFonts w:cs="Arial"/>
          <w:sz w:val="24"/>
          <w:szCs w:val="24"/>
        </w:rPr>
        <w:t xml:space="preserve"> party to the agreement; or</w:t>
      </w:r>
    </w:p>
    <w:p w:rsidR="00BD0210" w:rsidRPr="00BD0210" w:rsidRDefault="00BD0210" w:rsidP="00BD0210">
      <w:pPr>
        <w:autoSpaceDE w:val="0"/>
        <w:autoSpaceDN w:val="0"/>
        <w:adjustRightInd w:val="0"/>
        <w:spacing w:before="120" w:after="120" w:line="276" w:lineRule="auto"/>
        <w:ind w:firstLine="720"/>
        <w:rPr>
          <w:rFonts w:cs="Arial"/>
          <w:sz w:val="24"/>
          <w:szCs w:val="24"/>
        </w:rPr>
      </w:pPr>
      <w:r w:rsidRPr="00BD0210">
        <w:rPr>
          <w:rFonts w:cs="Arial"/>
          <w:sz w:val="24"/>
          <w:szCs w:val="24"/>
        </w:rPr>
        <w:t>(b)</w:t>
      </w:r>
      <w:r w:rsidRPr="00BD0210">
        <w:rPr>
          <w:rFonts w:cs="Arial"/>
          <w:sz w:val="24"/>
          <w:szCs w:val="24"/>
        </w:rPr>
        <w:tab/>
      </w:r>
      <w:proofErr w:type="gramStart"/>
      <w:r w:rsidRPr="00BD0210">
        <w:rPr>
          <w:rFonts w:cs="Arial"/>
          <w:sz w:val="24"/>
          <w:szCs w:val="24"/>
        </w:rPr>
        <w:t>in</w:t>
      </w:r>
      <w:proofErr w:type="gramEnd"/>
      <w:r w:rsidRPr="00BD0210">
        <w:rPr>
          <w:rFonts w:cs="Arial"/>
          <w:sz w:val="24"/>
          <w:szCs w:val="24"/>
        </w:rPr>
        <w:t xml:space="preserve"> the case of an agreement with a qualifying body–</w:t>
      </w:r>
    </w:p>
    <w:p w:rsidR="00BD0210" w:rsidRPr="00BD0210" w:rsidRDefault="00BD0210" w:rsidP="00BD0210">
      <w:pPr>
        <w:autoSpaceDE w:val="0"/>
        <w:autoSpaceDN w:val="0"/>
        <w:adjustRightInd w:val="0"/>
        <w:spacing w:before="120" w:after="120" w:line="276" w:lineRule="auto"/>
        <w:ind w:left="2160" w:hanging="720"/>
        <w:rPr>
          <w:rFonts w:cs="Arial"/>
          <w:sz w:val="24"/>
          <w:szCs w:val="24"/>
        </w:rPr>
      </w:pPr>
      <w:r w:rsidRPr="00BD0210">
        <w:rPr>
          <w:rFonts w:cs="Arial"/>
          <w:sz w:val="24"/>
          <w:szCs w:val="24"/>
        </w:rPr>
        <w:t>(i)</w:t>
      </w:r>
      <w:r w:rsidRPr="00BD0210">
        <w:rPr>
          <w:rFonts w:cs="Arial"/>
          <w:sz w:val="24"/>
          <w:szCs w:val="24"/>
        </w:rPr>
        <w:tab/>
      </w:r>
      <w:proofErr w:type="gramStart"/>
      <w:r w:rsidRPr="00BD0210">
        <w:rPr>
          <w:rFonts w:cs="Arial"/>
          <w:sz w:val="24"/>
          <w:szCs w:val="24"/>
        </w:rPr>
        <w:t>a</w:t>
      </w:r>
      <w:proofErr w:type="gramEnd"/>
      <w:r w:rsidRPr="00BD0210">
        <w:rPr>
          <w:rFonts w:cs="Arial"/>
          <w:sz w:val="24"/>
          <w:szCs w:val="24"/>
        </w:rPr>
        <w:t xml:space="preserve"> person both</w:t>
      </w:r>
      <w:r w:rsidRPr="00BD0210">
        <w:rPr>
          <w:rFonts w:cs="Arial"/>
          <w:b/>
          <w:bCs/>
          <w:sz w:val="24"/>
          <w:szCs w:val="24"/>
        </w:rPr>
        <w:t xml:space="preserve"> </w:t>
      </w:r>
      <w:r w:rsidRPr="00BD0210">
        <w:rPr>
          <w:rFonts w:cs="Arial"/>
          <w:sz w:val="24"/>
          <w:szCs w:val="24"/>
        </w:rPr>
        <w:t>legally and beneficially owning a share in the qualifying body, or</w:t>
      </w:r>
    </w:p>
    <w:p w:rsidR="00BD0210" w:rsidRPr="00BD0210" w:rsidRDefault="00BD0210" w:rsidP="00BD0210">
      <w:pPr>
        <w:autoSpaceDE w:val="0"/>
        <w:autoSpaceDN w:val="0"/>
        <w:adjustRightInd w:val="0"/>
        <w:spacing w:before="120" w:after="120" w:line="276" w:lineRule="auto"/>
        <w:ind w:left="720" w:firstLine="720"/>
        <w:rPr>
          <w:rFonts w:cs="Arial"/>
          <w:sz w:val="24"/>
          <w:szCs w:val="24"/>
        </w:rPr>
      </w:pPr>
      <w:r w:rsidRPr="00BD0210">
        <w:rPr>
          <w:rFonts w:cs="Arial"/>
          <w:sz w:val="24"/>
          <w:szCs w:val="24"/>
        </w:rPr>
        <w:t>(ii)</w:t>
      </w:r>
      <w:r w:rsidRPr="00BD0210">
        <w:rPr>
          <w:rFonts w:cs="Arial"/>
          <w:sz w:val="24"/>
          <w:szCs w:val="24"/>
        </w:rPr>
        <w:tab/>
      </w:r>
      <w:proofErr w:type="gramStart"/>
      <w:r w:rsidRPr="00BD0210">
        <w:rPr>
          <w:rFonts w:cs="Arial"/>
          <w:sz w:val="24"/>
          <w:szCs w:val="24"/>
        </w:rPr>
        <w:t>a</w:t>
      </w:r>
      <w:proofErr w:type="gramEnd"/>
      <w:r w:rsidRPr="00BD0210">
        <w:rPr>
          <w:rFonts w:cs="Arial"/>
          <w:sz w:val="24"/>
          <w:szCs w:val="24"/>
        </w:rPr>
        <w:t xml:space="preserve"> director or secretary of the qualifying body,</w:t>
      </w:r>
    </w:p>
    <w:p w:rsidR="00BD0210" w:rsidRPr="00BD0210" w:rsidRDefault="00BD0210" w:rsidP="00BD0210">
      <w:pPr>
        <w:spacing w:before="120" w:after="120" w:line="276" w:lineRule="auto"/>
        <w:ind w:firstLine="720"/>
        <w:rPr>
          <w:rFonts w:cs="Arial"/>
          <w:b/>
          <w:sz w:val="24"/>
          <w:szCs w:val="24"/>
        </w:rPr>
      </w:pPr>
      <w:proofErr w:type="gramStart"/>
      <w:r w:rsidRPr="00BD0210">
        <w:rPr>
          <w:rFonts w:cs="Arial"/>
          <w:sz w:val="24"/>
          <w:szCs w:val="24"/>
        </w:rPr>
        <w:t>as</w:t>
      </w:r>
      <w:proofErr w:type="gramEnd"/>
      <w:r w:rsidRPr="00BD0210">
        <w:rPr>
          <w:rFonts w:cs="Arial"/>
          <w:sz w:val="24"/>
          <w:szCs w:val="24"/>
        </w:rPr>
        <w:t xml:space="preserve"> the case may be.</w:t>
      </w:r>
    </w:p>
    <w:p w:rsidR="00BD0210" w:rsidRPr="00BD0210" w:rsidRDefault="00BD0210" w:rsidP="00BD0210">
      <w:pPr>
        <w:spacing w:before="120" w:after="120" w:line="276" w:lineRule="auto"/>
        <w:jc w:val="center"/>
        <w:rPr>
          <w:rFonts w:cs="Arial"/>
          <w:b/>
          <w:sz w:val="24"/>
          <w:szCs w:val="24"/>
        </w:rPr>
      </w:pPr>
    </w:p>
    <w:p w:rsidR="00BD0210" w:rsidRPr="00BD0210" w:rsidRDefault="00BD0210" w:rsidP="00BD0210">
      <w:pPr>
        <w:spacing w:before="120" w:after="120" w:line="276" w:lineRule="auto"/>
        <w:jc w:val="center"/>
        <w:rPr>
          <w:rFonts w:cs="Arial"/>
          <w:b/>
          <w:sz w:val="24"/>
          <w:szCs w:val="24"/>
        </w:rPr>
      </w:pPr>
    </w:p>
    <w:p w:rsidR="00BD0210" w:rsidRPr="00BD0210" w:rsidRDefault="00BD0210" w:rsidP="00BD0210">
      <w:pPr>
        <w:spacing w:before="120" w:after="120" w:line="276" w:lineRule="auto"/>
        <w:jc w:val="center"/>
        <w:rPr>
          <w:rFonts w:cs="Arial"/>
          <w:b/>
          <w:sz w:val="24"/>
          <w:szCs w:val="24"/>
        </w:rPr>
      </w:pPr>
    </w:p>
    <w:p w:rsidR="00BD0210" w:rsidRPr="00BD0210" w:rsidRDefault="00BD0210" w:rsidP="00BD0210">
      <w:pPr>
        <w:spacing w:before="120" w:after="120" w:line="276" w:lineRule="auto"/>
        <w:rPr>
          <w:rFonts w:cs="Arial"/>
          <w:sz w:val="24"/>
          <w:szCs w:val="24"/>
        </w:rPr>
      </w:pPr>
    </w:p>
    <w:p w:rsidR="00D2468D" w:rsidRPr="00BD0210" w:rsidRDefault="00D2468D" w:rsidP="00BD0210">
      <w:pPr>
        <w:spacing w:before="120" w:after="120" w:line="276" w:lineRule="auto"/>
        <w:rPr>
          <w:rFonts w:cs="Arial"/>
          <w:sz w:val="24"/>
          <w:szCs w:val="24"/>
        </w:rPr>
      </w:pPr>
    </w:p>
    <w:sectPr w:rsidR="00D2468D" w:rsidRPr="00BD02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2C" w:rsidRDefault="0076702C">
      <w:r>
        <w:separator/>
      </w:r>
    </w:p>
  </w:endnote>
  <w:endnote w:type="continuationSeparator" w:id="0">
    <w:p w:rsidR="0076702C" w:rsidRDefault="0076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2C" w:rsidRDefault="0076702C">
      <w:r>
        <w:separator/>
      </w:r>
    </w:p>
  </w:footnote>
  <w:footnote w:type="continuationSeparator" w:id="0">
    <w:p w:rsidR="0076702C" w:rsidRDefault="00767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E7" w:rsidRDefault="0076702C">
    <w:pPr>
      <w:pStyle w:val="Header"/>
    </w:pPr>
  </w:p>
  <w:p w:rsidR="000E2CE7" w:rsidRDefault="00767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10"/>
    <w:rsid w:val="0076702C"/>
    <w:rsid w:val="00B93E45"/>
    <w:rsid w:val="00BD0210"/>
    <w:rsid w:val="00D2468D"/>
    <w:rsid w:val="00D246AB"/>
    <w:rsid w:val="00F52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1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210"/>
    <w:pPr>
      <w:tabs>
        <w:tab w:val="center" w:pos="4513"/>
        <w:tab w:val="right" w:pos="9026"/>
      </w:tabs>
    </w:pPr>
  </w:style>
  <w:style w:type="character" w:customStyle="1" w:styleId="HeaderChar">
    <w:name w:val="Header Char"/>
    <w:basedOn w:val="DefaultParagraphFont"/>
    <w:link w:val="Header"/>
    <w:uiPriority w:val="99"/>
    <w:rsid w:val="00BD0210"/>
    <w:rPr>
      <w:rFonts w:ascii="Arial" w:eastAsia="Times New Roman" w:hAnsi="Arial"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10"/>
    <w:pPr>
      <w:widowControl w:val="0"/>
      <w:jc w:val="both"/>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210"/>
    <w:pPr>
      <w:tabs>
        <w:tab w:val="center" w:pos="4513"/>
        <w:tab w:val="right" w:pos="9026"/>
      </w:tabs>
    </w:pPr>
  </w:style>
  <w:style w:type="character" w:customStyle="1" w:styleId="HeaderChar">
    <w:name w:val="Header Char"/>
    <w:basedOn w:val="DefaultParagraphFont"/>
    <w:link w:val="Header"/>
    <w:uiPriority w:val="99"/>
    <w:rsid w:val="00BD0210"/>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2017-11-13T14:11:00Z</dcterms:created>
  <dcterms:modified xsi:type="dcterms:W3CDTF">2017-11-13T14:11:00Z</dcterms:modified>
</cp:coreProperties>
</file>