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C5" w:rsidRPr="003E73C5" w:rsidRDefault="003E73C5" w:rsidP="00E05DC0">
      <w:pPr>
        <w:pStyle w:val="Heading1"/>
        <w:spacing w:before="120" w:after="60"/>
        <w:jc w:val="center"/>
        <w:rPr>
          <w:rFonts w:cstheme="minorHAnsi"/>
        </w:rPr>
      </w:pPr>
      <w:r w:rsidRPr="003E73C5">
        <w:rPr>
          <w:rFonts w:asciiTheme="minorHAnsi" w:hAnsiTheme="minorHAnsi" w:cstheme="minorHAnsi"/>
        </w:rPr>
        <w:t>Annex 2</w:t>
      </w:r>
    </w:p>
    <w:p w:rsidR="006737B4" w:rsidRDefault="003E73C5" w:rsidP="00E05DC0">
      <w:pPr>
        <w:pStyle w:val="Heading1"/>
        <w:spacing w:before="120" w:after="60"/>
        <w:jc w:val="center"/>
        <w:rPr>
          <w:rFonts w:asciiTheme="minorHAnsi" w:hAnsiTheme="minorHAnsi" w:cstheme="minorHAnsi"/>
        </w:rPr>
      </w:pPr>
      <w:r w:rsidRPr="003E73C5">
        <w:rPr>
          <w:rFonts w:asciiTheme="minorHAnsi" w:hAnsiTheme="minorHAnsi" w:cstheme="minorHAnsi"/>
        </w:rPr>
        <w:t>Section</w:t>
      </w:r>
      <w:r w:rsidR="00E05DC0">
        <w:rPr>
          <w:rFonts w:asciiTheme="minorHAnsi" w:hAnsiTheme="minorHAnsi" w:cstheme="minorHAnsi"/>
        </w:rPr>
        <w:t>s</w:t>
      </w:r>
      <w:r w:rsidRPr="003E73C5">
        <w:rPr>
          <w:rFonts w:asciiTheme="minorHAnsi" w:hAnsiTheme="minorHAnsi" w:cstheme="minorHAnsi"/>
        </w:rPr>
        <w:t xml:space="preserve"> </w:t>
      </w:r>
      <w:r w:rsidR="00E05DC0">
        <w:rPr>
          <w:rFonts w:asciiTheme="minorHAnsi" w:hAnsiTheme="minorHAnsi" w:cstheme="minorHAnsi"/>
        </w:rPr>
        <w:t xml:space="preserve">83, </w:t>
      </w:r>
      <w:r w:rsidRPr="003E73C5">
        <w:rPr>
          <w:rFonts w:asciiTheme="minorHAnsi" w:hAnsiTheme="minorHAnsi" w:cstheme="minorHAnsi"/>
        </w:rPr>
        <w:t>93</w:t>
      </w:r>
      <w:r w:rsidR="00E05DC0">
        <w:rPr>
          <w:rFonts w:asciiTheme="minorHAnsi" w:hAnsiTheme="minorHAnsi" w:cstheme="minorHAnsi"/>
        </w:rPr>
        <w:t xml:space="preserve"> and 96</w:t>
      </w:r>
      <w:r w:rsidRPr="003E73C5">
        <w:rPr>
          <w:rFonts w:asciiTheme="minorHAnsi" w:hAnsiTheme="minorHAnsi" w:cstheme="minorHAnsi"/>
        </w:rPr>
        <w:t xml:space="preserve"> of the National Health Service Act 2006</w:t>
      </w:r>
    </w:p>
    <w:p w:rsidR="00E05DC0" w:rsidRDefault="00E05DC0" w:rsidP="00E05DC0"/>
    <w:p w:rsidR="00E05DC0" w:rsidRPr="00E05DC0" w:rsidRDefault="00E05DC0" w:rsidP="00E05DC0">
      <w:r>
        <w:t>The extracts from the NHS Act 2006 below are correct as of 4 August 2017.</w:t>
      </w:r>
    </w:p>
    <w:p w:rsidR="00A66C17" w:rsidRPr="00A66C17" w:rsidRDefault="00A66C17" w:rsidP="00E05DC0">
      <w:pPr>
        <w:numPr>
          <w:ilvl w:val="0"/>
          <w:numId w:val="19"/>
        </w:numPr>
        <w:tabs>
          <w:tab w:val="left" w:pos="600"/>
          <w:tab w:val="num" w:pos="1134"/>
        </w:tabs>
        <w:spacing w:before="120" w:after="60" w:line="0" w:lineRule="atLeast"/>
        <w:ind w:left="709"/>
        <w:jc w:val="both"/>
        <w:rPr>
          <w:rFonts w:eastAsia="Book Antiqua" w:cstheme="minorHAnsi"/>
          <w:b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b/>
          <w:color w:val="231F20"/>
          <w:sz w:val="24"/>
          <w:szCs w:val="24"/>
          <w:lang w:eastAsia="en-GB"/>
        </w:rPr>
        <w:t>Assistance and support: primary medical services</w:t>
      </w:r>
    </w:p>
    <w:p w:rsidR="00A66C17" w:rsidRPr="00A66C17" w:rsidRDefault="00A66C17" w:rsidP="00931E52">
      <w:pPr>
        <w:spacing w:before="120" w:after="60" w:line="186" w:lineRule="exact"/>
        <w:ind w:left="1320"/>
        <w:rPr>
          <w:rFonts w:eastAsia="Book Antiqua" w:cstheme="minorHAnsi"/>
          <w:b/>
          <w:color w:val="231F20"/>
          <w:sz w:val="24"/>
          <w:szCs w:val="24"/>
          <w:lang w:eastAsia="en-GB"/>
        </w:rPr>
      </w:pPr>
    </w:p>
    <w:p w:rsidR="00A66C17" w:rsidRDefault="00352832" w:rsidP="00E05DC0">
      <w:pPr>
        <w:numPr>
          <w:ilvl w:val="1"/>
          <w:numId w:val="19"/>
        </w:numPr>
        <w:tabs>
          <w:tab w:val="left" w:pos="719"/>
        </w:tabs>
        <w:spacing w:before="120" w:after="60" w:line="201" w:lineRule="auto"/>
        <w:ind w:left="1701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>
        <w:rPr>
          <w:rFonts w:eastAsia="Book Antiqua" w:cstheme="minorHAnsi"/>
          <w:color w:val="231F20"/>
          <w:sz w:val="24"/>
          <w:szCs w:val="24"/>
          <w:lang w:eastAsia="en-GB"/>
        </w:rPr>
        <w:t>Th</w:t>
      </w:r>
      <w:r w:rsidR="00CB11D1">
        <w:rPr>
          <w:rFonts w:eastAsia="Book Antiqua" w:cstheme="minorHAnsi"/>
          <w:color w:val="231F20"/>
          <w:sz w:val="24"/>
          <w:szCs w:val="24"/>
          <w:lang w:eastAsia="en-GB"/>
        </w:rPr>
        <w:t>e Board</w:t>
      </w:r>
      <w:r>
        <w:rPr>
          <w:rFonts w:eastAsia="Book Antiqua" w:cstheme="minorHAnsi"/>
          <w:color w:val="231F20"/>
          <w:sz w:val="24"/>
          <w:szCs w:val="24"/>
          <w:lang w:eastAsia="en-GB"/>
        </w:rPr>
        <w:t xml:space="preserve"> </w:t>
      </w:r>
      <w:r w:rsidR="00A66C17" w:rsidRPr="00A66C17">
        <w:rPr>
          <w:rFonts w:eastAsia="Book Antiqua" w:cstheme="minorHAnsi"/>
          <w:color w:val="231F20"/>
          <w:sz w:val="24"/>
          <w:szCs w:val="24"/>
          <w:lang w:eastAsia="en-GB"/>
        </w:rPr>
        <w:t>may provide assistance or support to any person providing or proposing to provide—</w:t>
      </w:r>
    </w:p>
    <w:p w:rsidR="00352832" w:rsidRPr="00A66C17" w:rsidRDefault="00352832" w:rsidP="00E05DC0">
      <w:pPr>
        <w:tabs>
          <w:tab w:val="left" w:pos="2268"/>
        </w:tabs>
        <w:spacing w:before="120" w:after="60" w:line="201" w:lineRule="auto"/>
        <w:ind w:left="2268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>
        <w:rPr>
          <w:rFonts w:eastAsia="Book Antiqua" w:cstheme="minorHAnsi"/>
          <w:color w:val="231F20"/>
          <w:sz w:val="24"/>
          <w:szCs w:val="24"/>
          <w:lang w:eastAsia="en-GB"/>
        </w:rPr>
        <w:t>(</w:t>
      </w:r>
      <w:proofErr w:type="spellStart"/>
      <w:proofErr w:type="gramStart"/>
      <w:r>
        <w:rPr>
          <w:rFonts w:eastAsia="Book Antiqua" w:cstheme="minorHAnsi"/>
          <w:color w:val="231F20"/>
          <w:sz w:val="24"/>
          <w:szCs w:val="24"/>
          <w:lang w:eastAsia="en-GB"/>
        </w:rPr>
        <w:t>za</w:t>
      </w:r>
      <w:proofErr w:type="spellEnd"/>
      <w:proofErr w:type="gramEnd"/>
      <w:r>
        <w:rPr>
          <w:rFonts w:eastAsia="Book Antiqua" w:cstheme="minorHAnsi"/>
          <w:color w:val="231F20"/>
          <w:sz w:val="24"/>
          <w:szCs w:val="24"/>
          <w:lang w:eastAsia="en-GB"/>
        </w:rPr>
        <w:t>) primary medical services pursuant to section 83(2),</w:t>
      </w:r>
    </w:p>
    <w:p w:rsidR="00A66C17" w:rsidRPr="00A66C17" w:rsidRDefault="00A66C17" w:rsidP="00E05DC0">
      <w:pPr>
        <w:spacing w:before="120" w:after="60" w:line="5" w:lineRule="exact"/>
        <w:ind w:left="1320" w:hanging="1599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A66C17" w:rsidRPr="00A66C17" w:rsidRDefault="00A66C17" w:rsidP="00E05DC0">
      <w:pPr>
        <w:numPr>
          <w:ilvl w:val="2"/>
          <w:numId w:val="19"/>
        </w:numPr>
        <w:tabs>
          <w:tab w:val="left" w:pos="1440"/>
        </w:tabs>
        <w:spacing w:before="120" w:after="60" w:line="0" w:lineRule="atLeast"/>
        <w:ind w:left="2127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>primary medical services under a general medical services contract, or</w:t>
      </w:r>
    </w:p>
    <w:p w:rsidR="00A66C17" w:rsidRPr="00A66C17" w:rsidRDefault="00A66C17" w:rsidP="00E05DC0">
      <w:pPr>
        <w:spacing w:before="120" w:after="60" w:line="7" w:lineRule="exact"/>
        <w:ind w:left="2127" w:hanging="426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A66C17" w:rsidRPr="00A66C17" w:rsidRDefault="00A66C17" w:rsidP="00E05DC0">
      <w:pPr>
        <w:numPr>
          <w:ilvl w:val="2"/>
          <w:numId w:val="19"/>
        </w:numPr>
        <w:tabs>
          <w:tab w:val="left" w:pos="1440"/>
        </w:tabs>
        <w:spacing w:before="120" w:after="60" w:line="0" w:lineRule="atLeast"/>
        <w:ind w:left="2127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proofErr w:type="gramStart"/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>primary</w:t>
      </w:r>
      <w:proofErr w:type="gramEnd"/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 xml:space="preserve"> medical services in accordance with section 92 arrangements.</w:t>
      </w:r>
    </w:p>
    <w:p w:rsidR="00A66C17" w:rsidRPr="00A66C17" w:rsidRDefault="00A66C17" w:rsidP="00931E52">
      <w:pPr>
        <w:spacing w:before="120" w:after="60" w:line="182" w:lineRule="exact"/>
        <w:ind w:left="1320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A66C17" w:rsidRPr="00A66C17" w:rsidRDefault="00A66C17" w:rsidP="00E05DC0">
      <w:pPr>
        <w:numPr>
          <w:ilvl w:val="1"/>
          <w:numId w:val="19"/>
        </w:numPr>
        <w:tabs>
          <w:tab w:val="left" w:pos="1134"/>
        </w:tabs>
        <w:spacing w:before="120" w:after="60" w:line="204" w:lineRule="auto"/>
        <w:ind w:left="1701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 xml:space="preserve">Assistance or support provided by </w:t>
      </w:r>
      <w:r w:rsidR="00352832">
        <w:rPr>
          <w:rFonts w:eastAsia="Book Antiqua" w:cstheme="minorHAnsi"/>
          <w:color w:val="231F20"/>
          <w:sz w:val="24"/>
          <w:szCs w:val="24"/>
          <w:lang w:eastAsia="en-GB"/>
        </w:rPr>
        <w:t xml:space="preserve">the Board </w:t>
      </w: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 xml:space="preserve">under subsection (1) is provided on such terms, including terms as to payment, as the </w:t>
      </w:r>
      <w:r w:rsidR="00352832">
        <w:rPr>
          <w:rFonts w:eastAsia="Book Antiqua" w:cstheme="minorHAnsi"/>
          <w:color w:val="231F20"/>
          <w:sz w:val="24"/>
          <w:szCs w:val="24"/>
          <w:lang w:eastAsia="en-GB"/>
        </w:rPr>
        <w:t>Board</w:t>
      </w: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 xml:space="preserve"> considers appropriate.</w:t>
      </w:r>
    </w:p>
    <w:p w:rsidR="00A66C17" w:rsidRPr="00A66C17" w:rsidRDefault="00A66C17" w:rsidP="00931E52">
      <w:pPr>
        <w:spacing w:before="120" w:after="60" w:line="126" w:lineRule="exact"/>
        <w:ind w:left="1320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A66C17" w:rsidRPr="00A66C17" w:rsidRDefault="00A66C17" w:rsidP="00E05DC0">
      <w:pPr>
        <w:numPr>
          <w:ilvl w:val="1"/>
          <w:numId w:val="19"/>
        </w:numPr>
        <w:tabs>
          <w:tab w:val="left" w:pos="720"/>
        </w:tabs>
        <w:spacing w:before="120" w:after="60" w:line="239" w:lineRule="auto"/>
        <w:ind w:left="1701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>“Assistance” includes financial assistance.</w:t>
      </w:r>
    </w:p>
    <w:p w:rsidR="00A66C17" w:rsidRPr="00A66C17" w:rsidRDefault="00A66C17" w:rsidP="009E2DB7">
      <w:pPr>
        <w:tabs>
          <w:tab w:val="left" w:pos="600"/>
        </w:tabs>
        <w:spacing w:before="120" w:after="60" w:line="0" w:lineRule="atLeast"/>
        <w:jc w:val="both"/>
        <w:rPr>
          <w:rFonts w:cstheme="minorHAnsi"/>
          <w:b/>
          <w:bCs/>
          <w:sz w:val="24"/>
          <w:szCs w:val="24"/>
        </w:rPr>
      </w:pPr>
    </w:p>
    <w:p w:rsidR="00A66C17" w:rsidRPr="00A66C17" w:rsidRDefault="00A66C17" w:rsidP="00931E52">
      <w:pPr>
        <w:autoSpaceDE w:val="0"/>
        <w:autoSpaceDN w:val="0"/>
        <w:adjustRightInd w:val="0"/>
        <w:spacing w:before="120" w:after="60" w:line="240" w:lineRule="auto"/>
        <w:ind w:left="720"/>
        <w:rPr>
          <w:rFonts w:cstheme="minorHAnsi"/>
          <w:b/>
          <w:bCs/>
          <w:sz w:val="24"/>
          <w:szCs w:val="24"/>
        </w:rPr>
      </w:pPr>
      <w:r w:rsidRPr="00A66C17">
        <w:rPr>
          <w:rFonts w:cstheme="minorHAnsi"/>
          <w:b/>
          <w:bCs/>
          <w:sz w:val="24"/>
          <w:szCs w:val="24"/>
        </w:rPr>
        <w:t>83</w:t>
      </w:r>
      <w:r w:rsidR="009E2DB7">
        <w:rPr>
          <w:rFonts w:cstheme="minorHAnsi"/>
          <w:b/>
          <w:bCs/>
          <w:sz w:val="24"/>
          <w:szCs w:val="24"/>
        </w:rPr>
        <w:t xml:space="preserve">. </w:t>
      </w:r>
      <w:r w:rsidRPr="00A66C17">
        <w:rPr>
          <w:rFonts w:cstheme="minorHAnsi"/>
          <w:b/>
          <w:bCs/>
          <w:sz w:val="24"/>
          <w:szCs w:val="24"/>
        </w:rPr>
        <w:t xml:space="preserve"> Primary medical services</w:t>
      </w:r>
    </w:p>
    <w:p w:rsidR="00A66C17" w:rsidRPr="00A66C17" w:rsidRDefault="00A66C17" w:rsidP="00931E52">
      <w:pPr>
        <w:autoSpaceDE w:val="0"/>
        <w:autoSpaceDN w:val="0"/>
        <w:adjustRightInd w:val="0"/>
        <w:spacing w:before="120" w:after="60" w:line="240" w:lineRule="auto"/>
        <w:ind w:left="720"/>
        <w:rPr>
          <w:rFonts w:cstheme="minorHAnsi"/>
          <w:b/>
          <w:bCs/>
          <w:sz w:val="24"/>
          <w:szCs w:val="24"/>
        </w:rPr>
      </w:pPr>
    </w:p>
    <w:p w:rsidR="00A66C17" w:rsidRPr="00A66C17" w:rsidRDefault="00A66C17" w:rsidP="00E05DC0">
      <w:pPr>
        <w:numPr>
          <w:ilvl w:val="0"/>
          <w:numId w:val="22"/>
        </w:numPr>
        <w:tabs>
          <w:tab w:val="left" w:pos="719"/>
        </w:tabs>
        <w:spacing w:before="120" w:after="60" w:line="204" w:lineRule="auto"/>
        <w:ind w:left="1701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>The Board must, to the extent that it considers necessary to meet all reasonable requirements, exercise its powers so as to secure the provision of primary medical services throughout England.</w:t>
      </w:r>
    </w:p>
    <w:p w:rsidR="00A66C17" w:rsidRPr="00A66C17" w:rsidRDefault="00A66C17" w:rsidP="00E05DC0">
      <w:pPr>
        <w:tabs>
          <w:tab w:val="left" w:pos="719"/>
        </w:tabs>
        <w:spacing w:before="120" w:after="60" w:line="204" w:lineRule="auto"/>
        <w:ind w:left="1701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A66C17" w:rsidRPr="00A66C17" w:rsidRDefault="00A66C17" w:rsidP="00E05DC0">
      <w:pPr>
        <w:numPr>
          <w:ilvl w:val="0"/>
          <w:numId w:val="22"/>
        </w:numPr>
        <w:tabs>
          <w:tab w:val="left" w:pos="719"/>
        </w:tabs>
        <w:spacing w:before="120" w:after="60" w:line="204" w:lineRule="auto"/>
        <w:ind w:left="1701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 xml:space="preserve">The Board may (in addition to any other power conferred on it) make such arrangements for the provision of primary medical services as it considers appropriate; and it may, in particular, make contractual arrangements with any person. </w:t>
      </w:r>
    </w:p>
    <w:p w:rsidR="00A66C17" w:rsidRPr="00A66C17" w:rsidRDefault="00A66C17" w:rsidP="00E05DC0">
      <w:pPr>
        <w:tabs>
          <w:tab w:val="left" w:pos="719"/>
        </w:tabs>
        <w:spacing w:before="120" w:after="60" w:line="204" w:lineRule="auto"/>
        <w:ind w:left="1701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A66C17" w:rsidRDefault="00A66C17" w:rsidP="00E05DC0">
      <w:pPr>
        <w:tabs>
          <w:tab w:val="left" w:pos="719"/>
        </w:tabs>
        <w:spacing w:before="120" w:after="60" w:line="204" w:lineRule="auto"/>
        <w:ind w:left="1701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>(2A) Arrangements made for the purposes of subsection (1) or (2) may include arrangements for the performance</w:t>
      </w:r>
      <w:r w:rsidR="009E2DB7">
        <w:rPr>
          <w:rFonts w:eastAsia="Book Antiqua" w:cstheme="minorHAnsi"/>
          <w:color w:val="231F20"/>
          <w:sz w:val="24"/>
          <w:szCs w:val="24"/>
          <w:lang w:eastAsia="en-GB"/>
        </w:rPr>
        <w:t xml:space="preserve"> of a service outside England.</w:t>
      </w:r>
    </w:p>
    <w:p w:rsidR="009E2DB7" w:rsidRPr="00A66C17" w:rsidRDefault="009E2DB7" w:rsidP="00E05DC0">
      <w:pPr>
        <w:tabs>
          <w:tab w:val="left" w:pos="719"/>
        </w:tabs>
        <w:spacing w:before="120" w:after="60" w:line="204" w:lineRule="auto"/>
        <w:ind w:left="1701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A66C17" w:rsidRDefault="00A66C17" w:rsidP="00E05DC0">
      <w:pPr>
        <w:numPr>
          <w:ilvl w:val="0"/>
          <w:numId w:val="22"/>
        </w:numPr>
        <w:tabs>
          <w:tab w:val="left" w:pos="719"/>
        </w:tabs>
        <w:spacing w:before="120" w:after="60" w:line="204" w:lineRule="auto"/>
        <w:ind w:left="1701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 xml:space="preserve">The </w:t>
      </w:r>
      <w:r w:rsidR="009E2DB7">
        <w:rPr>
          <w:rFonts w:eastAsia="Book Antiqua" w:cstheme="minorHAnsi"/>
          <w:color w:val="231F20"/>
          <w:sz w:val="24"/>
          <w:szCs w:val="24"/>
          <w:lang w:eastAsia="en-GB"/>
        </w:rPr>
        <w:t>B</w:t>
      </w: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>oard must publish information about such matters as may be prescribed in relation to the primary medical services provided under this Act.</w:t>
      </w:r>
    </w:p>
    <w:p w:rsidR="009E2DB7" w:rsidRPr="00A66C17" w:rsidRDefault="009E2DB7" w:rsidP="00E05DC0">
      <w:pPr>
        <w:tabs>
          <w:tab w:val="left" w:pos="719"/>
        </w:tabs>
        <w:spacing w:before="120" w:after="60" w:line="204" w:lineRule="auto"/>
        <w:ind w:left="1701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9E2DB7" w:rsidRDefault="009E2DB7" w:rsidP="00E05DC0">
      <w:pPr>
        <w:numPr>
          <w:ilvl w:val="0"/>
          <w:numId w:val="22"/>
        </w:numPr>
        <w:tabs>
          <w:tab w:val="left" w:pos="719"/>
        </w:tabs>
        <w:spacing w:before="120" w:after="60" w:line="204" w:lineRule="auto"/>
        <w:ind w:left="1701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>
        <w:rPr>
          <w:rFonts w:eastAsia="Book Antiqua" w:cstheme="minorHAnsi"/>
          <w:color w:val="231F20"/>
          <w:sz w:val="24"/>
          <w:szCs w:val="24"/>
          <w:lang w:eastAsia="en-GB"/>
        </w:rPr>
        <w:t>…</w:t>
      </w:r>
    </w:p>
    <w:p w:rsidR="009E2DB7" w:rsidRDefault="009E2DB7" w:rsidP="00E05DC0">
      <w:pPr>
        <w:tabs>
          <w:tab w:val="left" w:pos="719"/>
        </w:tabs>
        <w:spacing w:before="120" w:after="60" w:line="204" w:lineRule="auto"/>
        <w:ind w:left="1701" w:hanging="567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A66C17" w:rsidRPr="00A66C17" w:rsidRDefault="00A66C17" w:rsidP="00E05DC0">
      <w:pPr>
        <w:numPr>
          <w:ilvl w:val="0"/>
          <w:numId w:val="22"/>
        </w:num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>Regulations may provide that services of a prescribed description must, or must not, be regarded as primary medical services for the purposes of this Act.</w:t>
      </w:r>
    </w:p>
    <w:p w:rsidR="00A66C17" w:rsidRPr="00A66C17" w:rsidRDefault="00A66C17" w:rsidP="00E05DC0">
      <w:p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A66C17" w:rsidRPr="00A66C17" w:rsidRDefault="00A66C17" w:rsidP="00E05DC0">
      <w:pPr>
        <w:numPr>
          <w:ilvl w:val="0"/>
          <w:numId w:val="22"/>
        </w:num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>Regulations under this section may in particular describe services by reference to the manner or circumstances in which they are provided.</w:t>
      </w:r>
    </w:p>
    <w:p w:rsidR="00A66C17" w:rsidRPr="00A66C17" w:rsidRDefault="00A66C17" w:rsidP="00931E52">
      <w:pPr>
        <w:spacing w:before="120" w:after="60" w:line="240" w:lineRule="auto"/>
        <w:ind w:left="720"/>
        <w:rPr>
          <w:rFonts w:cstheme="minorHAnsi"/>
          <w:sz w:val="24"/>
          <w:szCs w:val="24"/>
        </w:rPr>
      </w:pPr>
    </w:p>
    <w:p w:rsidR="005B288E" w:rsidRDefault="00A66C17" w:rsidP="00931E52">
      <w:pPr>
        <w:autoSpaceDE w:val="0"/>
        <w:autoSpaceDN w:val="0"/>
        <w:adjustRightInd w:val="0"/>
        <w:spacing w:before="120" w:after="60" w:line="240" w:lineRule="auto"/>
        <w:ind w:left="720"/>
        <w:rPr>
          <w:rFonts w:cstheme="minorHAnsi"/>
          <w:b/>
          <w:bCs/>
          <w:sz w:val="24"/>
          <w:szCs w:val="24"/>
        </w:rPr>
      </w:pPr>
      <w:r w:rsidRPr="00A66C17">
        <w:rPr>
          <w:rFonts w:cstheme="minorHAnsi"/>
          <w:b/>
          <w:bCs/>
          <w:sz w:val="24"/>
          <w:szCs w:val="24"/>
        </w:rPr>
        <w:t>92</w:t>
      </w:r>
      <w:r w:rsidR="009E2DB7">
        <w:rPr>
          <w:rFonts w:cstheme="minorHAnsi"/>
          <w:b/>
          <w:bCs/>
          <w:sz w:val="24"/>
          <w:szCs w:val="24"/>
        </w:rPr>
        <w:t xml:space="preserve">. </w:t>
      </w:r>
      <w:r w:rsidRPr="00A66C17">
        <w:rPr>
          <w:rFonts w:cstheme="minorHAnsi"/>
          <w:b/>
          <w:bCs/>
          <w:sz w:val="24"/>
          <w:szCs w:val="24"/>
        </w:rPr>
        <w:t xml:space="preserve"> Arrangements by the Board for the provision of primary medical services</w:t>
      </w:r>
    </w:p>
    <w:p w:rsidR="005B288E" w:rsidRPr="00563004" w:rsidRDefault="00A66C17" w:rsidP="009E2DB7">
      <w:pPr>
        <w:autoSpaceDE w:val="0"/>
        <w:autoSpaceDN w:val="0"/>
        <w:adjustRightInd w:val="0"/>
        <w:spacing w:before="120" w:after="60" w:line="240" w:lineRule="auto"/>
        <w:ind w:left="720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cstheme="minorHAnsi"/>
          <w:b/>
          <w:bCs/>
          <w:sz w:val="24"/>
          <w:szCs w:val="24"/>
        </w:rPr>
        <w:t xml:space="preserve"> </w:t>
      </w:r>
    </w:p>
    <w:p w:rsidR="00A66C17" w:rsidRPr="00A66C17" w:rsidRDefault="00A66C17" w:rsidP="00E05DC0">
      <w:pPr>
        <w:numPr>
          <w:ilvl w:val="0"/>
          <w:numId w:val="23"/>
        </w:num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>The Board may make agreements, other than arrangements pursuant to section 83</w:t>
      </w:r>
      <w:r w:rsidR="00F53F49">
        <w:rPr>
          <w:rFonts w:eastAsia="Book Antiqua" w:cstheme="minorHAnsi"/>
          <w:color w:val="231F20"/>
          <w:sz w:val="24"/>
          <w:szCs w:val="24"/>
          <w:lang w:eastAsia="en-GB"/>
        </w:rPr>
        <w:t>(2) or general medical services contracts, under which primary medical services are provided.</w:t>
      </w:r>
    </w:p>
    <w:p w:rsidR="00A66C17" w:rsidRPr="00F53F49" w:rsidRDefault="00A66C17" w:rsidP="00E05DC0">
      <w:p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F53F49" w:rsidRDefault="00F53F49" w:rsidP="00E05DC0">
      <w:pPr>
        <w:numPr>
          <w:ilvl w:val="0"/>
          <w:numId w:val="23"/>
        </w:num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>
        <w:rPr>
          <w:rFonts w:eastAsia="Book Antiqua" w:cstheme="minorHAnsi"/>
          <w:color w:val="231F20"/>
          <w:sz w:val="24"/>
          <w:szCs w:val="24"/>
          <w:lang w:eastAsia="en-GB"/>
        </w:rPr>
        <w:t xml:space="preserve">An agreement must be in accordance with regulations under section 94. </w:t>
      </w:r>
    </w:p>
    <w:p w:rsidR="00F53F49" w:rsidRDefault="00F53F49" w:rsidP="00E05DC0">
      <w:p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A66C17" w:rsidRPr="00A66C17" w:rsidRDefault="00A66C17" w:rsidP="00E05DC0">
      <w:pPr>
        <w:numPr>
          <w:ilvl w:val="0"/>
          <w:numId w:val="23"/>
        </w:num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>An agreement may not combine arrangements for the provision of primary medical services with arrangements for the provision of primary dental services.</w:t>
      </w:r>
    </w:p>
    <w:p w:rsidR="00A66C17" w:rsidRPr="00A66C17" w:rsidRDefault="00A66C17" w:rsidP="00E05DC0">
      <w:p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A66C17" w:rsidRPr="00A66C17" w:rsidRDefault="00A66C17" w:rsidP="00E05DC0">
      <w:pPr>
        <w:numPr>
          <w:ilvl w:val="0"/>
          <w:numId w:val="23"/>
        </w:num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>An agreement may not combine arrangements for the provision of primary medical services with arrangements for the provision of local pharmaceutical services.</w:t>
      </w:r>
    </w:p>
    <w:p w:rsidR="00A66C17" w:rsidRPr="00A66C17" w:rsidRDefault="00A66C17" w:rsidP="00E05DC0">
      <w:p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A66C17" w:rsidRPr="00A66C17" w:rsidRDefault="00A66C17" w:rsidP="00E05DC0">
      <w:pPr>
        <w:numPr>
          <w:ilvl w:val="0"/>
          <w:numId w:val="23"/>
        </w:num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>But an agreement may include arrangements for the provision of services which are not primary medical services but which may be provided under this Act, other than under Chapter 1 or 2 of Part 7 (pharmaceutical services and local pharmaceutical services under pilot schemes).</w:t>
      </w:r>
    </w:p>
    <w:p w:rsidR="00A66C17" w:rsidRPr="00A66C17" w:rsidRDefault="00A66C17" w:rsidP="00E05DC0">
      <w:p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A66C17" w:rsidRDefault="00E712AE" w:rsidP="00E05DC0">
      <w:pPr>
        <w:numPr>
          <w:ilvl w:val="0"/>
          <w:numId w:val="23"/>
        </w:num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>
        <w:rPr>
          <w:rFonts w:eastAsia="Book Antiqua" w:cstheme="minorHAnsi"/>
          <w:color w:val="231F20"/>
          <w:sz w:val="24"/>
          <w:szCs w:val="24"/>
          <w:lang w:eastAsia="en-GB"/>
        </w:rPr>
        <w:t>…</w:t>
      </w:r>
    </w:p>
    <w:p w:rsidR="00E712AE" w:rsidRPr="00A66C17" w:rsidRDefault="00E712AE" w:rsidP="00E05DC0">
      <w:p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</w:p>
    <w:p w:rsidR="005B288E" w:rsidRDefault="00E712AE" w:rsidP="00E05DC0">
      <w:pPr>
        <w:numPr>
          <w:ilvl w:val="0"/>
          <w:numId w:val="23"/>
        </w:num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>
        <w:rPr>
          <w:rFonts w:eastAsia="Book Antiqua" w:cstheme="minorHAnsi"/>
          <w:color w:val="231F20"/>
          <w:sz w:val="24"/>
          <w:szCs w:val="24"/>
          <w:lang w:eastAsia="en-GB"/>
        </w:rPr>
        <w:t>…</w:t>
      </w:r>
      <w:r w:rsidR="005B288E" w:rsidRPr="005B288E">
        <w:rPr>
          <w:rFonts w:eastAsia="Book Antiqua" w:cstheme="minorHAnsi"/>
          <w:color w:val="231F20"/>
          <w:sz w:val="24"/>
          <w:szCs w:val="24"/>
          <w:lang w:eastAsia="en-GB"/>
        </w:rPr>
        <w:t xml:space="preserve"> </w:t>
      </w:r>
    </w:p>
    <w:p w:rsidR="00A66C17" w:rsidRPr="00A66C17" w:rsidRDefault="00A66C17" w:rsidP="00E05DC0">
      <w:pPr>
        <w:spacing w:before="120" w:after="60" w:line="240" w:lineRule="auto"/>
        <w:ind w:left="1560" w:hanging="426"/>
        <w:rPr>
          <w:rFonts w:cstheme="minorHAnsi"/>
          <w:sz w:val="24"/>
          <w:szCs w:val="24"/>
        </w:rPr>
      </w:pPr>
    </w:p>
    <w:p w:rsidR="00A66C17" w:rsidRPr="00A66C17" w:rsidRDefault="00A66C17" w:rsidP="00E05DC0">
      <w:pPr>
        <w:numPr>
          <w:ilvl w:val="0"/>
          <w:numId w:val="23"/>
        </w:numPr>
        <w:tabs>
          <w:tab w:val="left" w:pos="719"/>
        </w:tabs>
        <w:spacing w:before="120" w:after="60" w:line="204" w:lineRule="auto"/>
        <w:ind w:left="1560" w:hanging="426"/>
        <w:jc w:val="both"/>
        <w:rPr>
          <w:rFonts w:eastAsia="Book Antiqua" w:cstheme="minorHAnsi"/>
          <w:color w:val="231F20"/>
          <w:sz w:val="24"/>
          <w:szCs w:val="24"/>
          <w:lang w:eastAsia="en-GB"/>
        </w:rPr>
      </w:pPr>
      <w:r w:rsidRPr="00A66C17">
        <w:rPr>
          <w:rFonts w:eastAsia="Book Antiqua" w:cstheme="minorHAnsi"/>
          <w:color w:val="231F20"/>
          <w:sz w:val="24"/>
          <w:szCs w:val="24"/>
          <w:lang w:eastAsia="en-GB"/>
        </w:rPr>
        <w:t>In this Act, arrangements for the provision of services made under this section are called “section 92 arrangements”.</w:t>
      </w:r>
    </w:p>
    <w:p w:rsidR="00A66C17" w:rsidRPr="00A66C17" w:rsidRDefault="00A66C17" w:rsidP="00931E52">
      <w:pPr>
        <w:spacing w:before="120" w:after="60" w:line="240" w:lineRule="auto"/>
        <w:ind w:left="720"/>
        <w:rPr>
          <w:rFonts w:cstheme="minorHAnsi"/>
          <w:sz w:val="24"/>
          <w:szCs w:val="24"/>
        </w:rPr>
      </w:pPr>
    </w:p>
    <w:p w:rsidR="00A66C17" w:rsidRPr="00A66C17" w:rsidRDefault="00A66C17" w:rsidP="00931E52">
      <w:pPr>
        <w:spacing w:before="120" w:after="60" w:line="240" w:lineRule="auto"/>
        <w:ind w:left="720"/>
        <w:rPr>
          <w:rFonts w:cstheme="minorHAnsi"/>
          <w:sz w:val="24"/>
          <w:szCs w:val="24"/>
        </w:rPr>
      </w:pPr>
    </w:p>
    <w:p w:rsidR="00A66C17" w:rsidRPr="00FC75D2" w:rsidRDefault="00A66C17" w:rsidP="00931E52">
      <w:pPr>
        <w:spacing w:before="120" w:after="60" w:line="240" w:lineRule="auto"/>
        <w:rPr>
          <w:rFonts w:cstheme="minorHAnsi"/>
          <w:sz w:val="24"/>
          <w:szCs w:val="24"/>
          <w:lang w:eastAsia="en-GB"/>
        </w:rPr>
      </w:pPr>
    </w:p>
    <w:p w:rsidR="000851A2" w:rsidRPr="006737B4" w:rsidRDefault="000851A2" w:rsidP="0051363A">
      <w:pPr>
        <w:spacing w:after="0"/>
        <w:ind w:left="720"/>
        <w:rPr>
          <w:rFonts w:cstheme="minorHAnsi"/>
          <w:b/>
          <w:sz w:val="24"/>
          <w:szCs w:val="24"/>
        </w:rPr>
      </w:pPr>
    </w:p>
    <w:sectPr w:rsidR="000851A2" w:rsidRPr="006737B4" w:rsidSect="00D85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DF" w:rsidRDefault="00A66CDF" w:rsidP="00931E52">
      <w:pPr>
        <w:spacing w:after="0" w:line="240" w:lineRule="auto"/>
      </w:pPr>
      <w:r>
        <w:separator/>
      </w:r>
    </w:p>
  </w:endnote>
  <w:endnote w:type="continuationSeparator" w:id="0">
    <w:p w:rsidR="00A66CDF" w:rsidRDefault="00A66CDF" w:rsidP="0093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38" w:rsidRDefault="00C35F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38" w:rsidRDefault="00C35F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38" w:rsidRDefault="00C35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DF" w:rsidRDefault="00A66CDF" w:rsidP="00931E52">
      <w:pPr>
        <w:spacing w:after="0" w:line="240" w:lineRule="auto"/>
      </w:pPr>
      <w:r>
        <w:separator/>
      </w:r>
    </w:p>
  </w:footnote>
  <w:footnote w:type="continuationSeparator" w:id="0">
    <w:p w:rsidR="00A66CDF" w:rsidRDefault="00A66CDF" w:rsidP="0093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38" w:rsidRDefault="00C35F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52" w:rsidRDefault="00931E52" w:rsidP="00931E52">
    <w:pPr>
      <w:pStyle w:val="Header"/>
      <w:jc w:val="right"/>
    </w:pPr>
    <w:r>
      <w:rPr>
        <w:noProof/>
        <w:lang w:eastAsia="en-GB"/>
      </w:rPr>
      <w:drawing>
        <wp:inline distT="0" distB="0" distL="0" distR="0" wp14:anchorId="61DBDD73">
          <wp:extent cx="752039" cy="466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36" cy="46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31E52" w:rsidRDefault="00931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38" w:rsidRDefault="00C35F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Arial" w:eastAsia="Arial Unicode MS" w:hAnsi="Arial"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Arial" w:eastAsia="Arial Unicode MS" w:hAnsi="Arial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Arial" w:eastAsia="Arial Unicode MS" w:hAnsi="Arial"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Arial" w:eastAsia="Arial Unicode MS" w:hAnsi="Arial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Arial" w:eastAsia="Arial Unicode MS" w:hAnsi="Arial"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Arial" w:eastAsia="Arial Unicode MS" w:hAnsi="Arial"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A603D"/>
    <w:multiLevelType w:val="hybridMultilevel"/>
    <w:tmpl w:val="7C2E5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6652B"/>
    <w:multiLevelType w:val="hybridMultilevel"/>
    <w:tmpl w:val="C16E2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6F21"/>
    <w:multiLevelType w:val="multilevel"/>
    <w:tmpl w:val="B7B2C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0F1702E"/>
    <w:multiLevelType w:val="hybridMultilevel"/>
    <w:tmpl w:val="EAB85A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F39F3"/>
    <w:multiLevelType w:val="hybridMultilevel"/>
    <w:tmpl w:val="A1E69AC8"/>
    <w:lvl w:ilvl="0" w:tplc="7610A25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2A548B"/>
    <w:multiLevelType w:val="hybridMultilevel"/>
    <w:tmpl w:val="47029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87CA9"/>
    <w:multiLevelType w:val="hybridMultilevel"/>
    <w:tmpl w:val="4D52A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D484F"/>
    <w:multiLevelType w:val="hybridMultilevel"/>
    <w:tmpl w:val="A1E69AC8"/>
    <w:lvl w:ilvl="0" w:tplc="7610A25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3B2055"/>
    <w:multiLevelType w:val="hybridMultilevel"/>
    <w:tmpl w:val="2ED8872A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>
    <w:nsid w:val="394F4C29"/>
    <w:multiLevelType w:val="multilevel"/>
    <w:tmpl w:val="0B225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D6E5564"/>
    <w:multiLevelType w:val="multilevel"/>
    <w:tmpl w:val="B7B2C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7997C7B"/>
    <w:multiLevelType w:val="hybridMultilevel"/>
    <w:tmpl w:val="C1382B5E"/>
    <w:lvl w:ilvl="0" w:tplc="08090001">
      <w:start w:val="1"/>
      <w:numFmt w:val="bullet"/>
      <w:pStyle w:val="Number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41EFA"/>
    <w:multiLevelType w:val="hybridMultilevel"/>
    <w:tmpl w:val="155CF3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C00B2E"/>
    <w:multiLevelType w:val="hybridMultilevel"/>
    <w:tmpl w:val="2638B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E277D"/>
    <w:multiLevelType w:val="hybridMultilevel"/>
    <w:tmpl w:val="D47651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6F4125"/>
    <w:multiLevelType w:val="hybridMultilevel"/>
    <w:tmpl w:val="E2F69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C6669"/>
    <w:multiLevelType w:val="hybridMultilevel"/>
    <w:tmpl w:val="A1E69AC8"/>
    <w:lvl w:ilvl="0" w:tplc="7610A25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7F7B4B"/>
    <w:multiLevelType w:val="hybridMultilevel"/>
    <w:tmpl w:val="E266FD6E"/>
    <w:lvl w:ilvl="0" w:tplc="1262B6EA">
      <w:start w:val="96"/>
      <w:numFmt w:val="decimal"/>
      <w:lvlText w:val="%1."/>
      <w:lvlJc w:val="left"/>
      <w:pPr>
        <w:tabs>
          <w:tab w:val="num" w:pos="6598"/>
        </w:tabs>
        <w:ind w:left="6238" w:firstLine="0"/>
      </w:pPr>
      <w:rPr>
        <w:rFonts w:hint="default"/>
      </w:rPr>
    </w:lvl>
    <w:lvl w:ilvl="1" w:tplc="7610A254">
      <w:start w:val="1"/>
      <w:numFmt w:val="decimal"/>
      <w:lvlText w:val="(%2)"/>
      <w:lvlJc w:val="left"/>
      <w:pPr>
        <w:ind w:left="7678" w:hanging="360"/>
      </w:pPr>
      <w:rPr>
        <w:rFonts w:hint="default"/>
      </w:rPr>
    </w:lvl>
    <w:lvl w:ilvl="2" w:tplc="0DE8EA88">
      <w:start w:val="1"/>
      <w:numFmt w:val="lowerLetter"/>
      <w:lvlText w:val="(%3)"/>
      <w:lvlJc w:val="left"/>
      <w:pPr>
        <w:ind w:left="8398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9118" w:hanging="360"/>
      </w:pPr>
    </w:lvl>
    <w:lvl w:ilvl="4" w:tplc="08090019" w:tentative="1">
      <w:start w:val="1"/>
      <w:numFmt w:val="lowerLetter"/>
      <w:lvlText w:val="%5."/>
      <w:lvlJc w:val="left"/>
      <w:pPr>
        <w:ind w:left="9838" w:hanging="360"/>
      </w:pPr>
    </w:lvl>
    <w:lvl w:ilvl="5" w:tplc="0809001B" w:tentative="1">
      <w:start w:val="1"/>
      <w:numFmt w:val="lowerRoman"/>
      <w:lvlText w:val="%6."/>
      <w:lvlJc w:val="right"/>
      <w:pPr>
        <w:ind w:left="10558" w:hanging="180"/>
      </w:pPr>
    </w:lvl>
    <w:lvl w:ilvl="6" w:tplc="0809000F" w:tentative="1">
      <w:start w:val="1"/>
      <w:numFmt w:val="decimal"/>
      <w:lvlText w:val="%7."/>
      <w:lvlJc w:val="left"/>
      <w:pPr>
        <w:ind w:left="11278" w:hanging="360"/>
      </w:pPr>
    </w:lvl>
    <w:lvl w:ilvl="7" w:tplc="08090019" w:tentative="1">
      <w:start w:val="1"/>
      <w:numFmt w:val="lowerLetter"/>
      <w:lvlText w:val="%8."/>
      <w:lvlJc w:val="left"/>
      <w:pPr>
        <w:ind w:left="11998" w:hanging="360"/>
      </w:pPr>
    </w:lvl>
    <w:lvl w:ilvl="8" w:tplc="0809001B" w:tentative="1">
      <w:start w:val="1"/>
      <w:numFmt w:val="lowerRoman"/>
      <w:lvlText w:val="%9."/>
      <w:lvlJc w:val="right"/>
      <w:pPr>
        <w:ind w:left="12718" w:hanging="180"/>
      </w:pPr>
    </w:lvl>
  </w:abstractNum>
  <w:abstractNum w:abstractNumId="20">
    <w:nsid w:val="70746041"/>
    <w:multiLevelType w:val="hybridMultilevel"/>
    <w:tmpl w:val="C08660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3BC5484"/>
    <w:multiLevelType w:val="hybridMultilevel"/>
    <w:tmpl w:val="47D2C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85B97"/>
    <w:multiLevelType w:val="hybridMultilevel"/>
    <w:tmpl w:val="C16E2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6"/>
  </w:num>
  <w:num w:numId="5">
    <w:abstractNumId w:val="0"/>
  </w:num>
  <w:num w:numId="6">
    <w:abstractNumId w:val="1"/>
  </w:num>
  <w:num w:numId="7">
    <w:abstractNumId w:val="17"/>
  </w:num>
  <w:num w:numId="8">
    <w:abstractNumId w:val="21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20"/>
  </w:num>
  <w:num w:numId="14">
    <w:abstractNumId w:val="22"/>
  </w:num>
  <w:num w:numId="15">
    <w:abstractNumId w:val="14"/>
  </w:num>
  <w:num w:numId="16">
    <w:abstractNumId w:val="3"/>
  </w:num>
  <w:num w:numId="17">
    <w:abstractNumId w:val="12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07"/>
    <w:rsid w:val="000543B8"/>
    <w:rsid w:val="0007519B"/>
    <w:rsid w:val="000851A2"/>
    <w:rsid w:val="00087D8E"/>
    <w:rsid w:val="000945CC"/>
    <w:rsid w:val="00094DDB"/>
    <w:rsid w:val="000B396F"/>
    <w:rsid w:val="00103067"/>
    <w:rsid w:val="00142AF2"/>
    <w:rsid w:val="00161ABB"/>
    <w:rsid w:val="001842A1"/>
    <w:rsid w:val="00184876"/>
    <w:rsid w:val="001915ED"/>
    <w:rsid w:val="001977AC"/>
    <w:rsid w:val="001D5580"/>
    <w:rsid w:val="001F0849"/>
    <w:rsid w:val="00226CA8"/>
    <w:rsid w:val="0023481B"/>
    <w:rsid w:val="002D77DB"/>
    <w:rsid w:val="002F7FAA"/>
    <w:rsid w:val="0032000E"/>
    <w:rsid w:val="0034699C"/>
    <w:rsid w:val="00347E10"/>
    <w:rsid w:val="00352832"/>
    <w:rsid w:val="0038095D"/>
    <w:rsid w:val="003E73C5"/>
    <w:rsid w:val="00421B76"/>
    <w:rsid w:val="0044337F"/>
    <w:rsid w:val="00456F8A"/>
    <w:rsid w:val="0047609E"/>
    <w:rsid w:val="00495877"/>
    <w:rsid w:val="0051004B"/>
    <w:rsid w:val="0051363A"/>
    <w:rsid w:val="0052415D"/>
    <w:rsid w:val="00563004"/>
    <w:rsid w:val="005B288E"/>
    <w:rsid w:val="005C1D64"/>
    <w:rsid w:val="005D25AF"/>
    <w:rsid w:val="00652825"/>
    <w:rsid w:val="00660AAA"/>
    <w:rsid w:val="006737B4"/>
    <w:rsid w:val="00675A37"/>
    <w:rsid w:val="006B500B"/>
    <w:rsid w:val="006B7D89"/>
    <w:rsid w:val="006C6212"/>
    <w:rsid w:val="006F0623"/>
    <w:rsid w:val="00714652"/>
    <w:rsid w:val="007E3EA2"/>
    <w:rsid w:val="007F2637"/>
    <w:rsid w:val="007F43C5"/>
    <w:rsid w:val="00800CEE"/>
    <w:rsid w:val="00865EE4"/>
    <w:rsid w:val="008A6AF0"/>
    <w:rsid w:val="008E6D1A"/>
    <w:rsid w:val="0091727D"/>
    <w:rsid w:val="00931E52"/>
    <w:rsid w:val="009353D4"/>
    <w:rsid w:val="00970BDB"/>
    <w:rsid w:val="00973B88"/>
    <w:rsid w:val="009A03D9"/>
    <w:rsid w:val="009C0B73"/>
    <w:rsid w:val="009E2DB7"/>
    <w:rsid w:val="00A207A1"/>
    <w:rsid w:val="00A66C17"/>
    <w:rsid w:val="00A66CDF"/>
    <w:rsid w:val="00AA4724"/>
    <w:rsid w:val="00AB5C76"/>
    <w:rsid w:val="00AC0EB6"/>
    <w:rsid w:val="00AF562A"/>
    <w:rsid w:val="00AF72F7"/>
    <w:rsid w:val="00B15C2A"/>
    <w:rsid w:val="00B3509A"/>
    <w:rsid w:val="00B37EDB"/>
    <w:rsid w:val="00B64841"/>
    <w:rsid w:val="00B72B1D"/>
    <w:rsid w:val="00B93F83"/>
    <w:rsid w:val="00B94485"/>
    <w:rsid w:val="00BA771D"/>
    <w:rsid w:val="00BF0C45"/>
    <w:rsid w:val="00C227FA"/>
    <w:rsid w:val="00C22847"/>
    <w:rsid w:val="00C35F38"/>
    <w:rsid w:val="00C506E4"/>
    <w:rsid w:val="00CB11D1"/>
    <w:rsid w:val="00CC6C85"/>
    <w:rsid w:val="00CF7172"/>
    <w:rsid w:val="00D00577"/>
    <w:rsid w:val="00D27DD6"/>
    <w:rsid w:val="00D51543"/>
    <w:rsid w:val="00D575E2"/>
    <w:rsid w:val="00D71837"/>
    <w:rsid w:val="00D77207"/>
    <w:rsid w:val="00D81CF1"/>
    <w:rsid w:val="00D85855"/>
    <w:rsid w:val="00DA1A89"/>
    <w:rsid w:val="00DA26C1"/>
    <w:rsid w:val="00DC7EE3"/>
    <w:rsid w:val="00DE2BC7"/>
    <w:rsid w:val="00DE4C9A"/>
    <w:rsid w:val="00E05DC0"/>
    <w:rsid w:val="00E712AE"/>
    <w:rsid w:val="00F53F49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E2"/>
  </w:style>
  <w:style w:type="paragraph" w:styleId="Heading1">
    <w:name w:val="heading 1"/>
    <w:basedOn w:val="Normal"/>
    <w:next w:val="Normal"/>
    <w:link w:val="Heading1Char"/>
    <w:uiPriority w:val="9"/>
    <w:qFormat/>
    <w:rsid w:val="00421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207"/>
    <w:pPr>
      <w:ind w:left="720"/>
      <w:contextualSpacing/>
    </w:pPr>
  </w:style>
  <w:style w:type="paragraph" w:customStyle="1" w:styleId="Body1">
    <w:name w:val="Body 1"/>
    <w:rsid w:val="00D81CF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customStyle="1" w:styleId="Numbered">
    <w:name w:val="Numbered"/>
    <w:rsid w:val="00D81CF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21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1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1B7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087D8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34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52"/>
  </w:style>
  <w:style w:type="paragraph" w:styleId="Footer">
    <w:name w:val="footer"/>
    <w:basedOn w:val="Normal"/>
    <w:link w:val="FooterChar"/>
    <w:uiPriority w:val="99"/>
    <w:unhideWhenUsed/>
    <w:rsid w:val="0093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52"/>
  </w:style>
  <w:style w:type="paragraph" w:styleId="BalloonText">
    <w:name w:val="Balloon Text"/>
    <w:basedOn w:val="Normal"/>
    <w:link w:val="BalloonTextChar"/>
    <w:uiPriority w:val="99"/>
    <w:semiHidden/>
    <w:unhideWhenUsed/>
    <w:rsid w:val="0093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2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6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6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E2"/>
  </w:style>
  <w:style w:type="paragraph" w:styleId="Heading1">
    <w:name w:val="heading 1"/>
    <w:basedOn w:val="Normal"/>
    <w:next w:val="Normal"/>
    <w:link w:val="Heading1Char"/>
    <w:uiPriority w:val="9"/>
    <w:qFormat/>
    <w:rsid w:val="00421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207"/>
    <w:pPr>
      <w:ind w:left="720"/>
      <w:contextualSpacing/>
    </w:pPr>
  </w:style>
  <w:style w:type="paragraph" w:customStyle="1" w:styleId="Body1">
    <w:name w:val="Body 1"/>
    <w:rsid w:val="00D81CF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  <w:style w:type="paragraph" w:customStyle="1" w:styleId="Numbered">
    <w:name w:val="Numbered"/>
    <w:rsid w:val="00D81CF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21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1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1B7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087D8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34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52"/>
  </w:style>
  <w:style w:type="paragraph" w:styleId="Footer">
    <w:name w:val="footer"/>
    <w:basedOn w:val="Normal"/>
    <w:link w:val="FooterChar"/>
    <w:uiPriority w:val="99"/>
    <w:unhideWhenUsed/>
    <w:rsid w:val="0093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52"/>
  </w:style>
  <w:style w:type="paragraph" w:styleId="BalloonText">
    <w:name w:val="Balloon Text"/>
    <w:basedOn w:val="Normal"/>
    <w:link w:val="BalloonTextChar"/>
    <w:uiPriority w:val="99"/>
    <w:semiHidden/>
    <w:unhideWhenUsed/>
    <w:rsid w:val="0093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2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6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6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2777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Boshell</dc:creator>
  <cp:lastModifiedBy>Joanne Boshell</cp:lastModifiedBy>
  <cp:revision>1</cp:revision>
  <dcterms:created xsi:type="dcterms:W3CDTF">2017-11-13T09:28:00Z</dcterms:created>
  <dcterms:modified xsi:type="dcterms:W3CDTF">2017-11-13T09:28:00Z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7dd0cb95-0994-4566-88b2-201a7a824963</vt:lpwstr>
  </property>
</Properties>
</file>