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4C050" w14:textId="1EA9CE32" w:rsidR="00065409" w:rsidRPr="00C267E6" w:rsidRDefault="00C267E6" w:rsidP="00C267E6">
      <w:pPr>
        <w:pStyle w:val="Heading1"/>
      </w:pPr>
      <w:r w:rsidRPr="00C267E6">
        <w:t>E</w:t>
      </w:r>
      <w:r w:rsidRPr="00C267E6">
        <w:t>xit packages</w:t>
      </w:r>
    </w:p>
    <w:p w14:paraId="01959B14" w14:textId="77777777" w:rsidR="00C51D32" w:rsidRPr="00C267E6" w:rsidRDefault="00C51D32" w:rsidP="00C267E6">
      <w:pPr>
        <w:pStyle w:val="Heading2"/>
      </w:pPr>
      <w:r w:rsidRPr="00C267E6">
        <w:t>Staff exit packages</w:t>
      </w:r>
    </w:p>
    <w:p w14:paraId="636AF261" w14:textId="77777777" w:rsidR="00C51D32" w:rsidRPr="00C267E6" w:rsidRDefault="00C51D32" w:rsidP="00C51D32">
      <w:pPr>
        <w:pStyle w:val="BodyText"/>
        <w:tabs>
          <w:tab w:val="clear" w:pos="765"/>
        </w:tabs>
        <w:spacing w:after="200" w:line="276" w:lineRule="auto"/>
        <w:ind w:left="0" w:firstLine="0"/>
        <w:rPr>
          <w:rFonts w:cs="Arial"/>
          <w:sz w:val="24"/>
          <w:szCs w:val="24"/>
        </w:rPr>
      </w:pPr>
      <w:r w:rsidRPr="00C267E6">
        <w:rPr>
          <w:rFonts w:cs="Arial"/>
          <w:sz w:val="24"/>
          <w:szCs w:val="24"/>
        </w:rPr>
        <w:t xml:space="preserve">NHS foundation trusts are required to disclose summary information of their use of exit packages agreed in the year, as required by the </w:t>
      </w:r>
      <w:r w:rsidRPr="00C267E6">
        <w:rPr>
          <w:rFonts w:cs="Arial"/>
          <w:iCs/>
          <w:sz w:val="24"/>
          <w:szCs w:val="24"/>
        </w:rPr>
        <w:t>FReM</w:t>
      </w:r>
      <w:r w:rsidRPr="00C267E6">
        <w:rPr>
          <w:rFonts w:cs="Arial"/>
          <w:i/>
          <w:sz w:val="24"/>
          <w:szCs w:val="24"/>
        </w:rPr>
        <w:t xml:space="preserve">. </w:t>
      </w:r>
    </w:p>
    <w:p w14:paraId="18E16236" w14:textId="77777777" w:rsidR="00C51D32" w:rsidRPr="00C267E6" w:rsidRDefault="00C51D32" w:rsidP="00C51D32">
      <w:pPr>
        <w:pStyle w:val="BodyText"/>
        <w:tabs>
          <w:tab w:val="clear" w:pos="765"/>
        </w:tabs>
        <w:spacing w:after="200" w:line="276" w:lineRule="auto"/>
        <w:ind w:left="0" w:firstLine="0"/>
        <w:rPr>
          <w:rFonts w:cs="Arial"/>
          <w:sz w:val="24"/>
          <w:szCs w:val="24"/>
        </w:rPr>
      </w:pPr>
      <w:r w:rsidRPr="00C267E6">
        <w:rPr>
          <w:rFonts w:cs="Arial"/>
          <w:sz w:val="24"/>
          <w:szCs w:val="24"/>
        </w:rPr>
        <w:t>A narrative description should be provided, together with summary information in accordance with the table below (comparative information should be included either in brackets, additional columns, or a separate table).</w:t>
      </w:r>
    </w:p>
    <w:tbl>
      <w:tblPr>
        <w:tblStyle w:val="TableGrid"/>
        <w:tblW w:w="0" w:type="auto"/>
        <w:tblInd w:w="250" w:type="dxa"/>
        <w:tblLayout w:type="fixed"/>
        <w:tblLook w:val="04A0" w:firstRow="1" w:lastRow="0" w:firstColumn="1" w:lastColumn="0" w:noHBand="0" w:noVBand="1"/>
      </w:tblPr>
      <w:tblGrid>
        <w:gridCol w:w="2864"/>
        <w:gridCol w:w="1984"/>
        <w:gridCol w:w="1985"/>
        <w:gridCol w:w="1843"/>
      </w:tblGrid>
      <w:tr w:rsidR="00C51D32" w:rsidRPr="00C267E6" w14:paraId="08E96B99" w14:textId="77777777" w:rsidTr="000378CB">
        <w:tc>
          <w:tcPr>
            <w:tcW w:w="2864" w:type="dxa"/>
          </w:tcPr>
          <w:p w14:paraId="198170EF" w14:textId="77777777" w:rsidR="00C51D32" w:rsidRPr="00C267E6" w:rsidRDefault="00C51D32" w:rsidP="00231963">
            <w:pPr>
              <w:pStyle w:val="BodyText"/>
              <w:tabs>
                <w:tab w:val="clear" w:pos="765"/>
              </w:tabs>
              <w:spacing w:before="60" w:after="60" w:line="276" w:lineRule="auto"/>
              <w:ind w:left="0" w:right="198" w:firstLine="0"/>
              <w:rPr>
                <w:rFonts w:cs="Arial"/>
                <w:sz w:val="24"/>
                <w:szCs w:val="24"/>
              </w:rPr>
            </w:pPr>
            <w:r w:rsidRPr="00C267E6">
              <w:rPr>
                <w:rFonts w:cs="Arial"/>
                <w:sz w:val="24"/>
                <w:szCs w:val="24"/>
              </w:rPr>
              <w:t>Exit package cost band</w:t>
            </w:r>
          </w:p>
        </w:tc>
        <w:tc>
          <w:tcPr>
            <w:tcW w:w="1984" w:type="dxa"/>
          </w:tcPr>
          <w:p w14:paraId="15D646F6" w14:textId="77777777" w:rsidR="00C51D32" w:rsidRPr="00C267E6" w:rsidRDefault="00C51D32" w:rsidP="00231963">
            <w:pPr>
              <w:pStyle w:val="BodyText"/>
              <w:tabs>
                <w:tab w:val="clear" w:pos="765"/>
              </w:tabs>
              <w:spacing w:before="60" w:after="60" w:line="276" w:lineRule="auto"/>
              <w:ind w:left="0" w:right="198" w:firstLine="0"/>
              <w:rPr>
                <w:rFonts w:cs="Arial"/>
                <w:sz w:val="24"/>
                <w:szCs w:val="24"/>
              </w:rPr>
            </w:pPr>
            <w:r w:rsidRPr="00C267E6">
              <w:rPr>
                <w:rFonts w:cs="Arial"/>
                <w:sz w:val="24"/>
                <w:szCs w:val="24"/>
              </w:rPr>
              <w:t>Number of compulsory redundancies</w:t>
            </w:r>
          </w:p>
        </w:tc>
        <w:tc>
          <w:tcPr>
            <w:tcW w:w="1985" w:type="dxa"/>
          </w:tcPr>
          <w:p w14:paraId="586CFF71" w14:textId="77777777" w:rsidR="00C51D32" w:rsidRPr="00C267E6" w:rsidRDefault="00C51D32" w:rsidP="00231963">
            <w:pPr>
              <w:pStyle w:val="BodyText"/>
              <w:tabs>
                <w:tab w:val="clear" w:pos="765"/>
              </w:tabs>
              <w:spacing w:before="60" w:after="60" w:line="276" w:lineRule="auto"/>
              <w:ind w:left="0" w:right="198" w:firstLine="0"/>
              <w:rPr>
                <w:rFonts w:cs="Arial"/>
                <w:sz w:val="24"/>
                <w:szCs w:val="24"/>
              </w:rPr>
            </w:pPr>
            <w:r w:rsidRPr="00C267E6">
              <w:rPr>
                <w:rFonts w:cs="Arial"/>
                <w:sz w:val="24"/>
                <w:szCs w:val="24"/>
              </w:rPr>
              <w:t>Number of other departures agreed</w:t>
            </w:r>
          </w:p>
        </w:tc>
        <w:tc>
          <w:tcPr>
            <w:tcW w:w="1843" w:type="dxa"/>
          </w:tcPr>
          <w:p w14:paraId="6890751B" w14:textId="77777777" w:rsidR="00C51D32" w:rsidRPr="00C267E6" w:rsidRDefault="00C51D32" w:rsidP="00231963">
            <w:pPr>
              <w:pStyle w:val="BodyText"/>
              <w:tabs>
                <w:tab w:val="clear" w:pos="765"/>
              </w:tabs>
              <w:spacing w:before="60" w:after="60" w:line="276" w:lineRule="auto"/>
              <w:ind w:left="0" w:right="198" w:firstLine="0"/>
              <w:rPr>
                <w:rFonts w:cs="Arial"/>
                <w:sz w:val="24"/>
                <w:szCs w:val="24"/>
              </w:rPr>
            </w:pPr>
            <w:r w:rsidRPr="00C267E6">
              <w:rPr>
                <w:rFonts w:cs="Arial"/>
                <w:sz w:val="24"/>
                <w:szCs w:val="24"/>
              </w:rPr>
              <w:t>Total number of exit packages by cost band</w:t>
            </w:r>
          </w:p>
        </w:tc>
      </w:tr>
      <w:tr w:rsidR="00C51D32" w:rsidRPr="00C267E6" w14:paraId="08498E67" w14:textId="77777777" w:rsidTr="000378CB">
        <w:tc>
          <w:tcPr>
            <w:tcW w:w="2864" w:type="dxa"/>
          </w:tcPr>
          <w:p w14:paraId="7DD17770" w14:textId="77777777" w:rsidR="00C51D32" w:rsidRPr="00C267E6" w:rsidRDefault="00C51D32" w:rsidP="00231963">
            <w:pPr>
              <w:pStyle w:val="BodyText"/>
              <w:tabs>
                <w:tab w:val="clear" w:pos="765"/>
              </w:tabs>
              <w:spacing w:before="60" w:after="60" w:line="276" w:lineRule="auto"/>
              <w:ind w:left="0" w:right="198" w:firstLine="0"/>
              <w:rPr>
                <w:rFonts w:cs="Arial"/>
                <w:sz w:val="24"/>
                <w:szCs w:val="24"/>
              </w:rPr>
            </w:pPr>
            <w:r w:rsidRPr="00C267E6">
              <w:rPr>
                <w:rFonts w:cs="Arial"/>
                <w:sz w:val="24"/>
                <w:szCs w:val="24"/>
              </w:rPr>
              <w:t>&lt;£10,000</w:t>
            </w:r>
          </w:p>
        </w:tc>
        <w:tc>
          <w:tcPr>
            <w:tcW w:w="1984" w:type="dxa"/>
          </w:tcPr>
          <w:p w14:paraId="67DFFFFE" w14:textId="77777777" w:rsidR="00C51D32" w:rsidRPr="00C267E6" w:rsidRDefault="00C51D32" w:rsidP="00231963">
            <w:pPr>
              <w:pStyle w:val="BodyText"/>
              <w:tabs>
                <w:tab w:val="clear" w:pos="765"/>
              </w:tabs>
              <w:spacing w:before="60" w:after="60" w:line="276" w:lineRule="auto"/>
              <w:ind w:left="0" w:right="198" w:firstLine="0"/>
              <w:rPr>
                <w:rFonts w:cs="Arial"/>
                <w:sz w:val="24"/>
                <w:szCs w:val="24"/>
              </w:rPr>
            </w:pPr>
          </w:p>
        </w:tc>
        <w:tc>
          <w:tcPr>
            <w:tcW w:w="1985" w:type="dxa"/>
          </w:tcPr>
          <w:p w14:paraId="176C9A4D" w14:textId="77777777" w:rsidR="00C51D32" w:rsidRPr="00C267E6" w:rsidRDefault="00C51D32" w:rsidP="00231963">
            <w:pPr>
              <w:pStyle w:val="BodyText"/>
              <w:tabs>
                <w:tab w:val="clear" w:pos="765"/>
              </w:tabs>
              <w:spacing w:before="60" w:after="60" w:line="276" w:lineRule="auto"/>
              <w:ind w:left="0" w:right="198" w:firstLine="0"/>
              <w:rPr>
                <w:rFonts w:cs="Arial"/>
                <w:sz w:val="24"/>
                <w:szCs w:val="24"/>
              </w:rPr>
            </w:pPr>
          </w:p>
        </w:tc>
        <w:tc>
          <w:tcPr>
            <w:tcW w:w="1843" w:type="dxa"/>
          </w:tcPr>
          <w:p w14:paraId="3C684C72" w14:textId="77777777" w:rsidR="00C51D32" w:rsidRPr="00C267E6" w:rsidRDefault="00C51D32" w:rsidP="00231963">
            <w:pPr>
              <w:pStyle w:val="BodyText"/>
              <w:tabs>
                <w:tab w:val="clear" w:pos="765"/>
              </w:tabs>
              <w:spacing w:before="60" w:after="60" w:line="276" w:lineRule="auto"/>
              <w:ind w:left="0" w:right="198" w:firstLine="0"/>
              <w:rPr>
                <w:rFonts w:cs="Arial"/>
                <w:sz w:val="24"/>
                <w:szCs w:val="24"/>
              </w:rPr>
            </w:pPr>
          </w:p>
        </w:tc>
      </w:tr>
      <w:tr w:rsidR="00C51D32" w:rsidRPr="00C267E6" w14:paraId="13AA9641" w14:textId="77777777" w:rsidTr="000378CB">
        <w:tc>
          <w:tcPr>
            <w:tcW w:w="2864" w:type="dxa"/>
          </w:tcPr>
          <w:p w14:paraId="08E8C8DB" w14:textId="77777777" w:rsidR="00C51D32" w:rsidRPr="00C267E6" w:rsidRDefault="00C51D32" w:rsidP="00231963">
            <w:pPr>
              <w:pStyle w:val="BodyText"/>
              <w:tabs>
                <w:tab w:val="clear" w:pos="765"/>
              </w:tabs>
              <w:spacing w:before="60" w:after="60" w:line="276" w:lineRule="auto"/>
              <w:ind w:left="0" w:right="198" w:firstLine="0"/>
              <w:rPr>
                <w:rFonts w:cs="Arial"/>
                <w:sz w:val="24"/>
                <w:szCs w:val="24"/>
              </w:rPr>
            </w:pPr>
            <w:r w:rsidRPr="00C267E6">
              <w:rPr>
                <w:rFonts w:cs="Arial"/>
                <w:sz w:val="24"/>
                <w:szCs w:val="24"/>
              </w:rPr>
              <w:t>£10,000 – £25,000</w:t>
            </w:r>
          </w:p>
        </w:tc>
        <w:tc>
          <w:tcPr>
            <w:tcW w:w="1984" w:type="dxa"/>
          </w:tcPr>
          <w:p w14:paraId="656E3F51" w14:textId="77777777" w:rsidR="00C51D32" w:rsidRPr="00C267E6" w:rsidRDefault="00C51D32" w:rsidP="00231963">
            <w:pPr>
              <w:pStyle w:val="BodyText"/>
              <w:tabs>
                <w:tab w:val="clear" w:pos="765"/>
              </w:tabs>
              <w:spacing w:before="60" w:after="60" w:line="276" w:lineRule="auto"/>
              <w:ind w:left="0" w:right="198" w:firstLine="0"/>
              <w:rPr>
                <w:rFonts w:cs="Arial"/>
                <w:sz w:val="24"/>
                <w:szCs w:val="24"/>
              </w:rPr>
            </w:pPr>
          </w:p>
        </w:tc>
        <w:tc>
          <w:tcPr>
            <w:tcW w:w="1985" w:type="dxa"/>
          </w:tcPr>
          <w:p w14:paraId="517FE463" w14:textId="77777777" w:rsidR="00C51D32" w:rsidRPr="00C267E6" w:rsidRDefault="00C51D32" w:rsidP="00231963">
            <w:pPr>
              <w:pStyle w:val="BodyText"/>
              <w:tabs>
                <w:tab w:val="clear" w:pos="765"/>
              </w:tabs>
              <w:spacing w:before="60" w:after="60" w:line="276" w:lineRule="auto"/>
              <w:ind w:left="0" w:right="198" w:firstLine="0"/>
              <w:rPr>
                <w:rFonts w:cs="Arial"/>
                <w:sz w:val="24"/>
                <w:szCs w:val="24"/>
              </w:rPr>
            </w:pPr>
          </w:p>
        </w:tc>
        <w:tc>
          <w:tcPr>
            <w:tcW w:w="1843" w:type="dxa"/>
          </w:tcPr>
          <w:p w14:paraId="32697B43" w14:textId="77777777" w:rsidR="00C51D32" w:rsidRPr="00C267E6" w:rsidRDefault="00C51D32" w:rsidP="00231963">
            <w:pPr>
              <w:pStyle w:val="BodyText"/>
              <w:tabs>
                <w:tab w:val="clear" w:pos="765"/>
              </w:tabs>
              <w:spacing w:before="60" w:after="60" w:line="276" w:lineRule="auto"/>
              <w:ind w:left="0" w:right="198" w:firstLine="0"/>
              <w:rPr>
                <w:rFonts w:cs="Arial"/>
                <w:sz w:val="24"/>
                <w:szCs w:val="24"/>
              </w:rPr>
            </w:pPr>
          </w:p>
        </w:tc>
      </w:tr>
      <w:tr w:rsidR="00C51D32" w:rsidRPr="00C267E6" w14:paraId="2600B5C2" w14:textId="77777777" w:rsidTr="000378CB">
        <w:tc>
          <w:tcPr>
            <w:tcW w:w="2864" w:type="dxa"/>
          </w:tcPr>
          <w:p w14:paraId="1252F815" w14:textId="77777777" w:rsidR="00C51D32" w:rsidRPr="00C267E6" w:rsidRDefault="00C51D32" w:rsidP="00231963">
            <w:pPr>
              <w:pStyle w:val="BodyText"/>
              <w:tabs>
                <w:tab w:val="clear" w:pos="765"/>
              </w:tabs>
              <w:spacing w:before="60" w:after="60" w:line="276" w:lineRule="auto"/>
              <w:ind w:left="0" w:right="198" w:firstLine="0"/>
              <w:rPr>
                <w:rFonts w:cs="Arial"/>
                <w:sz w:val="24"/>
                <w:szCs w:val="24"/>
              </w:rPr>
            </w:pPr>
            <w:r w:rsidRPr="00C267E6">
              <w:rPr>
                <w:rFonts w:cs="Arial"/>
                <w:sz w:val="24"/>
                <w:szCs w:val="24"/>
              </w:rPr>
              <w:t>£25,001 – £50,000</w:t>
            </w:r>
          </w:p>
        </w:tc>
        <w:tc>
          <w:tcPr>
            <w:tcW w:w="1984" w:type="dxa"/>
          </w:tcPr>
          <w:p w14:paraId="14040783" w14:textId="77777777" w:rsidR="00C51D32" w:rsidRPr="00C267E6" w:rsidRDefault="00C51D32" w:rsidP="00231963">
            <w:pPr>
              <w:pStyle w:val="BodyText"/>
              <w:tabs>
                <w:tab w:val="clear" w:pos="765"/>
              </w:tabs>
              <w:spacing w:before="60" w:after="60" w:line="276" w:lineRule="auto"/>
              <w:ind w:left="0" w:right="198" w:firstLine="0"/>
              <w:rPr>
                <w:rFonts w:cs="Arial"/>
                <w:sz w:val="24"/>
                <w:szCs w:val="24"/>
              </w:rPr>
            </w:pPr>
          </w:p>
        </w:tc>
        <w:tc>
          <w:tcPr>
            <w:tcW w:w="1985" w:type="dxa"/>
          </w:tcPr>
          <w:p w14:paraId="79A0E3CF" w14:textId="77777777" w:rsidR="00C51D32" w:rsidRPr="00C267E6" w:rsidRDefault="00C51D32" w:rsidP="00231963">
            <w:pPr>
              <w:pStyle w:val="BodyText"/>
              <w:tabs>
                <w:tab w:val="clear" w:pos="765"/>
              </w:tabs>
              <w:spacing w:before="60" w:after="60" w:line="276" w:lineRule="auto"/>
              <w:ind w:left="0" w:right="198" w:firstLine="0"/>
              <w:rPr>
                <w:rFonts w:cs="Arial"/>
                <w:sz w:val="24"/>
                <w:szCs w:val="24"/>
              </w:rPr>
            </w:pPr>
          </w:p>
        </w:tc>
        <w:tc>
          <w:tcPr>
            <w:tcW w:w="1843" w:type="dxa"/>
          </w:tcPr>
          <w:p w14:paraId="2C507762" w14:textId="77777777" w:rsidR="00C51D32" w:rsidRPr="00C267E6" w:rsidRDefault="00C51D32" w:rsidP="00231963">
            <w:pPr>
              <w:pStyle w:val="BodyText"/>
              <w:tabs>
                <w:tab w:val="clear" w:pos="765"/>
              </w:tabs>
              <w:spacing w:before="60" w:after="60" w:line="276" w:lineRule="auto"/>
              <w:ind w:left="0" w:right="198" w:firstLine="0"/>
              <w:rPr>
                <w:rFonts w:cs="Arial"/>
                <w:sz w:val="24"/>
                <w:szCs w:val="24"/>
              </w:rPr>
            </w:pPr>
          </w:p>
        </w:tc>
      </w:tr>
      <w:tr w:rsidR="00C51D32" w:rsidRPr="00C267E6" w14:paraId="63D793F4" w14:textId="77777777" w:rsidTr="000378CB">
        <w:tc>
          <w:tcPr>
            <w:tcW w:w="2864" w:type="dxa"/>
          </w:tcPr>
          <w:p w14:paraId="04498E13" w14:textId="77777777" w:rsidR="00C51D32" w:rsidRPr="00C267E6" w:rsidRDefault="00C51D32" w:rsidP="00231963">
            <w:pPr>
              <w:pStyle w:val="BodyText"/>
              <w:tabs>
                <w:tab w:val="clear" w:pos="765"/>
              </w:tabs>
              <w:spacing w:before="60" w:after="60" w:line="276" w:lineRule="auto"/>
              <w:ind w:left="0" w:right="198" w:firstLine="0"/>
              <w:rPr>
                <w:rFonts w:cs="Arial"/>
                <w:sz w:val="24"/>
                <w:szCs w:val="24"/>
              </w:rPr>
            </w:pPr>
            <w:r w:rsidRPr="00C267E6">
              <w:rPr>
                <w:rFonts w:cs="Arial"/>
                <w:sz w:val="24"/>
                <w:szCs w:val="24"/>
              </w:rPr>
              <w:t>£50,001 – £100,000</w:t>
            </w:r>
          </w:p>
        </w:tc>
        <w:tc>
          <w:tcPr>
            <w:tcW w:w="1984" w:type="dxa"/>
          </w:tcPr>
          <w:p w14:paraId="14DC2408" w14:textId="77777777" w:rsidR="00C51D32" w:rsidRPr="00C267E6" w:rsidRDefault="00C51D32" w:rsidP="00231963">
            <w:pPr>
              <w:pStyle w:val="BodyText"/>
              <w:tabs>
                <w:tab w:val="clear" w:pos="765"/>
              </w:tabs>
              <w:spacing w:before="60" w:after="60" w:line="276" w:lineRule="auto"/>
              <w:ind w:left="0" w:right="198" w:firstLine="0"/>
              <w:rPr>
                <w:rFonts w:cs="Arial"/>
                <w:sz w:val="24"/>
                <w:szCs w:val="24"/>
              </w:rPr>
            </w:pPr>
          </w:p>
        </w:tc>
        <w:tc>
          <w:tcPr>
            <w:tcW w:w="1985" w:type="dxa"/>
          </w:tcPr>
          <w:p w14:paraId="5C5EF210" w14:textId="77777777" w:rsidR="00C51D32" w:rsidRPr="00C267E6" w:rsidRDefault="00C51D32" w:rsidP="00231963">
            <w:pPr>
              <w:pStyle w:val="BodyText"/>
              <w:tabs>
                <w:tab w:val="clear" w:pos="765"/>
              </w:tabs>
              <w:spacing w:before="60" w:after="60" w:line="276" w:lineRule="auto"/>
              <w:ind w:left="0" w:right="198" w:firstLine="0"/>
              <w:rPr>
                <w:rFonts w:cs="Arial"/>
                <w:sz w:val="24"/>
                <w:szCs w:val="24"/>
              </w:rPr>
            </w:pPr>
          </w:p>
        </w:tc>
        <w:tc>
          <w:tcPr>
            <w:tcW w:w="1843" w:type="dxa"/>
          </w:tcPr>
          <w:p w14:paraId="417941A1" w14:textId="77777777" w:rsidR="00C51D32" w:rsidRPr="00C267E6" w:rsidRDefault="00C51D32" w:rsidP="00231963">
            <w:pPr>
              <w:pStyle w:val="BodyText"/>
              <w:tabs>
                <w:tab w:val="clear" w:pos="765"/>
              </w:tabs>
              <w:spacing w:before="60" w:after="60" w:line="276" w:lineRule="auto"/>
              <w:ind w:left="0" w:right="198" w:firstLine="0"/>
              <w:rPr>
                <w:rFonts w:cs="Arial"/>
                <w:sz w:val="24"/>
                <w:szCs w:val="24"/>
              </w:rPr>
            </w:pPr>
          </w:p>
        </w:tc>
      </w:tr>
      <w:tr w:rsidR="00C51D32" w:rsidRPr="00C267E6" w14:paraId="1432FAFC" w14:textId="77777777" w:rsidTr="000378CB">
        <w:tc>
          <w:tcPr>
            <w:tcW w:w="2864" w:type="dxa"/>
          </w:tcPr>
          <w:p w14:paraId="6053E901" w14:textId="77777777" w:rsidR="00C51D32" w:rsidRPr="00C267E6" w:rsidRDefault="00C51D32" w:rsidP="00231963">
            <w:pPr>
              <w:pStyle w:val="BodyText"/>
              <w:tabs>
                <w:tab w:val="clear" w:pos="765"/>
              </w:tabs>
              <w:spacing w:before="60" w:after="60" w:line="276" w:lineRule="auto"/>
              <w:ind w:left="0" w:right="198" w:firstLine="0"/>
              <w:rPr>
                <w:rFonts w:cs="Arial"/>
                <w:sz w:val="24"/>
                <w:szCs w:val="24"/>
              </w:rPr>
            </w:pPr>
            <w:r w:rsidRPr="00C267E6">
              <w:rPr>
                <w:rFonts w:cs="Arial"/>
                <w:sz w:val="24"/>
                <w:szCs w:val="24"/>
              </w:rPr>
              <w:t>£100,000 –  £150,000</w:t>
            </w:r>
          </w:p>
        </w:tc>
        <w:tc>
          <w:tcPr>
            <w:tcW w:w="1984" w:type="dxa"/>
          </w:tcPr>
          <w:p w14:paraId="0E1EC4C0" w14:textId="77777777" w:rsidR="00C51D32" w:rsidRPr="00C267E6" w:rsidRDefault="00C51D32" w:rsidP="00231963">
            <w:pPr>
              <w:pStyle w:val="BodyText"/>
              <w:tabs>
                <w:tab w:val="clear" w:pos="765"/>
              </w:tabs>
              <w:spacing w:before="60" w:after="60" w:line="276" w:lineRule="auto"/>
              <w:ind w:left="0" w:right="198" w:firstLine="0"/>
              <w:rPr>
                <w:rFonts w:cs="Arial"/>
                <w:sz w:val="24"/>
                <w:szCs w:val="24"/>
              </w:rPr>
            </w:pPr>
          </w:p>
        </w:tc>
        <w:tc>
          <w:tcPr>
            <w:tcW w:w="1985" w:type="dxa"/>
          </w:tcPr>
          <w:p w14:paraId="4D6EB71E" w14:textId="77777777" w:rsidR="00C51D32" w:rsidRPr="00C267E6" w:rsidRDefault="00C51D32" w:rsidP="00231963">
            <w:pPr>
              <w:pStyle w:val="BodyText"/>
              <w:tabs>
                <w:tab w:val="clear" w:pos="765"/>
              </w:tabs>
              <w:spacing w:before="60" w:after="60" w:line="276" w:lineRule="auto"/>
              <w:ind w:left="0" w:right="198" w:firstLine="0"/>
              <w:rPr>
                <w:rFonts w:cs="Arial"/>
                <w:sz w:val="24"/>
                <w:szCs w:val="24"/>
              </w:rPr>
            </w:pPr>
          </w:p>
        </w:tc>
        <w:tc>
          <w:tcPr>
            <w:tcW w:w="1843" w:type="dxa"/>
          </w:tcPr>
          <w:p w14:paraId="2B73CAAC" w14:textId="77777777" w:rsidR="00C51D32" w:rsidRPr="00C267E6" w:rsidRDefault="00C51D32" w:rsidP="00231963">
            <w:pPr>
              <w:pStyle w:val="BodyText"/>
              <w:tabs>
                <w:tab w:val="clear" w:pos="765"/>
              </w:tabs>
              <w:spacing w:before="60" w:after="60" w:line="276" w:lineRule="auto"/>
              <w:ind w:left="0" w:right="198" w:firstLine="0"/>
              <w:rPr>
                <w:rFonts w:cs="Arial"/>
                <w:sz w:val="24"/>
                <w:szCs w:val="24"/>
              </w:rPr>
            </w:pPr>
          </w:p>
        </w:tc>
      </w:tr>
      <w:tr w:rsidR="00C51D32" w:rsidRPr="00C267E6" w14:paraId="7A03CB2D" w14:textId="77777777" w:rsidTr="000378CB">
        <w:tc>
          <w:tcPr>
            <w:tcW w:w="2864" w:type="dxa"/>
          </w:tcPr>
          <w:p w14:paraId="02D34881" w14:textId="77777777" w:rsidR="00C51D32" w:rsidRPr="00C267E6" w:rsidRDefault="00C51D32" w:rsidP="00231963">
            <w:pPr>
              <w:pStyle w:val="BodyText"/>
              <w:tabs>
                <w:tab w:val="clear" w:pos="765"/>
              </w:tabs>
              <w:spacing w:before="60" w:after="60" w:line="276" w:lineRule="auto"/>
              <w:ind w:left="0" w:right="198" w:firstLine="0"/>
              <w:rPr>
                <w:rFonts w:cs="Arial"/>
                <w:sz w:val="24"/>
                <w:szCs w:val="24"/>
              </w:rPr>
            </w:pPr>
            <w:r w:rsidRPr="00C267E6">
              <w:rPr>
                <w:rFonts w:cs="Arial"/>
                <w:sz w:val="24"/>
                <w:szCs w:val="24"/>
              </w:rPr>
              <w:t>£150,001 –  £200,000</w:t>
            </w:r>
          </w:p>
        </w:tc>
        <w:tc>
          <w:tcPr>
            <w:tcW w:w="1984" w:type="dxa"/>
          </w:tcPr>
          <w:p w14:paraId="7E911DC1" w14:textId="77777777" w:rsidR="00C51D32" w:rsidRPr="00C267E6" w:rsidRDefault="00C51D32" w:rsidP="00231963">
            <w:pPr>
              <w:pStyle w:val="BodyText"/>
              <w:tabs>
                <w:tab w:val="clear" w:pos="765"/>
              </w:tabs>
              <w:spacing w:before="60" w:after="60" w:line="276" w:lineRule="auto"/>
              <w:ind w:left="0" w:right="198" w:firstLine="0"/>
              <w:rPr>
                <w:rFonts w:cs="Arial"/>
                <w:sz w:val="24"/>
                <w:szCs w:val="24"/>
              </w:rPr>
            </w:pPr>
          </w:p>
        </w:tc>
        <w:tc>
          <w:tcPr>
            <w:tcW w:w="1985" w:type="dxa"/>
          </w:tcPr>
          <w:p w14:paraId="202F6B5B" w14:textId="77777777" w:rsidR="00C51D32" w:rsidRPr="00C267E6" w:rsidRDefault="00C51D32" w:rsidP="00231963">
            <w:pPr>
              <w:pStyle w:val="BodyText"/>
              <w:tabs>
                <w:tab w:val="clear" w:pos="765"/>
              </w:tabs>
              <w:spacing w:before="60" w:after="60" w:line="276" w:lineRule="auto"/>
              <w:ind w:left="0" w:right="198" w:firstLine="0"/>
              <w:rPr>
                <w:rFonts w:cs="Arial"/>
                <w:sz w:val="24"/>
                <w:szCs w:val="24"/>
              </w:rPr>
            </w:pPr>
          </w:p>
        </w:tc>
        <w:tc>
          <w:tcPr>
            <w:tcW w:w="1843" w:type="dxa"/>
          </w:tcPr>
          <w:p w14:paraId="56363E60" w14:textId="77777777" w:rsidR="00C51D32" w:rsidRPr="00C267E6" w:rsidRDefault="00C51D32" w:rsidP="00231963">
            <w:pPr>
              <w:pStyle w:val="BodyText"/>
              <w:tabs>
                <w:tab w:val="clear" w:pos="765"/>
              </w:tabs>
              <w:spacing w:before="60" w:after="60" w:line="276" w:lineRule="auto"/>
              <w:ind w:left="0" w:right="198" w:firstLine="0"/>
              <w:rPr>
                <w:rFonts w:cs="Arial"/>
                <w:sz w:val="24"/>
                <w:szCs w:val="24"/>
              </w:rPr>
            </w:pPr>
          </w:p>
        </w:tc>
      </w:tr>
      <w:tr w:rsidR="00C51D32" w:rsidRPr="00C267E6" w14:paraId="4BF0BED0" w14:textId="77777777" w:rsidTr="000378CB">
        <w:tc>
          <w:tcPr>
            <w:tcW w:w="2864" w:type="dxa"/>
          </w:tcPr>
          <w:p w14:paraId="7E968989" w14:textId="77777777" w:rsidR="00C51D32" w:rsidRPr="00C267E6" w:rsidRDefault="00C51D32" w:rsidP="00231963">
            <w:pPr>
              <w:pStyle w:val="BodyText"/>
              <w:tabs>
                <w:tab w:val="clear" w:pos="765"/>
              </w:tabs>
              <w:spacing w:before="60" w:after="60" w:line="276" w:lineRule="auto"/>
              <w:ind w:left="0" w:right="198" w:firstLine="0"/>
              <w:rPr>
                <w:rFonts w:cs="Arial"/>
                <w:sz w:val="24"/>
                <w:szCs w:val="24"/>
              </w:rPr>
            </w:pPr>
            <w:r w:rsidRPr="00C267E6">
              <w:rPr>
                <w:rFonts w:cs="Arial"/>
                <w:sz w:val="24"/>
                <w:szCs w:val="24"/>
              </w:rPr>
              <w:t>etc.</w:t>
            </w:r>
          </w:p>
        </w:tc>
        <w:tc>
          <w:tcPr>
            <w:tcW w:w="1984" w:type="dxa"/>
          </w:tcPr>
          <w:p w14:paraId="70274746" w14:textId="77777777" w:rsidR="00C51D32" w:rsidRPr="00C267E6" w:rsidRDefault="00C51D32" w:rsidP="00231963">
            <w:pPr>
              <w:pStyle w:val="BodyText"/>
              <w:tabs>
                <w:tab w:val="clear" w:pos="765"/>
              </w:tabs>
              <w:spacing w:before="60" w:after="60" w:line="276" w:lineRule="auto"/>
              <w:ind w:left="0" w:right="198" w:firstLine="0"/>
              <w:rPr>
                <w:rFonts w:cs="Arial"/>
                <w:sz w:val="24"/>
                <w:szCs w:val="24"/>
              </w:rPr>
            </w:pPr>
          </w:p>
        </w:tc>
        <w:tc>
          <w:tcPr>
            <w:tcW w:w="1985" w:type="dxa"/>
          </w:tcPr>
          <w:p w14:paraId="2DE64809" w14:textId="77777777" w:rsidR="00C51D32" w:rsidRPr="00C267E6" w:rsidRDefault="00C51D32" w:rsidP="00231963">
            <w:pPr>
              <w:pStyle w:val="BodyText"/>
              <w:tabs>
                <w:tab w:val="clear" w:pos="765"/>
              </w:tabs>
              <w:spacing w:before="60" w:after="60" w:line="276" w:lineRule="auto"/>
              <w:ind w:left="0" w:right="198" w:firstLine="0"/>
              <w:rPr>
                <w:rFonts w:cs="Arial"/>
                <w:sz w:val="24"/>
                <w:szCs w:val="24"/>
              </w:rPr>
            </w:pPr>
          </w:p>
        </w:tc>
        <w:tc>
          <w:tcPr>
            <w:tcW w:w="1843" w:type="dxa"/>
          </w:tcPr>
          <w:p w14:paraId="766641A1" w14:textId="77777777" w:rsidR="00C51D32" w:rsidRPr="00C267E6" w:rsidRDefault="00C51D32" w:rsidP="00231963">
            <w:pPr>
              <w:pStyle w:val="BodyText"/>
              <w:tabs>
                <w:tab w:val="clear" w:pos="765"/>
              </w:tabs>
              <w:spacing w:before="60" w:after="60" w:line="276" w:lineRule="auto"/>
              <w:ind w:left="0" w:right="198" w:firstLine="0"/>
              <w:rPr>
                <w:rFonts w:cs="Arial"/>
                <w:sz w:val="24"/>
                <w:szCs w:val="24"/>
              </w:rPr>
            </w:pPr>
          </w:p>
        </w:tc>
      </w:tr>
      <w:tr w:rsidR="00C51D32" w:rsidRPr="00C267E6" w14:paraId="7DA3FBFB" w14:textId="77777777" w:rsidTr="000378CB">
        <w:tc>
          <w:tcPr>
            <w:tcW w:w="2864" w:type="dxa"/>
          </w:tcPr>
          <w:p w14:paraId="6DD51F2E" w14:textId="77777777" w:rsidR="00C51D32" w:rsidRPr="00C267E6" w:rsidRDefault="00C51D32" w:rsidP="00231963">
            <w:pPr>
              <w:pStyle w:val="BodyText"/>
              <w:tabs>
                <w:tab w:val="clear" w:pos="765"/>
              </w:tabs>
              <w:spacing w:before="60" w:after="60" w:line="276" w:lineRule="auto"/>
              <w:ind w:left="0" w:right="198" w:firstLine="0"/>
              <w:rPr>
                <w:rFonts w:cs="Arial"/>
                <w:sz w:val="24"/>
                <w:szCs w:val="24"/>
              </w:rPr>
            </w:pPr>
            <w:r w:rsidRPr="00C267E6">
              <w:rPr>
                <w:rFonts w:cs="Arial"/>
                <w:sz w:val="24"/>
                <w:szCs w:val="24"/>
              </w:rPr>
              <w:t>Total number of exit packages by type</w:t>
            </w:r>
          </w:p>
        </w:tc>
        <w:tc>
          <w:tcPr>
            <w:tcW w:w="1984" w:type="dxa"/>
          </w:tcPr>
          <w:p w14:paraId="241A1DF3" w14:textId="77777777" w:rsidR="00C51D32" w:rsidRPr="00C267E6" w:rsidRDefault="00C51D32" w:rsidP="00231963">
            <w:pPr>
              <w:pStyle w:val="BodyText"/>
              <w:tabs>
                <w:tab w:val="clear" w:pos="765"/>
              </w:tabs>
              <w:spacing w:before="60" w:after="60" w:line="276" w:lineRule="auto"/>
              <w:ind w:left="0" w:right="198" w:firstLine="0"/>
              <w:rPr>
                <w:rFonts w:cs="Arial"/>
                <w:sz w:val="24"/>
                <w:szCs w:val="24"/>
              </w:rPr>
            </w:pPr>
          </w:p>
        </w:tc>
        <w:tc>
          <w:tcPr>
            <w:tcW w:w="1985" w:type="dxa"/>
          </w:tcPr>
          <w:p w14:paraId="18FBBF08" w14:textId="77777777" w:rsidR="00C51D32" w:rsidRPr="00C267E6" w:rsidRDefault="00C51D32" w:rsidP="00231963">
            <w:pPr>
              <w:pStyle w:val="BodyText"/>
              <w:tabs>
                <w:tab w:val="clear" w:pos="765"/>
              </w:tabs>
              <w:spacing w:before="60" w:after="60" w:line="276" w:lineRule="auto"/>
              <w:ind w:left="0" w:right="198" w:firstLine="0"/>
              <w:rPr>
                <w:rFonts w:cs="Arial"/>
                <w:sz w:val="24"/>
                <w:szCs w:val="24"/>
              </w:rPr>
            </w:pPr>
          </w:p>
        </w:tc>
        <w:tc>
          <w:tcPr>
            <w:tcW w:w="1843" w:type="dxa"/>
          </w:tcPr>
          <w:p w14:paraId="0CDC61E3" w14:textId="77777777" w:rsidR="00C51D32" w:rsidRPr="00C267E6" w:rsidRDefault="00C51D32" w:rsidP="00231963">
            <w:pPr>
              <w:pStyle w:val="BodyText"/>
              <w:tabs>
                <w:tab w:val="clear" w:pos="765"/>
              </w:tabs>
              <w:spacing w:before="60" w:after="60" w:line="276" w:lineRule="auto"/>
              <w:ind w:left="0" w:right="198" w:firstLine="0"/>
              <w:rPr>
                <w:rFonts w:cs="Arial"/>
                <w:sz w:val="24"/>
                <w:szCs w:val="24"/>
              </w:rPr>
            </w:pPr>
          </w:p>
        </w:tc>
      </w:tr>
      <w:tr w:rsidR="00C51D32" w:rsidRPr="00C267E6" w14:paraId="58670510" w14:textId="77777777" w:rsidTr="000378CB">
        <w:tc>
          <w:tcPr>
            <w:tcW w:w="2864" w:type="dxa"/>
          </w:tcPr>
          <w:p w14:paraId="1706C712" w14:textId="77777777" w:rsidR="00C51D32" w:rsidRPr="00C267E6" w:rsidRDefault="00C51D32" w:rsidP="00231963">
            <w:pPr>
              <w:pStyle w:val="BodyText"/>
              <w:tabs>
                <w:tab w:val="clear" w:pos="765"/>
              </w:tabs>
              <w:spacing w:before="60" w:after="60" w:line="276" w:lineRule="auto"/>
              <w:ind w:left="0" w:right="198" w:firstLine="0"/>
              <w:rPr>
                <w:rFonts w:cs="Arial"/>
                <w:sz w:val="24"/>
                <w:szCs w:val="24"/>
              </w:rPr>
            </w:pPr>
            <w:r w:rsidRPr="00C267E6">
              <w:rPr>
                <w:rFonts w:cs="Arial"/>
                <w:sz w:val="24"/>
                <w:szCs w:val="24"/>
              </w:rPr>
              <w:t>Total resource cost</w:t>
            </w:r>
          </w:p>
        </w:tc>
        <w:tc>
          <w:tcPr>
            <w:tcW w:w="1984" w:type="dxa"/>
          </w:tcPr>
          <w:p w14:paraId="7A0FACD1" w14:textId="77777777" w:rsidR="00C51D32" w:rsidRPr="00C267E6" w:rsidRDefault="00C51D32" w:rsidP="00231963">
            <w:pPr>
              <w:pStyle w:val="BodyText"/>
              <w:tabs>
                <w:tab w:val="clear" w:pos="765"/>
              </w:tabs>
              <w:spacing w:before="60" w:after="60" w:line="276" w:lineRule="auto"/>
              <w:ind w:left="0" w:right="198" w:firstLine="0"/>
              <w:rPr>
                <w:rFonts w:cs="Arial"/>
                <w:sz w:val="24"/>
                <w:szCs w:val="24"/>
              </w:rPr>
            </w:pPr>
          </w:p>
        </w:tc>
        <w:tc>
          <w:tcPr>
            <w:tcW w:w="1985" w:type="dxa"/>
          </w:tcPr>
          <w:p w14:paraId="4665BF5E" w14:textId="77777777" w:rsidR="00C51D32" w:rsidRPr="00C267E6" w:rsidRDefault="00C51D32" w:rsidP="00231963">
            <w:pPr>
              <w:pStyle w:val="BodyText"/>
              <w:tabs>
                <w:tab w:val="clear" w:pos="765"/>
              </w:tabs>
              <w:spacing w:before="60" w:after="60" w:line="276" w:lineRule="auto"/>
              <w:ind w:left="0" w:right="198" w:firstLine="0"/>
              <w:rPr>
                <w:rFonts w:cs="Arial"/>
                <w:sz w:val="24"/>
                <w:szCs w:val="24"/>
              </w:rPr>
            </w:pPr>
          </w:p>
        </w:tc>
        <w:tc>
          <w:tcPr>
            <w:tcW w:w="1843" w:type="dxa"/>
          </w:tcPr>
          <w:p w14:paraId="486B5349" w14:textId="77777777" w:rsidR="00C51D32" w:rsidRPr="00C267E6" w:rsidRDefault="00C51D32" w:rsidP="00231963">
            <w:pPr>
              <w:pStyle w:val="BodyText"/>
              <w:tabs>
                <w:tab w:val="clear" w:pos="765"/>
              </w:tabs>
              <w:spacing w:before="60" w:after="60" w:line="276" w:lineRule="auto"/>
              <w:ind w:left="0" w:right="198" w:firstLine="0"/>
              <w:rPr>
                <w:rFonts w:cs="Arial"/>
                <w:sz w:val="24"/>
                <w:szCs w:val="24"/>
              </w:rPr>
            </w:pPr>
            <w:r w:rsidRPr="00C267E6">
              <w:rPr>
                <w:rFonts w:cs="Arial"/>
                <w:sz w:val="24"/>
                <w:szCs w:val="24"/>
              </w:rPr>
              <w:br/>
            </w:r>
          </w:p>
        </w:tc>
      </w:tr>
    </w:tbl>
    <w:p w14:paraId="34E1491F" w14:textId="77777777" w:rsidR="004D174A" w:rsidRDefault="004D174A" w:rsidP="00C51D32">
      <w:pPr>
        <w:pStyle w:val="BodyText"/>
        <w:tabs>
          <w:tab w:val="clear" w:pos="765"/>
        </w:tabs>
        <w:spacing w:after="200" w:line="276" w:lineRule="auto"/>
        <w:ind w:left="0" w:firstLine="0"/>
        <w:rPr>
          <w:rFonts w:cs="Arial"/>
          <w:sz w:val="24"/>
          <w:szCs w:val="24"/>
        </w:rPr>
      </w:pPr>
    </w:p>
    <w:p w14:paraId="68D3C35A" w14:textId="1C9901A8" w:rsidR="00C51D32" w:rsidRPr="00C267E6" w:rsidRDefault="00C51D32" w:rsidP="00C51D32">
      <w:pPr>
        <w:pStyle w:val="BodyText"/>
        <w:tabs>
          <w:tab w:val="clear" w:pos="765"/>
        </w:tabs>
        <w:spacing w:after="200" w:line="276" w:lineRule="auto"/>
        <w:ind w:left="0" w:firstLine="0"/>
        <w:rPr>
          <w:rFonts w:cs="Arial"/>
          <w:sz w:val="24"/>
          <w:szCs w:val="24"/>
        </w:rPr>
      </w:pPr>
      <w:r w:rsidRPr="00C267E6">
        <w:rPr>
          <w:rFonts w:cs="Arial"/>
          <w:sz w:val="24"/>
          <w:szCs w:val="24"/>
        </w:rPr>
        <w:t>The exit packages within the scope of this disclosure include, but are not limited to, those made under nationally-agreed arrangements or local arrangements for which Department of Health and Social Care (DHSC)/HM Treasury approval was required.</w:t>
      </w:r>
    </w:p>
    <w:p w14:paraId="1EFA37BB" w14:textId="77777777" w:rsidR="00C51D32" w:rsidRPr="00C267E6" w:rsidRDefault="00C51D32" w:rsidP="00C51D32">
      <w:pPr>
        <w:pStyle w:val="BodyText"/>
        <w:tabs>
          <w:tab w:val="clear" w:pos="765"/>
        </w:tabs>
        <w:spacing w:after="200" w:line="276" w:lineRule="auto"/>
        <w:ind w:left="0" w:firstLine="0"/>
        <w:rPr>
          <w:rFonts w:cs="Arial"/>
          <w:sz w:val="24"/>
          <w:szCs w:val="24"/>
        </w:rPr>
      </w:pPr>
      <w:r w:rsidRPr="00C267E6">
        <w:rPr>
          <w:rFonts w:cs="Arial"/>
          <w:sz w:val="24"/>
          <w:szCs w:val="24"/>
        </w:rPr>
        <w:t xml:space="preserve">This note should disclose all exit packages, including those paid to senior managers as defined in chapter 2 of the FT ARM. Amounts paid to senior managers will require further disclosure in the directors’ remuneration report. </w:t>
      </w:r>
    </w:p>
    <w:p w14:paraId="0038B7DC" w14:textId="77777777" w:rsidR="00C51D32" w:rsidRDefault="00C51D32" w:rsidP="00C51D32">
      <w:pPr>
        <w:pStyle w:val="BodyText"/>
        <w:tabs>
          <w:tab w:val="clear" w:pos="765"/>
        </w:tabs>
        <w:spacing w:after="200" w:line="276" w:lineRule="auto"/>
        <w:ind w:left="0" w:firstLine="0"/>
        <w:rPr>
          <w:rFonts w:cs="Arial"/>
          <w:sz w:val="24"/>
          <w:szCs w:val="24"/>
        </w:rPr>
      </w:pPr>
      <w:r w:rsidRPr="00C267E6">
        <w:rPr>
          <w:rFonts w:cs="Arial"/>
          <w:sz w:val="24"/>
          <w:szCs w:val="24"/>
        </w:rPr>
        <w:t xml:space="preserve">The cost of ill-health retirements falls on the relevant pension scheme, not the foundation trust, and should not be included in this disclosure. </w:t>
      </w:r>
    </w:p>
    <w:p w14:paraId="769C7312" w14:textId="77777777" w:rsidR="000378CB" w:rsidRPr="00C267E6" w:rsidRDefault="000378CB" w:rsidP="00C51D32">
      <w:pPr>
        <w:pStyle w:val="BodyText"/>
        <w:tabs>
          <w:tab w:val="clear" w:pos="765"/>
        </w:tabs>
        <w:spacing w:after="200" w:line="276" w:lineRule="auto"/>
        <w:ind w:left="0" w:firstLine="0"/>
        <w:rPr>
          <w:rFonts w:cs="Arial"/>
          <w:sz w:val="24"/>
          <w:szCs w:val="24"/>
        </w:rPr>
      </w:pPr>
    </w:p>
    <w:p w14:paraId="1AF22BDF" w14:textId="77777777" w:rsidR="00C51D32" w:rsidRPr="00C267E6" w:rsidRDefault="00C51D32" w:rsidP="004D174A">
      <w:pPr>
        <w:pStyle w:val="Heading2"/>
      </w:pPr>
      <w:r w:rsidRPr="00C267E6">
        <w:lastRenderedPageBreak/>
        <w:t>Exit packages: non-compulsory departure payments</w:t>
      </w:r>
    </w:p>
    <w:p w14:paraId="5789BF49" w14:textId="77777777" w:rsidR="00C51D32" w:rsidRPr="00C267E6" w:rsidRDefault="00C51D32" w:rsidP="00C51D32">
      <w:pPr>
        <w:pStyle w:val="BodyText"/>
        <w:tabs>
          <w:tab w:val="clear" w:pos="765"/>
        </w:tabs>
        <w:spacing w:after="200" w:line="276" w:lineRule="auto"/>
        <w:ind w:left="3" w:firstLine="0"/>
        <w:rPr>
          <w:rFonts w:cs="Arial"/>
          <w:sz w:val="24"/>
          <w:szCs w:val="24"/>
        </w:rPr>
      </w:pPr>
      <w:r w:rsidRPr="00C267E6">
        <w:rPr>
          <w:rFonts w:cs="Arial"/>
          <w:sz w:val="24"/>
          <w:szCs w:val="24"/>
        </w:rPr>
        <w:t>This note discloses the number of non-compulsory departures which attracted an exit package in the year, and the values of the associated payment(s) by individual type. The note is prepared on the same basis as the exit packages note, ie showing the exit packages agreed in the year, irrespective of the actual date of accrual or payment.</w:t>
      </w:r>
    </w:p>
    <w:p w14:paraId="5A7C415D" w14:textId="77777777" w:rsidR="00C51D32" w:rsidRPr="00C267E6" w:rsidRDefault="00C51D32" w:rsidP="00C51D32">
      <w:pPr>
        <w:pStyle w:val="BodyText"/>
        <w:tabs>
          <w:tab w:val="clear" w:pos="765"/>
        </w:tabs>
        <w:spacing w:after="200" w:line="276" w:lineRule="auto"/>
        <w:ind w:left="3" w:firstLine="0"/>
        <w:rPr>
          <w:rFonts w:cs="Arial"/>
          <w:sz w:val="24"/>
          <w:szCs w:val="24"/>
        </w:rPr>
      </w:pPr>
      <w:r w:rsidRPr="00C267E6">
        <w:rPr>
          <w:rFonts w:cs="Arial"/>
          <w:sz w:val="24"/>
          <w:szCs w:val="24"/>
        </w:rPr>
        <w:t>The total value in this note should agree with the total resource cost for other departures in the exit packages note. However, there are likely to be differences in the component numbers as the exit packages note relates to the number of individuals receiving an exit package, while this note gives the number for each component. As a single exit package is likely to be made up of several components, each of which will be counted separately, the total number is likely to be higher than the number of individuals. The first 4 lines should only be used for amounts due under contractual entitlements. Any non-contractual element of a payment (such as a non-contractual payment in lieu of notice) should be included in the ‘non-contractual payment requiring HM Treasury (HMT</w:t>
      </w:r>
      <w:r w:rsidRPr="008B69CA">
        <w:rPr>
          <w:rFonts w:cs="Arial"/>
          <w:sz w:val="24"/>
          <w:szCs w:val="24"/>
        </w:rPr>
        <w:t>)/DHSC</w:t>
      </w:r>
      <w:r w:rsidRPr="00C267E6">
        <w:rPr>
          <w:rFonts w:cs="Arial"/>
          <w:sz w:val="24"/>
          <w:szCs w:val="24"/>
        </w:rPr>
        <w:t xml:space="preserve"> approval’ line.</w:t>
      </w:r>
    </w:p>
    <w:p w14:paraId="6BE47190" w14:textId="77777777" w:rsidR="00C51D32" w:rsidRPr="00C267E6" w:rsidRDefault="00C51D32" w:rsidP="00C51D32">
      <w:pPr>
        <w:pStyle w:val="BodyText"/>
        <w:tabs>
          <w:tab w:val="clear" w:pos="765"/>
        </w:tabs>
        <w:spacing w:after="200" w:line="276" w:lineRule="auto"/>
        <w:ind w:left="3" w:firstLine="0"/>
        <w:rPr>
          <w:rFonts w:cs="Arial"/>
          <w:sz w:val="24"/>
          <w:szCs w:val="24"/>
        </w:rPr>
      </w:pPr>
      <w:r w:rsidRPr="00C267E6">
        <w:rPr>
          <w:rFonts w:cs="Arial"/>
          <w:sz w:val="24"/>
          <w:szCs w:val="24"/>
        </w:rPr>
        <w:t>Payments are disclosed in the following categories. Comparative information should be included either in brackets, additional columns, or a separate table and restated if last year they were not disclosed as clarified here.</w:t>
      </w:r>
    </w:p>
    <w:tbl>
      <w:tblPr>
        <w:tblStyle w:val="TableGrid"/>
        <w:tblW w:w="0" w:type="auto"/>
        <w:tblInd w:w="108" w:type="dxa"/>
        <w:tblLook w:val="04A0" w:firstRow="1" w:lastRow="0" w:firstColumn="1" w:lastColumn="0" w:noHBand="0" w:noVBand="1"/>
      </w:tblPr>
      <w:tblGrid>
        <w:gridCol w:w="4917"/>
        <w:gridCol w:w="1676"/>
        <w:gridCol w:w="1821"/>
      </w:tblGrid>
      <w:tr w:rsidR="00C51D32" w:rsidRPr="00C267E6" w14:paraId="4B78A46C" w14:textId="77777777" w:rsidTr="00231963">
        <w:tc>
          <w:tcPr>
            <w:tcW w:w="4917" w:type="dxa"/>
            <w:tcBorders>
              <w:top w:val="single" w:sz="4" w:space="0" w:color="auto"/>
              <w:left w:val="single" w:sz="4" w:space="0" w:color="auto"/>
              <w:bottom w:val="single" w:sz="4" w:space="0" w:color="auto"/>
              <w:right w:val="single" w:sz="4" w:space="0" w:color="auto"/>
            </w:tcBorders>
          </w:tcPr>
          <w:p w14:paraId="35E586EB" w14:textId="77777777" w:rsidR="00C51D32" w:rsidRPr="00C267E6" w:rsidRDefault="00C51D32" w:rsidP="00231963">
            <w:pPr>
              <w:pStyle w:val="BodyText"/>
              <w:tabs>
                <w:tab w:val="clear" w:pos="765"/>
                <w:tab w:val="left" w:pos="720"/>
              </w:tabs>
              <w:spacing w:before="40" w:after="40" w:line="276" w:lineRule="auto"/>
              <w:ind w:left="0" w:firstLine="0"/>
              <w:rPr>
                <w:rFonts w:cs="Arial"/>
                <w:sz w:val="24"/>
                <w:szCs w:val="24"/>
              </w:rPr>
            </w:pPr>
          </w:p>
        </w:tc>
        <w:tc>
          <w:tcPr>
            <w:tcW w:w="1676" w:type="dxa"/>
            <w:tcBorders>
              <w:top w:val="single" w:sz="4" w:space="0" w:color="auto"/>
              <w:left w:val="single" w:sz="4" w:space="0" w:color="auto"/>
              <w:bottom w:val="single" w:sz="4" w:space="0" w:color="auto"/>
              <w:right w:val="single" w:sz="4" w:space="0" w:color="auto"/>
            </w:tcBorders>
            <w:hideMark/>
          </w:tcPr>
          <w:p w14:paraId="4175A489" w14:textId="427F93C9" w:rsidR="00C51D32" w:rsidRPr="00C267E6" w:rsidRDefault="00C51D32" w:rsidP="00231963">
            <w:pPr>
              <w:pStyle w:val="BodyText"/>
              <w:tabs>
                <w:tab w:val="clear" w:pos="765"/>
                <w:tab w:val="left" w:pos="720"/>
              </w:tabs>
              <w:spacing w:before="40" w:after="40" w:line="276" w:lineRule="auto"/>
              <w:ind w:left="0" w:firstLine="0"/>
              <w:jc w:val="center"/>
              <w:rPr>
                <w:rFonts w:cs="Arial"/>
                <w:b/>
                <w:sz w:val="24"/>
                <w:szCs w:val="24"/>
              </w:rPr>
            </w:pPr>
            <w:r w:rsidRPr="00C267E6">
              <w:rPr>
                <w:rFonts w:cs="Arial"/>
                <w:b/>
                <w:sz w:val="24"/>
                <w:szCs w:val="24"/>
              </w:rPr>
              <w:t>Agreements</w:t>
            </w:r>
          </w:p>
          <w:p w14:paraId="5935FA54" w14:textId="77777777" w:rsidR="00C51D32" w:rsidRPr="00C267E6" w:rsidRDefault="00C51D32" w:rsidP="00231963">
            <w:pPr>
              <w:pStyle w:val="BodyText"/>
              <w:tabs>
                <w:tab w:val="clear" w:pos="765"/>
                <w:tab w:val="left" w:pos="720"/>
              </w:tabs>
              <w:spacing w:before="40" w:after="40" w:line="276" w:lineRule="auto"/>
              <w:ind w:left="0" w:firstLine="0"/>
              <w:jc w:val="center"/>
              <w:rPr>
                <w:rFonts w:cs="Arial"/>
                <w:sz w:val="24"/>
                <w:szCs w:val="24"/>
              </w:rPr>
            </w:pPr>
            <w:r w:rsidRPr="00C267E6">
              <w:rPr>
                <w:rFonts w:cs="Arial"/>
                <w:b/>
                <w:sz w:val="24"/>
                <w:szCs w:val="24"/>
              </w:rPr>
              <w:t>number</w:t>
            </w:r>
          </w:p>
        </w:tc>
        <w:tc>
          <w:tcPr>
            <w:tcW w:w="1821" w:type="dxa"/>
            <w:tcBorders>
              <w:top w:val="single" w:sz="4" w:space="0" w:color="auto"/>
              <w:left w:val="single" w:sz="4" w:space="0" w:color="auto"/>
              <w:bottom w:val="single" w:sz="4" w:space="0" w:color="auto"/>
              <w:right w:val="single" w:sz="4" w:space="0" w:color="auto"/>
            </w:tcBorders>
            <w:hideMark/>
          </w:tcPr>
          <w:p w14:paraId="06D14B33" w14:textId="77777777" w:rsidR="00C51D32" w:rsidRPr="00C267E6" w:rsidRDefault="00C51D32" w:rsidP="00231963">
            <w:pPr>
              <w:pStyle w:val="BodyText"/>
              <w:tabs>
                <w:tab w:val="clear" w:pos="765"/>
                <w:tab w:val="left" w:pos="720"/>
              </w:tabs>
              <w:spacing w:before="40" w:after="40" w:line="276" w:lineRule="auto"/>
              <w:ind w:left="0" w:firstLine="0"/>
              <w:jc w:val="center"/>
              <w:rPr>
                <w:rFonts w:cs="Arial"/>
                <w:b/>
                <w:sz w:val="24"/>
                <w:szCs w:val="24"/>
              </w:rPr>
            </w:pPr>
            <w:r w:rsidRPr="00C267E6">
              <w:rPr>
                <w:rFonts w:cs="Arial"/>
                <w:b/>
                <w:sz w:val="24"/>
                <w:szCs w:val="24"/>
              </w:rPr>
              <w:t>Total value of agreements</w:t>
            </w:r>
          </w:p>
          <w:p w14:paraId="263E9F79" w14:textId="77777777" w:rsidR="00C51D32" w:rsidRPr="00C267E6" w:rsidRDefault="00C51D32" w:rsidP="00231963">
            <w:pPr>
              <w:pStyle w:val="BodyText"/>
              <w:tabs>
                <w:tab w:val="clear" w:pos="765"/>
                <w:tab w:val="left" w:pos="720"/>
              </w:tabs>
              <w:spacing w:before="40" w:after="40" w:line="276" w:lineRule="auto"/>
              <w:ind w:left="0" w:firstLine="0"/>
              <w:jc w:val="center"/>
              <w:rPr>
                <w:rFonts w:cs="Arial"/>
                <w:sz w:val="24"/>
                <w:szCs w:val="24"/>
              </w:rPr>
            </w:pPr>
            <w:r w:rsidRPr="00C267E6">
              <w:rPr>
                <w:rFonts w:cs="Arial"/>
                <w:b/>
                <w:sz w:val="24"/>
                <w:szCs w:val="24"/>
              </w:rPr>
              <w:t>£000</w:t>
            </w:r>
          </w:p>
        </w:tc>
      </w:tr>
      <w:tr w:rsidR="00C51D32" w:rsidRPr="00C267E6" w14:paraId="1506E54F" w14:textId="77777777" w:rsidTr="00231963">
        <w:tc>
          <w:tcPr>
            <w:tcW w:w="4917" w:type="dxa"/>
            <w:tcBorders>
              <w:top w:val="single" w:sz="4" w:space="0" w:color="auto"/>
              <w:left w:val="single" w:sz="4" w:space="0" w:color="auto"/>
              <w:bottom w:val="single" w:sz="4" w:space="0" w:color="auto"/>
              <w:right w:val="single" w:sz="4" w:space="0" w:color="auto"/>
            </w:tcBorders>
            <w:hideMark/>
          </w:tcPr>
          <w:p w14:paraId="6E48974D" w14:textId="77777777" w:rsidR="00C51D32" w:rsidRPr="00C267E6" w:rsidRDefault="00C51D32" w:rsidP="00231963">
            <w:pPr>
              <w:pStyle w:val="BodyText"/>
              <w:tabs>
                <w:tab w:val="clear" w:pos="765"/>
                <w:tab w:val="left" w:pos="720"/>
              </w:tabs>
              <w:spacing w:before="40" w:after="40" w:line="276" w:lineRule="auto"/>
              <w:ind w:left="0" w:firstLine="0"/>
              <w:rPr>
                <w:rFonts w:cs="Arial"/>
                <w:sz w:val="24"/>
                <w:szCs w:val="24"/>
              </w:rPr>
            </w:pPr>
            <w:r w:rsidRPr="00C267E6">
              <w:rPr>
                <w:rFonts w:cs="Arial"/>
                <w:sz w:val="24"/>
                <w:szCs w:val="24"/>
              </w:rPr>
              <w:t>Voluntary redundancies including early retirement contractual costs</w:t>
            </w:r>
          </w:p>
        </w:tc>
        <w:tc>
          <w:tcPr>
            <w:tcW w:w="1676" w:type="dxa"/>
            <w:tcBorders>
              <w:top w:val="single" w:sz="4" w:space="0" w:color="auto"/>
              <w:left w:val="single" w:sz="4" w:space="0" w:color="auto"/>
              <w:bottom w:val="single" w:sz="4" w:space="0" w:color="auto"/>
              <w:right w:val="single" w:sz="4" w:space="0" w:color="auto"/>
            </w:tcBorders>
          </w:tcPr>
          <w:p w14:paraId="71E15D88" w14:textId="77777777" w:rsidR="00C51D32" w:rsidRPr="00C267E6" w:rsidRDefault="00C51D32" w:rsidP="00231963">
            <w:pPr>
              <w:pStyle w:val="BodyText"/>
              <w:tabs>
                <w:tab w:val="clear" w:pos="765"/>
                <w:tab w:val="left" w:pos="720"/>
              </w:tabs>
              <w:spacing w:before="40" w:after="40" w:line="276" w:lineRule="auto"/>
              <w:ind w:left="0" w:firstLine="0"/>
              <w:rPr>
                <w:rFonts w:cs="Arial"/>
                <w:sz w:val="24"/>
                <w:szCs w:val="24"/>
              </w:rPr>
            </w:pPr>
          </w:p>
        </w:tc>
        <w:tc>
          <w:tcPr>
            <w:tcW w:w="1821" w:type="dxa"/>
            <w:tcBorders>
              <w:top w:val="single" w:sz="4" w:space="0" w:color="auto"/>
              <w:left w:val="single" w:sz="4" w:space="0" w:color="auto"/>
              <w:bottom w:val="single" w:sz="4" w:space="0" w:color="auto"/>
              <w:right w:val="single" w:sz="4" w:space="0" w:color="auto"/>
            </w:tcBorders>
          </w:tcPr>
          <w:p w14:paraId="6DCE0E48" w14:textId="77777777" w:rsidR="00C51D32" w:rsidRPr="00C267E6" w:rsidRDefault="00C51D32" w:rsidP="00231963">
            <w:pPr>
              <w:pStyle w:val="BodyText"/>
              <w:tabs>
                <w:tab w:val="clear" w:pos="765"/>
                <w:tab w:val="left" w:pos="720"/>
              </w:tabs>
              <w:spacing w:before="40" w:after="40" w:line="276" w:lineRule="auto"/>
              <w:ind w:left="0" w:firstLine="0"/>
              <w:rPr>
                <w:rFonts w:cs="Arial"/>
                <w:sz w:val="24"/>
                <w:szCs w:val="24"/>
              </w:rPr>
            </w:pPr>
          </w:p>
        </w:tc>
      </w:tr>
      <w:tr w:rsidR="00C51D32" w:rsidRPr="00C267E6" w14:paraId="217A545E" w14:textId="77777777" w:rsidTr="00231963">
        <w:tc>
          <w:tcPr>
            <w:tcW w:w="4917" w:type="dxa"/>
            <w:tcBorders>
              <w:top w:val="single" w:sz="4" w:space="0" w:color="auto"/>
              <w:left w:val="single" w:sz="4" w:space="0" w:color="auto"/>
              <w:bottom w:val="single" w:sz="4" w:space="0" w:color="auto"/>
              <w:right w:val="single" w:sz="4" w:space="0" w:color="auto"/>
            </w:tcBorders>
            <w:hideMark/>
          </w:tcPr>
          <w:p w14:paraId="4497B2A2" w14:textId="77777777" w:rsidR="00C51D32" w:rsidRPr="00C267E6" w:rsidRDefault="00C51D32" w:rsidP="00231963">
            <w:pPr>
              <w:pStyle w:val="BodyText"/>
              <w:tabs>
                <w:tab w:val="clear" w:pos="765"/>
                <w:tab w:val="left" w:pos="720"/>
              </w:tabs>
              <w:spacing w:before="40" w:after="40" w:line="276" w:lineRule="auto"/>
              <w:ind w:left="0" w:firstLine="0"/>
              <w:rPr>
                <w:rFonts w:cs="Arial"/>
                <w:sz w:val="24"/>
                <w:szCs w:val="24"/>
              </w:rPr>
            </w:pPr>
            <w:r w:rsidRPr="00C267E6">
              <w:rPr>
                <w:rFonts w:cs="Arial"/>
                <w:sz w:val="24"/>
                <w:szCs w:val="24"/>
              </w:rPr>
              <w:t>Mutually agreed resignations (MARS) contractual costs</w:t>
            </w:r>
          </w:p>
        </w:tc>
        <w:tc>
          <w:tcPr>
            <w:tcW w:w="1676" w:type="dxa"/>
            <w:tcBorders>
              <w:top w:val="single" w:sz="4" w:space="0" w:color="auto"/>
              <w:left w:val="single" w:sz="4" w:space="0" w:color="auto"/>
              <w:bottom w:val="single" w:sz="4" w:space="0" w:color="auto"/>
              <w:right w:val="single" w:sz="4" w:space="0" w:color="auto"/>
            </w:tcBorders>
          </w:tcPr>
          <w:p w14:paraId="0AACCDC4" w14:textId="77777777" w:rsidR="00C51D32" w:rsidRPr="00C267E6" w:rsidRDefault="00C51D32" w:rsidP="00231963">
            <w:pPr>
              <w:pStyle w:val="BodyText"/>
              <w:tabs>
                <w:tab w:val="clear" w:pos="765"/>
                <w:tab w:val="left" w:pos="720"/>
              </w:tabs>
              <w:spacing w:before="40" w:after="40" w:line="276" w:lineRule="auto"/>
              <w:ind w:left="0" w:firstLine="0"/>
              <w:rPr>
                <w:rFonts w:cs="Arial"/>
                <w:sz w:val="24"/>
                <w:szCs w:val="24"/>
              </w:rPr>
            </w:pPr>
          </w:p>
        </w:tc>
        <w:tc>
          <w:tcPr>
            <w:tcW w:w="1821" w:type="dxa"/>
            <w:tcBorders>
              <w:top w:val="single" w:sz="4" w:space="0" w:color="auto"/>
              <w:left w:val="single" w:sz="4" w:space="0" w:color="auto"/>
              <w:bottom w:val="single" w:sz="4" w:space="0" w:color="auto"/>
              <w:right w:val="single" w:sz="4" w:space="0" w:color="auto"/>
            </w:tcBorders>
          </w:tcPr>
          <w:p w14:paraId="225E94AC" w14:textId="77777777" w:rsidR="00C51D32" w:rsidRPr="00C267E6" w:rsidRDefault="00C51D32" w:rsidP="00231963">
            <w:pPr>
              <w:pStyle w:val="BodyText"/>
              <w:tabs>
                <w:tab w:val="clear" w:pos="765"/>
                <w:tab w:val="left" w:pos="720"/>
              </w:tabs>
              <w:spacing w:before="40" w:after="40" w:line="276" w:lineRule="auto"/>
              <w:ind w:left="0" w:firstLine="0"/>
              <w:rPr>
                <w:rFonts w:cs="Arial"/>
                <w:sz w:val="24"/>
                <w:szCs w:val="24"/>
              </w:rPr>
            </w:pPr>
          </w:p>
        </w:tc>
      </w:tr>
      <w:tr w:rsidR="00C51D32" w:rsidRPr="00C267E6" w14:paraId="2BAA69DD" w14:textId="77777777" w:rsidTr="00231963">
        <w:tc>
          <w:tcPr>
            <w:tcW w:w="4917" w:type="dxa"/>
            <w:tcBorders>
              <w:top w:val="single" w:sz="4" w:space="0" w:color="auto"/>
              <w:left w:val="single" w:sz="4" w:space="0" w:color="auto"/>
              <w:bottom w:val="single" w:sz="4" w:space="0" w:color="auto"/>
              <w:right w:val="single" w:sz="4" w:space="0" w:color="auto"/>
            </w:tcBorders>
            <w:hideMark/>
          </w:tcPr>
          <w:p w14:paraId="6D03515E" w14:textId="77777777" w:rsidR="00C51D32" w:rsidRPr="00C267E6" w:rsidRDefault="00C51D32" w:rsidP="00231963">
            <w:pPr>
              <w:pStyle w:val="BodyText"/>
              <w:tabs>
                <w:tab w:val="clear" w:pos="765"/>
                <w:tab w:val="left" w:pos="720"/>
              </w:tabs>
              <w:spacing w:before="40" w:after="40" w:line="276" w:lineRule="auto"/>
              <w:ind w:left="0" w:firstLine="0"/>
              <w:rPr>
                <w:rFonts w:cs="Arial"/>
                <w:sz w:val="24"/>
                <w:szCs w:val="24"/>
              </w:rPr>
            </w:pPr>
            <w:r w:rsidRPr="00C267E6">
              <w:rPr>
                <w:rFonts w:cs="Arial"/>
                <w:sz w:val="24"/>
                <w:szCs w:val="24"/>
              </w:rPr>
              <w:t>Early retirements in the efficiency of the service contractual costs</w:t>
            </w:r>
          </w:p>
        </w:tc>
        <w:tc>
          <w:tcPr>
            <w:tcW w:w="1676" w:type="dxa"/>
            <w:tcBorders>
              <w:top w:val="single" w:sz="4" w:space="0" w:color="auto"/>
              <w:left w:val="single" w:sz="4" w:space="0" w:color="auto"/>
              <w:bottom w:val="single" w:sz="4" w:space="0" w:color="auto"/>
              <w:right w:val="single" w:sz="4" w:space="0" w:color="auto"/>
            </w:tcBorders>
          </w:tcPr>
          <w:p w14:paraId="33557E55" w14:textId="77777777" w:rsidR="00C51D32" w:rsidRPr="00C267E6" w:rsidRDefault="00C51D32" w:rsidP="00231963">
            <w:pPr>
              <w:pStyle w:val="BodyText"/>
              <w:tabs>
                <w:tab w:val="clear" w:pos="765"/>
                <w:tab w:val="left" w:pos="720"/>
              </w:tabs>
              <w:spacing w:before="40" w:after="40" w:line="276" w:lineRule="auto"/>
              <w:ind w:left="0" w:firstLine="0"/>
              <w:rPr>
                <w:rFonts w:cs="Arial"/>
                <w:sz w:val="24"/>
                <w:szCs w:val="24"/>
              </w:rPr>
            </w:pPr>
          </w:p>
        </w:tc>
        <w:tc>
          <w:tcPr>
            <w:tcW w:w="1821" w:type="dxa"/>
            <w:tcBorders>
              <w:top w:val="single" w:sz="4" w:space="0" w:color="auto"/>
              <w:left w:val="single" w:sz="4" w:space="0" w:color="auto"/>
              <w:bottom w:val="single" w:sz="4" w:space="0" w:color="auto"/>
              <w:right w:val="single" w:sz="4" w:space="0" w:color="auto"/>
            </w:tcBorders>
          </w:tcPr>
          <w:p w14:paraId="71DC4E07" w14:textId="77777777" w:rsidR="00C51D32" w:rsidRPr="00C267E6" w:rsidRDefault="00C51D32" w:rsidP="00231963">
            <w:pPr>
              <w:pStyle w:val="BodyText"/>
              <w:tabs>
                <w:tab w:val="clear" w:pos="765"/>
                <w:tab w:val="left" w:pos="720"/>
              </w:tabs>
              <w:spacing w:before="40" w:after="40" w:line="276" w:lineRule="auto"/>
              <w:ind w:left="0" w:firstLine="0"/>
              <w:rPr>
                <w:rFonts w:cs="Arial"/>
                <w:sz w:val="24"/>
                <w:szCs w:val="24"/>
              </w:rPr>
            </w:pPr>
          </w:p>
        </w:tc>
      </w:tr>
      <w:tr w:rsidR="00C51D32" w:rsidRPr="00C267E6" w14:paraId="6FD25217" w14:textId="77777777" w:rsidTr="00231963">
        <w:tc>
          <w:tcPr>
            <w:tcW w:w="4917" w:type="dxa"/>
            <w:tcBorders>
              <w:top w:val="single" w:sz="4" w:space="0" w:color="auto"/>
              <w:left w:val="single" w:sz="4" w:space="0" w:color="auto"/>
              <w:bottom w:val="single" w:sz="4" w:space="0" w:color="auto"/>
              <w:right w:val="single" w:sz="4" w:space="0" w:color="auto"/>
            </w:tcBorders>
            <w:hideMark/>
          </w:tcPr>
          <w:p w14:paraId="43AC1EEC" w14:textId="77777777" w:rsidR="00C51D32" w:rsidRPr="00C267E6" w:rsidRDefault="00C51D32" w:rsidP="00231963">
            <w:pPr>
              <w:pStyle w:val="BodyText"/>
              <w:tabs>
                <w:tab w:val="clear" w:pos="765"/>
                <w:tab w:val="left" w:pos="720"/>
              </w:tabs>
              <w:spacing w:before="40" w:after="40" w:line="276" w:lineRule="auto"/>
              <w:ind w:left="0" w:firstLine="0"/>
              <w:rPr>
                <w:rFonts w:cs="Arial"/>
                <w:sz w:val="24"/>
                <w:szCs w:val="24"/>
              </w:rPr>
            </w:pPr>
            <w:r w:rsidRPr="00C267E6">
              <w:rPr>
                <w:rFonts w:cs="Arial"/>
                <w:sz w:val="24"/>
                <w:szCs w:val="24"/>
              </w:rPr>
              <w:t>Contractual payments in lieu of notice</w:t>
            </w:r>
          </w:p>
        </w:tc>
        <w:tc>
          <w:tcPr>
            <w:tcW w:w="1676" w:type="dxa"/>
            <w:tcBorders>
              <w:top w:val="single" w:sz="4" w:space="0" w:color="auto"/>
              <w:left w:val="single" w:sz="4" w:space="0" w:color="auto"/>
              <w:bottom w:val="single" w:sz="4" w:space="0" w:color="auto"/>
              <w:right w:val="single" w:sz="4" w:space="0" w:color="auto"/>
            </w:tcBorders>
          </w:tcPr>
          <w:p w14:paraId="3D2B2332" w14:textId="77777777" w:rsidR="00C51D32" w:rsidRPr="00C267E6" w:rsidRDefault="00C51D32" w:rsidP="00231963">
            <w:pPr>
              <w:pStyle w:val="BodyText"/>
              <w:tabs>
                <w:tab w:val="clear" w:pos="765"/>
                <w:tab w:val="left" w:pos="720"/>
              </w:tabs>
              <w:spacing w:before="40" w:after="40" w:line="276" w:lineRule="auto"/>
              <w:ind w:left="0" w:firstLine="0"/>
              <w:rPr>
                <w:rFonts w:cs="Arial"/>
                <w:sz w:val="24"/>
                <w:szCs w:val="24"/>
              </w:rPr>
            </w:pPr>
          </w:p>
        </w:tc>
        <w:tc>
          <w:tcPr>
            <w:tcW w:w="1821" w:type="dxa"/>
            <w:tcBorders>
              <w:top w:val="single" w:sz="4" w:space="0" w:color="auto"/>
              <w:left w:val="single" w:sz="4" w:space="0" w:color="auto"/>
              <w:bottom w:val="single" w:sz="4" w:space="0" w:color="auto"/>
              <w:right w:val="single" w:sz="4" w:space="0" w:color="auto"/>
            </w:tcBorders>
          </w:tcPr>
          <w:p w14:paraId="3AF1F860" w14:textId="77777777" w:rsidR="00C51D32" w:rsidRPr="00C267E6" w:rsidRDefault="00C51D32" w:rsidP="00231963">
            <w:pPr>
              <w:pStyle w:val="BodyText"/>
              <w:tabs>
                <w:tab w:val="clear" w:pos="765"/>
                <w:tab w:val="left" w:pos="720"/>
              </w:tabs>
              <w:spacing w:before="40" w:after="40" w:line="276" w:lineRule="auto"/>
              <w:ind w:left="0" w:firstLine="0"/>
              <w:rPr>
                <w:rFonts w:cs="Arial"/>
                <w:sz w:val="24"/>
                <w:szCs w:val="24"/>
              </w:rPr>
            </w:pPr>
          </w:p>
        </w:tc>
      </w:tr>
      <w:tr w:rsidR="00C51D32" w:rsidRPr="00C267E6" w14:paraId="2BCCF0F3" w14:textId="77777777" w:rsidTr="00231963">
        <w:tc>
          <w:tcPr>
            <w:tcW w:w="4917" w:type="dxa"/>
            <w:tcBorders>
              <w:top w:val="single" w:sz="4" w:space="0" w:color="auto"/>
              <w:left w:val="single" w:sz="4" w:space="0" w:color="auto"/>
              <w:bottom w:val="single" w:sz="4" w:space="0" w:color="auto"/>
              <w:right w:val="single" w:sz="4" w:space="0" w:color="auto"/>
            </w:tcBorders>
            <w:hideMark/>
          </w:tcPr>
          <w:p w14:paraId="72A426AD" w14:textId="77777777" w:rsidR="00C51D32" w:rsidRPr="00C267E6" w:rsidRDefault="00C51D32" w:rsidP="00231963">
            <w:pPr>
              <w:pStyle w:val="BodyText"/>
              <w:tabs>
                <w:tab w:val="clear" w:pos="765"/>
                <w:tab w:val="left" w:pos="720"/>
              </w:tabs>
              <w:spacing w:before="40" w:after="40" w:line="276" w:lineRule="auto"/>
              <w:ind w:left="0" w:firstLine="0"/>
              <w:rPr>
                <w:rFonts w:cs="Arial"/>
                <w:sz w:val="24"/>
                <w:szCs w:val="24"/>
              </w:rPr>
            </w:pPr>
            <w:r w:rsidRPr="00C267E6">
              <w:rPr>
                <w:rFonts w:cs="Arial"/>
                <w:sz w:val="24"/>
                <w:szCs w:val="24"/>
              </w:rPr>
              <w:t>Exit payments following employment tribunals or court orders</w:t>
            </w:r>
          </w:p>
        </w:tc>
        <w:tc>
          <w:tcPr>
            <w:tcW w:w="1676" w:type="dxa"/>
            <w:tcBorders>
              <w:top w:val="single" w:sz="4" w:space="0" w:color="auto"/>
              <w:left w:val="single" w:sz="4" w:space="0" w:color="auto"/>
              <w:bottom w:val="single" w:sz="4" w:space="0" w:color="auto"/>
              <w:right w:val="single" w:sz="4" w:space="0" w:color="auto"/>
            </w:tcBorders>
          </w:tcPr>
          <w:p w14:paraId="1E6CB176" w14:textId="77777777" w:rsidR="00C51D32" w:rsidRPr="00C267E6" w:rsidRDefault="00C51D32" w:rsidP="00231963">
            <w:pPr>
              <w:pStyle w:val="BodyText"/>
              <w:tabs>
                <w:tab w:val="clear" w:pos="765"/>
                <w:tab w:val="left" w:pos="720"/>
              </w:tabs>
              <w:spacing w:before="40" w:after="40" w:line="276" w:lineRule="auto"/>
              <w:ind w:left="0" w:firstLine="0"/>
              <w:rPr>
                <w:rFonts w:cs="Arial"/>
                <w:sz w:val="24"/>
                <w:szCs w:val="24"/>
              </w:rPr>
            </w:pPr>
          </w:p>
        </w:tc>
        <w:tc>
          <w:tcPr>
            <w:tcW w:w="1821" w:type="dxa"/>
            <w:tcBorders>
              <w:top w:val="single" w:sz="4" w:space="0" w:color="auto"/>
              <w:left w:val="single" w:sz="4" w:space="0" w:color="auto"/>
              <w:bottom w:val="single" w:sz="4" w:space="0" w:color="auto"/>
              <w:right w:val="single" w:sz="4" w:space="0" w:color="auto"/>
            </w:tcBorders>
          </w:tcPr>
          <w:p w14:paraId="4AE0C406" w14:textId="77777777" w:rsidR="00C51D32" w:rsidRPr="00C267E6" w:rsidRDefault="00C51D32" w:rsidP="00231963">
            <w:pPr>
              <w:pStyle w:val="BodyText"/>
              <w:tabs>
                <w:tab w:val="clear" w:pos="765"/>
                <w:tab w:val="left" w:pos="720"/>
              </w:tabs>
              <w:spacing w:before="40" w:after="40" w:line="276" w:lineRule="auto"/>
              <w:ind w:left="0" w:firstLine="0"/>
              <w:rPr>
                <w:rFonts w:cs="Arial"/>
                <w:sz w:val="24"/>
                <w:szCs w:val="24"/>
              </w:rPr>
            </w:pPr>
          </w:p>
        </w:tc>
      </w:tr>
      <w:tr w:rsidR="00C51D32" w:rsidRPr="00C267E6" w14:paraId="44330BA7" w14:textId="77777777" w:rsidTr="00231963">
        <w:tc>
          <w:tcPr>
            <w:tcW w:w="4917" w:type="dxa"/>
            <w:tcBorders>
              <w:top w:val="single" w:sz="4" w:space="0" w:color="auto"/>
              <w:left w:val="single" w:sz="4" w:space="0" w:color="auto"/>
              <w:bottom w:val="single" w:sz="4" w:space="0" w:color="auto"/>
              <w:right w:val="single" w:sz="4" w:space="0" w:color="auto"/>
            </w:tcBorders>
            <w:hideMark/>
          </w:tcPr>
          <w:p w14:paraId="70445ACA" w14:textId="77777777" w:rsidR="00C51D32" w:rsidRPr="00C267E6" w:rsidRDefault="00C51D32" w:rsidP="00231963">
            <w:pPr>
              <w:pStyle w:val="BodyText"/>
              <w:tabs>
                <w:tab w:val="clear" w:pos="765"/>
                <w:tab w:val="left" w:pos="720"/>
              </w:tabs>
              <w:spacing w:before="40" w:after="40" w:line="276" w:lineRule="auto"/>
              <w:ind w:left="0" w:firstLine="0"/>
              <w:rPr>
                <w:rFonts w:cs="Arial"/>
                <w:sz w:val="24"/>
                <w:szCs w:val="24"/>
              </w:rPr>
            </w:pPr>
            <w:r w:rsidRPr="00C267E6">
              <w:rPr>
                <w:rFonts w:cs="Arial"/>
                <w:sz w:val="24"/>
                <w:szCs w:val="24"/>
              </w:rPr>
              <w:t>Non-contractual payments requiring HMT</w:t>
            </w:r>
            <w:r w:rsidRPr="004D174A">
              <w:rPr>
                <w:rFonts w:cs="Arial"/>
                <w:sz w:val="24"/>
                <w:szCs w:val="24"/>
              </w:rPr>
              <w:t>/DHSC</w:t>
            </w:r>
            <w:r w:rsidRPr="00C267E6">
              <w:rPr>
                <w:rFonts w:cs="Arial"/>
                <w:b/>
                <w:bCs/>
                <w:i/>
                <w:iCs/>
                <w:sz w:val="24"/>
                <w:szCs w:val="24"/>
              </w:rPr>
              <w:t xml:space="preserve"> </w:t>
            </w:r>
            <w:r w:rsidRPr="00C267E6">
              <w:rPr>
                <w:rFonts w:cs="Arial"/>
                <w:sz w:val="24"/>
                <w:szCs w:val="24"/>
              </w:rPr>
              <w:t>approval *</w:t>
            </w:r>
          </w:p>
        </w:tc>
        <w:tc>
          <w:tcPr>
            <w:tcW w:w="1676" w:type="dxa"/>
            <w:tcBorders>
              <w:top w:val="single" w:sz="4" w:space="0" w:color="auto"/>
              <w:left w:val="single" w:sz="4" w:space="0" w:color="auto"/>
              <w:bottom w:val="single" w:sz="4" w:space="0" w:color="auto"/>
              <w:right w:val="single" w:sz="4" w:space="0" w:color="auto"/>
            </w:tcBorders>
          </w:tcPr>
          <w:p w14:paraId="095BE049" w14:textId="77777777" w:rsidR="00C51D32" w:rsidRPr="00C267E6" w:rsidRDefault="00C51D32" w:rsidP="00231963">
            <w:pPr>
              <w:pStyle w:val="BodyText"/>
              <w:tabs>
                <w:tab w:val="clear" w:pos="765"/>
                <w:tab w:val="left" w:pos="720"/>
              </w:tabs>
              <w:spacing w:before="40" w:after="40" w:line="276" w:lineRule="auto"/>
              <w:ind w:left="0" w:firstLine="0"/>
              <w:rPr>
                <w:rFonts w:cs="Arial"/>
                <w:sz w:val="24"/>
                <w:szCs w:val="24"/>
              </w:rPr>
            </w:pPr>
          </w:p>
        </w:tc>
        <w:tc>
          <w:tcPr>
            <w:tcW w:w="1821" w:type="dxa"/>
            <w:tcBorders>
              <w:top w:val="single" w:sz="4" w:space="0" w:color="auto"/>
              <w:left w:val="single" w:sz="4" w:space="0" w:color="auto"/>
              <w:bottom w:val="single" w:sz="4" w:space="0" w:color="auto"/>
              <w:right w:val="single" w:sz="4" w:space="0" w:color="auto"/>
            </w:tcBorders>
          </w:tcPr>
          <w:p w14:paraId="24B80F63" w14:textId="77777777" w:rsidR="00C51D32" w:rsidRPr="00C267E6" w:rsidRDefault="00C51D32" w:rsidP="00231963">
            <w:pPr>
              <w:pStyle w:val="BodyText"/>
              <w:tabs>
                <w:tab w:val="clear" w:pos="765"/>
                <w:tab w:val="left" w:pos="720"/>
              </w:tabs>
              <w:spacing w:before="40" w:after="40" w:line="276" w:lineRule="auto"/>
              <w:ind w:left="0" w:firstLine="0"/>
              <w:rPr>
                <w:rFonts w:cs="Arial"/>
                <w:sz w:val="24"/>
                <w:szCs w:val="24"/>
              </w:rPr>
            </w:pPr>
          </w:p>
        </w:tc>
      </w:tr>
      <w:tr w:rsidR="00C51D32" w:rsidRPr="00C267E6" w14:paraId="71B0A5DB" w14:textId="77777777" w:rsidTr="00231963">
        <w:tc>
          <w:tcPr>
            <w:tcW w:w="4917" w:type="dxa"/>
            <w:tcBorders>
              <w:top w:val="single" w:sz="4" w:space="0" w:color="auto"/>
              <w:left w:val="single" w:sz="4" w:space="0" w:color="auto"/>
              <w:bottom w:val="single" w:sz="4" w:space="0" w:color="auto"/>
              <w:right w:val="single" w:sz="4" w:space="0" w:color="auto"/>
            </w:tcBorders>
            <w:hideMark/>
          </w:tcPr>
          <w:p w14:paraId="7552D277" w14:textId="77777777" w:rsidR="00C51D32" w:rsidRPr="00C267E6" w:rsidRDefault="00C51D32" w:rsidP="00231963">
            <w:pPr>
              <w:pStyle w:val="BodyText"/>
              <w:tabs>
                <w:tab w:val="clear" w:pos="765"/>
                <w:tab w:val="left" w:pos="720"/>
              </w:tabs>
              <w:spacing w:before="40" w:after="40" w:line="276" w:lineRule="auto"/>
              <w:ind w:left="0" w:firstLine="0"/>
              <w:rPr>
                <w:rFonts w:cs="Arial"/>
                <w:b/>
                <w:sz w:val="24"/>
                <w:szCs w:val="24"/>
              </w:rPr>
            </w:pPr>
            <w:r w:rsidRPr="00C267E6">
              <w:rPr>
                <w:rFonts w:cs="Arial"/>
                <w:b/>
                <w:sz w:val="24"/>
                <w:szCs w:val="24"/>
              </w:rPr>
              <w:t>Total</w:t>
            </w:r>
          </w:p>
        </w:tc>
        <w:tc>
          <w:tcPr>
            <w:tcW w:w="1676" w:type="dxa"/>
            <w:tcBorders>
              <w:top w:val="single" w:sz="4" w:space="0" w:color="auto"/>
              <w:left w:val="single" w:sz="4" w:space="0" w:color="auto"/>
              <w:bottom w:val="single" w:sz="4" w:space="0" w:color="auto"/>
              <w:right w:val="single" w:sz="4" w:space="0" w:color="auto"/>
            </w:tcBorders>
          </w:tcPr>
          <w:p w14:paraId="05612668" w14:textId="77777777" w:rsidR="00C51D32" w:rsidRPr="00C267E6" w:rsidRDefault="00C51D32" w:rsidP="00231963">
            <w:pPr>
              <w:pStyle w:val="BodyText"/>
              <w:tabs>
                <w:tab w:val="clear" w:pos="765"/>
                <w:tab w:val="left" w:pos="720"/>
              </w:tabs>
              <w:spacing w:before="40" w:after="40" w:line="276" w:lineRule="auto"/>
              <w:ind w:left="0" w:firstLine="0"/>
              <w:rPr>
                <w:rFonts w:cs="Arial"/>
                <w:sz w:val="24"/>
                <w:szCs w:val="24"/>
              </w:rPr>
            </w:pPr>
          </w:p>
        </w:tc>
        <w:tc>
          <w:tcPr>
            <w:tcW w:w="1821" w:type="dxa"/>
            <w:tcBorders>
              <w:top w:val="single" w:sz="4" w:space="0" w:color="auto"/>
              <w:left w:val="single" w:sz="4" w:space="0" w:color="auto"/>
              <w:bottom w:val="single" w:sz="4" w:space="0" w:color="auto"/>
              <w:right w:val="single" w:sz="4" w:space="0" w:color="auto"/>
            </w:tcBorders>
          </w:tcPr>
          <w:p w14:paraId="7B0B0AF7" w14:textId="77777777" w:rsidR="00C51D32" w:rsidRPr="00C267E6" w:rsidRDefault="00C51D32" w:rsidP="00231963">
            <w:pPr>
              <w:pStyle w:val="BodyText"/>
              <w:tabs>
                <w:tab w:val="clear" w:pos="765"/>
                <w:tab w:val="left" w:pos="720"/>
              </w:tabs>
              <w:spacing w:before="40" w:after="40" w:line="276" w:lineRule="auto"/>
              <w:ind w:left="0" w:firstLine="0"/>
              <w:rPr>
                <w:rFonts w:cs="Arial"/>
                <w:sz w:val="24"/>
                <w:szCs w:val="24"/>
              </w:rPr>
            </w:pPr>
          </w:p>
        </w:tc>
      </w:tr>
      <w:tr w:rsidR="00C51D32" w:rsidRPr="00C267E6" w14:paraId="175AD34E" w14:textId="77777777" w:rsidTr="00231963">
        <w:tc>
          <w:tcPr>
            <w:tcW w:w="4917" w:type="dxa"/>
            <w:tcBorders>
              <w:top w:val="single" w:sz="4" w:space="0" w:color="auto"/>
              <w:left w:val="single" w:sz="4" w:space="0" w:color="auto"/>
              <w:bottom w:val="single" w:sz="4" w:space="0" w:color="auto"/>
              <w:right w:val="single" w:sz="4" w:space="0" w:color="auto"/>
            </w:tcBorders>
          </w:tcPr>
          <w:p w14:paraId="20D7B3C7" w14:textId="77777777" w:rsidR="00C51D32" w:rsidRPr="00C267E6" w:rsidRDefault="00C51D32" w:rsidP="00231963">
            <w:pPr>
              <w:spacing w:after="0"/>
              <w:ind w:left="284"/>
              <w:rPr>
                <w:rFonts w:eastAsia="Times New Roman" w:cs="Arial"/>
                <w:bCs/>
                <w:color w:val="000000"/>
                <w:sz w:val="24"/>
                <w:szCs w:val="24"/>
              </w:rPr>
            </w:pPr>
            <w:r w:rsidRPr="00C267E6">
              <w:rPr>
                <w:rFonts w:eastAsia="Times New Roman" w:cs="Arial"/>
                <w:bCs/>
                <w:color w:val="000000"/>
                <w:sz w:val="24"/>
                <w:szCs w:val="24"/>
              </w:rPr>
              <w:t>Of which:</w:t>
            </w:r>
          </w:p>
          <w:p w14:paraId="0E189E75" w14:textId="77777777" w:rsidR="00C51D32" w:rsidRPr="00C267E6" w:rsidRDefault="00C51D32" w:rsidP="00231963">
            <w:pPr>
              <w:pStyle w:val="BodyText"/>
              <w:tabs>
                <w:tab w:val="clear" w:pos="765"/>
                <w:tab w:val="left" w:pos="720"/>
              </w:tabs>
              <w:spacing w:before="40" w:after="40" w:line="276" w:lineRule="auto"/>
              <w:ind w:left="284" w:firstLine="0"/>
              <w:rPr>
                <w:rFonts w:cs="Arial"/>
                <w:sz w:val="24"/>
                <w:szCs w:val="24"/>
              </w:rPr>
            </w:pPr>
            <w:r w:rsidRPr="00C267E6">
              <w:rPr>
                <w:rFonts w:eastAsia="Times New Roman" w:cs="Arial"/>
                <w:bCs/>
                <w:color w:val="000000"/>
                <w:sz w:val="24"/>
                <w:szCs w:val="24"/>
                <w:lang w:eastAsia="en-GB"/>
              </w:rPr>
              <w:t>non-contractual payments requiring HMT</w:t>
            </w:r>
            <w:r w:rsidRPr="004D174A">
              <w:rPr>
                <w:rFonts w:eastAsia="Times New Roman" w:cs="Arial"/>
                <w:bCs/>
                <w:color w:val="000000"/>
                <w:sz w:val="24"/>
                <w:szCs w:val="24"/>
                <w:lang w:eastAsia="en-GB"/>
              </w:rPr>
              <w:t>/DHSC</w:t>
            </w:r>
            <w:r w:rsidRPr="00C267E6">
              <w:rPr>
                <w:rFonts w:eastAsia="Times New Roman" w:cs="Arial"/>
                <w:b/>
                <w:i/>
                <w:iCs/>
                <w:color w:val="000000"/>
                <w:sz w:val="24"/>
                <w:szCs w:val="24"/>
                <w:lang w:eastAsia="en-GB"/>
              </w:rPr>
              <w:t xml:space="preserve"> </w:t>
            </w:r>
            <w:r w:rsidRPr="00C267E6">
              <w:rPr>
                <w:rFonts w:eastAsia="Times New Roman" w:cs="Arial"/>
                <w:bCs/>
                <w:color w:val="000000"/>
                <w:sz w:val="24"/>
                <w:szCs w:val="24"/>
                <w:lang w:eastAsia="en-GB"/>
              </w:rPr>
              <w:t>approval made to individuals where the payment value was more than 12 months of their annual salary</w:t>
            </w:r>
          </w:p>
        </w:tc>
        <w:tc>
          <w:tcPr>
            <w:tcW w:w="1676" w:type="dxa"/>
            <w:tcBorders>
              <w:top w:val="single" w:sz="4" w:space="0" w:color="auto"/>
              <w:left w:val="single" w:sz="4" w:space="0" w:color="auto"/>
              <w:bottom w:val="single" w:sz="4" w:space="0" w:color="auto"/>
              <w:right w:val="single" w:sz="4" w:space="0" w:color="auto"/>
            </w:tcBorders>
          </w:tcPr>
          <w:p w14:paraId="618394B7" w14:textId="77777777" w:rsidR="00C51D32" w:rsidRPr="00C267E6" w:rsidRDefault="00C51D32" w:rsidP="00231963">
            <w:pPr>
              <w:pStyle w:val="BodyText"/>
              <w:tabs>
                <w:tab w:val="clear" w:pos="765"/>
                <w:tab w:val="left" w:pos="720"/>
              </w:tabs>
              <w:spacing w:before="40" w:after="40" w:line="276" w:lineRule="auto"/>
              <w:ind w:left="-41" w:right="-36" w:firstLine="0"/>
              <w:rPr>
                <w:rFonts w:cs="Arial"/>
                <w:sz w:val="24"/>
                <w:szCs w:val="24"/>
              </w:rPr>
            </w:pPr>
            <w:r w:rsidRPr="00C267E6">
              <w:rPr>
                <w:rFonts w:cs="Arial"/>
                <w:sz w:val="24"/>
                <w:szCs w:val="24"/>
              </w:rPr>
              <w:t>[this will be a subset of the non-contractual line above]</w:t>
            </w:r>
          </w:p>
        </w:tc>
        <w:tc>
          <w:tcPr>
            <w:tcW w:w="1821" w:type="dxa"/>
            <w:tcBorders>
              <w:top w:val="single" w:sz="4" w:space="0" w:color="auto"/>
              <w:left w:val="single" w:sz="4" w:space="0" w:color="auto"/>
              <w:bottom w:val="single" w:sz="4" w:space="0" w:color="auto"/>
              <w:right w:val="single" w:sz="4" w:space="0" w:color="auto"/>
            </w:tcBorders>
          </w:tcPr>
          <w:p w14:paraId="0FED22C0" w14:textId="77777777" w:rsidR="00C51D32" w:rsidRPr="00C267E6" w:rsidRDefault="00C51D32" w:rsidP="00231963">
            <w:pPr>
              <w:pStyle w:val="BodyText"/>
              <w:tabs>
                <w:tab w:val="clear" w:pos="765"/>
                <w:tab w:val="left" w:pos="720"/>
              </w:tabs>
              <w:spacing w:before="40" w:after="40" w:line="276" w:lineRule="auto"/>
              <w:ind w:left="0" w:firstLine="0"/>
              <w:rPr>
                <w:rFonts w:cs="Arial"/>
                <w:sz w:val="24"/>
                <w:szCs w:val="24"/>
              </w:rPr>
            </w:pPr>
            <w:r w:rsidRPr="00C267E6">
              <w:rPr>
                <w:rFonts w:cs="Arial"/>
                <w:sz w:val="24"/>
                <w:szCs w:val="24"/>
              </w:rPr>
              <w:t>[this will be a subset of the non-contractual line above]</w:t>
            </w:r>
          </w:p>
        </w:tc>
      </w:tr>
    </w:tbl>
    <w:p w14:paraId="10F0F9E5" w14:textId="77777777" w:rsidR="004D174A" w:rsidRDefault="004D174A" w:rsidP="00C51D32">
      <w:pPr>
        <w:pStyle w:val="BodyText"/>
        <w:tabs>
          <w:tab w:val="clear" w:pos="765"/>
        </w:tabs>
        <w:spacing w:after="80" w:line="276" w:lineRule="auto"/>
        <w:ind w:left="142" w:firstLine="0"/>
        <w:rPr>
          <w:rFonts w:cs="Arial"/>
          <w:sz w:val="24"/>
          <w:szCs w:val="24"/>
        </w:rPr>
      </w:pPr>
    </w:p>
    <w:p w14:paraId="1269099E" w14:textId="1311121F" w:rsidR="00C51D32" w:rsidRPr="00C267E6" w:rsidRDefault="00C51D32" w:rsidP="00C51D32">
      <w:pPr>
        <w:pStyle w:val="BodyText"/>
        <w:tabs>
          <w:tab w:val="clear" w:pos="765"/>
        </w:tabs>
        <w:spacing w:after="80" w:line="276" w:lineRule="auto"/>
        <w:ind w:left="142" w:firstLine="0"/>
        <w:rPr>
          <w:rFonts w:cs="Arial"/>
          <w:sz w:val="24"/>
          <w:szCs w:val="24"/>
        </w:rPr>
      </w:pPr>
      <w:r w:rsidRPr="00C267E6">
        <w:rPr>
          <w:rFonts w:cs="Arial"/>
          <w:sz w:val="24"/>
          <w:szCs w:val="24"/>
        </w:rPr>
        <w:lastRenderedPageBreak/>
        <w:t>As a single exit packages can be made up of several components, each of which will be counted separately in this note, the total number above will not necessarily match the total numbers in note X [exit packages] which will be the number of individuals.</w:t>
      </w:r>
    </w:p>
    <w:p w14:paraId="62A2A14D" w14:textId="77777777" w:rsidR="00C51D32" w:rsidRPr="00C267E6" w:rsidRDefault="00C51D32" w:rsidP="00C51D32">
      <w:pPr>
        <w:pStyle w:val="BodyText"/>
        <w:tabs>
          <w:tab w:val="clear" w:pos="765"/>
        </w:tabs>
        <w:spacing w:after="80" w:line="276" w:lineRule="auto"/>
        <w:ind w:left="142" w:firstLine="0"/>
        <w:rPr>
          <w:rFonts w:cs="Arial"/>
          <w:sz w:val="24"/>
          <w:szCs w:val="24"/>
        </w:rPr>
      </w:pPr>
      <w:r w:rsidRPr="00C267E6">
        <w:rPr>
          <w:rFonts w:cs="Arial"/>
          <w:sz w:val="24"/>
          <w:szCs w:val="24"/>
        </w:rPr>
        <w:t>*Includes any non-contractual severance payment made following judicial mediation, and X [list amounts] relating to non-contractual payments in lieu of notice.</w:t>
      </w:r>
    </w:p>
    <w:p w14:paraId="1412FBF0" w14:textId="77777777" w:rsidR="00C51D32" w:rsidRPr="00C267E6" w:rsidRDefault="00C51D32" w:rsidP="00C51D32">
      <w:pPr>
        <w:pStyle w:val="BodyText"/>
        <w:tabs>
          <w:tab w:val="clear" w:pos="765"/>
        </w:tabs>
        <w:spacing w:after="200" w:line="276" w:lineRule="auto"/>
        <w:ind w:left="142" w:firstLine="0"/>
        <w:rPr>
          <w:rFonts w:cs="Arial"/>
          <w:sz w:val="24"/>
          <w:szCs w:val="24"/>
        </w:rPr>
      </w:pPr>
      <w:r w:rsidRPr="00C267E6">
        <w:rPr>
          <w:rFonts w:cs="Arial"/>
          <w:sz w:val="24"/>
          <w:szCs w:val="24"/>
        </w:rPr>
        <w:t>The Remuneration report provides details of exit payments payable to individuals named in that Report.</w:t>
      </w:r>
    </w:p>
    <w:p w14:paraId="3757EE6B" w14:textId="77777777" w:rsidR="00C51D32" w:rsidRPr="00C267E6" w:rsidRDefault="00C51D32" w:rsidP="00C51D32">
      <w:pPr>
        <w:pStyle w:val="BodyText"/>
        <w:tabs>
          <w:tab w:val="clear" w:pos="765"/>
        </w:tabs>
        <w:spacing w:after="200" w:line="276" w:lineRule="auto"/>
        <w:ind w:left="3" w:firstLine="0"/>
        <w:rPr>
          <w:rFonts w:cs="Arial"/>
          <w:sz w:val="24"/>
          <w:szCs w:val="24"/>
        </w:rPr>
      </w:pPr>
      <w:r w:rsidRPr="00C267E6">
        <w:rPr>
          <w:rFonts w:cs="Arial"/>
          <w:sz w:val="24"/>
          <w:szCs w:val="24"/>
        </w:rPr>
        <w:t>The foundation trust should also disclose the maximum (highest), minimum (lowest) and median values of special severance payments, ie amounts included in the ‘non-contractual payments’ line of the table above.</w:t>
      </w:r>
    </w:p>
    <w:p w14:paraId="43625C9B" w14:textId="77777777" w:rsidR="00C51D32" w:rsidRPr="00C267E6" w:rsidRDefault="00C51D32" w:rsidP="00C51D32">
      <w:pPr>
        <w:pStyle w:val="BodyText"/>
        <w:tabs>
          <w:tab w:val="clear" w:pos="765"/>
        </w:tabs>
        <w:spacing w:after="200" w:line="276" w:lineRule="auto"/>
        <w:ind w:left="3" w:firstLine="0"/>
        <w:rPr>
          <w:rFonts w:cs="Arial"/>
          <w:sz w:val="24"/>
          <w:szCs w:val="24"/>
        </w:rPr>
      </w:pPr>
      <w:r w:rsidRPr="00C267E6">
        <w:rPr>
          <w:rFonts w:cs="Arial"/>
          <w:sz w:val="24"/>
          <w:szCs w:val="24"/>
        </w:rPr>
        <w:t xml:space="preserve">Early retirement costs include any top-up to compensation provided by the employer to buy out the actuarial reduction on an individual’s pension. Exit payments made following an employment tribunal or court order are also included. Any such payments are considered contractual as the orders have to be paid by the party against whom the order is made, although may relate to compensation for loss of office. </w:t>
      </w:r>
    </w:p>
    <w:p w14:paraId="2F878911" w14:textId="77777777" w:rsidR="00C51D32" w:rsidRPr="00C267E6" w:rsidRDefault="00C51D32" w:rsidP="00C51D32">
      <w:pPr>
        <w:pStyle w:val="BodyText"/>
        <w:tabs>
          <w:tab w:val="clear" w:pos="765"/>
        </w:tabs>
        <w:spacing w:after="200" w:line="276" w:lineRule="auto"/>
        <w:ind w:left="0" w:hanging="17"/>
        <w:rPr>
          <w:rFonts w:cs="Arial"/>
          <w:sz w:val="24"/>
          <w:szCs w:val="24"/>
        </w:rPr>
      </w:pPr>
      <w:r w:rsidRPr="00C267E6">
        <w:rPr>
          <w:rFonts w:cs="Arial"/>
          <w:sz w:val="24"/>
          <w:szCs w:val="24"/>
        </w:rPr>
        <w:t>Non-contractual payments are those made outside of contractual or legal obligation, including those from judicial mediation. Pre-authorisation from DHSC/HM Treasury via NHS England must be sought for such payments before they are agreed with the employee. Failure to obtain HM Treasury authorisation before making such a payment may constitute irregular expenditure. The amount of any non-contractual payments in lieu of notice must be listed in the footnote. A further line discloses the number and value of non-contractual payments made to individuals where the payment was more than 12 months’ annual salary. The reference salary for this disclosure is the annualised salary at the date of termination of employment, and excludes bonus payments and employer’s pension contributions.</w:t>
      </w:r>
    </w:p>
    <w:p w14:paraId="49B360CE" w14:textId="77777777" w:rsidR="00C51D32" w:rsidRPr="00C267E6" w:rsidRDefault="00C51D32" w:rsidP="00065409">
      <w:pPr>
        <w:spacing w:after="200" w:line="276" w:lineRule="auto"/>
        <w:ind w:right="200"/>
        <w:rPr>
          <w:rFonts w:cs="Arial"/>
          <w:sz w:val="24"/>
          <w:szCs w:val="24"/>
        </w:rPr>
      </w:pPr>
    </w:p>
    <w:p w14:paraId="379F5606" w14:textId="77777777" w:rsidR="00065409" w:rsidRPr="00C267E6" w:rsidRDefault="00065409">
      <w:pPr>
        <w:rPr>
          <w:rFonts w:cs="Arial"/>
          <w:sz w:val="24"/>
          <w:szCs w:val="24"/>
        </w:rPr>
      </w:pPr>
    </w:p>
    <w:sectPr w:rsidR="00065409" w:rsidRPr="00C267E6" w:rsidSect="00065409">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C287B" w14:textId="77777777" w:rsidR="00173C83" w:rsidRDefault="00173C83" w:rsidP="00065409">
      <w:pPr>
        <w:spacing w:after="0" w:line="240" w:lineRule="auto"/>
      </w:pPr>
      <w:r>
        <w:separator/>
      </w:r>
    </w:p>
  </w:endnote>
  <w:endnote w:type="continuationSeparator" w:id="0">
    <w:p w14:paraId="73FBCD50" w14:textId="77777777" w:rsidR="00173C83" w:rsidRDefault="00173C83" w:rsidP="00065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30127"/>
      <w:docPartObj>
        <w:docPartGallery w:val="Page Numbers (Bottom of Page)"/>
        <w:docPartUnique/>
      </w:docPartObj>
    </w:sdtPr>
    <w:sdtContent>
      <w:p w14:paraId="5069E2B2" w14:textId="67AD4FB7" w:rsidR="00507C35" w:rsidRDefault="00507C35">
        <w:pPr>
          <w:pStyle w:val="Footer"/>
          <w:jc w:val="center"/>
        </w:pPr>
        <w:r>
          <w:fldChar w:fldCharType="begin"/>
        </w:r>
        <w:r>
          <w:instrText>PAGE   \* MERGEFORMAT</w:instrText>
        </w:r>
        <w:r>
          <w:fldChar w:fldCharType="separate"/>
        </w:r>
        <w:r>
          <w:t>2</w:t>
        </w:r>
        <w:r>
          <w:fldChar w:fldCharType="end"/>
        </w:r>
      </w:p>
    </w:sdtContent>
  </w:sdt>
  <w:p w14:paraId="42A2C16B" w14:textId="77777777" w:rsidR="00507C35" w:rsidRDefault="00507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76939" w14:textId="77777777" w:rsidR="00173C83" w:rsidRDefault="00173C83" w:rsidP="00065409">
      <w:pPr>
        <w:spacing w:after="0" w:line="240" w:lineRule="auto"/>
      </w:pPr>
      <w:r>
        <w:separator/>
      </w:r>
    </w:p>
  </w:footnote>
  <w:footnote w:type="continuationSeparator" w:id="0">
    <w:p w14:paraId="74FA3D8E" w14:textId="77777777" w:rsidR="00173C83" w:rsidRDefault="00173C83" w:rsidP="00065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78A9" w14:textId="47C181C8" w:rsidR="00065409" w:rsidRPr="00065409" w:rsidRDefault="00896587">
    <w:pPr>
      <w:pStyle w:val="Header"/>
      <w:rPr>
        <w:sz w:val="24"/>
        <w:szCs w:val="24"/>
      </w:rPr>
    </w:pPr>
    <w:r w:rsidRPr="00896587">
      <w:rPr>
        <w:sz w:val="24"/>
        <w:szCs w:val="24"/>
      </w:rPr>
      <w:t xml:space="preserve">Annex 1 to chapter 2: </w:t>
    </w:r>
    <w:bookmarkStart w:id="0" w:name="_Hlk221701054"/>
    <w:bookmarkStart w:id="1" w:name="_Hlk221701055"/>
    <w:r w:rsidRPr="00896587">
      <w:rPr>
        <w:sz w:val="24"/>
        <w:szCs w:val="24"/>
      </w:rPr>
      <w:t>exit packages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016E"/>
    <w:multiLevelType w:val="hybridMultilevel"/>
    <w:tmpl w:val="0D8E3FCA"/>
    <w:lvl w:ilvl="0" w:tplc="0A747480">
      <w:start w:val="1"/>
      <w:numFmt w:val="bullet"/>
      <w:lvlText w:val=""/>
      <w:lvlJc w:val="left"/>
      <w:pPr>
        <w:tabs>
          <w:tab w:val="num" w:pos="3600"/>
        </w:tabs>
        <w:ind w:left="3600" w:hanging="360"/>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953578"/>
    <w:multiLevelType w:val="hybridMultilevel"/>
    <w:tmpl w:val="07D4CFF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3F637FFB"/>
    <w:multiLevelType w:val="hybridMultilevel"/>
    <w:tmpl w:val="CA3C18D6"/>
    <w:lvl w:ilvl="0" w:tplc="0A747480">
      <w:start w:val="1"/>
      <w:numFmt w:val="bullet"/>
      <w:lvlText w:val=""/>
      <w:lvlJc w:val="left"/>
      <w:pPr>
        <w:tabs>
          <w:tab w:val="num" w:pos="4314"/>
        </w:tabs>
        <w:ind w:left="4314" w:hanging="360"/>
      </w:pPr>
      <w:rPr>
        <w:rFonts w:ascii="Symbol" w:hAnsi="Symbol" w:hint="default"/>
        <w:color w:val="auto"/>
        <w:sz w:val="20"/>
        <w:szCs w:val="20"/>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 w15:restartNumberingAfterBreak="0">
    <w:nsid w:val="593042F3"/>
    <w:multiLevelType w:val="hybridMultilevel"/>
    <w:tmpl w:val="34FAC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3355873">
    <w:abstractNumId w:val="0"/>
  </w:num>
  <w:num w:numId="2" w16cid:durableId="1456215555">
    <w:abstractNumId w:val="2"/>
  </w:num>
  <w:num w:numId="3" w16cid:durableId="1214346982">
    <w:abstractNumId w:val="1"/>
  </w:num>
  <w:num w:numId="4" w16cid:durableId="13442358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409"/>
    <w:rsid w:val="000378CB"/>
    <w:rsid w:val="00065409"/>
    <w:rsid w:val="00173C83"/>
    <w:rsid w:val="00355904"/>
    <w:rsid w:val="00356D4E"/>
    <w:rsid w:val="004D174A"/>
    <w:rsid w:val="00507C35"/>
    <w:rsid w:val="0063671E"/>
    <w:rsid w:val="00700784"/>
    <w:rsid w:val="00896587"/>
    <w:rsid w:val="008B69CA"/>
    <w:rsid w:val="009F4B9C"/>
    <w:rsid w:val="00BD4683"/>
    <w:rsid w:val="00C267E6"/>
    <w:rsid w:val="00C51D32"/>
    <w:rsid w:val="00E22439"/>
    <w:rsid w:val="00E26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A22FC"/>
  <w15:chartTrackingRefBased/>
  <w15:docId w15:val="{AC7C1D75-6CD7-47B0-9D80-E26B49EF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65409"/>
    <w:pPr>
      <w:widowControl w:val="0"/>
      <w:spacing w:after="120" w:line="240" w:lineRule="exact"/>
    </w:pPr>
    <w:rPr>
      <w:rFonts w:ascii="Arial" w:eastAsia="Times" w:hAnsi="Arial" w:cs="Times New Roman"/>
      <w:kern w:val="0"/>
      <w:sz w:val="20"/>
      <w:szCs w:val="20"/>
      <w:lang w:eastAsia="en-GB"/>
      <w14:ligatures w14:val="none"/>
    </w:rPr>
  </w:style>
  <w:style w:type="paragraph" w:styleId="Heading1">
    <w:name w:val="heading 1"/>
    <w:basedOn w:val="Normal"/>
    <w:next w:val="Normal"/>
    <w:link w:val="Heading1Char"/>
    <w:qFormat/>
    <w:rsid w:val="00E26DD9"/>
    <w:pPr>
      <w:keepNext/>
      <w:keepLines/>
      <w:spacing w:before="360" w:after="80" w:line="240" w:lineRule="auto"/>
      <w:outlineLvl w:val="0"/>
    </w:pPr>
    <w:rPr>
      <w:rFonts w:eastAsiaTheme="majorEastAsia" w:cstheme="majorBidi"/>
      <w:color w:val="0070C0"/>
      <w:sz w:val="40"/>
      <w:szCs w:val="40"/>
    </w:rPr>
  </w:style>
  <w:style w:type="paragraph" w:styleId="Heading2">
    <w:name w:val="heading 2"/>
    <w:basedOn w:val="Normal"/>
    <w:next w:val="Normal"/>
    <w:link w:val="Heading2Char"/>
    <w:unhideWhenUsed/>
    <w:qFormat/>
    <w:rsid w:val="00065409"/>
    <w:pPr>
      <w:keepNext/>
      <w:keepLines/>
      <w:spacing w:before="160" w:after="80" w:line="240" w:lineRule="auto"/>
      <w:outlineLvl w:val="1"/>
    </w:pPr>
    <w:rPr>
      <w:rFonts w:eastAsiaTheme="majorEastAsia" w:cstheme="majorBidi"/>
      <w:color w:val="0070C0"/>
      <w:sz w:val="32"/>
      <w:szCs w:val="32"/>
    </w:rPr>
  </w:style>
  <w:style w:type="paragraph" w:styleId="Heading3">
    <w:name w:val="heading 3"/>
    <w:basedOn w:val="Normal"/>
    <w:next w:val="Normal"/>
    <w:link w:val="Heading3Char"/>
    <w:unhideWhenUsed/>
    <w:qFormat/>
    <w:rsid w:val="000654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4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4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4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4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4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4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DD9"/>
    <w:rPr>
      <w:rFonts w:ascii="Arial" w:eastAsiaTheme="majorEastAsia" w:hAnsi="Arial" w:cstheme="majorBidi"/>
      <w:color w:val="0070C0"/>
      <w:kern w:val="0"/>
      <w:sz w:val="40"/>
      <w:szCs w:val="40"/>
      <w:lang w:eastAsia="en-GB"/>
      <w14:ligatures w14:val="none"/>
    </w:rPr>
  </w:style>
  <w:style w:type="character" w:customStyle="1" w:styleId="Heading2Char">
    <w:name w:val="Heading 2 Char"/>
    <w:basedOn w:val="DefaultParagraphFont"/>
    <w:link w:val="Heading2"/>
    <w:rsid w:val="00065409"/>
    <w:rPr>
      <w:rFonts w:ascii="Arial" w:eastAsiaTheme="majorEastAsia" w:hAnsi="Arial" w:cstheme="majorBidi"/>
      <w:color w:val="0070C0"/>
      <w:kern w:val="0"/>
      <w:sz w:val="32"/>
      <w:szCs w:val="32"/>
      <w:lang w:eastAsia="en-GB"/>
      <w14:ligatures w14:val="none"/>
    </w:rPr>
  </w:style>
  <w:style w:type="character" w:customStyle="1" w:styleId="Heading3Char">
    <w:name w:val="Heading 3 Char"/>
    <w:basedOn w:val="DefaultParagraphFont"/>
    <w:link w:val="Heading3"/>
    <w:uiPriority w:val="9"/>
    <w:semiHidden/>
    <w:rsid w:val="000654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4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4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4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4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4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409"/>
    <w:rPr>
      <w:rFonts w:eastAsiaTheme="majorEastAsia" w:cstheme="majorBidi"/>
      <w:color w:val="272727" w:themeColor="text1" w:themeTint="D8"/>
    </w:rPr>
  </w:style>
  <w:style w:type="paragraph" w:styleId="Title">
    <w:name w:val="Title"/>
    <w:basedOn w:val="Normal"/>
    <w:next w:val="Normal"/>
    <w:link w:val="TitleChar"/>
    <w:uiPriority w:val="10"/>
    <w:qFormat/>
    <w:rsid w:val="000654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4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4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4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409"/>
    <w:pPr>
      <w:spacing w:before="160"/>
      <w:jc w:val="center"/>
    </w:pPr>
    <w:rPr>
      <w:i/>
      <w:iCs/>
      <w:color w:val="404040" w:themeColor="text1" w:themeTint="BF"/>
    </w:rPr>
  </w:style>
  <w:style w:type="character" w:customStyle="1" w:styleId="QuoteChar">
    <w:name w:val="Quote Char"/>
    <w:basedOn w:val="DefaultParagraphFont"/>
    <w:link w:val="Quote"/>
    <w:uiPriority w:val="29"/>
    <w:rsid w:val="00065409"/>
    <w:rPr>
      <w:i/>
      <w:iCs/>
      <w:color w:val="404040" w:themeColor="text1" w:themeTint="BF"/>
    </w:rPr>
  </w:style>
  <w:style w:type="paragraph" w:styleId="ListParagraph">
    <w:name w:val="List Paragraph"/>
    <w:basedOn w:val="Normal"/>
    <w:link w:val="ListParagraphChar"/>
    <w:uiPriority w:val="34"/>
    <w:qFormat/>
    <w:rsid w:val="00065409"/>
    <w:pPr>
      <w:ind w:left="720"/>
      <w:contextualSpacing/>
    </w:pPr>
  </w:style>
  <w:style w:type="character" w:styleId="IntenseEmphasis">
    <w:name w:val="Intense Emphasis"/>
    <w:basedOn w:val="DefaultParagraphFont"/>
    <w:uiPriority w:val="21"/>
    <w:qFormat/>
    <w:rsid w:val="00065409"/>
    <w:rPr>
      <w:i/>
      <w:iCs/>
      <w:color w:val="0F4761" w:themeColor="accent1" w:themeShade="BF"/>
    </w:rPr>
  </w:style>
  <w:style w:type="paragraph" w:styleId="IntenseQuote">
    <w:name w:val="Intense Quote"/>
    <w:basedOn w:val="Normal"/>
    <w:next w:val="Normal"/>
    <w:link w:val="IntenseQuoteChar"/>
    <w:uiPriority w:val="30"/>
    <w:qFormat/>
    <w:rsid w:val="000654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409"/>
    <w:rPr>
      <w:i/>
      <w:iCs/>
      <w:color w:val="0F4761" w:themeColor="accent1" w:themeShade="BF"/>
    </w:rPr>
  </w:style>
  <w:style w:type="character" w:styleId="IntenseReference">
    <w:name w:val="Intense Reference"/>
    <w:basedOn w:val="DefaultParagraphFont"/>
    <w:uiPriority w:val="32"/>
    <w:qFormat/>
    <w:rsid w:val="00065409"/>
    <w:rPr>
      <w:b/>
      <w:bCs/>
      <w:smallCaps/>
      <w:color w:val="0F4761" w:themeColor="accent1" w:themeShade="BF"/>
      <w:spacing w:val="5"/>
    </w:rPr>
  </w:style>
  <w:style w:type="character" w:customStyle="1" w:styleId="Heading3Char1">
    <w:name w:val="Heading 3 Char1"/>
    <w:aliases w:val="Heading 3 Char Char1"/>
    <w:basedOn w:val="DefaultParagraphFont"/>
    <w:rsid w:val="00065409"/>
    <w:rPr>
      <w:rFonts w:ascii="Arial" w:eastAsia="Times" w:hAnsi="Arial" w:cs="Arial"/>
      <w:b/>
      <w:bCs/>
      <w:color w:val="005EB8"/>
      <w:sz w:val="24"/>
    </w:rPr>
  </w:style>
  <w:style w:type="character" w:customStyle="1" w:styleId="ListParagraphChar">
    <w:name w:val="List Paragraph Char"/>
    <w:link w:val="ListParagraph"/>
    <w:uiPriority w:val="34"/>
    <w:locked/>
    <w:rsid w:val="00065409"/>
  </w:style>
  <w:style w:type="paragraph" w:styleId="Header">
    <w:name w:val="header"/>
    <w:basedOn w:val="Normal"/>
    <w:link w:val="HeaderChar"/>
    <w:uiPriority w:val="99"/>
    <w:unhideWhenUsed/>
    <w:rsid w:val="00065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409"/>
    <w:rPr>
      <w:rFonts w:ascii="Arial" w:eastAsia="Times" w:hAnsi="Arial" w:cs="Times New Roman"/>
      <w:kern w:val="0"/>
      <w:sz w:val="20"/>
      <w:szCs w:val="20"/>
      <w:lang w:eastAsia="en-GB"/>
      <w14:ligatures w14:val="none"/>
    </w:rPr>
  </w:style>
  <w:style w:type="paragraph" w:styleId="Footer">
    <w:name w:val="footer"/>
    <w:basedOn w:val="Normal"/>
    <w:link w:val="FooterChar"/>
    <w:uiPriority w:val="99"/>
    <w:unhideWhenUsed/>
    <w:rsid w:val="00065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409"/>
    <w:rPr>
      <w:rFonts w:ascii="Arial" w:eastAsia="Times" w:hAnsi="Arial" w:cs="Times New Roman"/>
      <w:kern w:val="0"/>
      <w:sz w:val="20"/>
      <w:szCs w:val="20"/>
      <w:lang w:eastAsia="en-GB"/>
      <w14:ligatures w14:val="none"/>
    </w:rPr>
  </w:style>
  <w:style w:type="paragraph" w:styleId="BodyText">
    <w:name w:val="Body Text"/>
    <w:aliases w:val="MFA Char,Body Text1 Char Char Char Char Char Char Char,Body Text1 Char Char Char Char Char Char"/>
    <w:basedOn w:val="Normal"/>
    <w:link w:val="BodyTextChar"/>
    <w:rsid w:val="00C51D32"/>
    <w:pPr>
      <w:tabs>
        <w:tab w:val="num" w:pos="765"/>
      </w:tabs>
      <w:spacing w:after="240" w:line="240" w:lineRule="atLeast"/>
      <w:ind w:left="765" w:hanging="765"/>
    </w:pPr>
    <w:rPr>
      <w:lang w:eastAsia="en-US"/>
    </w:rPr>
  </w:style>
  <w:style w:type="character" w:customStyle="1" w:styleId="BodyTextChar">
    <w:name w:val="Body Text Char"/>
    <w:aliases w:val="MFA Char Char,Body Text1 Char Char Char Char Char Char Char Char,Body Text1 Char Char Char Char Char Char Char3"/>
    <w:basedOn w:val="DefaultParagraphFont"/>
    <w:link w:val="BodyText"/>
    <w:rsid w:val="00C51D32"/>
    <w:rPr>
      <w:rFonts w:ascii="Arial" w:eastAsia="Times" w:hAnsi="Arial" w:cs="Times New Roman"/>
      <w:kern w:val="0"/>
      <w:sz w:val="20"/>
      <w:szCs w:val="20"/>
      <w14:ligatures w14:val="none"/>
    </w:rPr>
  </w:style>
  <w:style w:type="table" w:styleId="TableGrid">
    <w:name w:val="Table Grid"/>
    <w:basedOn w:val="TableNormal"/>
    <w:uiPriority w:val="39"/>
    <w:rsid w:val="00C51D32"/>
    <w:pPr>
      <w:spacing w:after="0" w:line="240" w:lineRule="auto"/>
      <w:ind w:left="1080"/>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55904"/>
    <w:pPr>
      <w:spacing w:after="0" w:line="240" w:lineRule="auto"/>
    </w:pPr>
    <w:rPr>
      <w:rFonts w:ascii="Arial" w:eastAsia="Times" w:hAnsi="Arial"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804</Words>
  <Characters>4586</Characters>
  <Application>Microsoft Office Word</Application>
  <DocSecurity>0</DocSecurity>
  <Lines>38</Lines>
  <Paragraphs>10</Paragraphs>
  <ScaleCrop>false</ScaleCrop>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BOSHELL, Joanne (NHS ENGLAND)</dc:creator>
  <cp:keywords/>
  <dc:description/>
  <cp:lastModifiedBy>WOOTTON, Rebecca (NHS ENGLAND)</cp:lastModifiedBy>
  <cp:revision>11</cp:revision>
  <dcterms:created xsi:type="dcterms:W3CDTF">2026-02-11T11:15:00Z</dcterms:created>
  <dcterms:modified xsi:type="dcterms:W3CDTF">2026-02-11T11:25:00Z</dcterms:modified>
</cp:coreProperties>
</file>