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6CAB" w14:textId="77777777" w:rsidR="00BA7E1E" w:rsidRDefault="00BA7E1E" w:rsidP="00BA7E1E">
      <w:pPr>
        <w:pStyle w:val="Heading1"/>
      </w:pPr>
      <w:r w:rsidRPr="00C80028">
        <w:t>Planning, assuring and delivering service change for patients: a summary of the strategic outline case criteria</w:t>
      </w:r>
    </w:p>
    <w:p w14:paraId="76449FC7" w14:textId="77777777" w:rsidR="00BA7E1E" w:rsidRDefault="00BA7E1E" w:rsidP="00BA7E1E">
      <w:r>
        <w:t>This is a</w:t>
      </w:r>
      <w:r w:rsidRPr="009C4EF2">
        <w:t xml:space="preserve"> summary of the </w:t>
      </w:r>
      <w:r w:rsidRPr="009F69BD">
        <w:t xml:space="preserve">strategic outline case </w:t>
      </w:r>
      <w:r>
        <w:t>(</w:t>
      </w:r>
      <w:r w:rsidRPr="009C4EF2">
        <w:t>SOC</w:t>
      </w:r>
      <w:r>
        <w:t>)</w:t>
      </w:r>
      <w:r w:rsidRPr="009C4EF2">
        <w:t xml:space="preserve"> criteria. </w:t>
      </w:r>
    </w:p>
    <w:p w14:paraId="41B29652" w14:textId="77777777" w:rsidR="00BA7E1E" w:rsidRPr="009C4EF2" w:rsidRDefault="00BA7E1E" w:rsidP="00BA7E1E">
      <w:r w:rsidRPr="009C4EF2">
        <w:t xml:space="preserve">The latest version of the fundamental criteria checklist for the capital business cases, covering SOCs, </w:t>
      </w:r>
      <w:r>
        <w:t>o</w:t>
      </w:r>
      <w:r w:rsidRPr="005C1C7D">
        <w:t>utline business case</w:t>
      </w:r>
      <w:r>
        <w:t>s</w:t>
      </w:r>
      <w:r w:rsidRPr="005C1C7D">
        <w:t xml:space="preserve"> </w:t>
      </w:r>
      <w:r>
        <w:t>(</w:t>
      </w:r>
      <w:r w:rsidRPr="009C4EF2">
        <w:t>OBCs</w:t>
      </w:r>
      <w:r>
        <w:t>)</w:t>
      </w:r>
      <w:r w:rsidRPr="009C4EF2">
        <w:t xml:space="preserve"> and </w:t>
      </w:r>
      <w:r>
        <w:t>f</w:t>
      </w:r>
      <w:r w:rsidRPr="006B577A">
        <w:t>ull business case</w:t>
      </w:r>
      <w:r>
        <w:t>s</w:t>
      </w:r>
      <w:r w:rsidRPr="006B577A">
        <w:t xml:space="preserve"> </w:t>
      </w:r>
      <w:r>
        <w:t>(</w:t>
      </w:r>
      <w:r w:rsidRPr="009C4EF2">
        <w:t>FBCs</w:t>
      </w:r>
      <w:r>
        <w:t>)</w:t>
      </w:r>
      <w:r w:rsidRPr="009C4EF2">
        <w:t xml:space="preserve"> is </w:t>
      </w:r>
      <w:r>
        <w:t>available</w:t>
      </w:r>
      <w:r w:rsidRPr="009C4EF2">
        <w:t xml:space="preserve"> in the </w:t>
      </w:r>
      <w:hyperlink r:id="rId7" w:history="1">
        <w:r w:rsidRPr="009C4EF2">
          <w:rPr>
            <w:rStyle w:val="Hyperlink"/>
          </w:rPr>
          <w:t>NHS England Capital investment and property business case approval guidance</w:t>
        </w:r>
      </w:hyperlink>
      <w:r w:rsidRPr="009C4EF2">
        <w:t>.</w:t>
      </w:r>
    </w:p>
    <w:tbl>
      <w:tblPr>
        <w:tblStyle w:val="TableGrid"/>
        <w:tblW w:w="5000" w:type="pct"/>
        <w:jc w:val="center"/>
        <w:tblCellMar>
          <w:top w:w="57" w:type="dxa"/>
          <w:left w:w="57" w:type="dxa"/>
          <w:bottom w:w="57" w:type="dxa"/>
          <w:right w:w="57" w:type="dxa"/>
        </w:tblCellMar>
        <w:tblLook w:val="04A0" w:firstRow="1" w:lastRow="0" w:firstColumn="1" w:lastColumn="0" w:noHBand="0" w:noVBand="1"/>
      </w:tblPr>
      <w:tblGrid>
        <w:gridCol w:w="1990"/>
        <w:gridCol w:w="4702"/>
        <w:gridCol w:w="4844"/>
        <w:gridCol w:w="3852"/>
      </w:tblGrid>
      <w:tr w:rsidR="00BA7E1E" w:rsidRPr="00237AB2" w14:paraId="36FF0212" w14:textId="77777777" w:rsidTr="00983113">
        <w:trPr>
          <w:jc w:val="center"/>
        </w:trPr>
        <w:tc>
          <w:tcPr>
            <w:tcW w:w="1980" w:type="dxa"/>
            <w:shd w:val="clear" w:color="auto" w:fill="0070C0"/>
          </w:tcPr>
          <w:p w14:paraId="7B3D9988" w14:textId="77777777" w:rsidR="00BA7E1E" w:rsidRPr="00BA7E1E" w:rsidRDefault="00BA7E1E" w:rsidP="00BA7E1E">
            <w:pPr>
              <w:pStyle w:val="Table-headertext"/>
              <w:rPr>
                <w:color w:val="FFFFFF" w:themeColor="background1"/>
              </w:rPr>
            </w:pPr>
            <w:r w:rsidRPr="00BA7E1E">
              <w:rPr>
                <w:color w:val="FFFFFF" w:themeColor="background1"/>
              </w:rPr>
              <w:t>Strategic case</w:t>
            </w:r>
          </w:p>
        </w:tc>
        <w:tc>
          <w:tcPr>
            <w:tcW w:w="4678" w:type="dxa"/>
            <w:shd w:val="clear" w:color="auto" w:fill="0070C0"/>
          </w:tcPr>
          <w:p w14:paraId="0537FD22" w14:textId="355DFA20" w:rsidR="00BA7E1E" w:rsidRPr="00BA7E1E" w:rsidRDefault="00BA7E1E" w:rsidP="00CD5CB9">
            <w:pPr>
              <w:pStyle w:val="Table-headertext"/>
              <w:rPr>
                <w:color w:val="FFFFFF" w:themeColor="background1"/>
              </w:rPr>
            </w:pPr>
            <w:r w:rsidRPr="00BA7E1E">
              <w:rPr>
                <w:color w:val="FFFFFF" w:themeColor="background1"/>
              </w:rPr>
              <w:t>1. PCBC</w:t>
            </w:r>
            <w:r w:rsidR="005C61C2">
              <w:t xml:space="preserve"> </w:t>
            </w:r>
            <w:r w:rsidR="005C61C2" w:rsidRPr="005C61C2">
              <w:rPr>
                <w:color w:val="FFFFFF" w:themeColor="background1"/>
              </w:rPr>
              <w:t>(pre-consultation business case</w:t>
            </w:r>
            <w:r w:rsidR="005C61C2">
              <w:rPr>
                <w:color w:val="FFFFFF" w:themeColor="background1"/>
              </w:rPr>
              <w:t>)</w:t>
            </w:r>
            <w:r w:rsidRPr="00BA7E1E">
              <w:rPr>
                <w:color w:val="FFFFFF" w:themeColor="background1"/>
              </w:rPr>
              <w:t xml:space="preserve"> only criteria</w:t>
            </w:r>
          </w:p>
        </w:tc>
        <w:tc>
          <w:tcPr>
            <w:tcW w:w="4819" w:type="dxa"/>
            <w:shd w:val="clear" w:color="auto" w:fill="0070C0"/>
          </w:tcPr>
          <w:p w14:paraId="4FF6A53E" w14:textId="77777777" w:rsidR="00BA7E1E" w:rsidRPr="00BA7E1E" w:rsidRDefault="00BA7E1E" w:rsidP="00CD5CB9">
            <w:pPr>
              <w:pStyle w:val="Table-headertext"/>
              <w:rPr>
                <w:color w:val="FFFFFF" w:themeColor="background1"/>
              </w:rPr>
            </w:pPr>
            <w:r w:rsidRPr="00BA7E1E">
              <w:rPr>
                <w:color w:val="FFFFFF" w:themeColor="background1"/>
              </w:rPr>
              <w:t>2. PCBC and SOC criteria</w:t>
            </w:r>
          </w:p>
        </w:tc>
        <w:tc>
          <w:tcPr>
            <w:tcW w:w="3832" w:type="dxa"/>
            <w:shd w:val="clear" w:color="auto" w:fill="0070C0"/>
          </w:tcPr>
          <w:p w14:paraId="442E1596" w14:textId="77777777" w:rsidR="00BA7E1E" w:rsidRPr="00BA7E1E" w:rsidRDefault="00BA7E1E" w:rsidP="00CD5CB9">
            <w:pPr>
              <w:pStyle w:val="Table-headertext"/>
              <w:rPr>
                <w:color w:val="FFFFFF" w:themeColor="background1"/>
              </w:rPr>
            </w:pPr>
            <w:r w:rsidRPr="00BA7E1E">
              <w:rPr>
                <w:color w:val="FFFFFF" w:themeColor="background1"/>
              </w:rPr>
              <w:t>3. SOC only criteria</w:t>
            </w:r>
          </w:p>
        </w:tc>
      </w:tr>
      <w:tr w:rsidR="00BA7E1E" w:rsidRPr="00237AB2" w14:paraId="2643DDEF" w14:textId="77777777" w:rsidTr="00983113">
        <w:trPr>
          <w:jc w:val="center"/>
        </w:trPr>
        <w:tc>
          <w:tcPr>
            <w:tcW w:w="1980" w:type="dxa"/>
            <w:shd w:val="clear" w:color="auto" w:fill="FFFFFF" w:themeFill="background1"/>
          </w:tcPr>
          <w:p w14:paraId="6FFF3990" w14:textId="77777777" w:rsidR="00BA7E1E" w:rsidRPr="00C80028" w:rsidRDefault="00BA7E1E" w:rsidP="00CD5CB9">
            <w:pPr>
              <w:pStyle w:val="Table-bodytext"/>
            </w:pPr>
            <w:r w:rsidRPr="00C80028">
              <w:t>Strategic context</w:t>
            </w:r>
          </w:p>
        </w:tc>
        <w:tc>
          <w:tcPr>
            <w:tcW w:w="4678" w:type="dxa"/>
          </w:tcPr>
          <w:p w14:paraId="2D503F07" w14:textId="77777777" w:rsidR="00BA7E1E" w:rsidRDefault="00BA7E1E" w:rsidP="00CD5CB9">
            <w:pPr>
              <w:pStyle w:val="Table-bodytext"/>
            </w:pPr>
            <w:r w:rsidRPr="00C80028">
              <w:t xml:space="preserve">Demonstrate how the proposals meet the government’s 4 tests and NHS England’s test for proposed bed closures (where appropriate). </w:t>
            </w:r>
          </w:p>
          <w:p w14:paraId="7A8EB0CD" w14:textId="77777777" w:rsidR="00BA7E1E" w:rsidRPr="00C80028" w:rsidRDefault="00BA7E1E" w:rsidP="00CD5CB9">
            <w:pPr>
              <w:pStyle w:val="Table-bodytext"/>
            </w:pPr>
          </w:p>
          <w:p w14:paraId="4F21B0B1" w14:textId="77777777" w:rsidR="00BA7E1E" w:rsidRDefault="00BA7E1E" w:rsidP="00CD5CB9">
            <w:pPr>
              <w:pStyle w:val="Table-bodytext"/>
            </w:pPr>
            <w:r w:rsidRPr="00C80028">
              <w:t xml:space="preserve">Include an equality impact assessment, quality impact assessment, integrated impact assessment. </w:t>
            </w:r>
          </w:p>
          <w:p w14:paraId="5A8458D5" w14:textId="77777777" w:rsidR="00BA7E1E" w:rsidRPr="00C80028" w:rsidRDefault="00BA7E1E" w:rsidP="00CD5CB9">
            <w:pPr>
              <w:pStyle w:val="Table-bodytext"/>
            </w:pPr>
          </w:p>
          <w:p w14:paraId="2250B7C0" w14:textId="77777777" w:rsidR="00BA7E1E" w:rsidRDefault="00BA7E1E" w:rsidP="00CD5CB9">
            <w:pPr>
              <w:pStyle w:val="Table-bodytext"/>
            </w:pPr>
            <w:r w:rsidRPr="00C80028">
              <w:t xml:space="preserve">Include an analysis of travelling times and distances (blue light and other). </w:t>
            </w:r>
          </w:p>
          <w:p w14:paraId="0DA60876" w14:textId="77777777" w:rsidR="00BA7E1E" w:rsidRPr="00C80028" w:rsidRDefault="00BA7E1E" w:rsidP="00CD5CB9">
            <w:pPr>
              <w:pStyle w:val="Table-bodytext"/>
            </w:pPr>
          </w:p>
          <w:p w14:paraId="359F43D3" w14:textId="77777777" w:rsidR="00BA7E1E" w:rsidRDefault="00BA7E1E" w:rsidP="00CD5CB9">
            <w:pPr>
              <w:pStyle w:val="Table-bodytext"/>
            </w:pPr>
            <w:r w:rsidRPr="00C80028">
              <w:t xml:space="preserve">Explain how the proposed changes impact on local government services and the response of local government. </w:t>
            </w:r>
          </w:p>
          <w:p w14:paraId="39F9CEE5" w14:textId="77777777" w:rsidR="00BA7E1E" w:rsidRPr="00C80028" w:rsidRDefault="00BA7E1E" w:rsidP="00CD5CB9">
            <w:pPr>
              <w:pStyle w:val="Table-bodytext"/>
            </w:pPr>
          </w:p>
          <w:p w14:paraId="3F82E77B" w14:textId="77777777" w:rsidR="00BA7E1E" w:rsidRDefault="00BA7E1E" w:rsidP="00CD5CB9">
            <w:pPr>
              <w:pStyle w:val="Table-bodytext"/>
            </w:pPr>
            <w:r w:rsidRPr="00C80028">
              <w:lastRenderedPageBreak/>
              <w:t>Consideration of other statutory duties on commissioners, such as the duties connected with patient choice, innovation, promotion of integration, climate change duties and the triple aim.</w:t>
            </w:r>
          </w:p>
          <w:p w14:paraId="1BF72DAE" w14:textId="77777777" w:rsidR="00BA7E1E" w:rsidRPr="00C80028" w:rsidRDefault="00BA7E1E" w:rsidP="00CD5CB9">
            <w:pPr>
              <w:pStyle w:val="Table-bodytext"/>
            </w:pPr>
          </w:p>
          <w:p w14:paraId="74A03770" w14:textId="77777777" w:rsidR="00BA7E1E" w:rsidRDefault="00BA7E1E" w:rsidP="00CD5CB9">
            <w:pPr>
              <w:pStyle w:val="Table-bodytext"/>
            </w:pPr>
            <w:r w:rsidRPr="00C80028">
              <w:t xml:space="preserve">Consideration of other enablers such as digital and workforce planning. </w:t>
            </w:r>
          </w:p>
          <w:p w14:paraId="417BAB9D" w14:textId="77777777" w:rsidR="00BA7E1E" w:rsidRPr="00C80028" w:rsidRDefault="00BA7E1E" w:rsidP="00CD5CB9">
            <w:pPr>
              <w:pStyle w:val="Table-bodytext"/>
            </w:pPr>
          </w:p>
          <w:p w14:paraId="40737D7A" w14:textId="77777777" w:rsidR="00BA7E1E" w:rsidRPr="00C80028" w:rsidRDefault="00BA7E1E" w:rsidP="00CD5CB9">
            <w:pPr>
              <w:pStyle w:val="Table-bodytext"/>
            </w:pPr>
            <w:r w:rsidRPr="00C80028">
              <w:t xml:space="preserve">Identify any clinical co-dependency issues, including any potential impact on the current or future commissioning or provision of specialised or other services. </w:t>
            </w:r>
          </w:p>
        </w:tc>
        <w:tc>
          <w:tcPr>
            <w:tcW w:w="4819" w:type="dxa"/>
          </w:tcPr>
          <w:p w14:paraId="29A18A30" w14:textId="77777777" w:rsidR="00BA7E1E" w:rsidRDefault="00BA7E1E" w:rsidP="00CD5CB9">
            <w:pPr>
              <w:pStyle w:val="Table-bodytext"/>
            </w:pPr>
            <w:r w:rsidRPr="00C80028">
              <w:lastRenderedPageBreak/>
              <w:t xml:space="preserve">The context for change should be set out clearly, with local and national drivers for the change identified. </w:t>
            </w:r>
          </w:p>
          <w:p w14:paraId="353F1740" w14:textId="77777777" w:rsidR="00BA7E1E" w:rsidRPr="00C80028" w:rsidRDefault="00BA7E1E" w:rsidP="00CD5CB9">
            <w:pPr>
              <w:pStyle w:val="Table-bodytext"/>
            </w:pPr>
          </w:p>
          <w:p w14:paraId="506BB47C" w14:textId="77777777" w:rsidR="00BA7E1E" w:rsidRDefault="00BA7E1E" w:rsidP="00CD5CB9">
            <w:pPr>
              <w:pStyle w:val="Table-bodytext"/>
            </w:pPr>
            <w:r w:rsidRPr="00C80028">
              <w:t xml:space="preserve">The system should show how the proposals align to government and DHSC policy. This case for change should be evidence based and should articulate the proposed clinical model, underpinned by demand, activity and capacity modelling. It should demonstrate: </w:t>
            </w:r>
          </w:p>
          <w:p w14:paraId="4EF7E8C4" w14:textId="77777777" w:rsidR="00BA7E1E" w:rsidRPr="00C80028" w:rsidRDefault="00BA7E1E" w:rsidP="00CD5CB9">
            <w:pPr>
              <w:pStyle w:val="Table-bodytext"/>
            </w:pPr>
          </w:p>
          <w:p w14:paraId="17A97A60" w14:textId="4F656757" w:rsidR="00BA7E1E" w:rsidRPr="00C80028" w:rsidRDefault="00BA7E1E" w:rsidP="00F6476F">
            <w:pPr>
              <w:pStyle w:val="Table-bodytext"/>
              <w:numPr>
                <w:ilvl w:val="0"/>
                <w:numId w:val="1"/>
              </w:numPr>
            </w:pPr>
            <w:r w:rsidRPr="00C80028">
              <w:t>the links to enabling strategies (for example, workforce, patient experience and patient safety)</w:t>
            </w:r>
          </w:p>
          <w:p w14:paraId="5BC8802D" w14:textId="4A7FB22E" w:rsidR="00BA7E1E" w:rsidRPr="00C80028" w:rsidRDefault="00BA7E1E" w:rsidP="00F6476F">
            <w:pPr>
              <w:pStyle w:val="Table-bodytext"/>
              <w:numPr>
                <w:ilvl w:val="0"/>
                <w:numId w:val="1"/>
              </w:numPr>
            </w:pPr>
            <w:r w:rsidRPr="00C80028">
              <w:t xml:space="preserve">consideration of quality, workforce and </w:t>
            </w:r>
            <w:r w:rsidRPr="00C80028">
              <w:lastRenderedPageBreak/>
              <w:t>financial/efficiency considerations</w:t>
            </w:r>
          </w:p>
          <w:p w14:paraId="35EA2D3E" w14:textId="405C275D" w:rsidR="00BA7E1E" w:rsidRPr="00C80028" w:rsidRDefault="00BA7E1E" w:rsidP="00F6476F">
            <w:pPr>
              <w:pStyle w:val="Table-bodytext"/>
              <w:numPr>
                <w:ilvl w:val="0"/>
                <w:numId w:val="1"/>
              </w:numPr>
            </w:pPr>
            <w:r w:rsidRPr="00C80028">
              <w:t>plans to appropriately and effectively engage and involve all stakeholders, including with clinical leaders and system staff to assess clinical oversight and involvement in the business case development, in addition to local government, and fulfilling commitments under public involvement duties</w:t>
            </w:r>
          </w:p>
          <w:p w14:paraId="73D676C4" w14:textId="67B2B78D" w:rsidR="00BA7E1E" w:rsidRPr="00C80028" w:rsidRDefault="00BA7E1E" w:rsidP="00F6476F">
            <w:pPr>
              <w:pStyle w:val="Table-bodytext"/>
              <w:numPr>
                <w:ilvl w:val="0"/>
                <w:numId w:val="1"/>
              </w:numPr>
            </w:pPr>
            <w:r w:rsidRPr="00C80028">
              <w:t>alignment with service configuration, commissioning intentions, ICS strategy and patient-centred design and build</w:t>
            </w:r>
          </w:p>
          <w:p w14:paraId="059735D7" w14:textId="77777777" w:rsidR="00BA7E1E" w:rsidRPr="00C80028" w:rsidRDefault="00BA7E1E" w:rsidP="00F6476F">
            <w:pPr>
              <w:pStyle w:val="Table-bodytext"/>
              <w:numPr>
                <w:ilvl w:val="0"/>
                <w:numId w:val="1"/>
              </w:numPr>
            </w:pPr>
            <w:r w:rsidRPr="00C80028">
              <w:t>consistency with estate and digital strategies</w:t>
            </w:r>
          </w:p>
          <w:p w14:paraId="14F93DAB" w14:textId="16DF74FC" w:rsidR="00BA7E1E" w:rsidRPr="00C80028" w:rsidRDefault="00BA7E1E" w:rsidP="00F6476F">
            <w:pPr>
              <w:pStyle w:val="Table-bodytext"/>
              <w:numPr>
                <w:ilvl w:val="0"/>
                <w:numId w:val="2"/>
              </w:numPr>
            </w:pPr>
            <w:r>
              <w:t>o</w:t>
            </w:r>
            <w:r w:rsidRPr="00C80028">
              <w:t>utline the case for change</w:t>
            </w:r>
          </w:p>
        </w:tc>
        <w:tc>
          <w:tcPr>
            <w:tcW w:w="3832" w:type="dxa"/>
          </w:tcPr>
          <w:p w14:paraId="38BF8451" w14:textId="77777777" w:rsidR="00BA7E1E" w:rsidRPr="00C80028" w:rsidRDefault="00BA7E1E" w:rsidP="00CD5CB9">
            <w:pPr>
              <w:pStyle w:val="Table-bodytext"/>
            </w:pPr>
          </w:p>
        </w:tc>
      </w:tr>
      <w:tr w:rsidR="00BA7E1E" w:rsidRPr="00237AB2" w14:paraId="382B2874" w14:textId="77777777" w:rsidTr="00983113">
        <w:trPr>
          <w:jc w:val="center"/>
        </w:trPr>
        <w:tc>
          <w:tcPr>
            <w:tcW w:w="1980" w:type="dxa"/>
            <w:shd w:val="clear" w:color="auto" w:fill="FFFFFF" w:themeFill="background1"/>
          </w:tcPr>
          <w:p w14:paraId="14A5F0BE" w14:textId="77777777" w:rsidR="00BA7E1E" w:rsidRPr="00C80028" w:rsidRDefault="00BA7E1E" w:rsidP="00CD5CB9">
            <w:pPr>
              <w:pStyle w:val="Table-bodytext"/>
            </w:pPr>
            <w:r w:rsidRPr="00C80028">
              <w:t>Strategic objectives</w:t>
            </w:r>
          </w:p>
        </w:tc>
        <w:tc>
          <w:tcPr>
            <w:tcW w:w="4678" w:type="dxa"/>
          </w:tcPr>
          <w:p w14:paraId="3D117779" w14:textId="77777777" w:rsidR="00BA7E1E" w:rsidRDefault="00BA7E1E" w:rsidP="00CD5CB9">
            <w:pPr>
              <w:pStyle w:val="Table-bodytext"/>
            </w:pPr>
            <w:r w:rsidRPr="00C80028">
              <w:t xml:space="preserve">Be clear about the impact in terms of outcomes of the change. </w:t>
            </w:r>
          </w:p>
          <w:p w14:paraId="62213D9D" w14:textId="77777777" w:rsidR="00BA7E1E" w:rsidRPr="00C80028" w:rsidRDefault="00BA7E1E" w:rsidP="00CD5CB9">
            <w:pPr>
              <w:pStyle w:val="Table-bodytext"/>
            </w:pPr>
          </w:p>
          <w:p w14:paraId="30459604" w14:textId="77777777" w:rsidR="00BA7E1E" w:rsidRDefault="00BA7E1E" w:rsidP="00CD5CB9">
            <w:pPr>
              <w:pStyle w:val="Table-bodytext"/>
            </w:pPr>
            <w:r w:rsidRPr="00C80028">
              <w:t xml:space="preserve">Outline how stakeholders, patients and the public (as well as staff) have been involved, proposed further approaches and how their views have informed options and criteria. </w:t>
            </w:r>
          </w:p>
          <w:p w14:paraId="7898D318" w14:textId="77777777" w:rsidR="00BA7E1E" w:rsidRPr="00C80028" w:rsidRDefault="00BA7E1E" w:rsidP="00CD5CB9">
            <w:pPr>
              <w:pStyle w:val="Table-bodytext"/>
            </w:pPr>
          </w:p>
          <w:p w14:paraId="19E7300A" w14:textId="77777777" w:rsidR="00BA7E1E" w:rsidRDefault="00BA7E1E" w:rsidP="00CD5CB9">
            <w:pPr>
              <w:pStyle w:val="Table-bodytext"/>
            </w:pPr>
            <w:r w:rsidRPr="00C80028">
              <w:t xml:space="preserve">Be explicit about the population affected and the benefits to them. </w:t>
            </w:r>
          </w:p>
          <w:p w14:paraId="552AADE6" w14:textId="77777777" w:rsidR="00BA7E1E" w:rsidRPr="00C80028" w:rsidRDefault="00BA7E1E" w:rsidP="00CD5CB9">
            <w:pPr>
              <w:pStyle w:val="Table-bodytext"/>
            </w:pPr>
          </w:p>
          <w:p w14:paraId="615E2838" w14:textId="77777777" w:rsidR="00BA7E1E" w:rsidRDefault="00BA7E1E" w:rsidP="00CD5CB9">
            <w:pPr>
              <w:pStyle w:val="Table-bodytext"/>
            </w:pPr>
            <w:r w:rsidRPr="00C80028">
              <w:t xml:space="preserve">Outline how the proposed service changes will promote equality, tackle health inequalities and demonstrate how the commissioners have met the Public Sector Equality Duty. </w:t>
            </w:r>
          </w:p>
          <w:p w14:paraId="669A79F8" w14:textId="77777777" w:rsidR="007B48C4" w:rsidRDefault="007B48C4" w:rsidP="00CD5CB9">
            <w:pPr>
              <w:pStyle w:val="Table-bodytext"/>
            </w:pPr>
          </w:p>
          <w:p w14:paraId="7439DA1C" w14:textId="1D000424" w:rsidR="00BA7E1E" w:rsidRPr="00C80028" w:rsidRDefault="00BA7E1E" w:rsidP="00CD5CB9">
            <w:pPr>
              <w:pStyle w:val="Table-bodytext"/>
            </w:pPr>
            <w:r w:rsidRPr="00C80028">
              <w:t xml:space="preserve">Demonstrate links to relevant joint strategic needs assessments </w:t>
            </w:r>
            <w:r w:rsidRPr="007B48C4">
              <w:t xml:space="preserve">and </w:t>
            </w:r>
            <w:r w:rsidR="00EF5CDA" w:rsidRPr="007B48C4">
              <w:t>joint</w:t>
            </w:r>
            <w:r w:rsidR="00EF5CDA" w:rsidRPr="00EF5CDA">
              <w:t xml:space="preserve"> health and wellbeing </w:t>
            </w:r>
            <w:r w:rsidR="007B48C4" w:rsidRPr="00EF5CDA">
              <w:t>strategi</w:t>
            </w:r>
            <w:r w:rsidR="007B48C4">
              <w:t>es</w:t>
            </w:r>
            <w:r w:rsidRPr="00C80028">
              <w:t xml:space="preserve">, the integrated care </w:t>
            </w:r>
            <w:r w:rsidRPr="00C80028">
              <w:lastRenderedPageBreak/>
              <w:t>strategy, and ICS joint forward plans and NHS England strategies and other relevant national guidance.</w:t>
            </w:r>
          </w:p>
        </w:tc>
        <w:tc>
          <w:tcPr>
            <w:tcW w:w="4819" w:type="dxa"/>
          </w:tcPr>
          <w:p w14:paraId="6A716858" w14:textId="77777777" w:rsidR="00BA7E1E" w:rsidRPr="00C80028" w:rsidRDefault="00BA7E1E" w:rsidP="00CD5CB9">
            <w:pPr>
              <w:pStyle w:val="Table-bodytext"/>
            </w:pPr>
            <w:r w:rsidRPr="00C80028">
              <w:lastRenderedPageBreak/>
              <w:t xml:space="preserve">The PCBC should identify the specific, measurable, achievable, realistic, and time-bound (SMART) objectives associated with the project and set out reasonable spending objectives linked to benefits. These objectives will need to be reinforced with critical success factors. </w:t>
            </w:r>
          </w:p>
        </w:tc>
        <w:tc>
          <w:tcPr>
            <w:tcW w:w="3832" w:type="dxa"/>
          </w:tcPr>
          <w:p w14:paraId="1BBCE1B2" w14:textId="77777777" w:rsidR="00BA7E1E" w:rsidRPr="00C80028" w:rsidRDefault="00BA7E1E" w:rsidP="00CD5CB9">
            <w:pPr>
              <w:pStyle w:val="Table-bodytext"/>
            </w:pPr>
          </w:p>
        </w:tc>
      </w:tr>
      <w:tr w:rsidR="00BA7E1E" w:rsidRPr="00237AB2" w14:paraId="5FB6ACBF" w14:textId="77777777" w:rsidTr="00983113">
        <w:trPr>
          <w:jc w:val="center"/>
        </w:trPr>
        <w:tc>
          <w:tcPr>
            <w:tcW w:w="1980" w:type="dxa"/>
            <w:shd w:val="clear" w:color="auto" w:fill="FFFFFF" w:themeFill="background1"/>
          </w:tcPr>
          <w:p w14:paraId="6ABBCC38" w14:textId="77777777" w:rsidR="00BA7E1E" w:rsidRPr="00C80028" w:rsidRDefault="00BA7E1E" w:rsidP="00CD5CB9">
            <w:pPr>
              <w:pStyle w:val="Table-bodytext"/>
            </w:pPr>
            <w:r w:rsidRPr="00C80028">
              <w:t xml:space="preserve">Support from other organisations </w:t>
            </w:r>
          </w:p>
        </w:tc>
        <w:tc>
          <w:tcPr>
            <w:tcW w:w="4678" w:type="dxa"/>
          </w:tcPr>
          <w:p w14:paraId="419677A1" w14:textId="77777777" w:rsidR="00BA7E1E" w:rsidRPr="00C80028" w:rsidRDefault="00BA7E1E" w:rsidP="00CD5CB9">
            <w:pPr>
              <w:pStyle w:val="Table-bodytext"/>
            </w:pPr>
          </w:p>
        </w:tc>
        <w:tc>
          <w:tcPr>
            <w:tcW w:w="4819" w:type="dxa"/>
          </w:tcPr>
          <w:p w14:paraId="44783BEC" w14:textId="77777777" w:rsidR="00BA7E1E" w:rsidRDefault="00BA7E1E" w:rsidP="00CD5CB9">
            <w:pPr>
              <w:pStyle w:val="Table-bodytext"/>
            </w:pPr>
            <w:r w:rsidRPr="00C80028">
              <w:t>The system should provide written letters of support which demonstrate support from all major commissioners for the proposed service provision/ proposal. Letters of support should meet the requirements of the NHS England Capital investment and property business case approval guidance for NHS trusts and foundation trusts. The SOC should also be supported by an ICS Estates Strategy to demonstrate alignment to wider ICS plans.</w:t>
            </w:r>
          </w:p>
          <w:p w14:paraId="539F9DCE" w14:textId="77777777" w:rsidR="00BA7E1E" w:rsidRPr="00C80028" w:rsidRDefault="00BA7E1E" w:rsidP="00CD5CB9">
            <w:pPr>
              <w:pStyle w:val="Table-bodytext"/>
            </w:pPr>
          </w:p>
          <w:p w14:paraId="2D75D635" w14:textId="77777777" w:rsidR="00BA7E1E" w:rsidRPr="00C80028" w:rsidRDefault="00BA7E1E" w:rsidP="00CD5CB9">
            <w:pPr>
              <w:pStyle w:val="Table-bodytext"/>
            </w:pPr>
            <w:r w:rsidRPr="00C80028">
              <w:t>If the scheme is a New Hospitals Programme scheme (or other major centrally funded project), confirmation will be needed that the strategic case for change, the identification of the short list and the estimated capital cost for the preferred way forward have been approved by the NHP Investment Committee.</w:t>
            </w:r>
          </w:p>
        </w:tc>
        <w:tc>
          <w:tcPr>
            <w:tcW w:w="3832" w:type="dxa"/>
          </w:tcPr>
          <w:p w14:paraId="1CA77816" w14:textId="77777777" w:rsidR="00BA7E1E" w:rsidRPr="00C80028" w:rsidRDefault="00BA7E1E" w:rsidP="00CD5CB9">
            <w:pPr>
              <w:pStyle w:val="Table-bodytext"/>
            </w:pPr>
          </w:p>
        </w:tc>
      </w:tr>
      <w:tr w:rsidR="00BA7E1E" w:rsidRPr="00237AB2" w14:paraId="3E401556" w14:textId="77777777" w:rsidTr="00983113">
        <w:trPr>
          <w:trHeight w:val="784"/>
          <w:jc w:val="center"/>
        </w:trPr>
        <w:tc>
          <w:tcPr>
            <w:tcW w:w="1980" w:type="dxa"/>
            <w:shd w:val="clear" w:color="auto" w:fill="FFFFFF" w:themeFill="background1"/>
          </w:tcPr>
          <w:p w14:paraId="7E0E0389" w14:textId="77777777" w:rsidR="00BA7E1E" w:rsidRPr="00C80028" w:rsidRDefault="00BA7E1E" w:rsidP="00CD5CB9">
            <w:pPr>
              <w:pStyle w:val="Table-bodytext"/>
            </w:pPr>
            <w:r w:rsidRPr="00C80028">
              <w:t>Consultation</w:t>
            </w:r>
          </w:p>
        </w:tc>
        <w:tc>
          <w:tcPr>
            <w:tcW w:w="4678" w:type="dxa"/>
          </w:tcPr>
          <w:p w14:paraId="7AAA8B0A" w14:textId="77777777" w:rsidR="00BA7E1E" w:rsidRPr="00C80028" w:rsidRDefault="00BA7E1E" w:rsidP="00CD5CB9">
            <w:pPr>
              <w:pStyle w:val="Table-bodytext"/>
            </w:pPr>
          </w:p>
        </w:tc>
        <w:tc>
          <w:tcPr>
            <w:tcW w:w="4819" w:type="dxa"/>
          </w:tcPr>
          <w:p w14:paraId="7BA4EA9A" w14:textId="77777777" w:rsidR="00BA7E1E" w:rsidRPr="00C80028" w:rsidRDefault="00BA7E1E" w:rsidP="00CD5CB9">
            <w:pPr>
              <w:pStyle w:val="Table-bodytext"/>
            </w:pPr>
            <w:r w:rsidRPr="00C80028">
              <w:t>For major reconfigurations requiring capital investment, commissioners and providers will need to confirm consultation plan. By exception, where it can be demonstrated that the formal consultation relates to a small part of the development, as opposed to an entire service reconfiguration, there can be a nuanced approach to consultation by agreement with DHSC and NHS England national team.</w:t>
            </w:r>
          </w:p>
          <w:p w14:paraId="00C90C69" w14:textId="77777777" w:rsidR="00BA7E1E" w:rsidRDefault="00BA7E1E" w:rsidP="00CD5CB9">
            <w:pPr>
              <w:pStyle w:val="Table-bodytext"/>
            </w:pPr>
          </w:p>
          <w:p w14:paraId="3BEDD25D" w14:textId="5C33B5B8" w:rsidR="00BA7E1E" w:rsidRPr="00C80028" w:rsidRDefault="00BA7E1E" w:rsidP="00CD5CB9">
            <w:pPr>
              <w:pStyle w:val="Table-bodytext"/>
            </w:pPr>
            <w:r w:rsidRPr="00C80028">
              <w:t xml:space="preserve">The business case should reflect the outcomes of pre-engagement work and how that has shaped the business case options appraisal. </w:t>
            </w:r>
            <w:r w:rsidRPr="00C80028">
              <w:lastRenderedPageBreak/>
              <w:t xml:space="preserve">Particularly, what has changed </w:t>
            </w:r>
            <w:proofErr w:type="gramStart"/>
            <w:r w:rsidRPr="00C80028">
              <w:t>as a result of</w:t>
            </w:r>
            <w:proofErr w:type="gramEnd"/>
            <w:r w:rsidRPr="00C80028">
              <w:t xml:space="preserve"> this feedback</w:t>
            </w:r>
            <w:r w:rsidR="00F6476F">
              <w:t>.</w:t>
            </w:r>
          </w:p>
        </w:tc>
        <w:tc>
          <w:tcPr>
            <w:tcW w:w="3832" w:type="dxa"/>
          </w:tcPr>
          <w:p w14:paraId="2DAC18CC" w14:textId="77777777" w:rsidR="00BA7E1E" w:rsidRPr="00C80028" w:rsidRDefault="00BA7E1E" w:rsidP="00CD5CB9">
            <w:pPr>
              <w:pStyle w:val="Table-bodytext"/>
            </w:pPr>
          </w:p>
        </w:tc>
      </w:tr>
    </w:tbl>
    <w:p w14:paraId="3B7F6C2B" w14:textId="77777777" w:rsidR="00BA7E1E" w:rsidRDefault="00BA7E1E" w:rsidP="00BA7E1E">
      <w:pPr>
        <w:pStyle w:val="Table-bodytext"/>
      </w:pPr>
    </w:p>
    <w:p w14:paraId="226584FD" w14:textId="77777777" w:rsidR="00BA7E1E" w:rsidRPr="00C80028" w:rsidRDefault="00BA7E1E" w:rsidP="00BA7E1E">
      <w:pPr>
        <w:pStyle w:val="Table-bodytext"/>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24"/>
        <w:gridCol w:w="4547"/>
        <w:gridCol w:w="4968"/>
        <w:gridCol w:w="3749"/>
      </w:tblGrid>
      <w:tr w:rsidR="00BA7E1E" w:rsidRPr="00237AB2" w14:paraId="77DD4534" w14:textId="77777777" w:rsidTr="00983113">
        <w:tc>
          <w:tcPr>
            <w:tcW w:w="1939" w:type="dxa"/>
            <w:shd w:val="clear" w:color="auto" w:fill="0070C0"/>
          </w:tcPr>
          <w:p w14:paraId="2BABAFCF" w14:textId="77777777" w:rsidR="00BA7E1E" w:rsidRPr="00403371" w:rsidRDefault="00BA7E1E" w:rsidP="00CD5CB9">
            <w:pPr>
              <w:pStyle w:val="Table-headertext"/>
              <w:rPr>
                <w:color w:val="FFFFFF" w:themeColor="background1"/>
              </w:rPr>
            </w:pPr>
            <w:bookmarkStart w:id="0" w:name="_Toc525808939"/>
            <w:bookmarkStart w:id="1" w:name="_Toc527387359"/>
            <w:bookmarkStart w:id="2" w:name="_Toc527554688"/>
            <w:bookmarkStart w:id="3" w:name="_Toc527554751"/>
            <w:bookmarkStart w:id="4" w:name="_Toc527554809"/>
            <w:bookmarkStart w:id="5" w:name="_Toc10646588"/>
            <w:r w:rsidRPr="00403371">
              <w:rPr>
                <w:color w:val="FFFFFF" w:themeColor="background1"/>
              </w:rPr>
              <w:t>Economic case</w:t>
            </w:r>
          </w:p>
        </w:tc>
        <w:tc>
          <w:tcPr>
            <w:tcW w:w="4152" w:type="dxa"/>
            <w:shd w:val="clear" w:color="auto" w:fill="0070C0"/>
          </w:tcPr>
          <w:p w14:paraId="74846021" w14:textId="77777777" w:rsidR="00BA7E1E" w:rsidRPr="00403371" w:rsidRDefault="00BA7E1E" w:rsidP="00CD5CB9">
            <w:pPr>
              <w:pStyle w:val="Table-headertext"/>
              <w:rPr>
                <w:color w:val="FFFFFF" w:themeColor="background1"/>
              </w:rPr>
            </w:pPr>
            <w:r w:rsidRPr="00403371">
              <w:rPr>
                <w:color w:val="FFFFFF" w:themeColor="background1"/>
              </w:rPr>
              <w:t>1. PCBC only criteria</w:t>
            </w:r>
          </w:p>
        </w:tc>
        <w:tc>
          <w:tcPr>
            <w:tcW w:w="4536" w:type="dxa"/>
            <w:shd w:val="clear" w:color="auto" w:fill="0070C0"/>
          </w:tcPr>
          <w:p w14:paraId="1568BA37" w14:textId="77777777" w:rsidR="00BA7E1E" w:rsidRPr="00403371" w:rsidRDefault="00BA7E1E" w:rsidP="00CD5CB9">
            <w:pPr>
              <w:pStyle w:val="Table-headertext"/>
              <w:rPr>
                <w:color w:val="FFFFFF" w:themeColor="background1"/>
              </w:rPr>
            </w:pPr>
            <w:r w:rsidRPr="00403371">
              <w:rPr>
                <w:color w:val="FFFFFF" w:themeColor="background1"/>
              </w:rPr>
              <w:t>2. PCBC and SOC criteria</w:t>
            </w:r>
          </w:p>
        </w:tc>
        <w:tc>
          <w:tcPr>
            <w:tcW w:w="3423" w:type="dxa"/>
            <w:shd w:val="clear" w:color="auto" w:fill="0070C0"/>
          </w:tcPr>
          <w:p w14:paraId="6DBC9CEE" w14:textId="77777777" w:rsidR="00BA7E1E" w:rsidRPr="00403371" w:rsidRDefault="00BA7E1E" w:rsidP="00CD5CB9">
            <w:pPr>
              <w:pStyle w:val="Table-headertext"/>
              <w:rPr>
                <w:color w:val="FFFFFF" w:themeColor="background1"/>
              </w:rPr>
            </w:pPr>
            <w:r w:rsidRPr="00403371">
              <w:rPr>
                <w:color w:val="FFFFFF" w:themeColor="background1"/>
              </w:rPr>
              <w:t>3. SOC only criteria</w:t>
            </w:r>
          </w:p>
        </w:tc>
      </w:tr>
      <w:tr w:rsidR="00BA7E1E" w:rsidRPr="00237AB2" w14:paraId="61A7949F" w14:textId="77777777" w:rsidTr="00983113">
        <w:tc>
          <w:tcPr>
            <w:tcW w:w="1939" w:type="dxa"/>
            <w:shd w:val="clear" w:color="auto" w:fill="FFFFFF" w:themeFill="background1"/>
          </w:tcPr>
          <w:p w14:paraId="7EB4C7B5" w14:textId="77777777" w:rsidR="00BA7E1E" w:rsidRPr="00904EE3" w:rsidRDefault="00BA7E1E" w:rsidP="00CD5CB9">
            <w:pPr>
              <w:pStyle w:val="Table-bodytext"/>
            </w:pPr>
            <w:r w:rsidRPr="00904EE3">
              <w:t>Long list appraisal</w:t>
            </w:r>
          </w:p>
        </w:tc>
        <w:tc>
          <w:tcPr>
            <w:tcW w:w="4152" w:type="dxa"/>
          </w:tcPr>
          <w:p w14:paraId="785E79A4" w14:textId="77777777" w:rsidR="00BA7E1E" w:rsidRPr="00904EE3" w:rsidRDefault="00BA7E1E" w:rsidP="00CD5CB9">
            <w:pPr>
              <w:pStyle w:val="Table-bodytext"/>
            </w:pPr>
            <w:r w:rsidRPr="00904EE3">
              <w:t>Show that options are affordable, clinically viable and deliverable.</w:t>
            </w:r>
          </w:p>
          <w:p w14:paraId="5B6D7167" w14:textId="77777777" w:rsidR="00BA7E1E" w:rsidRPr="00904EE3" w:rsidRDefault="00BA7E1E" w:rsidP="00CD5CB9">
            <w:pPr>
              <w:pStyle w:val="Table-bodytext"/>
            </w:pPr>
          </w:p>
        </w:tc>
        <w:tc>
          <w:tcPr>
            <w:tcW w:w="4536" w:type="dxa"/>
          </w:tcPr>
          <w:p w14:paraId="10A45AC2" w14:textId="77777777" w:rsidR="00BA7E1E" w:rsidRPr="00904EE3" w:rsidRDefault="00BA7E1E" w:rsidP="00CD5CB9">
            <w:pPr>
              <w:pStyle w:val="Table-bodytext"/>
            </w:pPr>
            <w:r w:rsidRPr="00904EE3">
              <w:t xml:space="preserve">Strategic alignment of proposed options (with policy, guidance and services at local, regional and national level). </w:t>
            </w:r>
          </w:p>
          <w:p w14:paraId="0C3A6BE4" w14:textId="77777777" w:rsidR="00BA7E1E" w:rsidRDefault="00BA7E1E" w:rsidP="00CD5CB9">
            <w:pPr>
              <w:pStyle w:val="Table-bodytext"/>
            </w:pPr>
          </w:p>
          <w:p w14:paraId="3849D222" w14:textId="77777777" w:rsidR="00BA7E1E" w:rsidRPr="00904EE3" w:rsidRDefault="00BA7E1E" w:rsidP="00CD5CB9">
            <w:pPr>
              <w:pStyle w:val="Table-bodytext"/>
            </w:pPr>
            <w:r w:rsidRPr="00904EE3">
              <w:t xml:space="preserve">Explain what’s included and what’s not included within the scope of the proposals. </w:t>
            </w:r>
          </w:p>
          <w:p w14:paraId="030F470F" w14:textId="77777777" w:rsidR="00BA7E1E" w:rsidRDefault="00BA7E1E" w:rsidP="00CD5CB9">
            <w:pPr>
              <w:pStyle w:val="Table-bodytext"/>
            </w:pPr>
          </w:p>
          <w:p w14:paraId="7C25C2B8" w14:textId="77777777" w:rsidR="00BA7E1E" w:rsidRPr="00904EE3" w:rsidRDefault="00BA7E1E" w:rsidP="00CD5CB9">
            <w:pPr>
              <w:pStyle w:val="Table-bodytext"/>
            </w:pPr>
            <w:r w:rsidRPr="00904EE3">
              <w:t>This long list appraisal should be well detailed in the SOC and PCBC to evidence how a system has developed a workable short list.</w:t>
            </w:r>
          </w:p>
          <w:p w14:paraId="4FABF67F" w14:textId="77777777" w:rsidR="00BA7E1E" w:rsidRDefault="00BA7E1E" w:rsidP="00CD5CB9">
            <w:pPr>
              <w:pStyle w:val="Table-bodytext"/>
            </w:pPr>
          </w:p>
          <w:p w14:paraId="131C350A" w14:textId="77777777" w:rsidR="00BA7E1E" w:rsidRDefault="00BA7E1E" w:rsidP="00CD5CB9">
            <w:pPr>
              <w:pStyle w:val="Table-bodytext"/>
            </w:pPr>
            <w:r w:rsidRPr="00904EE3">
              <w:t>Demonstrate evaluation of options against a clear set of criteria.</w:t>
            </w:r>
          </w:p>
          <w:p w14:paraId="192335B1" w14:textId="77777777" w:rsidR="00F6476F" w:rsidRPr="00904EE3" w:rsidRDefault="00F6476F" w:rsidP="00CD5CB9">
            <w:pPr>
              <w:pStyle w:val="Table-bodytext"/>
            </w:pPr>
          </w:p>
          <w:p w14:paraId="3C2B7E60" w14:textId="77777777" w:rsidR="00BA7E1E" w:rsidRPr="00904EE3" w:rsidRDefault="00BA7E1E" w:rsidP="00CD5CB9">
            <w:pPr>
              <w:pStyle w:val="Table-bodytext"/>
            </w:pPr>
            <w:r w:rsidRPr="00904EE3">
              <w:t>Options should demonstrate affordability and value for money (including projections on income and expenditure and capital costs/receipts for affected bodies) and satisfaction of any applicable return on investment (ROI) criteria.</w:t>
            </w:r>
          </w:p>
          <w:p w14:paraId="6B9BF620" w14:textId="77777777" w:rsidR="00BA7E1E" w:rsidRDefault="00BA7E1E" w:rsidP="00CD5CB9">
            <w:pPr>
              <w:pStyle w:val="Table-bodytext"/>
            </w:pPr>
          </w:p>
          <w:p w14:paraId="593E0DE1" w14:textId="77777777" w:rsidR="00BA7E1E" w:rsidRPr="00904EE3" w:rsidRDefault="00BA7E1E" w:rsidP="00CD5CB9">
            <w:pPr>
              <w:pStyle w:val="Table-bodytext"/>
            </w:pPr>
            <w:r w:rsidRPr="00904EE3">
              <w:t>Demonstrate proposals are affordable in revenue and capital terms, deliverable on site, and that transitional and recurrent revenue impact have been robustly identified.</w:t>
            </w:r>
          </w:p>
          <w:p w14:paraId="3CA74C14" w14:textId="77777777" w:rsidR="00BA7E1E" w:rsidRDefault="00BA7E1E" w:rsidP="00CD5CB9">
            <w:pPr>
              <w:pStyle w:val="Table-bodytext"/>
            </w:pPr>
          </w:p>
          <w:p w14:paraId="791E5ED9" w14:textId="048843B2" w:rsidR="00BA7E1E" w:rsidRPr="00904EE3" w:rsidRDefault="00BA7E1E" w:rsidP="00CD5CB9">
            <w:pPr>
              <w:pStyle w:val="Table-bodytext"/>
            </w:pPr>
            <w:r w:rsidRPr="00904EE3">
              <w:t xml:space="preserve">The system should identify their critical success factors for intervention and use the Green Book </w:t>
            </w:r>
            <w:r w:rsidRPr="00904EE3">
              <w:lastRenderedPageBreak/>
              <w:t xml:space="preserve">Options Framework to develop a </w:t>
            </w:r>
            <w:r w:rsidR="00647DC8">
              <w:t>l</w:t>
            </w:r>
            <w:r w:rsidRPr="00904EE3">
              <w:t xml:space="preserve">ong </w:t>
            </w:r>
            <w:r w:rsidR="00647DC8">
              <w:t>l</w:t>
            </w:r>
            <w:r w:rsidRPr="00904EE3">
              <w:t xml:space="preserve">ist of options to meet the strategic objectives and </w:t>
            </w:r>
            <w:r w:rsidR="00C66E27" w:rsidRPr="00C66E27">
              <w:t>critical success factor</w:t>
            </w:r>
            <w:r w:rsidR="00647DC8">
              <w:t>s</w:t>
            </w:r>
            <w:r w:rsidRPr="00904EE3">
              <w:t xml:space="preserve"> set out above. The SOC should demonstrate that the system have identified potential ‘scopes’ for the coverage of the project, ranging from business as usual, through to the ‘do minimum’, and ‘do maximum’ and intermediate options.</w:t>
            </w:r>
          </w:p>
        </w:tc>
        <w:tc>
          <w:tcPr>
            <w:tcW w:w="3423" w:type="dxa"/>
          </w:tcPr>
          <w:p w14:paraId="1D29A4E5" w14:textId="193E52D5" w:rsidR="00BA7E1E" w:rsidRPr="00904EE3" w:rsidRDefault="00BA7E1E" w:rsidP="00CD5CB9">
            <w:pPr>
              <w:pStyle w:val="Table-bodytext"/>
            </w:pPr>
            <w:hyperlink r:id="rId8" w:history="1">
              <w:r w:rsidRPr="00904EE3">
                <w:rPr>
                  <w:rStyle w:val="Hyperlink"/>
                </w:rPr>
                <w:t>Access tha</w:t>
              </w:r>
              <w:r w:rsidRPr="00904EE3">
                <w:rPr>
                  <w:rStyle w:val="Hyperlink"/>
                </w:rPr>
                <w:t>t</w:t>
              </w:r>
              <w:r w:rsidRPr="00904EE3">
                <w:rPr>
                  <w:rStyle w:val="Hyperlink"/>
                </w:rPr>
                <w:t xml:space="preserve"> the Options Framework guidance for the SOC</w:t>
              </w:r>
            </w:hyperlink>
            <w:r w:rsidRPr="00904EE3">
              <w:t xml:space="preserve">. </w:t>
            </w:r>
          </w:p>
        </w:tc>
      </w:tr>
      <w:tr w:rsidR="00BA7E1E" w:rsidRPr="00237AB2" w14:paraId="10EB5797" w14:textId="77777777" w:rsidTr="00F6476F">
        <w:trPr>
          <w:trHeight w:val="500"/>
        </w:trPr>
        <w:tc>
          <w:tcPr>
            <w:tcW w:w="1939" w:type="dxa"/>
            <w:shd w:val="clear" w:color="auto" w:fill="FFFFFF" w:themeFill="background1"/>
          </w:tcPr>
          <w:p w14:paraId="74FD70C6" w14:textId="77777777" w:rsidR="00BA7E1E" w:rsidRPr="00904EE3" w:rsidRDefault="00BA7E1E" w:rsidP="00CD5CB9">
            <w:pPr>
              <w:pStyle w:val="Table-bodytext"/>
            </w:pPr>
            <w:r w:rsidRPr="00904EE3">
              <w:t>Short list</w:t>
            </w:r>
          </w:p>
        </w:tc>
        <w:tc>
          <w:tcPr>
            <w:tcW w:w="4152" w:type="dxa"/>
          </w:tcPr>
          <w:p w14:paraId="39DC540A" w14:textId="77777777" w:rsidR="00BA7E1E" w:rsidRPr="00904EE3" w:rsidRDefault="00BA7E1E" w:rsidP="00CD5CB9">
            <w:pPr>
              <w:pStyle w:val="Table-bodytext"/>
            </w:pPr>
            <w:r w:rsidRPr="00904EE3">
              <w:t>Explain the process for moving from a long list to a shortlist of options, and how feedback from engagement has informed the assessment criteria.</w:t>
            </w:r>
          </w:p>
          <w:p w14:paraId="5490E411" w14:textId="77777777" w:rsidR="00BA7E1E" w:rsidRPr="00904EE3" w:rsidRDefault="00BA7E1E" w:rsidP="00CD5CB9">
            <w:pPr>
              <w:pStyle w:val="Table-bodytext"/>
            </w:pPr>
          </w:p>
        </w:tc>
        <w:tc>
          <w:tcPr>
            <w:tcW w:w="4536" w:type="dxa"/>
          </w:tcPr>
          <w:p w14:paraId="558A313F" w14:textId="77777777" w:rsidR="00BA7E1E" w:rsidRPr="00904EE3" w:rsidRDefault="00BA7E1E" w:rsidP="00CD5CB9">
            <w:pPr>
              <w:pStyle w:val="Table-bodytext"/>
            </w:pPr>
            <w:r w:rsidRPr="00904EE3">
              <w:t xml:space="preserve">The PCBC and SOC should describe the shortlist of options for further appraisal. </w:t>
            </w:r>
          </w:p>
          <w:p w14:paraId="31902C42" w14:textId="77777777" w:rsidR="00BA7E1E" w:rsidRDefault="00BA7E1E" w:rsidP="00CD5CB9">
            <w:pPr>
              <w:pStyle w:val="Table-bodytext"/>
            </w:pPr>
          </w:p>
          <w:p w14:paraId="02FEA8D0" w14:textId="77777777" w:rsidR="00BA7E1E" w:rsidRDefault="00BA7E1E" w:rsidP="00CD5CB9">
            <w:pPr>
              <w:pStyle w:val="Table-bodytext"/>
            </w:pPr>
            <w:r w:rsidRPr="00904EE3">
              <w:t>The SOC should identify a minimum of 4 shortlisted options for further appraisal. These should include:</w:t>
            </w:r>
          </w:p>
          <w:p w14:paraId="317E59B2" w14:textId="77777777" w:rsidR="00F6476F" w:rsidRPr="00904EE3" w:rsidRDefault="00F6476F" w:rsidP="00CD5CB9">
            <w:pPr>
              <w:pStyle w:val="Table-bodytext"/>
            </w:pPr>
          </w:p>
          <w:p w14:paraId="7E9ED5F3" w14:textId="525481DA" w:rsidR="00BA7E1E" w:rsidRPr="00904EE3" w:rsidRDefault="00BA7E1E" w:rsidP="00F6476F">
            <w:pPr>
              <w:pStyle w:val="Table-bodytext"/>
              <w:numPr>
                <w:ilvl w:val="0"/>
                <w:numId w:val="4"/>
              </w:numPr>
            </w:pPr>
            <w:r w:rsidRPr="00904EE3">
              <w:t>Business as usual – the benchmark for value for money</w:t>
            </w:r>
            <w:r w:rsidR="00F6476F">
              <w:t>.</w:t>
            </w:r>
          </w:p>
          <w:p w14:paraId="2E82D9CB" w14:textId="1554BCDF" w:rsidR="00BA7E1E" w:rsidRPr="00904EE3" w:rsidRDefault="00BA7E1E" w:rsidP="00F6476F">
            <w:pPr>
              <w:pStyle w:val="Table-bodytext"/>
              <w:numPr>
                <w:ilvl w:val="0"/>
                <w:numId w:val="4"/>
              </w:numPr>
            </w:pPr>
            <w:r w:rsidRPr="00904EE3">
              <w:t>‘Do minimum’ – a realistic way forward that also acts as a further benchmark for value for money, in terms of cost justifying further intervention. This option need only be used if there is a viable 'do minimum' - in the case where fixing the estate is the desired output as opposed to service. reconfiguration, 'do minimum' might well be the same as the 'recommended' option.</w:t>
            </w:r>
          </w:p>
          <w:p w14:paraId="6CEA1DBB" w14:textId="6EDE75CD" w:rsidR="00BA7E1E" w:rsidRPr="00904EE3" w:rsidRDefault="00BA7E1E" w:rsidP="00F6476F">
            <w:pPr>
              <w:pStyle w:val="Table-bodytext"/>
              <w:numPr>
                <w:ilvl w:val="0"/>
                <w:numId w:val="4"/>
              </w:numPr>
            </w:pPr>
            <w:r w:rsidRPr="00904EE3">
              <w:t>‘Recommended’ - the preferred way forward at this stage.</w:t>
            </w:r>
          </w:p>
          <w:p w14:paraId="6C8378BB" w14:textId="675A1B8D" w:rsidR="00BA7E1E" w:rsidRDefault="00BA7E1E" w:rsidP="00F6476F">
            <w:pPr>
              <w:pStyle w:val="Table-bodytext"/>
              <w:numPr>
                <w:ilvl w:val="0"/>
                <w:numId w:val="4"/>
              </w:numPr>
            </w:pPr>
            <w:r w:rsidRPr="00904EE3">
              <w:t>1 or more other possible options based on realistic ‘more ambitious’ and ‘less ambitious’ choices that were not discounted at the long-list stage.</w:t>
            </w:r>
          </w:p>
          <w:p w14:paraId="0ABB8A0F" w14:textId="77777777" w:rsidR="00BA7E1E" w:rsidRPr="00904EE3" w:rsidRDefault="00BA7E1E" w:rsidP="00CD5CB9">
            <w:pPr>
              <w:pStyle w:val="Table-bodytext"/>
            </w:pPr>
          </w:p>
          <w:p w14:paraId="004C9288" w14:textId="0F0673DF" w:rsidR="00BA7E1E" w:rsidRPr="00904EE3" w:rsidRDefault="00BA7E1E" w:rsidP="00F6476F">
            <w:pPr>
              <w:pStyle w:val="Table-bodytext"/>
            </w:pPr>
            <w:r w:rsidRPr="00904EE3">
              <w:lastRenderedPageBreak/>
              <w:t>Note: it is possible for the PCBC to contain only 1 option that is deemed viable and therefore for only 1 option to be consulted on. However, you should ensure that a list of options which are not feasible or viable is included to make it clear that they were considered. A ‘business as usual’ option should always be considered.</w:t>
            </w:r>
          </w:p>
        </w:tc>
        <w:tc>
          <w:tcPr>
            <w:tcW w:w="3423" w:type="dxa"/>
          </w:tcPr>
          <w:p w14:paraId="149E1DD6" w14:textId="77777777" w:rsidR="00BA7E1E" w:rsidRPr="00904EE3" w:rsidRDefault="00BA7E1E" w:rsidP="00CD5CB9">
            <w:pPr>
              <w:pStyle w:val="Table-bodytext"/>
            </w:pPr>
            <w:r w:rsidRPr="00904EE3">
              <w:lastRenderedPageBreak/>
              <w:t>There should be an indicative cost, benefit and risk appraisal performed on the 4 options, demonstrating a net present social value (NPSV) to justify the preferred way forward at an early stage, albeit it is accepted that this will need further development at OBC stage.</w:t>
            </w:r>
          </w:p>
        </w:tc>
      </w:tr>
      <w:tr w:rsidR="00BA7E1E" w:rsidRPr="00237AB2" w14:paraId="077B72DA" w14:textId="77777777" w:rsidTr="00983113">
        <w:tc>
          <w:tcPr>
            <w:tcW w:w="1939" w:type="dxa"/>
            <w:shd w:val="clear" w:color="auto" w:fill="FFFFFF" w:themeFill="background1"/>
          </w:tcPr>
          <w:p w14:paraId="2F8BEA38" w14:textId="77777777" w:rsidR="00BA7E1E" w:rsidRPr="00904EE3" w:rsidRDefault="00BA7E1E" w:rsidP="00CD5CB9">
            <w:pPr>
              <w:pStyle w:val="Table-bodytext"/>
            </w:pPr>
            <w:r w:rsidRPr="00904EE3">
              <w:t>Use of the Comprehensive investment appraisal (CIA) model.</w:t>
            </w:r>
          </w:p>
        </w:tc>
        <w:tc>
          <w:tcPr>
            <w:tcW w:w="4152" w:type="dxa"/>
          </w:tcPr>
          <w:p w14:paraId="25A53261" w14:textId="77777777" w:rsidR="00BA7E1E" w:rsidRPr="00904EE3" w:rsidRDefault="00BA7E1E" w:rsidP="00CD5CB9">
            <w:pPr>
              <w:pStyle w:val="Table-bodytext"/>
            </w:pPr>
            <w:r w:rsidRPr="00904EE3">
              <w:t>If PCBC is to include a high level VFM analysis, it should be a summary of the CIA output so that the PCBC and SOC VFM analysis say the same story.</w:t>
            </w:r>
          </w:p>
        </w:tc>
        <w:tc>
          <w:tcPr>
            <w:tcW w:w="4536" w:type="dxa"/>
          </w:tcPr>
          <w:p w14:paraId="4D8A7C98" w14:textId="77777777" w:rsidR="00BA7E1E" w:rsidRPr="00904EE3" w:rsidRDefault="00BA7E1E" w:rsidP="00CD5CB9">
            <w:pPr>
              <w:pStyle w:val="Table-bodytext"/>
            </w:pPr>
            <w:r w:rsidRPr="00904EE3">
              <w:t>The PCBC and the SOC will need to demonstrate capital affordability. To test value for money (VFM) we strongly recommend the use of the CIA Model.</w:t>
            </w:r>
          </w:p>
        </w:tc>
        <w:tc>
          <w:tcPr>
            <w:tcW w:w="3423" w:type="dxa"/>
          </w:tcPr>
          <w:p w14:paraId="54DAA663" w14:textId="77777777" w:rsidR="00BA7E1E" w:rsidRDefault="00BA7E1E" w:rsidP="00CD5CB9">
            <w:pPr>
              <w:pStyle w:val="Table-bodytext"/>
            </w:pPr>
            <w:r w:rsidRPr="00904EE3">
              <w:t xml:space="preserve">It is expected that shortlist options are presented using the CIA model at the earliest stage to ensure continuity in the development of the economic case from SOC through OBC to FBC. </w:t>
            </w:r>
          </w:p>
          <w:p w14:paraId="632E15A1" w14:textId="77777777" w:rsidR="00BA7E1E" w:rsidRPr="00904EE3" w:rsidRDefault="00BA7E1E" w:rsidP="00CD5CB9">
            <w:pPr>
              <w:pStyle w:val="Table-bodytext"/>
            </w:pPr>
          </w:p>
          <w:p w14:paraId="7A00B061" w14:textId="77777777" w:rsidR="00BA7E1E" w:rsidRPr="00904EE3" w:rsidRDefault="00BA7E1E" w:rsidP="00CD5CB9">
            <w:pPr>
              <w:pStyle w:val="Table-bodytext"/>
            </w:pPr>
            <w:r w:rsidRPr="00904EE3">
              <w:t>If a CIA model is not provided in the SOC, the expectation is that there will be a conditional approval requiring the CIA model to be used for the OBC options appraisal.</w:t>
            </w:r>
          </w:p>
        </w:tc>
      </w:tr>
    </w:tbl>
    <w:p w14:paraId="25F1C12E" w14:textId="77777777" w:rsidR="00BA7E1E" w:rsidRDefault="00BA7E1E" w:rsidP="00BA7E1E">
      <w:pPr>
        <w:pStyle w:val="Heading4"/>
      </w:pPr>
    </w:p>
    <w:tbl>
      <w:tblPr>
        <w:tblStyle w:val="TableGrid"/>
        <w:tblW w:w="5000" w:type="pct"/>
        <w:jc w:val="center"/>
        <w:tblCellMar>
          <w:top w:w="57" w:type="dxa"/>
          <w:left w:w="57" w:type="dxa"/>
          <w:bottom w:w="57" w:type="dxa"/>
          <w:right w:w="57" w:type="dxa"/>
        </w:tblCellMar>
        <w:tblLook w:val="04A0" w:firstRow="1" w:lastRow="0" w:firstColumn="1" w:lastColumn="0" w:noHBand="0" w:noVBand="1"/>
      </w:tblPr>
      <w:tblGrid>
        <w:gridCol w:w="2010"/>
        <w:gridCol w:w="4459"/>
        <w:gridCol w:w="4261"/>
        <w:gridCol w:w="4658"/>
      </w:tblGrid>
      <w:tr w:rsidR="00BA7E1E" w:rsidRPr="00237AB2" w14:paraId="5686E998" w14:textId="77777777" w:rsidTr="009E02C8">
        <w:trPr>
          <w:jc w:val="center"/>
        </w:trPr>
        <w:tc>
          <w:tcPr>
            <w:tcW w:w="1980" w:type="dxa"/>
            <w:shd w:val="clear" w:color="auto" w:fill="0070C0"/>
          </w:tcPr>
          <w:p w14:paraId="468CCD17" w14:textId="306CE016" w:rsidR="00BA7E1E" w:rsidRPr="009E02C8" w:rsidRDefault="00BA7E1E" w:rsidP="00CD5CB9">
            <w:pPr>
              <w:pStyle w:val="Table-headertext"/>
              <w:rPr>
                <w:color w:val="FFFFFF" w:themeColor="background1"/>
              </w:rPr>
            </w:pPr>
            <w:r w:rsidRPr="009E02C8">
              <w:rPr>
                <w:color w:val="FFFFFF" w:themeColor="background1"/>
              </w:rPr>
              <w:t xml:space="preserve">Financial </w:t>
            </w:r>
            <w:r w:rsidR="009E02C8" w:rsidRPr="009E02C8">
              <w:rPr>
                <w:color w:val="FFFFFF" w:themeColor="background1"/>
              </w:rPr>
              <w:t>c</w:t>
            </w:r>
            <w:r w:rsidRPr="009E02C8">
              <w:rPr>
                <w:color w:val="FFFFFF" w:themeColor="background1"/>
              </w:rPr>
              <w:t>ase</w:t>
            </w:r>
          </w:p>
        </w:tc>
        <w:tc>
          <w:tcPr>
            <w:tcW w:w="4394" w:type="dxa"/>
            <w:shd w:val="clear" w:color="auto" w:fill="0070C0"/>
          </w:tcPr>
          <w:p w14:paraId="22A4BADB" w14:textId="77777777" w:rsidR="00BA7E1E" w:rsidRPr="009E02C8" w:rsidRDefault="00BA7E1E" w:rsidP="00CD5CB9">
            <w:pPr>
              <w:pStyle w:val="Table-headertext"/>
              <w:rPr>
                <w:color w:val="FFFFFF" w:themeColor="background1"/>
              </w:rPr>
            </w:pPr>
            <w:r w:rsidRPr="009E02C8">
              <w:rPr>
                <w:color w:val="FFFFFF" w:themeColor="background1"/>
              </w:rPr>
              <w:t>1. PCBC only criteria</w:t>
            </w:r>
          </w:p>
        </w:tc>
        <w:tc>
          <w:tcPr>
            <w:tcW w:w="4199" w:type="dxa"/>
            <w:shd w:val="clear" w:color="auto" w:fill="0070C0"/>
          </w:tcPr>
          <w:p w14:paraId="24A132AF" w14:textId="77777777" w:rsidR="00BA7E1E" w:rsidRPr="009E02C8" w:rsidRDefault="00BA7E1E" w:rsidP="00CD5CB9">
            <w:pPr>
              <w:pStyle w:val="Table-headertext"/>
              <w:rPr>
                <w:color w:val="FFFFFF" w:themeColor="background1"/>
              </w:rPr>
            </w:pPr>
            <w:r w:rsidRPr="009E02C8">
              <w:rPr>
                <w:color w:val="FFFFFF" w:themeColor="background1"/>
              </w:rPr>
              <w:t>2. PCBC and SOC criteria</w:t>
            </w:r>
          </w:p>
        </w:tc>
        <w:tc>
          <w:tcPr>
            <w:tcW w:w="4590" w:type="dxa"/>
            <w:shd w:val="clear" w:color="auto" w:fill="0070C0"/>
          </w:tcPr>
          <w:p w14:paraId="57223638" w14:textId="77777777" w:rsidR="00BA7E1E" w:rsidRPr="009E02C8" w:rsidRDefault="00BA7E1E" w:rsidP="00CD5CB9">
            <w:pPr>
              <w:pStyle w:val="Table-headertext"/>
              <w:rPr>
                <w:color w:val="FFFFFF" w:themeColor="background1"/>
              </w:rPr>
            </w:pPr>
            <w:r w:rsidRPr="009E02C8">
              <w:rPr>
                <w:color w:val="FFFFFF" w:themeColor="background1"/>
              </w:rPr>
              <w:t>3. SOC only criteria</w:t>
            </w:r>
          </w:p>
        </w:tc>
      </w:tr>
      <w:tr w:rsidR="00BA7E1E" w:rsidRPr="00237AB2" w14:paraId="2B68A780" w14:textId="77777777" w:rsidTr="00983113">
        <w:trPr>
          <w:trHeight w:val="553"/>
          <w:jc w:val="center"/>
        </w:trPr>
        <w:tc>
          <w:tcPr>
            <w:tcW w:w="1980" w:type="dxa"/>
            <w:shd w:val="clear" w:color="auto" w:fill="FFFFFF" w:themeFill="background1"/>
          </w:tcPr>
          <w:p w14:paraId="10BC519A" w14:textId="77777777" w:rsidR="00BA7E1E" w:rsidRPr="00904EE3" w:rsidRDefault="00BA7E1E" w:rsidP="00CD5CB9">
            <w:pPr>
              <w:pStyle w:val="Table-bodytext"/>
            </w:pPr>
            <w:r w:rsidRPr="00904EE3">
              <w:t>Capital affordability</w:t>
            </w:r>
          </w:p>
        </w:tc>
        <w:tc>
          <w:tcPr>
            <w:tcW w:w="4394" w:type="dxa"/>
            <w:shd w:val="clear" w:color="auto" w:fill="FFFFFF" w:themeFill="background1"/>
          </w:tcPr>
          <w:p w14:paraId="23932B35" w14:textId="77777777" w:rsidR="00BA7E1E" w:rsidRPr="00904EE3" w:rsidRDefault="00BA7E1E" w:rsidP="00CD5CB9">
            <w:pPr>
              <w:pStyle w:val="Table-bodytext"/>
            </w:pPr>
            <w:r w:rsidRPr="00904EE3">
              <w:t xml:space="preserve">The case must demonstrate affordability and value for money (including capital costs/receipts for affected bodies) </w:t>
            </w:r>
          </w:p>
          <w:p w14:paraId="5FED54D0" w14:textId="77777777" w:rsidR="00BA7E1E" w:rsidRDefault="00BA7E1E" w:rsidP="00CD5CB9">
            <w:pPr>
              <w:pStyle w:val="Table-bodytext"/>
            </w:pPr>
          </w:p>
          <w:p w14:paraId="2EDB911F" w14:textId="77777777" w:rsidR="00BA7E1E" w:rsidRPr="00904EE3" w:rsidRDefault="00BA7E1E" w:rsidP="00CD5CB9">
            <w:pPr>
              <w:pStyle w:val="Table-bodytext"/>
            </w:pPr>
            <w:r w:rsidRPr="00904EE3">
              <w:t xml:space="preserve">A high-level source and application of capital funds, to demonstrate capital costs and how these are expected to be funded. It should be noted that every effort should be made to generate local capital funding including land disposals or internally generated capital and initial assessments of </w:t>
            </w:r>
            <w:r w:rsidRPr="00904EE3">
              <w:lastRenderedPageBreak/>
              <w:t>this should be included.</w:t>
            </w:r>
          </w:p>
        </w:tc>
        <w:tc>
          <w:tcPr>
            <w:tcW w:w="4199" w:type="dxa"/>
          </w:tcPr>
          <w:p w14:paraId="385B18C5" w14:textId="77777777" w:rsidR="00BA7E1E" w:rsidRPr="00904EE3" w:rsidRDefault="00BA7E1E" w:rsidP="00CD5CB9">
            <w:pPr>
              <w:pStyle w:val="Table-bodytext"/>
            </w:pPr>
            <w:r w:rsidRPr="00904EE3">
              <w:lastRenderedPageBreak/>
              <w:t>Indicative capital costs recorded using cost forms and recognisable benchmarks and which assume compliance with all applicable design, technical, building and space standards and known site constraints, and key adjacencies should be identified.</w:t>
            </w:r>
          </w:p>
        </w:tc>
        <w:tc>
          <w:tcPr>
            <w:tcW w:w="4590" w:type="dxa"/>
          </w:tcPr>
          <w:p w14:paraId="19D2147C" w14:textId="77777777" w:rsidR="00BA7E1E" w:rsidRPr="00904EE3" w:rsidRDefault="00BA7E1E" w:rsidP="00CD5CB9">
            <w:pPr>
              <w:pStyle w:val="Table-bodytext"/>
            </w:pPr>
            <w:r w:rsidRPr="00904EE3">
              <w:t>Affordability should be demonstrated such as that determined through capital planning or ICS/national funding processes. Risk and contingency should be appropriately calculated, and inflation assumptions clearly stated. The SOC should also include cost forms.</w:t>
            </w:r>
          </w:p>
        </w:tc>
      </w:tr>
      <w:tr w:rsidR="00BA7E1E" w:rsidRPr="00237AB2" w14:paraId="73EC3AB6" w14:textId="77777777" w:rsidTr="00983113">
        <w:trPr>
          <w:trHeight w:val="553"/>
          <w:jc w:val="center"/>
        </w:trPr>
        <w:tc>
          <w:tcPr>
            <w:tcW w:w="1980" w:type="dxa"/>
            <w:shd w:val="clear" w:color="auto" w:fill="FFFFFF" w:themeFill="background1"/>
          </w:tcPr>
          <w:p w14:paraId="68EE93CB" w14:textId="77777777" w:rsidR="00BA7E1E" w:rsidRPr="00904EE3" w:rsidRDefault="00BA7E1E" w:rsidP="00CD5CB9">
            <w:pPr>
              <w:pStyle w:val="Table-bodytext"/>
            </w:pPr>
            <w:r w:rsidRPr="00904EE3">
              <w:t>Revenue affordability</w:t>
            </w:r>
          </w:p>
        </w:tc>
        <w:tc>
          <w:tcPr>
            <w:tcW w:w="4394" w:type="dxa"/>
            <w:shd w:val="clear" w:color="auto" w:fill="FFFFFF" w:themeFill="background1"/>
          </w:tcPr>
          <w:p w14:paraId="23A8B8BA" w14:textId="77777777" w:rsidR="00BA7E1E" w:rsidRDefault="00BA7E1E" w:rsidP="00CD5CB9">
            <w:pPr>
              <w:pStyle w:val="Table-bodytext"/>
            </w:pPr>
            <w:r w:rsidRPr="00904EE3">
              <w:t>The PCBC must show that the proposals can be managed within the system's existing revenue envelope and will not cause or increase revenue deficits for the system.</w:t>
            </w:r>
          </w:p>
          <w:p w14:paraId="1AC37337" w14:textId="77777777" w:rsidR="00BA7E1E" w:rsidRPr="00904EE3" w:rsidRDefault="00BA7E1E" w:rsidP="00CD5CB9">
            <w:pPr>
              <w:pStyle w:val="Table-bodytext"/>
            </w:pPr>
          </w:p>
          <w:p w14:paraId="5727CEEF" w14:textId="77777777" w:rsidR="00BA7E1E" w:rsidRPr="00904EE3" w:rsidRDefault="00BA7E1E" w:rsidP="00CD5CB9">
            <w:pPr>
              <w:pStyle w:val="Table-bodytext"/>
            </w:pPr>
            <w:r w:rsidRPr="00904EE3">
              <w:t>It should also explain how individual organisation's deficits will be addressed</w:t>
            </w:r>
            <w:r>
              <w:t>.</w:t>
            </w:r>
          </w:p>
        </w:tc>
        <w:tc>
          <w:tcPr>
            <w:tcW w:w="4199" w:type="dxa"/>
          </w:tcPr>
          <w:p w14:paraId="2D3A8B61" w14:textId="77777777" w:rsidR="00BA7E1E" w:rsidRPr="00904EE3" w:rsidRDefault="00BA7E1E" w:rsidP="00CD5CB9">
            <w:pPr>
              <w:pStyle w:val="Table-bodytext"/>
            </w:pPr>
          </w:p>
        </w:tc>
        <w:tc>
          <w:tcPr>
            <w:tcW w:w="4590" w:type="dxa"/>
          </w:tcPr>
          <w:p w14:paraId="3A01D8F0" w14:textId="590D4B7E" w:rsidR="00BA7E1E" w:rsidRPr="00904EE3" w:rsidRDefault="00BA7E1E" w:rsidP="00CD5CB9">
            <w:pPr>
              <w:pStyle w:val="Table-bodytext"/>
            </w:pPr>
            <w:r w:rsidRPr="00904EE3">
              <w:t>The SOC should include an incremental statement of comprehensive income, statement of cashflows and statement of financial position and trust-wide statement of comprehensive income, including the impact of the proposed investment. Short term worsening of the</w:t>
            </w:r>
            <w:r w:rsidR="00ED383B">
              <w:t xml:space="preserve"> </w:t>
            </w:r>
            <w:r w:rsidR="00ED383B" w:rsidRPr="00ED383B">
              <w:t>income and expenditure</w:t>
            </w:r>
            <w:r w:rsidR="00ED383B">
              <w:t xml:space="preserve"> </w:t>
            </w:r>
            <w:r w:rsidRPr="00904EE3">
              <w:t>position should be explained and mitigated, and the case should demonstrate how recovery over the short term will be delivered.</w:t>
            </w:r>
          </w:p>
        </w:tc>
      </w:tr>
      <w:tr w:rsidR="00BA7E1E" w:rsidRPr="00237AB2" w14:paraId="64C42426" w14:textId="77777777" w:rsidTr="00983113">
        <w:trPr>
          <w:trHeight w:val="553"/>
          <w:jc w:val="center"/>
        </w:trPr>
        <w:tc>
          <w:tcPr>
            <w:tcW w:w="1980" w:type="dxa"/>
            <w:shd w:val="clear" w:color="auto" w:fill="FFFFFF" w:themeFill="background1"/>
          </w:tcPr>
          <w:p w14:paraId="48955BEA" w14:textId="77777777" w:rsidR="00BA7E1E" w:rsidRPr="00904EE3" w:rsidRDefault="00BA7E1E" w:rsidP="00CD5CB9">
            <w:pPr>
              <w:pStyle w:val="Table-bodytext"/>
            </w:pPr>
            <w:r w:rsidRPr="00904EE3">
              <w:t>Financial sustainability</w:t>
            </w:r>
          </w:p>
        </w:tc>
        <w:tc>
          <w:tcPr>
            <w:tcW w:w="4394" w:type="dxa"/>
            <w:shd w:val="clear" w:color="auto" w:fill="FFFFFF" w:themeFill="background1"/>
          </w:tcPr>
          <w:p w14:paraId="24F40D55" w14:textId="77777777" w:rsidR="00BA7E1E" w:rsidRPr="00904EE3" w:rsidRDefault="00BA7E1E" w:rsidP="00CD5CB9">
            <w:pPr>
              <w:pStyle w:val="Table-bodytext"/>
            </w:pPr>
            <w:r w:rsidRPr="00904EE3">
              <w:t>Planned savings are realistic and appropriate sensitivity analysis has been carried out.</w:t>
            </w:r>
          </w:p>
          <w:p w14:paraId="41B029E1" w14:textId="77777777" w:rsidR="00BA7E1E" w:rsidRDefault="00BA7E1E" w:rsidP="00CD5CB9">
            <w:pPr>
              <w:pStyle w:val="Table-bodytext"/>
            </w:pPr>
          </w:p>
          <w:p w14:paraId="1E4378D4" w14:textId="77777777" w:rsidR="00BA7E1E" w:rsidRPr="00904EE3" w:rsidRDefault="00BA7E1E" w:rsidP="00CD5CB9">
            <w:pPr>
              <w:pStyle w:val="Table-bodytext"/>
            </w:pPr>
            <w:r w:rsidRPr="00904EE3">
              <w:t>Financial modelling is consistent with workforce and activity modelling.</w:t>
            </w:r>
          </w:p>
          <w:p w14:paraId="1D7F198F" w14:textId="77777777" w:rsidR="00BA7E1E" w:rsidRDefault="00BA7E1E" w:rsidP="00CD5CB9">
            <w:pPr>
              <w:pStyle w:val="Table-bodytext"/>
            </w:pPr>
          </w:p>
          <w:p w14:paraId="300453CC" w14:textId="77777777" w:rsidR="00BA7E1E" w:rsidRPr="00904EE3" w:rsidRDefault="00BA7E1E" w:rsidP="00CD5CB9">
            <w:pPr>
              <w:pStyle w:val="Table-bodytext"/>
            </w:pPr>
            <w:r w:rsidRPr="00904EE3">
              <w:t>The PCBC should describe what measures are being taken to ensure benefits realisation.</w:t>
            </w:r>
          </w:p>
          <w:p w14:paraId="310F9293" w14:textId="77777777" w:rsidR="00BA7E1E" w:rsidRDefault="00BA7E1E" w:rsidP="00CD5CB9">
            <w:pPr>
              <w:pStyle w:val="Table-bodytext"/>
            </w:pPr>
          </w:p>
          <w:p w14:paraId="3D76E699" w14:textId="77777777" w:rsidR="00BA7E1E" w:rsidRPr="00904EE3" w:rsidRDefault="00BA7E1E" w:rsidP="00CD5CB9">
            <w:pPr>
              <w:pStyle w:val="Table-bodytext"/>
            </w:pPr>
            <w:r w:rsidRPr="00904EE3">
              <w:t>Confirmation of assumptions made in the financial modelling for both commissioners and providers (for example, commissioner growth in allocations, provider inflation, levels of efficiency savings).</w:t>
            </w:r>
          </w:p>
          <w:p w14:paraId="15794337" w14:textId="77777777" w:rsidR="00BA7E1E" w:rsidRDefault="00BA7E1E" w:rsidP="00CD5CB9">
            <w:pPr>
              <w:pStyle w:val="Table-bodytext"/>
            </w:pPr>
          </w:p>
          <w:p w14:paraId="68146155" w14:textId="77777777" w:rsidR="00BA7E1E" w:rsidRPr="00904EE3" w:rsidRDefault="00BA7E1E" w:rsidP="00CD5CB9">
            <w:pPr>
              <w:pStyle w:val="Table-bodytext"/>
            </w:pPr>
            <w:r w:rsidRPr="00904EE3">
              <w:t xml:space="preserve">A financial risk assessment undertaken with supporting sensitivity analysis and downside scenario modelling and mitigations. </w:t>
            </w:r>
          </w:p>
        </w:tc>
        <w:tc>
          <w:tcPr>
            <w:tcW w:w="4199" w:type="dxa"/>
          </w:tcPr>
          <w:p w14:paraId="70E6D73D" w14:textId="77777777" w:rsidR="00BA7E1E" w:rsidRPr="00904EE3" w:rsidRDefault="00BA7E1E" w:rsidP="00CD5CB9">
            <w:pPr>
              <w:pStyle w:val="Table-bodytext"/>
            </w:pPr>
            <w:r w:rsidRPr="00904EE3">
              <w:t xml:space="preserve">A robust activity and capacity analysis that translates sustainably to the scale of infrastructure change anticipated. This should be linked to the financial model. </w:t>
            </w:r>
          </w:p>
          <w:p w14:paraId="62DC256F" w14:textId="77777777" w:rsidR="00BA7E1E" w:rsidRDefault="00BA7E1E" w:rsidP="00CD5CB9">
            <w:pPr>
              <w:pStyle w:val="Table-bodytext"/>
            </w:pPr>
          </w:p>
          <w:p w14:paraId="32951148" w14:textId="5C3B063B" w:rsidR="00BA7E1E" w:rsidRPr="00904EE3" w:rsidRDefault="00BA7E1E" w:rsidP="00CD5CB9">
            <w:pPr>
              <w:pStyle w:val="Table-bodytext"/>
            </w:pPr>
            <w:r w:rsidRPr="00904EE3">
              <w:t xml:space="preserve">Transitional costs and how they will be </w:t>
            </w:r>
            <w:proofErr w:type="gramStart"/>
            <w:r w:rsidRPr="00904EE3">
              <w:t>funded  capital</w:t>
            </w:r>
            <w:proofErr w:type="gramEnd"/>
            <w:r w:rsidRPr="00904EE3">
              <w:t xml:space="preserve"> (demolition, decant) and revenue (double running, implementation) </w:t>
            </w:r>
          </w:p>
        </w:tc>
        <w:tc>
          <w:tcPr>
            <w:tcW w:w="4590" w:type="dxa"/>
          </w:tcPr>
          <w:p w14:paraId="1BC4B799" w14:textId="77777777" w:rsidR="00BA7E1E" w:rsidRPr="00904EE3" w:rsidRDefault="00BA7E1E" w:rsidP="00CD5CB9">
            <w:pPr>
              <w:pStyle w:val="Table-bodytext"/>
            </w:pPr>
          </w:p>
        </w:tc>
      </w:tr>
      <w:tr w:rsidR="00BA7E1E" w:rsidRPr="00237AB2" w14:paraId="0A283359" w14:textId="77777777" w:rsidTr="00983113">
        <w:trPr>
          <w:trHeight w:val="553"/>
          <w:jc w:val="center"/>
        </w:trPr>
        <w:tc>
          <w:tcPr>
            <w:tcW w:w="1980" w:type="dxa"/>
            <w:shd w:val="clear" w:color="auto" w:fill="FFFFFF" w:themeFill="background1"/>
          </w:tcPr>
          <w:p w14:paraId="53ABAF27" w14:textId="77777777" w:rsidR="00BA7E1E" w:rsidRPr="00904EE3" w:rsidRDefault="00BA7E1E" w:rsidP="00CD5CB9">
            <w:pPr>
              <w:pStyle w:val="Table-bodytext"/>
            </w:pPr>
            <w:r w:rsidRPr="00904EE3">
              <w:lastRenderedPageBreak/>
              <w:t>ICS system alignment</w:t>
            </w:r>
          </w:p>
        </w:tc>
        <w:tc>
          <w:tcPr>
            <w:tcW w:w="4394" w:type="dxa"/>
            <w:shd w:val="clear" w:color="auto" w:fill="FFFFFF" w:themeFill="background1"/>
          </w:tcPr>
          <w:p w14:paraId="7C6B53D7" w14:textId="77777777" w:rsidR="00BA7E1E" w:rsidRPr="00904EE3" w:rsidRDefault="00BA7E1E" w:rsidP="00CD5CB9">
            <w:pPr>
              <w:pStyle w:val="Table-bodytext"/>
            </w:pPr>
          </w:p>
        </w:tc>
        <w:tc>
          <w:tcPr>
            <w:tcW w:w="4199" w:type="dxa"/>
          </w:tcPr>
          <w:p w14:paraId="3C7C55CB" w14:textId="77777777" w:rsidR="00BA7E1E" w:rsidRPr="00904EE3" w:rsidRDefault="00BA7E1E" w:rsidP="00CD5CB9">
            <w:pPr>
              <w:pStyle w:val="Table-bodytext"/>
            </w:pPr>
            <w:r w:rsidRPr="00904EE3">
              <w:t>Scheme's plans should be reconciled to the system plans.</w:t>
            </w:r>
          </w:p>
          <w:p w14:paraId="08F41BCD" w14:textId="77777777" w:rsidR="00BA7E1E" w:rsidRDefault="00BA7E1E" w:rsidP="00CD5CB9">
            <w:pPr>
              <w:pStyle w:val="Table-bodytext"/>
            </w:pPr>
          </w:p>
          <w:p w14:paraId="17DB2CCA" w14:textId="77777777" w:rsidR="00BA7E1E" w:rsidRDefault="00BA7E1E" w:rsidP="00CD5CB9">
            <w:pPr>
              <w:pStyle w:val="Table-bodytext"/>
            </w:pPr>
            <w:r w:rsidRPr="00904EE3">
              <w:t xml:space="preserve">The impacts of the changes being proposed on individual commissioners and providers is understood. </w:t>
            </w:r>
          </w:p>
          <w:p w14:paraId="4E520664" w14:textId="77777777" w:rsidR="00BA7E1E" w:rsidRPr="00904EE3" w:rsidRDefault="00BA7E1E" w:rsidP="00CD5CB9">
            <w:pPr>
              <w:pStyle w:val="Table-bodytext"/>
            </w:pPr>
          </w:p>
          <w:p w14:paraId="3BCC0F55" w14:textId="77777777" w:rsidR="00BA7E1E" w:rsidRPr="00904EE3" w:rsidRDefault="00BA7E1E" w:rsidP="00CD5CB9">
            <w:pPr>
              <w:pStyle w:val="Table-bodytext"/>
            </w:pPr>
            <w:r w:rsidRPr="00904EE3">
              <w:t xml:space="preserve">Confirmation of support from all commissioners proposing the scheme and acknowledgement from all providers who will be significantly affected by the scheme that their views on any impact on them have been sought </w:t>
            </w:r>
          </w:p>
        </w:tc>
        <w:tc>
          <w:tcPr>
            <w:tcW w:w="4590" w:type="dxa"/>
          </w:tcPr>
          <w:p w14:paraId="1E750407" w14:textId="77777777" w:rsidR="00BA7E1E" w:rsidRPr="00904EE3" w:rsidRDefault="00BA7E1E" w:rsidP="00CD5CB9">
            <w:pPr>
              <w:pStyle w:val="Table-bodytext"/>
            </w:pPr>
          </w:p>
        </w:tc>
      </w:tr>
    </w:tbl>
    <w:p w14:paraId="434696A7" w14:textId="77777777" w:rsidR="00BA7E1E" w:rsidRDefault="00BA7E1E" w:rsidP="00BA7E1E">
      <w:pPr>
        <w:pStyle w:val="Table-bodytext"/>
      </w:pPr>
    </w:p>
    <w:p w14:paraId="060E5CCA" w14:textId="77777777" w:rsidR="00BA7E1E" w:rsidRDefault="00BA7E1E" w:rsidP="00BA7E1E">
      <w:pPr>
        <w:pStyle w:val="Table-bodytext"/>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10"/>
        <w:gridCol w:w="4459"/>
        <w:gridCol w:w="5610"/>
        <w:gridCol w:w="3309"/>
      </w:tblGrid>
      <w:tr w:rsidR="00BA7E1E" w:rsidRPr="00237AB2" w14:paraId="1FC9BC4B" w14:textId="77777777" w:rsidTr="00983113">
        <w:tc>
          <w:tcPr>
            <w:tcW w:w="1980" w:type="dxa"/>
            <w:shd w:val="clear" w:color="auto" w:fill="0070C0"/>
          </w:tcPr>
          <w:p w14:paraId="700A55DF" w14:textId="77777777" w:rsidR="00BA7E1E" w:rsidRPr="00983113" w:rsidRDefault="00BA7E1E" w:rsidP="00CD5CB9">
            <w:pPr>
              <w:pStyle w:val="Table-headertext"/>
              <w:rPr>
                <w:color w:val="FFFFFF" w:themeColor="background1"/>
              </w:rPr>
            </w:pPr>
            <w:r w:rsidRPr="00983113">
              <w:rPr>
                <w:color w:val="FFFFFF" w:themeColor="background1"/>
              </w:rPr>
              <w:t>Management case</w:t>
            </w:r>
          </w:p>
        </w:tc>
        <w:tc>
          <w:tcPr>
            <w:tcW w:w="4394" w:type="dxa"/>
            <w:shd w:val="clear" w:color="auto" w:fill="0070C0"/>
          </w:tcPr>
          <w:p w14:paraId="578D3775" w14:textId="77777777" w:rsidR="00BA7E1E" w:rsidRPr="00983113" w:rsidRDefault="00BA7E1E" w:rsidP="00CD5CB9">
            <w:pPr>
              <w:pStyle w:val="Table-headertext"/>
              <w:rPr>
                <w:color w:val="FFFFFF" w:themeColor="background1"/>
              </w:rPr>
            </w:pPr>
            <w:r w:rsidRPr="00983113">
              <w:rPr>
                <w:color w:val="FFFFFF" w:themeColor="background1"/>
              </w:rPr>
              <w:t>1. PCBC only criteria</w:t>
            </w:r>
          </w:p>
        </w:tc>
        <w:tc>
          <w:tcPr>
            <w:tcW w:w="5528" w:type="dxa"/>
            <w:shd w:val="clear" w:color="auto" w:fill="0070C0"/>
          </w:tcPr>
          <w:p w14:paraId="5F956FA0" w14:textId="77777777" w:rsidR="00BA7E1E" w:rsidRPr="00983113" w:rsidRDefault="00BA7E1E" w:rsidP="00CD5CB9">
            <w:pPr>
              <w:pStyle w:val="Table-headertext"/>
              <w:rPr>
                <w:color w:val="FFFFFF" w:themeColor="background1"/>
              </w:rPr>
            </w:pPr>
            <w:r w:rsidRPr="00983113">
              <w:rPr>
                <w:color w:val="FFFFFF" w:themeColor="background1"/>
              </w:rPr>
              <w:t>2. PCBC and SOC criteria</w:t>
            </w:r>
          </w:p>
        </w:tc>
        <w:tc>
          <w:tcPr>
            <w:tcW w:w="3261" w:type="dxa"/>
            <w:shd w:val="clear" w:color="auto" w:fill="0070C0"/>
          </w:tcPr>
          <w:p w14:paraId="02E82B17" w14:textId="77777777" w:rsidR="00BA7E1E" w:rsidRPr="00983113" w:rsidRDefault="00BA7E1E" w:rsidP="00CD5CB9">
            <w:pPr>
              <w:pStyle w:val="Table-headertext"/>
              <w:rPr>
                <w:color w:val="FFFFFF" w:themeColor="background1"/>
              </w:rPr>
            </w:pPr>
            <w:r w:rsidRPr="00983113">
              <w:rPr>
                <w:color w:val="FFFFFF" w:themeColor="background1"/>
              </w:rPr>
              <w:t>3. SOC only criteria</w:t>
            </w:r>
          </w:p>
        </w:tc>
      </w:tr>
      <w:tr w:rsidR="00BA7E1E" w:rsidRPr="00237AB2" w14:paraId="3BC53DA2" w14:textId="77777777" w:rsidTr="00983113">
        <w:trPr>
          <w:trHeight w:val="553"/>
        </w:trPr>
        <w:tc>
          <w:tcPr>
            <w:tcW w:w="1980" w:type="dxa"/>
            <w:shd w:val="clear" w:color="auto" w:fill="FFFFFF" w:themeFill="background1"/>
          </w:tcPr>
          <w:p w14:paraId="19493FCD" w14:textId="77777777" w:rsidR="00BA7E1E" w:rsidRPr="009C1843" w:rsidRDefault="00BA7E1E" w:rsidP="00CD5CB9">
            <w:pPr>
              <w:pStyle w:val="Table-bodytext"/>
            </w:pPr>
            <w:r w:rsidRPr="009C1843">
              <w:t>Project management</w:t>
            </w:r>
          </w:p>
        </w:tc>
        <w:tc>
          <w:tcPr>
            <w:tcW w:w="4394" w:type="dxa"/>
          </w:tcPr>
          <w:p w14:paraId="2A214895" w14:textId="77777777" w:rsidR="00BA7E1E" w:rsidRPr="009C1843" w:rsidRDefault="00BA7E1E" w:rsidP="00CD5CB9">
            <w:pPr>
              <w:pStyle w:val="Table-bodytext"/>
            </w:pPr>
            <w:r w:rsidRPr="009C1843">
              <w:t>Identify indicative implementation timelines.</w:t>
            </w:r>
          </w:p>
          <w:p w14:paraId="59EA3CF1" w14:textId="77777777" w:rsidR="00BA7E1E" w:rsidRDefault="00BA7E1E" w:rsidP="00CD5CB9">
            <w:pPr>
              <w:pStyle w:val="Table-bodytext"/>
            </w:pPr>
          </w:p>
          <w:p w14:paraId="0A30C7F7" w14:textId="77777777" w:rsidR="00BA7E1E" w:rsidRPr="009C1843" w:rsidRDefault="00BA7E1E" w:rsidP="00CD5CB9">
            <w:pPr>
              <w:pStyle w:val="Table-bodytext"/>
            </w:pPr>
            <w:r w:rsidRPr="009C1843">
              <w:t xml:space="preserve">The PCBC should include a high-level implementation plan to test the proposal is implementable, or to compare the feasibility of implementing different options. </w:t>
            </w:r>
          </w:p>
          <w:p w14:paraId="0C73FD1D" w14:textId="77777777" w:rsidR="00BA7E1E" w:rsidRDefault="00BA7E1E" w:rsidP="00CD5CB9">
            <w:pPr>
              <w:pStyle w:val="Table-bodytext"/>
            </w:pPr>
          </w:p>
          <w:p w14:paraId="58C205B8" w14:textId="77777777" w:rsidR="00BA7E1E" w:rsidRPr="009C1843" w:rsidRDefault="00BA7E1E" w:rsidP="00CD5CB9">
            <w:pPr>
              <w:pStyle w:val="Table-bodytext"/>
            </w:pPr>
            <w:r w:rsidRPr="009C1843">
              <w:t>Information governance and privacy impact assessment, where appropriate.</w:t>
            </w:r>
          </w:p>
        </w:tc>
        <w:tc>
          <w:tcPr>
            <w:tcW w:w="5528" w:type="dxa"/>
          </w:tcPr>
          <w:p w14:paraId="266248ED" w14:textId="77777777" w:rsidR="00BA7E1E" w:rsidRPr="009C1843" w:rsidRDefault="00BA7E1E" w:rsidP="00CD5CB9">
            <w:pPr>
              <w:pStyle w:val="Table-bodytext"/>
            </w:pPr>
            <w:r w:rsidRPr="009C1843">
              <w:t>The case should identify governance and decision-making arrangements. This includes decision-making processes in proceeding to consultation and decision-making processes in reviewing the outcomes from consultation and the DMBC.</w:t>
            </w:r>
          </w:p>
          <w:p w14:paraId="239460D9" w14:textId="77777777" w:rsidR="00BA7E1E" w:rsidRDefault="00BA7E1E" w:rsidP="00CD5CB9">
            <w:pPr>
              <w:pStyle w:val="Table-bodytext"/>
            </w:pPr>
          </w:p>
          <w:p w14:paraId="0E5439E1" w14:textId="77777777" w:rsidR="00BA7E1E" w:rsidRPr="009C1843" w:rsidRDefault="00BA7E1E" w:rsidP="00CD5CB9">
            <w:pPr>
              <w:pStyle w:val="Table-bodytext"/>
            </w:pPr>
            <w:r w:rsidRPr="009C1843">
              <w:t xml:space="preserve">Identify high-level evaluation mechanisms/metrics and any co-production plans for mobilisation. </w:t>
            </w:r>
          </w:p>
          <w:p w14:paraId="503D266F" w14:textId="77777777" w:rsidR="00BA7E1E" w:rsidRDefault="00BA7E1E" w:rsidP="00CD5CB9">
            <w:pPr>
              <w:pStyle w:val="Table-bodytext"/>
            </w:pPr>
          </w:p>
          <w:p w14:paraId="54F844EB" w14:textId="77777777" w:rsidR="00BA7E1E" w:rsidRPr="009C1843" w:rsidRDefault="00BA7E1E" w:rsidP="00CD5CB9">
            <w:pPr>
              <w:pStyle w:val="Table-bodytext"/>
            </w:pPr>
            <w:r w:rsidRPr="009C1843">
              <w:t>Benefits realisation plan.</w:t>
            </w:r>
          </w:p>
          <w:p w14:paraId="5378C7FB" w14:textId="77777777" w:rsidR="00BA7E1E" w:rsidRDefault="00BA7E1E" w:rsidP="00CD5CB9">
            <w:pPr>
              <w:pStyle w:val="Table-bodytext"/>
            </w:pPr>
          </w:p>
          <w:p w14:paraId="5B9CD581" w14:textId="650BF256" w:rsidR="00BA7E1E" w:rsidRPr="009C1843" w:rsidRDefault="00BA7E1E" w:rsidP="00CD5CB9">
            <w:pPr>
              <w:pStyle w:val="Table-bodytext"/>
            </w:pPr>
            <w:r w:rsidRPr="009C1843">
              <w:t xml:space="preserve">The case should identify the </w:t>
            </w:r>
            <w:r w:rsidR="00ED383B" w:rsidRPr="00ED383B">
              <w:t>senior responsible officer</w:t>
            </w:r>
            <w:r w:rsidRPr="009C1843">
              <w:t xml:space="preserve"> for the project and have identified specific resource to make up a project team. </w:t>
            </w:r>
          </w:p>
          <w:p w14:paraId="2AB7903A" w14:textId="77777777" w:rsidR="00BA7E1E" w:rsidRDefault="00BA7E1E" w:rsidP="00CD5CB9">
            <w:pPr>
              <w:pStyle w:val="Table-bodytext"/>
            </w:pPr>
          </w:p>
          <w:p w14:paraId="5F24DD28" w14:textId="77777777" w:rsidR="00BA7E1E" w:rsidRPr="009C1843" w:rsidRDefault="00BA7E1E" w:rsidP="00CD5CB9">
            <w:pPr>
              <w:pStyle w:val="Table-bodytext"/>
            </w:pPr>
            <w:r w:rsidRPr="009C1843">
              <w:t xml:space="preserve">The case should also set out the project management capability of the system, as well as the budget and </w:t>
            </w:r>
            <w:r w:rsidRPr="009C1843">
              <w:lastRenderedPageBreak/>
              <w:t>resources required to deliver the project.</w:t>
            </w:r>
          </w:p>
          <w:p w14:paraId="24452A70" w14:textId="77777777" w:rsidR="00BA7E1E" w:rsidRDefault="00BA7E1E" w:rsidP="00CD5CB9">
            <w:pPr>
              <w:pStyle w:val="Table-bodytext"/>
            </w:pPr>
          </w:p>
          <w:p w14:paraId="0C79DB8A" w14:textId="77777777" w:rsidR="00BA7E1E" w:rsidRPr="009C1843" w:rsidRDefault="00BA7E1E" w:rsidP="00CD5CB9">
            <w:pPr>
              <w:pStyle w:val="Table-bodytext"/>
            </w:pPr>
            <w:r w:rsidRPr="009C1843">
              <w:t>A project management method should also be defined.</w:t>
            </w:r>
          </w:p>
          <w:p w14:paraId="39E7F03C" w14:textId="77777777" w:rsidR="00BA7E1E" w:rsidRDefault="00BA7E1E" w:rsidP="00CD5CB9">
            <w:pPr>
              <w:pStyle w:val="Table-bodytext"/>
            </w:pPr>
          </w:p>
          <w:p w14:paraId="11F802FE" w14:textId="77777777" w:rsidR="00BA7E1E" w:rsidRPr="009C1843" w:rsidRDefault="00BA7E1E" w:rsidP="00CD5CB9">
            <w:pPr>
              <w:pStyle w:val="Table-bodytext"/>
            </w:pPr>
            <w:r w:rsidRPr="009C1843">
              <w:t>The case should also set out a summary of the key milestones and the critical path for the scheme.</w:t>
            </w:r>
          </w:p>
        </w:tc>
        <w:tc>
          <w:tcPr>
            <w:tcW w:w="3261" w:type="dxa"/>
          </w:tcPr>
          <w:p w14:paraId="729791E7" w14:textId="77777777" w:rsidR="00BA7E1E" w:rsidRPr="009C1843" w:rsidRDefault="00BA7E1E" w:rsidP="00CD5CB9">
            <w:pPr>
              <w:pStyle w:val="Table-bodytext"/>
            </w:pPr>
          </w:p>
        </w:tc>
      </w:tr>
      <w:tr w:rsidR="00BA7E1E" w:rsidRPr="00237AB2" w14:paraId="5DDD28F2" w14:textId="77777777" w:rsidTr="00983113">
        <w:trPr>
          <w:trHeight w:val="553"/>
        </w:trPr>
        <w:tc>
          <w:tcPr>
            <w:tcW w:w="1980" w:type="dxa"/>
            <w:shd w:val="clear" w:color="auto" w:fill="FFFFFF" w:themeFill="background1"/>
          </w:tcPr>
          <w:p w14:paraId="18DA4D4A" w14:textId="77777777" w:rsidR="00BA7E1E" w:rsidRPr="009C1843" w:rsidRDefault="00BA7E1E" w:rsidP="00CD5CB9">
            <w:pPr>
              <w:pStyle w:val="Table-bodytext"/>
            </w:pPr>
            <w:r w:rsidRPr="009C1843">
              <w:t>Organisation readiness</w:t>
            </w:r>
          </w:p>
        </w:tc>
        <w:tc>
          <w:tcPr>
            <w:tcW w:w="4394" w:type="dxa"/>
          </w:tcPr>
          <w:p w14:paraId="09D3D6C5" w14:textId="77777777" w:rsidR="00BA7E1E" w:rsidRPr="009C1843" w:rsidRDefault="00BA7E1E" w:rsidP="00CD5CB9">
            <w:pPr>
              <w:pStyle w:val="Table-bodytext"/>
            </w:pPr>
            <w:r w:rsidRPr="009C1843">
              <w:t xml:space="preserve">Initial implementation plans for each consultation option should be developed at this stage to test deliverability. </w:t>
            </w:r>
          </w:p>
          <w:p w14:paraId="1EE2F09A" w14:textId="77777777" w:rsidR="00BA7E1E" w:rsidRDefault="00BA7E1E" w:rsidP="00CD5CB9">
            <w:pPr>
              <w:pStyle w:val="Table-bodytext"/>
            </w:pPr>
          </w:p>
          <w:p w14:paraId="0334FDCB" w14:textId="77777777" w:rsidR="00BA7E1E" w:rsidRPr="009C1843" w:rsidRDefault="00BA7E1E" w:rsidP="00CD5CB9">
            <w:pPr>
              <w:pStyle w:val="Table-bodytext"/>
            </w:pPr>
            <w:r w:rsidRPr="009C1843">
              <w:t xml:space="preserve">There should be a formal modelling exercise to identify both the benefits, and any potential negative impact and clear evidence of mitigating actions planned or undertaken to ensure effective emergency preparedness, resilience and response is maintained. </w:t>
            </w:r>
          </w:p>
        </w:tc>
        <w:tc>
          <w:tcPr>
            <w:tcW w:w="5528" w:type="dxa"/>
          </w:tcPr>
          <w:p w14:paraId="22F910EA" w14:textId="77777777" w:rsidR="00BA7E1E" w:rsidRPr="009C1843" w:rsidRDefault="00BA7E1E" w:rsidP="00CD5CB9">
            <w:pPr>
              <w:pStyle w:val="Table-bodytext"/>
            </w:pPr>
            <w:r w:rsidRPr="009C1843">
              <w:t xml:space="preserve">The SOC will be required to outline (alongside the strategic case) the organisational context for the system and make clear whether there </w:t>
            </w:r>
            <w:proofErr w:type="gramStart"/>
            <w:r w:rsidRPr="009C1843">
              <w:t>is</w:t>
            </w:r>
            <w:proofErr w:type="gramEnd"/>
            <w:r w:rsidRPr="009C1843">
              <w:t xml:space="preserve"> sufficient capability and opportunity to manage a project of this scale to completion.</w:t>
            </w:r>
          </w:p>
        </w:tc>
        <w:tc>
          <w:tcPr>
            <w:tcW w:w="3261" w:type="dxa"/>
          </w:tcPr>
          <w:p w14:paraId="480AB561" w14:textId="77777777" w:rsidR="00BA7E1E" w:rsidRPr="009C1843" w:rsidRDefault="00BA7E1E" w:rsidP="00CD5CB9">
            <w:pPr>
              <w:pStyle w:val="Table-bodytext"/>
            </w:pPr>
          </w:p>
        </w:tc>
      </w:tr>
    </w:tbl>
    <w:p w14:paraId="0878BC89" w14:textId="77777777" w:rsidR="00BA7E1E" w:rsidRDefault="00BA7E1E" w:rsidP="00BA7E1E">
      <w:pPr>
        <w:pStyle w:val="Table-bodytext"/>
      </w:pPr>
    </w:p>
    <w:p w14:paraId="1AE58779" w14:textId="77777777" w:rsidR="00BA7E1E" w:rsidRDefault="00BA7E1E" w:rsidP="00BA7E1E">
      <w:pPr>
        <w:pStyle w:val="Table-bodytext"/>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834"/>
        <w:gridCol w:w="2862"/>
        <w:gridCol w:w="3733"/>
        <w:gridCol w:w="5959"/>
      </w:tblGrid>
      <w:tr w:rsidR="000A07A4" w:rsidRPr="00237AB2" w14:paraId="6042D061" w14:textId="77777777" w:rsidTr="000A07A4">
        <w:tc>
          <w:tcPr>
            <w:tcW w:w="2834" w:type="dxa"/>
            <w:shd w:val="clear" w:color="auto" w:fill="0070C0"/>
          </w:tcPr>
          <w:p w14:paraId="78DE3646" w14:textId="7138E9A1" w:rsidR="000A07A4" w:rsidRPr="00216082" w:rsidRDefault="000A07A4" w:rsidP="00CD5CB9">
            <w:pPr>
              <w:pStyle w:val="Table-bodytext"/>
            </w:pPr>
            <w:r w:rsidRPr="00983113">
              <w:rPr>
                <w:color w:val="FFFFFF" w:themeColor="background1"/>
              </w:rPr>
              <w:t>Commercial case</w:t>
            </w:r>
          </w:p>
        </w:tc>
        <w:tc>
          <w:tcPr>
            <w:tcW w:w="2862" w:type="dxa"/>
            <w:shd w:val="clear" w:color="auto" w:fill="0070C0"/>
          </w:tcPr>
          <w:p w14:paraId="7FD51F9A" w14:textId="3741E851" w:rsidR="000A07A4" w:rsidRPr="00216082" w:rsidRDefault="000A07A4" w:rsidP="00CD5CB9">
            <w:pPr>
              <w:pStyle w:val="Table-bodytext"/>
            </w:pPr>
            <w:r w:rsidRPr="00983113">
              <w:rPr>
                <w:color w:val="FFFFFF" w:themeColor="background1"/>
              </w:rPr>
              <w:t>1. PCBC only criteria</w:t>
            </w:r>
          </w:p>
        </w:tc>
        <w:tc>
          <w:tcPr>
            <w:tcW w:w="3733" w:type="dxa"/>
            <w:shd w:val="clear" w:color="auto" w:fill="0070C0"/>
          </w:tcPr>
          <w:p w14:paraId="2E2A40AC" w14:textId="0D0DA7ED" w:rsidR="000A07A4" w:rsidRPr="00216082" w:rsidRDefault="000A07A4" w:rsidP="00CD5CB9">
            <w:pPr>
              <w:pStyle w:val="Table-bodytext"/>
            </w:pPr>
            <w:r w:rsidRPr="00983113">
              <w:rPr>
                <w:color w:val="FFFFFF" w:themeColor="background1"/>
              </w:rPr>
              <w:t>2. PCBC and SOC criteria</w:t>
            </w:r>
          </w:p>
        </w:tc>
        <w:tc>
          <w:tcPr>
            <w:tcW w:w="5959" w:type="dxa"/>
            <w:shd w:val="clear" w:color="auto" w:fill="0070C0"/>
          </w:tcPr>
          <w:p w14:paraId="25FFC55A" w14:textId="7D3E7384" w:rsidR="000A07A4" w:rsidRPr="00216082" w:rsidRDefault="000A07A4" w:rsidP="00CD5CB9">
            <w:pPr>
              <w:pStyle w:val="Table-bodytext"/>
            </w:pPr>
            <w:r w:rsidRPr="00983113">
              <w:rPr>
                <w:color w:val="FFFFFF" w:themeColor="background1"/>
              </w:rPr>
              <w:t>3. SOC only criteria</w:t>
            </w:r>
          </w:p>
        </w:tc>
      </w:tr>
      <w:tr w:rsidR="00BA7E1E" w:rsidRPr="00237AB2" w14:paraId="1752CFE4" w14:textId="77777777" w:rsidTr="000A07A4">
        <w:tc>
          <w:tcPr>
            <w:tcW w:w="2834" w:type="dxa"/>
            <w:shd w:val="clear" w:color="auto" w:fill="FFFFFF" w:themeFill="background1"/>
          </w:tcPr>
          <w:p w14:paraId="4D537C24" w14:textId="77777777" w:rsidR="00BA7E1E" w:rsidRPr="00216082" w:rsidRDefault="00BA7E1E" w:rsidP="00CD5CB9">
            <w:pPr>
              <w:pStyle w:val="Table-bodytext"/>
            </w:pPr>
            <w:r w:rsidRPr="00216082">
              <w:t>Procurement strategy</w:t>
            </w:r>
          </w:p>
        </w:tc>
        <w:tc>
          <w:tcPr>
            <w:tcW w:w="2862" w:type="dxa"/>
          </w:tcPr>
          <w:p w14:paraId="16CE52F0" w14:textId="77777777" w:rsidR="00BA7E1E" w:rsidRPr="00216082" w:rsidRDefault="00BA7E1E" w:rsidP="00CD5CB9">
            <w:pPr>
              <w:pStyle w:val="Table-bodytext"/>
            </w:pPr>
          </w:p>
        </w:tc>
        <w:tc>
          <w:tcPr>
            <w:tcW w:w="3733" w:type="dxa"/>
          </w:tcPr>
          <w:p w14:paraId="04507D36" w14:textId="77777777" w:rsidR="00BA7E1E" w:rsidRPr="00216082" w:rsidRDefault="00BA7E1E" w:rsidP="00CD5CB9">
            <w:pPr>
              <w:pStyle w:val="Table-bodytext"/>
            </w:pPr>
          </w:p>
        </w:tc>
        <w:tc>
          <w:tcPr>
            <w:tcW w:w="5959" w:type="dxa"/>
          </w:tcPr>
          <w:p w14:paraId="1EE020B0" w14:textId="77777777" w:rsidR="00BA7E1E" w:rsidRPr="00216082" w:rsidRDefault="00BA7E1E" w:rsidP="00CD5CB9">
            <w:pPr>
              <w:pStyle w:val="Table-bodytext"/>
            </w:pPr>
            <w:r w:rsidRPr="00216082">
              <w:t>The SOC should include an assessment of the various options for procurement to be explored through OBC development, with an early indication as to the expected procurement route.</w:t>
            </w:r>
          </w:p>
        </w:tc>
      </w:tr>
      <w:tr w:rsidR="00BA7E1E" w:rsidRPr="00237AB2" w14:paraId="04853697" w14:textId="77777777" w:rsidTr="000A07A4">
        <w:trPr>
          <w:trHeight w:val="553"/>
        </w:trPr>
        <w:tc>
          <w:tcPr>
            <w:tcW w:w="2834" w:type="dxa"/>
            <w:shd w:val="clear" w:color="auto" w:fill="FFFFFF" w:themeFill="background1"/>
          </w:tcPr>
          <w:p w14:paraId="5EFE0A09" w14:textId="77777777" w:rsidR="00BA7E1E" w:rsidRPr="00216082" w:rsidRDefault="00BA7E1E" w:rsidP="00CD5CB9">
            <w:pPr>
              <w:pStyle w:val="Table-bodytext"/>
            </w:pPr>
            <w:r w:rsidRPr="00216082">
              <w:t>Modern methods of construction</w:t>
            </w:r>
          </w:p>
        </w:tc>
        <w:tc>
          <w:tcPr>
            <w:tcW w:w="2862" w:type="dxa"/>
          </w:tcPr>
          <w:p w14:paraId="52D3DB8D" w14:textId="77777777" w:rsidR="00BA7E1E" w:rsidRPr="00216082" w:rsidRDefault="00BA7E1E" w:rsidP="00CD5CB9">
            <w:pPr>
              <w:pStyle w:val="Table-bodytext"/>
            </w:pPr>
          </w:p>
        </w:tc>
        <w:tc>
          <w:tcPr>
            <w:tcW w:w="3733" w:type="dxa"/>
          </w:tcPr>
          <w:p w14:paraId="249A99B9" w14:textId="77777777" w:rsidR="00BA7E1E" w:rsidRPr="00216082" w:rsidRDefault="00BA7E1E" w:rsidP="00CD5CB9">
            <w:pPr>
              <w:pStyle w:val="Table-bodytext"/>
            </w:pPr>
          </w:p>
        </w:tc>
        <w:tc>
          <w:tcPr>
            <w:tcW w:w="5959" w:type="dxa"/>
          </w:tcPr>
          <w:p w14:paraId="5A081E74" w14:textId="77777777" w:rsidR="00BA7E1E" w:rsidRPr="00216082" w:rsidRDefault="00BA7E1E" w:rsidP="00CD5CB9">
            <w:pPr>
              <w:pStyle w:val="Table-bodytext"/>
            </w:pPr>
            <w:r w:rsidRPr="00216082">
              <w:t>NHS trusts are required in each business case stage to provide details regarding the choice of modern methods of construction/smart construction being considered and chosen for the project and demonstrate through each business case stage how they have arrived at their preferred method for the ‘preferred (project) option’ at OBC stage.</w:t>
            </w:r>
          </w:p>
        </w:tc>
      </w:tr>
      <w:tr w:rsidR="00BA7E1E" w:rsidRPr="00237AB2" w14:paraId="20AF2DDA" w14:textId="77777777" w:rsidTr="000A07A4">
        <w:trPr>
          <w:trHeight w:val="553"/>
        </w:trPr>
        <w:tc>
          <w:tcPr>
            <w:tcW w:w="2834" w:type="dxa"/>
            <w:shd w:val="clear" w:color="auto" w:fill="FFFFFF" w:themeFill="background1"/>
          </w:tcPr>
          <w:p w14:paraId="058BE84B" w14:textId="11B2C32A" w:rsidR="00BA7E1E" w:rsidRPr="00216082" w:rsidRDefault="00C92A65" w:rsidP="00CD5CB9">
            <w:pPr>
              <w:pStyle w:val="Table-bodytext"/>
            </w:pPr>
            <w:r>
              <w:lastRenderedPageBreak/>
              <w:t>P</w:t>
            </w:r>
            <w:r w:rsidRPr="00C92A65">
              <w:t>rivate finance initiative</w:t>
            </w:r>
            <w:r>
              <w:t xml:space="preserve"> </w:t>
            </w:r>
            <w:r w:rsidRPr="00C92A65">
              <w:t>(</w:t>
            </w:r>
            <w:r w:rsidR="00BA7E1E" w:rsidRPr="00C92A65">
              <w:t>PFI</w:t>
            </w:r>
            <w:r w:rsidRPr="00C92A65">
              <w:t>)</w:t>
            </w:r>
          </w:p>
        </w:tc>
        <w:tc>
          <w:tcPr>
            <w:tcW w:w="2862" w:type="dxa"/>
          </w:tcPr>
          <w:p w14:paraId="635B49E1" w14:textId="77777777" w:rsidR="00BA7E1E" w:rsidRPr="00216082" w:rsidRDefault="00BA7E1E" w:rsidP="00CD5CB9">
            <w:pPr>
              <w:pStyle w:val="Table-bodytext"/>
            </w:pPr>
          </w:p>
        </w:tc>
        <w:tc>
          <w:tcPr>
            <w:tcW w:w="3733" w:type="dxa"/>
          </w:tcPr>
          <w:p w14:paraId="402E2543" w14:textId="77777777" w:rsidR="00BA7E1E" w:rsidRPr="00216082" w:rsidRDefault="00BA7E1E" w:rsidP="00CD5CB9">
            <w:pPr>
              <w:pStyle w:val="Table-bodytext"/>
            </w:pPr>
          </w:p>
        </w:tc>
        <w:tc>
          <w:tcPr>
            <w:tcW w:w="5959" w:type="dxa"/>
          </w:tcPr>
          <w:p w14:paraId="45586417" w14:textId="4CCE925A" w:rsidR="00BA7E1E" w:rsidRPr="00216082" w:rsidRDefault="00BA7E1E" w:rsidP="00CD5CB9">
            <w:pPr>
              <w:pStyle w:val="Table-bodytext"/>
            </w:pPr>
            <w:r w:rsidRPr="00216082">
              <w:t xml:space="preserve">The case will need to confirm any PFI links or impact with PFI estate/contracts. The SOC will need to confirm that the interface between any NHS </w:t>
            </w:r>
            <w:r w:rsidR="00067B0E" w:rsidRPr="00067B0E">
              <w:t>local improvement finance trust</w:t>
            </w:r>
            <w:r w:rsidRPr="00216082">
              <w:t xml:space="preserve">, PFI, </w:t>
            </w:r>
            <w:r w:rsidR="00C66280" w:rsidRPr="00C66280">
              <w:t>private finance 2</w:t>
            </w:r>
            <w:r w:rsidRPr="00C66280">
              <w:t xml:space="preserve"> or other </w:t>
            </w:r>
            <w:r w:rsidR="00C66280" w:rsidRPr="00C66280">
              <w:t>public private partnership</w:t>
            </w:r>
            <w:r w:rsidRPr="00C66280">
              <w:t>, joint</w:t>
            </w:r>
            <w:r w:rsidRPr="00216082">
              <w:t xml:space="preserve"> venture agreements/contracts already in place have been investigated.</w:t>
            </w:r>
          </w:p>
          <w:p w14:paraId="6B049DA5" w14:textId="77777777" w:rsidR="00BA7E1E" w:rsidRDefault="00BA7E1E" w:rsidP="00CD5CB9">
            <w:pPr>
              <w:pStyle w:val="Table-bodytext"/>
            </w:pPr>
          </w:p>
          <w:p w14:paraId="2B20B43C" w14:textId="77777777" w:rsidR="00BA7E1E" w:rsidRPr="00216082" w:rsidRDefault="00BA7E1E" w:rsidP="00CD5CB9">
            <w:pPr>
              <w:pStyle w:val="Table-bodytext"/>
            </w:pPr>
            <w:r w:rsidRPr="00216082">
              <w:t>Where there is any novel or contentious financing structure or use of private finance, the SOC will need to contain confirmation that the approach has been reviewed in advance by DHSC/NHS England.</w:t>
            </w:r>
          </w:p>
        </w:tc>
      </w:tr>
      <w:tr w:rsidR="00BA7E1E" w:rsidRPr="00237AB2" w14:paraId="260E2D7D" w14:textId="77777777" w:rsidTr="000A07A4">
        <w:trPr>
          <w:trHeight w:val="553"/>
        </w:trPr>
        <w:tc>
          <w:tcPr>
            <w:tcW w:w="2834" w:type="dxa"/>
            <w:shd w:val="clear" w:color="auto" w:fill="FFFFFF" w:themeFill="background1"/>
          </w:tcPr>
          <w:p w14:paraId="7B7EC5AE" w14:textId="77777777" w:rsidR="00BA7E1E" w:rsidRPr="00216082" w:rsidRDefault="00BA7E1E" w:rsidP="00CD5CB9">
            <w:pPr>
              <w:pStyle w:val="Table-bodytext"/>
            </w:pPr>
            <w:r w:rsidRPr="00216082">
              <w:t>Design</w:t>
            </w:r>
          </w:p>
        </w:tc>
        <w:tc>
          <w:tcPr>
            <w:tcW w:w="2862" w:type="dxa"/>
          </w:tcPr>
          <w:p w14:paraId="49729AF9" w14:textId="77777777" w:rsidR="00BA7E1E" w:rsidRPr="00216082" w:rsidRDefault="00BA7E1E" w:rsidP="00CD5CB9">
            <w:pPr>
              <w:pStyle w:val="Table-bodytext"/>
            </w:pPr>
          </w:p>
        </w:tc>
        <w:tc>
          <w:tcPr>
            <w:tcW w:w="3733" w:type="dxa"/>
          </w:tcPr>
          <w:p w14:paraId="4CB0188D" w14:textId="77777777" w:rsidR="00BA7E1E" w:rsidRPr="00216082" w:rsidRDefault="00BA7E1E" w:rsidP="00CD5CB9">
            <w:pPr>
              <w:pStyle w:val="Table-bodytext"/>
            </w:pPr>
          </w:p>
        </w:tc>
        <w:tc>
          <w:tcPr>
            <w:tcW w:w="5959" w:type="dxa"/>
          </w:tcPr>
          <w:p w14:paraId="1AAAA7C0" w14:textId="15EE0A90" w:rsidR="00BA7E1E" w:rsidRPr="00216082" w:rsidRDefault="00BA7E1E" w:rsidP="00CD5CB9">
            <w:pPr>
              <w:pStyle w:val="Table-bodytext"/>
            </w:pPr>
            <w:r w:rsidRPr="00216082">
              <w:t xml:space="preserve">The SOC should identify at what </w:t>
            </w:r>
            <w:r w:rsidR="00CA1221" w:rsidRPr="00CA1221">
              <w:t>Royal Institute of British Architects (</w:t>
            </w:r>
            <w:r w:rsidRPr="00CA1221">
              <w:t>RIBA</w:t>
            </w:r>
            <w:r w:rsidR="00CA1221" w:rsidRPr="00CA1221">
              <w:t>)</w:t>
            </w:r>
            <w:r w:rsidRPr="00CA1221">
              <w:t xml:space="preserve"> design</w:t>
            </w:r>
            <w:r w:rsidRPr="00216082">
              <w:t xml:space="preserve"> stage the project is at, noting that RIBA stage 1 is expected at SOC.</w:t>
            </w:r>
          </w:p>
          <w:p w14:paraId="1FF23204" w14:textId="77777777" w:rsidR="00BA7E1E" w:rsidRDefault="00BA7E1E" w:rsidP="00CD5CB9">
            <w:pPr>
              <w:pStyle w:val="Table-bodytext"/>
            </w:pPr>
          </w:p>
          <w:p w14:paraId="29757EF3" w14:textId="77777777" w:rsidR="00BA7E1E" w:rsidRDefault="00BA7E1E" w:rsidP="00CD5CB9">
            <w:pPr>
              <w:pStyle w:val="Table-bodytext"/>
            </w:pPr>
            <w:r w:rsidRPr="00216082">
              <w:t>A minimum of 1:500 block level drawings should be provided, supported by high level schedules of accommodation, as well as the following documentation:</w:t>
            </w:r>
          </w:p>
          <w:p w14:paraId="4F4C3C80" w14:textId="77777777" w:rsidR="00F6476F" w:rsidRPr="00216082" w:rsidRDefault="00F6476F" w:rsidP="00CD5CB9">
            <w:pPr>
              <w:pStyle w:val="Table-bodytext"/>
            </w:pPr>
          </w:p>
          <w:p w14:paraId="1B93EC4C" w14:textId="4E58D3BA" w:rsidR="00BA7E1E" w:rsidRPr="00216082" w:rsidRDefault="00BA7E1E" w:rsidP="00F6476F">
            <w:pPr>
              <w:pStyle w:val="Table-bodytext"/>
              <w:numPr>
                <w:ilvl w:val="0"/>
                <w:numId w:val="2"/>
              </w:numPr>
            </w:pPr>
            <w:r w:rsidRPr="00216082">
              <w:t xml:space="preserve">environmental assessment report such as a </w:t>
            </w:r>
            <w:r w:rsidR="00D43146" w:rsidRPr="00D43146">
              <w:t>building research establishment environmental assessment metho</w:t>
            </w:r>
            <w:r w:rsidR="00D43146">
              <w:t>d</w:t>
            </w:r>
            <w:r w:rsidRPr="00216082">
              <w:t xml:space="preserve"> pre assessment showing 'excellent' score for new build and 'very good' score for refurbishment schemes</w:t>
            </w:r>
          </w:p>
          <w:p w14:paraId="14DCE60C" w14:textId="327C9921" w:rsidR="00BA7E1E" w:rsidRPr="00216082" w:rsidRDefault="00BA7E1E" w:rsidP="00F6476F">
            <w:pPr>
              <w:pStyle w:val="Table-bodytext"/>
              <w:numPr>
                <w:ilvl w:val="0"/>
                <w:numId w:val="2"/>
              </w:numPr>
            </w:pPr>
            <w:r w:rsidRPr="00216082">
              <w:t>schedule of design derogation</w:t>
            </w:r>
          </w:p>
          <w:p w14:paraId="797203F1" w14:textId="37F9EDA0" w:rsidR="00BA7E1E" w:rsidRPr="00216082" w:rsidRDefault="00BA7E1E" w:rsidP="00F6476F">
            <w:pPr>
              <w:pStyle w:val="Table-bodytext"/>
              <w:numPr>
                <w:ilvl w:val="0"/>
                <w:numId w:val="2"/>
              </w:numPr>
            </w:pPr>
            <w:r w:rsidRPr="00216082">
              <w:t xml:space="preserve">design appraisal reports (for example, </w:t>
            </w:r>
            <w:r w:rsidR="00501FC3" w:rsidRPr="00501FC3">
              <w:t>design quality indicator</w:t>
            </w:r>
            <w:r w:rsidRPr="00216082">
              <w:t>)</w:t>
            </w:r>
          </w:p>
        </w:tc>
      </w:tr>
      <w:tr w:rsidR="00BA7E1E" w:rsidRPr="00237AB2" w14:paraId="7076D427" w14:textId="77777777" w:rsidTr="000A07A4">
        <w:trPr>
          <w:trHeight w:val="553"/>
        </w:trPr>
        <w:tc>
          <w:tcPr>
            <w:tcW w:w="2834" w:type="dxa"/>
            <w:shd w:val="clear" w:color="auto" w:fill="FFFFFF" w:themeFill="background1"/>
          </w:tcPr>
          <w:p w14:paraId="08F3CE7C" w14:textId="77777777" w:rsidR="00BA7E1E" w:rsidRPr="00216082" w:rsidRDefault="00BA7E1E" w:rsidP="00CD5CB9">
            <w:pPr>
              <w:pStyle w:val="Table-bodytext"/>
            </w:pPr>
            <w:r w:rsidRPr="00216082">
              <w:t>Net zero carbon</w:t>
            </w:r>
          </w:p>
        </w:tc>
        <w:tc>
          <w:tcPr>
            <w:tcW w:w="2862" w:type="dxa"/>
          </w:tcPr>
          <w:p w14:paraId="0C4515C2" w14:textId="77777777" w:rsidR="00BA7E1E" w:rsidRPr="00216082" w:rsidRDefault="00BA7E1E" w:rsidP="00CD5CB9">
            <w:pPr>
              <w:pStyle w:val="Table-bodytext"/>
            </w:pPr>
          </w:p>
        </w:tc>
        <w:tc>
          <w:tcPr>
            <w:tcW w:w="3733" w:type="dxa"/>
          </w:tcPr>
          <w:p w14:paraId="51607B7B" w14:textId="77777777" w:rsidR="00BA7E1E" w:rsidRDefault="00BA7E1E" w:rsidP="00CD5CB9">
            <w:pPr>
              <w:pStyle w:val="Table-bodytext"/>
            </w:pPr>
            <w:r w:rsidRPr="00216082">
              <w:t>The case must set out the environmental impacts of implementation.</w:t>
            </w:r>
          </w:p>
          <w:p w14:paraId="7D6E0CE0" w14:textId="77777777" w:rsidR="00BA7E1E" w:rsidRPr="00216082" w:rsidRDefault="00BA7E1E" w:rsidP="00CD5CB9">
            <w:pPr>
              <w:pStyle w:val="Table-bodytext"/>
              <w:rPr>
                <w:lang w:eastAsia="en-US"/>
              </w:rPr>
            </w:pPr>
          </w:p>
          <w:p w14:paraId="01F0DC7F" w14:textId="77777777" w:rsidR="00BA7E1E" w:rsidRPr="00216082" w:rsidRDefault="00BA7E1E" w:rsidP="00CD5CB9">
            <w:pPr>
              <w:pStyle w:val="Table-bodytext"/>
            </w:pPr>
            <w:r w:rsidRPr="00216082">
              <w:t xml:space="preserve">SOC proposals should set out intentions to build/refurbish to net zero carbon standards for the life of </w:t>
            </w:r>
            <w:r w:rsidRPr="00216082">
              <w:lastRenderedPageBreak/>
              <w:t>the building and state which model/standards you intend to use, all projects to be delivered as net zero carbon (or to net zero carbon standards).</w:t>
            </w:r>
          </w:p>
        </w:tc>
        <w:tc>
          <w:tcPr>
            <w:tcW w:w="5959" w:type="dxa"/>
          </w:tcPr>
          <w:p w14:paraId="1047B600" w14:textId="77777777" w:rsidR="00BA7E1E" w:rsidRPr="00216082" w:rsidRDefault="00BA7E1E" w:rsidP="00CD5CB9">
            <w:pPr>
              <w:pStyle w:val="Table-bodytext"/>
            </w:pPr>
            <w:r w:rsidRPr="00216082">
              <w:lastRenderedPageBreak/>
              <w:t xml:space="preserve">Trusts are required to provide this information under a section headed net zero carbon at each business case stage supported by appropriate design and construction advice from the trusts in-house project team and its external design and cost advisors. </w:t>
            </w:r>
          </w:p>
          <w:p w14:paraId="2A1DEAE1" w14:textId="77777777" w:rsidR="00BA7E1E" w:rsidRDefault="00BA7E1E" w:rsidP="00CD5CB9">
            <w:pPr>
              <w:pStyle w:val="Table-bodytext"/>
            </w:pPr>
          </w:p>
          <w:p w14:paraId="58C89227" w14:textId="77777777" w:rsidR="00BA7E1E" w:rsidRPr="00216082" w:rsidRDefault="00BA7E1E" w:rsidP="00CD5CB9">
            <w:pPr>
              <w:pStyle w:val="Table-bodytext"/>
            </w:pPr>
            <w:r w:rsidRPr="00216082">
              <w:t xml:space="preserve">At SOC stage it is expected to show estimated residual </w:t>
            </w:r>
            <w:r w:rsidRPr="00216082">
              <w:lastRenderedPageBreak/>
              <w:t>carbon for offsetting.</w:t>
            </w:r>
          </w:p>
          <w:p w14:paraId="219BC8E6" w14:textId="77777777" w:rsidR="00BA7E1E" w:rsidRPr="00216082" w:rsidRDefault="00BA7E1E" w:rsidP="00CD5CB9">
            <w:pPr>
              <w:pStyle w:val="Table-bodytext"/>
            </w:pPr>
          </w:p>
        </w:tc>
      </w:tr>
      <w:bookmarkEnd w:id="0"/>
      <w:bookmarkEnd w:id="1"/>
      <w:bookmarkEnd w:id="2"/>
      <w:bookmarkEnd w:id="3"/>
      <w:bookmarkEnd w:id="4"/>
      <w:bookmarkEnd w:id="5"/>
    </w:tbl>
    <w:p w14:paraId="19B5C9A4" w14:textId="77777777" w:rsidR="00BA7E1E" w:rsidRDefault="00BA7E1E" w:rsidP="00BA7E1E">
      <w:pPr>
        <w:pStyle w:val="Table-bodytext"/>
      </w:pPr>
    </w:p>
    <w:p w14:paraId="1CB43EAE" w14:textId="77777777" w:rsidR="00BA7E1E" w:rsidRDefault="00BA7E1E"/>
    <w:sectPr w:rsidR="00BA7E1E" w:rsidSect="00983113">
      <w:footerReference w:type="even" r:id="rId9"/>
      <w:footerReference w:type="default" r:id="rId10"/>
      <w:headerReference w:type="first" r:id="rId11"/>
      <w:footerReference w:type="first" r:id="rId12"/>
      <w:pgSz w:w="16838" w:h="11906" w:orient="landscape" w:code="9"/>
      <w:pgMar w:top="720" w:right="720" w:bottom="720" w:left="72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244E" w14:textId="77777777" w:rsidR="00053F02" w:rsidRDefault="00053F02">
      <w:pPr>
        <w:spacing w:after="0" w:line="240" w:lineRule="auto"/>
      </w:pPr>
      <w:r>
        <w:separator/>
      </w:r>
    </w:p>
  </w:endnote>
  <w:endnote w:type="continuationSeparator" w:id="0">
    <w:p w14:paraId="76560260" w14:textId="77777777" w:rsidR="00053F02" w:rsidRDefault="0005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A96" w14:textId="77777777" w:rsidR="00BA7E1E" w:rsidRDefault="00BA7E1E" w:rsidP="009123FB">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Content>
      <w:p w14:paraId="36F1D8A8" w14:textId="77777777" w:rsidR="00BA7E1E" w:rsidRDefault="00BA7E1E" w:rsidP="00671727">
        <w:pPr>
          <w:pStyle w:val="Footer"/>
          <w:pBdr>
            <w:top w:val="single" w:sz="4" w:space="1" w:color="005EB8"/>
          </w:pBdr>
        </w:pPr>
      </w:p>
      <w:p w14:paraId="77116F35" w14:textId="77777777" w:rsidR="00BA7E1E" w:rsidRPr="008A3E2F" w:rsidRDefault="00BA7E1E" w:rsidP="00671727">
        <w:pPr>
          <w:pStyle w:val="Footer"/>
          <w:jc w:val="left"/>
        </w:pPr>
        <w:r w:rsidRPr="00AC35F8">
          <w:rPr>
            <w:sz w:val="24"/>
          </w:rPr>
          <w:t>© NHS England 202</w:t>
        </w:r>
        <w:r>
          <w:rPr>
            <w:sz w:val="24"/>
          </w:rPr>
          <w:t>6</w:t>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p w14:paraId="72E43DB6" w14:textId="77777777" w:rsidR="00BA7E1E" w:rsidRDefault="00BA7E1E" w:rsidP="00671727">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3468376"/>
      <w:docPartObj>
        <w:docPartGallery w:val="Page Numbers (Bottom of Page)"/>
        <w:docPartUnique/>
      </w:docPartObj>
    </w:sdtPr>
    <w:sdtEndPr>
      <w:rPr>
        <w:noProof/>
      </w:rPr>
    </w:sdtEndPr>
    <w:sdtContent>
      <w:p w14:paraId="6E26E9BC" w14:textId="77777777" w:rsidR="00BA7E1E" w:rsidRDefault="00BA7E1E" w:rsidP="00671727">
        <w:pPr>
          <w:pStyle w:val="Paragraphtext"/>
          <w:rPr>
            <w:sz w:val="22"/>
          </w:rPr>
        </w:pPr>
      </w:p>
      <w:p w14:paraId="65E1D5B1" w14:textId="0D2C2BAD" w:rsidR="00BA7E1E" w:rsidRPr="00671727" w:rsidRDefault="00BA7E1E" w:rsidP="00671727">
        <w:pPr>
          <w:pStyle w:val="Paragraphtext"/>
        </w:pPr>
        <w:r w:rsidRPr="00AC35F8">
          <w:t>Publication reference</w:t>
        </w:r>
        <w:r w:rsidR="00F6476F">
          <w:t xml:space="preserve">: </w:t>
        </w:r>
        <w:r w:rsidR="00F6476F" w:rsidRPr="00F6476F">
          <w:t>PRN01528</w:t>
        </w:r>
      </w:p>
      <w:p w14:paraId="23CFE602" w14:textId="77777777" w:rsidR="00BA7E1E" w:rsidRPr="00E30141" w:rsidRDefault="00000000" w:rsidP="00D5400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E79C" w14:textId="77777777" w:rsidR="00053F02" w:rsidRDefault="00053F02">
      <w:pPr>
        <w:spacing w:after="0" w:line="240" w:lineRule="auto"/>
      </w:pPr>
      <w:r>
        <w:separator/>
      </w:r>
    </w:p>
  </w:footnote>
  <w:footnote w:type="continuationSeparator" w:id="0">
    <w:p w14:paraId="2B6A182A" w14:textId="77777777" w:rsidR="00053F02" w:rsidRDefault="00053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5386" w14:textId="77777777" w:rsidR="00BA7E1E" w:rsidRDefault="00BA7E1E" w:rsidP="006164C8">
    <w:pPr>
      <w:pStyle w:val="Header"/>
      <w:tabs>
        <w:tab w:val="left" w:pos="390"/>
        <w:tab w:val="right" w:pos="8705"/>
      </w:tabs>
    </w:pPr>
    <w:r w:rsidRPr="000647BB">
      <w:rPr>
        <w:noProof/>
      </w:rPr>
      <w:drawing>
        <wp:anchor distT="0" distB="0" distL="114300" distR="114300" simplePos="0" relativeHeight="251659264" behindDoc="1" locked="0" layoutInCell="1" allowOverlap="1" wp14:anchorId="0F421DFD" wp14:editId="76852D47">
          <wp:simplePos x="0" y="0"/>
          <wp:positionH relativeFrom="page">
            <wp:posOffset>8909050</wp:posOffset>
          </wp:positionH>
          <wp:positionV relativeFrom="page">
            <wp:posOffset>-107950</wp:posOffset>
          </wp:positionV>
          <wp:extent cx="1784929" cy="1474051"/>
          <wp:effectExtent l="0" t="0" r="0" b="0"/>
          <wp:wrapTight wrapText="bothSides">
            <wp:wrapPolygon edited="0">
              <wp:start x="3920" y="5025"/>
              <wp:lineTo x="3920" y="16193"/>
              <wp:lineTo x="8071" y="17589"/>
              <wp:lineTo x="9916" y="17589"/>
              <wp:lineTo x="14759" y="17031"/>
              <wp:lineTo x="17295" y="16193"/>
              <wp:lineTo x="17065" y="5025"/>
              <wp:lineTo x="3920" y="5025"/>
            </wp:wrapPolygon>
          </wp:wrapTight>
          <wp:docPr id="1126857650" name="Picture 1126857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97337" cy="1484298"/>
                  </a:xfrm>
                  <a:prstGeom prst="rect">
                    <a:avLst/>
                  </a:prstGeom>
                </pic:spPr>
              </pic:pic>
            </a:graphicData>
          </a:graphic>
          <wp14:sizeRelH relativeFrom="margin">
            <wp14:pctWidth>0</wp14:pctWidth>
          </wp14:sizeRelH>
          <wp14:sizeRelV relativeFrom="margin">
            <wp14:pctHeight>0</wp14:pctHeight>
          </wp14:sizeRelV>
        </wp:anchor>
      </w:drawing>
    </w:r>
    <w:r>
      <w:tab/>
    </w:r>
  </w:p>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A7E1E" w14:paraId="2262481A" w14:textId="77777777" w:rsidTr="002663AC">
      <w:trPr>
        <w:trHeight w:val="642"/>
      </w:trPr>
      <w:sdt>
        <w:sdt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Content>
          <w:tc>
            <w:tcPr>
              <w:tcW w:w="6727" w:type="dxa"/>
            </w:tcPr>
            <w:p w14:paraId="18021167" w14:textId="77777777" w:rsidR="00BA7E1E" w:rsidRPr="006164C8" w:rsidRDefault="00BA7E1E" w:rsidP="006164C8">
              <w:r>
                <w:t>Classification: Official</w:t>
              </w:r>
            </w:p>
          </w:tc>
        </w:sdtContent>
      </w:sdt>
    </w:tr>
  </w:tbl>
  <w:p w14:paraId="2F74E351" w14:textId="77777777" w:rsidR="00BA7E1E" w:rsidRPr="00242B95" w:rsidRDefault="00BA7E1E" w:rsidP="006164C8">
    <w:pPr>
      <w:pStyle w:val="Header"/>
      <w:tabs>
        <w:tab w:val="left" w:pos="390"/>
        <w:tab w:val="right" w:pos="87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4473"/>
    <w:multiLevelType w:val="hybridMultilevel"/>
    <w:tmpl w:val="63CC0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B68E8"/>
    <w:multiLevelType w:val="hybridMultilevel"/>
    <w:tmpl w:val="14DC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83B1B"/>
    <w:multiLevelType w:val="hybridMultilevel"/>
    <w:tmpl w:val="1562AE66"/>
    <w:lvl w:ilvl="0" w:tplc="08090001">
      <w:start w:val="1"/>
      <w:numFmt w:val="bullet"/>
      <w:lvlText w:val=""/>
      <w:lvlJc w:val="left"/>
      <w:pPr>
        <w:ind w:left="720" w:hanging="360"/>
      </w:pPr>
      <w:rPr>
        <w:rFonts w:ascii="Symbol" w:hAnsi="Symbol" w:hint="default"/>
      </w:rPr>
    </w:lvl>
    <w:lvl w:ilvl="1" w:tplc="F94EEEEC">
      <w:start w:val="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4746E1"/>
    <w:multiLevelType w:val="hybridMultilevel"/>
    <w:tmpl w:val="513E3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3212">
    <w:abstractNumId w:val="2"/>
  </w:num>
  <w:num w:numId="2" w16cid:durableId="5520141">
    <w:abstractNumId w:val="1"/>
  </w:num>
  <w:num w:numId="3" w16cid:durableId="1127162388">
    <w:abstractNumId w:val="0"/>
  </w:num>
  <w:num w:numId="4" w16cid:durableId="1713067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1E"/>
    <w:rsid w:val="00053F02"/>
    <w:rsid w:val="00067B0E"/>
    <w:rsid w:val="000A07A4"/>
    <w:rsid w:val="000B0261"/>
    <w:rsid w:val="000C3167"/>
    <w:rsid w:val="000D1ABC"/>
    <w:rsid w:val="00276816"/>
    <w:rsid w:val="00403371"/>
    <w:rsid w:val="004E050C"/>
    <w:rsid w:val="00501FC3"/>
    <w:rsid w:val="005C61C2"/>
    <w:rsid w:val="00647DC8"/>
    <w:rsid w:val="007B48C4"/>
    <w:rsid w:val="00983113"/>
    <w:rsid w:val="009B3E0A"/>
    <w:rsid w:val="009E02C8"/>
    <w:rsid w:val="00A111DD"/>
    <w:rsid w:val="00B75786"/>
    <w:rsid w:val="00BA7E1E"/>
    <w:rsid w:val="00C66280"/>
    <w:rsid w:val="00C66E27"/>
    <w:rsid w:val="00C92A65"/>
    <w:rsid w:val="00CA1221"/>
    <w:rsid w:val="00D43146"/>
    <w:rsid w:val="00ED383B"/>
    <w:rsid w:val="00EF5CDA"/>
    <w:rsid w:val="00F6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4817"/>
  <w15:chartTrackingRefBased/>
  <w15:docId w15:val="{872E5CBF-C103-4AA9-B051-178E6FBF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A7E1E"/>
    <w:pPr>
      <w:spacing w:after="280" w:line="360" w:lineRule="atLeast"/>
      <w:textboxTightWrap w:val="lastLineOnly"/>
    </w:pPr>
    <w:rPr>
      <w:rFonts w:ascii="Arial" w:eastAsia="Times New Roman" w:hAnsi="Arial" w:cs="Times New Roman"/>
      <w:color w:val="000000"/>
      <w:kern w:val="0"/>
      <w14:ligatures w14:val="none"/>
    </w:rPr>
  </w:style>
  <w:style w:type="paragraph" w:styleId="Heading1">
    <w:name w:val="heading 1"/>
    <w:basedOn w:val="Normal"/>
    <w:next w:val="Normal"/>
    <w:link w:val="Heading1Char"/>
    <w:qFormat/>
    <w:rsid w:val="00BA7E1E"/>
    <w:pPr>
      <w:keepNext/>
      <w:keepLines/>
      <w:spacing w:before="360" w:after="80" w:line="278" w:lineRule="auto"/>
      <w:textboxTightWrap w:val="none"/>
      <w:outlineLvl w:val="0"/>
    </w:pPr>
    <w:rPr>
      <w:rFonts w:eastAsiaTheme="majorEastAsia" w:cstheme="majorBidi"/>
      <w:color w:val="0070C0"/>
      <w:kern w:val="2"/>
      <w:sz w:val="40"/>
      <w:szCs w:val="40"/>
      <w14:ligatures w14:val="standardContextual"/>
    </w:rPr>
  </w:style>
  <w:style w:type="paragraph" w:styleId="Heading2">
    <w:name w:val="heading 2"/>
    <w:basedOn w:val="Normal"/>
    <w:next w:val="Normal"/>
    <w:link w:val="Heading2Char"/>
    <w:uiPriority w:val="9"/>
    <w:semiHidden/>
    <w:unhideWhenUsed/>
    <w:qFormat/>
    <w:rsid w:val="00BA7E1E"/>
    <w:pPr>
      <w:keepNext/>
      <w:keepLines/>
      <w:spacing w:before="160" w:after="80" w:line="278" w:lineRule="auto"/>
      <w:textboxTightWrap w:val="none"/>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7E1E"/>
    <w:pPr>
      <w:keepNext/>
      <w:keepLines/>
      <w:spacing w:before="160" w:after="80" w:line="278" w:lineRule="auto"/>
      <w:textboxTightWrap w:val="none"/>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BA7E1E"/>
    <w:pPr>
      <w:keepNext/>
      <w:keepLines/>
      <w:spacing w:before="80" w:after="40" w:line="278" w:lineRule="auto"/>
      <w:textboxTightWrap w:val="none"/>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7E1E"/>
    <w:pPr>
      <w:keepNext/>
      <w:keepLines/>
      <w:spacing w:before="80" w:after="40" w:line="278" w:lineRule="auto"/>
      <w:textboxTightWrap w:val="none"/>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7E1E"/>
    <w:pPr>
      <w:keepNext/>
      <w:keepLines/>
      <w:spacing w:before="40" w:after="0" w:line="278" w:lineRule="auto"/>
      <w:textboxTightWrap w:val="none"/>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7E1E"/>
    <w:pPr>
      <w:keepNext/>
      <w:keepLines/>
      <w:spacing w:before="40" w:after="0" w:line="278" w:lineRule="auto"/>
      <w:textboxTightWrap w:val="none"/>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7E1E"/>
    <w:pPr>
      <w:keepNext/>
      <w:keepLines/>
      <w:spacing w:after="0" w:line="278" w:lineRule="auto"/>
      <w:textboxTightWrap w:val="none"/>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7E1E"/>
    <w:pPr>
      <w:keepNext/>
      <w:keepLines/>
      <w:spacing w:after="0" w:line="278" w:lineRule="auto"/>
      <w:textboxTightWrap w:val="none"/>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7E1E"/>
    <w:rPr>
      <w:rFonts w:ascii="Arial" w:eastAsiaTheme="majorEastAsia" w:hAnsi="Arial" w:cstheme="majorBidi"/>
      <w:color w:val="0070C0"/>
      <w:sz w:val="40"/>
      <w:szCs w:val="40"/>
    </w:rPr>
  </w:style>
  <w:style w:type="character" w:customStyle="1" w:styleId="Heading2Char">
    <w:name w:val="Heading 2 Char"/>
    <w:basedOn w:val="DefaultParagraphFont"/>
    <w:link w:val="Heading2"/>
    <w:uiPriority w:val="9"/>
    <w:semiHidden/>
    <w:rsid w:val="00BA7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E1E"/>
    <w:rPr>
      <w:rFonts w:eastAsiaTheme="majorEastAsia" w:cstheme="majorBidi"/>
      <w:color w:val="272727" w:themeColor="text1" w:themeTint="D8"/>
    </w:rPr>
  </w:style>
  <w:style w:type="paragraph" w:styleId="Title">
    <w:name w:val="Title"/>
    <w:basedOn w:val="Normal"/>
    <w:next w:val="Normal"/>
    <w:link w:val="TitleChar"/>
    <w:uiPriority w:val="10"/>
    <w:qFormat/>
    <w:rsid w:val="00BA7E1E"/>
    <w:pPr>
      <w:spacing w:after="80" w:line="240" w:lineRule="auto"/>
      <w:contextualSpacing/>
      <w:textboxTightWrap w:val="none"/>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BA7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E1E"/>
    <w:pPr>
      <w:numPr>
        <w:ilvl w:val="1"/>
      </w:numPr>
      <w:spacing w:after="160" w:line="278" w:lineRule="auto"/>
      <w:textboxTightWrap w:val="none"/>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7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E1E"/>
    <w:pPr>
      <w:spacing w:before="160" w:after="160" w:line="278" w:lineRule="auto"/>
      <w:jc w:val="center"/>
      <w:textboxTightWrap w:val="none"/>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A7E1E"/>
    <w:rPr>
      <w:i/>
      <w:iCs/>
      <w:color w:val="404040" w:themeColor="text1" w:themeTint="BF"/>
    </w:rPr>
  </w:style>
  <w:style w:type="paragraph" w:styleId="ListParagraph">
    <w:name w:val="List Paragraph"/>
    <w:basedOn w:val="Normal"/>
    <w:uiPriority w:val="34"/>
    <w:qFormat/>
    <w:rsid w:val="00BA7E1E"/>
    <w:pPr>
      <w:spacing w:after="160" w:line="278" w:lineRule="auto"/>
      <w:ind w:left="720"/>
      <w:contextualSpacing/>
      <w:textboxTightWrap w:val="none"/>
    </w:pPr>
    <w:rPr>
      <w:rFonts w:asciiTheme="minorHAnsi" w:eastAsia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BA7E1E"/>
    <w:rPr>
      <w:i/>
      <w:iCs/>
      <w:color w:val="0F4761" w:themeColor="accent1" w:themeShade="BF"/>
    </w:rPr>
  </w:style>
  <w:style w:type="paragraph" w:styleId="IntenseQuote">
    <w:name w:val="Intense Quote"/>
    <w:basedOn w:val="Normal"/>
    <w:next w:val="Normal"/>
    <w:link w:val="IntenseQuoteChar"/>
    <w:uiPriority w:val="30"/>
    <w:qFormat/>
    <w:rsid w:val="00BA7E1E"/>
    <w:pPr>
      <w:pBdr>
        <w:top w:val="single" w:sz="4" w:space="10" w:color="0F4761" w:themeColor="accent1" w:themeShade="BF"/>
        <w:bottom w:val="single" w:sz="4" w:space="10" w:color="0F4761" w:themeColor="accent1" w:themeShade="BF"/>
      </w:pBdr>
      <w:spacing w:before="360" w:after="360" w:line="278" w:lineRule="auto"/>
      <w:ind w:left="864" w:right="864"/>
      <w:jc w:val="center"/>
      <w:textboxTightWrap w:val="none"/>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7E1E"/>
    <w:rPr>
      <w:i/>
      <w:iCs/>
      <w:color w:val="0F4761" w:themeColor="accent1" w:themeShade="BF"/>
    </w:rPr>
  </w:style>
  <w:style w:type="character" w:styleId="IntenseReference">
    <w:name w:val="Intense Reference"/>
    <w:basedOn w:val="DefaultParagraphFont"/>
    <w:uiPriority w:val="32"/>
    <w:qFormat/>
    <w:rsid w:val="00BA7E1E"/>
    <w:rPr>
      <w:b/>
      <w:bCs/>
      <w:smallCaps/>
      <w:color w:val="0F4761" w:themeColor="accent1" w:themeShade="BF"/>
      <w:spacing w:val="5"/>
    </w:rPr>
  </w:style>
  <w:style w:type="character" w:customStyle="1" w:styleId="ParagraphtextChar">
    <w:name w:val="Paragraph text Char"/>
    <w:basedOn w:val="DefaultParagraphFont"/>
    <w:link w:val="Paragraphtext"/>
    <w:rsid w:val="00BA7E1E"/>
  </w:style>
  <w:style w:type="table" w:styleId="TableGrid">
    <w:name w:val="Table Grid"/>
    <w:basedOn w:val="TableNormal"/>
    <w:uiPriority w:val="59"/>
    <w:rsid w:val="00BA7E1E"/>
    <w:pPr>
      <w:spacing w:after="0" w:line="240" w:lineRule="auto"/>
    </w:pPr>
    <w:rPr>
      <w:rFonts w:ascii="Arial" w:eastAsia="Times New Roman" w:hAnsi="Arial" w:cs="Times New Roman"/>
      <w:kern w:val="0"/>
      <w:sz w:val="22"/>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Paragraphtext"/>
    <w:link w:val="HeaderChar"/>
    <w:rsid w:val="00BA7E1E"/>
    <w:rPr>
      <w:b/>
      <w:sz w:val="18"/>
    </w:rPr>
  </w:style>
  <w:style w:type="character" w:customStyle="1" w:styleId="HeaderChar">
    <w:name w:val="Header Char"/>
    <w:basedOn w:val="DefaultParagraphFont"/>
    <w:link w:val="Header"/>
    <w:rsid w:val="00BA7E1E"/>
    <w:rPr>
      <w:b/>
      <w:sz w:val="18"/>
    </w:rPr>
  </w:style>
  <w:style w:type="paragraph" w:styleId="Footer">
    <w:name w:val="footer"/>
    <w:basedOn w:val="Paragraphtext"/>
    <w:link w:val="FooterChar"/>
    <w:uiPriority w:val="99"/>
    <w:rsid w:val="00BA7E1E"/>
    <w:pPr>
      <w:spacing w:after="240" w:line="240" w:lineRule="auto"/>
      <w:jc w:val="center"/>
    </w:pPr>
    <w:rPr>
      <w:sz w:val="22"/>
    </w:rPr>
  </w:style>
  <w:style w:type="character" w:customStyle="1" w:styleId="FooterChar">
    <w:name w:val="Footer Char"/>
    <w:basedOn w:val="DefaultParagraphFont"/>
    <w:link w:val="Footer"/>
    <w:uiPriority w:val="99"/>
    <w:rsid w:val="00BA7E1E"/>
    <w:rPr>
      <w:sz w:val="22"/>
    </w:rPr>
  </w:style>
  <w:style w:type="character" w:styleId="Hyperlink">
    <w:name w:val="Hyperlink"/>
    <w:uiPriority w:val="99"/>
    <w:rsid w:val="00BA7E1E"/>
    <w:rPr>
      <w:color w:val="0063BE"/>
      <w:u w:val="single"/>
    </w:rPr>
  </w:style>
  <w:style w:type="paragraph" w:customStyle="1" w:styleId="Paragraphtext">
    <w:name w:val="Paragraph text"/>
    <w:link w:val="ParagraphtextChar"/>
    <w:qFormat/>
    <w:rsid w:val="00BA7E1E"/>
    <w:pPr>
      <w:spacing w:after="284" w:line="288" w:lineRule="auto"/>
    </w:pPr>
  </w:style>
  <w:style w:type="paragraph" w:customStyle="1" w:styleId="Table-headertext">
    <w:name w:val="Table - header text"/>
    <w:uiPriority w:val="1"/>
    <w:qFormat/>
    <w:rsid w:val="00BA7E1E"/>
    <w:pPr>
      <w:widowControl w:val="0"/>
      <w:spacing w:after="0" w:line="240" w:lineRule="auto"/>
    </w:pPr>
    <w:rPr>
      <w:rFonts w:ascii="Arial" w:eastAsia="Times New Roman" w:hAnsi="Arial" w:cs="Times New Roman"/>
      <w:kern w:val="0"/>
      <w:szCs w:val="20"/>
      <w:lang w:eastAsia="en-GB"/>
      <w14:ligatures w14:val="none"/>
    </w:rPr>
  </w:style>
  <w:style w:type="paragraph" w:customStyle="1" w:styleId="Table-bodytext">
    <w:name w:val="Table - body text"/>
    <w:uiPriority w:val="1"/>
    <w:qFormat/>
    <w:rsid w:val="00BA7E1E"/>
    <w:pPr>
      <w:widowControl w:val="0"/>
      <w:spacing w:after="0" w:line="240" w:lineRule="auto"/>
    </w:pPr>
    <w:rPr>
      <w:rFonts w:ascii="Arial" w:eastAsia="Times New Roman" w:hAnsi="Arial" w:cs="Times New Roman"/>
      <w:kern w:val="0"/>
      <w:szCs w:val="20"/>
      <w:lang w:eastAsia="en-GB"/>
      <w14:ligatures w14:val="none"/>
    </w:rPr>
  </w:style>
  <w:style w:type="character" w:styleId="FollowedHyperlink">
    <w:name w:val="FollowedHyperlink"/>
    <w:basedOn w:val="DefaultParagraphFont"/>
    <w:uiPriority w:val="99"/>
    <w:semiHidden/>
    <w:unhideWhenUsed/>
    <w:rsid w:val="002768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449468ae748c43d3793bb8/Project_Business_Case_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hs.uk/financial-accounting-and-reporting/capital-investment-and-property-business-case-approval-guidance-for-nhs-trusts-and-foundation-trust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BOSHELL, Joanne (NHS ENGLAND)</dc:creator>
  <cp:keywords/>
  <dc:description/>
  <cp:lastModifiedBy>WOOTTON, Rebecca (NHS ENGLAND)</cp:lastModifiedBy>
  <cp:revision>4</cp:revision>
  <dcterms:created xsi:type="dcterms:W3CDTF">2026-06-25T13:01:00Z</dcterms:created>
  <dcterms:modified xsi:type="dcterms:W3CDTF">2026-06-25T13:02:00Z</dcterms:modified>
</cp:coreProperties>
</file>