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64" w:rsidRDefault="00AF7A64" w:rsidP="004F1152">
      <w:pPr>
        <w:rPr>
          <w:color w:val="003D80"/>
        </w:rPr>
      </w:pPr>
      <w:r>
        <w:rPr>
          <w:noProof/>
          <w:lang w:val="en-GB" w:eastAsia="en-GB"/>
        </w:rPr>
        <w:drawing>
          <wp:anchor distT="0" distB="0" distL="114300" distR="114300" simplePos="0" relativeHeight="251663360" behindDoc="1" locked="0" layoutInCell="1" allowOverlap="1" wp14:anchorId="2FC45B39" wp14:editId="1AEC561A">
            <wp:simplePos x="0" y="0"/>
            <wp:positionH relativeFrom="column">
              <wp:posOffset>4211320</wp:posOffset>
            </wp:positionH>
            <wp:positionV relativeFrom="paragraph">
              <wp:posOffset>-594360</wp:posOffset>
            </wp:positionV>
            <wp:extent cx="1066800" cy="845185"/>
            <wp:effectExtent l="0" t="0" r="0" b="0"/>
            <wp:wrapTight wrapText="bothSides">
              <wp:wrapPolygon edited="0">
                <wp:start x="0" y="0"/>
                <wp:lineTo x="0" y="20935"/>
                <wp:lineTo x="21214" y="20935"/>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A64" w:rsidRDefault="003C0927" w:rsidP="003C0927">
      <w:pPr>
        <w:rPr>
          <w:color w:val="003D80"/>
        </w:rPr>
      </w:pPr>
      <w:r>
        <w:rPr>
          <w:rFonts w:ascii="Arial" w:eastAsia="Times New Roman" w:hAnsi="Arial"/>
          <w:b/>
          <w:bCs/>
          <w:noProof/>
          <w:sz w:val="28"/>
          <w:szCs w:val="28"/>
          <w:lang w:val="en-GB" w:eastAsia="en-GB"/>
        </w:rPr>
        <w:drawing>
          <wp:inline distT="0" distB="0" distL="0" distR="0" wp14:anchorId="77AFE65A" wp14:editId="322512C4">
            <wp:extent cx="6151918" cy="4829175"/>
            <wp:effectExtent l="0" t="0" r="1270" b="0"/>
            <wp:docPr id="3" name="Picture 3" descr="Male doctor " title="Full Length contra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8972" cy="4834712"/>
                    </a:xfrm>
                    <a:prstGeom prst="rect">
                      <a:avLst/>
                    </a:prstGeom>
                    <a:noFill/>
                  </pic:spPr>
                </pic:pic>
              </a:graphicData>
            </a:graphic>
          </wp:inline>
        </w:drawing>
      </w:r>
    </w:p>
    <w:p w:rsidR="00A20606" w:rsidRPr="00C20C74" w:rsidRDefault="00A20606" w:rsidP="00AF7A64">
      <w:pPr>
        <w:rPr>
          <w:color w:val="003D80"/>
        </w:rPr>
      </w:pPr>
    </w:p>
    <w:p w:rsidR="00B566A6" w:rsidRDefault="000A414B">
      <w:pPr>
        <w:spacing w:after="0"/>
        <w:rPr>
          <w:rFonts w:ascii="Arial" w:eastAsia="Times New Roman" w:hAnsi="Arial"/>
          <w:b/>
          <w:bCs/>
          <w:sz w:val="28"/>
          <w:szCs w:val="28"/>
          <w:lang w:val="en-GB" w:eastAsia="en-US"/>
        </w:rPr>
      </w:pPr>
      <w:r w:rsidRPr="000A414B">
        <w:rPr>
          <w:rFonts w:eastAsia="Times New Roman"/>
          <w:bCs/>
          <w:noProof/>
          <w:szCs w:val="26"/>
          <w:lang w:val="en-GB" w:eastAsia="en-GB"/>
        </w:rPr>
        <mc:AlternateContent>
          <mc:Choice Requires="wps">
            <w:drawing>
              <wp:anchor distT="0" distB="0" distL="114300" distR="114300" simplePos="0" relativeHeight="251661312" behindDoc="0" locked="0" layoutInCell="1" allowOverlap="1" wp14:anchorId="534DBDA5" wp14:editId="687157FA">
                <wp:simplePos x="0" y="0"/>
                <wp:positionH relativeFrom="column">
                  <wp:posOffset>-415290</wp:posOffset>
                </wp:positionH>
                <wp:positionV relativeFrom="paragraph">
                  <wp:posOffset>595630</wp:posOffset>
                </wp:positionV>
                <wp:extent cx="6419850" cy="2683510"/>
                <wp:effectExtent l="0" t="0" r="0" b="0"/>
                <wp:wrapThrough wrapText="bothSides">
                  <wp:wrapPolygon edited="0">
                    <wp:start x="128" y="460"/>
                    <wp:lineTo x="128" y="21160"/>
                    <wp:lineTo x="21408" y="21160"/>
                    <wp:lineTo x="21408" y="460"/>
                    <wp:lineTo x="128" y="46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68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70B" w:rsidRPr="00B84A11" w:rsidRDefault="0013270B" w:rsidP="000A414B">
                            <w:pPr>
                              <w:pStyle w:val="DHTitle"/>
                              <w:spacing w:line="240" w:lineRule="auto"/>
                              <w:rPr>
                                <w:rFonts w:eastAsia="Times New Roman"/>
                                <w:bCs/>
                                <w:color w:val="0072C6"/>
                                <w:sz w:val="52"/>
                                <w:szCs w:val="52"/>
                              </w:rPr>
                            </w:pPr>
                            <w:r w:rsidRPr="00B84A11">
                              <w:rPr>
                                <w:rFonts w:eastAsia="Times New Roman"/>
                                <w:bCs/>
                                <w:color w:val="0072C6"/>
                                <w:sz w:val="52"/>
                                <w:szCs w:val="52"/>
                              </w:rPr>
                              <w:t>NHS Standard Contract (full length) 2017/18 and 2018/19 (</w:t>
                            </w:r>
                            <w:r>
                              <w:rPr>
                                <w:rFonts w:eastAsia="Times New Roman"/>
                                <w:bCs/>
                                <w:color w:val="0072C6"/>
                                <w:sz w:val="52"/>
                                <w:szCs w:val="52"/>
                              </w:rPr>
                              <w:t>May</w:t>
                            </w:r>
                            <w:r w:rsidRPr="00B84A11">
                              <w:rPr>
                                <w:rFonts w:eastAsia="Times New Roman"/>
                                <w:bCs/>
                                <w:color w:val="0072C6"/>
                                <w:sz w:val="52"/>
                                <w:szCs w:val="52"/>
                              </w:rPr>
                              <w:t xml:space="preserve"> 2018 edition)</w:t>
                            </w:r>
                          </w:p>
                          <w:p w:rsidR="0013270B" w:rsidRPr="00B84A11" w:rsidRDefault="0013270B" w:rsidP="000A414B">
                            <w:pPr>
                              <w:pStyle w:val="DHTitle"/>
                              <w:spacing w:line="240" w:lineRule="auto"/>
                              <w:rPr>
                                <w:rFonts w:eastAsia="Times New Roman"/>
                                <w:bCs/>
                                <w:color w:val="0072C6"/>
                                <w:sz w:val="48"/>
                                <w:szCs w:val="48"/>
                              </w:rPr>
                            </w:pPr>
                          </w:p>
                          <w:p w:rsidR="0013270B" w:rsidRPr="00B84A11" w:rsidRDefault="0013270B" w:rsidP="000A414B">
                            <w:pPr>
                              <w:pStyle w:val="DHTitle"/>
                              <w:spacing w:line="240" w:lineRule="auto"/>
                              <w:rPr>
                                <w:rFonts w:eastAsia="Times New Roman"/>
                                <w:bCs/>
                                <w:color w:val="0072C6"/>
                                <w:sz w:val="48"/>
                                <w:szCs w:val="48"/>
                              </w:rPr>
                            </w:pPr>
                            <w:r w:rsidRPr="00B84A11">
                              <w:rPr>
                                <w:rFonts w:eastAsia="Times New Roman"/>
                                <w:bCs/>
                                <w:color w:val="0072C6"/>
                                <w:sz w:val="48"/>
                                <w:szCs w:val="48"/>
                              </w:rPr>
                              <w:t>National Variation Agreement for existing 2015/16, 2016/17, 2017-19 (November 2016 edition) and 2017-19 (January 2018 edition) form contracts</w:t>
                            </w:r>
                          </w:p>
                          <w:p w:rsidR="0013270B" w:rsidRPr="00690A37" w:rsidRDefault="0013270B" w:rsidP="000A414B">
                            <w:pPr>
                              <w:rPr>
                                <w:rFonts w:ascii="Arial" w:hAnsi="Arial" w:cs="Arial"/>
                                <w:color w:val="FFFFFF"/>
                                <w:sz w:val="64"/>
                                <w:szCs w:val="6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7pt;margin-top:46.9pt;width:505.5pt;height:2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" filled="f" stroked="f">
                <v:textbox inset=",7.2pt,,7.2pt">
                  <w:txbxContent>
                    <w:p w:rsidR="0013270B" w:rsidRPr="00B84A11" w:rsidRDefault="0013270B" w:rsidP="000A414B">
                      <w:pPr>
                        <w:pStyle w:val="DHTitle"/>
                        <w:spacing w:line="240" w:lineRule="auto"/>
                        <w:rPr>
                          <w:rFonts w:eastAsia="Times New Roman"/>
                          <w:bCs/>
                          <w:color w:val="0072C6"/>
                          <w:sz w:val="52"/>
                          <w:szCs w:val="52"/>
                        </w:rPr>
                      </w:pPr>
                      <w:r w:rsidRPr="00B84A11">
                        <w:rPr>
                          <w:rFonts w:eastAsia="Times New Roman"/>
                          <w:bCs/>
                          <w:color w:val="0072C6"/>
                          <w:sz w:val="52"/>
                          <w:szCs w:val="52"/>
                        </w:rPr>
                        <w:t>NHS Standard Contract (full length) 2017/18 and 2018/19 (</w:t>
                      </w:r>
                      <w:r>
                        <w:rPr>
                          <w:rFonts w:eastAsia="Times New Roman"/>
                          <w:bCs/>
                          <w:color w:val="0072C6"/>
                          <w:sz w:val="52"/>
                          <w:szCs w:val="52"/>
                        </w:rPr>
                        <w:t>May</w:t>
                      </w:r>
                      <w:r w:rsidRPr="00B84A11">
                        <w:rPr>
                          <w:rFonts w:eastAsia="Times New Roman"/>
                          <w:bCs/>
                          <w:color w:val="0072C6"/>
                          <w:sz w:val="52"/>
                          <w:szCs w:val="52"/>
                        </w:rPr>
                        <w:t xml:space="preserve"> 2018 edition)</w:t>
                      </w:r>
                    </w:p>
                    <w:p w:rsidR="0013270B" w:rsidRPr="00B84A11" w:rsidRDefault="0013270B" w:rsidP="000A414B">
                      <w:pPr>
                        <w:pStyle w:val="DHTitle"/>
                        <w:spacing w:line="240" w:lineRule="auto"/>
                        <w:rPr>
                          <w:rFonts w:eastAsia="Times New Roman"/>
                          <w:bCs/>
                          <w:color w:val="0072C6"/>
                          <w:sz w:val="48"/>
                          <w:szCs w:val="48"/>
                        </w:rPr>
                      </w:pPr>
                    </w:p>
                    <w:p w:rsidR="0013270B" w:rsidRPr="00B84A11" w:rsidRDefault="0013270B" w:rsidP="000A414B">
                      <w:pPr>
                        <w:pStyle w:val="DHTitle"/>
                        <w:spacing w:line="240" w:lineRule="auto"/>
                        <w:rPr>
                          <w:rFonts w:eastAsia="Times New Roman"/>
                          <w:bCs/>
                          <w:color w:val="0072C6"/>
                          <w:sz w:val="48"/>
                          <w:szCs w:val="48"/>
                        </w:rPr>
                      </w:pPr>
                      <w:r w:rsidRPr="00B84A11">
                        <w:rPr>
                          <w:rFonts w:eastAsia="Times New Roman"/>
                          <w:bCs/>
                          <w:color w:val="0072C6"/>
                          <w:sz w:val="48"/>
                          <w:szCs w:val="48"/>
                        </w:rPr>
                        <w:t>National Variation Agreement for existing 2015/16, 2016/17, 2017-19 (November 2016 edition) and 2017-19 (January 2018 edition) form contracts</w:t>
                      </w:r>
                    </w:p>
                    <w:p w:rsidR="0013270B" w:rsidRPr="00690A37" w:rsidRDefault="0013270B" w:rsidP="000A414B">
                      <w:pPr>
                        <w:rPr>
                          <w:rFonts w:ascii="Arial" w:hAnsi="Arial" w:cs="Arial"/>
                          <w:color w:val="FFFFFF"/>
                          <w:sz w:val="64"/>
                          <w:szCs w:val="64"/>
                        </w:rPr>
                      </w:pPr>
                    </w:p>
                  </w:txbxContent>
                </v:textbox>
                <w10:wrap type="through"/>
              </v:shape>
            </w:pict>
          </mc:Fallback>
        </mc:AlternateContent>
      </w:r>
      <w:r w:rsidR="00B566A6">
        <w:rPr>
          <w:rFonts w:ascii="Arial" w:eastAsia="Times New Roman" w:hAnsi="Arial"/>
          <w:b/>
          <w:bCs/>
          <w:sz w:val="28"/>
          <w:szCs w:val="28"/>
          <w:lang w:val="en-GB" w:eastAsia="en-US"/>
        </w:rPr>
        <w:br w:type="page"/>
      </w:r>
    </w:p>
    <w:p w:rsidR="00B566A6" w:rsidRPr="00B566A6" w:rsidRDefault="0093092C" w:rsidP="00B566A6">
      <w:pPr>
        <w:spacing w:after="0"/>
        <w:rPr>
          <w:rFonts w:ascii="Arial" w:eastAsia="Times New Roman" w:hAnsi="Arial"/>
          <w:b/>
          <w:bCs/>
          <w:sz w:val="32"/>
          <w:szCs w:val="32"/>
          <w:lang w:val="en-GB" w:eastAsia="en-US"/>
        </w:rPr>
      </w:pPr>
      <w:r>
        <w:rPr>
          <w:rFonts w:ascii="Arial" w:eastAsia="Times New Roman" w:hAnsi="Arial"/>
          <w:b/>
          <w:bCs/>
          <w:sz w:val="32"/>
          <w:szCs w:val="32"/>
          <w:lang w:val="en-GB" w:eastAsia="en-US"/>
        </w:rPr>
        <w:t xml:space="preserve">NHS Standard Contract </w:t>
      </w:r>
      <w:r w:rsidR="004C76CA">
        <w:rPr>
          <w:rFonts w:ascii="Arial" w:eastAsia="Times New Roman" w:hAnsi="Arial"/>
          <w:b/>
          <w:bCs/>
          <w:sz w:val="32"/>
          <w:szCs w:val="32"/>
          <w:lang w:val="en-GB" w:eastAsia="en-US"/>
        </w:rPr>
        <w:t>(</w:t>
      </w:r>
      <w:r w:rsidR="00CE1295">
        <w:rPr>
          <w:rFonts w:ascii="Arial" w:eastAsia="Times New Roman" w:hAnsi="Arial"/>
          <w:b/>
          <w:bCs/>
          <w:sz w:val="32"/>
          <w:szCs w:val="32"/>
          <w:lang w:val="en-GB" w:eastAsia="en-US"/>
        </w:rPr>
        <w:t>f</w:t>
      </w:r>
      <w:r w:rsidR="004C76CA">
        <w:rPr>
          <w:rFonts w:ascii="Arial" w:eastAsia="Times New Roman" w:hAnsi="Arial"/>
          <w:b/>
          <w:bCs/>
          <w:sz w:val="32"/>
          <w:szCs w:val="32"/>
          <w:lang w:val="en-GB" w:eastAsia="en-US"/>
        </w:rPr>
        <w:t xml:space="preserve">ull </w:t>
      </w:r>
      <w:r w:rsidR="00CE1295">
        <w:rPr>
          <w:rFonts w:ascii="Arial" w:eastAsia="Times New Roman" w:hAnsi="Arial"/>
          <w:b/>
          <w:bCs/>
          <w:sz w:val="32"/>
          <w:szCs w:val="32"/>
          <w:lang w:val="en-GB" w:eastAsia="en-US"/>
        </w:rPr>
        <w:t>l</w:t>
      </w:r>
      <w:r w:rsidR="004C76CA">
        <w:rPr>
          <w:rFonts w:ascii="Arial" w:eastAsia="Times New Roman" w:hAnsi="Arial"/>
          <w:b/>
          <w:bCs/>
          <w:sz w:val="32"/>
          <w:szCs w:val="32"/>
          <w:lang w:val="en-GB" w:eastAsia="en-US"/>
        </w:rPr>
        <w:t xml:space="preserve">ength) </w:t>
      </w:r>
      <w:r>
        <w:rPr>
          <w:rFonts w:ascii="Arial" w:eastAsia="Times New Roman" w:hAnsi="Arial"/>
          <w:b/>
          <w:bCs/>
          <w:sz w:val="32"/>
          <w:szCs w:val="32"/>
          <w:lang w:val="en-GB" w:eastAsia="en-US"/>
        </w:rPr>
        <w:t>2017/18 and 2018/19</w:t>
      </w:r>
      <w:r w:rsidR="00B84A11">
        <w:rPr>
          <w:rFonts w:ascii="Arial" w:eastAsia="Times New Roman" w:hAnsi="Arial"/>
          <w:b/>
          <w:bCs/>
          <w:sz w:val="32"/>
          <w:szCs w:val="32"/>
          <w:lang w:val="en-GB" w:eastAsia="en-US"/>
        </w:rPr>
        <w:t xml:space="preserve"> (</w:t>
      </w:r>
      <w:r w:rsidR="00EF2434">
        <w:rPr>
          <w:rFonts w:ascii="Arial" w:eastAsia="Times New Roman" w:hAnsi="Arial"/>
          <w:b/>
          <w:bCs/>
          <w:sz w:val="32"/>
          <w:szCs w:val="32"/>
          <w:lang w:val="en-GB" w:eastAsia="en-US"/>
        </w:rPr>
        <w:t>May</w:t>
      </w:r>
      <w:r w:rsidR="00B84A11">
        <w:rPr>
          <w:rFonts w:ascii="Arial" w:eastAsia="Times New Roman" w:hAnsi="Arial"/>
          <w:b/>
          <w:bCs/>
          <w:sz w:val="32"/>
          <w:szCs w:val="32"/>
          <w:lang w:val="en-GB" w:eastAsia="en-US"/>
        </w:rPr>
        <w:t xml:space="preserve"> 2018 edition)</w:t>
      </w:r>
    </w:p>
    <w:p w:rsidR="00B566A6" w:rsidRDefault="00B566A6" w:rsidP="00B566A6">
      <w:pPr>
        <w:spacing w:after="0"/>
        <w:rPr>
          <w:rFonts w:ascii="Arial" w:eastAsia="Times New Roman" w:hAnsi="Arial"/>
          <w:b/>
          <w:bCs/>
          <w:sz w:val="28"/>
          <w:szCs w:val="28"/>
          <w:lang w:val="en-GB" w:eastAsia="en-US"/>
        </w:rPr>
      </w:pPr>
    </w:p>
    <w:p w:rsidR="00B566A6" w:rsidRPr="00B566A6" w:rsidRDefault="00B566A6" w:rsidP="00B566A6">
      <w:pPr>
        <w:spacing w:after="0"/>
        <w:rPr>
          <w:rFonts w:ascii="Arial" w:eastAsia="Times New Roman" w:hAnsi="Arial"/>
          <w:b/>
          <w:bCs/>
          <w:sz w:val="28"/>
          <w:szCs w:val="28"/>
          <w:lang w:val="en-GB" w:eastAsia="en-US"/>
        </w:rPr>
      </w:pPr>
      <w:r>
        <w:rPr>
          <w:rFonts w:ascii="Arial" w:eastAsia="Times New Roman" w:hAnsi="Arial"/>
          <w:b/>
          <w:bCs/>
          <w:sz w:val="28"/>
          <w:szCs w:val="28"/>
          <w:lang w:val="en-GB" w:eastAsia="en-US"/>
        </w:rPr>
        <w:t>National Variation Agreement for existing</w:t>
      </w:r>
      <w:r w:rsidR="0093092C">
        <w:rPr>
          <w:rFonts w:ascii="Arial" w:eastAsia="Times New Roman" w:hAnsi="Arial"/>
          <w:b/>
          <w:bCs/>
          <w:sz w:val="28"/>
          <w:szCs w:val="28"/>
          <w:lang w:val="en-GB" w:eastAsia="en-US"/>
        </w:rPr>
        <w:t xml:space="preserve"> 2015/16</w:t>
      </w:r>
      <w:r w:rsidR="003C0927">
        <w:rPr>
          <w:rFonts w:ascii="Arial" w:eastAsia="Times New Roman" w:hAnsi="Arial"/>
          <w:b/>
          <w:bCs/>
          <w:sz w:val="28"/>
          <w:szCs w:val="28"/>
          <w:lang w:val="en-GB" w:eastAsia="en-US"/>
        </w:rPr>
        <w:t>, 2016/17, 2017-19 (November 2016) and 20</w:t>
      </w:r>
      <w:r w:rsidR="0093092C">
        <w:rPr>
          <w:rFonts w:ascii="Arial" w:eastAsia="Times New Roman" w:hAnsi="Arial"/>
          <w:b/>
          <w:bCs/>
          <w:sz w:val="28"/>
          <w:szCs w:val="28"/>
          <w:lang w:val="en-GB" w:eastAsia="en-US"/>
        </w:rPr>
        <w:t>17</w:t>
      </w:r>
      <w:r w:rsidR="003C0927">
        <w:rPr>
          <w:rFonts w:ascii="Arial" w:eastAsia="Times New Roman" w:hAnsi="Arial"/>
          <w:b/>
          <w:bCs/>
          <w:sz w:val="28"/>
          <w:szCs w:val="28"/>
          <w:lang w:val="en-GB" w:eastAsia="en-US"/>
        </w:rPr>
        <w:t>-19 (January 2018 edition)</w:t>
      </w:r>
      <w:r w:rsidRPr="00B566A6">
        <w:rPr>
          <w:rFonts w:ascii="Arial" w:eastAsia="Times New Roman" w:hAnsi="Arial"/>
          <w:b/>
          <w:bCs/>
          <w:sz w:val="28"/>
          <w:szCs w:val="28"/>
          <w:lang w:val="en-GB" w:eastAsia="en-US"/>
        </w:rPr>
        <w:t xml:space="preserve"> form contracts</w:t>
      </w:r>
    </w:p>
    <w:p w:rsidR="00B566A6" w:rsidRPr="00B566A6" w:rsidRDefault="00B566A6" w:rsidP="00B566A6">
      <w:pPr>
        <w:spacing w:after="0"/>
        <w:rPr>
          <w:rFonts w:ascii="Arial" w:eastAsia="Times New Roman" w:hAnsi="Arial"/>
          <w:bCs/>
          <w:szCs w:val="26"/>
          <w:lang w:val="en-GB" w:eastAsia="en-US"/>
        </w:rPr>
      </w:pPr>
    </w:p>
    <w:p w:rsidR="00B566A6" w:rsidRPr="00B566A6" w:rsidRDefault="00B566A6" w:rsidP="00B566A6">
      <w:pPr>
        <w:spacing w:after="0"/>
        <w:rPr>
          <w:rFonts w:ascii="Arial" w:eastAsia="Times New Roman" w:hAnsi="Arial"/>
          <w:bCs/>
          <w:szCs w:val="26"/>
          <w:lang w:val="en-GB" w:eastAsia="en-US"/>
        </w:rPr>
      </w:pPr>
    </w:p>
    <w:p w:rsidR="00B566A6" w:rsidRDefault="00B566A6" w:rsidP="00B566A6">
      <w:pPr>
        <w:spacing w:after="0" w:line="320" w:lineRule="exact"/>
        <w:rPr>
          <w:rFonts w:ascii="Arial" w:hAnsi="Arial" w:cs="Arial"/>
          <w:lang w:val="en-GB" w:eastAsia="en-US"/>
        </w:rPr>
      </w:pPr>
      <w:r w:rsidRPr="00B566A6">
        <w:rPr>
          <w:rFonts w:ascii="Arial" w:hAnsi="Arial" w:cs="Arial"/>
          <w:lang w:val="en-GB" w:eastAsia="en-US"/>
        </w:rPr>
        <w:t xml:space="preserve">First </w:t>
      </w:r>
      <w:r w:rsidR="0093092C">
        <w:rPr>
          <w:rFonts w:ascii="Arial" w:hAnsi="Arial" w:cs="Arial"/>
          <w:lang w:val="en-GB" w:eastAsia="en-US"/>
        </w:rPr>
        <w:t>published:</w:t>
      </w:r>
      <w:r w:rsidR="0093092C">
        <w:rPr>
          <w:rFonts w:ascii="Arial" w:hAnsi="Arial" w:cs="Arial"/>
          <w:lang w:val="en-GB" w:eastAsia="en-US"/>
        </w:rPr>
        <w:tab/>
      </w:r>
      <w:r w:rsidR="00EF2434" w:rsidRPr="00695026">
        <w:rPr>
          <w:rFonts w:ascii="Arial" w:eastAsia="Times New Roman" w:hAnsi="Arial"/>
          <w:bCs/>
          <w:szCs w:val="26"/>
          <w:lang w:val="en-GB" w:eastAsia="en-US"/>
        </w:rPr>
        <w:t>May</w:t>
      </w:r>
      <w:r w:rsidR="003C0927" w:rsidRPr="00695026">
        <w:rPr>
          <w:rFonts w:ascii="Arial" w:eastAsia="Times New Roman" w:hAnsi="Arial"/>
          <w:bCs/>
          <w:szCs w:val="26"/>
          <w:lang w:val="en-GB" w:eastAsia="en-US"/>
        </w:rPr>
        <w:t xml:space="preserve"> 2018</w:t>
      </w:r>
    </w:p>
    <w:p w:rsidR="00B566A6" w:rsidRDefault="00B566A6" w:rsidP="00B566A6">
      <w:pPr>
        <w:spacing w:after="0" w:line="320" w:lineRule="exact"/>
        <w:rPr>
          <w:rFonts w:ascii="Arial" w:hAnsi="Arial" w:cs="Arial"/>
          <w:lang w:val="en-GB" w:eastAsia="en-US"/>
        </w:rPr>
      </w:pPr>
    </w:p>
    <w:p w:rsid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Prepared by:</w:t>
      </w:r>
      <w:r w:rsidRPr="00B566A6">
        <w:rPr>
          <w:rFonts w:ascii="Arial" w:eastAsia="Times New Roman" w:hAnsi="Arial"/>
          <w:bCs/>
          <w:szCs w:val="26"/>
          <w:lang w:val="en-GB" w:eastAsia="en-US"/>
        </w:rPr>
        <w:tab/>
      </w:r>
      <w:r w:rsidRPr="00B566A6">
        <w:rPr>
          <w:rFonts w:ascii="Arial" w:eastAsia="Times New Roman" w:hAnsi="Arial"/>
          <w:bCs/>
          <w:szCs w:val="26"/>
          <w:lang w:val="en-GB" w:eastAsia="en-US"/>
        </w:rPr>
        <w:tab/>
        <w:t>NHS Standard Contract Team</w:t>
      </w:r>
    </w:p>
    <w:p w:rsidR="00B566A6" w:rsidRDefault="00B566A6" w:rsidP="00B566A6">
      <w:pPr>
        <w:spacing w:after="0"/>
        <w:rPr>
          <w:rFonts w:ascii="Arial" w:eastAsia="Times New Roman" w:hAnsi="Arial"/>
          <w:bCs/>
          <w:szCs w:val="26"/>
          <w:lang w:val="en-GB" w:eastAsia="en-US"/>
        </w:rPr>
      </w:pPr>
      <w:r>
        <w:rPr>
          <w:rFonts w:ascii="Arial" w:eastAsia="Times New Roman" w:hAnsi="Arial"/>
          <w:bCs/>
          <w:szCs w:val="26"/>
          <w:lang w:val="en-GB" w:eastAsia="en-US"/>
        </w:rPr>
        <w:tab/>
      </w:r>
      <w:r>
        <w:rPr>
          <w:rFonts w:ascii="Arial" w:eastAsia="Times New Roman" w:hAnsi="Arial"/>
          <w:bCs/>
          <w:szCs w:val="26"/>
          <w:lang w:val="en-GB" w:eastAsia="en-US"/>
        </w:rPr>
        <w:tab/>
      </w:r>
      <w:r>
        <w:rPr>
          <w:rFonts w:ascii="Arial" w:eastAsia="Times New Roman" w:hAnsi="Arial"/>
          <w:bCs/>
          <w:szCs w:val="26"/>
          <w:lang w:val="en-GB" w:eastAsia="en-US"/>
        </w:rPr>
        <w:tab/>
      </w:r>
      <w:hyperlink r:id="rId11" w:history="1">
        <w:r w:rsidR="0093092C" w:rsidRPr="00C8301E">
          <w:rPr>
            <w:rStyle w:val="Hyperlink"/>
            <w:rFonts w:ascii="Arial" w:eastAsia="Times New Roman" w:hAnsi="Arial"/>
            <w:bCs/>
            <w:szCs w:val="26"/>
            <w:lang w:val="en-GB" w:eastAsia="en-US"/>
          </w:rPr>
          <w:t>nhscb.contractshelp@nhs.net</w:t>
        </w:r>
      </w:hyperlink>
    </w:p>
    <w:p w:rsidR="003C0927" w:rsidRPr="003C0927" w:rsidRDefault="003C0927" w:rsidP="003C0927">
      <w:pPr>
        <w:spacing w:after="0"/>
        <w:ind w:left="2160"/>
        <w:rPr>
          <w:rFonts w:ascii="Arial" w:eastAsia="Times New Roman" w:hAnsi="Arial"/>
          <w:bCs/>
          <w:i/>
          <w:szCs w:val="26"/>
          <w:lang w:val="en-GB" w:eastAsia="en-US"/>
        </w:rPr>
      </w:pPr>
      <w:r w:rsidRPr="003C0927">
        <w:rPr>
          <w:rFonts w:ascii="Arial" w:eastAsia="Times New Roman" w:hAnsi="Arial"/>
          <w:bCs/>
          <w:i/>
          <w:szCs w:val="26"/>
          <w:lang w:val="en-GB" w:eastAsia="en-US"/>
        </w:rPr>
        <w:t>(</w:t>
      </w:r>
      <w:proofErr w:type="gramStart"/>
      <w:r w:rsidRPr="003C0927">
        <w:rPr>
          <w:rFonts w:ascii="Arial" w:eastAsia="Times New Roman" w:hAnsi="Arial"/>
          <w:bCs/>
          <w:i/>
          <w:szCs w:val="26"/>
          <w:lang w:val="en-GB" w:eastAsia="en-US"/>
        </w:rPr>
        <w:t>please</w:t>
      </w:r>
      <w:proofErr w:type="gramEnd"/>
      <w:r w:rsidRPr="003C0927">
        <w:rPr>
          <w:rFonts w:ascii="Arial" w:eastAsia="Times New Roman" w:hAnsi="Arial"/>
          <w:bCs/>
          <w:i/>
          <w:szCs w:val="26"/>
          <w:lang w:val="en-GB" w:eastAsia="en-US"/>
        </w:rPr>
        <w:t xml:space="preserve"> do not return completed National Variations to this email address)</w:t>
      </w:r>
    </w:p>
    <w:p w:rsidR="003C0927" w:rsidRDefault="003C0927" w:rsidP="00B566A6">
      <w:pPr>
        <w:spacing w:after="0"/>
        <w:rPr>
          <w:rFonts w:ascii="Arial" w:eastAsia="Times New Roman" w:hAnsi="Arial"/>
          <w:bCs/>
          <w:szCs w:val="26"/>
          <w:lang w:val="en-GB" w:eastAsia="en-US"/>
        </w:rPr>
      </w:pPr>
    </w:p>
    <w:p w:rsidR="0093092C" w:rsidRPr="00B566A6" w:rsidRDefault="0093092C" w:rsidP="00B566A6">
      <w:pPr>
        <w:spacing w:after="0"/>
        <w:rPr>
          <w:rFonts w:ascii="Arial" w:eastAsia="Times New Roman" w:hAnsi="Arial"/>
          <w:bCs/>
          <w:szCs w:val="26"/>
          <w:lang w:val="en-GB" w:eastAsia="en-US"/>
        </w:rPr>
      </w:pPr>
      <w:r>
        <w:rPr>
          <w:rFonts w:ascii="Arial" w:eastAsia="Times New Roman" w:hAnsi="Arial"/>
          <w:bCs/>
          <w:szCs w:val="26"/>
          <w:lang w:val="en-GB" w:eastAsia="en-US"/>
        </w:rPr>
        <w:t>Publications Gateway Reference:</w:t>
      </w:r>
      <w:r>
        <w:rPr>
          <w:rFonts w:ascii="Arial" w:eastAsia="Times New Roman" w:hAnsi="Arial"/>
          <w:bCs/>
          <w:szCs w:val="26"/>
          <w:lang w:val="en-GB" w:eastAsia="en-US"/>
        </w:rPr>
        <w:tab/>
      </w:r>
      <w:r w:rsidR="0003171B">
        <w:rPr>
          <w:rFonts w:ascii="Arial" w:eastAsia="Times New Roman" w:hAnsi="Arial"/>
          <w:bCs/>
          <w:szCs w:val="26"/>
          <w:lang w:val="en-GB" w:eastAsia="en-US"/>
        </w:rPr>
        <w:t>07994</w:t>
      </w:r>
    </w:p>
    <w:p w:rsidR="00B566A6" w:rsidRPr="00B566A6" w:rsidRDefault="00B566A6" w:rsidP="00B566A6">
      <w:pPr>
        <w:spacing w:after="0"/>
        <w:rPr>
          <w:rFonts w:ascii="Arial" w:eastAsia="Times New Roman" w:hAnsi="Arial"/>
          <w:bCs/>
          <w:szCs w:val="26"/>
          <w:lang w:val="en-GB" w:eastAsia="en-US"/>
        </w:rPr>
      </w:pPr>
    </w:p>
    <w:p w:rsid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Classification:</w:t>
      </w:r>
      <w:r w:rsidRPr="00B566A6">
        <w:rPr>
          <w:rFonts w:ascii="Arial" w:eastAsia="Times New Roman" w:hAnsi="Arial"/>
          <w:bCs/>
          <w:szCs w:val="26"/>
          <w:lang w:val="en-GB" w:eastAsia="en-US"/>
        </w:rPr>
        <w:tab/>
        <w:t>Official</w:t>
      </w:r>
    </w:p>
    <w:p w:rsidR="005902A0" w:rsidRDefault="005902A0" w:rsidP="00B566A6">
      <w:pPr>
        <w:spacing w:after="0"/>
        <w:rPr>
          <w:rFonts w:ascii="Arial" w:eastAsia="Times New Roman" w:hAnsi="Arial"/>
          <w:bCs/>
          <w:szCs w:val="26"/>
          <w:lang w:val="en-GB" w:eastAsia="en-US"/>
        </w:rPr>
      </w:pPr>
    </w:p>
    <w:tbl>
      <w:tblPr>
        <w:tblStyle w:val="TableGrid"/>
        <w:tblW w:w="0" w:type="auto"/>
        <w:tblLook w:val="04A0" w:firstRow="1" w:lastRow="0" w:firstColumn="1" w:lastColumn="0" w:noHBand="0" w:noVBand="1"/>
        <w:tblCaption w:val="Please note that the parties must complete the fields highlighted in yellow in this National Variation Agreement."/>
        <w:tblDescription w:val="Please note that the parties must complete the fields highlighted in yellow in this National Variation Agreement."/>
      </w:tblPr>
      <w:tblGrid>
        <w:gridCol w:w="8522"/>
      </w:tblGrid>
      <w:tr w:rsidR="005902A0" w:rsidTr="005902A0">
        <w:tc>
          <w:tcPr>
            <w:tcW w:w="8522" w:type="dxa"/>
          </w:tcPr>
          <w:p w:rsidR="005902A0" w:rsidRDefault="005902A0" w:rsidP="00B566A6">
            <w:pPr>
              <w:spacing w:after="0"/>
              <w:rPr>
                <w:rFonts w:ascii="Arial" w:eastAsia="Times New Roman" w:hAnsi="Arial"/>
                <w:bCs/>
                <w:szCs w:val="26"/>
                <w:lang w:val="en-GB" w:eastAsia="en-US"/>
              </w:rPr>
            </w:pPr>
          </w:p>
          <w:p w:rsidR="005902A0" w:rsidRDefault="005902A0" w:rsidP="00B566A6">
            <w:pPr>
              <w:spacing w:after="0"/>
              <w:rPr>
                <w:rFonts w:ascii="Arial" w:eastAsia="Times New Roman" w:hAnsi="Arial"/>
                <w:bCs/>
                <w:szCs w:val="26"/>
                <w:lang w:val="en-GB" w:eastAsia="en-US"/>
              </w:rPr>
            </w:pPr>
            <w:r>
              <w:rPr>
                <w:rFonts w:ascii="Arial" w:eastAsia="Times New Roman" w:hAnsi="Arial"/>
                <w:bCs/>
                <w:szCs w:val="26"/>
                <w:lang w:val="en-GB" w:eastAsia="en-US"/>
              </w:rPr>
              <w:t xml:space="preserve">Please note that the parties must complete </w:t>
            </w:r>
            <w:r w:rsidR="00302FB4">
              <w:rPr>
                <w:rFonts w:ascii="Arial" w:eastAsia="Times New Roman" w:hAnsi="Arial"/>
                <w:bCs/>
                <w:szCs w:val="26"/>
                <w:lang w:val="en-GB" w:eastAsia="en-US"/>
              </w:rPr>
              <w:t xml:space="preserve">the fields </w:t>
            </w:r>
            <w:r w:rsidR="00302FB4" w:rsidRPr="00A02D84">
              <w:rPr>
                <w:rFonts w:ascii="Arial" w:eastAsia="Times New Roman" w:hAnsi="Arial"/>
                <w:bCs/>
                <w:szCs w:val="26"/>
                <w:highlight w:val="yellow"/>
                <w:lang w:val="en-GB" w:eastAsia="en-US"/>
              </w:rPr>
              <w:t>highlighted in yellow</w:t>
            </w:r>
            <w:r w:rsidR="00302FB4">
              <w:rPr>
                <w:rFonts w:ascii="Arial" w:eastAsia="Times New Roman" w:hAnsi="Arial"/>
                <w:bCs/>
                <w:szCs w:val="26"/>
                <w:lang w:val="en-GB" w:eastAsia="en-US"/>
              </w:rPr>
              <w:t xml:space="preserve"> in this National Variation Agreement.</w:t>
            </w:r>
          </w:p>
          <w:p w:rsidR="005902A0" w:rsidRDefault="005902A0" w:rsidP="00B566A6">
            <w:pPr>
              <w:spacing w:after="0"/>
              <w:rPr>
                <w:rFonts w:ascii="Arial" w:eastAsia="Times New Roman" w:hAnsi="Arial"/>
                <w:bCs/>
                <w:szCs w:val="26"/>
                <w:lang w:val="en-GB" w:eastAsia="en-US"/>
              </w:rPr>
            </w:pPr>
          </w:p>
        </w:tc>
      </w:tr>
    </w:tbl>
    <w:p w:rsidR="005902A0" w:rsidRPr="00B566A6" w:rsidRDefault="005902A0" w:rsidP="00B566A6">
      <w:pPr>
        <w:spacing w:after="0"/>
        <w:rPr>
          <w:rFonts w:ascii="Arial" w:eastAsia="Times New Roman" w:hAnsi="Arial"/>
          <w:bCs/>
          <w:szCs w:val="26"/>
          <w:lang w:val="en-GB" w:eastAsia="en-US"/>
        </w:rPr>
      </w:pPr>
    </w:p>
    <w:p w:rsidR="003E1FAF" w:rsidRDefault="00CF6901">
      <w:pPr>
        <w:spacing w:after="0"/>
        <w:rPr>
          <w:rFonts w:ascii="Arial" w:hAnsi="Arial" w:cs="Arial"/>
          <w:color w:val="003D80"/>
        </w:rPr>
      </w:pPr>
      <w:r w:rsidRPr="00260F7F">
        <w:rPr>
          <w:rFonts w:ascii="Arial" w:hAnsi="Arial" w:cs="Arial"/>
          <w:color w:val="003D80"/>
        </w:rPr>
        <w:br w:type="page"/>
      </w: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shd w:val="clear" w:color="auto" w:fill="FFCC0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 xml:space="preserve">NHS </w:t>
      </w:r>
      <w:r w:rsidRPr="00A02D84">
        <w:rPr>
          <w:rFonts w:ascii="Arial" w:eastAsia="Times New Roman" w:hAnsi="Arial" w:cs="Arial"/>
          <w:b/>
          <w:bCs/>
          <w:sz w:val="20"/>
          <w:highlight w:val="yellow"/>
          <w:lang w:val="en-GB" w:eastAsia="en-US"/>
        </w:rPr>
        <w:t>[            ]</w:t>
      </w:r>
      <w:r w:rsidRPr="003E1FAF">
        <w:rPr>
          <w:rFonts w:ascii="Arial" w:eastAsia="Times New Roman" w:hAnsi="Arial" w:cs="Arial"/>
          <w:b/>
          <w:bCs/>
          <w:sz w:val="20"/>
          <w:lang w:val="en-GB" w:eastAsia="en-US"/>
        </w:rPr>
        <w:t xml:space="preserve"> CLINICAL COMMISSIONING GROUP (1)</w:t>
      </w: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w:t>
      </w:r>
      <w:proofErr w:type="gramStart"/>
      <w:r w:rsidRPr="003E1FAF">
        <w:rPr>
          <w:rFonts w:ascii="Arial" w:eastAsia="Times New Roman" w:hAnsi="Arial" w:cs="Arial"/>
          <w:b/>
          <w:bCs/>
          <w:i/>
          <w:sz w:val="20"/>
          <w:lang w:val="en-GB" w:eastAsia="en-US"/>
        </w:rPr>
        <w:t>insert</w:t>
      </w:r>
      <w:proofErr w:type="gramEnd"/>
      <w:r w:rsidRPr="003E1FAF">
        <w:rPr>
          <w:rFonts w:ascii="Arial" w:eastAsia="Times New Roman" w:hAnsi="Arial" w:cs="Arial"/>
          <w:b/>
          <w:bCs/>
          <w:i/>
          <w:sz w:val="20"/>
          <w:lang w:val="en-GB" w:eastAsia="en-US"/>
        </w:rPr>
        <w:t xml:space="preserve"> names of other Commissioners</w:t>
      </w:r>
      <w:r w:rsidRPr="003E1FAF">
        <w:rPr>
          <w:rFonts w:ascii="Arial" w:eastAsia="Times New Roman" w:hAnsi="Arial" w:cs="Arial"/>
          <w:b/>
          <w:bCs/>
          <w:sz w:val="20"/>
          <w:lang w:val="en-GB" w:eastAsia="en-US"/>
        </w:rPr>
        <w:t>]</w:t>
      </w:r>
    </w:p>
    <w:p w:rsidR="003E1FAF" w:rsidRPr="00A02D84" w:rsidRDefault="003E1FAF" w:rsidP="003E1FAF">
      <w:pPr>
        <w:spacing w:after="0"/>
        <w:jc w:val="center"/>
        <w:rPr>
          <w:rFonts w:ascii="Arial" w:eastAsia="Times New Roman" w:hAnsi="Arial" w:cs="Arial"/>
          <w:b/>
          <w:bCs/>
          <w:sz w:val="20"/>
          <w:highlight w:val="yellow"/>
          <w:lang w:val="en-GB" w:eastAsia="en-US"/>
        </w:rPr>
      </w:pPr>
      <w:r w:rsidRPr="00A02D84">
        <w:rPr>
          <w:rFonts w:ascii="Arial" w:eastAsia="Times New Roman" w:hAnsi="Arial" w:cs="Arial"/>
          <w:b/>
          <w:bCs/>
          <w:sz w:val="20"/>
          <w:highlight w:val="yellow"/>
          <w:lang w:val="en-GB" w:eastAsia="en-US"/>
        </w:rPr>
        <w:t>[</w:t>
      </w:r>
      <w:r w:rsidRPr="00A02D84">
        <w:rPr>
          <w:rFonts w:ascii="Arial" w:eastAsia="Times New Roman" w:hAnsi="Arial" w:cs="Arial"/>
          <w:b/>
          <w:bCs/>
          <w:sz w:val="20"/>
          <w:highlight w:val="yellow"/>
          <w:lang w:val="en-GB" w:eastAsia="en-US"/>
        </w:rPr>
        <w:tab/>
      </w:r>
      <w:r w:rsidRPr="00A02D84">
        <w:rPr>
          <w:rFonts w:ascii="Arial" w:eastAsia="Times New Roman" w:hAnsi="Arial" w:cs="Arial"/>
          <w:b/>
          <w:bCs/>
          <w:sz w:val="20"/>
          <w:highlight w:val="yellow"/>
          <w:lang w:val="en-GB" w:eastAsia="en-US"/>
        </w:rPr>
        <w:tab/>
      </w:r>
      <w:r w:rsidRPr="00A02D84">
        <w:rPr>
          <w:rFonts w:ascii="Arial" w:eastAsia="Times New Roman" w:hAnsi="Arial" w:cs="Arial"/>
          <w:b/>
          <w:bCs/>
          <w:sz w:val="20"/>
          <w:highlight w:val="yellow"/>
          <w:lang w:val="en-GB" w:eastAsia="en-US"/>
        </w:rPr>
        <w:tab/>
        <w:t>]</w:t>
      </w:r>
    </w:p>
    <w:p w:rsidR="003E1FAF" w:rsidRPr="00A02D84" w:rsidRDefault="003E1FAF" w:rsidP="003E1FAF">
      <w:pPr>
        <w:spacing w:after="0"/>
        <w:jc w:val="center"/>
        <w:rPr>
          <w:rFonts w:ascii="Arial" w:eastAsia="Times New Roman" w:hAnsi="Arial" w:cs="Arial"/>
          <w:b/>
          <w:bCs/>
          <w:sz w:val="20"/>
          <w:highlight w:val="yellow"/>
          <w:lang w:val="en-GB" w:eastAsia="en-US"/>
        </w:rPr>
      </w:pPr>
      <w:r w:rsidRPr="00A02D84">
        <w:rPr>
          <w:rFonts w:ascii="Arial" w:eastAsia="Times New Roman" w:hAnsi="Arial" w:cs="Arial"/>
          <w:b/>
          <w:bCs/>
          <w:sz w:val="20"/>
          <w:highlight w:val="yellow"/>
          <w:lang w:val="en-GB" w:eastAsia="en-US"/>
        </w:rPr>
        <w:t>[</w:t>
      </w:r>
      <w:r w:rsidRPr="00A02D84">
        <w:rPr>
          <w:rFonts w:ascii="Arial" w:eastAsia="Times New Roman" w:hAnsi="Arial" w:cs="Arial"/>
          <w:b/>
          <w:bCs/>
          <w:sz w:val="20"/>
          <w:highlight w:val="yellow"/>
          <w:lang w:val="en-GB" w:eastAsia="en-US"/>
        </w:rPr>
        <w:tab/>
      </w:r>
      <w:r w:rsidRPr="00A02D84">
        <w:rPr>
          <w:rFonts w:ascii="Arial" w:eastAsia="Times New Roman" w:hAnsi="Arial" w:cs="Arial"/>
          <w:b/>
          <w:bCs/>
          <w:sz w:val="20"/>
          <w:highlight w:val="yellow"/>
          <w:lang w:val="en-GB" w:eastAsia="en-US"/>
        </w:rPr>
        <w:tab/>
      </w:r>
      <w:r w:rsidRPr="00A02D84">
        <w:rPr>
          <w:rFonts w:ascii="Arial" w:eastAsia="Times New Roman" w:hAnsi="Arial" w:cs="Arial"/>
          <w:b/>
          <w:bCs/>
          <w:sz w:val="20"/>
          <w:highlight w:val="yellow"/>
          <w:lang w:val="en-GB" w:eastAsia="en-US"/>
        </w:rPr>
        <w:tab/>
        <w:t>]</w:t>
      </w:r>
    </w:p>
    <w:p w:rsidR="003E1FAF" w:rsidRPr="003E1FAF" w:rsidRDefault="003E1FAF" w:rsidP="003E1FAF">
      <w:pPr>
        <w:spacing w:after="0"/>
        <w:jc w:val="center"/>
        <w:rPr>
          <w:rFonts w:ascii="Arial" w:eastAsia="Times New Roman" w:hAnsi="Arial" w:cs="Arial"/>
          <w:b/>
          <w:bCs/>
          <w:sz w:val="20"/>
          <w:lang w:val="en-GB" w:eastAsia="en-US"/>
        </w:rPr>
      </w:pPr>
      <w:r w:rsidRPr="00A02D84">
        <w:rPr>
          <w:rFonts w:ascii="Arial" w:eastAsia="Times New Roman" w:hAnsi="Arial" w:cs="Arial"/>
          <w:b/>
          <w:bCs/>
          <w:sz w:val="20"/>
          <w:highlight w:val="yellow"/>
          <w:lang w:val="en-GB" w:eastAsia="en-US"/>
        </w:rPr>
        <w:t>[</w:t>
      </w:r>
      <w:r w:rsidRPr="00A02D84">
        <w:rPr>
          <w:rFonts w:ascii="Arial" w:eastAsia="Times New Roman" w:hAnsi="Arial" w:cs="Arial"/>
          <w:b/>
          <w:bCs/>
          <w:sz w:val="20"/>
          <w:highlight w:val="yellow"/>
          <w:lang w:val="en-GB" w:eastAsia="en-US"/>
        </w:rPr>
        <w:tab/>
      </w:r>
      <w:r w:rsidRPr="00A02D84">
        <w:rPr>
          <w:rFonts w:ascii="Arial" w:eastAsia="Times New Roman" w:hAnsi="Arial" w:cs="Arial"/>
          <w:b/>
          <w:bCs/>
          <w:sz w:val="20"/>
          <w:highlight w:val="yellow"/>
          <w:lang w:val="en-GB" w:eastAsia="en-US"/>
        </w:rPr>
        <w:tab/>
      </w:r>
      <w:r w:rsidRPr="00A02D84">
        <w:rPr>
          <w:rFonts w:ascii="Arial" w:eastAsia="Times New Roman" w:hAnsi="Arial" w:cs="Arial"/>
          <w:b/>
          <w:bCs/>
          <w:sz w:val="20"/>
          <w:highlight w:val="yellow"/>
          <w:lang w:val="en-GB" w:eastAsia="en-US"/>
        </w:rPr>
        <w:tab/>
        <w:t>]</w:t>
      </w: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w:t>
      </w:r>
      <w:r w:rsidRPr="003E1FAF">
        <w:rPr>
          <w:rFonts w:ascii="Arial" w:eastAsia="Times New Roman" w:hAnsi="Arial" w:cs="Arial"/>
          <w:b/>
          <w:bCs/>
          <w:i/>
          <w:sz w:val="20"/>
          <w:lang w:val="en-GB" w:eastAsia="en-US"/>
        </w:rPr>
        <w:t>Local Authority</w:t>
      </w:r>
      <w:r w:rsidRPr="003E1FAF">
        <w:rPr>
          <w:rFonts w:ascii="Arial" w:eastAsia="Times New Roman" w:hAnsi="Arial" w:cs="Arial"/>
          <w:b/>
          <w:bCs/>
          <w:sz w:val="20"/>
          <w:lang w:val="en-GB" w:eastAsia="en-US"/>
        </w:rPr>
        <w:t>]</w:t>
      </w: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w:t>
      </w:r>
      <w:r w:rsidRPr="003E1FAF">
        <w:rPr>
          <w:rFonts w:ascii="Arial" w:eastAsia="Times New Roman" w:hAnsi="Arial" w:cs="Arial"/>
          <w:b/>
          <w:bCs/>
          <w:i/>
          <w:sz w:val="20"/>
          <w:lang w:val="en-GB" w:eastAsia="en-US"/>
        </w:rPr>
        <w:t>NHS England</w:t>
      </w:r>
      <w:r w:rsidRPr="003E1FAF">
        <w:rPr>
          <w:rFonts w:ascii="Arial" w:eastAsia="Times New Roman" w:hAnsi="Arial" w:cs="Arial"/>
          <w:b/>
          <w:bCs/>
          <w:sz w:val="20"/>
          <w:lang w:val="en-GB" w:eastAsia="en-US"/>
        </w:rPr>
        <w:t>]</w:t>
      </w: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AND</w:t>
      </w: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A02D84">
        <w:rPr>
          <w:rFonts w:ascii="Arial" w:eastAsia="Times New Roman" w:hAnsi="Arial" w:cs="Arial"/>
          <w:b/>
          <w:bCs/>
          <w:sz w:val="20"/>
          <w:highlight w:val="yellow"/>
          <w:shd w:val="clear" w:color="auto" w:fill="FFCC00"/>
          <w:lang w:val="en-GB" w:eastAsia="en-US"/>
        </w:rPr>
        <w:t>[           ]</w:t>
      </w:r>
      <w:r w:rsidRPr="003E1FAF">
        <w:rPr>
          <w:rFonts w:ascii="Arial" w:eastAsia="Times New Roman" w:hAnsi="Arial" w:cs="Arial"/>
          <w:b/>
          <w:bCs/>
          <w:sz w:val="20"/>
          <w:lang w:val="en-GB" w:eastAsia="en-US"/>
        </w:rPr>
        <w:t xml:space="preserve"> (2)</w:t>
      </w: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AS PROVIDER</w:t>
      </w: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rPr>
          <w:rFonts w:ascii="Arial" w:eastAsia="Times New Roman" w:hAnsi="Arial" w:cs="Arial"/>
          <w:b/>
          <w:bCs/>
          <w:sz w:val="20"/>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ATIONAL VARIATION AGREEMENT 2016/17"/>
      </w:tblPr>
      <w:tblGrid>
        <w:gridCol w:w="4488"/>
      </w:tblGrid>
      <w:tr w:rsidR="003E1FAF" w:rsidRPr="003E1FAF" w:rsidTr="000158CB">
        <w:trPr>
          <w:jc w:val="center"/>
        </w:trPr>
        <w:tc>
          <w:tcPr>
            <w:tcW w:w="4488" w:type="dxa"/>
            <w:tcBorders>
              <w:top w:val="single" w:sz="12" w:space="0" w:color="auto"/>
              <w:left w:val="nil"/>
              <w:bottom w:val="single" w:sz="12" w:space="0" w:color="auto"/>
              <w:right w:val="nil"/>
            </w:tcBorders>
          </w:tcPr>
          <w:p w:rsidR="003E1FAF" w:rsidRPr="003E1FAF" w:rsidRDefault="003E1FAF" w:rsidP="003E1FAF">
            <w:pPr>
              <w:spacing w:after="0"/>
              <w:rPr>
                <w:rFonts w:ascii="Arial" w:eastAsia="Times New Roman" w:hAnsi="Arial" w:cs="Arial"/>
                <w:b/>
                <w:bCs/>
                <w:sz w:val="20"/>
                <w:lang w:val="en-GB" w:eastAsia="en-US"/>
              </w:rPr>
            </w:pPr>
          </w:p>
          <w:p w:rsidR="003E1FAF" w:rsidRDefault="003E1FAF" w:rsidP="003E1FAF">
            <w:pPr>
              <w:spacing w:after="0"/>
              <w:jc w:val="center"/>
              <w:rPr>
                <w:rFonts w:ascii="Arial" w:eastAsia="Times New Roman" w:hAnsi="Arial" w:cs="Arial"/>
                <w:b/>
                <w:bCs/>
                <w:sz w:val="20"/>
                <w:lang w:val="en-GB" w:eastAsia="en-US"/>
              </w:rPr>
            </w:pPr>
            <w:r>
              <w:rPr>
                <w:rFonts w:ascii="Arial" w:eastAsia="Times New Roman" w:hAnsi="Arial" w:cs="Arial"/>
                <w:b/>
                <w:bCs/>
                <w:sz w:val="20"/>
                <w:lang w:val="en-GB" w:eastAsia="en-US"/>
              </w:rPr>
              <w:t>NATIONAL VARIATION AGREEMENT</w:t>
            </w:r>
          </w:p>
          <w:p w:rsidR="003E1FAF" w:rsidRPr="003E1FAF" w:rsidRDefault="003E1FAF" w:rsidP="003E1FAF">
            <w:pPr>
              <w:spacing w:after="0"/>
              <w:jc w:val="center"/>
              <w:rPr>
                <w:rFonts w:ascii="Arial" w:eastAsia="Times New Roman" w:hAnsi="Arial" w:cs="Arial"/>
                <w:b/>
                <w:bCs/>
                <w:sz w:val="20"/>
                <w:lang w:val="en-GB" w:eastAsia="en-US"/>
              </w:rPr>
            </w:pPr>
            <w:r>
              <w:rPr>
                <w:rFonts w:ascii="Arial" w:eastAsia="Times New Roman" w:hAnsi="Arial" w:cs="Arial"/>
                <w:b/>
                <w:bCs/>
                <w:sz w:val="20"/>
                <w:lang w:val="en-GB" w:eastAsia="en-US"/>
              </w:rPr>
              <w:t>2017-19 (</w:t>
            </w:r>
            <w:r w:rsidR="00EF2434">
              <w:rPr>
                <w:rFonts w:ascii="Arial" w:eastAsia="Times New Roman" w:hAnsi="Arial" w:cs="Arial"/>
                <w:b/>
                <w:bCs/>
                <w:sz w:val="20"/>
                <w:lang w:val="en-GB" w:eastAsia="en-US"/>
              </w:rPr>
              <w:t>May</w:t>
            </w:r>
            <w:r>
              <w:rPr>
                <w:rFonts w:ascii="Arial" w:eastAsia="Times New Roman" w:hAnsi="Arial" w:cs="Arial"/>
                <w:b/>
                <w:bCs/>
                <w:sz w:val="20"/>
                <w:lang w:val="en-GB" w:eastAsia="en-US"/>
              </w:rPr>
              <w:t xml:space="preserve"> 2018 edition)</w:t>
            </w:r>
          </w:p>
          <w:p w:rsidR="003E1FAF" w:rsidRPr="003E1FAF" w:rsidRDefault="003E1FAF" w:rsidP="003E1FAF">
            <w:pPr>
              <w:spacing w:after="0"/>
              <w:jc w:val="center"/>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 xml:space="preserve">in relation to the Contract dated </w:t>
            </w:r>
            <w:r w:rsidRPr="00A02D84">
              <w:rPr>
                <w:rFonts w:ascii="Arial" w:eastAsia="Times New Roman" w:hAnsi="Arial" w:cs="Arial"/>
                <w:b/>
                <w:bCs/>
                <w:iCs/>
                <w:sz w:val="20"/>
                <w:highlight w:val="yellow"/>
                <w:shd w:val="clear" w:color="auto" w:fill="FFCC00"/>
                <w:lang w:val="en-GB" w:eastAsia="en-US"/>
              </w:rPr>
              <w:t>[</w:t>
            </w:r>
            <w:r w:rsidRPr="00A02D84">
              <w:rPr>
                <w:rFonts w:ascii="Arial" w:eastAsia="Times New Roman" w:hAnsi="Arial" w:cs="Arial"/>
                <w:b/>
                <w:bCs/>
                <w:i/>
                <w:iCs/>
                <w:sz w:val="20"/>
                <w:highlight w:val="yellow"/>
                <w:shd w:val="clear" w:color="auto" w:fill="FFCC00"/>
                <w:lang w:val="en-GB" w:eastAsia="en-US"/>
              </w:rPr>
              <w:t>insert date of original contract</w:t>
            </w:r>
            <w:r w:rsidRPr="00A02D84">
              <w:rPr>
                <w:rFonts w:ascii="Arial" w:eastAsia="Times New Roman" w:hAnsi="Arial" w:cs="Arial"/>
                <w:b/>
                <w:bCs/>
                <w:iCs/>
                <w:sz w:val="20"/>
                <w:highlight w:val="yellow"/>
                <w:shd w:val="clear" w:color="auto" w:fill="FFCC00"/>
                <w:lang w:val="en-GB" w:eastAsia="en-US"/>
              </w:rPr>
              <w:t>]</w:t>
            </w:r>
          </w:p>
          <w:p w:rsidR="003E1FAF" w:rsidRPr="003E1FAF" w:rsidRDefault="003E1FAF"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in the form of the</w:t>
            </w:r>
          </w:p>
          <w:p w:rsidR="003E1FAF" w:rsidRPr="003E1FAF" w:rsidRDefault="000158CB" w:rsidP="003E1FAF">
            <w:pPr>
              <w:spacing w:after="0"/>
              <w:jc w:val="center"/>
              <w:rPr>
                <w:rFonts w:ascii="Arial" w:eastAsia="Times New Roman" w:hAnsi="Arial" w:cs="Arial"/>
                <w:b/>
                <w:bCs/>
                <w:sz w:val="20"/>
                <w:lang w:val="en-GB" w:eastAsia="en-US"/>
              </w:rPr>
            </w:pPr>
            <w:r w:rsidRPr="003E1FAF">
              <w:rPr>
                <w:rFonts w:ascii="Arial" w:eastAsia="Times New Roman" w:hAnsi="Arial" w:cs="Arial"/>
                <w:b/>
                <w:bCs/>
                <w:sz w:val="20"/>
                <w:lang w:val="en-GB" w:eastAsia="en-US"/>
              </w:rPr>
              <w:t xml:space="preserve">[NHS STANDARD CONTRACT </w:t>
            </w:r>
            <w:r>
              <w:rPr>
                <w:rFonts w:ascii="Arial" w:eastAsia="Times New Roman" w:hAnsi="Arial" w:cs="Arial"/>
                <w:b/>
                <w:bCs/>
                <w:sz w:val="20"/>
                <w:lang w:val="en-GB" w:eastAsia="en-US"/>
              </w:rPr>
              <w:t>2017-19 (January 2018 edition)</w:t>
            </w:r>
            <w:r w:rsidRPr="003E1FAF">
              <w:rPr>
                <w:rFonts w:ascii="Arial" w:eastAsia="Times New Roman" w:hAnsi="Arial" w:cs="Arial"/>
                <w:b/>
                <w:bCs/>
                <w:sz w:val="20"/>
                <w:lang w:val="en-GB" w:eastAsia="en-US"/>
              </w:rPr>
              <w:t xml:space="preserve">] [NHS STANDARD CONTRACT </w:t>
            </w:r>
            <w:r>
              <w:rPr>
                <w:rFonts w:ascii="Arial" w:eastAsia="Times New Roman" w:hAnsi="Arial" w:cs="Arial"/>
                <w:b/>
                <w:bCs/>
                <w:sz w:val="20"/>
                <w:lang w:val="en-GB" w:eastAsia="en-US"/>
              </w:rPr>
              <w:t>2017-19 (November 2016 edition)</w:t>
            </w:r>
            <w:r w:rsidRPr="003E1FAF">
              <w:rPr>
                <w:rFonts w:ascii="Arial" w:eastAsia="Times New Roman" w:hAnsi="Arial" w:cs="Arial"/>
                <w:b/>
                <w:bCs/>
                <w:sz w:val="20"/>
                <w:lang w:val="en-GB" w:eastAsia="en-US"/>
              </w:rPr>
              <w:t>]</w:t>
            </w:r>
            <w:r w:rsidR="003E1FAF" w:rsidRPr="003E1FAF">
              <w:rPr>
                <w:rFonts w:ascii="Arial" w:eastAsia="Times New Roman" w:hAnsi="Arial" w:cs="Arial"/>
                <w:b/>
                <w:bCs/>
                <w:sz w:val="20"/>
                <w:lang w:val="en-GB" w:eastAsia="en-US"/>
              </w:rPr>
              <w:t xml:space="preserve"> [NHS STANDARD CONTRACT </w:t>
            </w:r>
            <w:r w:rsidR="003E1FAF">
              <w:rPr>
                <w:rFonts w:ascii="Arial" w:eastAsia="Times New Roman" w:hAnsi="Arial" w:cs="Arial"/>
                <w:b/>
                <w:bCs/>
                <w:sz w:val="20"/>
                <w:lang w:val="en-GB" w:eastAsia="en-US"/>
              </w:rPr>
              <w:t>2016/17</w:t>
            </w:r>
            <w:r w:rsidR="003E1FAF" w:rsidRPr="003E1FAF">
              <w:rPr>
                <w:rFonts w:ascii="Arial" w:eastAsia="Times New Roman" w:hAnsi="Arial" w:cs="Arial"/>
                <w:b/>
                <w:bCs/>
                <w:sz w:val="20"/>
                <w:lang w:val="en-GB" w:eastAsia="en-US"/>
              </w:rPr>
              <w:t xml:space="preserve">] [NHS </w:t>
            </w:r>
            <w:r w:rsidR="0088657B">
              <w:rPr>
                <w:rFonts w:ascii="Arial" w:eastAsia="Times New Roman" w:hAnsi="Arial" w:cs="Arial"/>
                <w:b/>
                <w:bCs/>
                <w:sz w:val="20"/>
                <w:lang w:val="en-GB" w:eastAsia="en-US"/>
              </w:rPr>
              <w:t xml:space="preserve">STANDARD </w:t>
            </w:r>
            <w:r w:rsidR="003E1FAF" w:rsidRPr="003E1FAF">
              <w:rPr>
                <w:rFonts w:ascii="Arial" w:eastAsia="Times New Roman" w:hAnsi="Arial" w:cs="Arial"/>
                <w:b/>
                <w:bCs/>
                <w:sz w:val="20"/>
                <w:lang w:val="en-GB" w:eastAsia="en-US"/>
              </w:rPr>
              <w:t xml:space="preserve">CONTRACT </w:t>
            </w:r>
            <w:r w:rsidR="003E1FAF">
              <w:rPr>
                <w:rFonts w:ascii="Arial" w:eastAsia="Times New Roman" w:hAnsi="Arial" w:cs="Arial"/>
                <w:b/>
                <w:bCs/>
                <w:sz w:val="20"/>
                <w:lang w:val="en-GB" w:eastAsia="en-US"/>
              </w:rPr>
              <w:t>2015/16</w:t>
            </w:r>
            <w:r w:rsidR="003E1FAF" w:rsidRPr="003E1FAF">
              <w:rPr>
                <w:rFonts w:ascii="Arial" w:eastAsia="Times New Roman" w:hAnsi="Arial" w:cs="Arial"/>
                <w:b/>
                <w:bCs/>
                <w:sz w:val="20"/>
                <w:lang w:val="en-GB" w:eastAsia="en-US"/>
              </w:rPr>
              <w:t>]</w:t>
            </w:r>
            <w:r w:rsidR="00302FB4">
              <w:rPr>
                <w:rFonts w:ascii="Arial" w:eastAsia="Times New Roman" w:hAnsi="Arial" w:cs="Arial"/>
                <w:b/>
                <w:bCs/>
                <w:sz w:val="20"/>
                <w:lang w:val="en-GB" w:eastAsia="en-US"/>
              </w:rPr>
              <w:t xml:space="preserve"> </w:t>
            </w:r>
            <w:r w:rsidR="00302FB4" w:rsidRPr="006F03EA">
              <w:rPr>
                <w:rFonts w:ascii="Arial" w:eastAsia="Times New Roman" w:hAnsi="Arial" w:cs="Arial"/>
                <w:b/>
                <w:bCs/>
                <w:i/>
                <w:sz w:val="20"/>
                <w:highlight w:val="yellow"/>
                <w:lang w:val="en-GB" w:eastAsia="en-US"/>
              </w:rPr>
              <w:t>[select year of original contract]</w:t>
            </w:r>
          </w:p>
          <w:p w:rsidR="003E1FAF" w:rsidRPr="003E1FAF" w:rsidRDefault="003E1FAF" w:rsidP="003E1FAF">
            <w:pPr>
              <w:spacing w:after="0"/>
              <w:rPr>
                <w:rFonts w:ascii="Arial" w:eastAsia="Times New Roman" w:hAnsi="Arial" w:cs="Arial"/>
                <w:b/>
                <w:bCs/>
                <w:sz w:val="20"/>
                <w:lang w:val="en-GB" w:eastAsia="en-US"/>
              </w:rPr>
            </w:pPr>
          </w:p>
          <w:p w:rsidR="003E1FAF" w:rsidRPr="003E1FAF" w:rsidRDefault="003E1FAF" w:rsidP="003E1FAF">
            <w:pPr>
              <w:spacing w:after="0"/>
              <w:jc w:val="center"/>
              <w:rPr>
                <w:rFonts w:ascii="Arial" w:eastAsia="Times New Roman" w:hAnsi="Arial" w:cs="Arial"/>
                <w:b/>
                <w:bCs/>
                <w:sz w:val="20"/>
                <w:lang w:val="en-GB" w:eastAsia="en-US"/>
              </w:rPr>
            </w:pPr>
          </w:p>
        </w:tc>
      </w:tr>
    </w:tbl>
    <w:p w:rsidR="003E1FAF" w:rsidRDefault="003E1FAF">
      <w:pPr>
        <w:spacing w:after="0"/>
        <w:rPr>
          <w:rFonts w:ascii="Arial" w:hAnsi="Arial" w:cs="Arial"/>
          <w:color w:val="003D80"/>
        </w:rPr>
      </w:pPr>
      <w:r>
        <w:rPr>
          <w:rFonts w:ascii="Arial" w:hAnsi="Arial" w:cs="Arial"/>
          <w:color w:val="003D80"/>
        </w:rPr>
        <w:br w:type="page"/>
      </w:r>
    </w:p>
    <w:p w:rsidR="002838DC" w:rsidRDefault="002838DC" w:rsidP="002838DC">
      <w:pPr>
        <w:spacing w:after="240" w:line="360" w:lineRule="auto"/>
        <w:jc w:val="both"/>
        <w:rPr>
          <w:rFonts w:ascii="Arial" w:eastAsia="Times New Roman" w:hAnsi="Arial" w:cs="Arial"/>
          <w:b/>
          <w:bCs/>
          <w:sz w:val="20"/>
          <w:lang w:val="en-GB" w:eastAsia="en-US"/>
        </w:rPr>
      </w:pPr>
      <w:r>
        <w:rPr>
          <w:rFonts w:ascii="Arial" w:eastAsia="Times New Roman" w:hAnsi="Arial" w:cs="Arial"/>
          <w:b/>
          <w:bCs/>
          <w:sz w:val="20"/>
          <w:lang w:val="en-GB" w:eastAsia="en-US"/>
        </w:rPr>
        <w:t xml:space="preserve">THIS NATIONAL VARIATION AGREEMENT is dated </w:t>
      </w:r>
      <w:r w:rsidRPr="00A02D84">
        <w:rPr>
          <w:rFonts w:ascii="Arial" w:eastAsia="Times New Roman" w:hAnsi="Arial" w:cs="Arial"/>
          <w:b/>
          <w:bCs/>
          <w:sz w:val="20"/>
          <w:highlight w:val="yellow"/>
          <w:shd w:val="clear" w:color="auto" w:fill="FFCC00"/>
          <w:lang w:val="en-GB" w:eastAsia="en-US"/>
        </w:rPr>
        <w:t>[</w:t>
      </w:r>
      <w:r w:rsidRPr="00A02D84">
        <w:rPr>
          <w:rFonts w:ascii="Arial" w:eastAsia="Times New Roman" w:hAnsi="Arial" w:cs="Arial"/>
          <w:b/>
          <w:bCs/>
          <w:sz w:val="20"/>
          <w:highlight w:val="yellow"/>
          <w:shd w:val="clear" w:color="auto" w:fill="FFCC00"/>
          <w:lang w:val="en-GB" w:eastAsia="en-US"/>
        </w:rPr>
        <w:tab/>
      </w:r>
      <w:r w:rsidRPr="00A02D84">
        <w:rPr>
          <w:rFonts w:ascii="Arial" w:eastAsia="Times New Roman" w:hAnsi="Arial" w:cs="Arial"/>
          <w:b/>
          <w:bCs/>
          <w:sz w:val="20"/>
          <w:highlight w:val="yellow"/>
          <w:shd w:val="clear" w:color="auto" w:fill="FFCC00"/>
          <w:lang w:val="en-GB" w:eastAsia="en-US"/>
        </w:rPr>
        <w:tab/>
      </w:r>
      <w:r w:rsidRPr="00A02D84">
        <w:rPr>
          <w:rFonts w:ascii="Arial" w:eastAsia="Times New Roman" w:hAnsi="Arial" w:cs="Arial"/>
          <w:b/>
          <w:bCs/>
          <w:sz w:val="20"/>
          <w:highlight w:val="yellow"/>
          <w:shd w:val="clear" w:color="auto" w:fill="FFCC00"/>
          <w:lang w:val="en-GB" w:eastAsia="en-US"/>
        </w:rPr>
        <w:tab/>
      </w:r>
      <w:proofErr w:type="gramStart"/>
      <w:r w:rsidRPr="00A02D84">
        <w:rPr>
          <w:rFonts w:ascii="Arial" w:eastAsia="Times New Roman" w:hAnsi="Arial" w:cs="Arial"/>
          <w:b/>
          <w:bCs/>
          <w:sz w:val="20"/>
          <w:highlight w:val="yellow"/>
          <w:shd w:val="clear" w:color="auto" w:fill="FFCC00"/>
          <w:lang w:val="en-GB" w:eastAsia="en-US"/>
        </w:rPr>
        <w:t>]</w:t>
      </w:r>
      <w:r w:rsidR="003C0927">
        <w:rPr>
          <w:rFonts w:ascii="Arial" w:eastAsia="Times New Roman" w:hAnsi="Arial" w:cs="Arial"/>
          <w:b/>
          <w:bCs/>
          <w:sz w:val="20"/>
          <w:lang w:val="en-GB" w:eastAsia="en-US"/>
        </w:rPr>
        <w:t>2018</w:t>
      </w:r>
      <w:proofErr w:type="gramEnd"/>
      <w:r>
        <w:rPr>
          <w:rFonts w:ascii="Arial" w:eastAsia="Times New Roman" w:hAnsi="Arial" w:cs="Arial"/>
          <w:b/>
          <w:bCs/>
          <w:sz w:val="20"/>
          <w:lang w:val="en-GB" w:eastAsia="en-US"/>
        </w:rPr>
        <w:t xml:space="preserve"> and made between:</w:t>
      </w:r>
    </w:p>
    <w:p w:rsidR="002838DC" w:rsidRDefault="002838DC" w:rsidP="003E1FAF">
      <w:pPr>
        <w:numPr>
          <w:ilvl w:val="0"/>
          <w:numId w:val="7"/>
        </w:numPr>
        <w:spacing w:after="0"/>
        <w:ind w:left="744" w:hanging="744"/>
        <w:jc w:val="both"/>
        <w:rPr>
          <w:rFonts w:ascii="Arial" w:eastAsia="Times New Roman" w:hAnsi="Arial" w:cs="Arial"/>
          <w:sz w:val="20"/>
          <w:lang w:val="en-GB" w:eastAsia="en-US"/>
        </w:rPr>
      </w:pPr>
      <w:r>
        <w:rPr>
          <w:rFonts w:ascii="Arial" w:eastAsia="Times New Roman" w:hAnsi="Arial" w:cs="Arial"/>
          <w:b/>
          <w:bCs/>
          <w:sz w:val="20"/>
          <w:lang w:val="en-GB" w:eastAsia="en-US"/>
        </w:rPr>
        <w:t xml:space="preserve">NHS </w:t>
      </w:r>
      <w:r w:rsidRPr="00A02D84">
        <w:rPr>
          <w:rFonts w:ascii="Arial" w:eastAsia="Times New Roman" w:hAnsi="Arial" w:cs="Arial"/>
          <w:b/>
          <w:bCs/>
          <w:sz w:val="20"/>
          <w:highlight w:val="yellow"/>
          <w:lang w:val="en-GB" w:eastAsia="en-US"/>
        </w:rPr>
        <w:t>[            ]</w:t>
      </w:r>
      <w:r>
        <w:rPr>
          <w:rFonts w:ascii="Arial" w:eastAsia="Times New Roman" w:hAnsi="Arial" w:cs="Arial"/>
          <w:b/>
          <w:bCs/>
          <w:sz w:val="20"/>
          <w:lang w:val="en-GB" w:eastAsia="en-US"/>
        </w:rPr>
        <w:t xml:space="preserve"> CLINICAL COMMISSIONING GROUP </w:t>
      </w:r>
      <w:r>
        <w:rPr>
          <w:rFonts w:ascii="Arial" w:eastAsia="Times New Roman" w:hAnsi="Arial" w:cs="Arial"/>
          <w:sz w:val="20"/>
          <w:lang w:val="en-GB" w:eastAsia="en-US"/>
        </w:rPr>
        <w:t xml:space="preserve">whose principal office is at </w:t>
      </w:r>
      <w:r>
        <w:rPr>
          <w:rFonts w:ascii="Arial" w:eastAsia="Times New Roman" w:hAnsi="Arial" w:cs="Arial"/>
          <w:sz w:val="20"/>
          <w:lang w:val="en-GB" w:eastAsia="en-US"/>
        </w:rPr>
        <w:br/>
      </w:r>
      <w:r w:rsidRPr="00A02D84">
        <w:rPr>
          <w:rFonts w:ascii="Arial" w:eastAsia="Times New Roman" w:hAnsi="Arial" w:cs="Arial"/>
          <w:sz w:val="20"/>
          <w:highlight w:val="yellow"/>
          <w:shd w:val="clear" w:color="auto" w:fill="FFCC00"/>
          <w:lang w:val="en-GB" w:eastAsia="en-US"/>
        </w:rPr>
        <w:t>[                  ]</w:t>
      </w:r>
      <w:r>
        <w:rPr>
          <w:rFonts w:ascii="Arial" w:eastAsia="Times New Roman" w:hAnsi="Arial" w:cs="Arial"/>
          <w:sz w:val="20"/>
          <w:lang w:val="en-GB" w:eastAsia="en-US"/>
        </w:rPr>
        <w:t xml:space="preserve"> </w:t>
      </w:r>
    </w:p>
    <w:p w:rsidR="002838DC" w:rsidRDefault="002838DC" w:rsidP="002838DC">
      <w:pPr>
        <w:spacing w:after="0"/>
        <w:ind w:left="744"/>
        <w:jc w:val="both"/>
        <w:rPr>
          <w:rFonts w:ascii="Arial" w:eastAsia="Times New Roman" w:hAnsi="Arial" w:cs="Arial"/>
          <w:sz w:val="20"/>
          <w:lang w:val="en-GB" w:eastAsia="en-US"/>
        </w:rPr>
      </w:pPr>
      <w:r>
        <w:rPr>
          <w:rFonts w:ascii="Arial" w:eastAsia="Times New Roman" w:hAnsi="Arial" w:cs="Arial"/>
          <w:b/>
          <w:bCs/>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other Commissioners’ names and addresses</w:t>
      </w:r>
      <w:r>
        <w:rPr>
          <w:rFonts w:ascii="Arial" w:eastAsia="Times New Roman" w:hAnsi="Arial" w:cs="Arial"/>
          <w:b/>
          <w:bCs/>
          <w:sz w:val="20"/>
          <w:lang w:val="en-GB" w:eastAsia="en-US"/>
        </w:rPr>
        <w:t>]</w:t>
      </w:r>
    </w:p>
    <w:p w:rsidR="002838DC" w:rsidRDefault="002838DC" w:rsidP="00517084">
      <w:pPr>
        <w:spacing w:after="0"/>
        <w:ind w:left="744"/>
        <w:jc w:val="both"/>
        <w:rPr>
          <w:rFonts w:ascii="Arial" w:eastAsia="Times New Roman" w:hAnsi="Arial" w:cs="Arial"/>
          <w:b/>
          <w:sz w:val="20"/>
          <w:lang w:val="en-GB" w:eastAsia="en-US"/>
        </w:rPr>
      </w:pPr>
      <w:r>
        <w:rPr>
          <w:rFonts w:ascii="Arial" w:eastAsia="Times New Roman" w:hAnsi="Arial" w:cs="Arial"/>
          <w:b/>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Local Authority name and address if applicable</w:t>
      </w:r>
      <w:r>
        <w:rPr>
          <w:rFonts w:ascii="Arial" w:eastAsia="Times New Roman" w:hAnsi="Arial" w:cs="Arial"/>
          <w:b/>
          <w:sz w:val="20"/>
          <w:lang w:val="en-GB" w:eastAsia="en-US"/>
        </w:rPr>
        <w:t>]</w:t>
      </w:r>
    </w:p>
    <w:p w:rsidR="002838DC" w:rsidRDefault="002838DC" w:rsidP="00517084">
      <w:pPr>
        <w:spacing w:after="0"/>
        <w:ind w:left="744"/>
        <w:jc w:val="both"/>
        <w:rPr>
          <w:rFonts w:ascii="Arial" w:eastAsia="Times New Roman" w:hAnsi="Arial" w:cs="Arial"/>
          <w:b/>
          <w:sz w:val="20"/>
          <w:lang w:val="en-GB" w:eastAsia="en-US"/>
        </w:rPr>
      </w:pPr>
      <w:r>
        <w:rPr>
          <w:rFonts w:ascii="Arial" w:eastAsia="Times New Roman" w:hAnsi="Arial" w:cs="Arial"/>
          <w:b/>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NHS England name and address if applicable</w:t>
      </w:r>
      <w:r>
        <w:rPr>
          <w:rFonts w:ascii="Arial" w:eastAsia="Times New Roman" w:hAnsi="Arial" w:cs="Arial"/>
          <w:b/>
          <w:sz w:val="20"/>
          <w:lang w:val="en-GB" w:eastAsia="en-US"/>
        </w:rPr>
        <w:t>]</w:t>
      </w:r>
    </w:p>
    <w:p w:rsidR="002838DC" w:rsidRDefault="002838DC" w:rsidP="002838DC">
      <w:pPr>
        <w:spacing w:after="0"/>
        <w:jc w:val="both"/>
        <w:rPr>
          <w:rFonts w:ascii="Arial" w:eastAsia="Times New Roman" w:hAnsi="Arial" w:cs="Arial"/>
          <w:b/>
          <w:sz w:val="20"/>
          <w:lang w:val="en-GB" w:eastAsia="en-US"/>
        </w:rPr>
      </w:pPr>
    </w:p>
    <w:p w:rsidR="002838DC" w:rsidRDefault="002838DC" w:rsidP="002838DC">
      <w:pPr>
        <w:spacing w:after="0"/>
        <w:jc w:val="both"/>
        <w:rPr>
          <w:rFonts w:ascii="Arial" w:eastAsia="Times New Roman" w:hAnsi="Arial" w:cs="Arial"/>
          <w:sz w:val="20"/>
          <w:lang w:val="en-GB" w:eastAsia="en-US"/>
        </w:rPr>
      </w:pPr>
      <w:r>
        <w:rPr>
          <w:rFonts w:ascii="Arial" w:eastAsia="Times New Roman" w:hAnsi="Arial" w:cs="Arial"/>
          <w:sz w:val="20"/>
          <w:lang w:val="en-GB" w:eastAsia="en-US"/>
        </w:rPr>
        <w:tab/>
        <w:t>(</w:t>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w:t>
      </w:r>
      <w:r>
        <w:rPr>
          <w:rFonts w:ascii="Arial" w:eastAsia="Times New Roman" w:hAnsi="Arial" w:cs="Arial"/>
          <w:b/>
          <w:sz w:val="20"/>
          <w:lang w:val="en-GB" w:eastAsia="en-US"/>
        </w:rPr>
        <w:t>Commissioners</w:t>
      </w:r>
      <w:r>
        <w:rPr>
          <w:rFonts w:ascii="Arial" w:eastAsia="Times New Roman" w:hAnsi="Arial" w:cs="Arial"/>
          <w:sz w:val="20"/>
          <w:lang w:val="en-GB" w:eastAsia="en-US"/>
        </w:rPr>
        <w:t>)</w:t>
      </w: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spacing w:after="0"/>
        <w:jc w:val="both"/>
        <w:rPr>
          <w:rFonts w:ascii="Arial" w:eastAsia="Times New Roman" w:hAnsi="Arial" w:cs="Arial"/>
          <w:sz w:val="20"/>
          <w:lang w:val="en-GB" w:eastAsia="en-US"/>
        </w:rPr>
      </w:pPr>
      <w:proofErr w:type="gramStart"/>
      <w:r>
        <w:rPr>
          <w:rFonts w:ascii="Arial" w:eastAsia="Times New Roman" w:hAnsi="Arial" w:cs="Arial"/>
          <w:sz w:val="20"/>
          <w:lang w:val="en-GB" w:eastAsia="en-US"/>
        </w:rPr>
        <w:t>and</w:t>
      </w:r>
      <w:proofErr w:type="gramEnd"/>
    </w:p>
    <w:p w:rsidR="002838DC" w:rsidRDefault="002838DC" w:rsidP="002838DC">
      <w:pPr>
        <w:spacing w:after="0"/>
        <w:jc w:val="both"/>
        <w:rPr>
          <w:rFonts w:ascii="Arial" w:eastAsia="Times New Roman" w:hAnsi="Arial" w:cs="Arial"/>
          <w:sz w:val="20"/>
          <w:lang w:val="en-GB" w:eastAsia="en-US"/>
        </w:rPr>
      </w:pPr>
    </w:p>
    <w:p w:rsidR="002838DC" w:rsidRDefault="002838DC" w:rsidP="003E1FAF">
      <w:pPr>
        <w:numPr>
          <w:ilvl w:val="0"/>
          <w:numId w:val="7"/>
        </w:numPr>
        <w:spacing w:after="0"/>
        <w:ind w:left="744" w:hanging="744"/>
        <w:jc w:val="both"/>
        <w:rPr>
          <w:rFonts w:ascii="Arial" w:eastAsia="Times New Roman" w:hAnsi="Arial" w:cs="Arial"/>
          <w:sz w:val="20"/>
          <w:lang w:val="en-GB" w:eastAsia="en-US"/>
        </w:rPr>
      </w:pPr>
      <w:r w:rsidRPr="00A02D84">
        <w:rPr>
          <w:rFonts w:ascii="Arial" w:eastAsia="Times New Roman" w:hAnsi="Arial" w:cs="Arial"/>
          <w:b/>
          <w:bCs/>
          <w:sz w:val="20"/>
          <w:highlight w:val="yellow"/>
          <w:shd w:val="clear" w:color="auto" w:fill="FFCC00"/>
          <w:lang w:val="en-GB" w:eastAsia="en-US"/>
        </w:rPr>
        <w:t>[            ]</w:t>
      </w:r>
      <w:r>
        <w:rPr>
          <w:rFonts w:ascii="Arial" w:eastAsia="Times New Roman" w:hAnsi="Arial" w:cs="Arial"/>
          <w:b/>
          <w:bCs/>
          <w:sz w:val="20"/>
          <w:lang w:val="en-GB" w:eastAsia="en-US"/>
        </w:rPr>
        <w:t xml:space="preserve"> </w:t>
      </w:r>
      <w:r>
        <w:rPr>
          <w:rFonts w:ascii="Arial" w:eastAsia="Times New Roman" w:hAnsi="Arial" w:cs="Arial"/>
          <w:sz w:val="20"/>
          <w:lang w:val="en-GB" w:eastAsia="en-US"/>
        </w:rPr>
        <w:t xml:space="preserve">whose principal and/or registered office address is at </w:t>
      </w:r>
      <w:r w:rsidRPr="00A02D84">
        <w:rPr>
          <w:rFonts w:ascii="Arial" w:eastAsia="Times New Roman" w:hAnsi="Arial" w:cs="Arial"/>
          <w:sz w:val="20"/>
          <w:highlight w:val="yellow"/>
          <w:shd w:val="clear" w:color="auto" w:fill="FFCC00"/>
          <w:lang w:val="en-GB" w:eastAsia="en-US"/>
        </w:rPr>
        <w:t>[                ]</w:t>
      </w:r>
      <w:r>
        <w:rPr>
          <w:rFonts w:ascii="Arial" w:eastAsia="Times New Roman" w:hAnsi="Arial" w:cs="Arial"/>
          <w:sz w:val="20"/>
          <w:lang w:val="en-GB" w:eastAsia="en-US"/>
        </w:rPr>
        <w:t xml:space="preserve"> (the </w:t>
      </w:r>
      <w:r>
        <w:rPr>
          <w:rFonts w:ascii="Arial" w:eastAsia="Times New Roman" w:hAnsi="Arial" w:cs="Arial"/>
          <w:b/>
          <w:bCs/>
          <w:sz w:val="20"/>
          <w:lang w:val="en-GB" w:eastAsia="en-US"/>
        </w:rPr>
        <w:t>Provider</w:t>
      </w:r>
      <w:r>
        <w:rPr>
          <w:rFonts w:ascii="Arial" w:eastAsia="Times New Roman" w:hAnsi="Arial" w:cs="Arial"/>
          <w:sz w:val="20"/>
          <w:lang w:val="en-GB" w:eastAsia="en-US"/>
        </w:rPr>
        <w:t>).</w:t>
      </w: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spacing w:after="0"/>
        <w:jc w:val="both"/>
        <w:rPr>
          <w:rFonts w:ascii="Arial" w:eastAsia="Times New Roman" w:hAnsi="Arial" w:cs="Arial"/>
          <w:b/>
          <w:bCs/>
          <w:sz w:val="20"/>
          <w:lang w:val="en-GB" w:eastAsia="en-US"/>
        </w:rPr>
      </w:pPr>
      <w:r>
        <w:rPr>
          <w:rFonts w:ascii="Arial" w:eastAsia="Times New Roman" w:hAnsi="Arial" w:cs="Arial"/>
          <w:b/>
          <w:bCs/>
          <w:sz w:val="20"/>
          <w:lang w:val="en-GB" w:eastAsia="en-US"/>
        </w:rPr>
        <w:t>WHEREAS</w:t>
      </w:r>
    </w:p>
    <w:p w:rsidR="002838DC" w:rsidRDefault="002838DC" w:rsidP="002838DC">
      <w:pPr>
        <w:spacing w:after="0"/>
        <w:jc w:val="both"/>
        <w:rPr>
          <w:rFonts w:ascii="Arial" w:eastAsia="Times New Roman" w:hAnsi="Arial" w:cs="Arial"/>
          <w:sz w:val="20"/>
          <w:lang w:val="en-GB" w:eastAsia="en-US"/>
        </w:rPr>
      </w:pPr>
    </w:p>
    <w:p w:rsidR="002838DC" w:rsidRDefault="002838DC" w:rsidP="003E1FAF">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bookmarkStart w:id="0" w:name="_Ref377381236"/>
      <w:bookmarkStart w:id="1" w:name="_Toc51577274"/>
      <w:r>
        <w:rPr>
          <w:rFonts w:ascii="Arial" w:eastAsia="Times New Roman" w:hAnsi="Arial" w:cs="Arial"/>
          <w:sz w:val="20"/>
          <w:lang w:val="en-GB" w:eastAsia="en-US"/>
        </w:rPr>
        <w:t xml:space="preserve">The Commissioners and the Provider entered into a contract dated </w:t>
      </w:r>
      <w:r w:rsidRPr="00A02D84">
        <w:rPr>
          <w:rFonts w:ascii="Arial" w:eastAsia="Times New Roman" w:hAnsi="Arial" w:cs="Arial"/>
          <w:sz w:val="20"/>
          <w:highlight w:val="yellow"/>
          <w:shd w:val="clear" w:color="auto" w:fill="FFCC00"/>
          <w:lang w:val="en-GB" w:eastAsia="en-US"/>
        </w:rPr>
        <w:t>[</w:t>
      </w:r>
      <w:r w:rsidRPr="00A02D84">
        <w:rPr>
          <w:rFonts w:ascii="Arial" w:eastAsia="Times New Roman" w:hAnsi="Arial" w:cs="Arial"/>
          <w:i/>
          <w:iCs/>
          <w:sz w:val="20"/>
          <w:highlight w:val="yellow"/>
          <w:shd w:val="clear" w:color="auto" w:fill="FFCC00"/>
          <w:lang w:val="en-GB" w:eastAsia="en-US"/>
        </w:rPr>
        <w:t xml:space="preserve">insert date of original </w:t>
      </w:r>
      <w:r w:rsidR="003C0927" w:rsidRPr="00A02D84">
        <w:rPr>
          <w:rFonts w:ascii="Arial" w:eastAsia="Times New Roman" w:hAnsi="Arial" w:cs="Arial"/>
          <w:i/>
          <w:iCs/>
          <w:sz w:val="20"/>
          <w:highlight w:val="yellow"/>
          <w:shd w:val="clear" w:color="auto" w:fill="FFCC00"/>
          <w:lang w:val="en-GB" w:eastAsia="en-US"/>
        </w:rPr>
        <w:t xml:space="preserve">2017-19 (January 2018 edition), 2017-19 (November 2016 edition), </w:t>
      </w:r>
      <w:r w:rsidRPr="00A02D84">
        <w:rPr>
          <w:rFonts w:ascii="Arial" w:eastAsia="Times New Roman" w:hAnsi="Arial" w:cs="Arial"/>
          <w:i/>
          <w:iCs/>
          <w:sz w:val="20"/>
          <w:highlight w:val="yellow"/>
          <w:shd w:val="clear" w:color="auto" w:fill="FFCC00"/>
          <w:lang w:val="en-GB" w:eastAsia="en-US"/>
        </w:rPr>
        <w:t>2016/17</w:t>
      </w:r>
      <w:r w:rsidR="003C0927" w:rsidRPr="00A02D84">
        <w:rPr>
          <w:rFonts w:ascii="Arial" w:eastAsia="Times New Roman" w:hAnsi="Arial" w:cs="Arial"/>
          <w:i/>
          <w:iCs/>
          <w:sz w:val="20"/>
          <w:highlight w:val="yellow"/>
          <w:shd w:val="clear" w:color="auto" w:fill="FFCC00"/>
          <w:lang w:val="en-GB" w:eastAsia="en-US"/>
        </w:rPr>
        <w:t xml:space="preserve"> or</w:t>
      </w:r>
      <w:r w:rsidRPr="00A02D84">
        <w:rPr>
          <w:rFonts w:ascii="Arial" w:eastAsia="Times New Roman" w:hAnsi="Arial" w:cs="Arial"/>
          <w:i/>
          <w:iCs/>
          <w:sz w:val="20"/>
          <w:highlight w:val="yellow"/>
          <w:shd w:val="clear" w:color="auto" w:fill="FFCC00"/>
          <w:lang w:val="en-GB" w:eastAsia="en-US"/>
        </w:rPr>
        <w:t xml:space="preserve"> 2015/16 contract</w:t>
      </w:r>
      <w:r w:rsidRPr="00A02D84">
        <w:rPr>
          <w:rFonts w:ascii="Arial" w:eastAsia="Times New Roman" w:hAnsi="Arial" w:cs="Arial"/>
          <w:sz w:val="20"/>
          <w:highlight w:val="yellow"/>
          <w:shd w:val="clear" w:color="auto" w:fill="FFCC00"/>
          <w:lang w:val="en-GB" w:eastAsia="en-US"/>
        </w:rPr>
        <w:t>]</w:t>
      </w:r>
      <w:r>
        <w:rPr>
          <w:rFonts w:ascii="Arial" w:eastAsia="Times New Roman" w:hAnsi="Arial" w:cs="Arial"/>
          <w:sz w:val="20"/>
          <w:lang w:val="en-GB" w:eastAsia="en-US"/>
        </w:rPr>
        <w:t xml:space="preserve"> as varied pursuant to GC13 of that contract (the </w:t>
      </w:r>
      <w:r>
        <w:rPr>
          <w:rFonts w:ascii="Arial" w:eastAsia="Times New Roman" w:hAnsi="Arial" w:cs="Arial"/>
          <w:b/>
          <w:bCs/>
          <w:sz w:val="20"/>
          <w:lang w:val="en-GB" w:eastAsia="en-US"/>
        </w:rPr>
        <w:t>Contract</w:t>
      </w:r>
      <w:r>
        <w:rPr>
          <w:rFonts w:ascii="Arial" w:eastAsia="Times New Roman" w:hAnsi="Arial" w:cs="Arial"/>
          <w:sz w:val="20"/>
          <w:lang w:val="en-GB" w:eastAsia="en-US"/>
        </w:rPr>
        <w:t>).</w:t>
      </w:r>
      <w:bookmarkEnd w:id="0"/>
    </w:p>
    <w:p w:rsidR="002838DC" w:rsidRDefault="002838DC" w:rsidP="003E1FAF">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GC13 of the Contract requires the Parties to vary the Contract to apply National Variations.</w:t>
      </w:r>
    </w:p>
    <w:p w:rsidR="002838DC" w:rsidRDefault="002838DC" w:rsidP="003E1FAF">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 xml:space="preserve">The Parties wish to vary the Contract in accordance with GC13 so as to bring the Contract into alignment with certain provisions of the NHS Standard Contract </w:t>
      </w:r>
      <w:r w:rsidR="003C0927">
        <w:rPr>
          <w:rFonts w:ascii="Arial" w:eastAsia="Times New Roman" w:hAnsi="Arial" w:cs="Arial"/>
          <w:sz w:val="20"/>
          <w:lang w:val="en-GB" w:eastAsia="en-US"/>
        </w:rPr>
        <w:t>2017-19 (</w:t>
      </w:r>
      <w:r w:rsidR="00EF2434">
        <w:rPr>
          <w:rFonts w:ascii="Arial" w:eastAsia="Times New Roman" w:hAnsi="Arial" w:cs="Arial"/>
          <w:sz w:val="20"/>
          <w:lang w:val="en-GB" w:eastAsia="en-US"/>
        </w:rPr>
        <w:t xml:space="preserve">May </w:t>
      </w:r>
      <w:r w:rsidR="003C0927">
        <w:rPr>
          <w:rFonts w:ascii="Arial" w:eastAsia="Times New Roman" w:hAnsi="Arial" w:cs="Arial"/>
          <w:sz w:val="20"/>
          <w:lang w:val="en-GB" w:eastAsia="en-US"/>
        </w:rPr>
        <w:t xml:space="preserve">2018 edition) </w:t>
      </w:r>
      <w:r>
        <w:rPr>
          <w:rFonts w:ascii="Arial" w:eastAsia="Times New Roman" w:hAnsi="Arial" w:cs="Arial"/>
          <w:sz w:val="20"/>
          <w:lang w:val="en-GB" w:eastAsia="en-US"/>
        </w:rPr>
        <w:t>published by NHS England</w:t>
      </w:r>
      <w:r w:rsidR="003C0927">
        <w:rPr>
          <w:rFonts w:ascii="Arial" w:eastAsia="Times New Roman" w:hAnsi="Arial" w:cs="Arial"/>
          <w:sz w:val="20"/>
          <w:lang w:val="en-GB" w:eastAsia="en-US"/>
        </w:rPr>
        <w:t>.</w:t>
      </w:r>
    </w:p>
    <w:p w:rsidR="002838DC" w:rsidRDefault="002838DC" w:rsidP="003E1FAF">
      <w:pPr>
        <w:numPr>
          <w:ilvl w:val="0"/>
          <w:numId w:val="8"/>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In consideration of their mutual obligations under this National Variation Agreement and the payment by each Party to the other of £1 (receipt of which each Party acknowledges), the Parties have therefore agreed to vary the Contract on the terms set out in this National Variation Agreement.</w:t>
      </w:r>
    </w:p>
    <w:p w:rsidR="002838DC" w:rsidRDefault="002838DC" w:rsidP="002838DC">
      <w:pPr>
        <w:spacing w:after="240"/>
        <w:jc w:val="both"/>
        <w:rPr>
          <w:rFonts w:ascii="Arial" w:eastAsia="Times New Roman" w:hAnsi="Arial" w:cs="Arial"/>
          <w:b/>
          <w:bCs/>
          <w:sz w:val="20"/>
          <w:lang w:val="en-GB" w:eastAsia="en-US"/>
        </w:rPr>
      </w:pPr>
      <w:r>
        <w:rPr>
          <w:rFonts w:ascii="Arial" w:eastAsia="Times New Roman" w:hAnsi="Arial" w:cs="Arial"/>
          <w:b/>
          <w:bCs/>
          <w:sz w:val="20"/>
          <w:lang w:val="en-GB" w:eastAsia="en-US"/>
        </w:rPr>
        <w:t>IT IS AGREED:</w:t>
      </w:r>
    </w:p>
    <w:bookmarkEnd w:id="1"/>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Definitions and Interpretation</w:t>
      </w:r>
    </w:p>
    <w:p w:rsidR="002838DC" w:rsidRDefault="002838DC"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this National Variation Agreement unless the context otherwise requires or an expression is defined as a capitalised term in clause </w:t>
      </w:r>
      <w:r>
        <w:rPr>
          <w:rFonts w:ascii="Arial" w:eastAsia="Times New Roman" w:hAnsi="Arial" w:cs="Arial"/>
          <w:sz w:val="20"/>
          <w:lang w:val="en-GB" w:eastAsia="en-US"/>
        </w:rPr>
        <w:fldChar w:fldCharType="begin"/>
      </w:r>
      <w:r>
        <w:rPr>
          <w:rFonts w:ascii="Arial" w:eastAsia="Times New Roman" w:hAnsi="Arial" w:cs="Arial"/>
          <w:sz w:val="20"/>
          <w:lang w:val="en-GB" w:eastAsia="en-US"/>
        </w:rPr>
        <w:instrText xml:space="preserve"> REF _Ref377381121 \r \h  \* MERGEFORMAT </w:instrText>
      </w:r>
      <w:r>
        <w:rPr>
          <w:rFonts w:ascii="Arial" w:eastAsia="Times New Roman" w:hAnsi="Arial" w:cs="Arial"/>
          <w:sz w:val="20"/>
          <w:lang w:val="en-GB" w:eastAsia="en-US"/>
        </w:rPr>
      </w:r>
      <w:r>
        <w:rPr>
          <w:rFonts w:ascii="Arial" w:eastAsia="Times New Roman" w:hAnsi="Arial" w:cs="Arial"/>
          <w:sz w:val="20"/>
          <w:lang w:val="en-GB" w:eastAsia="en-US"/>
        </w:rPr>
        <w:fldChar w:fldCharType="separate"/>
      </w:r>
      <w:r w:rsidR="00517084">
        <w:rPr>
          <w:rFonts w:ascii="Arial" w:eastAsia="Times New Roman" w:hAnsi="Arial" w:cs="Arial"/>
          <w:sz w:val="20"/>
          <w:lang w:val="en-GB" w:eastAsia="en-US"/>
        </w:rPr>
        <w:t>1.2</w:t>
      </w:r>
      <w:r>
        <w:rPr>
          <w:rFonts w:ascii="Arial" w:eastAsia="Times New Roman" w:hAnsi="Arial" w:cs="Arial"/>
          <w:sz w:val="20"/>
          <w:lang w:val="en-GB" w:eastAsia="en-US"/>
        </w:rPr>
        <w:fldChar w:fldCharType="end"/>
      </w:r>
      <w:r>
        <w:rPr>
          <w:rFonts w:ascii="Arial" w:eastAsia="Times New Roman" w:hAnsi="Arial" w:cs="Arial"/>
          <w:sz w:val="20"/>
          <w:lang w:val="en-GB" w:eastAsia="en-US"/>
        </w:rPr>
        <w:t xml:space="preserve"> below, the expression </w:t>
      </w:r>
      <w:r w:rsidR="00E379BB">
        <w:rPr>
          <w:rFonts w:ascii="Arial" w:eastAsia="Times New Roman" w:hAnsi="Arial" w:cs="Arial"/>
          <w:sz w:val="20"/>
          <w:lang w:val="en-GB" w:eastAsia="en-US"/>
        </w:rPr>
        <w:t>has</w:t>
      </w:r>
      <w:r>
        <w:rPr>
          <w:rFonts w:ascii="Arial" w:eastAsia="Times New Roman" w:hAnsi="Arial" w:cs="Arial"/>
          <w:sz w:val="20"/>
          <w:lang w:val="en-GB" w:eastAsia="en-US"/>
        </w:rPr>
        <w:t xml:space="preserve"> the meaning given to it in the Contract.</w:t>
      </w:r>
    </w:p>
    <w:p w:rsidR="002838DC" w:rsidRDefault="002838DC" w:rsidP="003E1FAF">
      <w:pPr>
        <w:numPr>
          <w:ilvl w:val="1"/>
          <w:numId w:val="9"/>
        </w:numPr>
        <w:spacing w:after="240"/>
        <w:jc w:val="both"/>
        <w:outlineLvl w:val="1"/>
        <w:rPr>
          <w:rFonts w:ascii="Arial" w:eastAsia="Times New Roman" w:hAnsi="Arial" w:cs="Arial"/>
          <w:sz w:val="20"/>
          <w:lang w:val="en-GB" w:eastAsia="en-US"/>
        </w:rPr>
      </w:pPr>
      <w:bookmarkStart w:id="2" w:name="_Ref377381121"/>
      <w:r>
        <w:rPr>
          <w:rFonts w:ascii="Arial" w:eastAsia="Times New Roman" w:hAnsi="Arial" w:cs="Arial"/>
          <w:sz w:val="20"/>
          <w:lang w:val="en-GB" w:eastAsia="en-US"/>
        </w:rPr>
        <w:t>In this National Variation Agreement:</w:t>
      </w:r>
      <w:bookmarkEnd w:id="2"/>
    </w:p>
    <w:p w:rsidR="002838DC" w:rsidRDefault="002838DC" w:rsidP="002838DC">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Contract</w:t>
      </w:r>
      <w:r>
        <w:rPr>
          <w:rFonts w:ascii="Arial" w:eastAsia="Times New Roman" w:hAnsi="Arial" w:cs="Arial"/>
          <w:sz w:val="20"/>
          <w:lang w:val="en-GB" w:eastAsia="en-US"/>
        </w:rPr>
        <w:t xml:space="preserve"> has the meaning given to it in Recital </w:t>
      </w:r>
      <w:r>
        <w:rPr>
          <w:rFonts w:ascii="Arial" w:eastAsia="Times New Roman" w:hAnsi="Arial" w:cs="Arial"/>
          <w:sz w:val="20"/>
          <w:lang w:val="en-GB" w:eastAsia="en-US"/>
        </w:rPr>
        <w:fldChar w:fldCharType="begin"/>
      </w:r>
      <w:r>
        <w:rPr>
          <w:rFonts w:ascii="Arial" w:eastAsia="Times New Roman" w:hAnsi="Arial" w:cs="Arial"/>
          <w:sz w:val="20"/>
          <w:lang w:val="en-GB" w:eastAsia="en-US"/>
        </w:rPr>
        <w:instrText xml:space="preserve"> REF _Ref377381236 \r \h  \* MERGEFORMAT </w:instrText>
      </w:r>
      <w:r>
        <w:rPr>
          <w:rFonts w:ascii="Arial" w:eastAsia="Times New Roman" w:hAnsi="Arial" w:cs="Arial"/>
          <w:sz w:val="20"/>
          <w:lang w:val="en-GB" w:eastAsia="en-US"/>
        </w:rPr>
      </w:r>
      <w:r>
        <w:rPr>
          <w:rFonts w:ascii="Arial" w:eastAsia="Times New Roman" w:hAnsi="Arial" w:cs="Arial"/>
          <w:sz w:val="20"/>
          <w:lang w:val="en-GB" w:eastAsia="en-US"/>
        </w:rPr>
        <w:fldChar w:fldCharType="separate"/>
      </w:r>
      <w:r w:rsidR="00172A78">
        <w:rPr>
          <w:rFonts w:ascii="Arial" w:eastAsia="Times New Roman" w:hAnsi="Arial" w:cs="Arial"/>
          <w:sz w:val="20"/>
          <w:lang w:val="en-GB" w:eastAsia="en-US"/>
        </w:rPr>
        <w:t>A</w:t>
      </w:r>
      <w:r>
        <w:rPr>
          <w:rFonts w:ascii="Arial" w:eastAsia="Times New Roman" w:hAnsi="Arial" w:cs="Arial"/>
          <w:sz w:val="20"/>
          <w:lang w:val="en-GB" w:eastAsia="en-US"/>
        </w:rPr>
        <w:fldChar w:fldCharType="end"/>
      </w:r>
      <w:r>
        <w:rPr>
          <w:rFonts w:ascii="Arial" w:eastAsia="Times New Roman" w:hAnsi="Arial" w:cs="Arial"/>
          <w:sz w:val="20"/>
          <w:lang w:val="en-GB" w:eastAsia="en-US"/>
        </w:rPr>
        <w:t xml:space="preserve"> of this National Variation Agreement (and which may be </w:t>
      </w:r>
      <w:r w:rsidR="003C0927">
        <w:rPr>
          <w:rFonts w:ascii="Arial" w:eastAsia="Times New Roman" w:hAnsi="Arial" w:cs="Arial"/>
          <w:sz w:val="20"/>
          <w:lang w:val="en-GB" w:eastAsia="en-US"/>
        </w:rPr>
        <w:t xml:space="preserve">the 2017-19 (January 2018 edition), 2017-19 (November 2016) edition), </w:t>
      </w:r>
      <w:r>
        <w:rPr>
          <w:rFonts w:ascii="Arial" w:eastAsia="Times New Roman" w:hAnsi="Arial" w:cs="Arial"/>
          <w:sz w:val="20"/>
          <w:lang w:val="en-GB" w:eastAsia="en-US"/>
        </w:rPr>
        <w:t>the 2016/17 Contract</w:t>
      </w:r>
      <w:r w:rsidR="003C0927">
        <w:rPr>
          <w:rFonts w:ascii="Arial" w:eastAsia="Times New Roman" w:hAnsi="Arial" w:cs="Arial"/>
          <w:sz w:val="20"/>
          <w:lang w:val="en-GB" w:eastAsia="en-US"/>
        </w:rPr>
        <w:t>or</w:t>
      </w:r>
      <w:r w:rsidR="00C0098A">
        <w:rPr>
          <w:rFonts w:ascii="Arial" w:eastAsia="Times New Roman" w:hAnsi="Arial" w:cs="Arial"/>
          <w:sz w:val="20"/>
          <w:lang w:val="en-GB" w:eastAsia="en-US"/>
        </w:rPr>
        <w:t>, or</w:t>
      </w:r>
      <w:r>
        <w:rPr>
          <w:rFonts w:ascii="Arial" w:eastAsia="Times New Roman" w:hAnsi="Arial" w:cs="Arial"/>
          <w:sz w:val="20"/>
          <w:lang w:val="en-GB" w:eastAsia="en-US"/>
        </w:rPr>
        <w:t xml:space="preserve"> the 2015/16 Contract</w:t>
      </w:r>
      <w:r w:rsidR="003C0927">
        <w:rPr>
          <w:rFonts w:ascii="Arial" w:eastAsia="Times New Roman" w:hAnsi="Arial" w:cs="Arial"/>
          <w:sz w:val="20"/>
          <w:lang w:val="en-GB" w:eastAsia="en-US"/>
        </w:rPr>
        <w:t>);</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 xml:space="preserve">2015/16 Contract </w:t>
      </w:r>
      <w:r>
        <w:rPr>
          <w:rFonts w:ascii="Arial" w:eastAsia="Times New Roman" w:hAnsi="Arial" w:cs="Arial"/>
          <w:sz w:val="20"/>
          <w:lang w:val="en-GB" w:eastAsia="en-US"/>
        </w:rPr>
        <w:t>means the NHS Standard Contract published by NHS England for the year 2015/16</w:t>
      </w:r>
      <w:r w:rsidR="00517084">
        <w:rPr>
          <w:rFonts w:ascii="Arial" w:eastAsia="Times New Roman" w:hAnsi="Arial" w:cs="Arial"/>
          <w:sz w:val="20"/>
          <w:lang w:val="en-GB" w:eastAsia="en-US"/>
        </w:rPr>
        <w:t>, as subsequently varied in accordance with applicable National Variations</w:t>
      </w:r>
      <w:r>
        <w:rPr>
          <w:rFonts w:ascii="Arial" w:eastAsia="Times New Roman" w:hAnsi="Arial" w:cs="Arial"/>
          <w:sz w:val="20"/>
          <w:lang w:val="en-GB" w:eastAsia="en-US"/>
        </w:rPr>
        <w:t>;</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 xml:space="preserve">2016/2017 Contract </w:t>
      </w:r>
      <w:r>
        <w:rPr>
          <w:rFonts w:ascii="Arial" w:eastAsia="Times New Roman" w:hAnsi="Arial" w:cs="Arial"/>
          <w:sz w:val="20"/>
          <w:lang w:val="en-GB" w:eastAsia="en-US"/>
        </w:rPr>
        <w:t>means the NHS Standard Contract published by NHS England for the year 2016/2017</w:t>
      </w:r>
      <w:r w:rsidR="00084326">
        <w:rPr>
          <w:rFonts w:ascii="Arial" w:eastAsia="Times New Roman" w:hAnsi="Arial" w:cs="Arial"/>
          <w:sz w:val="20"/>
          <w:lang w:val="en-GB" w:eastAsia="en-US"/>
        </w:rPr>
        <w:t>, as subsequently varied in accordance with applicable National Variations</w:t>
      </w:r>
      <w:r>
        <w:rPr>
          <w:rFonts w:ascii="Arial" w:eastAsia="Times New Roman" w:hAnsi="Arial" w:cs="Arial"/>
          <w:sz w:val="20"/>
          <w:lang w:val="en-GB" w:eastAsia="en-US"/>
        </w:rPr>
        <w:t>;</w:t>
      </w:r>
    </w:p>
    <w:p w:rsidR="008059B3" w:rsidRDefault="008059B3" w:rsidP="002838DC">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 xml:space="preserve">2017-19 (November 2016 edition) Contract </w:t>
      </w:r>
      <w:r w:rsidRPr="008059B3">
        <w:rPr>
          <w:rFonts w:ascii="Arial" w:eastAsia="Times New Roman" w:hAnsi="Arial" w:cs="Arial"/>
          <w:sz w:val="20"/>
          <w:lang w:val="en-GB" w:eastAsia="en-US"/>
        </w:rPr>
        <w:t>means the</w:t>
      </w:r>
      <w:r>
        <w:rPr>
          <w:rFonts w:ascii="Arial" w:eastAsia="Times New Roman" w:hAnsi="Arial" w:cs="Arial"/>
          <w:b/>
          <w:sz w:val="20"/>
          <w:lang w:val="en-GB" w:eastAsia="en-US"/>
        </w:rPr>
        <w:t xml:space="preserve"> </w:t>
      </w:r>
      <w:r>
        <w:rPr>
          <w:rFonts w:ascii="Arial" w:eastAsia="Times New Roman" w:hAnsi="Arial" w:cs="Arial"/>
          <w:sz w:val="20"/>
          <w:lang w:val="en-GB" w:eastAsia="en-US"/>
        </w:rPr>
        <w:t>NHS Standard Contract published by NHS England</w:t>
      </w:r>
      <w:r w:rsidR="00084326">
        <w:rPr>
          <w:rFonts w:ascii="Arial" w:eastAsia="Times New Roman" w:hAnsi="Arial" w:cs="Arial"/>
          <w:sz w:val="20"/>
          <w:lang w:val="en-GB" w:eastAsia="en-US"/>
        </w:rPr>
        <w:t xml:space="preserve"> in November 2016 for the years 2017-19, as subsequently varied in accordance with applicable National Variations;</w:t>
      </w:r>
    </w:p>
    <w:p w:rsidR="008059B3" w:rsidRDefault="008059B3" w:rsidP="008059B3">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 xml:space="preserve">2017-19 (January 2018 edition) Contract </w:t>
      </w:r>
      <w:r w:rsidRPr="008059B3">
        <w:rPr>
          <w:rFonts w:ascii="Arial" w:eastAsia="Times New Roman" w:hAnsi="Arial" w:cs="Arial"/>
          <w:sz w:val="20"/>
          <w:lang w:val="en-GB" w:eastAsia="en-US"/>
        </w:rPr>
        <w:t>means the</w:t>
      </w:r>
      <w:r>
        <w:rPr>
          <w:rFonts w:ascii="Arial" w:eastAsia="Times New Roman" w:hAnsi="Arial" w:cs="Arial"/>
          <w:sz w:val="20"/>
          <w:lang w:val="en-GB" w:eastAsia="en-US"/>
        </w:rPr>
        <w:t xml:space="preserve"> </w:t>
      </w:r>
      <w:r w:rsidR="00084326">
        <w:rPr>
          <w:rFonts w:ascii="Arial" w:eastAsia="Times New Roman" w:hAnsi="Arial" w:cs="Arial"/>
          <w:sz w:val="20"/>
          <w:lang w:val="en-GB" w:eastAsia="en-US"/>
        </w:rPr>
        <w:t>NHS Standard Contract published by NHS England</w:t>
      </w:r>
      <w:r w:rsidR="00084326" w:rsidRPr="00084326">
        <w:rPr>
          <w:rFonts w:ascii="Arial" w:eastAsia="Times New Roman" w:hAnsi="Arial" w:cs="Arial"/>
          <w:sz w:val="20"/>
          <w:lang w:val="en-GB" w:eastAsia="en-US"/>
        </w:rPr>
        <w:t xml:space="preserve"> </w:t>
      </w:r>
      <w:r w:rsidR="00084326">
        <w:rPr>
          <w:rFonts w:ascii="Arial" w:eastAsia="Times New Roman" w:hAnsi="Arial" w:cs="Arial"/>
          <w:sz w:val="20"/>
          <w:lang w:val="en-GB" w:eastAsia="en-US"/>
        </w:rPr>
        <w:t>in January 2018 for the years 2017-19;</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 xml:space="preserve">GC </w:t>
      </w:r>
      <w:r>
        <w:rPr>
          <w:rFonts w:ascii="Arial" w:eastAsia="Times New Roman" w:hAnsi="Arial" w:cs="Arial"/>
          <w:sz w:val="20"/>
          <w:lang w:val="en-GB" w:eastAsia="en-US"/>
        </w:rPr>
        <w:t>and</w:t>
      </w:r>
      <w:r>
        <w:rPr>
          <w:rFonts w:ascii="Arial" w:eastAsia="Times New Roman" w:hAnsi="Arial" w:cs="Arial"/>
          <w:b/>
          <w:sz w:val="20"/>
          <w:lang w:val="en-GB" w:eastAsia="en-US"/>
        </w:rPr>
        <w:t xml:space="preserve"> SC </w:t>
      </w:r>
      <w:r>
        <w:rPr>
          <w:rFonts w:ascii="Arial" w:eastAsia="Times New Roman" w:hAnsi="Arial" w:cs="Arial"/>
          <w:sz w:val="20"/>
          <w:lang w:val="en-GB" w:eastAsia="en-US"/>
        </w:rPr>
        <w:t xml:space="preserve">mean respectively any General Condition or Service Condition of the </w:t>
      </w:r>
      <w:r w:rsidR="00084326">
        <w:rPr>
          <w:rFonts w:ascii="Arial" w:eastAsia="Times New Roman" w:hAnsi="Arial" w:cs="Arial"/>
          <w:sz w:val="20"/>
          <w:lang w:val="en-GB" w:eastAsia="en-US"/>
        </w:rPr>
        <w:t>2017-19 (January 2018 edition) Contract or of the applicable 2015/16 Contract, 2016/17 Contract, or 2017-19 (November 2016 edition), as the context requires;</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bCs/>
          <w:sz w:val="20"/>
          <w:lang w:val="en-GB" w:eastAsia="en-US"/>
        </w:rPr>
        <w:t>National Variation Agreement</w:t>
      </w:r>
      <w:r>
        <w:rPr>
          <w:rFonts w:ascii="Arial" w:eastAsia="Times New Roman" w:hAnsi="Arial" w:cs="Arial"/>
          <w:sz w:val="20"/>
          <w:lang w:val="en-GB" w:eastAsia="en-US"/>
        </w:rPr>
        <w:t xml:space="preserve"> means this agreement including its recitals and appendices; and</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Variations</w:t>
      </w:r>
      <w:r>
        <w:rPr>
          <w:rFonts w:ascii="Arial" w:eastAsia="Times New Roman" w:hAnsi="Arial" w:cs="Arial"/>
          <w:sz w:val="20"/>
          <w:lang w:val="en-GB" w:eastAsia="en-US"/>
        </w:rPr>
        <w:t xml:space="preserve"> means the variations set out in </w:t>
      </w:r>
      <w:r w:rsidRPr="008E3308">
        <w:rPr>
          <w:rFonts w:ascii="Arial" w:eastAsia="Times New Roman" w:hAnsi="Arial" w:cs="Arial"/>
          <w:sz w:val="20"/>
          <w:lang w:val="en-GB" w:eastAsia="en-US"/>
        </w:rPr>
        <w:t xml:space="preserve">clauses </w:t>
      </w:r>
      <w:r w:rsidRPr="008E3308">
        <w:rPr>
          <w:rFonts w:ascii="Arial" w:eastAsia="Times New Roman" w:hAnsi="Arial" w:cs="Arial"/>
          <w:sz w:val="20"/>
          <w:lang w:val="en-GB" w:eastAsia="en-US"/>
        </w:rPr>
        <w:fldChar w:fldCharType="begin"/>
      </w:r>
      <w:r w:rsidRPr="008E3308">
        <w:rPr>
          <w:rFonts w:ascii="Arial" w:eastAsia="Times New Roman" w:hAnsi="Arial" w:cs="Arial"/>
          <w:sz w:val="20"/>
          <w:lang w:val="en-GB" w:eastAsia="en-US"/>
        </w:rPr>
        <w:instrText xml:space="preserve"> REF _Ref464033147 \r \h </w:instrText>
      </w:r>
      <w:r w:rsidR="00517084" w:rsidRPr="008E3308">
        <w:rPr>
          <w:rFonts w:ascii="Arial" w:eastAsia="Times New Roman" w:hAnsi="Arial" w:cs="Arial"/>
          <w:sz w:val="20"/>
          <w:lang w:val="en-GB" w:eastAsia="en-US"/>
        </w:rPr>
        <w:instrText xml:space="preserve"> \* MERGEFORMAT </w:instrText>
      </w:r>
      <w:r w:rsidRPr="008E3308">
        <w:rPr>
          <w:rFonts w:ascii="Arial" w:eastAsia="Times New Roman" w:hAnsi="Arial" w:cs="Arial"/>
          <w:sz w:val="20"/>
          <w:lang w:val="en-GB" w:eastAsia="en-US"/>
        </w:rPr>
      </w:r>
      <w:r w:rsidRPr="008E3308">
        <w:rPr>
          <w:rFonts w:ascii="Arial" w:eastAsia="Times New Roman" w:hAnsi="Arial" w:cs="Arial"/>
          <w:sz w:val="20"/>
          <w:lang w:val="en-GB" w:eastAsia="en-US"/>
        </w:rPr>
        <w:fldChar w:fldCharType="separate"/>
      </w:r>
      <w:r w:rsidR="00172A78" w:rsidRPr="008E3308">
        <w:rPr>
          <w:rFonts w:ascii="Arial" w:eastAsia="Times New Roman" w:hAnsi="Arial" w:cs="Arial"/>
          <w:sz w:val="20"/>
          <w:lang w:val="en-GB" w:eastAsia="en-US"/>
        </w:rPr>
        <w:t>3</w:t>
      </w:r>
      <w:r w:rsidRPr="008E3308">
        <w:rPr>
          <w:rFonts w:ascii="Arial" w:eastAsia="Times New Roman" w:hAnsi="Arial" w:cs="Arial"/>
          <w:sz w:val="20"/>
          <w:lang w:val="en-GB" w:eastAsia="en-US"/>
        </w:rPr>
        <w:fldChar w:fldCharType="end"/>
      </w:r>
      <w:r w:rsidRPr="008E3308">
        <w:rPr>
          <w:rFonts w:ascii="Arial" w:eastAsia="Times New Roman" w:hAnsi="Arial" w:cs="Arial"/>
          <w:sz w:val="20"/>
          <w:lang w:val="en-GB" w:eastAsia="en-US"/>
        </w:rPr>
        <w:t xml:space="preserve"> to </w:t>
      </w:r>
      <w:r w:rsidR="008E3308" w:rsidRPr="008E3308">
        <w:rPr>
          <w:rFonts w:ascii="Arial" w:eastAsia="Times New Roman" w:hAnsi="Arial" w:cs="Arial"/>
          <w:sz w:val="20"/>
          <w:lang w:val="en-GB" w:eastAsia="en-US"/>
        </w:rPr>
        <w:t>16</w:t>
      </w:r>
      <w:r w:rsidRPr="008E3308">
        <w:rPr>
          <w:rFonts w:ascii="Arial" w:eastAsia="Times New Roman" w:hAnsi="Arial" w:cs="Arial"/>
          <w:sz w:val="20"/>
          <w:lang w:val="en-GB" w:eastAsia="en-US"/>
        </w:rPr>
        <w:t xml:space="preserve"> (</w:t>
      </w:r>
      <w:r w:rsidRPr="00517084">
        <w:rPr>
          <w:rFonts w:ascii="Arial" w:eastAsia="Times New Roman" w:hAnsi="Arial" w:cs="Arial"/>
          <w:sz w:val="20"/>
          <w:lang w:val="en-GB" w:eastAsia="en-US"/>
        </w:rPr>
        <w:t>inclusive)</w:t>
      </w:r>
      <w:r>
        <w:rPr>
          <w:rFonts w:ascii="Arial" w:eastAsia="Times New Roman" w:hAnsi="Arial" w:cs="Arial"/>
          <w:sz w:val="20"/>
          <w:lang w:val="en-GB" w:eastAsia="en-US"/>
        </w:rPr>
        <w:t xml:space="preserve"> of this National Variation Agreement.</w:t>
      </w:r>
    </w:p>
    <w:p w:rsidR="002838DC" w:rsidRDefault="002838DC"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Except where otherwise expressly identified, all references in this National Variation Agreement to numbered SCs, GCs or Schedules relate to the SCs, GCs and Schedules of the Contract.</w:t>
      </w:r>
    </w:p>
    <w:p w:rsidR="002838DC" w:rsidRDefault="002838DC"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Where the application of any content in the </w:t>
      </w:r>
      <w:r w:rsidR="00084326" w:rsidRPr="00084326">
        <w:rPr>
          <w:rFonts w:ascii="Arial" w:eastAsia="Times New Roman" w:hAnsi="Arial" w:cs="Arial"/>
          <w:sz w:val="20"/>
          <w:lang w:val="en-GB" w:eastAsia="en-US"/>
        </w:rPr>
        <w:t>2017-19 (January 2018 edition)</w:t>
      </w:r>
      <w:r w:rsidR="00084326">
        <w:rPr>
          <w:rFonts w:ascii="Arial" w:eastAsia="Times New Roman" w:hAnsi="Arial" w:cs="Arial"/>
          <w:b/>
          <w:sz w:val="20"/>
          <w:lang w:val="en-GB" w:eastAsia="en-US"/>
        </w:rPr>
        <w:t xml:space="preserve"> </w:t>
      </w:r>
      <w:r>
        <w:rPr>
          <w:rFonts w:ascii="Arial" w:eastAsia="Times New Roman" w:hAnsi="Arial" w:cs="Arial"/>
          <w:sz w:val="20"/>
          <w:lang w:val="en-GB" w:eastAsia="en-US"/>
        </w:rPr>
        <w:t xml:space="preserve">Contract is limited in the </w:t>
      </w:r>
      <w:r w:rsidR="00084326" w:rsidRPr="00084326">
        <w:rPr>
          <w:rFonts w:ascii="Arial" w:eastAsia="Times New Roman" w:hAnsi="Arial" w:cs="Arial"/>
          <w:sz w:val="20"/>
          <w:lang w:val="en-GB" w:eastAsia="en-US"/>
        </w:rPr>
        <w:t xml:space="preserve">2017-19 (January 2018 edition) </w:t>
      </w:r>
      <w:r w:rsidRPr="00084326">
        <w:rPr>
          <w:rFonts w:ascii="Arial" w:eastAsia="Times New Roman" w:hAnsi="Arial" w:cs="Arial"/>
          <w:sz w:val="20"/>
          <w:lang w:val="en-GB" w:eastAsia="en-US"/>
        </w:rPr>
        <w:t>Contract</w:t>
      </w:r>
      <w:r>
        <w:rPr>
          <w:rFonts w:ascii="Arial" w:eastAsia="Times New Roman" w:hAnsi="Arial" w:cs="Arial"/>
          <w:sz w:val="20"/>
          <w:lang w:val="en-GB" w:eastAsia="en-US"/>
        </w:rPr>
        <w:t xml:space="preserve"> to certain Service or Provider categories only, the same limitations will apply where that content is added to the Contract by this National Variation Agreement.</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Effective Date of VAriations</w:t>
      </w:r>
    </w:p>
    <w:p w:rsidR="007C6C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The Variations apply with effect </w:t>
      </w:r>
      <w:r w:rsidR="0088657B">
        <w:rPr>
          <w:rFonts w:ascii="Arial" w:eastAsia="Times New Roman" w:hAnsi="Arial" w:cs="Arial"/>
          <w:sz w:val="20"/>
          <w:lang w:val="en-GB" w:eastAsia="en-US"/>
        </w:rPr>
        <w:t>from the dates specified below</w:t>
      </w:r>
      <w:r w:rsidR="00C0098A">
        <w:rPr>
          <w:rFonts w:ascii="Arial" w:eastAsia="Times New Roman" w:hAnsi="Arial" w:cs="Arial"/>
          <w:sz w:val="20"/>
          <w:lang w:val="en-GB" w:eastAsia="en-US"/>
        </w:rPr>
        <w:t>.</w:t>
      </w:r>
    </w:p>
    <w:p w:rsidR="007C6CDC" w:rsidRDefault="007C6CDC">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rsidR="002838DC" w:rsidRPr="007C6CDC" w:rsidRDefault="007C6CDC" w:rsidP="007C6CDC">
      <w:pPr>
        <w:keepNext/>
        <w:spacing w:after="240"/>
        <w:ind w:left="709"/>
        <w:jc w:val="both"/>
        <w:outlineLvl w:val="1"/>
        <w:rPr>
          <w:rFonts w:ascii="Arial Bold" w:eastAsia="Times New Roman" w:hAnsi="Arial Bold" w:cs="Arial"/>
          <w:b/>
          <w:caps/>
          <w:szCs w:val="24"/>
          <w:lang w:val="en-GB" w:eastAsia="en-US"/>
        </w:rPr>
      </w:pPr>
      <w:r w:rsidRPr="007C6CDC">
        <w:rPr>
          <w:rFonts w:ascii="Arial Bold" w:eastAsia="Times New Roman" w:hAnsi="Arial Bold" w:cs="Arial"/>
          <w:b/>
          <w:caps/>
          <w:szCs w:val="24"/>
          <w:lang w:val="en-GB" w:eastAsia="en-US"/>
        </w:rPr>
        <w:t>Particulars</w:t>
      </w:r>
    </w:p>
    <w:p w:rsidR="00A90CC0" w:rsidRDefault="00A90CC0"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bookmarkStart w:id="3" w:name="_Ref464033147"/>
      <w:r>
        <w:rPr>
          <w:rFonts w:ascii="Arial Bold" w:eastAsia="Times New Roman" w:hAnsi="Arial Bold" w:cs="Arial"/>
          <w:b/>
          <w:caps/>
          <w:sz w:val="20"/>
          <w:lang w:val="en-GB" w:eastAsia="en-US"/>
        </w:rPr>
        <w:t>ParticuLARS</w:t>
      </w:r>
      <w:r w:rsidR="005F5A49">
        <w:rPr>
          <w:rFonts w:ascii="Arial Bold" w:eastAsia="Times New Roman" w:hAnsi="Arial Bold" w:cs="Arial"/>
          <w:b/>
          <w:caps/>
          <w:sz w:val="20"/>
          <w:lang w:val="en-GB" w:eastAsia="en-US"/>
        </w:rPr>
        <w:t xml:space="preserve"> Service Requirements</w:t>
      </w:r>
    </w:p>
    <w:p w:rsidR="00A90CC0" w:rsidRPr="00A90CC0" w:rsidRDefault="00C40A1E" w:rsidP="00BC0E0C">
      <w:pPr>
        <w:numPr>
          <w:ilvl w:val="1"/>
          <w:numId w:val="5"/>
        </w:numPr>
        <w:spacing w:after="240"/>
        <w:jc w:val="both"/>
        <w:outlineLvl w:val="1"/>
        <w:rPr>
          <w:rFonts w:ascii="Arial" w:eastAsia="Times New Roman" w:hAnsi="Arial" w:cs="Arial"/>
          <w:sz w:val="20"/>
          <w:lang w:val="en-GB" w:eastAsia="en-US"/>
        </w:rPr>
      </w:pPr>
      <w:r>
        <w:rPr>
          <w:rFonts w:ascii="Arial" w:hAnsi="Arial" w:cs="Arial"/>
          <w:sz w:val="20"/>
        </w:rPr>
        <w:t xml:space="preserve">With effect </w:t>
      </w:r>
      <w:r w:rsidRPr="00BC0E0C">
        <w:rPr>
          <w:rFonts w:ascii="Arial" w:eastAsia="Times New Roman" w:hAnsi="Arial" w:cs="Arial"/>
          <w:sz w:val="20"/>
          <w:lang w:val="en-GB" w:eastAsia="en-US"/>
        </w:rPr>
        <w:t>from</w:t>
      </w:r>
      <w:r>
        <w:rPr>
          <w:rFonts w:ascii="Arial" w:hAnsi="Arial" w:cs="Arial"/>
          <w:sz w:val="20"/>
        </w:rPr>
        <w:t xml:space="preserve"> 25 May 2018, u</w:t>
      </w:r>
      <w:r w:rsidR="00A90CC0" w:rsidRPr="00A90CC0">
        <w:rPr>
          <w:rFonts w:ascii="Arial" w:hAnsi="Arial" w:cs="Arial"/>
          <w:sz w:val="20"/>
        </w:rPr>
        <w:t>nderneath ‘Prior Approval Response Time Standard’</w:t>
      </w:r>
      <w:r w:rsidR="005F5A49">
        <w:rPr>
          <w:rFonts w:ascii="Arial" w:hAnsi="Arial" w:cs="Arial"/>
          <w:sz w:val="20"/>
        </w:rPr>
        <w:t>,</w:t>
      </w:r>
      <w:r w:rsidR="00A90CC0" w:rsidRPr="00A90CC0">
        <w:rPr>
          <w:rFonts w:ascii="Arial" w:hAnsi="Arial" w:cs="Arial"/>
          <w:sz w:val="20"/>
        </w:rPr>
        <w:t xml:space="preserve"> insert the following:</w:t>
      </w:r>
    </w:p>
    <w:tbl>
      <w:tblPr>
        <w:tblStyle w:val="TableGrid4"/>
        <w:tblW w:w="0" w:type="auto"/>
        <w:tblInd w:w="108" w:type="dxa"/>
        <w:tblLook w:val="04A0" w:firstRow="1" w:lastRow="0" w:firstColumn="1" w:lastColumn="0" w:noHBand="0" w:noVBand="1"/>
        <w:tblCaption w:val="Is the Provider acting as a Data Processor in order to deliver the Services?"/>
        <w:tblDescription w:val="Is the Provider acting as a Data Processor in order to deliver the Services?"/>
      </w:tblPr>
      <w:tblGrid>
        <w:gridCol w:w="4315"/>
        <w:gridCol w:w="4099"/>
      </w:tblGrid>
      <w:tr w:rsidR="00A90CC0" w:rsidRPr="00A90CC0" w:rsidTr="00A90CC0">
        <w:tc>
          <w:tcPr>
            <w:tcW w:w="4318" w:type="dxa"/>
          </w:tcPr>
          <w:p w:rsidR="00A90CC0" w:rsidRPr="00A90CC0" w:rsidRDefault="00A90CC0" w:rsidP="00A90CC0">
            <w:pPr>
              <w:rPr>
                <w:rFonts w:ascii="Arial" w:hAnsi="Arial" w:cs="Arial"/>
                <w:b/>
                <w:sz w:val="20"/>
                <w:lang w:eastAsia="en-GB"/>
              </w:rPr>
            </w:pPr>
            <w:r w:rsidRPr="00A90CC0">
              <w:rPr>
                <w:rFonts w:ascii="Arial" w:hAnsi="Arial" w:cs="Arial"/>
                <w:b/>
                <w:sz w:val="20"/>
                <w:lang w:eastAsia="en-GB"/>
              </w:rPr>
              <w:t>Is the Provider acting as a Data Processor in order to deliver the Services?</w:t>
            </w:r>
          </w:p>
          <w:p w:rsidR="00A90CC0" w:rsidRPr="00A90CC0" w:rsidRDefault="00A90CC0" w:rsidP="00A90CC0">
            <w:pPr>
              <w:spacing w:after="0"/>
              <w:rPr>
                <w:rFonts w:ascii="Arial" w:hAnsi="Arial" w:cs="Arial"/>
                <w:b/>
                <w:sz w:val="20"/>
                <w:lang w:eastAsia="en-GB"/>
              </w:rPr>
            </w:pPr>
          </w:p>
        </w:tc>
        <w:tc>
          <w:tcPr>
            <w:tcW w:w="4102" w:type="dxa"/>
          </w:tcPr>
          <w:p w:rsidR="00A90CC0" w:rsidRPr="00A90CC0" w:rsidRDefault="00A90CC0" w:rsidP="00A90CC0">
            <w:pPr>
              <w:spacing w:line="276" w:lineRule="auto"/>
              <w:contextualSpacing/>
              <w:jc w:val="both"/>
              <w:rPr>
                <w:rFonts w:ascii="Arial" w:hAnsi="Arial" w:cs="Arial"/>
                <w:b/>
                <w:sz w:val="20"/>
                <w:lang w:eastAsia="en-GB"/>
              </w:rPr>
            </w:pPr>
            <w:r w:rsidRPr="00A668E2">
              <w:rPr>
                <w:rFonts w:ascii="Arial" w:hAnsi="Arial" w:cs="Arial"/>
                <w:b/>
                <w:sz w:val="20"/>
                <w:highlight w:val="yellow"/>
                <w:lang w:eastAsia="en-GB"/>
              </w:rPr>
              <w:t>YES/NO</w:t>
            </w:r>
          </w:p>
        </w:tc>
      </w:tr>
    </w:tbl>
    <w:p w:rsidR="00A90CC0" w:rsidRDefault="00A90CC0" w:rsidP="007072B0">
      <w:pPr>
        <w:spacing w:after="0"/>
        <w:ind w:left="720"/>
        <w:jc w:val="both"/>
        <w:outlineLvl w:val="1"/>
        <w:rPr>
          <w:rFonts w:ascii="Arial" w:eastAsia="Times New Roman" w:hAnsi="Arial" w:cs="Arial"/>
          <w:sz w:val="20"/>
          <w:lang w:val="en-GB" w:eastAsia="en-US"/>
        </w:rPr>
      </w:pPr>
    </w:p>
    <w:p w:rsidR="007072B0" w:rsidRDefault="007072B0" w:rsidP="007072B0">
      <w:pPr>
        <w:spacing w:after="0"/>
        <w:ind w:left="720"/>
        <w:jc w:val="both"/>
        <w:outlineLvl w:val="1"/>
        <w:rPr>
          <w:rFonts w:ascii="Arial" w:eastAsia="Times New Roman" w:hAnsi="Arial" w:cs="Arial"/>
          <w:sz w:val="20"/>
          <w:lang w:val="en-GB" w:eastAsia="en-US"/>
        </w:rPr>
      </w:pPr>
    </w:p>
    <w:p w:rsidR="005F5A49" w:rsidRDefault="005F5A49"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ParticuLARS GOVERNANCE AND REGULATORY</w:t>
      </w:r>
    </w:p>
    <w:p w:rsidR="00A90CC0" w:rsidRDefault="00C40A1E" w:rsidP="00BC0E0C">
      <w:pPr>
        <w:numPr>
          <w:ilvl w:val="1"/>
          <w:numId w:val="5"/>
        </w:numPr>
        <w:spacing w:after="240"/>
        <w:jc w:val="both"/>
        <w:outlineLvl w:val="1"/>
        <w:rPr>
          <w:rFonts w:ascii="Arial" w:hAnsi="Arial" w:cs="Arial"/>
          <w:sz w:val="20"/>
        </w:rPr>
      </w:pPr>
      <w:r>
        <w:rPr>
          <w:rFonts w:ascii="Arial" w:hAnsi="Arial" w:cs="Arial"/>
          <w:sz w:val="20"/>
        </w:rPr>
        <w:t xml:space="preserve">With effect from 25 </w:t>
      </w:r>
      <w:r w:rsidRPr="00BC0E0C">
        <w:rPr>
          <w:rFonts w:ascii="Arial" w:eastAsia="Times New Roman" w:hAnsi="Arial" w:cs="Arial"/>
          <w:sz w:val="20"/>
          <w:lang w:val="en-GB" w:eastAsia="en-US"/>
        </w:rPr>
        <w:t>May</w:t>
      </w:r>
      <w:r>
        <w:rPr>
          <w:rFonts w:ascii="Arial" w:hAnsi="Arial" w:cs="Arial"/>
          <w:sz w:val="20"/>
        </w:rPr>
        <w:t xml:space="preserve"> 2018, u</w:t>
      </w:r>
      <w:r w:rsidR="005F5A49" w:rsidRPr="005F5A49">
        <w:rPr>
          <w:rFonts w:ascii="Arial" w:hAnsi="Arial" w:cs="Arial"/>
          <w:sz w:val="20"/>
        </w:rPr>
        <w:t>nderneath ‘Provider’s Information Governance Lead’, insert the following:</w:t>
      </w:r>
    </w:p>
    <w:tbl>
      <w:tblPr>
        <w:tblStyle w:val="TableGrid5"/>
        <w:tblW w:w="0" w:type="auto"/>
        <w:tblInd w:w="108" w:type="dxa"/>
        <w:tblLook w:val="04A0" w:firstRow="1" w:lastRow="0" w:firstColumn="1" w:lastColumn="0" w:noHBand="0" w:noVBand="1"/>
        <w:tblCaption w:val="Provider’s Data Protection Officer (if required by Data Protection Legislation)"/>
        <w:tblDescription w:val="Provider’s Data Protection Officer (if required by Data Protection Legislation)"/>
      </w:tblPr>
      <w:tblGrid>
        <w:gridCol w:w="4315"/>
        <w:gridCol w:w="4099"/>
      </w:tblGrid>
      <w:tr w:rsidR="005F5A49" w:rsidRPr="005F5A49" w:rsidTr="007072B0">
        <w:tc>
          <w:tcPr>
            <w:tcW w:w="4315" w:type="dxa"/>
          </w:tcPr>
          <w:p w:rsidR="005F5A49" w:rsidRPr="005F5A49" w:rsidRDefault="005F5A49" w:rsidP="00695026">
            <w:pPr>
              <w:spacing w:after="0" w:line="276" w:lineRule="auto"/>
              <w:contextualSpacing/>
              <w:jc w:val="both"/>
              <w:rPr>
                <w:rFonts w:ascii="Arial" w:hAnsi="Arial" w:cs="Arial"/>
                <w:b/>
                <w:sz w:val="20"/>
                <w:lang w:eastAsia="en-GB"/>
              </w:rPr>
            </w:pPr>
            <w:r w:rsidRPr="00695026">
              <w:rPr>
                <w:rFonts w:ascii="Arial" w:hAnsi="Arial" w:cs="Arial"/>
                <w:b/>
                <w:color w:val="000000"/>
                <w:sz w:val="20"/>
                <w:lang w:eastAsia="en-GB"/>
              </w:rPr>
              <w:t>Provider’s Data Protection Officer</w:t>
            </w:r>
            <w:r w:rsidR="00695026" w:rsidRPr="00695026">
              <w:rPr>
                <w:rFonts w:ascii="Arial" w:hAnsi="Arial" w:cs="Arial"/>
                <w:b/>
                <w:color w:val="000000" w:themeColor="text1"/>
                <w:sz w:val="20"/>
              </w:rPr>
              <w:t xml:space="preserve"> (if required by Data Protection Legislation)</w:t>
            </w:r>
          </w:p>
        </w:tc>
        <w:tc>
          <w:tcPr>
            <w:tcW w:w="4099" w:type="dxa"/>
          </w:tcPr>
          <w:p w:rsidR="005F5A49" w:rsidRPr="00386E3D" w:rsidRDefault="005F5A49" w:rsidP="005F5A49">
            <w:pPr>
              <w:spacing w:after="0" w:line="276" w:lineRule="auto"/>
              <w:contextualSpacing/>
              <w:jc w:val="both"/>
              <w:rPr>
                <w:rFonts w:ascii="Arial" w:hAnsi="Arial" w:cs="Arial"/>
                <w:b/>
                <w:color w:val="000000"/>
                <w:sz w:val="20"/>
                <w:highlight w:val="yellow"/>
                <w:lang w:eastAsia="en-GB"/>
              </w:rPr>
            </w:pPr>
            <w:r w:rsidRPr="00386E3D">
              <w:rPr>
                <w:rFonts w:ascii="Arial" w:hAnsi="Arial" w:cs="Arial"/>
                <w:b/>
                <w:color w:val="000000"/>
                <w:sz w:val="20"/>
                <w:highlight w:val="yellow"/>
                <w:lang w:eastAsia="en-GB"/>
              </w:rPr>
              <w:t>[                ]</w:t>
            </w:r>
          </w:p>
          <w:p w:rsidR="005F5A49" w:rsidRPr="00386E3D" w:rsidRDefault="005F5A49" w:rsidP="005F5A49">
            <w:pPr>
              <w:spacing w:after="0" w:line="276" w:lineRule="auto"/>
              <w:contextualSpacing/>
              <w:jc w:val="both"/>
              <w:rPr>
                <w:rFonts w:ascii="Arial" w:hAnsi="Arial" w:cs="Arial"/>
                <w:b/>
                <w:color w:val="000000"/>
                <w:sz w:val="20"/>
                <w:highlight w:val="yellow"/>
                <w:lang w:eastAsia="en-GB"/>
              </w:rPr>
            </w:pPr>
            <w:r w:rsidRPr="00386E3D">
              <w:rPr>
                <w:rFonts w:ascii="Arial" w:hAnsi="Arial" w:cs="Arial"/>
                <w:b/>
                <w:color w:val="000000"/>
                <w:sz w:val="20"/>
                <w:highlight w:val="yellow"/>
                <w:lang w:eastAsia="en-GB"/>
              </w:rPr>
              <w:t>Email:  [                    ]</w:t>
            </w:r>
          </w:p>
          <w:p w:rsidR="005F5A49" w:rsidRPr="005F5A49" w:rsidRDefault="005F5A49" w:rsidP="005F5A49">
            <w:pPr>
              <w:spacing w:after="0" w:line="276" w:lineRule="auto"/>
              <w:contextualSpacing/>
              <w:jc w:val="both"/>
              <w:rPr>
                <w:rFonts w:ascii="Arial" w:hAnsi="Arial" w:cs="Arial"/>
                <w:b/>
                <w:sz w:val="20"/>
                <w:lang w:eastAsia="en-GB"/>
              </w:rPr>
            </w:pPr>
            <w:r w:rsidRPr="00386E3D">
              <w:rPr>
                <w:rFonts w:ascii="Arial" w:hAnsi="Arial" w:cs="Arial"/>
                <w:b/>
                <w:color w:val="000000"/>
                <w:sz w:val="20"/>
                <w:highlight w:val="yellow"/>
                <w:lang w:eastAsia="en-GB"/>
              </w:rPr>
              <w:t>Tel:      [                     ]</w:t>
            </w:r>
          </w:p>
        </w:tc>
      </w:tr>
    </w:tbl>
    <w:p w:rsidR="007072B0" w:rsidRDefault="007072B0" w:rsidP="007072B0">
      <w:pPr>
        <w:spacing w:after="0"/>
        <w:ind w:left="720"/>
        <w:jc w:val="both"/>
        <w:outlineLvl w:val="1"/>
        <w:rPr>
          <w:rFonts w:ascii="Arial" w:eastAsia="Times New Roman" w:hAnsi="Arial" w:cs="Arial"/>
          <w:sz w:val="20"/>
          <w:lang w:val="en-GB" w:eastAsia="en-US"/>
        </w:rPr>
      </w:pPr>
    </w:p>
    <w:p w:rsidR="007072B0" w:rsidRDefault="007072B0" w:rsidP="007072B0">
      <w:pPr>
        <w:spacing w:after="0"/>
        <w:ind w:left="720"/>
        <w:jc w:val="both"/>
        <w:outlineLvl w:val="1"/>
        <w:rPr>
          <w:rFonts w:ascii="Arial" w:eastAsia="Times New Roman" w:hAnsi="Arial" w:cs="Arial"/>
          <w:sz w:val="20"/>
          <w:lang w:val="en-GB" w:eastAsia="en-US"/>
        </w:rPr>
      </w:pPr>
    </w:p>
    <w:p w:rsidR="005F5A49" w:rsidRDefault="005F5A49"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particulars schedule 4a operational standards</w:t>
      </w:r>
      <w:r w:rsidR="00D20549">
        <w:rPr>
          <w:rFonts w:ascii="Arial Bold" w:eastAsia="Times New Roman" w:hAnsi="Arial Bold" w:cs="Arial"/>
          <w:b/>
          <w:caps/>
          <w:sz w:val="20"/>
          <w:lang w:val="en-GB" w:eastAsia="en-US"/>
        </w:rPr>
        <w:t xml:space="preserve"> AND SCHEDULE 4B NATIONAL QUALITY REQUIREMENTS</w:t>
      </w:r>
    </w:p>
    <w:p w:rsidR="005F5A49" w:rsidRPr="005F5A49" w:rsidRDefault="00C40A1E" w:rsidP="00BC0E0C">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1 April 201</w:t>
      </w:r>
      <w:r w:rsidR="00B84A11">
        <w:rPr>
          <w:rFonts w:ascii="Arial" w:eastAsia="Times New Roman" w:hAnsi="Arial" w:cs="Arial"/>
          <w:sz w:val="20"/>
          <w:lang w:val="en-GB" w:eastAsia="en-US"/>
        </w:rPr>
        <w:t>8</w:t>
      </w:r>
      <w:r>
        <w:rPr>
          <w:rFonts w:ascii="Arial" w:eastAsia="Times New Roman" w:hAnsi="Arial" w:cs="Arial"/>
          <w:sz w:val="20"/>
          <w:lang w:val="en-GB" w:eastAsia="en-US"/>
        </w:rPr>
        <w:t>, d</w:t>
      </w:r>
      <w:r w:rsidR="005F5A49" w:rsidRPr="005F5A49">
        <w:rPr>
          <w:rFonts w:ascii="Arial" w:eastAsia="Times New Roman" w:hAnsi="Arial" w:cs="Arial"/>
          <w:sz w:val="20"/>
          <w:lang w:val="en-GB" w:eastAsia="en-US"/>
        </w:rPr>
        <w:t>elete the contents of the following Parts of Schedule 4:</w:t>
      </w:r>
    </w:p>
    <w:p w:rsidR="005F5A49" w:rsidRPr="005F5A49" w:rsidRDefault="005F5A49" w:rsidP="00EC593A">
      <w:pPr>
        <w:spacing w:after="240"/>
        <w:ind w:firstLine="720"/>
        <w:jc w:val="both"/>
        <w:outlineLvl w:val="1"/>
        <w:rPr>
          <w:rFonts w:ascii="Arial" w:eastAsia="Times New Roman" w:hAnsi="Arial" w:cs="Arial"/>
          <w:sz w:val="20"/>
          <w:lang w:val="en-GB" w:eastAsia="en-US"/>
        </w:rPr>
      </w:pPr>
      <w:r w:rsidRPr="005F5A49">
        <w:rPr>
          <w:rFonts w:ascii="Arial" w:eastAsia="Times New Roman" w:hAnsi="Arial" w:cs="Arial"/>
          <w:sz w:val="20"/>
          <w:lang w:val="en-GB" w:eastAsia="en-US"/>
        </w:rPr>
        <w:t>Part A: Operational Standards; and</w:t>
      </w:r>
    </w:p>
    <w:p w:rsidR="005F5A49" w:rsidRPr="005F5A49" w:rsidRDefault="005F5A49" w:rsidP="00EC593A">
      <w:pPr>
        <w:spacing w:after="240"/>
        <w:ind w:firstLine="720"/>
        <w:jc w:val="both"/>
        <w:outlineLvl w:val="1"/>
        <w:rPr>
          <w:rFonts w:ascii="Arial" w:eastAsia="Times New Roman" w:hAnsi="Arial" w:cs="Arial"/>
          <w:sz w:val="20"/>
          <w:lang w:val="en-GB" w:eastAsia="en-US"/>
        </w:rPr>
      </w:pPr>
      <w:r w:rsidRPr="005F5A49">
        <w:rPr>
          <w:rFonts w:ascii="Arial" w:eastAsia="Times New Roman" w:hAnsi="Arial" w:cs="Arial"/>
          <w:sz w:val="20"/>
          <w:lang w:val="en-GB" w:eastAsia="en-US"/>
        </w:rPr>
        <w:t>Part B: National Quality Requirements</w:t>
      </w:r>
    </w:p>
    <w:p w:rsidR="005F5A49" w:rsidRDefault="005F5A49" w:rsidP="00BC0E0C">
      <w:pPr>
        <w:numPr>
          <w:ilvl w:val="12"/>
          <w:numId w:val="0"/>
        </w:numPr>
        <w:spacing w:after="0"/>
        <w:ind w:left="720"/>
        <w:jc w:val="both"/>
        <w:outlineLvl w:val="1"/>
        <w:rPr>
          <w:rFonts w:ascii="Arial" w:eastAsia="Times New Roman" w:hAnsi="Arial" w:cs="Arial"/>
          <w:sz w:val="20"/>
          <w:lang w:val="en-GB" w:eastAsia="en-US"/>
        </w:rPr>
      </w:pPr>
      <w:proofErr w:type="gramStart"/>
      <w:r w:rsidRPr="005F5A49">
        <w:rPr>
          <w:rFonts w:ascii="Arial" w:eastAsia="Times New Roman" w:hAnsi="Arial" w:cs="Arial"/>
          <w:sz w:val="20"/>
          <w:lang w:val="en-GB" w:eastAsia="en-US"/>
        </w:rPr>
        <w:t>and</w:t>
      </w:r>
      <w:proofErr w:type="gramEnd"/>
      <w:r w:rsidRPr="005F5A49">
        <w:rPr>
          <w:rFonts w:ascii="Arial" w:eastAsia="Times New Roman" w:hAnsi="Arial" w:cs="Arial"/>
          <w:sz w:val="20"/>
          <w:lang w:val="en-GB" w:eastAsia="en-US"/>
        </w:rPr>
        <w:t xml:space="preserve"> replace with the equivalent Parts A and B set out in</w:t>
      </w:r>
      <w:r>
        <w:rPr>
          <w:rFonts w:ascii="Arial" w:eastAsia="Times New Roman" w:hAnsi="Arial" w:cs="Arial"/>
          <w:sz w:val="20"/>
          <w:lang w:val="en-GB" w:eastAsia="en-US"/>
        </w:rPr>
        <w:t xml:space="preserve"> Appendix </w:t>
      </w:r>
      <w:r w:rsidR="00D10302">
        <w:rPr>
          <w:rFonts w:ascii="Arial" w:eastAsia="Times New Roman" w:hAnsi="Arial" w:cs="Arial"/>
          <w:sz w:val="20"/>
          <w:lang w:val="en-GB" w:eastAsia="en-US"/>
        </w:rPr>
        <w:t>2</w:t>
      </w:r>
      <w:r w:rsidRPr="005F5A49">
        <w:rPr>
          <w:rFonts w:ascii="Arial" w:eastAsia="Times New Roman" w:hAnsi="Arial" w:cs="Arial"/>
          <w:sz w:val="20"/>
          <w:lang w:val="en-GB" w:eastAsia="en-US"/>
        </w:rPr>
        <w:t xml:space="preserve"> completed with local content where applicable. Any references to </w:t>
      </w:r>
      <w:r w:rsidR="00EC593A">
        <w:rPr>
          <w:rFonts w:ascii="Arial" w:eastAsia="Times New Roman" w:hAnsi="Arial" w:cs="Arial"/>
          <w:sz w:val="20"/>
          <w:lang w:val="en-GB" w:eastAsia="en-US"/>
        </w:rPr>
        <w:t>“Application” (</w:t>
      </w:r>
      <w:r w:rsidRPr="005F5A49">
        <w:rPr>
          <w:rFonts w:ascii="Arial" w:eastAsia="Times New Roman" w:hAnsi="Arial" w:cs="Arial"/>
          <w:sz w:val="20"/>
          <w:lang w:val="en-GB" w:eastAsia="en-US"/>
        </w:rPr>
        <w:t xml:space="preserve">“Applicable Service Category” </w:t>
      </w:r>
      <w:r w:rsidR="00EC593A">
        <w:rPr>
          <w:rFonts w:ascii="Arial" w:eastAsia="Times New Roman" w:hAnsi="Arial" w:cs="Arial"/>
          <w:sz w:val="20"/>
          <w:lang w:val="en-GB" w:eastAsia="en-US"/>
        </w:rPr>
        <w:t xml:space="preserve">in the 2015/16 Contract) </w:t>
      </w:r>
      <w:r w:rsidR="00942D76">
        <w:rPr>
          <w:rFonts w:ascii="Arial" w:eastAsia="Times New Roman" w:hAnsi="Arial" w:cs="Arial"/>
          <w:sz w:val="20"/>
          <w:lang w:val="en-GB" w:eastAsia="en-US"/>
        </w:rPr>
        <w:t xml:space="preserve">are </w:t>
      </w:r>
      <w:r w:rsidRPr="005F5A49">
        <w:rPr>
          <w:rFonts w:ascii="Arial" w:eastAsia="Times New Roman" w:hAnsi="Arial" w:cs="Arial"/>
          <w:sz w:val="20"/>
          <w:lang w:val="en-GB" w:eastAsia="en-US"/>
        </w:rPr>
        <w:t xml:space="preserve">to be interpreted as in the </w:t>
      </w:r>
      <w:r w:rsidR="00D10302">
        <w:rPr>
          <w:rFonts w:ascii="Arial" w:eastAsia="Times New Roman" w:hAnsi="Arial" w:cs="Arial"/>
          <w:sz w:val="20"/>
          <w:lang w:val="en-GB" w:eastAsia="en-US"/>
        </w:rPr>
        <w:t>2017-19 (January 2018)</w:t>
      </w:r>
      <w:r w:rsidRPr="005F5A49">
        <w:rPr>
          <w:rFonts w:ascii="Arial" w:eastAsia="Times New Roman" w:hAnsi="Arial" w:cs="Arial"/>
          <w:sz w:val="20"/>
          <w:lang w:val="en-GB" w:eastAsia="en-US"/>
        </w:rPr>
        <w:t xml:space="preserve"> Contract.</w:t>
      </w:r>
    </w:p>
    <w:p w:rsidR="007072B0" w:rsidRDefault="007072B0" w:rsidP="007072B0">
      <w:pPr>
        <w:spacing w:after="0"/>
        <w:ind w:left="720"/>
        <w:jc w:val="both"/>
        <w:outlineLvl w:val="1"/>
        <w:rPr>
          <w:rFonts w:ascii="Arial" w:eastAsia="Times New Roman" w:hAnsi="Arial" w:cs="Arial"/>
          <w:sz w:val="20"/>
          <w:lang w:val="en-GB" w:eastAsia="en-US"/>
        </w:rPr>
      </w:pPr>
    </w:p>
    <w:p w:rsidR="007072B0" w:rsidRDefault="007072B0" w:rsidP="007072B0">
      <w:pPr>
        <w:spacing w:after="0"/>
        <w:ind w:left="720"/>
        <w:jc w:val="both"/>
        <w:outlineLvl w:val="1"/>
        <w:rPr>
          <w:rFonts w:ascii="Arial" w:eastAsia="Times New Roman" w:hAnsi="Arial" w:cs="Arial"/>
          <w:sz w:val="20"/>
          <w:lang w:val="en-GB" w:eastAsia="en-US"/>
        </w:rPr>
      </w:pPr>
    </w:p>
    <w:p w:rsidR="00D42307" w:rsidRDefault="00D42307" w:rsidP="00D42307">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particulars schedule 6A reporting requirements National requirements reported centrally</w:t>
      </w:r>
    </w:p>
    <w:p w:rsidR="00D42307" w:rsidRDefault="00D42307" w:rsidP="00D42307">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1 April 2018, delete the description of lines 1 and 2 and replace with:</w:t>
      </w:r>
    </w:p>
    <w:tbl>
      <w:tblPr>
        <w:tblStyle w:val="TableGrid"/>
        <w:tblW w:w="0" w:type="auto"/>
        <w:tblInd w:w="709" w:type="dxa"/>
        <w:tblLook w:val="04A0" w:firstRow="1" w:lastRow="0" w:firstColumn="1" w:lastColumn="0" w:noHBand="0" w:noVBand="1"/>
        <w:tblCaption w:val="6A"/>
        <w:tblDescription w:val="6A"/>
      </w:tblPr>
      <w:tblGrid>
        <w:gridCol w:w="7813"/>
      </w:tblGrid>
      <w:tr w:rsidR="00D42307" w:rsidTr="00D42307">
        <w:tc>
          <w:tcPr>
            <w:tcW w:w="7813" w:type="dxa"/>
            <w:tcBorders>
              <w:top w:val="single" w:sz="4" w:space="0" w:color="auto"/>
              <w:left w:val="single" w:sz="4" w:space="0" w:color="auto"/>
              <w:bottom w:val="single" w:sz="4" w:space="0" w:color="auto"/>
              <w:right w:val="single" w:sz="4" w:space="0" w:color="auto"/>
            </w:tcBorders>
            <w:hideMark/>
          </w:tcPr>
          <w:p w:rsidR="00D42307" w:rsidRPr="00D42307" w:rsidRDefault="00D42307" w:rsidP="0013270B">
            <w:pPr>
              <w:pStyle w:val="ListParagraph"/>
              <w:widowControl w:val="0"/>
              <w:numPr>
                <w:ilvl w:val="0"/>
                <w:numId w:val="35"/>
              </w:numPr>
              <w:spacing w:after="0"/>
              <w:ind w:left="709" w:hanging="709"/>
              <w:rPr>
                <w:rFonts w:ascii="Arial" w:hAnsi="Arial" w:cs="Arial"/>
                <w:sz w:val="20"/>
              </w:rPr>
            </w:pPr>
            <w:r w:rsidRPr="00D42307">
              <w:rPr>
                <w:rFonts w:ascii="Arial" w:hAnsi="Arial" w:cs="Arial"/>
                <w:bCs/>
                <w:sz w:val="20"/>
              </w:rPr>
              <w:t>As specified in the list of omnibus, secure electronic file transfer data collections and BAAS schedule of approved collections</w:t>
            </w:r>
            <w:r w:rsidRPr="00D42307">
              <w:rPr>
                <w:rFonts w:ascii="Arial" w:hAnsi="Arial" w:cs="Arial"/>
                <w:sz w:val="20"/>
              </w:rPr>
              <w:t xml:space="preserve"> published on the NHS Digital website to be found at</w:t>
            </w:r>
          </w:p>
          <w:p w:rsidR="00D42307" w:rsidRPr="00D42307" w:rsidRDefault="0069669B" w:rsidP="0013270B">
            <w:pPr>
              <w:spacing w:after="0"/>
              <w:ind w:left="709"/>
              <w:jc w:val="both"/>
              <w:outlineLvl w:val="1"/>
              <w:rPr>
                <w:rStyle w:val="Hyperlink"/>
                <w:rFonts w:ascii="Arial" w:hAnsi="Arial" w:cs="Arial"/>
              </w:rPr>
            </w:pPr>
            <w:hyperlink r:id="rId12" w:history="1">
              <w:r w:rsidR="00D42307" w:rsidRPr="00D42307">
                <w:rPr>
                  <w:rStyle w:val="Hyperlink"/>
                  <w:rFonts w:ascii="Arial" w:hAnsi="Arial" w:cs="Arial"/>
                  <w:sz w:val="20"/>
                  <w:lang w:eastAsia="en-GB"/>
                </w:rPr>
                <w:t>https://digital.nhs.uk/services/the-challenging-burden-service/central-register-of-collections</w:t>
              </w:r>
            </w:hyperlink>
          </w:p>
          <w:p w:rsidR="00D42307" w:rsidRPr="00D42307" w:rsidRDefault="00D42307" w:rsidP="0013270B">
            <w:pPr>
              <w:numPr>
                <w:ilvl w:val="12"/>
                <w:numId w:val="0"/>
              </w:numPr>
              <w:spacing w:after="240"/>
              <w:ind w:firstLine="709"/>
              <w:jc w:val="both"/>
              <w:outlineLvl w:val="1"/>
              <w:rPr>
                <w:rFonts w:ascii="Arial" w:eastAsia="Times New Roman" w:hAnsi="Arial" w:cs="Arial"/>
                <w:lang w:val="en-GB" w:eastAsia="en-US"/>
              </w:rPr>
            </w:pPr>
            <w:r w:rsidRPr="00D42307">
              <w:rPr>
                <w:rFonts w:ascii="Arial" w:eastAsia="Times New Roman" w:hAnsi="Arial" w:cs="Arial"/>
                <w:sz w:val="20"/>
                <w:lang w:eastAsia="en-GB"/>
              </w:rPr>
              <w:t>where mandated for and as applicable to the Provider and the Services</w:t>
            </w:r>
          </w:p>
        </w:tc>
      </w:tr>
      <w:tr w:rsidR="00D42307" w:rsidTr="00D42307">
        <w:tc>
          <w:tcPr>
            <w:tcW w:w="7813" w:type="dxa"/>
            <w:tcBorders>
              <w:top w:val="single" w:sz="4" w:space="0" w:color="auto"/>
              <w:left w:val="single" w:sz="4" w:space="0" w:color="auto"/>
              <w:bottom w:val="single" w:sz="4" w:space="0" w:color="auto"/>
              <w:right w:val="single" w:sz="4" w:space="0" w:color="auto"/>
            </w:tcBorders>
            <w:hideMark/>
          </w:tcPr>
          <w:p w:rsidR="00D42307" w:rsidRPr="00D42307" w:rsidRDefault="00D42307" w:rsidP="0013270B">
            <w:pPr>
              <w:pStyle w:val="ListParagraph"/>
              <w:widowControl w:val="0"/>
              <w:numPr>
                <w:ilvl w:val="0"/>
                <w:numId w:val="35"/>
              </w:numPr>
              <w:spacing w:after="0"/>
              <w:ind w:left="709" w:hanging="709"/>
              <w:rPr>
                <w:rFonts w:ascii="Arial" w:hAnsi="Arial" w:cs="Arial"/>
                <w:sz w:val="20"/>
              </w:rPr>
            </w:pPr>
            <w:r w:rsidRPr="00D42307">
              <w:rPr>
                <w:rFonts w:ascii="Arial" w:hAnsi="Arial" w:cs="Arial"/>
                <w:sz w:val="20"/>
              </w:rPr>
              <w:t>Patient Reported Outcome Measures (PROMS)</w:t>
            </w:r>
          </w:p>
          <w:p w:rsidR="00D42307" w:rsidRPr="00D42307" w:rsidRDefault="00D42307" w:rsidP="0013270B">
            <w:pPr>
              <w:spacing w:after="240"/>
              <w:ind w:left="709"/>
              <w:jc w:val="both"/>
              <w:outlineLvl w:val="1"/>
              <w:rPr>
                <w:rFonts w:ascii="Arial" w:eastAsia="Times New Roman" w:hAnsi="Arial" w:cs="Arial"/>
                <w:sz w:val="20"/>
                <w:lang w:val="en-GB" w:eastAsia="en-US"/>
              </w:rPr>
            </w:pPr>
            <w:r w:rsidRPr="00D42307">
              <w:rPr>
                <w:rStyle w:val="Hyperlink"/>
                <w:rFonts w:ascii="Arial" w:hAnsi="Arial" w:cs="Arial"/>
                <w:sz w:val="20"/>
              </w:rPr>
              <w:t>https://digital.nhs.</w:t>
            </w:r>
            <w:r w:rsidRPr="00D42307">
              <w:rPr>
                <w:rStyle w:val="Hyperlink"/>
                <w:rFonts w:ascii="Arial" w:hAnsi="Arial" w:cs="Arial"/>
                <w:sz w:val="20"/>
                <w:lang w:eastAsia="en-GB"/>
              </w:rPr>
              <w:t>uk</w:t>
            </w:r>
            <w:r w:rsidRPr="00D42307">
              <w:rPr>
                <w:rStyle w:val="Hyperlink"/>
                <w:rFonts w:ascii="Arial" w:hAnsi="Arial" w:cs="Arial"/>
                <w:sz w:val="20"/>
              </w:rPr>
              <w:t>/data-and-information/data-tools-and-services/data-services/patient-reported-outcome-measures-proms</w:t>
            </w:r>
          </w:p>
        </w:tc>
      </w:tr>
    </w:tbl>
    <w:p w:rsidR="007072B0" w:rsidRDefault="007072B0" w:rsidP="007072B0">
      <w:pPr>
        <w:spacing w:after="0"/>
        <w:ind w:left="720"/>
        <w:jc w:val="both"/>
        <w:outlineLvl w:val="1"/>
        <w:rPr>
          <w:rFonts w:ascii="Arial" w:eastAsia="Times New Roman" w:hAnsi="Arial" w:cs="Arial"/>
          <w:sz w:val="20"/>
          <w:lang w:val="en-GB" w:eastAsia="en-US"/>
        </w:rPr>
      </w:pPr>
    </w:p>
    <w:p w:rsidR="007072B0" w:rsidRDefault="007072B0" w:rsidP="007072B0">
      <w:pPr>
        <w:spacing w:after="0"/>
        <w:ind w:left="720"/>
        <w:jc w:val="both"/>
        <w:outlineLvl w:val="1"/>
        <w:rPr>
          <w:rFonts w:ascii="Arial" w:eastAsia="Times New Roman" w:hAnsi="Arial" w:cs="Arial"/>
          <w:sz w:val="20"/>
          <w:lang w:val="en-GB" w:eastAsia="en-US"/>
        </w:rPr>
      </w:pPr>
    </w:p>
    <w:bookmarkEnd w:id="3"/>
    <w:p w:rsidR="00FB3A21" w:rsidRDefault="00FB3A21"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particulars schedule 6f</w:t>
      </w:r>
    </w:p>
    <w:p w:rsidR="00695026" w:rsidRDefault="00FE65EC" w:rsidP="00BC0E0C">
      <w:pPr>
        <w:numPr>
          <w:ilvl w:val="1"/>
          <w:numId w:val="5"/>
        </w:numPr>
        <w:spacing w:after="240"/>
        <w:jc w:val="both"/>
        <w:outlineLvl w:val="1"/>
        <w:rPr>
          <w:rFonts w:ascii="Arial" w:eastAsia="Times New Roman" w:hAnsi="Arial" w:cs="Arial"/>
          <w:sz w:val="20"/>
          <w:lang w:val="en-GB" w:eastAsia="en-US"/>
        </w:rPr>
      </w:pPr>
      <w:r w:rsidRPr="008121FC">
        <w:rPr>
          <w:rFonts w:ascii="Arial" w:hAnsi="Arial" w:cs="Arial"/>
          <w:b/>
          <w:sz w:val="20"/>
        </w:rPr>
        <w:t>Where the Provider is acting as a Data Processor in order to deliver the Services</w:t>
      </w:r>
      <w:r>
        <w:rPr>
          <w:rFonts w:ascii="Arial" w:hAnsi="Arial" w:cs="Arial"/>
          <w:sz w:val="20"/>
        </w:rPr>
        <w:t>, w</w:t>
      </w:r>
      <w:r w:rsidR="00C40A1E">
        <w:rPr>
          <w:rFonts w:ascii="Arial" w:hAnsi="Arial" w:cs="Arial"/>
          <w:sz w:val="20"/>
        </w:rPr>
        <w:t xml:space="preserve">ith </w:t>
      </w:r>
      <w:r w:rsidR="00C40A1E" w:rsidRPr="00C40A1E">
        <w:rPr>
          <w:rFonts w:ascii="Arial" w:eastAsia="Times New Roman" w:hAnsi="Arial" w:cs="Arial"/>
          <w:sz w:val="20"/>
          <w:lang w:val="en-GB" w:eastAsia="en-US"/>
        </w:rPr>
        <w:t>effect</w:t>
      </w:r>
      <w:r w:rsidR="00C40A1E">
        <w:rPr>
          <w:rFonts w:ascii="Arial" w:hAnsi="Arial" w:cs="Arial"/>
          <w:sz w:val="20"/>
        </w:rPr>
        <w:t xml:space="preserve"> from 25 May 2018, </w:t>
      </w:r>
      <w:r w:rsidR="0009630C">
        <w:rPr>
          <w:rFonts w:ascii="Arial" w:eastAsia="Times New Roman" w:hAnsi="Arial" w:cs="Arial"/>
          <w:sz w:val="20"/>
          <w:lang w:val="en-GB" w:eastAsia="en-US"/>
        </w:rPr>
        <w:t xml:space="preserve">the provisions </w:t>
      </w:r>
      <w:r w:rsidR="007C6CDC" w:rsidRPr="00494432">
        <w:rPr>
          <w:rFonts w:ascii="Arial" w:eastAsia="Times New Roman" w:hAnsi="Arial" w:cs="Arial"/>
          <w:sz w:val="20"/>
          <w:lang w:val="en-GB" w:eastAsia="en-US"/>
        </w:rPr>
        <w:t>set out in Appendix 3</w:t>
      </w:r>
      <w:r w:rsidR="00494432" w:rsidRPr="00494432">
        <w:rPr>
          <w:rFonts w:ascii="Arial" w:eastAsia="Times New Roman" w:hAnsi="Arial" w:cs="Arial"/>
          <w:sz w:val="20"/>
          <w:lang w:val="en-GB" w:eastAsia="en-US"/>
        </w:rPr>
        <w:t xml:space="preserve"> </w:t>
      </w:r>
      <w:r w:rsidR="0009630C">
        <w:rPr>
          <w:rFonts w:ascii="Arial" w:eastAsia="Times New Roman" w:hAnsi="Arial" w:cs="Arial"/>
          <w:sz w:val="20"/>
          <w:lang w:val="en-GB" w:eastAsia="en-US"/>
        </w:rPr>
        <w:t xml:space="preserve">are added </w:t>
      </w:r>
      <w:r w:rsidR="0009630C" w:rsidRPr="00494432">
        <w:rPr>
          <w:rFonts w:ascii="Arial" w:eastAsia="Times New Roman" w:hAnsi="Arial" w:cs="Arial"/>
          <w:sz w:val="20"/>
          <w:lang w:val="en-GB" w:eastAsia="en-US"/>
        </w:rPr>
        <w:t>a</w:t>
      </w:r>
      <w:r w:rsidR="0009630C">
        <w:rPr>
          <w:rFonts w:ascii="Arial" w:eastAsia="Times New Roman" w:hAnsi="Arial" w:cs="Arial"/>
          <w:sz w:val="20"/>
          <w:lang w:val="en-GB" w:eastAsia="en-US"/>
        </w:rPr>
        <w:t>s a</w:t>
      </w:r>
      <w:r w:rsidR="0009630C" w:rsidRPr="00494432">
        <w:rPr>
          <w:rFonts w:ascii="Arial" w:eastAsia="Times New Roman" w:hAnsi="Arial" w:cs="Arial"/>
          <w:sz w:val="20"/>
          <w:lang w:val="en-GB" w:eastAsia="en-US"/>
        </w:rPr>
        <w:t xml:space="preserve"> new Schedule 6F (2015/16 Contract: </w:t>
      </w:r>
      <w:r w:rsidR="0009630C">
        <w:rPr>
          <w:rFonts w:ascii="Arial" w:eastAsia="Times New Roman" w:hAnsi="Arial" w:cs="Arial"/>
          <w:sz w:val="20"/>
          <w:lang w:val="en-GB" w:eastAsia="en-US"/>
        </w:rPr>
        <w:t>Schedule 6G, with cross-references to be read accordingly</w:t>
      </w:r>
      <w:r w:rsidR="00661BC5">
        <w:rPr>
          <w:rFonts w:ascii="Arial" w:eastAsia="Times New Roman" w:hAnsi="Arial" w:cs="Arial"/>
          <w:sz w:val="20"/>
          <w:lang w:val="en-GB" w:eastAsia="en-US"/>
        </w:rPr>
        <w:t>)</w:t>
      </w:r>
      <w:r w:rsidR="00976355">
        <w:rPr>
          <w:rFonts w:ascii="Arial" w:eastAsia="Times New Roman" w:hAnsi="Arial" w:cs="Arial"/>
          <w:sz w:val="20"/>
          <w:lang w:val="en-GB" w:eastAsia="en-US"/>
        </w:rPr>
        <w:t>.</w:t>
      </w:r>
    </w:p>
    <w:p w:rsidR="00BC0E0C" w:rsidRDefault="00BC0E0C">
      <w:pPr>
        <w:spacing w:after="0"/>
        <w:rPr>
          <w:rFonts w:ascii="Arial Bold" w:eastAsia="Times New Roman" w:hAnsi="Arial Bold" w:cs="Arial"/>
          <w:b/>
          <w:caps/>
          <w:szCs w:val="24"/>
          <w:lang w:val="en-GB" w:eastAsia="en-US"/>
        </w:rPr>
      </w:pPr>
      <w:r>
        <w:rPr>
          <w:rFonts w:ascii="Arial Bold" w:eastAsia="Times New Roman" w:hAnsi="Arial Bold" w:cs="Arial"/>
          <w:b/>
          <w:caps/>
          <w:szCs w:val="24"/>
          <w:lang w:val="en-GB" w:eastAsia="en-US"/>
        </w:rPr>
        <w:br w:type="page"/>
      </w:r>
    </w:p>
    <w:p w:rsidR="007C6CDC" w:rsidRPr="007C6CDC" w:rsidRDefault="007C6CDC" w:rsidP="007C6CDC">
      <w:pPr>
        <w:pStyle w:val="ListParagraph"/>
        <w:keepNext/>
        <w:spacing w:after="240"/>
        <w:ind w:left="375"/>
        <w:jc w:val="both"/>
        <w:outlineLvl w:val="1"/>
        <w:rPr>
          <w:rFonts w:ascii="Arial Bold" w:eastAsia="Times New Roman" w:hAnsi="Arial Bold" w:cs="Arial"/>
          <w:b/>
          <w:caps/>
          <w:szCs w:val="24"/>
          <w:lang w:val="en-GB" w:eastAsia="en-US"/>
        </w:rPr>
      </w:pPr>
      <w:r>
        <w:rPr>
          <w:rFonts w:ascii="Arial Bold" w:eastAsia="Times New Roman" w:hAnsi="Arial Bold" w:cs="Arial"/>
          <w:b/>
          <w:caps/>
          <w:szCs w:val="24"/>
          <w:lang w:val="en-GB" w:eastAsia="en-US"/>
        </w:rPr>
        <w:t>service conditions</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SC23 (SErvice User Health Records)</w:t>
      </w:r>
    </w:p>
    <w:p w:rsidR="002838DC" w:rsidRDefault="00C40A1E"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25 May 2018, d</w:t>
      </w:r>
      <w:r w:rsidR="002838DC">
        <w:rPr>
          <w:rFonts w:ascii="Arial" w:eastAsia="Times New Roman" w:hAnsi="Arial" w:cs="Arial"/>
          <w:sz w:val="20"/>
          <w:lang w:val="en-GB" w:eastAsia="en-US"/>
        </w:rPr>
        <w:t>elete the text of SC23.1 and replace with:</w:t>
      </w:r>
    </w:p>
    <w:tbl>
      <w:tblPr>
        <w:tblStyle w:val="TableGrid"/>
        <w:tblW w:w="0" w:type="auto"/>
        <w:tblInd w:w="-34" w:type="dxa"/>
        <w:tblLook w:val="04A0" w:firstRow="1" w:lastRow="0" w:firstColumn="1" w:lastColumn="0" w:noHBand="0" w:noVBand="1"/>
        <w:tblCaption w:val="SC23.1"/>
        <w:tblDescription w:val="SC23.1"/>
      </w:tblPr>
      <w:tblGrid>
        <w:gridCol w:w="7088"/>
        <w:gridCol w:w="1468"/>
      </w:tblGrid>
      <w:tr w:rsidR="003202CE" w:rsidTr="00616289">
        <w:tc>
          <w:tcPr>
            <w:tcW w:w="7088" w:type="dxa"/>
          </w:tcPr>
          <w:p w:rsidR="00C40A1E" w:rsidRDefault="00C40A1E" w:rsidP="00C40A1E">
            <w:pPr>
              <w:spacing w:after="0"/>
              <w:ind w:left="709"/>
              <w:contextualSpacing/>
              <w:jc w:val="both"/>
              <w:rPr>
                <w:rFonts w:ascii="Arial" w:eastAsia="Times New Roman" w:hAnsi="Arial" w:cs="Arial"/>
                <w:sz w:val="20"/>
                <w:lang w:val="en-GB" w:eastAsia="en-US"/>
              </w:rPr>
            </w:pPr>
          </w:p>
          <w:p w:rsidR="003202CE" w:rsidRPr="00B84A11" w:rsidRDefault="003202CE" w:rsidP="003E1FAF">
            <w:pPr>
              <w:numPr>
                <w:ilvl w:val="1"/>
                <w:numId w:val="15"/>
              </w:numPr>
              <w:spacing w:after="0"/>
              <w:ind w:left="709" w:hanging="709"/>
              <w:contextualSpacing/>
              <w:jc w:val="both"/>
              <w:rPr>
                <w:rFonts w:ascii="Arial" w:eastAsia="Times New Roman" w:hAnsi="Arial" w:cs="Arial"/>
                <w:sz w:val="20"/>
                <w:lang w:val="en-GB" w:eastAsia="en-US"/>
              </w:rPr>
            </w:pPr>
            <w:r w:rsidRPr="003202CE">
              <w:rPr>
                <w:rFonts w:ascii="Arial" w:eastAsia="Times New Roman" w:hAnsi="Arial" w:cs="Arial"/>
                <w:sz w:val="20"/>
                <w:lang w:val="en-GB" w:eastAsia="en-US"/>
              </w:rPr>
              <w:t>The Provider must create and maintain Service User Health Records as appropriate for all Service Users. The Provider must securely store, retain and destroy those records</w:t>
            </w:r>
            <w:r w:rsidR="00E904CD">
              <w:rPr>
                <w:rFonts w:ascii="Arial" w:eastAsia="Times New Roman" w:hAnsi="Arial" w:cs="Arial"/>
                <w:sz w:val="20"/>
                <w:lang w:val="en-GB" w:eastAsia="en-US"/>
              </w:rPr>
              <w:t xml:space="preserve"> </w:t>
            </w:r>
            <w:r w:rsidRPr="003202CE">
              <w:rPr>
                <w:rFonts w:ascii="Arial" w:eastAsia="Times New Roman" w:hAnsi="Arial" w:cs="Arial"/>
                <w:sz w:val="20"/>
                <w:szCs w:val="22"/>
                <w:lang w:val="en-GB" w:eastAsia="en-US"/>
              </w:rPr>
              <w:t>in accordance with Data Guidance, Information Governance Alliance Guidance and in any event in accordance with Data Protection Legislation.</w:t>
            </w:r>
          </w:p>
          <w:p w:rsidR="00B84A11" w:rsidRDefault="00B84A11" w:rsidP="00B84A11">
            <w:pPr>
              <w:spacing w:after="0"/>
              <w:ind w:left="709"/>
              <w:contextualSpacing/>
              <w:jc w:val="both"/>
              <w:rPr>
                <w:rFonts w:ascii="Arial" w:eastAsia="Times New Roman" w:hAnsi="Arial" w:cs="Arial"/>
                <w:sz w:val="20"/>
                <w:lang w:val="en-GB" w:eastAsia="en-US"/>
              </w:rPr>
            </w:pPr>
          </w:p>
        </w:tc>
        <w:tc>
          <w:tcPr>
            <w:tcW w:w="1468" w:type="dxa"/>
          </w:tcPr>
          <w:p w:rsidR="00B84A11" w:rsidRDefault="00B84A11" w:rsidP="00B84A11">
            <w:pPr>
              <w:spacing w:after="0"/>
              <w:jc w:val="center"/>
              <w:outlineLvl w:val="1"/>
              <w:rPr>
                <w:rFonts w:ascii="Arial" w:eastAsia="Times New Roman" w:hAnsi="Arial" w:cs="Arial"/>
                <w:b/>
                <w:sz w:val="20"/>
                <w:lang w:val="en-GB" w:eastAsia="en-US"/>
              </w:rPr>
            </w:pPr>
          </w:p>
          <w:p w:rsidR="003202CE" w:rsidRPr="003202CE" w:rsidRDefault="003202CE" w:rsidP="003202CE">
            <w:pPr>
              <w:spacing w:after="240"/>
              <w:jc w:val="center"/>
              <w:outlineLvl w:val="1"/>
              <w:rPr>
                <w:rFonts w:ascii="Arial" w:eastAsia="Times New Roman" w:hAnsi="Arial" w:cs="Arial"/>
                <w:b/>
                <w:sz w:val="20"/>
                <w:lang w:val="en-GB" w:eastAsia="en-US"/>
              </w:rPr>
            </w:pPr>
            <w:r w:rsidRPr="003202CE">
              <w:rPr>
                <w:rFonts w:ascii="Arial" w:eastAsia="Times New Roman" w:hAnsi="Arial" w:cs="Arial"/>
                <w:b/>
                <w:sz w:val="20"/>
                <w:lang w:val="en-GB" w:eastAsia="en-US"/>
              </w:rPr>
              <w:t>All</w:t>
            </w:r>
          </w:p>
        </w:tc>
      </w:tr>
    </w:tbl>
    <w:p w:rsidR="002838DC" w:rsidRDefault="002838DC" w:rsidP="007072B0">
      <w:pPr>
        <w:spacing w:after="0"/>
        <w:ind w:left="1701" w:hanging="992"/>
        <w:contextualSpacing/>
        <w:jc w:val="both"/>
        <w:rPr>
          <w:rFonts w:ascii="Arial" w:eastAsia="Times New Roman" w:hAnsi="Arial" w:cs="Arial"/>
          <w:sz w:val="20"/>
          <w:lang w:val="en-GB" w:eastAsia="en-US"/>
        </w:rPr>
      </w:pPr>
    </w:p>
    <w:p w:rsidR="007072B0" w:rsidRDefault="007072B0" w:rsidP="007072B0">
      <w:pPr>
        <w:spacing w:after="0"/>
        <w:ind w:left="1701" w:hanging="992"/>
        <w:contextualSpacing/>
        <w:jc w:val="both"/>
        <w:rPr>
          <w:rFonts w:ascii="Arial" w:eastAsia="Times New Roman" w:hAnsi="Arial" w:cs="Arial"/>
          <w:sz w:val="20"/>
          <w:lang w:val="en-GB" w:eastAsia="en-US"/>
        </w:rPr>
      </w:pPr>
    </w:p>
    <w:p w:rsidR="00A23DC5" w:rsidRDefault="0007222B"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25 May 2018</w:t>
      </w:r>
      <w:r w:rsidR="00C40A1E">
        <w:rPr>
          <w:rFonts w:ascii="Arial" w:eastAsia="Times New Roman" w:hAnsi="Arial" w:cs="Arial"/>
          <w:sz w:val="20"/>
          <w:lang w:val="en-GB" w:eastAsia="en-US"/>
        </w:rPr>
        <w:t>, d</w:t>
      </w:r>
      <w:r w:rsidR="00A23DC5">
        <w:rPr>
          <w:rFonts w:ascii="Arial" w:eastAsia="Times New Roman" w:hAnsi="Arial" w:cs="Arial"/>
          <w:sz w:val="20"/>
          <w:lang w:val="en-GB" w:eastAsia="en-US"/>
        </w:rPr>
        <w:t>elete the text of 23.2</w:t>
      </w:r>
      <w:r w:rsidR="00E341B5">
        <w:rPr>
          <w:rFonts w:ascii="Arial" w:eastAsia="Times New Roman" w:hAnsi="Arial" w:cs="Arial"/>
          <w:sz w:val="20"/>
          <w:lang w:val="en-GB" w:eastAsia="en-US"/>
        </w:rPr>
        <w:t xml:space="preserve"> </w:t>
      </w:r>
      <w:r w:rsidR="00A23DC5">
        <w:rPr>
          <w:rFonts w:ascii="Arial" w:eastAsia="Times New Roman" w:hAnsi="Arial" w:cs="Arial"/>
          <w:sz w:val="20"/>
          <w:lang w:val="en-GB" w:eastAsia="en-US"/>
        </w:rPr>
        <w:t>and replace with:</w:t>
      </w:r>
      <w:r w:rsidR="00E379BB">
        <w:rPr>
          <w:rFonts w:ascii="Arial" w:eastAsia="Times New Roman" w:hAnsi="Arial" w:cs="Arial"/>
          <w:sz w:val="20"/>
          <w:lang w:val="en-GB" w:eastAsia="en-US"/>
        </w:rPr>
        <w:t xml:space="preserve"> </w:t>
      </w:r>
    </w:p>
    <w:tbl>
      <w:tblPr>
        <w:tblStyle w:val="TableGrid"/>
        <w:tblW w:w="0" w:type="auto"/>
        <w:tblInd w:w="-34" w:type="dxa"/>
        <w:tblLook w:val="04A0" w:firstRow="1" w:lastRow="0" w:firstColumn="1" w:lastColumn="0" w:noHBand="0" w:noVBand="1"/>
        <w:tblCaption w:val="SC23.2"/>
        <w:tblDescription w:val="SC23.2"/>
      </w:tblPr>
      <w:tblGrid>
        <w:gridCol w:w="7088"/>
        <w:gridCol w:w="1468"/>
      </w:tblGrid>
      <w:tr w:rsidR="003202CE" w:rsidTr="00616289">
        <w:tc>
          <w:tcPr>
            <w:tcW w:w="7088" w:type="dxa"/>
          </w:tcPr>
          <w:p w:rsidR="003202CE" w:rsidRPr="00C719A1" w:rsidRDefault="003202CE" w:rsidP="003202CE">
            <w:pPr>
              <w:pStyle w:val="ListParagraph"/>
              <w:spacing w:after="0"/>
              <w:ind w:left="709" w:hanging="709"/>
              <w:jc w:val="both"/>
              <w:rPr>
                <w:rFonts w:ascii="Arial" w:hAnsi="Arial" w:cs="Arial"/>
                <w:sz w:val="20"/>
              </w:rPr>
            </w:pPr>
          </w:p>
          <w:p w:rsidR="003202CE" w:rsidRDefault="003202CE" w:rsidP="003E1FAF">
            <w:pPr>
              <w:pStyle w:val="ListParagraph"/>
              <w:numPr>
                <w:ilvl w:val="1"/>
                <w:numId w:val="15"/>
              </w:numPr>
              <w:spacing w:after="0"/>
              <w:ind w:left="709" w:hanging="709"/>
              <w:jc w:val="both"/>
              <w:rPr>
                <w:rFonts w:ascii="Arial" w:hAnsi="Arial" w:cs="Arial"/>
                <w:sz w:val="20"/>
              </w:rPr>
            </w:pPr>
            <w:r>
              <w:rPr>
                <w:rFonts w:ascii="Arial" w:hAnsi="Arial" w:cs="Arial"/>
                <w:sz w:val="20"/>
              </w:rPr>
              <w:t>T</w:t>
            </w:r>
            <w:r w:rsidRPr="00C719A1">
              <w:rPr>
                <w:rFonts w:ascii="Arial" w:hAnsi="Arial" w:cs="Arial"/>
                <w:sz w:val="20"/>
              </w:rPr>
              <w:t>he Provider must</w:t>
            </w:r>
            <w:r>
              <w:rPr>
                <w:rFonts w:ascii="Arial" w:hAnsi="Arial" w:cs="Arial"/>
                <w:sz w:val="20"/>
              </w:rPr>
              <w:t>:</w:t>
            </w:r>
          </w:p>
          <w:p w:rsidR="003202CE" w:rsidRDefault="003202CE" w:rsidP="003202CE">
            <w:pPr>
              <w:ind w:left="1452" w:hanging="709"/>
              <w:contextualSpacing/>
              <w:jc w:val="both"/>
              <w:rPr>
                <w:rFonts w:ascii="Arial" w:eastAsia="Times New Roman" w:hAnsi="Arial" w:cs="Arial"/>
                <w:sz w:val="20"/>
                <w:lang w:val="en-GB" w:eastAsia="en-US"/>
              </w:rPr>
            </w:pPr>
          </w:p>
          <w:p w:rsidR="003202CE" w:rsidRPr="007D3FFC" w:rsidRDefault="003202CE" w:rsidP="003202CE">
            <w:pPr>
              <w:spacing w:after="0"/>
              <w:ind w:left="1452" w:hanging="709"/>
              <w:contextualSpacing/>
              <w:jc w:val="both"/>
              <w:rPr>
                <w:rFonts w:ascii="Arial" w:eastAsia="Times New Roman" w:hAnsi="Arial" w:cs="Arial"/>
                <w:sz w:val="20"/>
                <w:lang w:val="en-GB" w:eastAsia="en-US"/>
              </w:rPr>
            </w:pPr>
            <w:r w:rsidRPr="004F130A">
              <w:rPr>
                <w:rFonts w:ascii="Arial" w:eastAsia="Times New Roman" w:hAnsi="Arial" w:cs="Arial"/>
                <w:sz w:val="20"/>
                <w:lang w:val="en-GB" w:eastAsia="en-US"/>
              </w:rPr>
              <w:t>23.2.1</w:t>
            </w:r>
            <w:r w:rsidRPr="004F130A">
              <w:rPr>
                <w:rFonts w:ascii="Arial" w:eastAsia="Times New Roman" w:hAnsi="Arial" w:cs="Arial"/>
                <w:sz w:val="20"/>
                <w:lang w:val="en-GB" w:eastAsia="en-US"/>
              </w:rPr>
              <w:tab/>
              <w:t xml:space="preserve">if and </w:t>
            </w:r>
            <w:r w:rsidRPr="007D3FFC">
              <w:rPr>
                <w:rFonts w:ascii="Arial" w:eastAsia="Times New Roman" w:hAnsi="Arial" w:cs="Arial"/>
                <w:sz w:val="20"/>
                <w:lang w:val="en-GB" w:eastAsia="en-US"/>
              </w:rPr>
              <w:t>as so reasonably requested by a Commissioner, whether during or after the Contract Term, promptly deliver to any third party provider of healthcare or social care services nominated by that Commissioner a copy of the Service User Health Record held by the Provider for any Service User for whom that Commissioner is responsible; and</w:t>
            </w:r>
          </w:p>
          <w:p w:rsidR="003202CE" w:rsidRPr="007D3FFC" w:rsidRDefault="003202CE" w:rsidP="003202CE">
            <w:pPr>
              <w:pStyle w:val="ListParagraph"/>
              <w:ind w:left="709"/>
              <w:jc w:val="both"/>
              <w:rPr>
                <w:rFonts w:ascii="Arial" w:hAnsi="Arial" w:cs="Arial"/>
                <w:sz w:val="20"/>
              </w:rPr>
            </w:pPr>
          </w:p>
          <w:p w:rsidR="003202CE" w:rsidRPr="00EB1C99" w:rsidRDefault="003202CE" w:rsidP="00EB1C99">
            <w:pPr>
              <w:pStyle w:val="ListParagraph"/>
              <w:numPr>
                <w:ilvl w:val="2"/>
                <w:numId w:val="16"/>
              </w:numPr>
              <w:spacing w:after="0"/>
              <w:ind w:left="1429"/>
              <w:jc w:val="both"/>
              <w:rPr>
                <w:rFonts w:ascii="Arial" w:eastAsia="Times New Roman" w:hAnsi="Arial" w:cs="Arial"/>
                <w:sz w:val="20"/>
                <w:lang w:val="en-GB" w:eastAsia="en-US"/>
              </w:rPr>
            </w:pPr>
            <w:r w:rsidRPr="007D3FFC">
              <w:rPr>
                <w:rFonts w:ascii="Arial" w:hAnsi="Arial" w:cs="Arial"/>
                <w:sz w:val="20"/>
              </w:rPr>
              <w:t>notwithstanding SC23.1, if and as so reasonably requested</w:t>
            </w:r>
            <w:r>
              <w:rPr>
                <w:rFonts w:ascii="Arial" w:hAnsi="Arial" w:cs="Arial"/>
                <w:sz w:val="20"/>
              </w:rPr>
              <w:t xml:space="preserve"> by a Commissioner at any time following the expiry or termination of this Contract, promptly deliver to </w:t>
            </w:r>
            <w:r w:rsidRPr="00C719A1">
              <w:rPr>
                <w:rFonts w:ascii="Arial" w:hAnsi="Arial" w:cs="Arial"/>
                <w:sz w:val="20"/>
              </w:rPr>
              <w:t>a</w:t>
            </w:r>
            <w:r>
              <w:rPr>
                <w:rFonts w:ascii="Arial" w:hAnsi="Arial" w:cs="Arial"/>
                <w:sz w:val="20"/>
              </w:rPr>
              <w:t>ny</w:t>
            </w:r>
            <w:r w:rsidRPr="00C719A1">
              <w:rPr>
                <w:rFonts w:ascii="Arial" w:hAnsi="Arial" w:cs="Arial"/>
                <w:sz w:val="20"/>
              </w:rPr>
              <w:t xml:space="preserve"> third party provider of healthcare or social care services nominated by that Commissioner</w:t>
            </w:r>
            <w:r>
              <w:rPr>
                <w:rFonts w:ascii="Arial" w:hAnsi="Arial" w:cs="Arial"/>
                <w:sz w:val="20"/>
              </w:rPr>
              <w:t xml:space="preserve">, or to the Commissioner itself, </w:t>
            </w:r>
            <w:r w:rsidRPr="00C719A1">
              <w:rPr>
                <w:rFonts w:ascii="Arial" w:hAnsi="Arial" w:cs="Arial"/>
                <w:sz w:val="20"/>
              </w:rPr>
              <w:t>the Service User Health Record held by the Provider for any Service User for whom that Commissioner is responsible.</w:t>
            </w:r>
          </w:p>
          <w:p w:rsidR="00EB1C99" w:rsidRDefault="00EB1C99" w:rsidP="00EB1C99">
            <w:pPr>
              <w:pStyle w:val="ListParagraph"/>
              <w:spacing w:after="0"/>
              <w:ind w:left="1429"/>
              <w:jc w:val="both"/>
              <w:rPr>
                <w:rFonts w:ascii="Arial" w:eastAsia="Times New Roman" w:hAnsi="Arial" w:cs="Arial"/>
                <w:sz w:val="20"/>
                <w:lang w:val="en-GB" w:eastAsia="en-US"/>
              </w:rPr>
            </w:pPr>
          </w:p>
        </w:tc>
        <w:tc>
          <w:tcPr>
            <w:tcW w:w="1468" w:type="dxa"/>
          </w:tcPr>
          <w:p w:rsidR="00B84A11" w:rsidRDefault="00B84A11" w:rsidP="00B84A11">
            <w:pPr>
              <w:spacing w:after="0"/>
              <w:jc w:val="center"/>
              <w:outlineLvl w:val="1"/>
              <w:rPr>
                <w:rFonts w:ascii="Arial" w:eastAsia="Times New Roman" w:hAnsi="Arial" w:cs="Arial"/>
                <w:b/>
                <w:sz w:val="20"/>
                <w:lang w:val="en-GB" w:eastAsia="en-US"/>
              </w:rPr>
            </w:pPr>
          </w:p>
          <w:p w:rsidR="003202CE" w:rsidRDefault="003202CE" w:rsidP="003202CE">
            <w:pPr>
              <w:spacing w:after="240"/>
              <w:jc w:val="center"/>
              <w:outlineLvl w:val="1"/>
              <w:rPr>
                <w:rFonts w:ascii="Arial" w:eastAsia="Times New Roman" w:hAnsi="Arial" w:cs="Arial"/>
                <w:sz w:val="20"/>
                <w:lang w:val="en-GB" w:eastAsia="en-US"/>
              </w:rPr>
            </w:pPr>
            <w:r w:rsidRPr="003202CE">
              <w:rPr>
                <w:rFonts w:ascii="Arial" w:eastAsia="Times New Roman" w:hAnsi="Arial" w:cs="Arial"/>
                <w:b/>
                <w:sz w:val="20"/>
                <w:lang w:val="en-GB" w:eastAsia="en-US"/>
              </w:rPr>
              <w:t>All</w:t>
            </w:r>
          </w:p>
        </w:tc>
      </w:tr>
    </w:tbl>
    <w:p w:rsidR="00A668E2" w:rsidRDefault="00A668E2" w:rsidP="00A668E2">
      <w:pPr>
        <w:spacing w:after="0"/>
        <w:ind w:left="1701" w:hanging="992"/>
        <w:contextualSpacing/>
        <w:jc w:val="both"/>
        <w:rPr>
          <w:rFonts w:ascii="Arial" w:eastAsia="Times New Roman" w:hAnsi="Arial" w:cs="Arial"/>
          <w:sz w:val="20"/>
          <w:lang w:val="en-GB" w:eastAsia="en-US"/>
        </w:rPr>
      </w:pPr>
    </w:p>
    <w:p w:rsidR="00616289" w:rsidRPr="00A668E2" w:rsidRDefault="00616289" w:rsidP="00A668E2">
      <w:pPr>
        <w:spacing w:after="0"/>
        <w:ind w:left="1701" w:hanging="992"/>
        <w:contextualSpacing/>
        <w:jc w:val="both"/>
        <w:rPr>
          <w:rFonts w:ascii="Arial" w:eastAsia="Times New Roman" w:hAnsi="Arial" w:cs="Arial"/>
          <w:sz w:val="20"/>
          <w:lang w:val="en-GB" w:eastAsia="en-US"/>
        </w:rPr>
      </w:pPr>
    </w:p>
    <w:p w:rsidR="00A668E2" w:rsidRPr="00A668E2" w:rsidRDefault="00A668E2" w:rsidP="00A668E2">
      <w:pPr>
        <w:keepNext/>
        <w:numPr>
          <w:ilvl w:val="0"/>
          <w:numId w:val="9"/>
        </w:numPr>
        <w:tabs>
          <w:tab w:val="num" w:pos="-2943"/>
        </w:tabs>
        <w:spacing w:after="240"/>
        <w:ind w:left="709" w:hanging="709"/>
        <w:jc w:val="both"/>
        <w:outlineLvl w:val="1"/>
        <w:rPr>
          <w:rFonts w:ascii="Arial Bold" w:eastAsia="Times New Roman" w:hAnsi="Arial Bold" w:cs="Arial"/>
          <w:b/>
          <w:caps/>
          <w:sz w:val="20"/>
          <w:lang w:val="en-GB" w:eastAsia="en-US"/>
        </w:rPr>
      </w:pPr>
      <w:r w:rsidRPr="00A668E2">
        <w:rPr>
          <w:rFonts w:ascii="Arial Bold" w:eastAsia="Times New Roman" w:hAnsi="Arial Bold" w:cs="Arial"/>
          <w:b/>
          <w:caps/>
          <w:sz w:val="20"/>
          <w:lang w:val="en-GB" w:eastAsia="en-US"/>
        </w:rPr>
        <w:t>SC26</w:t>
      </w:r>
      <w:r>
        <w:rPr>
          <w:rFonts w:ascii="Arial Bold" w:eastAsia="Times New Roman" w:hAnsi="Arial Bold" w:cs="Arial"/>
          <w:b/>
          <w:caps/>
          <w:sz w:val="20"/>
          <w:lang w:val="en-GB" w:eastAsia="en-US"/>
        </w:rPr>
        <w:t xml:space="preserve"> (</w:t>
      </w:r>
      <w:r w:rsidRPr="00A668E2">
        <w:rPr>
          <w:rFonts w:ascii="Arial Bold" w:eastAsia="Times New Roman" w:hAnsi="Arial Bold" w:cs="Arial"/>
          <w:b/>
          <w:caps/>
          <w:sz w:val="20"/>
          <w:lang w:val="en-GB" w:eastAsia="en-US"/>
        </w:rPr>
        <w:t>Clinical Networks, National Audit Programmes and Approved Research Studies</w:t>
      </w:r>
      <w:r>
        <w:rPr>
          <w:rFonts w:ascii="Arial Bold" w:eastAsia="Times New Roman" w:hAnsi="Arial Bold" w:cs="Arial"/>
          <w:b/>
          <w:caps/>
          <w:sz w:val="20"/>
          <w:lang w:val="en-GB" w:eastAsia="en-US"/>
        </w:rPr>
        <w:t>)</w:t>
      </w:r>
    </w:p>
    <w:p w:rsidR="00A668E2" w:rsidRDefault="00A668E2" w:rsidP="00A668E2">
      <w:p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8.1</w:t>
      </w:r>
      <w:r>
        <w:rPr>
          <w:rFonts w:ascii="Arial" w:eastAsia="Times New Roman" w:hAnsi="Arial" w:cs="Arial"/>
          <w:sz w:val="20"/>
          <w:lang w:val="en-GB" w:eastAsia="en-US"/>
        </w:rPr>
        <w:tab/>
        <w:t>With effect from 1 April 2018, delete the text of SC26.4 and replace with:</w:t>
      </w:r>
    </w:p>
    <w:tbl>
      <w:tblPr>
        <w:tblStyle w:val="TableGrid"/>
        <w:tblW w:w="0" w:type="auto"/>
        <w:tblInd w:w="-34" w:type="dxa"/>
        <w:tblLook w:val="04A0" w:firstRow="1" w:lastRow="0" w:firstColumn="1" w:lastColumn="0" w:noHBand="0" w:noVBand="1"/>
        <w:tblCaption w:val="SC26.4"/>
        <w:tblDescription w:val="SC26.4"/>
      </w:tblPr>
      <w:tblGrid>
        <w:gridCol w:w="7088"/>
        <w:gridCol w:w="1468"/>
      </w:tblGrid>
      <w:tr w:rsidR="00A668E2" w:rsidTr="00616289">
        <w:tc>
          <w:tcPr>
            <w:tcW w:w="7088" w:type="dxa"/>
          </w:tcPr>
          <w:p w:rsidR="00A668E2" w:rsidRDefault="00A668E2" w:rsidP="00A668E2">
            <w:pPr>
              <w:spacing w:after="0"/>
              <w:ind w:left="1440" w:hanging="720"/>
              <w:jc w:val="both"/>
              <w:outlineLvl w:val="1"/>
              <w:rPr>
                <w:rFonts w:ascii="Arial" w:hAnsi="Arial" w:cs="Arial"/>
                <w:sz w:val="20"/>
                <w:lang w:eastAsia="en-GB"/>
              </w:rPr>
            </w:pPr>
          </w:p>
          <w:p w:rsidR="00A668E2" w:rsidRDefault="00695026" w:rsidP="00EB1C99">
            <w:pPr>
              <w:pStyle w:val="ListParagraph"/>
              <w:spacing w:after="0"/>
              <w:ind w:left="687"/>
              <w:jc w:val="both"/>
              <w:rPr>
                <w:rFonts w:ascii="Arial" w:eastAsia="Calibri" w:hAnsi="Arial" w:cs="Arial"/>
                <w:sz w:val="20"/>
                <w:szCs w:val="22"/>
                <w:lang w:val="en-GB" w:eastAsia="en-US"/>
              </w:rPr>
            </w:pPr>
            <w:r w:rsidRPr="00695026">
              <w:rPr>
                <w:rFonts w:ascii="Arial" w:eastAsia="Calibri" w:hAnsi="Arial" w:cs="Arial"/>
                <w:sz w:val="20"/>
                <w:szCs w:val="22"/>
                <w:lang w:val="en-GB" w:eastAsia="en-US"/>
              </w:rPr>
              <w:t xml:space="preserve">If </w:t>
            </w:r>
            <w:r w:rsidRPr="00695026">
              <w:rPr>
                <w:rFonts w:ascii="Arial" w:eastAsia="Times New Roman" w:hAnsi="Arial" w:cs="Arial"/>
                <w:sz w:val="20"/>
                <w:lang w:val="en-GB" w:eastAsia="en-US"/>
              </w:rPr>
              <w:t>the</w:t>
            </w:r>
            <w:r w:rsidRPr="00695026">
              <w:rPr>
                <w:rFonts w:ascii="Arial" w:eastAsia="Calibri" w:hAnsi="Arial" w:cs="Arial"/>
                <w:sz w:val="20"/>
                <w:szCs w:val="22"/>
                <w:lang w:val="en-GB" w:eastAsia="en-US"/>
              </w:rPr>
              <w:t xml:space="preserve"> Provider chooses to participate in any Commercial Contract Research Study which is submitted to the HRA for approval on or after 1 October 2018, the Provider must ensure that that participation will be in accordance with the National Directive on Commercial Contract Research Studies, at a price determined by NIHR for each Provider in accordance with the methodology prescribed in the Directive and under such other contractual terms and conditions as are set out in the Directive.</w:t>
            </w:r>
          </w:p>
          <w:p w:rsidR="00EB1C99" w:rsidRDefault="00EB1C99" w:rsidP="00EB1C99">
            <w:pPr>
              <w:pStyle w:val="ListParagraph"/>
              <w:spacing w:after="0"/>
              <w:ind w:left="687"/>
              <w:jc w:val="both"/>
              <w:rPr>
                <w:rFonts w:ascii="Arial" w:eastAsia="Times New Roman" w:hAnsi="Arial" w:cs="Arial"/>
                <w:sz w:val="20"/>
                <w:lang w:val="en-GB" w:eastAsia="en-US"/>
              </w:rPr>
            </w:pPr>
          </w:p>
        </w:tc>
        <w:tc>
          <w:tcPr>
            <w:tcW w:w="1468" w:type="dxa"/>
          </w:tcPr>
          <w:p w:rsidR="00A668E2" w:rsidRDefault="00A668E2" w:rsidP="00A668E2">
            <w:pPr>
              <w:spacing w:after="0"/>
              <w:jc w:val="center"/>
              <w:outlineLvl w:val="1"/>
              <w:rPr>
                <w:rFonts w:ascii="Arial" w:eastAsia="Times New Roman" w:hAnsi="Arial" w:cs="Arial"/>
                <w:b/>
                <w:sz w:val="20"/>
                <w:lang w:val="en-GB" w:eastAsia="en-US"/>
              </w:rPr>
            </w:pPr>
          </w:p>
          <w:p w:rsidR="00A668E2" w:rsidRDefault="00695026" w:rsidP="00A668E2">
            <w:pPr>
              <w:spacing w:after="240"/>
              <w:jc w:val="center"/>
              <w:outlineLvl w:val="1"/>
              <w:rPr>
                <w:rFonts w:ascii="Arial" w:eastAsia="Times New Roman" w:hAnsi="Arial" w:cs="Arial"/>
                <w:sz w:val="20"/>
                <w:lang w:val="en-GB" w:eastAsia="en-US"/>
              </w:rPr>
            </w:pPr>
            <w:r>
              <w:rPr>
                <w:rFonts w:ascii="Arial" w:eastAsia="Times New Roman" w:hAnsi="Arial" w:cs="Arial"/>
                <w:b/>
                <w:sz w:val="20"/>
                <w:lang w:val="en-GB" w:eastAsia="en-US"/>
              </w:rPr>
              <w:t>All</w:t>
            </w:r>
          </w:p>
        </w:tc>
      </w:tr>
    </w:tbl>
    <w:p w:rsidR="00BC0E0C" w:rsidRDefault="00BC0E0C">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rsidR="00A668E2" w:rsidRDefault="00A668E2" w:rsidP="008121FC">
      <w:p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8.2</w:t>
      </w:r>
      <w:r>
        <w:rPr>
          <w:rFonts w:ascii="Arial" w:eastAsia="Times New Roman" w:hAnsi="Arial" w:cs="Arial"/>
          <w:sz w:val="20"/>
          <w:lang w:val="en-GB" w:eastAsia="en-US"/>
        </w:rPr>
        <w:tab/>
        <w:t>With effect from 1 April 2018, add a new SC26.5 and 26.6 as fol</w:t>
      </w:r>
      <w:r w:rsidR="00695026">
        <w:rPr>
          <w:rFonts w:ascii="Arial" w:eastAsia="Times New Roman" w:hAnsi="Arial" w:cs="Arial"/>
          <w:sz w:val="20"/>
          <w:lang w:val="en-GB" w:eastAsia="en-US"/>
        </w:rPr>
        <w:t>l</w:t>
      </w:r>
      <w:r>
        <w:rPr>
          <w:rFonts w:ascii="Arial" w:eastAsia="Times New Roman" w:hAnsi="Arial" w:cs="Arial"/>
          <w:sz w:val="20"/>
          <w:lang w:val="en-GB" w:eastAsia="en-US"/>
        </w:rPr>
        <w:t>ows:</w:t>
      </w:r>
    </w:p>
    <w:tbl>
      <w:tblPr>
        <w:tblStyle w:val="TableGrid"/>
        <w:tblW w:w="0" w:type="auto"/>
        <w:tblInd w:w="-34" w:type="dxa"/>
        <w:tblLook w:val="04A0" w:firstRow="1" w:lastRow="0" w:firstColumn="1" w:lastColumn="0" w:noHBand="0" w:noVBand="1"/>
        <w:tblCaption w:val="SC26.5, 26.6"/>
        <w:tblDescription w:val="SC26.5, 26.6"/>
      </w:tblPr>
      <w:tblGrid>
        <w:gridCol w:w="7088"/>
        <w:gridCol w:w="1468"/>
      </w:tblGrid>
      <w:tr w:rsidR="00A668E2" w:rsidTr="00616289">
        <w:tc>
          <w:tcPr>
            <w:tcW w:w="7088" w:type="dxa"/>
          </w:tcPr>
          <w:p w:rsidR="00695026" w:rsidRPr="00695026" w:rsidRDefault="00695026" w:rsidP="00695026">
            <w:pPr>
              <w:spacing w:after="0"/>
              <w:rPr>
                <w:rFonts w:ascii="Arial" w:eastAsia="Calibri" w:hAnsi="Arial" w:cs="Arial"/>
                <w:sz w:val="20"/>
                <w:lang w:val="en-GB" w:eastAsia="en-US"/>
              </w:rPr>
            </w:pPr>
          </w:p>
          <w:p w:rsidR="00695026" w:rsidRPr="007D7A7B" w:rsidRDefault="00661BC5" w:rsidP="007D7A7B">
            <w:pPr>
              <w:spacing w:after="240"/>
              <w:ind w:left="1440" w:hanging="720"/>
              <w:jc w:val="both"/>
              <w:outlineLvl w:val="1"/>
              <w:rPr>
                <w:rFonts w:ascii="Arial" w:eastAsia="Times New Roman" w:hAnsi="Arial" w:cs="Arial"/>
                <w:sz w:val="20"/>
                <w:lang w:val="en-GB" w:eastAsia="en-US"/>
              </w:rPr>
            </w:pPr>
            <w:r>
              <w:rPr>
                <w:rFonts w:ascii="Arial" w:eastAsia="Calibri" w:hAnsi="Arial" w:cs="Arial"/>
                <w:bCs/>
                <w:sz w:val="20"/>
                <w:szCs w:val="22"/>
                <w:lang w:val="en-GB" w:eastAsia="en-US"/>
              </w:rPr>
              <w:t>26.5</w:t>
            </w:r>
            <w:r w:rsidR="007D7A7B">
              <w:rPr>
                <w:rFonts w:ascii="Arial" w:eastAsia="Times New Roman" w:hAnsi="Arial" w:cs="Arial"/>
                <w:sz w:val="20"/>
                <w:lang w:val="en-GB" w:eastAsia="en-US"/>
              </w:rPr>
              <w:tab/>
            </w:r>
            <w:r w:rsidR="00695026" w:rsidRPr="00695026">
              <w:rPr>
                <w:rFonts w:ascii="Arial" w:eastAsia="Calibri" w:hAnsi="Arial" w:cs="Arial"/>
                <w:bCs/>
                <w:sz w:val="20"/>
                <w:szCs w:val="22"/>
                <w:lang w:val="en-GB" w:eastAsia="en-US"/>
              </w:rPr>
              <w:t xml:space="preserve">The </w:t>
            </w:r>
            <w:r w:rsidR="00695026" w:rsidRPr="00695026">
              <w:rPr>
                <w:rFonts w:ascii="Arial" w:eastAsia="Calibri" w:hAnsi="Arial" w:cs="Arial"/>
                <w:sz w:val="20"/>
                <w:szCs w:val="22"/>
                <w:lang w:val="en-GB" w:eastAsia="en-US"/>
              </w:rPr>
              <w:t>Provider</w:t>
            </w:r>
            <w:r w:rsidR="00695026" w:rsidRPr="00695026">
              <w:rPr>
                <w:rFonts w:ascii="Arial" w:eastAsia="Calibri" w:hAnsi="Arial" w:cs="Arial"/>
                <w:bCs/>
                <w:sz w:val="20"/>
                <w:szCs w:val="22"/>
                <w:lang w:val="en-GB" w:eastAsia="en-US"/>
              </w:rPr>
              <w:t xml:space="preserve"> must comply with HRA/NIHR Research Reporting Guidance, as applicable.</w:t>
            </w:r>
          </w:p>
          <w:p w:rsidR="00695026" w:rsidRPr="007D7A7B" w:rsidRDefault="007D7A7B" w:rsidP="00EB1C99">
            <w:pPr>
              <w:spacing w:after="0"/>
              <w:ind w:left="1440" w:hanging="720"/>
              <w:jc w:val="both"/>
              <w:outlineLvl w:val="1"/>
              <w:rPr>
                <w:rFonts w:ascii="Arial" w:eastAsia="Times New Roman" w:hAnsi="Arial" w:cs="Arial"/>
                <w:sz w:val="20"/>
                <w:lang w:val="en-GB" w:eastAsia="en-US"/>
              </w:rPr>
            </w:pPr>
            <w:r>
              <w:rPr>
                <w:rFonts w:ascii="Arial" w:eastAsia="Calibri" w:hAnsi="Arial" w:cs="Arial"/>
                <w:bCs/>
                <w:sz w:val="20"/>
                <w:szCs w:val="22"/>
                <w:lang w:val="en-GB" w:eastAsia="en-US"/>
              </w:rPr>
              <w:t>26.6</w:t>
            </w:r>
            <w:r>
              <w:rPr>
                <w:rFonts w:ascii="Arial" w:eastAsia="Times New Roman" w:hAnsi="Arial" w:cs="Arial"/>
                <w:sz w:val="20"/>
                <w:lang w:val="en-GB" w:eastAsia="en-US"/>
              </w:rPr>
              <w:tab/>
            </w:r>
            <w:r w:rsidR="00695026" w:rsidRPr="00695026">
              <w:rPr>
                <w:rFonts w:ascii="Arial" w:eastAsia="Calibri" w:hAnsi="Arial" w:cs="Arial"/>
                <w:bCs/>
                <w:sz w:val="20"/>
                <w:szCs w:val="22"/>
                <w:lang w:val="en-GB" w:eastAsia="en-US"/>
              </w:rPr>
              <w:t xml:space="preserve">The </w:t>
            </w:r>
            <w:r w:rsidR="00695026" w:rsidRPr="00695026">
              <w:rPr>
                <w:rFonts w:ascii="Arial" w:eastAsia="Calibri" w:hAnsi="Arial" w:cs="Arial"/>
                <w:sz w:val="20"/>
                <w:szCs w:val="22"/>
                <w:lang w:val="en-GB" w:eastAsia="en-US"/>
              </w:rPr>
              <w:t>Parties</w:t>
            </w:r>
            <w:r w:rsidR="00695026" w:rsidRPr="00695026">
              <w:rPr>
                <w:rFonts w:ascii="Arial" w:eastAsia="Calibri" w:hAnsi="Arial" w:cs="Arial"/>
                <w:bCs/>
                <w:sz w:val="20"/>
                <w:szCs w:val="22"/>
                <w:lang w:val="en-GB" w:eastAsia="en-US"/>
              </w:rPr>
              <w:t xml:space="preserve"> must </w:t>
            </w:r>
            <w:r w:rsidR="00695026" w:rsidRPr="00695026">
              <w:rPr>
                <w:rFonts w:ascii="Arial" w:eastAsia="Calibri" w:hAnsi="Arial" w:cs="Arial"/>
                <w:sz w:val="20"/>
                <w:szCs w:val="22"/>
                <w:lang w:val="en-GB" w:eastAsia="en-US"/>
              </w:rPr>
              <w:t>comply</w:t>
            </w:r>
            <w:r w:rsidR="00695026" w:rsidRPr="00695026">
              <w:rPr>
                <w:rFonts w:ascii="Arial" w:eastAsia="Calibri" w:hAnsi="Arial" w:cs="Arial"/>
                <w:bCs/>
                <w:sz w:val="20"/>
                <w:szCs w:val="22"/>
                <w:lang w:val="en-GB" w:eastAsia="en-US"/>
              </w:rPr>
              <w:t xml:space="preserve"> with NHS Treatment Costs Guidance, as applicable.</w:t>
            </w:r>
          </w:p>
          <w:p w:rsidR="00A668E2" w:rsidRDefault="00A668E2" w:rsidP="00A668E2">
            <w:pPr>
              <w:spacing w:after="0"/>
              <w:jc w:val="both"/>
              <w:outlineLvl w:val="1"/>
              <w:rPr>
                <w:rFonts w:ascii="Arial" w:eastAsia="Times New Roman" w:hAnsi="Arial" w:cs="Arial"/>
                <w:sz w:val="20"/>
                <w:lang w:val="en-GB" w:eastAsia="en-US"/>
              </w:rPr>
            </w:pPr>
          </w:p>
        </w:tc>
        <w:tc>
          <w:tcPr>
            <w:tcW w:w="1468" w:type="dxa"/>
          </w:tcPr>
          <w:p w:rsidR="00A668E2" w:rsidRDefault="00A668E2" w:rsidP="00A668E2">
            <w:pPr>
              <w:spacing w:after="0"/>
              <w:jc w:val="center"/>
              <w:outlineLvl w:val="1"/>
              <w:rPr>
                <w:rFonts w:ascii="Arial" w:eastAsia="Times New Roman" w:hAnsi="Arial" w:cs="Arial"/>
                <w:b/>
                <w:sz w:val="20"/>
                <w:lang w:val="en-GB" w:eastAsia="en-US"/>
              </w:rPr>
            </w:pPr>
          </w:p>
          <w:p w:rsidR="00A668E2" w:rsidRDefault="00A668E2" w:rsidP="00A668E2">
            <w:pPr>
              <w:spacing w:after="0"/>
              <w:jc w:val="center"/>
              <w:outlineLvl w:val="1"/>
              <w:rPr>
                <w:rFonts w:ascii="Arial" w:eastAsia="Times New Roman" w:hAnsi="Arial" w:cs="Arial"/>
                <w:b/>
                <w:sz w:val="20"/>
                <w:lang w:val="en-GB" w:eastAsia="en-US"/>
              </w:rPr>
            </w:pPr>
            <w:r w:rsidRPr="003202CE">
              <w:rPr>
                <w:rFonts w:ascii="Arial" w:eastAsia="Times New Roman" w:hAnsi="Arial" w:cs="Arial"/>
                <w:b/>
                <w:sz w:val="20"/>
                <w:lang w:val="en-GB" w:eastAsia="en-US"/>
              </w:rPr>
              <w:t>All</w:t>
            </w:r>
          </w:p>
          <w:p w:rsidR="00A668E2" w:rsidRDefault="00A668E2" w:rsidP="00A668E2">
            <w:pPr>
              <w:spacing w:after="0"/>
              <w:jc w:val="center"/>
              <w:outlineLvl w:val="1"/>
              <w:rPr>
                <w:rFonts w:ascii="Arial" w:eastAsia="Times New Roman" w:hAnsi="Arial" w:cs="Arial"/>
                <w:b/>
                <w:sz w:val="20"/>
                <w:lang w:val="en-GB" w:eastAsia="en-US"/>
              </w:rPr>
            </w:pPr>
          </w:p>
          <w:p w:rsidR="00695026" w:rsidRDefault="00695026" w:rsidP="00A668E2">
            <w:pPr>
              <w:spacing w:after="0"/>
              <w:jc w:val="center"/>
              <w:outlineLvl w:val="1"/>
              <w:rPr>
                <w:rFonts w:ascii="Arial" w:eastAsia="Times New Roman" w:hAnsi="Arial" w:cs="Arial"/>
                <w:b/>
                <w:sz w:val="20"/>
                <w:lang w:val="en-GB" w:eastAsia="en-US"/>
              </w:rPr>
            </w:pPr>
          </w:p>
          <w:p w:rsidR="007D7A7B" w:rsidRDefault="007D7A7B" w:rsidP="00A668E2">
            <w:pPr>
              <w:spacing w:after="0"/>
              <w:jc w:val="center"/>
              <w:outlineLvl w:val="1"/>
              <w:rPr>
                <w:rFonts w:ascii="Arial" w:eastAsia="Times New Roman" w:hAnsi="Arial" w:cs="Arial"/>
                <w:b/>
                <w:sz w:val="20"/>
                <w:lang w:val="en-GB" w:eastAsia="en-US"/>
              </w:rPr>
            </w:pPr>
          </w:p>
          <w:p w:rsidR="00A668E2" w:rsidRDefault="00A668E2" w:rsidP="00A668E2">
            <w:pPr>
              <w:spacing w:after="0"/>
              <w:jc w:val="center"/>
              <w:outlineLvl w:val="1"/>
              <w:rPr>
                <w:rFonts w:ascii="Arial" w:eastAsia="Times New Roman" w:hAnsi="Arial" w:cs="Arial"/>
                <w:sz w:val="20"/>
                <w:lang w:val="en-GB" w:eastAsia="en-US"/>
              </w:rPr>
            </w:pPr>
            <w:r w:rsidRPr="003202CE">
              <w:rPr>
                <w:rFonts w:ascii="Arial" w:eastAsia="Times New Roman" w:hAnsi="Arial" w:cs="Arial"/>
                <w:b/>
                <w:sz w:val="20"/>
                <w:lang w:val="en-GB" w:eastAsia="en-US"/>
              </w:rPr>
              <w:t>All</w:t>
            </w:r>
          </w:p>
        </w:tc>
      </w:tr>
    </w:tbl>
    <w:p w:rsidR="00A668E2" w:rsidRDefault="00A668E2" w:rsidP="007072B0">
      <w:pPr>
        <w:spacing w:after="0"/>
        <w:ind w:left="1701" w:hanging="992"/>
        <w:contextualSpacing/>
        <w:jc w:val="both"/>
        <w:rPr>
          <w:rFonts w:ascii="Arial" w:eastAsia="Times New Roman" w:hAnsi="Arial" w:cs="Arial"/>
          <w:sz w:val="20"/>
          <w:lang w:val="en-GB" w:eastAsia="en-US"/>
        </w:rPr>
      </w:pPr>
    </w:p>
    <w:p w:rsidR="007072B0" w:rsidRDefault="007072B0" w:rsidP="007072B0">
      <w:pPr>
        <w:spacing w:after="0"/>
        <w:ind w:left="1701" w:hanging="992"/>
        <w:contextualSpacing/>
        <w:jc w:val="both"/>
        <w:rPr>
          <w:rFonts w:ascii="Arial" w:eastAsia="Times New Roman" w:hAnsi="Arial" w:cs="Arial"/>
          <w:sz w:val="20"/>
          <w:lang w:val="en-GB" w:eastAsia="en-US"/>
        </w:rPr>
      </w:pP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SC28 (Information Requirements)</w:t>
      </w:r>
    </w:p>
    <w:p w:rsidR="002838DC" w:rsidRDefault="00C40A1E"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25 May 2018, d</w:t>
      </w:r>
      <w:r w:rsidR="002838DC">
        <w:rPr>
          <w:rFonts w:ascii="Arial" w:eastAsia="Times New Roman" w:hAnsi="Arial" w:cs="Arial"/>
          <w:sz w:val="20"/>
          <w:lang w:val="en-GB" w:eastAsia="en-US"/>
        </w:rPr>
        <w:t>elete the text of SC28.2.</w:t>
      </w:r>
      <w:r w:rsidR="002304AE">
        <w:rPr>
          <w:rFonts w:ascii="Arial" w:eastAsia="Times New Roman" w:hAnsi="Arial" w:cs="Arial"/>
          <w:sz w:val="20"/>
          <w:lang w:val="en-GB" w:eastAsia="en-US"/>
        </w:rPr>
        <w:t>4</w:t>
      </w:r>
      <w:r w:rsidR="002838DC">
        <w:rPr>
          <w:rFonts w:ascii="Arial" w:eastAsia="Times New Roman" w:hAnsi="Arial" w:cs="Arial"/>
          <w:sz w:val="20"/>
          <w:lang w:val="en-GB" w:eastAsia="en-US"/>
        </w:rPr>
        <w:t xml:space="preserve"> and replace with:</w:t>
      </w:r>
    </w:p>
    <w:tbl>
      <w:tblPr>
        <w:tblStyle w:val="TableGrid"/>
        <w:tblW w:w="0" w:type="auto"/>
        <w:tblInd w:w="-34" w:type="dxa"/>
        <w:tblLook w:val="04A0" w:firstRow="1" w:lastRow="0" w:firstColumn="1" w:lastColumn="0" w:noHBand="0" w:noVBand="1"/>
        <w:tblCaption w:val="SC28.2.4"/>
        <w:tblDescription w:val="SC28.2.4"/>
      </w:tblPr>
      <w:tblGrid>
        <w:gridCol w:w="7088"/>
        <w:gridCol w:w="1468"/>
      </w:tblGrid>
      <w:tr w:rsidR="002304AE" w:rsidTr="00616289">
        <w:tc>
          <w:tcPr>
            <w:tcW w:w="7088" w:type="dxa"/>
          </w:tcPr>
          <w:p w:rsidR="002304AE" w:rsidRPr="002304AE" w:rsidRDefault="002304AE" w:rsidP="002304AE">
            <w:pPr>
              <w:spacing w:after="0"/>
              <w:ind w:left="720"/>
              <w:contextualSpacing/>
              <w:rPr>
                <w:rFonts w:ascii="Arial" w:eastAsia="Times New Roman" w:hAnsi="Arial" w:cs="Arial"/>
                <w:sz w:val="20"/>
                <w:lang w:val="en-GB" w:eastAsia="en-US"/>
              </w:rPr>
            </w:pPr>
          </w:p>
          <w:p w:rsidR="002304AE" w:rsidRDefault="002304AE" w:rsidP="00D6227D">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28.2.4</w:t>
            </w:r>
            <w:r>
              <w:rPr>
                <w:rFonts w:ascii="Arial" w:eastAsia="Times New Roman" w:hAnsi="Arial" w:cs="Arial"/>
                <w:sz w:val="20"/>
                <w:lang w:val="en-GB" w:eastAsia="en-US"/>
              </w:rPr>
              <w:tab/>
            </w:r>
            <w:r w:rsidRPr="002304AE">
              <w:rPr>
                <w:rFonts w:ascii="Arial" w:eastAsia="Times New Roman" w:hAnsi="Arial" w:cs="Arial"/>
                <w:sz w:val="20"/>
                <w:lang w:val="en-GB" w:eastAsia="en-US"/>
              </w:rPr>
              <w:t>comply with Data Guidance issued by NHS England and NHS Digital and with Data Protection Legislation in relation to protection of patient identifiable data;</w:t>
            </w:r>
          </w:p>
        </w:tc>
        <w:tc>
          <w:tcPr>
            <w:tcW w:w="1468" w:type="dxa"/>
          </w:tcPr>
          <w:p w:rsidR="002304AE" w:rsidRDefault="002304AE" w:rsidP="002304AE">
            <w:pPr>
              <w:spacing w:after="240"/>
              <w:jc w:val="center"/>
              <w:outlineLvl w:val="1"/>
              <w:rPr>
                <w:rFonts w:ascii="Arial" w:eastAsia="Times New Roman" w:hAnsi="Arial" w:cs="Arial"/>
                <w:sz w:val="20"/>
                <w:lang w:val="en-GB" w:eastAsia="en-US"/>
              </w:rPr>
            </w:pPr>
          </w:p>
        </w:tc>
      </w:tr>
    </w:tbl>
    <w:p w:rsidR="002304AE" w:rsidRDefault="002304AE" w:rsidP="007072B0">
      <w:pPr>
        <w:spacing w:after="0"/>
        <w:ind w:left="1701" w:hanging="992"/>
        <w:contextualSpacing/>
        <w:jc w:val="both"/>
        <w:rPr>
          <w:rFonts w:ascii="Arial" w:eastAsia="Times New Roman" w:hAnsi="Arial" w:cs="Arial"/>
          <w:sz w:val="20"/>
          <w:lang w:val="en-GB" w:eastAsia="en-US"/>
        </w:rPr>
      </w:pPr>
    </w:p>
    <w:p w:rsidR="007072B0" w:rsidRDefault="007072B0" w:rsidP="007072B0">
      <w:pPr>
        <w:spacing w:after="0"/>
        <w:ind w:left="1701" w:hanging="992"/>
        <w:contextualSpacing/>
        <w:jc w:val="both"/>
        <w:rPr>
          <w:rFonts w:ascii="Arial" w:eastAsia="Times New Roman" w:hAnsi="Arial" w:cs="Arial"/>
          <w:sz w:val="20"/>
          <w:lang w:val="en-GB" w:eastAsia="en-US"/>
        </w:rPr>
      </w:pPr>
    </w:p>
    <w:p w:rsidR="002838DC" w:rsidRDefault="00C40A1E"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25 May 2018, delete</w:t>
      </w:r>
      <w:r w:rsidR="002838DC">
        <w:rPr>
          <w:rFonts w:ascii="Arial" w:eastAsia="Times New Roman" w:hAnsi="Arial" w:cs="Arial"/>
          <w:sz w:val="20"/>
          <w:lang w:val="en-GB" w:eastAsia="en-US"/>
        </w:rPr>
        <w:t xml:space="preserve"> the text of SC28.2</w:t>
      </w:r>
      <w:r w:rsidR="002304AE">
        <w:rPr>
          <w:rFonts w:ascii="Arial" w:eastAsia="Times New Roman" w:hAnsi="Arial" w:cs="Arial"/>
          <w:sz w:val="20"/>
          <w:lang w:val="en-GB" w:eastAsia="en-US"/>
        </w:rPr>
        <w:t>.6</w:t>
      </w:r>
      <w:r w:rsidR="002838DC">
        <w:rPr>
          <w:rFonts w:ascii="Arial" w:eastAsia="Times New Roman" w:hAnsi="Arial" w:cs="Arial"/>
          <w:sz w:val="20"/>
          <w:lang w:val="en-GB" w:eastAsia="en-US"/>
        </w:rPr>
        <w:t xml:space="preserve"> and replace with:</w:t>
      </w:r>
    </w:p>
    <w:tbl>
      <w:tblPr>
        <w:tblStyle w:val="TableGrid"/>
        <w:tblW w:w="0" w:type="auto"/>
        <w:tblInd w:w="-34" w:type="dxa"/>
        <w:tblLook w:val="04A0" w:firstRow="1" w:lastRow="0" w:firstColumn="1" w:lastColumn="0" w:noHBand="0" w:noVBand="1"/>
        <w:tblCaption w:val="SC28.2.6"/>
        <w:tblDescription w:val="SC28.2.6"/>
      </w:tblPr>
      <w:tblGrid>
        <w:gridCol w:w="7088"/>
        <w:gridCol w:w="1468"/>
      </w:tblGrid>
      <w:tr w:rsidR="002304AE" w:rsidTr="00616289">
        <w:tc>
          <w:tcPr>
            <w:tcW w:w="7088" w:type="dxa"/>
          </w:tcPr>
          <w:p w:rsidR="002304AE" w:rsidRPr="002304AE" w:rsidRDefault="002304AE" w:rsidP="002304AE">
            <w:pPr>
              <w:spacing w:after="0"/>
              <w:ind w:left="720"/>
              <w:contextualSpacing/>
              <w:rPr>
                <w:rFonts w:ascii="Arial" w:eastAsia="Times New Roman" w:hAnsi="Arial" w:cs="Arial"/>
                <w:sz w:val="20"/>
                <w:lang w:val="en-GB" w:eastAsia="en-US"/>
              </w:rPr>
            </w:pPr>
          </w:p>
          <w:p w:rsidR="002304AE" w:rsidRDefault="002304AE" w:rsidP="00EB1C99">
            <w:pPr>
              <w:spacing w:after="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28.2.6</w:t>
            </w:r>
            <w:r>
              <w:rPr>
                <w:rFonts w:ascii="Arial" w:eastAsia="Times New Roman" w:hAnsi="Arial" w:cs="Arial"/>
                <w:sz w:val="20"/>
                <w:lang w:val="en-GB" w:eastAsia="en-US"/>
              </w:rPr>
              <w:tab/>
            </w:r>
            <w:proofErr w:type="gramStart"/>
            <w:r w:rsidRPr="002304AE">
              <w:rPr>
                <w:rFonts w:ascii="Arial" w:eastAsia="Times New Roman" w:hAnsi="Arial" w:cs="Arial"/>
                <w:sz w:val="20"/>
                <w:lang w:val="en-GB" w:eastAsia="en-US"/>
              </w:rPr>
              <w:t>comply</w:t>
            </w:r>
            <w:proofErr w:type="gramEnd"/>
            <w:r w:rsidRPr="002304AE">
              <w:rPr>
                <w:rFonts w:ascii="Arial" w:eastAsia="Times New Roman" w:hAnsi="Arial" w:cs="Arial"/>
                <w:sz w:val="20"/>
                <w:lang w:val="en-GB" w:eastAsia="en-US"/>
              </w:rPr>
              <w:t xml:space="preserve"> with the Data Guidance and Data Protection Legislation on the use and disclosure of personal confidential data for other than direct care purposes.</w:t>
            </w:r>
          </w:p>
          <w:p w:rsidR="00EB1C99" w:rsidRDefault="00EB1C99" w:rsidP="00EB1C99">
            <w:pPr>
              <w:spacing w:after="0"/>
              <w:ind w:left="1440" w:hanging="720"/>
              <w:jc w:val="both"/>
              <w:outlineLvl w:val="1"/>
              <w:rPr>
                <w:rFonts w:ascii="Arial" w:eastAsia="Times New Roman" w:hAnsi="Arial" w:cs="Arial"/>
                <w:sz w:val="20"/>
                <w:lang w:val="en-GB" w:eastAsia="en-US"/>
              </w:rPr>
            </w:pPr>
          </w:p>
        </w:tc>
        <w:tc>
          <w:tcPr>
            <w:tcW w:w="1468" w:type="dxa"/>
          </w:tcPr>
          <w:p w:rsidR="002304AE" w:rsidRPr="002304AE" w:rsidRDefault="002304AE" w:rsidP="00B84A11">
            <w:pPr>
              <w:spacing w:after="240"/>
              <w:jc w:val="center"/>
              <w:outlineLvl w:val="1"/>
              <w:rPr>
                <w:rFonts w:ascii="Arial" w:eastAsia="Times New Roman" w:hAnsi="Arial" w:cs="Arial"/>
                <w:b/>
                <w:sz w:val="20"/>
                <w:lang w:val="en-GB" w:eastAsia="en-US"/>
              </w:rPr>
            </w:pPr>
          </w:p>
        </w:tc>
      </w:tr>
    </w:tbl>
    <w:p w:rsidR="002304AE" w:rsidRDefault="002304AE" w:rsidP="007072B0">
      <w:pPr>
        <w:spacing w:after="0"/>
        <w:ind w:left="1701" w:hanging="992"/>
        <w:contextualSpacing/>
        <w:jc w:val="both"/>
        <w:rPr>
          <w:rFonts w:ascii="Arial" w:eastAsia="Times New Roman" w:hAnsi="Arial" w:cs="Arial"/>
          <w:sz w:val="20"/>
          <w:lang w:val="en-GB" w:eastAsia="en-US"/>
        </w:rPr>
      </w:pPr>
    </w:p>
    <w:p w:rsidR="007072B0" w:rsidRDefault="007072B0" w:rsidP="007072B0">
      <w:pPr>
        <w:spacing w:after="0"/>
        <w:ind w:left="1701" w:hanging="992"/>
        <w:contextualSpacing/>
        <w:jc w:val="both"/>
        <w:rPr>
          <w:rFonts w:ascii="Arial" w:eastAsia="Times New Roman" w:hAnsi="Arial" w:cs="Arial"/>
          <w:sz w:val="20"/>
          <w:lang w:val="en-GB" w:eastAsia="en-US"/>
        </w:rPr>
      </w:pPr>
    </w:p>
    <w:p w:rsidR="008933AD" w:rsidRPr="008933AD" w:rsidRDefault="008933AD" w:rsidP="008933AD">
      <w:pPr>
        <w:keepNext/>
        <w:numPr>
          <w:ilvl w:val="0"/>
          <w:numId w:val="9"/>
        </w:numPr>
        <w:spacing w:after="240"/>
        <w:ind w:left="709" w:hanging="709"/>
        <w:jc w:val="both"/>
        <w:outlineLvl w:val="1"/>
        <w:rPr>
          <w:rFonts w:ascii="Arial Bold" w:eastAsia="Times New Roman" w:hAnsi="Arial Bold" w:cs="Arial"/>
          <w:b/>
          <w:caps/>
          <w:sz w:val="20"/>
          <w:lang w:val="en-GB" w:eastAsia="en-US"/>
        </w:rPr>
      </w:pPr>
      <w:r w:rsidRPr="008933AD">
        <w:rPr>
          <w:rFonts w:ascii="Arial Bold" w:eastAsia="Times New Roman" w:hAnsi="Arial Bold" w:cs="Arial"/>
          <w:b/>
          <w:caps/>
          <w:sz w:val="20"/>
          <w:lang w:val="en-GB" w:eastAsia="en-US"/>
        </w:rPr>
        <w:t>SC33 (</w:t>
      </w:r>
      <w:r>
        <w:rPr>
          <w:rFonts w:ascii="Arial Bold" w:eastAsia="Times New Roman" w:hAnsi="Arial Bold" w:cs="Arial"/>
          <w:b/>
          <w:caps/>
          <w:sz w:val="20"/>
          <w:lang w:val="en-GB" w:eastAsia="en-US"/>
        </w:rPr>
        <w:t>incidents requiring reporting</w:t>
      </w:r>
      <w:r w:rsidRPr="008933AD">
        <w:rPr>
          <w:rFonts w:ascii="Arial Bold" w:eastAsia="Times New Roman" w:hAnsi="Arial Bold" w:cs="Arial"/>
          <w:b/>
          <w:caps/>
          <w:sz w:val="20"/>
          <w:lang w:val="en-GB" w:eastAsia="en-US"/>
        </w:rPr>
        <w:t>)</w:t>
      </w:r>
    </w:p>
    <w:p w:rsidR="002304AE" w:rsidRDefault="00C40A1E"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25 May 2018, delete</w:t>
      </w:r>
      <w:r w:rsidR="002304AE">
        <w:rPr>
          <w:rFonts w:ascii="Arial" w:eastAsia="Times New Roman" w:hAnsi="Arial" w:cs="Arial"/>
          <w:sz w:val="20"/>
          <w:lang w:val="en-GB" w:eastAsia="en-US"/>
        </w:rPr>
        <w:t xml:space="preserve"> the text of SC33.5 and replace with:</w:t>
      </w:r>
    </w:p>
    <w:tbl>
      <w:tblPr>
        <w:tblStyle w:val="TableGrid"/>
        <w:tblW w:w="0" w:type="auto"/>
        <w:tblInd w:w="-34" w:type="dxa"/>
        <w:tblLook w:val="04A0" w:firstRow="1" w:lastRow="0" w:firstColumn="1" w:lastColumn="0" w:noHBand="0" w:noVBand="1"/>
        <w:tblCaption w:val="SC33.5"/>
        <w:tblDescription w:val="SC33.5"/>
      </w:tblPr>
      <w:tblGrid>
        <w:gridCol w:w="7088"/>
        <w:gridCol w:w="1468"/>
      </w:tblGrid>
      <w:tr w:rsidR="006935BD" w:rsidTr="00616289">
        <w:tc>
          <w:tcPr>
            <w:tcW w:w="7088" w:type="dxa"/>
          </w:tcPr>
          <w:p w:rsidR="006935BD" w:rsidRDefault="006935BD" w:rsidP="006935BD">
            <w:pPr>
              <w:spacing w:after="0"/>
              <w:ind w:left="720"/>
              <w:contextualSpacing/>
              <w:rPr>
                <w:rFonts w:ascii="Arial" w:eastAsia="Times New Roman" w:hAnsi="Arial" w:cs="Arial"/>
                <w:sz w:val="20"/>
                <w:lang w:val="en-GB" w:eastAsia="en-US"/>
              </w:rPr>
            </w:pPr>
          </w:p>
          <w:p w:rsidR="006935BD" w:rsidRDefault="006935BD" w:rsidP="008E3308">
            <w:pPr>
              <w:spacing w:after="0"/>
              <w:ind w:left="720"/>
              <w:contextualSpacing/>
              <w:rPr>
                <w:rFonts w:ascii="Arial" w:eastAsia="Times New Roman" w:hAnsi="Arial" w:cs="Arial"/>
                <w:sz w:val="20"/>
                <w:lang w:val="en-GB" w:eastAsia="en-US"/>
              </w:rPr>
            </w:pPr>
            <w:r w:rsidRPr="002304AE">
              <w:rPr>
                <w:rFonts w:ascii="Arial" w:eastAsia="Times New Roman" w:hAnsi="Arial" w:cs="Arial"/>
                <w:sz w:val="20"/>
                <w:lang w:val="en-GB" w:eastAsia="en-US"/>
              </w:rPr>
              <w:t xml:space="preserve">The Commissioners will have complete discretion (subject only to the Law) to use the information provided by the Provider under this SC33, Schedule 6C </w:t>
            </w:r>
            <w:r w:rsidRPr="002304AE">
              <w:rPr>
                <w:rFonts w:ascii="Arial" w:eastAsia="Times New Roman" w:hAnsi="Arial" w:cs="Arial"/>
                <w:i/>
                <w:sz w:val="20"/>
                <w:lang w:val="en-GB" w:eastAsia="en-US"/>
              </w:rPr>
              <w:t xml:space="preserve">(Incidents Requiring </w:t>
            </w:r>
            <w:r w:rsidRPr="006935BD">
              <w:rPr>
                <w:rFonts w:ascii="Arial" w:eastAsia="Times New Roman" w:hAnsi="Arial" w:cs="Arial"/>
                <w:sz w:val="20"/>
                <w:lang w:val="en-GB" w:eastAsia="en-US"/>
              </w:rPr>
              <w:t>Reporting</w:t>
            </w:r>
            <w:r w:rsidRPr="002304AE">
              <w:rPr>
                <w:rFonts w:ascii="Arial" w:eastAsia="Times New Roman" w:hAnsi="Arial" w:cs="Arial"/>
                <w:i/>
                <w:sz w:val="20"/>
                <w:lang w:val="en-GB" w:eastAsia="en-US"/>
              </w:rPr>
              <w:t xml:space="preserve"> Procedure</w:t>
            </w:r>
            <w:r w:rsidRPr="002304AE">
              <w:rPr>
                <w:rFonts w:ascii="Arial" w:eastAsia="Times New Roman" w:hAnsi="Arial" w:cs="Arial"/>
                <w:sz w:val="20"/>
                <w:lang w:val="en-GB" w:eastAsia="en-US"/>
              </w:rPr>
              <w:t>) and Schedule 6A (</w:t>
            </w:r>
            <w:r w:rsidRPr="002304AE">
              <w:rPr>
                <w:rFonts w:ascii="Arial" w:eastAsia="Times New Roman" w:hAnsi="Arial" w:cs="Arial"/>
                <w:i/>
                <w:sz w:val="20"/>
                <w:szCs w:val="22"/>
                <w:lang w:val="en-GB" w:eastAsia="en-US"/>
              </w:rPr>
              <w:t>Reporting Requirements</w:t>
            </w:r>
            <w:r w:rsidRPr="002304AE">
              <w:rPr>
                <w:rFonts w:ascii="Arial" w:eastAsia="Times New Roman" w:hAnsi="Arial" w:cs="Arial"/>
                <w:sz w:val="20"/>
                <w:lang w:val="en-GB" w:eastAsia="en-US"/>
              </w:rPr>
              <w:t>) in any report which they make to any relevant Regulatory or Supervisory Body, any NHS Body, any office or agency of the Crown, or to any other appropriate regulatory or official body in connection with Serious Incidents, or in relation to the prevention of Serious Incidents, provided that in each case they notify the Provider of the information disclosed and the body to which they have disclosed it.</w:t>
            </w:r>
          </w:p>
          <w:p w:rsidR="00C50021" w:rsidRDefault="00C50021" w:rsidP="008E3308">
            <w:pPr>
              <w:spacing w:after="0"/>
              <w:ind w:left="720"/>
              <w:contextualSpacing/>
              <w:rPr>
                <w:rFonts w:ascii="Arial" w:eastAsia="Times New Roman" w:hAnsi="Arial" w:cs="Arial"/>
                <w:sz w:val="20"/>
                <w:lang w:val="en-GB" w:eastAsia="en-US"/>
              </w:rPr>
            </w:pPr>
          </w:p>
        </w:tc>
        <w:tc>
          <w:tcPr>
            <w:tcW w:w="1468" w:type="dxa"/>
          </w:tcPr>
          <w:p w:rsidR="00B84A11" w:rsidRDefault="00B84A11" w:rsidP="00B84A11">
            <w:pPr>
              <w:spacing w:after="0"/>
              <w:jc w:val="center"/>
              <w:outlineLvl w:val="1"/>
              <w:rPr>
                <w:rFonts w:ascii="Arial" w:eastAsia="Times New Roman" w:hAnsi="Arial" w:cs="Arial"/>
                <w:b/>
                <w:sz w:val="20"/>
                <w:lang w:val="en-GB" w:eastAsia="en-US"/>
              </w:rPr>
            </w:pPr>
          </w:p>
          <w:p w:rsidR="006935BD" w:rsidRPr="006935BD" w:rsidRDefault="00B84A11" w:rsidP="00B84A11">
            <w:pPr>
              <w:spacing w:after="240"/>
              <w:jc w:val="center"/>
              <w:outlineLvl w:val="1"/>
              <w:rPr>
                <w:rFonts w:ascii="Arial" w:eastAsia="Times New Roman" w:hAnsi="Arial" w:cs="Arial"/>
                <w:b/>
                <w:sz w:val="20"/>
                <w:lang w:val="en-GB" w:eastAsia="en-US"/>
              </w:rPr>
            </w:pPr>
            <w:r w:rsidRPr="003202CE">
              <w:rPr>
                <w:rFonts w:ascii="Arial" w:eastAsia="Times New Roman" w:hAnsi="Arial" w:cs="Arial"/>
                <w:b/>
                <w:sz w:val="20"/>
                <w:lang w:val="en-GB" w:eastAsia="en-US"/>
              </w:rPr>
              <w:t>All</w:t>
            </w:r>
          </w:p>
        </w:tc>
      </w:tr>
    </w:tbl>
    <w:p w:rsidR="002304AE" w:rsidRDefault="002304AE" w:rsidP="007072B0">
      <w:pPr>
        <w:spacing w:after="0"/>
        <w:ind w:left="1701" w:hanging="992"/>
        <w:contextualSpacing/>
        <w:jc w:val="both"/>
        <w:rPr>
          <w:rFonts w:ascii="Arial" w:eastAsia="Times New Roman" w:hAnsi="Arial" w:cs="Arial"/>
          <w:sz w:val="20"/>
          <w:lang w:val="en-GB" w:eastAsia="en-US"/>
        </w:rPr>
      </w:pPr>
    </w:p>
    <w:p w:rsidR="007072B0" w:rsidRDefault="007072B0" w:rsidP="007072B0">
      <w:pPr>
        <w:spacing w:after="0"/>
        <w:ind w:left="1701" w:hanging="992"/>
        <w:contextualSpacing/>
        <w:jc w:val="both"/>
        <w:rPr>
          <w:rFonts w:ascii="Arial" w:eastAsia="Times New Roman" w:hAnsi="Arial" w:cs="Arial"/>
          <w:sz w:val="20"/>
          <w:lang w:val="en-GB" w:eastAsia="en-US"/>
        </w:rPr>
      </w:pP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SC36 (Payment Terms)</w:t>
      </w:r>
    </w:p>
    <w:p w:rsidR="002838DC" w:rsidRPr="007E48CA" w:rsidRDefault="00C40A1E" w:rsidP="003E1FAF">
      <w:pPr>
        <w:numPr>
          <w:ilvl w:val="1"/>
          <w:numId w:val="9"/>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1 April 2018, d</w:t>
      </w:r>
      <w:r w:rsidR="002838DC" w:rsidRPr="007E48CA">
        <w:rPr>
          <w:rFonts w:ascii="Arial" w:eastAsia="Times New Roman" w:hAnsi="Arial" w:cs="Arial"/>
          <w:sz w:val="20"/>
          <w:lang w:val="en-GB" w:eastAsia="en-US"/>
        </w:rPr>
        <w:t>elete the text of SC36.37A (2015/16 Contact: SC36.46A) and replace with</w:t>
      </w:r>
      <w:r w:rsidR="0088615A">
        <w:rPr>
          <w:rFonts w:ascii="Arial" w:eastAsia="Times New Roman" w:hAnsi="Arial" w:cs="Arial"/>
          <w:sz w:val="20"/>
          <w:lang w:val="en-GB" w:eastAsia="en-US"/>
        </w:rPr>
        <w:t xml:space="preserve"> the following (2015/16 Contract: with numbering and cross-referencing to be read as amended accordingly)</w:t>
      </w:r>
      <w:r w:rsidR="002838DC" w:rsidRPr="007E48CA">
        <w:rPr>
          <w:rFonts w:ascii="Arial" w:eastAsia="Times New Roman" w:hAnsi="Arial" w:cs="Arial"/>
          <w:sz w:val="20"/>
          <w:lang w:val="en-GB" w:eastAsia="en-US"/>
        </w:rPr>
        <w:t>:</w:t>
      </w:r>
    </w:p>
    <w:tbl>
      <w:tblPr>
        <w:tblStyle w:val="TableGrid"/>
        <w:tblW w:w="0" w:type="auto"/>
        <w:tblInd w:w="-34" w:type="dxa"/>
        <w:tblLook w:val="04A0" w:firstRow="1" w:lastRow="0" w:firstColumn="1" w:lastColumn="0" w:noHBand="0" w:noVBand="1"/>
        <w:tblCaption w:val="SC36.37A"/>
        <w:tblDescription w:val="SC36.37A"/>
      </w:tblPr>
      <w:tblGrid>
        <w:gridCol w:w="7088"/>
        <w:gridCol w:w="1468"/>
      </w:tblGrid>
      <w:tr w:rsidR="00494432" w:rsidTr="00616289">
        <w:tc>
          <w:tcPr>
            <w:tcW w:w="7088" w:type="dxa"/>
          </w:tcPr>
          <w:p w:rsidR="00494432" w:rsidRPr="00494432" w:rsidRDefault="00494432" w:rsidP="00494432">
            <w:pPr>
              <w:spacing w:after="0"/>
              <w:ind w:left="743"/>
              <w:contextualSpacing/>
              <w:jc w:val="both"/>
              <w:rPr>
                <w:rFonts w:ascii="Arial" w:eastAsia="Times New Roman" w:hAnsi="Arial" w:cs="Arial"/>
                <w:sz w:val="20"/>
                <w:lang w:val="en-GB" w:eastAsia="en-US"/>
              </w:rPr>
            </w:pPr>
          </w:p>
          <w:p w:rsidR="00494432" w:rsidRPr="00494432" w:rsidRDefault="00494432" w:rsidP="00494432">
            <w:pPr>
              <w:spacing w:after="0"/>
              <w:ind w:left="743" w:hanging="709"/>
              <w:jc w:val="both"/>
              <w:rPr>
                <w:rFonts w:ascii="Arial" w:hAnsi="Arial" w:cs="Arial"/>
                <w:sz w:val="20"/>
              </w:rPr>
            </w:pPr>
            <w:r w:rsidRPr="00494432">
              <w:rPr>
                <w:rFonts w:ascii="Arial" w:hAnsi="Arial" w:cs="Arial"/>
                <w:sz w:val="20"/>
              </w:rPr>
              <w:t>36.37A</w:t>
            </w:r>
            <w:r w:rsidRPr="00494432">
              <w:rPr>
                <w:rFonts w:ascii="Arial" w:hAnsi="Arial" w:cs="Arial"/>
                <w:sz w:val="20"/>
              </w:rPr>
              <w:tab/>
              <w:t>If the Provider has been granted access to the general element of the Provider Sustainability Fund, and has, as a condition of access:</w:t>
            </w:r>
          </w:p>
          <w:p w:rsidR="00494432" w:rsidRPr="00494432" w:rsidRDefault="00494432" w:rsidP="00494432">
            <w:pPr>
              <w:spacing w:after="0"/>
              <w:ind w:left="743" w:hanging="709"/>
              <w:jc w:val="both"/>
              <w:rPr>
                <w:rFonts w:ascii="Arial" w:hAnsi="Arial" w:cs="Arial"/>
                <w:sz w:val="20"/>
              </w:rPr>
            </w:pPr>
          </w:p>
          <w:p w:rsidR="00494432" w:rsidRPr="00494432" w:rsidRDefault="00494432" w:rsidP="00494432">
            <w:pPr>
              <w:spacing w:after="0"/>
              <w:ind w:left="1735" w:hanging="992"/>
              <w:jc w:val="both"/>
              <w:rPr>
                <w:rFonts w:ascii="Arial" w:hAnsi="Arial" w:cs="Arial"/>
                <w:sz w:val="20"/>
              </w:rPr>
            </w:pPr>
            <w:r w:rsidRPr="00494432">
              <w:rPr>
                <w:rFonts w:ascii="Arial" w:hAnsi="Arial" w:cs="Arial"/>
                <w:sz w:val="20"/>
              </w:rPr>
              <w:t>36.37A.1</w:t>
            </w:r>
            <w:r w:rsidRPr="00494432">
              <w:rPr>
                <w:rFonts w:ascii="Arial" w:hAnsi="Arial" w:cs="Arial"/>
                <w:sz w:val="20"/>
              </w:rPr>
              <w:tab/>
              <w:t>agreed with the national teams of NHS Improvement and NHS England an overall financial control total and other associated conditions for the Contract Year 1 April 2018 to 31 March 2019; and</w:t>
            </w:r>
          </w:p>
          <w:p w:rsidR="00494432" w:rsidRPr="00494432" w:rsidRDefault="00494432" w:rsidP="00494432">
            <w:pPr>
              <w:spacing w:after="0"/>
              <w:ind w:left="743"/>
              <w:jc w:val="both"/>
              <w:rPr>
                <w:rFonts w:ascii="Arial" w:hAnsi="Arial" w:cs="Arial"/>
                <w:sz w:val="20"/>
              </w:rPr>
            </w:pPr>
          </w:p>
          <w:p w:rsidR="00494432" w:rsidRPr="00494432" w:rsidRDefault="00494432" w:rsidP="00494432">
            <w:pPr>
              <w:spacing w:after="0"/>
              <w:ind w:left="1735" w:hanging="992"/>
              <w:jc w:val="both"/>
              <w:rPr>
                <w:rFonts w:ascii="Arial" w:hAnsi="Arial" w:cs="Arial"/>
                <w:sz w:val="20"/>
              </w:rPr>
            </w:pPr>
            <w:r w:rsidRPr="00494432">
              <w:rPr>
                <w:rFonts w:ascii="Arial" w:hAnsi="Arial" w:cs="Arial"/>
                <w:sz w:val="20"/>
              </w:rPr>
              <w:t>36.37A.2</w:t>
            </w:r>
            <w:r w:rsidRPr="00494432">
              <w:rPr>
                <w:rFonts w:ascii="Arial" w:hAnsi="Arial" w:cs="Arial"/>
                <w:sz w:val="20"/>
              </w:rPr>
              <w:tab/>
              <w:t>(where required by those bodies):</w:t>
            </w:r>
          </w:p>
          <w:p w:rsidR="00494432" w:rsidRPr="00494432" w:rsidRDefault="00494432" w:rsidP="00494432">
            <w:pPr>
              <w:spacing w:after="0"/>
              <w:ind w:left="743"/>
              <w:jc w:val="both"/>
              <w:rPr>
                <w:rFonts w:ascii="Arial" w:hAnsi="Arial" w:cs="Arial"/>
                <w:sz w:val="20"/>
              </w:rPr>
            </w:pPr>
          </w:p>
          <w:p w:rsidR="00494432" w:rsidRPr="00494432" w:rsidRDefault="00494432" w:rsidP="00494432">
            <w:pPr>
              <w:spacing w:after="0"/>
              <w:ind w:left="2869" w:hanging="1134"/>
              <w:jc w:val="both"/>
              <w:rPr>
                <w:rFonts w:ascii="Arial" w:hAnsi="Arial" w:cs="Arial"/>
                <w:sz w:val="20"/>
              </w:rPr>
            </w:pPr>
            <w:r w:rsidRPr="00494432">
              <w:rPr>
                <w:rFonts w:ascii="Arial" w:hAnsi="Arial" w:cs="Arial"/>
                <w:sz w:val="20"/>
              </w:rPr>
              <w:t>36.37A2.1</w:t>
            </w:r>
            <w:r w:rsidRPr="00494432">
              <w:rPr>
                <w:rFonts w:ascii="Arial" w:hAnsi="Arial" w:cs="Arial"/>
                <w:sz w:val="20"/>
              </w:rPr>
              <w:tab/>
              <w:t>agreed with those bodies and with the Commissioners specific performance trajectories to be achieved during the Contract Year 1 April 2018 to 31 March 2019 (as set out in an SDIP contained or referred to in Schedule 6D (</w:t>
            </w:r>
            <w:r w:rsidRPr="00494432">
              <w:rPr>
                <w:rFonts w:ascii="Arial" w:hAnsi="Arial" w:cs="Arial"/>
                <w:i/>
                <w:sz w:val="20"/>
              </w:rPr>
              <w:t>Service Development and Improvement Plans</w:t>
            </w:r>
            <w:r w:rsidRPr="00494432">
              <w:rPr>
                <w:rFonts w:ascii="Arial" w:hAnsi="Arial" w:cs="Arial"/>
                <w:sz w:val="20"/>
              </w:rPr>
              <w:t>)); and/or</w:t>
            </w:r>
          </w:p>
          <w:p w:rsidR="00494432" w:rsidRPr="00494432" w:rsidRDefault="00494432" w:rsidP="00494432">
            <w:pPr>
              <w:spacing w:after="0"/>
              <w:ind w:left="743"/>
              <w:jc w:val="both"/>
              <w:rPr>
                <w:rFonts w:ascii="Arial" w:hAnsi="Arial" w:cs="Arial"/>
                <w:sz w:val="20"/>
              </w:rPr>
            </w:pPr>
          </w:p>
          <w:p w:rsidR="00494432" w:rsidRPr="00494432" w:rsidRDefault="00494432" w:rsidP="00494432">
            <w:pPr>
              <w:spacing w:after="0"/>
              <w:ind w:left="2869" w:hanging="1134"/>
              <w:jc w:val="both"/>
              <w:rPr>
                <w:rFonts w:ascii="Arial" w:hAnsi="Arial" w:cs="Arial"/>
                <w:sz w:val="20"/>
              </w:rPr>
            </w:pPr>
            <w:r w:rsidRPr="00494432">
              <w:rPr>
                <w:rFonts w:ascii="Arial" w:hAnsi="Arial" w:cs="Arial"/>
                <w:sz w:val="20"/>
              </w:rPr>
              <w:t>36.37A2.2</w:t>
            </w:r>
            <w:r w:rsidRPr="00494432">
              <w:rPr>
                <w:rFonts w:ascii="Arial" w:hAnsi="Arial" w:cs="Arial"/>
                <w:sz w:val="20"/>
              </w:rPr>
              <w:tab/>
              <w:t>submitted to those bodies assurance statements setting out commitments on performance against specific Operational Standards and National Quality Requirements to be achieved during the Contract Year 1 April 2018 to 31 March 2019 which have been accepted by those bodies (as set out in an SDIP contained or referred to in Schedule 6D (</w:t>
            </w:r>
            <w:r w:rsidRPr="00494432">
              <w:rPr>
                <w:rFonts w:ascii="Arial" w:hAnsi="Arial" w:cs="Arial"/>
                <w:i/>
                <w:sz w:val="20"/>
              </w:rPr>
              <w:t>Service Development and Improvement Plans</w:t>
            </w:r>
            <w:r w:rsidRPr="00494432">
              <w:rPr>
                <w:rFonts w:ascii="Arial" w:hAnsi="Arial" w:cs="Arial"/>
                <w:sz w:val="20"/>
              </w:rPr>
              <w:t>)),</w:t>
            </w:r>
          </w:p>
          <w:p w:rsidR="00494432" w:rsidRPr="00494432" w:rsidRDefault="00494432" w:rsidP="00494432">
            <w:pPr>
              <w:spacing w:after="0"/>
              <w:ind w:left="743"/>
              <w:jc w:val="both"/>
              <w:rPr>
                <w:rFonts w:ascii="Arial" w:hAnsi="Arial" w:cs="Arial"/>
                <w:sz w:val="20"/>
              </w:rPr>
            </w:pPr>
          </w:p>
          <w:p w:rsidR="00494432" w:rsidRDefault="00494432" w:rsidP="00494432">
            <w:pPr>
              <w:spacing w:after="0"/>
              <w:ind w:left="743"/>
              <w:jc w:val="both"/>
              <w:rPr>
                <w:rFonts w:ascii="Arial" w:hAnsi="Arial" w:cs="Arial"/>
                <w:sz w:val="20"/>
              </w:rPr>
            </w:pPr>
            <w:r w:rsidRPr="00494432">
              <w:rPr>
                <w:rFonts w:ascii="Arial" w:hAnsi="Arial" w:cs="Arial"/>
                <w:sz w:val="20"/>
              </w:rPr>
              <w:t>no repayment will be required to be made, nor any deduction made, in relation to any breach of any threshold which occurs during that Contract Year for which such financial control totals and specific performance trajectories have been agreed and/or such assurance statements have been submitted and accepted in respect of any Operational Standard shown in bold italics in Schedule 4A (</w:t>
            </w:r>
            <w:r w:rsidRPr="00494432">
              <w:rPr>
                <w:rFonts w:ascii="Arial" w:hAnsi="Arial" w:cs="Arial"/>
                <w:i/>
                <w:sz w:val="20"/>
              </w:rPr>
              <w:t>Operational Standards</w:t>
            </w:r>
            <w:r w:rsidRPr="00494432">
              <w:rPr>
                <w:rFonts w:ascii="Arial" w:hAnsi="Arial" w:cs="Arial"/>
                <w:sz w:val="20"/>
              </w:rPr>
              <w:t>) or any National Quality Requirement shown in bold italics in Schedule 4B (</w:t>
            </w:r>
            <w:r w:rsidRPr="00494432">
              <w:rPr>
                <w:rFonts w:ascii="Arial" w:hAnsi="Arial" w:cs="Arial"/>
                <w:i/>
                <w:sz w:val="20"/>
              </w:rPr>
              <w:t>National Quality Requirements</w:t>
            </w:r>
            <w:r w:rsidRPr="00494432">
              <w:rPr>
                <w:rFonts w:ascii="Arial" w:hAnsi="Arial" w:cs="Arial"/>
                <w:sz w:val="20"/>
              </w:rPr>
              <w:t xml:space="preserve">). </w:t>
            </w:r>
          </w:p>
          <w:p w:rsidR="00494432" w:rsidRDefault="00494432" w:rsidP="00494432">
            <w:pPr>
              <w:spacing w:after="0"/>
              <w:ind w:left="743"/>
              <w:jc w:val="both"/>
              <w:rPr>
                <w:rFonts w:ascii="Arial" w:eastAsia="Times New Roman" w:hAnsi="Arial" w:cs="Arial"/>
                <w:sz w:val="20"/>
                <w:lang w:val="en-GB" w:eastAsia="en-US"/>
              </w:rPr>
            </w:pPr>
          </w:p>
        </w:tc>
        <w:tc>
          <w:tcPr>
            <w:tcW w:w="1468" w:type="dxa"/>
          </w:tcPr>
          <w:p w:rsidR="00494432" w:rsidRDefault="00494432" w:rsidP="00494432">
            <w:pPr>
              <w:spacing w:after="0"/>
              <w:jc w:val="both"/>
              <w:rPr>
                <w:rFonts w:ascii="Arial" w:eastAsia="Times New Roman" w:hAnsi="Arial" w:cs="Arial"/>
                <w:sz w:val="20"/>
                <w:lang w:val="en-GB" w:eastAsia="en-US"/>
              </w:rPr>
            </w:pPr>
          </w:p>
          <w:p w:rsidR="00494432" w:rsidRPr="00494432" w:rsidRDefault="00494432" w:rsidP="00494432">
            <w:pPr>
              <w:spacing w:after="240"/>
              <w:jc w:val="center"/>
              <w:outlineLvl w:val="1"/>
              <w:rPr>
                <w:rFonts w:ascii="Arial" w:eastAsia="Times New Roman" w:hAnsi="Arial" w:cs="Arial"/>
                <w:b/>
                <w:sz w:val="20"/>
                <w:lang w:val="en-GB" w:eastAsia="en-US"/>
              </w:rPr>
            </w:pPr>
            <w:r w:rsidRPr="00494432">
              <w:rPr>
                <w:rFonts w:ascii="Arial" w:eastAsia="Times New Roman" w:hAnsi="Arial" w:cs="Arial"/>
                <w:b/>
                <w:sz w:val="20"/>
                <w:lang w:val="en-GB" w:eastAsia="en-US"/>
              </w:rPr>
              <w:t>All</w:t>
            </w:r>
          </w:p>
        </w:tc>
      </w:tr>
    </w:tbl>
    <w:p w:rsidR="00494432" w:rsidRDefault="00494432" w:rsidP="007072B0">
      <w:pPr>
        <w:spacing w:after="0"/>
        <w:ind w:left="720"/>
        <w:jc w:val="both"/>
        <w:outlineLvl w:val="1"/>
        <w:rPr>
          <w:rFonts w:ascii="Arial" w:eastAsia="Times New Roman" w:hAnsi="Arial" w:cs="Arial"/>
          <w:sz w:val="20"/>
          <w:lang w:val="en-GB" w:eastAsia="en-US"/>
        </w:rPr>
      </w:pPr>
    </w:p>
    <w:p w:rsidR="007072B0" w:rsidRDefault="007072B0" w:rsidP="007072B0">
      <w:pPr>
        <w:spacing w:after="0"/>
        <w:ind w:left="720"/>
        <w:jc w:val="both"/>
        <w:outlineLvl w:val="1"/>
        <w:rPr>
          <w:rFonts w:ascii="Arial" w:eastAsia="Times New Roman" w:hAnsi="Arial" w:cs="Arial"/>
          <w:sz w:val="20"/>
          <w:lang w:val="en-GB" w:eastAsia="en-US"/>
        </w:rPr>
      </w:pPr>
    </w:p>
    <w:p w:rsidR="008B7FA9" w:rsidRPr="00D7720B" w:rsidRDefault="00E379BB" w:rsidP="003E1FAF">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1 April 2018, a</w:t>
      </w:r>
      <w:r w:rsidR="008B7FA9" w:rsidRPr="00D7720B">
        <w:rPr>
          <w:rFonts w:ascii="Arial" w:eastAsia="Times New Roman" w:hAnsi="Arial" w:cs="Arial"/>
          <w:sz w:val="20"/>
          <w:lang w:val="en-GB" w:eastAsia="en-US"/>
        </w:rPr>
        <w:t xml:space="preserve">dd a new </w:t>
      </w:r>
      <w:r w:rsidR="008B7FA9">
        <w:rPr>
          <w:rFonts w:ascii="Arial" w:eastAsia="Times New Roman" w:hAnsi="Arial" w:cs="Arial"/>
          <w:sz w:val="20"/>
          <w:lang w:val="en-GB" w:eastAsia="en-US"/>
        </w:rPr>
        <w:t>SC36.52</w:t>
      </w:r>
      <w:r w:rsidR="008B7FA9" w:rsidRPr="00D7720B">
        <w:rPr>
          <w:rFonts w:ascii="Arial" w:eastAsia="Times New Roman" w:hAnsi="Arial" w:cs="Arial"/>
          <w:sz w:val="20"/>
          <w:lang w:val="en-GB" w:eastAsia="en-US"/>
        </w:rPr>
        <w:t xml:space="preserve"> (201</w:t>
      </w:r>
      <w:r w:rsidR="008B7FA9">
        <w:rPr>
          <w:rFonts w:ascii="Arial" w:eastAsia="Times New Roman" w:hAnsi="Arial" w:cs="Arial"/>
          <w:sz w:val="20"/>
          <w:lang w:val="en-GB" w:eastAsia="en-US"/>
        </w:rPr>
        <w:t>5/16</w:t>
      </w:r>
      <w:r w:rsidR="008B7FA9" w:rsidRPr="00D7720B">
        <w:rPr>
          <w:rFonts w:ascii="Arial" w:eastAsia="Times New Roman" w:hAnsi="Arial" w:cs="Arial"/>
          <w:sz w:val="20"/>
          <w:lang w:val="en-GB" w:eastAsia="en-US"/>
        </w:rPr>
        <w:t xml:space="preserve"> Contract: </w:t>
      </w:r>
      <w:r w:rsidR="008B7FA9">
        <w:rPr>
          <w:rFonts w:ascii="Arial" w:eastAsia="Times New Roman" w:hAnsi="Arial" w:cs="Arial"/>
          <w:sz w:val="20"/>
          <w:lang w:val="en-GB" w:eastAsia="en-US"/>
        </w:rPr>
        <w:t>S</w:t>
      </w:r>
      <w:r w:rsidR="008B7FA9" w:rsidRPr="00D7720B">
        <w:rPr>
          <w:rFonts w:ascii="Arial" w:eastAsia="Times New Roman" w:hAnsi="Arial" w:cs="Arial"/>
          <w:sz w:val="20"/>
          <w:lang w:val="en-GB" w:eastAsia="en-US"/>
        </w:rPr>
        <w:t>C</w:t>
      </w:r>
      <w:r w:rsidR="008B7FA9">
        <w:rPr>
          <w:rFonts w:ascii="Arial" w:eastAsia="Times New Roman" w:hAnsi="Arial" w:cs="Arial"/>
          <w:sz w:val="20"/>
          <w:lang w:val="en-GB" w:eastAsia="en-US"/>
        </w:rPr>
        <w:t>36.6</w:t>
      </w:r>
      <w:r w:rsidR="00C536AF">
        <w:rPr>
          <w:rFonts w:ascii="Arial" w:eastAsia="Times New Roman" w:hAnsi="Arial" w:cs="Arial"/>
          <w:sz w:val="20"/>
          <w:lang w:val="en-GB" w:eastAsia="en-US"/>
        </w:rPr>
        <w:t>1</w:t>
      </w:r>
      <w:r w:rsidR="008B7FA9" w:rsidRPr="00D7720B">
        <w:rPr>
          <w:rFonts w:ascii="Arial" w:eastAsia="Times New Roman" w:hAnsi="Arial" w:cs="Arial"/>
          <w:sz w:val="20"/>
          <w:lang w:val="en-GB" w:eastAsia="en-US"/>
        </w:rPr>
        <w:t xml:space="preserve">) as follows: </w:t>
      </w:r>
    </w:p>
    <w:tbl>
      <w:tblPr>
        <w:tblStyle w:val="TableGrid"/>
        <w:tblW w:w="0" w:type="auto"/>
        <w:tblInd w:w="-34" w:type="dxa"/>
        <w:tblLook w:val="04A0" w:firstRow="1" w:lastRow="0" w:firstColumn="1" w:lastColumn="0" w:noHBand="0" w:noVBand="1"/>
        <w:tblCaption w:val="SC36.52"/>
        <w:tblDescription w:val="SC36.52"/>
      </w:tblPr>
      <w:tblGrid>
        <w:gridCol w:w="7088"/>
        <w:gridCol w:w="1468"/>
      </w:tblGrid>
      <w:tr w:rsidR="00494432" w:rsidTr="00616289">
        <w:tc>
          <w:tcPr>
            <w:tcW w:w="7088" w:type="dxa"/>
          </w:tcPr>
          <w:p w:rsidR="00494432" w:rsidRPr="00494432" w:rsidRDefault="00494432" w:rsidP="00494432">
            <w:pPr>
              <w:spacing w:after="0"/>
              <w:ind w:left="720"/>
              <w:contextualSpacing/>
              <w:jc w:val="both"/>
              <w:rPr>
                <w:rFonts w:ascii="Arial" w:eastAsia="Times New Roman" w:hAnsi="Arial" w:cs="Arial"/>
                <w:sz w:val="20"/>
                <w:lang w:val="en-GB" w:eastAsia="en-US"/>
              </w:rPr>
            </w:pPr>
          </w:p>
          <w:p w:rsidR="00494432" w:rsidRDefault="00494432" w:rsidP="00494432">
            <w:pPr>
              <w:spacing w:after="0"/>
              <w:ind w:left="743" w:hanging="709"/>
              <w:jc w:val="both"/>
              <w:rPr>
                <w:rFonts w:ascii="Arial" w:eastAsia="Times New Roman" w:hAnsi="Arial" w:cs="Arial"/>
                <w:sz w:val="20"/>
                <w:szCs w:val="22"/>
                <w:lang w:val="en-GB" w:eastAsia="en-US"/>
              </w:rPr>
            </w:pPr>
            <w:r>
              <w:rPr>
                <w:rFonts w:ascii="Arial" w:eastAsia="Times New Roman" w:hAnsi="Arial" w:cs="Arial"/>
                <w:sz w:val="20"/>
                <w:lang w:val="en-GB" w:eastAsia="en-US"/>
              </w:rPr>
              <w:tab/>
            </w:r>
            <w:r w:rsidRPr="00494432">
              <w:rPr>
                <w:rFonts w:ascii="Arial" w:eastAsia="Times New Roman" w:hAnsi="Arial" w:cs="Arial"/>
                <w:sz w:val="20"/>
                <w:szCs w:val="22"/>
                <w:lang w:val="en-GB" w:eastAsia="en-US"/>
              </w:rPr>
              <w:t xml:space="preserve">With </w:t>
            </w:r>
            <w:r w:rsidRPr="00494432">
              <w:rPr>
                <w:rFonts w:ascii="Arial" w:eastAsia="Times New Roman" w:hAnsi="Arial" w:cs="Arial"/>
                <w:sz w:val="20"/>
                <w:lang w:val="en-GB" w:eastAsia="en-GB"/>
              </w:rPr>
              <w:t>effect</w:t>
            </w:r>
            <w:r w:rsidRPr="00494432">
              <w:rPr>
                <w:rFonts w:ascii="Arial" w:eastAsia="Times New Roman" w:hAnsi="Arial" w:cs="Arial"/>
                <w:sz w:val="20"/>
                <w:szCs w:val="22"/>
                <w:lang w:val="en-GB" w:eastAsia="en-US"/>
              </w:rPr>
              <w:t xml:space="preserve"> from 1 October 2018, where, in the course of providing the Services, the Provider or any Sub-Contractor requires a sample taken from a Service User to be subject to a genomic laboratory test listed in the National Genomic Test Directory, that sample must be submitted to the appropriate Genomic Laboratory Hub </w:t>
            </w:r>
            <w:r w:rsidRPr="00494432">
              <w:rPr>
                <w:rFonts w:ascii="Arial" w:hAnsi="Arial" w:cs="Arial"/>
                <w:sz w:val="20"/>
              </w:rPr>
              <w:t>commissioned</w:t>
            </w:r>
            <w:r w:rsidRPr="00494432">
              <w:rPr>
                <w:rFonts w:ascii="Arial" w:eastAsia="Times New Roman" w:hAnsi="Arial" w:cs="Arial"/>
                <w:sz w:val="20"/>
                <w:szCs w:val="22"/>
                <w:lang w:val="en-GB" w:eastAsia="en-US"/>
              </w:rPr>
              <w:t xml:space="preserve"> by NHS England to arrange and/or perform the relevant test. Each submission of a sample must be made in accordance with the criteria for ordering tests set out in the National Genomic Test Directory.</w:t>
            </w:r>
          </w:p>
          <w:p w:rsidR="00494432" w:rsidRDefault="00494432" w:rsidP="00494432">
            <w:pPr>
              <w:spacing w:after="0"/>
              <w:ind w:left="743" w:hanging="709"/>
              <w:jc w:val="both"/>
              <w:rPr>
                <w:rFonts w:ascii="Arial" w:eastAsia="Times New Roman" w:hAnsi="Arial" w:cs="Arial"/>
                <w:sz w:val="20"/>
                <w:lang w:val="en-GB" w:eastAsia="en-US"/>
              </w:rPr>
            </w:pPr>
          </w:p>
        </w:tc>
        <w:tc>
          <w:tcPr>
            <w:tcW w:w="1468" w:type="dxa"/>
          </w:tcPr>
          <w:p w:rsidR="00494432" w:rsidRDefault="00494432" w:rsidP="00494432">
            <w:pPr>
              <w:spacing w:after="0"/>
              <w:ind w:left="720"/>
              <w:contextualSpacing/>
              <w:jc w:val="both"/>
              <w:rPr>
                <w:rFonts w:ascii="Arial" w:eastAsia="Times New Roman" w:hAnsi="Arial" w:cs="Arial"/>
                <w:sz w:val="20"/>
                <w:lang w:val="en-GB" w:eastAsia="en-US"/>
              </w:rPr>
            </w:pPr>
          </w:p>
          <w:p w:rsidR="00494432" w:rsidRDefault="00494432" w:rsidP="00494432">
            <w:pPr>
              <w:spacing w:after="240"/>
              <w:jc w:val="center"/>
              <w:outlineLvl w:val="1"/>
              <w:rPr>
                <w:rFonts w:ascii="Arial" w:eastAsia="Times New Roman" w:hAnsi="Arial" w:cs="Arial"/>
                <w:sz w:val="20"/>
                <w:lang w:val="en-GB" w:eastAsia="en-US"/>
              </w:rPr>
            </w:pPr>
            <w:r>
              <w:rPr>
                <w:rFonts w:ascii="Arial" w:hAnsi="Arial" w:cs="Arial"/>
                <w:b/>
                <w:sz w:val="20"/>
              </w:rPr>
              <w:t>A+E, A, CR, CS, D, MH, MHSS, R</w:t>
            </w:r>
          </w:p>
        </w:tc>
      </w:tr>
    </w:tbl>
    <w:p w:rsidR="00F624C3" w:rsidRDefault="00F624C3">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rsidR="00F624C3" w:rsidRPr="007C6CDC" w:rsidRDefault="00F624C3" w:rsidP="00F624C3">
      <w:pPr>
        <w:pStyle w:val="ListParagraph"/>
        <w:keepNext/>
        <w:spacing w:after="240"/>
        <w:ind w:left="375"/>
        <w:jc w:val="both"/>
        <w:outlineLvl w:val="1"/>
        <w:rPr>
          <w:rFonts w:ascii="Arial Bold" w:eastAsia="Times New Roman" w:hAnsi="Arial Bold" w:cs="Arial"/>
          <w:b/>
          <w:caps/>
          <w:szCs w:val="24"/>
          <w:lang w:val="en-GB" w:eastAsia="en-US"/>
        </w:rPr>
      </w:pPr>
      <w:r>
        <w:rPr>
          <w:rFonts w:ascii="Arial Bold" w:eastAsia="Times New Roman" w:hAnsi="Arial Bold" w:cs="Arial"/>
          <w:b/>
          <w:caps/>
          <w:szCs w:val="24"/>
          <w:lang w:val="en-GB" w:eastAsia="en-US"/>
        </w:rPr>
        <w:t>general conditions</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GC9 (Contract Management)</w:t>
      </w:r>
    </w:p>
    <w:p w:rsidR="002838DC" w:rsidRPr="00E340DD" w:rsidRDefault="003E1FAF" w:rsidP="008121FC">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With effect from 1 April 2018, delete the text of GC9.26 </w:t>
      </w:r>
      <w:r w:rsidR="00236C1E">
        <w:rPr>
          <w:rFonts w:ascii="Arial" w:eastAsia="Times New Roman" w:hAnsi="Arial" w:cs="Arial"/>
          <w:sz w:val="20"/>
          <w:lang w:val="en-GB" w:eastAsia="en-US"/>
        </w:rPr>
        <w:t>and replace with</w:t>
      </w:r>
      <w:r w:rsidR="002838DC" w:rsidRPr="00E340DD">
        <w:rPr>
          <w:rFonts w:ascii="Arial" w:eastAsia="Times New Roman" w:hAnsi="Arial" w:cs="Arial"/>
          <w:sz w:val="20"/>
          <w:lang w:val="en-GB" w:eastAsia="en-US"/>
        </w:rPr>
        <w:t xml:space="preserve">: </w:t>
      </w:r>
    </w:p>
    <w:tbl>
      <w:tblPr>
        <w:tblStyle w:val="TableGrid9"/>
        <w:tblW w:w="0" w:type="auto"/>
        <w:tblLook w:val="04A0" w:firstRow="1" w:lastRow="0" w:firstColumn="1" w:lastColumn="0" w:noHBand="0" w:noVBand="1"/>
        <w:tblCaption w:val="GC9.26"/>
        <w:tblDescription w:val="GC9.26"/>
      </w:tblPr>
      <w:tblGrid>
        <w:gridCol w:w="8522"/>
      </w:tblGrid>
      <w:tr w:rsidR="007A62AA" w:rsidRPr="007A62AA" w:rsidTr="007A62AA">
        <w:tc>
          <w:tcPr>
            <w:tcW w:w="8522" w:type="dxa"/>
          </w:tcPr>
          <w:p w:rsidR="007A62AA" w:rsidRPr="00326DA9" w:rsidRDefault="007A62AA" w:rsidP="007A62AA">
            <w:pPr>
              <w:spacing w:after="0"/>
              <w:ind w:left="142" w:right="43" w:firstLine="567"/>
              <w:jc w:val="both"/>
              <w:rPr>
                <w:rFonts w:ascii="Arial" w:hAnsi="Arial" w:cs="Arial"/>
                <w:sz w:val="20"/>
              </w:rPr>
            </w:pPr>
          </w:p>
          <w:p w:rsidR="007A62AA" w:rsidRPr="00326DA9" w:rsidRDefault="007A62AA" w:rsidP="007A62AA">
            <w:pPr>
              <w:spacing w:after="0"/>
              <w:ind w:left="142" w:right="43" w:firstLine="567"/>
              <w:jc w:val="both"/>
              <w:rPr>
                <w:rFonts w:ascii="Arial" w:hAnsi="Arial" w:cs="Arial"/>
                <w:b/>
                <w:sz w:val="20"/>
              </w:rPr>
            </w:pPr>
            <w:r w:rsidRPr="00326DA9">
              <w:rPr>
                <w:rFonts w:ascii="Arial" w:hAnsi="Arial" w:cs="Arial"/>
                <w:b/>
                <w:sz w:val="20"/>
              </w:rPr>
              <w:t>Provider Sustainability Fund</w:t>
            </w:r>
          </w:p>
          <w:p w:rsidR="007A62AA" w:rsidRPr="007A62AA" w:rsidRDefault="007A62AA" w:rsidP="007A62AA">
            <w:pPr>
              <w:spacing w:after="0"/>
              <w:ind w:left="142" w:right="43"/>
              <w:jc w:val="both"/>
              <w:rPr>
                <w:rFonts w:ascii="Arial" w:hAnsi="Arial" w:cs="Arial"/>
                <w:sz w:val="20"/>
              </w:rPr>
            </w:pPr>
          </w:p>
          <w:p w:rsidR="007A62AA" w:rsidRPr="007A62AA" w:rsidRDefault="007A62AA" w:rsidP="007A62AA">
            <w:pPr>
              <w:spacing w:after="0"/>
              <w:ind w:left="718" w:right="43" w:hanging="718"/>
              <w:jc w:val="both"/>
              <w:rPr>
                <w:rFonts w:ascii="Arial" w:hAnsi="Arial" w:cs="Arial"/>
                <w:sz w:val="20"/>
              </w:rPr>
            </w:pPr>
            <w:r w:rsidRPr="007A62AA">
              <w:rPr>
                <w:rFonts w:ascii="Arial" w:hAnsi="Arial" w:cs="Arial"/>
                <w:sz w:val="20"/>
              </w:rPr>
              <w:t>9.26</w:t>
            </w:r>
            <w:r w:rsidRPr="007A62AA">
              <w:rPr>
                <w:rFonts w:ascii="Arial" w:hAnsi="Arial" w:cs="Arial"/>
                <w:sz w:val="20"/>
              </w:rPr>
              <w:tab/>
              <w:t>If the Provider has been granted access to the general element of the Provider Sustainability Fund, and has, as a condition of access:</w:t>
            </w:r>
          </w:p>
          <w:p w:rsidR="007A62AA" w:rsidRPr="007A62AA" w:rsidRDefault="007A62AA" w:rsidP="007A62AA">
            <w:pPr>
              <w:spacing w:after="0"/>
              <w:ind w:left="142" w:right="43"/>
              <w:jc w:val="both"/>
              <w:rPr>
                <w:rFonts w:ascii="Arial" w:hAnsi="Arial" w:cs="Arial"/>
                <w:sz w:val="20"/>
              </w:rPr>
            </w:pPr>
          </w:p>
          <w:p w:rsidR="007A62AA" w:rsidRPr="007A62AA" w:rsidRDefault="007A62AA" w:rsidP="007A62AA">
            <w:pPr>
              <w:spacing w:after="0"/>
              <w:ind w:left="1440" w:right="43" w:hanging="731"/>
              <w:jc w:val="both"/>
              <w:rPr>
                <w:rFonts w:ascii="Arial" w:eastAsia="Times New Roman" w:hAnsi="Arial" w:cs="Arial"/>
                <w:sz w:val="20"/>
                <w:szCs w:val="24"/>
                <w:lang w:val="en-GB" w:eastAsia="en-GB"/>
              </w:rPr>
            </w:pPr>
            <w:r w:rsidRPr="007A62AA">
              <w:rPr>
                <w:rFonts w:ascii="Arial" w:eastAsia="Times New Roman" w:hAnsi="Arial" w:cs="Arial"/>
                <w:sz w:val="20"/>
                <w:szCs w:val="24"/>
                <w:lang w:val="en-GB" w:eastAsia="en-GB"/>
              </w:rPr>
              <w:t>9.26.1</w:t>
            </w:r>
            <w:r w:rsidRPr="007A62AA">
              <w:rPr>
                <w:rFonts w:ascii="Arial" w:eastAsia="Times New Roman" w:hAnsi="Arial" w:cs="Arial"/>
                <w:sz w:val="20"/>
                <w:szCs w:val="24"/>
                <w:lang w:val="en-GB" w:eastAsia="en-GB"/>
              </w:rPr>
              <w:tab/>
              <w:t xml:space="preserve">agreed with the national teams of NHS Improvement and NHS England an overall financial control total and other associated conditions </w:t>
            </w:r>
            <w:r w:rsidRPr="007A62AA">
              <w:rPr>
                <w:rFonts w:ascii="Arial" w:hAnsi="Arial" w:cs="Arial"/>
                <w:sz w:val="20"/>
                <w:szCs w:val="24"/>
                <w:lang w:val="en-GB" w:eastAsia="en-GB"/>
              </w:rPr>
              <w:t>for the Contract Year 1 April 2018 to 31 March 2019</w:t>
            </w:r>
            <w:r w:rsidRPr="007A62AA">
              <w:rPr>
                <w:rFonts w:ascii="Arial" w:eastAsia="Times New Roman" w:hAnsi="Arial" w:cs="Arial"/>
                <w:sz w:val="20"/>
                <w:szCs w:val="24"/>
                <w:lang w:val="en-GB" w:eastAsia="en-GB"/>
              </w:rPr>
              <w:t xml:space="preserve">; and </w:t>
            </w:r>
          </w:p>
          <w:p w:rsidR="007A62AA" w:rsidRPr="007A62AA" w:rsidRDefault="007A62AA" w:rsidP="007A62AA">
            <w:pPr>
              <w:spacing w:after="0"/>
              <w:ind w:left="1440" w:right="43" w:hanging="731"/>
              <w:jc w:val="both"/>
              <w:rPr>
                <w:rFonts w:ascii="Arial" w:eastAsia="Times New Roman" w:hAnsi="Arial" w:cs="Arial"/>
                <w:sz w:val="20"/>
                <w:szCs w:val="24"/>
                <w:lang w:val="en-GB" w:eastAsia="en-GB"/>
              </w:rPr>
            </w:pPr>
          </w:p>
          <w:p w:rsidR="007A62AA" w:rsidRPr="007A62AA" w:rsidRDefault="007A62AA" w:rsidP="007A62AA">
            <w:pPr>
              <w:spacing w:after="0"/>
              <w:ind w:left="993" w:right="43" w:hanging="284"/>
              <w:jc w:val="both"/>
              <w:rPr>
                <w:rFonts w:ascii="Arial" w:eastAsia="Times New Roman" w:hAnsi="Arial" w:cs="Arial"/>
                <w:sz w:val="20"/>
                <w:szCs w:val="24"/>
                <w:lang w:val="en-GB" w:eastAsia="en-GB"/>
              </w:rPr>
            </w:pPr>
            <w:r w:rsidRPr="007A62AA">
              <w:rPr>
                <w:rFonts w:ascii="Arial" w:eastAsia="Times New Roman" w:hAnsi="Arial" w:cs="Arial"/>
                <w:sz w:val="20"/>
                <w:szCs w:val="24"/>
                <w:lang w:val="en-GB" w:eastAsia="en-GB"/>
              </w:rPr>
              <w:t>9.26.2</w:t>
            </w:r>
            <w:r w:rsidRPr="007A62AA">
              <w:rPr>
                <w:rFonts w:ascii="Arial" w:eastAsia="Times New Roman" w:hAnsi="Arial" w:cs="Arial"/>
                <w:sz w:val="20"/>
                <w:szCs w:val="24"/>
                <w:lang w:val="en-GB" w:eastAsia="en-GB"/>
              </w:rPr>
              <w:tab/>
              <w:t>(where required by those bodies):</w:t>
            </w:r>
          </w:p>
          <w:p w:rsidR="007A62AA" w:rsidRPr="007A62AA" w:rsidRDefault="007A62AA" w:rsidP="007A62AA">
            <w:pPr>
              <w:spacing w:after="0"/>
              <w:ind w:left="2127" w:right="43"/>
              <w:jc w:val="both"/>
              <w:rPr>
                <w:rFonts w:ascii="Arial" w:eastAsia="Times New Roman" w:hAnsi="Arial" w:cs="Arial"/>
                <w:sz w:val="20"/>
                <w:szCs w:val="24"/>
                <w:lang w:val="en-GB" w:eastAsia="en-GB"/>
              </w:rPr>
            </w:pPr>
          </w:p>
          <w:p w:rsidR="007A62AA" w:rsidRPr="007A62AA" w:rsidRDefault="007A62AA" w:rsidP="007A62AA">
            <w:pPr>
              <w:spacing w:after="0"/>
              <w:ind w:left="2127" w:right="43" w:hanging="709"/>
              <w:jc w:val="both"/>
              <w:rPr>
                <w:rFonts w:ascii="Arial" w:eastAsia="Times New Roman" w:hAnsi="Arial" w:cs="Arial"/>
                <w:sz w:val="20"/>
                <w:szCs w:val="24"/>
                <w:lang w:val="en-GB" w:eastAsia="en-GB"/>
              </w:rPr>
            </w:pPr>
            <w:r w:rsidRPr="007A62AA">
              <w:rPr>
                <w:rFonts w:ascii="Arial" w:eastAsia="Times New Roman" w:hAnsi="Arial" w:cs="Arial"/>
                <w:sz w:val="20"/>
                <w:szCs w:val="24"/>
                <w:lang w:val="en-GB" w:eastAsia="en-GB"/>
              </w:rPr>
              <w:t>9.26.2.1</w:t>
            </w:r>
            <w:r w:rsidRPr="007A62AA">
              <w:rPr>
                <w:rFonts w:ascii="Arial" w:eastAsia="Times New Roman" w:hAnsi="Arial" w:cs="Arial"/>
                <w:sz w:val="20"/>
                <w:szCs w:val="24"/>
                <w:lang w:val="en-GB" w:eastAsia="en-GB"/>
              </w:rPr>
              <w:tab/>
              <w:t xml:space="preserve">agreed with those bodies and with the Commissioners specific performance trajectories to be achieved during </w:t>
            </w:r>
            <w:r w:rsidRPr="007A62AA">
              <w:rPr>
                <w:rFonts w:ascii="Arial" w:hAnsi="Arial" w:cs="Arial"/>
                <w:sz w:val="20"/>
                <w:szCs w:val="24"/>
                <w:lang w:val="en-GB" w:eastAsia="en-GB"/>
              </w:rPr>
              <w:t xml:space="preserve">the Contract Year 1 April 2018 to 31 March 2019 </w:t>
            </w:r>
            <w:r w:rsidRPr="007A62AA">
              <w:rPr>
                <w:rFonts w:ascii="Arial" w:eastAsia="Times New Roman" w:hAnsi="Arial" w:cs="Arial"/>
                <w:sz w:val="20"/>
                <w:szCs w:val="24"/>
                <w:lang w:val="en-GB" w:eastAsia="en-GB"/>
              </w:rPr>
              <w:t>(as set out in an SDIP contained or referred to in Schedule 6D (</w:t>
            </w:r>
            <w:r w:rsidRPr="007A62AA">
              <w:rPr>
                <w:rFonts w:ascii="Arial" w:eastAsia="Times New Roman" w:hAnsi="Arial" w:cs="Arial"/>
                <w:i/>
                <w:sz w:val="20"/>
                <w:szCs w:val="24"/>
                <w:lang w:val="en-GB" w:eastAsia="en-GB"/>
              </w:rPr>
              <w:t>Service Development and Improvement Plans</w:t>
            </w:r>
            <w:r w:rsidRPr="007A62AA">
              <w:rPr>
                <w:rFonts w:ascii="Arial" w:eastAsia="Times New Roman" w:hAnsi="Arial" w:cs="Arial"/>
                <w:sz w:val="20"/>
                <w:szCs w:val="24"/>
                <w:lang w:val="en-GB" w:eastAsia="en-GB"/>
              </w:rPr>
              <w:t>)); and/or</w:t>
            </w:r>
          </w:p>
          <w:p w:rsidR="007A62AA" w:rsidRPr="007A62AA" w:rsidRDefault="007A62AA" w:rsidP="007A62AA">
            <w:pPr>
              <w:spacing w:after="0"/>
              <w:ind w:left="2127" w:right="43" w:hanging="709"/>
              <w:jc w:val="both"/>
              <w:rPr>
                <w:rFonts w:ascii="Arial" w:eastAsia="Times New Roman" w:hAnsi="Arial" w:cs="Arial"/>
                <w:sz w:val="20"/>
                <w:szCs w:val="24"/>
                <w:lang w:val="en-GB" w:eastAsia="en-GB"/>
              </w:rPr>
            </w:pPr>
          </w:p>
          <w:p w:rsidR="007A62AA" w:rsidRPr="007A62AA" w:rsidRDefault="007A62AA" w:rsidP="007A62AA">
            <w:pPr>
              <w:spacing w:after="0"/>
              <w:ind w:left="2127" w:right="43" w:hanging="709"/>
              <w:jc w:val="both"/>
              <w:rPr>
                <w:rFonts w:ascii="Arial" w:eastAsia="Times New Roman" w:hAnsi="Arial" w:cs="Arial"/>
                <w:sz w:val="20"/>
                <w:szCs w:val="24"/>
                <w:lang w:val="en-GB" w:eastAsia="en-GB"/>
              </w:rPr>
            </w:pPr>
            <w:r w:rsidRPr="007A62AA">
              <w:rPr>
                <w:rFonts w:ascii="Arial" w:eastAsia="Times New Roman" w:hAnsi="Arial" w:cs="Arial"/>
                <w:sz w:val="20"/>
                <w:szCs w:val="24"/>
                <w:lang w:val="en-GB" w:eastAsia="en-GB"/>
              </w:rPr>
              <w:t>9.26.2.2</w:t>
            </w:r>
            <w:r w:rsidRPr="007A62AA">
              <w:rPr>
                <w:rFonts w:ascii="Arial" w:eastAsia="Times New Roman" w:hAnsi="Arial" w:cs="Arial"/>
                <w:sz w:val="20"/>
                <w:szCs w:val="24"/>
                <w:lang w:val="en-GB" w:eastAsia="en-GB"/>
              </w:rPr>
              <w:tab/>
              <w:t>submitted to those bodies assurance statements setting out commitments on performance against specific Operational Standards and National Quality Requirements to be achieved during</w:t>
            </w:r>
            <w:r w:rsidRPr="007A62AA">
              <w:rPr>
                <w:rFonts w:ascii="Arial" w:hAnsi="Arial" w:cs="Arial"/>
                <w:sz w:val="20"/>
                <w:szCs w:val="24"/>
                <w:lang w:val="en-GB" w:eastAsia="en-GB"/>
              </w:rPr>
              <w:t xml:space="preserve"> the Contract Year 1 April 2018 to 31 March 2019 </w:t>
            </w:r>
            <w:r w:rsidRPr="007A62AA">
              <w:rPr>
                <w:rFonts w:ascii="Arial" w:eastAsia="Times New Roman" w:hAnsi="Arial" w:cs="Arial"/>
                <w:sz w:val="20"/>
                <w:szCs w:val="24"/>
                <w:lang w:val="en-GB" w:eastAsia="en-GB"/>
              </w:rPr>
              <w:t>which have been accepted by those bodies (as set out in an SDIP contained or referred to in Schedule 6D (</w:t>
            </w:r>
            <w:r w:rsidRPr="007A62AA">
              <w:rPr>
                <w:rFonts w:ascii="Arial" w:eastAsia="Times New Roman" w:hAnsi="Arial" w:cs="Arial"/>
                <w:i/>
                <w:sz w:val="20"/>
                <w:szCs w:val="24"/>
                <w:lang w:val="en-GB" w:eastAsia="en-GB"/>
              </w:rPr>
              <w:t>Service Development and Improvement Plans</w:t>
            </w:r>
            <w:r w:rsidRPr="007A62AA">
              <w:rPr>
                <w:rFonts w:ascii="Arial" w:eastAsia="Times New Roman" w:hAnsi="Arial" w:cs="Arial"/>
                <w:sz w:val="20"/>
                <w:szCs w:val="24"/>
                <w:lang w:val="en-GB" w:eastAsia="en-GB"/>
              </w:rPr>
              <w:t>)),</w:t>
            </w:r>
          </w:p>
          <w:p w:rsidR="007A62AA" w:rsidRPr="007A62AA" w:rsidRDefault="007A62AA" w:rsidP="007A62AA">
            <w:pPr>
              <w:spacing w:after="0"/>
              <w:ind w:left="2127" w:right="43"/>
              <w:jc w:val="both"/>
              <w:rPr>
                <w:rFonts w:ascii="Arial" w:eastAsia="Times New Roman" w:hAnsi="Arial" w:cs="Arial"/>
                <w:sz w:val="20"/>
                <w:szCs w:val="24"/>
                <w:lang w:val="en-GB" w:eastAsia="en-GB"/>
              </w:rPr>
            </w:pPr>
          </w:p>
          <w:p w:rsidR="007A62AA" w:rsidRPr="007A62AA" w:rsidRDefault="007A62AA" w:rsidP="00326DA9">
            <w:pPr>
              <w:spacing w:after="0"/>
              <w:ind w:left="567" w:right="43"/>
              <w:jc w:val="both"/>
              <w:rPr>
                <w:rFonts w:ascii="Arial" w:hAnsi="Arial" w:cs="Arial"/>
                <w:sz w:val="20"/>
              </w:rPr>
            </w:pPr>
            <w:r w:rsidRPr="007A62AA">
              <w:rPr>
                <w:rFonts w:ascii="Arial" w:hAnsi="Arial" w:cs="Arial"/>
                <w:sz w:val="20"/>
              </w:rPr>
              <w:t>no Commissioner may withhold or retain payment under this GC9 (</w:t>
            </w:r>
            <w:r w:rsidRPr="007A62AA">
              <w:rPr>
                <w:rFonts w:ascii="Arial" w:hAnsi="Arial" w:cs="Arial"/>
                <w:i/>
                <w:sz w:val="20"/>
              </w:rPr>
              <w:t>Contract Management</w:t>
            </w:r>
            <w:r w:rsidRPr="007A62AA">
              <w:rPr>
                <w:rFonts w:ascii="Arial" w:hAnsi="Arial" w:cs="Arial"/>
                <w:sz w:val="20"/>
              </w:rPr>
              <w:t>) or otherwise in respect of any failure to agree a RAP, or to comply with any RAP, in relation to any breach of any threshold which occurs during that Contract Year for which such financial control totals and specific performance trajectories have been agreed and/or such assurance statements have been submitted and accepted in respect of any Operational Standard shown in bold italics in Schedule 4A (</w:t>
            </w:r>
            <w:r w:rsidRPr="007A62AA">
              <w:rPr>
                <w:rFonts w:ascii="Arial" w:hAnsi="Arial" w:cs="Arial"/>
                <w:i/>
                <w:sz w:val="20"/>
              </w:rPr>
              <w:t>Operational Standards</w:t>
            </w:r>
            <w:r w:rsidRPr="007A62AA">
              <w:rPr>
                <w:rFonts w:ascii="Arial" w:hAnsi="Arial" w:cs="Arial"/>
                <w:sz w:val="20"/>
              </w:rPr>
              <w:t>) or any National Quality Requirement shown in bold italics in Schedule 4B (</w:t>
            </w:r>
            <w:r w:rsidRPr="007A62AA">
              <w:rPr>
                <w:rFonts w:ascii="Arial" w:hAnsi="Arial" w:cs="Arial"/>
                <w:i/>
                <w:sz w:val="20"/>
              </w:rPr>
              <w:t>National Quality Requirements</w:t>
            </w:r>
            <w:r w:rsidRPr="007A62AA">
              <w:rPr>
                <w:rFonts w:ascii="Arial" w:hAnsi="Arial" w:cs="Arial"/>
                <w:sz w:val="20"/>
              </w:rPr>
              <w:t>), and/or any failure to comply with specific performance trajectories or assurances as referred to above.</w:t>
            </w:r>
          </w:p>
          <w:p w:rsidR="007A62AA" w:rsidRPr="007A62AA" w:rsidRDefault="007A62AA" w:rsidP="007A62AA">
            <w:pPr>
              <w:spacing w:after="0"/>
              <w:rPr>
                <w:sz w:val="22"/>
                <w:szCs w:val="22"/>
                <w:lang w:val="en-GB" w:eastAsia="en-US"/>
              </w:rPr>
            </w:pPr>
          </w:p>
        </w:tc>
      </w:tr>
    </w:tbl>
    <w:p w:rsidR="007A62AA" w:rsidRPr="00616289" w:rsidRDefault="007A62AA" w:rsidP="008C79F4">
      <w:pPr>
        <w:spacing w:after="0"/>
        <w:ind w:left="142" w:right="43" w:firstLine="567"/>
        <w:jc w:val="both"/>
        <w:rPr>
          <w:rFonts w:ascii="Arial" w:hAnsi="Arial" w:cs="Arial"/>
          <w:sz w:val="20"/>
        </w:rPr>
      </w:pPr>
    </w:p>
    <w:p w:rsidR="008E3308" w:rsidRDefault="008E3308" w:rsidP="00F624C3">
      <w:pPr>
        <w:spacing w:after="0"/>
        <w:ind w:left="142" w:right="43"/>
        <w:jc w:val="both"/>
        <w:rPr>
          <w:rFonts w:ascii="Arial" w:hAnsi="Arial" w:cs="Arial"/>
          <w:sz w:val="20"/>
        </w:rPr>
      </w:pPr>
    </w:p>
    <w:p w:rsidR="006863D1" w:rsidRPr="006863D1" w:rsidRDefault="006863D1"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sidRPr="006863D1">
        <w:rPr>
          <w:rFonts w:ascii="Arial Bold" w:eastAsia="Times New Roman" w:hAnsi="Arial Bold" w:cs="Arial"/>
          <w:b/>
          <w:caps/>
          <w:sz w:val="20"/>
          <w:lang w:val="en-GB" w:eastAsia="en-US"/>
        </w:rPr>
        <w:t>GC12</w:t>
      </w:r>
      <w:r w:rsidRPr="006863D1">
        <w:rPr>
          <w:rFonts w:ascii="Arial Bold" w:eastAsia="Times New Roman" w:hAnsi="Arial Bold" w:cs="Arial"/>
          <w:b/>
          <w:caps/>
          <w:sz w:val="20"/>
          <w:lang w:val="en-GB" w:eastAsia="en-US"/>
        </w:rPr>
        <w:tab/>
        <w:t>Assignment and Sub-contracting</w:t>
      </w:r>
    </w:p>
    <w:p w:rsidR="003E1FAF" w:rsidRPr="00E340DD" w:rsidRDefault="003E1FAF" w:rsidP="008121FC">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25 May 2018, delete the text of GC12.1</w:t>
      </w:r>
      <w:r w:rsidR="007C7B29">
        <w:rPr>
          <w:rFonts w:ascii="Arial" w:eastAsia="Times New Roman" w:hAnsi="Arial" w:cs="Arial"/>
          <w:sz w:val="20"/>
          <w:lang w:val="en-GB" w:eastAsia="en-US"/>
        </w:rPr>
        <w:t>4</w:t>
      </w:r>
      <w:r>
        <w:rPr>
          <w:rFonts w:ascii="Arial" w:eastAsia="Times New Roman" w:hAnsi="Arial" w:cs="Arial"/>
          <w:sz w:val="20"/>
          <w:lang w:val="en-GB" w:eastAsia="en-US"/>
        </w:rPr>
        <w:t xml:space="preserve"> and replace with</w:t>
      </w:r>
      <w:r w:rsidRPr="00E340DD">
        <w:rPr>
          <w:rFonts w:ascii="Arial" w:eastAsia="Times New Roman" w:hAnsi="Arial" w:cs="Arial"/>
          <w:sz w:val="20"/>
          <w:lang w:val="en-GB" w:eastAsia="en-US"/>
        </w:rPr>
        <w:t xml:space="preserve">: </w:t>
      </w:r>
    </w:p>
    <w:tbl>
      <w:tblPr>
        <w:tblStyle w:val="TableGrid"/>
        <w:tblW w:w="0" w:type="auto"/>
        <w:tblInd w:w="142" w:type="dxa"/>
        <w:tblLook w:val="04A0" w:firstRow="1" w:lastRow="0" w:firstColumn="1" w:lastColumn="0" w:noHBand="0" w:noVBand="1"/>
        <w:tblCaption w:val="GC12.14"/>
        <w:tblDescription w:val="GC12.14"/>
      </w:tblPr>
      <w:tblGrid>
        <w:gridCol w:w="8380"/>
      </w:tblGrid>
      <w:tr w:rsidR="007A62AA" w:rsidTr="007A62AA">
        <w:tc>
          <w:tcPr>
            <w:tcW w:w="8522" w:type="dxa"/>
          </w:tcPr>
          <w:p w:rsidR="00616289" w:rsidRDefault="00616289" w:rsidP="007A62AA">
            <w:pPr>
              <w:pStyle w:val="ListParagraph"/>
              <w:spacing w:after="0"/>
              <w:ind w:left="709" w:right="43" w:hanging="709"/>
              <w:jc w:val="both"/>
              <w:rPr>
                <w:rFonts w:ascii="Arial" w:hAnsi="Arial" w:cs="Arial"/>
                <w:sz w:val="20"/>
              </w:rPr>
            </w:pPr>
          </w:p>
          <w:p w:rsidR="007A62AA" w:rsidRPr="007A62AA" w:rsidRDefault="007A62AA" w:rsidP="007A62AA">
            <w:pPr>
              <w:pStyle w:val="ListParagraph"/>
              <w:spacing w:after="0"/>
              <w:ind w:left="709" w:right="43" w:hanging="709"/>
              <w:jc w:val="both"/>
              <w:rPr>
                <w:rFonts w:ascii="Arial" w:hAnsi="Arial" w:cs="Arial"/>
                <w:sz w:val="20"/>
              </w:rPr>
            </w:pPr>
            <w:r w:rsidRPr="007A62AA">
              <w:rPr>
                <w:rFonts w:ascii="Arial" w:hAnsi="Arial" w:cs="Arial"/>
                <w:sz w:val="20"/>
              </w:rPr>
              <w:t>12.14</w:t>
            </w:r>
            <w:r w:rsidRPr="007A62AA">
              <w:rPr>
                <w:rFonts w:ascii="Arial" w:hAnsi="Arial" w:cs="Arial"/>
                <w:sz w:val="20"/>
              </w:rPr>
              <w:tab/>
              <w:t>Notwithstanding GC20 (</w:t>
            </w:r>
            <w:r w:rsidRPr="007A62AA">
              <w:rPr>
                <w:rFonts w:ascii="Arial" w:hAnsi="Arial" w:cs="Arial"/>
                <w:i/>
                <w:sz w:val="20"/>
              </w:rPr>
              <w:t>Confidential Information of the Parties</w:t>
            </w:r>
            <w:r w:rsidRPr="007A62AA">
              <w:rPr>
                <w:rFonts w:ascii="Arial" w:hAnsi="Arial" w:cs="Arial"/>
                <w:sz w:val="20"/>
              </w:rPr>
              <w:t>), a Commissioner which assigns, transfers, delegates or sub-contracts all or any of its rights or obligations under this Contract to any person may disclose to such person any information in its possession that relates to this Contract or its subject matter, the negotiations relating to it, or the Provider, provided always that this is in accordance with Data Protection Legislation and Data Guidance.</w:t>
            </w:r>
          </w:p>
          <w:p w:rsidR="007A62AA" w:rsidRPr="007A62AA" w:rsidRDefault="007A62AA" w:rsidP="007A62AA">
            <w:pPr>
              <w:pStyle w:val="ListParagraph"/>
              <w:spacing w:after="0"/>
              <w:ind w:left="375" w:right="43"/>
              <w:jc w:val="both"/>
              <w:rPr>
                <w:rFonts w:ascii="Arial" w:hAnsi="Arial" w:cs="Arial"/>
                <w:sz w:val="20"/>
              </w:rPr>
            </w:pPr>
          </w:p>
        </w:tc>
      </w:tr>
    </w:tbl>
    <w:p w:rsidR="006863D1" w:rsidRDefault="006863D1" w:rsidP="00F624C3">
      <w:pPr>
        <w:spacing w:after="0"/>
        <w:ind w:left="142" w:right="43"/>
        <w:jc w:val="both"/>
        <w:rPr>
          <w:rFonts w:ascii="Arial" w:hAnsi="Arial" w:cs="Arial"/>
          <w:sz w:val="20"/>
        </w:rPr>
      </w:pPr>
    </w:p>
    <w:p w:rsidR="008E3308" w:rsidRDefault="008E3308" w:rsidP="00F624C3">
      <w:pPr>
        <w:spacing w:after="0"/>
        <w:ind w:left="142" w:right="43"/>
        <w:jc w:val="both"/>
        <w:rPr>
          <w:rFonts w:ascii="Arial" w:hAnsi="Arial" w:cs="Arial"/>
          <w:sz w:val="20"/>
        </w:rPr>
      </w:pPr>
    </w:p>
    <w:p w:rsidR="001C3125" w:rsidRPr="001C3125" w:rsidRDefault="001C3125" w:rsidP="001C3125">
      <w:pPr>
        <w:keepNext/>
        <w:numPr>
          <w:ilvl w:val="0"/>
          <w:numId w:val="9"/>
        </w:numPr>
        <w:spacing w:after="240"/>
        <w:ind w:left="709" w:hanging="709"/>
        <w:jc w:val="both"/>
        <w:outlineLvl w:val="1"/>
        <w:rPr>
          <w:rFonts w:ascii="Arial Bold" w:eastAsia="Times New Roman" w:hAnsi="Arial Bold" w:cs="Arial"/>
          <w:b/>
          <w:caps/>
          <w:sz w:val="20"/>
          <w:lang w:val="en-GB" w:eastAsia="en-US"/>
        </w:rPr>
      </w:pPr>
      <w:r w:rsidRPr="001C3125">
        <w:rPr>
          <w:rFonts w:ascii="Arial Bold" w:eastAsia="Times New Roman" w:hAnsi="Arial Bold" w:cs="Arial"/>
          <w:b/>
          <w:caps/>
          <w:sz w:val="20"/>
          <w:lang w:val="en-GB" w:eastAsia="en-US"/>
        </w:rPr>
        <w:t>GC17 (TERMINATION)</w:t>
      </w:r>
    </w:p>
    <w:p w:rsidR="001C3125" w:rsidRPr="007E48CA" w:rsidRDefault="001C3125" w:rsidP="008121FC">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25 May 2018, add a new GC17.10.6</w:t>
      </w:r>
      <w:r w:rsidR="007D7A7B">
        <w:rPr>
          <w:rFonts w:ascii="Arial" w:eastAsia="Times New Roman" w:hAnsi="Arial" w:cs="Arial"/>
          <w:sz w:val="20"/>
          <w:lang w:val="en-GB" w:eastAsia="en-US"/>
        </w:rPr>
        <w:t xml:space="preserve"> as follows</w:t>
      </w:r>
      <w:r>
        <w:rPr>
          <w:rFonts w:ascii="Arial" w:eastAsia="Times New Roman" w:hAnsi="Arial" w:cs="Arial"/>
          <w:sz w:val="20"/>
          <w:lang w:val="en-GB" w:eastAsia="en-US"/>
        </w:rPr>
        <w:t>, and renumber accordingly</w:t>
      </w:r>
      <w:r w:rsidRPr="007E48CA">
        <w:rPr>
          <w:rFonts w:ascii="Arial" w:eastAsia="Times New Roman" w:hAnsi="Arial" w:cs="Arial"/>
          <w:sz w:val="20"/>
          <w:lang w:val="en-GB" w:eastAsia="en-US"/>
        </w:rPr>
        <w:t>:</w:t>
      </w:r>
    </w:p>
    <w:tbl>
      <w:tblPr>
        <w:tblStyle w:val="TableGrid"/>
        <w:tblW w:w="0" w:type="auto"/>
        <w:tblInd w:w="108" w:type="dxa"/>
        <w:tblLook w:val="04A0" w:firstRow="1" w:lastRow="0" w:firstColumn="1" w:lastColumn="0" w:noHBand="0" w:noVBand="1"/>
        <w:tblCaption w:val="GC17.10.6"/>
        <w:tblDescription w:val="GC17.10.6"/>
      </w:tblPr>
      <w:tblGrid>
        <w:gridCol w:w="8414"/>
      </w:tblGrid>
      <w:tr w:rsidR="007A62AA" w:rsidTr="00616289">
        <w:tc>
          <w:tcPr>
            <w:tcW w:w="8414" w:type="dxa"/>
          </w:tcPr>
          <w:p w:rsidR="007A62AA" w:rsidRPr="001C3125" w:rsidRDefault="007A62AA" w:rsidP="007A62AA">
            <w:pPr>
              <w:spacing w:after="0"/>
              <w:ind w:left="993" w:right="43" w:hanging="851"/>
              <w:jc w:val="both"/>
              <w:rPr>
                <w:rFonts w:ascii="Arial" w:hAnsi="Arial" w:cs="Arial"/>
                <w:sz w:val="20"/>
              </w:rPr>
            </w:pPr>
          </w:p>
          <w:p w:rsidR="007A62AA" w:rsidRPr="001C3125" w:rsidRDefault="007A62AA" w:rsidP="007A62AA">
            <w:pPr>
              <w:spacing w:after="0"/>
              <w:ind w:left="718" w:right="43" w:hanging="718"/>
              <w:jc w:val="both"/>
              <w:rPr>
                <w:rFonts w:ascii="Arial" w:hAnsi="Arial" w:cs="Arial"/>
                <w:sz w:val="20"/>
              </w:rPr>
            </w:pPr>
            <w:r>
              <w:rPr>
                <w:rFonts w:ascii="Arial" w:hAnsi="Arial" w:cs="Arial"/>
                <w:sz w:val="20"/>
              </w:rPr>
              <w:t>17.10.6</w:t>
            </w:r>
            <w:r>
              <w:rPr>
                <w:rFonts w:ascii="Arial" w:hAnsi="Arial" w:cs="Arial"/>
                <w:sz w:val="20"/>
              </w:rPr>
              <w:tab/>
              <w:t>t</w:t>
            </w:r>
            <w:r w:rsidRPr="001C3125">
              <w:rPr>
                <w:rFonts w:ascii="Arial" w:hAnsi="Arial" w:cs="Arial"/>
                <w:sz w:val="20"/>
              </w:rPr>
              <w:t>he Provider has been issued with any enforcement or penalty notice under the DPA 2018, or the Provider or any member of Staff is found guilty or admits guilt in respect of an offence under the DPA 2018, in relation to any matter connected with this Contract or the Services; or</w:t>
            </w:r>
          </w:p>
          <w:p w:rsidR="007A62AA" w:rsidRDefault="007A62AA" w:rsidP="001C3125">
            <w:pPr>
              <w:spacing w:after="0"/>
              <w:ind w:right="43"/>
              <w:jc w:val="both"/>
              <w:rPr>
                <w:rFonts w:ascii="Arial" w:hAnsi="Arial" w:cs="Arial"/>
                <w:sz w:val="20"/>
              </w:rPr>
            </w:pPr>
          </w:p>
        </w:tc>
      </w:tr>
    </w:tbl>
    <w:p w:rsidR="007A62AA" w:rsidRDefault="007A62AA" w:rsidP="001C3125">
      <w:pPr>
        <w:spacing w:after="0"/>
        <w:ind w:left="993" w:right="43" w:hanging="851"/>
        <w:jc w:val="both"/>
        <w:rPr>
          <w:rFonts w:ascii="Arial" w:hAnsi="Arial" w:cs="Arial"/>
          <w:sz w:val="20"/>
        </w:rPr>
      </w:pPr>
    </w:p>
    <w:p w:rsidR="008E3308" w:rsidRPr="001C3125" w:rsidRDefault="008E3308" w:rsidP="00F624C3">
      <w:pPr>
        <w:spacing w:after="0"/>
        <w:ind w:left="142" w:right="43"/>
        <w:jc w:val="both"/>
        <w:rPr>
          <w:rFonts w:ascii="Arial" w:hAnsi="Arial" w:cs="Arial"/>
          <w:sz w:val="20"/>
        </w:rPr>
      </w:pP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GC21 (Patient Confidentiality, Data Protection, Freedom of Information and Transparency)</w:t>
      </w:r>
    </w:p>
    <w:p w:rsidR="006C09FF" w:rsidRDefault="003E1FAF" w:rsidP="008121FC">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25 May 2018, d</w:t>
      </w:r>
      <w:r w:rsidR="006C09FF">
        <w:rPr>
          <w:rFonts w:ascii="Arial" w:eastAsia="Times New Roman" w:hAnsi="Arial" w:cs="Arial"/>
          <w:sz w:val="20"/>
          <w:lang w:val="en-GB" w:eastAsia="en-US"/>
        </w:rPr>
        <w:t xml:space="preserve">elete the text of GC21 and replace with: </w:t>
      </w:r>
    </w:p>
    <w:tbl>
      <w:tblPr>
        <w:tblStyle w:val="TableGrid11"/>
        <w:tblW w:w="0" w:type="auto"/>
        <w:tblLook w:val="04A0" w:firstRow="1" w:lastRow="0" w:firstColumn="1" w:lastColumn="0" w:noHBand="0" w:noVBand="1"/>
        <w:tblCaption w:val="GC21"/>
        <w:tblDescription w:val="GC21"/>
      </w:tblPr>
      <w:tblGrid>
        <w:gridCol w:w="8522"/>
      </w:tblGrid>
      <w:tr w:rsidR="00616289" w:rsidRPr="00616289" w:rsidTr="00EB1C99">
        <w:tc>
          <w:tcPr>
            <w:tcW w:w="8522" w:type="dxa"/>
          </w:tcPr>
          <w:p w:rsidR="00616289" w:rsidRPr="00616289" w:rsidRDefault="00616289" w:rsidP="00616289">
            <w:pPr>
              <w:spacing w:after="0"/>
              <w:ind w:left="567" w:right="379"/>
              <w:rPr>
                <w:sz w:val="22"/>
                <w:szCs w:val="22"/>
                <w:lang w:val="en-GB" w:eastAsia="en-US"/>
              </w:rPr>
            </w:pPr>
          </w:p>
          <w:p w:rsidR="00616289" w:rsidRPr="00616289" w:rsidRDefault="00616289" w:rsidP="00616289">
            <w:pPr>
              <w:spacing w:after="0"/>
              <w:ind w:left="142" w:right="43" w:hanging="709"/>
              <w:jc w:val="both"/>
              <w:rPr>
                <w:rFonts w:ascii="Arial" w:hAnsi="Arial" w:cs="Arial"/>
                <w:b/>
                <w:sz w:val="20"/>
              </w:rPr>
            </w:pPr>
          </w:p>
          <w:p w:rsidR="00616289" w:rsidRPr="00616289" w:rsidRDefault="00616289" w:rsidP="00326DA9">
            <w:pPr>
              <w:autoSpaceDE w:val="0"/>
              <w:autoSpaceDN w:val="0"/>
              <w:adjustRightInd w:val="0"/>
              <w:spacing w:after="0"/>
              <w:ind w:left="142" w:right="45"/>
              <w:jc w:val="both"/>
              <w:rPr>
                <w:rFonts w:ascii="Arial" w:eastAsia="Times New Roman" w:hAnsi="Arial" w:cs="Arial"/>
                <w:color w:val="000000"/>
                <w:sz w:val="20"/>
                <w:lang w:val="en-GB" w:eastAsia="en-GB"/>
              </w:rPr>
            </w:pPr>
            <w:r w:rsidRPr="00616289">
              <w:rPr>
                <w:rFonts w:ascii="Arial" w:eastAsia="Times New Roman" w:hAnsi="Arial" w:cs="Arial"/>
                <w:b/>
                <w:bCs/>
                <w:color w:val="000000"/>
                <w:sz w:val="20"/>
                <w:lang w:val="en-GB" w:eastAsia="en-GB"/>
              </w:rPr>
              <w:t>Information Governance – General Responsibilities</w:t>
            </w:r>
          </w:p>
          <w:p w:rsidR="00616289" w:rsidRPr="00616289" w:rsidRDefault="00616289" w:rsidP="00616289">
            <w:pPr>
              <w:spacing w:after="0"/>
              <w:ind w:left="142" w:right="43" w:hanging="709"/>
              <w:jc w:val="both"/>
              <w:rPr>
                <w:sz w:val="20"/>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The Parties must comply with Data Protection Legislation, Data Guidance, the FOIA and the EIR, and must assist each other as necessary to enable each other to comply with these obligations.</w:t>
            </w:r>
          </w:p>
          <w:p w:rsidR="00616289" w:rsidRPr="00616289" w:rsidRDefault="00616289" w:rsidP="00616289">
            <w:pPr>
              <w:autoSpaceDE w:val="0"/>
              <w:autoSpaceDN w:val="0"/>
              <w:adjustRightInd w:val="0"/>
              <w:spacing w:after="0"/>
              <w:ind w:left="709" w:right="43"/>
              <w:jc w:val="both"/>
              <w:rPr>
                <w:rFonts w:ascii="Arial" w:eastAsia="Times New Roman" w:hAnsi="Arial" w:cs="Arial"/>
                <w:color w:val="000000"/>
                <w:sz w:val="20"/>
                <w:lang w:val="en-GB" w:eastAsia="en-GB"/>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The Provider must complete and publish an annual information governance assessment and must demonstrate satisfactory compliance as defined in the NHS Information Governance Toolkit (or any successor framework), as applicable to the Services and the Provider’s organisation type.</w:t>
            </w:r>
          </w:p>
          <w:p w:rsidR="00616289" w:rsidRPr="00616289" w:rsidRDefault="00616289" w:rsidP="00616289">
            <w:pPr>
              <w:spacing w:after="0"/>
              <w:ind w:left="709" w:right="43"/>
              <w:rPr>
                <w:rFonts w:ascii="Times New Roman" w:eastAsia="Times New Roman" w:hAnsi="Times New Roman"/>
                <w:sz w:val="20"/>
                <w:lang w:val="en-GB" w:eastAsia="en-GB"/>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The Provider must: </w:t>
            </w:r>
          </w:p>
          <w:p w:rsidR="00616289" w:rsidRPr="00616289" w:rsidRDefault="00616289" w:rsidP="00616289">
            <w:pPr>
              <w:spacing w:after="0"/>
              <w:ind w:left="720" w:right="43"/>
              <w:rPr>
                <w:rFonts w:ascii="Times New Roman" w:eastAsia="Times New Roman" w:hAnsi="Times New Roman"/>
                <w:sz w:val="20"/>
                <w:lang w:val="en-GB" w:eastAsia="en-GB"/>
              </w:rPr>
            </w:pPr>
          </w:p>
          <w:p w:rsidR="00616289" w:rsidRPr="00616289" w:rsidRDefault="00616289" w:rsidP="00616289">
            <w:pPr>
              <w:numPr>
                <w:ilvl w:val="2"/>
                <w:numId w:val="19"/>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nominate an Information Governance Lead; </w:t>
            </w:r>
          </w:p>
          <w:p w:rsidR="00616289" w:rsidRPr="00616289" w:rsidRDefault="00616289" w:rsidP="00616289">
            <w:pPr>
              <w:autoSpaceDE w:val="0"/>
              <w:autoSpaceDN w:val="0"/>
              <w:adjustRightInd w:val="0"/>
              <w:spacing w:after="0"/>
              <w:ind w:left="1418" w:right="43" w:hanging="709"/>
              <w:jc w:val="both"/>
              <w:rPr>
                <w:rFonts w:ascii="Arial" w:eastAsia="Times New Roman" w:hAnsi="Arial" w:cs="Arial"/>
                <w:color w:val="000000"/>
                <w:sz w:val="20"/>
                <w:lang w:val="en-GB" w:eastAsia="en-GB"/>
              </w:rPr>
            </w:pPr>
          </w:p>
          <w:p w:rsidR="00616289" w:rsidRPr="00616289" w:rsidRDefault="00616289" w:rsidP="00616289">
            <w:pPr>
              <w:numPr>
                <w:ilvl w:val="2"/>
                <w:numId w:val="19"/>
              </w:numPr>
              <w:autoSpaceDE w:val="0"/>
              <w:autoSpaceDN w:val="0"/>
              <w:adjustRightInd w:val="0"/>
              <w:spacing w:after="0"/>
              <w:ind w:left="1418" w:right="43" w:hanging="709"/>
              <w:jc w:val="both"/>
              <w:rPr>
                <w:rFonts w:ascii="Arial" w:eastAsia="Times New Roman" w:hAnsi="Arial" w:cs="Arial"/>
                <w:sz w:val="20"/>
                <w:lang w:val="en-GB" w:eastAsia="en-GB"/>
              </w:rPr>
            </w:pPr>
            <w:r w:rsidRPr="00616289">
              <w:rPr>
                <w:rFonts w:ascii="Arial" w:eastAsia="Times New Roman" w:hAnsi="Arial" w:cs="Arial"/>
                <w:color w:val="000000"/>
                <w:sz w:val="20"/>
                <w:lang w:val="en-GB" w:eastAsia="en-GB"/>
              </w:rPr>
              <w:t xml:space="preserve">nominate a </w:t>
            </w:r>
            <w:proofErr w:type="spellStart"/>
            <w:r w:rsidRPr="00616289">
              <w:rPr>
                <w:rFonts w:ascii="Arial" w:eastAsia="Times New Roman" w:hAnsi="Arial" w:cs="Arial"/>
                <w:color w:val="000000"/>
                <w:sz w:val="20"/>
                <w:lang w:val="en-GB" w:eastAsia="en-GB"/>
              </w:rPr>
              <w:t>Caldicott</w:t>
            </w:r>
            <w:proofErr w:type="spellEnd"/>
            <w:r w:rsidRPr="00616289">
              <w:rPr>
                <w:rFonts w:ascii="Arial" w:eastAsia="Times New Roman" w:hAnsi="Arial" w:cs="Arial"/>
                <w:color w:val="000000"/>
                <w:sz w:val="20"/>
                <w:lang w:val="en-GB" w:eastAsia="en-GB"/>
              </w:rPr>
              <w:t xml:space="preserve"> Guardian and Senior Information Risk Owner, each of whom must be a </w:t>
            </w:r>
            <w:r w:rsidRPr="00616289">
              <w:rPr>
                <w:rFonts w:ascii="Arial" w:eastAsia="Times New Roman" w:hAnsi="Arial" w:cs="Arial"/>
                <w:sz w:val="20"/>
                <w:lang w:val="en-GB" w:eastAsia="en-GB"/>
              </w:rPr>
              <w:t xml:space="preserve">member of the Provider’s Governing Body; </w:t>
            </w:r>
          </w:p>
          <w:p w:rsidR="00616289" w:rsidRPr="00616289" w:rsidRDefault="00616289" w:rsidP="00616289">
            <w:pPr>
              <w:spacing w:after="0"/>
              <w:ind w:left="1418" w:right="43" w:hanging="709"/>
              <w:rPr>
                <w:rFonts w:ascii="Arial" w:eastAsia="Times New Roman" w:hAnsi="Arial" w:cs="Arial"/>
                <w:sz w:val="20"/>
                <w:lang w:val="en-GB" w:eastAsia="en-GB"/>
              </w:rPr>
            </w:pPr>
          </w:p>
          <w:p w:rsidR="00616289" w:rsidRPr="00616289" w:rsidRDefault="00616289" w:rsidP="00616289">
            <w:pPr>
              <w:numPr>
                <w:ilvl w:val="2"/>
                <w:numId w:val="19"/>
              </w:numPr>
              <w:autoSpaceDE w:val="0"/>
              <w:autoSpaceDN w:val="0"/>
              <w:adjustRightInd w:val="0"/>
              <w:spacing w:after="0"/>
              <w:ind w:left="1418" w:right="43" w:hanging="709"/>
              <w:jc w:val="both"/>
              <w:rPr>
                <w:rFonts w:ascii="Arial" w:eastAsia="Times New Roman" w:hAnsi="Arial" w:cs="Arial"/>
                <w:sz w:val="20"/>
                <w:lang w:val="en-GB" w:eastAsia="en-GB"/>
              </w:rPr>
            </w:pPr>
            <w:r w:rsidRPr="00616289">
              <w:rPr>
                <w:rFonts w:ascii="Arial" w:eastAsia="Times New Roman" w:hAnsi="Arial" w:cs="Arial"/>
                <w:sz w:val="20"/>
                <w:lang w:val="en-GB" w:eastAsia="en-GB"/>
              </w:rPr>
              <w:t>where required by Data Protection Legislation, nominate a Data Protection Officer;</w:t>
            </w:r>
          </w:p>
          <w:p w:rsidR="00616289" w:rsidRPr="00616289" w:rsidRDefault="00616289" w:rsidP="00616289">
            <w:pPr>
              <w:spacing w:after="0"/>
              <w:ind w:left="1418" w:right="43" w:hanging="709"/>
              <w:rPr>
                <w:rFonts w:ascii="Arial" w:eastAsia="Times New Roman" w:hAnsi="Arial" w:cs="Arial"/>
                <w:sz w:val="20"/>
                <w:lang w:val="en-GB" w:eastAsia="en-GB"/>
              </w:rPr>
            </w:pPr>
          </w:p>
          <w:p w:rsidR="00616289" w:rsidRPr="00616289" w:rsidRDefault="00616289" w:rsidP="00616289">
            <w:pPr>
              <w:numPr>
                <w:ilvl w:val="2"/>
                <w:numId w:val="19"/>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ensure that the Co-ordinating Commissioner is kept informed at all times of the identities and contact details of the Information Governance Lead, Data Protection Officer, </w:t>
            </w:r>
            <w:proofErr w:type="spellStart"/>
            <w:r w:rsidRPr="00616289">
              <w:rPr>
                <w:rFonts w:ascii="Arial" w:eastAsia="Times New Roman" w:hAnsi="Arial" w:cs="Arial"/>
                <w:color w:val="000000"/>
                <w:sz w:val="20"/>
                <w:lang w:val="en-GB" w:eastAsia="en-GB"/>
              </w:rPr>
              <w:t>Caldicott</w:t>
            </w:r>
            <w:proofErr w:type="spellEnd"/>
            <w:r w:rsidRPr="00616289">
              <w:rPr>
                <w:rFonts w:ascii="Arial" w:eastAsia="Times New Roman" w:hAnsi="Arial" w:cs="Arial"/>
                <w:color w:val="000000"/>
                <w:sz w:val="20"/>
                <w:lang w:val="en-GB" w:eastAsia="en-GB"/>
              </w:rPr>
              <w:t xml:space="preserve"> Guardian and the Senior Information Risk Owner; and</w:t>
            </w:r>
          </w:p>
          <w:p w:rsidR="00616289" w:rsidRPr="00616289" w:rsidRDefault="00616289" w:rsidP="00616289">
            <w:pPr>
              <w:spacing w:after="0"/>
              <w:ind w:left="1418" w:right="43" w:hanging="709"/>
              <w:rPr>
                <w:rFonts w:ascii="Times New Roman" w:eastAsia="Times New Roman" w:hAnsi="Times New Roman"/>
                <w:sz w:val="20"/>
                <w:lang w:val="en-GB" w:eastAsia="en-GB"/>
              </w:rPr>
            </w:pPr>
          </w:p>
          <w:p w:rsidR="00616289" w:rsidRPr="00616289" w:rsidRDefault="00616289" w:rsidP="00616289">
            <w:pPr>
              <w:numPr>
                <w:ilvl w:val="2"/>
                <w:numId w:val="19"/>
              </w:numPr>
              <w:autoSpaceDE w:val="0"/>
              <w:autoSpaceDN w:val="0"/>
              <w:adjustRightInd w:val="0"/>
              <w:spacing w:after="0"/>
              <w:ind w:left="1418" w:right="43" w:hanging="709"/>
              <w:jc w:val="both"/>
              <w:rPr>
                <w:rFonts w:ascii="Arial" w:eastAsia="Times New Roman" w:hAnsi="Arial" w:cs="Arial"/>
                <w:color w:val="000000"/>
                <w:sz w:val="20"/>
                <w:lang w:val="en-GB" w:eastAsia="en-GB"/>
              </w:rPr>
            </w:pPr>
            <w:proofErr w:type="gramStart"/>
            <w:r w:rsidRPr="00616289">
              <w:rPr>
                <w:rFonts w:ascii="Arial" w:eastAsia="Times New Roman" w:hAnsi="Arial" w:cs="Arial"/>
                <w:color w:val="000000"/>
                <w:sz w:val="20"/>
                <w:lang w:val="en-GB" w:eastAsia="en-GB"/>
              </w:rPr>
              <w:t>ensure</w:t>
            </w:r>
            <w:proofErr w:type="gramEnd"/>
            <w:r w:rsidRPr="00616289">
              <w:rPr>
                <w:rFonts w:ascii="Arial" w:eastAsia="Times New Roman" w:hAnsi="Arial" w:cs="Arial"/>
                <w:color w:val="000000"/>
                <w:sz w:val="20"/>
                <w:lang w:val="en-GB" w:eastAsia="en-GB"/>
              </w:rPr>
              <w:t xml:space="preserve"> that NHS England and NHS Digital are kept informed at all times of the identities and contact details of the Information Governance Lead, Data Protection Officer, </w:t>
            </w:r>
            <w:proofErr w:type="spellStart"/>
            <w:r w:rsidRPr="00616289">
              <w:rPr>
                <w:rFonts w:ascii="Arial" w:eastAsia="Times New Roman" w:hAnsi="Arial" w:cs="Arial"/>
                <w:color w:val="000000"/>
                <w:sz w:val="20"/>
                <w:lang w:val="en-GB" w:eastAsia="en-GB"/>
              </w:rPr>
              <w:t>Caldicott</w:t>
            </w:r>
            <w:proofErr w:type="spellEnd"/>
            <w:r w:rsidRPr="00616289">
              <w:rPr>
                <w:rFonts w:ascii="Arial" w:eastAsia="Times New Roman" w:hAnsi="Arial" w:cs="Arial"/>
                <w:color w:val="000000"/>
                <w:sz w:val="20"/>
                <w:lang w:val="en-GB" w:eastAsia="en-GB"/>
              </w:rPr>
              <w:t xml:space="preserve"> Guardian and the Senior Information Risk Owner via the NHS Information Governance Toolkit (or any successor framework).</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szCs w:val="24"/>
                <w:lang w:val="en-GB" w:eastAsia="en-GB"/>
              </w:rPr>
            </w:pPr>
            <w:r w:rsidRPr="00616289">
              <w:rPr>
                <w:rFonts w:ascii="Arial" w:eastAsia="Times New Roman" w:hAnsi="Arial" w:cs="Arial"/>
                <w:color w:val="000000"/>
                <w:sz w:val="20"/>
                <w:szCs w:val="24"/>
                <w:lang w:val="en-GB" w:eastAsia="en-GB"/>
              </w:rPr>
              <w:t>The Provider must adopt and implement the National Data Guardian’s Data Security Standards and must comply with further Guidance issued by the Department of Health, NHS England and/</w:t>
            </w:r>
            <w:r w:rsidRPr="00616289">
              <w:rPr>
                <w:rFonts w:ascii="Arial" w:eastAsia="Times New Roman" w:hAnsi="Arial" w:cs="Arial"/>
                <w:color w:val="000000"/>
                <w:sz w:val="20"/>
                <w:lang w:val="en-GB" w:eastAsia="en-GB"/>
              </w:rPr>
              <w:t>or</w:t>
            </w:r>
            <w:r w:rsidRPr="00616289">
              <w:rPr>
                <w:rFonts w:ascii="Arial" w:eastAsia="Times New Roman" w:hAnsi="Arial" w:cs="Arial"/>
                <w:color w:val="000000"/>
                <w:sz w:val="20"/>
                <w:szCs w:val="24"/>
                <w:lang w:val="en-GB" w:eastAsia="en-GB"/>
              </w:rPr>
              <w:t xml:space="preserve"> NHS Digital pursuant to or in connection with the Standards. The Provider must be able to demonstrate its compliance with those Standards in accordance with the requirements and timescales set out in such Guidance, including requirements for enabling patient choice.</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326DA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The </w:t>
            </w:r>
            <w:r w:rsidRPr="00616289">
              <w:rPr>
                <w:rFonts w:ascii="Arial" w:eastAsia="Times New Roman" w:hAnsi="Arial" w:cs="Arial"/>
                <w:color w:val="000000"/>
                <w:sz w:val="20"/>
                <w:szCs w:val="24"/>
                <w:lang w:val="en-GB" w:eastAsia="en-GB"/>
              </w:rPr>
              <w:t>Provider</w:t>
            </w:r>
            <w:r w:rsidRPr="00616289">
              <w:rPr>
                <w:rFonts w:ascii="Arial" w:eastAsia="Times New Roman" w:hAnsi="Arial" w:cs="Arial"/>
                <w:color w:val="000000"/>
                <w:sz w:val="20"/>
                <w:lang w:val="en-GB" w:eastAsia="en-GB"/>
              </w:rPr>
              <w:t xml:space="preserve"> must, at least once in each Contract Year, audit its practices against quality statements regarding data sharing set out in NICE Clinical Guideline 138. </w:t>
            </w:r>
          </w:p>
          <w:p w:rsidR="00616289" w:rsidRPr="00616289" w:rsidRDefault="00616289" w:rsidP="00616289">
            <w:pPr>
              <w:spacing w:after="0"/>
              <w:ind w:left="720" w:right="43"/>
              <w:rPr>
                <w:rFonts w:ascii="Times New Roman" w:eastAsia="Times New Roman" w:hAnsi="Times New Roman"/>
                <w:sz w:val="20"/>
                <w:lang w:val="en-GB" w:eastAsia="en-GB"/>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The Provider must ensure that </w:t>
            </w:r>
            <w:proofErr w:type="gramStart"/>
            <w:r w:rsidRPr="00616289">
              <w:rPr>
                <w:rFonts w:ascii="Arial" w:eastAsia="Times New Roman" w:hAnsi="Arial" w:cs="Arial"/>
                <w:color w:val="000000"/>
                <w:sz w:val="20"/>
                <w:lang w:val="en-GB" w:eastAsia="en-GB"/>
              </w:rPr>
              <w:t>its</w:t>
            </w:r>
            <w:proofErr w:type="gramEnd"/>
            <w:r w:rsidRPr="00616289">
              <w:rPr>
                <w:rFonts w:ascii="Arial" w:eastAsia="Times New Roman" w:hAnsi="Arial" w:cs="Arial"/>
                <w:color w:val="000000"/>
                <w:sz w:val="20"/>
                <w:lang w:val="en-GB" w:eastAsia="en-GB"/>
              </w:rPr>
              <w:t xml:space="preserve"> NHS Information Governance Toolkit (or any successor framework) submission is audited in accordance with Information Governance Audit Guidance where applicable. The Provider must inform the Co-ordinating Commissioner of the results of each audit and publish the audit report both within the NHS Information Governance Toolkit (or any successor framework) and on its website.</w:t>
            </w:r>
          </w:p>
          <w:p w:rsidR="00616289" w:rsidRPr="00616289" w:rsidRDefault="00616289" w:rsidP="00616289">
            <w:pPr>
              <w:spacing w:after="0"/>
              <w:ind w:left="720" w:right="43"/>
              <w:rPr>
                <w:rFonts w:ascii="Times New Roman" w:eastAsia="Times New Roman" w:hAnsi="Times New Roman"/>
                <w:sz w:val="20"/>
                <w:lang w:val="en-GB" w:eastAsia="en-GB"/>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The Provider must report and publish any Data Breach and any Information Governance Breach in accordance with IG Guidance for Serious Incidents. If the Provider is required under Data Protection Legislation to notify the Information Commissioner or a Data Subject of a Personal Data Breach then as soon as reasonably practical and in any event on or before the first such notification is made the Provider must inform the Co-ordinating Commissioner of the Personal Data Breach. This GC21.7 does not require the Provider to provide the Co-ordinating Commissioner with information which identifies any individual affected by the Personal Data Breach where doing so would breach Data Protection Legislation.</w:t>
            </w:r>
          </w:p>
          <w:p w:rsidR="00616289" w:rsidRPr="00616289" w:rsidRDefault="00616289" w:rsidP="00616289">
            <w:pPr>
              <w:spacing w:after="0"/>
              <w:ind w:left="720" w:right="43"/>
              <w:rPr>
                <w:rFonts w:ascii="Arial" w:eastAsia="Times New Roman" w:hAnsi="Arial" w:cs="Arial"/>
                <w:sz w:val="20"/>
                <w:lang w:val="en-GB" w:eastAsia="en-GB"/>
              </w:rPr>
            </w:pP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r w:rsidRPr="00616289">
              <w:rPr>
                <w:rFonts w:ascii="Arial" w:eastAsia="Times New Roman" w:hAnsi="Arial" w:cs="Arial"/>
                <w:b/>
                <w:bCs/>
                <w:color w:val="000000"/>
                <w:sz w:val="20"/>
                <w:lang w:val="en-GB" w:eastAsia="en-GB"/>
              </w:rPr>
              <w:t>Data Protection</w:t>
            </w:r>
          </w:p>
          <w:p w:rsidR="00616289" w:rsidRPr="00616289" w:rsidRDefault="00616289" w:rsidP="00616289">
            <w:pPr>
              <w:spacing w:after="0"/>
              <w:ind w:left="720" w:right="43"/>
              <w:rPr>
                <w:rFonts w:ascii="Arial" w:eastAsia="Times New Roman" w:hAnsi="Arial" w:cs="Arial"/>
                <w:sz w:val="20"/>
                <w:lang w:val="en-GB" w:eastAsia="en-GB"/>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The Provider must have in place a communications strategy and implementation plan to ensure that Service Users are provided with, or have made readily available to them, Privacy Notices, and to disseminate nationally-produced patient information materials. Any failure by the Provider to inform Service Users as required by Data Protection Legislation or Data Guidance about the uses of Personal Data that may take place under this Contract cannot be relied on by the Provider as evidence that such use is unlawful and therefore not contractually required.</w:t>
            </w:r>
          </w:p>
          <w:p w:rsidR="00616289" w:rsidRPr="00616289" w:rsidRDefault="00616289" w:rsidP="00616289">
            <w:pPr>
              <w:autoSpaceDE w:val="0"/>
              <w:autoSpaceDN w:val="0"/>
              <w:adjustRightInd w:val="0"/>
              <w:spacing w:after="0"/>
              <w:ind w:right="43"/>
              <w:jc w:val="both"/>
              <w:rPr>
                <w:rFonts w:ascii="Arial" w:eastAsia="Times New Roman" w:hAnsi="Arial" w:cs="Arial"/>
                <w:color w:val="000000"/>
                <w:sz w:val="20"/>
                <w:lang w:val="en-GB" w:eastAsia="en-GB"/>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Whether or not a Party or Sub-Contractor is a Data Controller or Data Processor will be determined in accordance with Data Protection Legislation and the ICO Guidance on Data Controllers and Data Processors and any further Data Guidance from a Regulatory or Supervisory Body. The Parties acknowledge that a Party or Sub-Contractor may act as both a Data Controller and a Data Processor. The Parties have indicated in the Particulars whether they consider the Provider to be a Data Processor for the purposes of this Contract.</w:t>
            </w:r>
          </w:p>
          <w:p w:rsidR="00616289" w:rsidRPr="00616289" w:rsidRDefault="00616289" w:rsidP="00616289">
            <w:pPr>
              <w:autoSpaceDE w:val="0"/>
              <w:autoSpaceDN w:val="0"/>
              <w:adjustRightInd w:val="0"/>
              <w:spacing w:after="0"/>
              <w:ind w:right="43"/>
              <w:jc w:val="both"/>
              <w:rPr>
                <w:rFonts w:ascii="Arial" w:eastAsia="Times New Roman" w:hAnsi="Arial" w:cs="Arial"/>
                <w:color w:val="000000"/>
                <w:sz w:val="20"/>
                <w:lang w:val="en-GB" w:eastAsia="en-GB"/>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The Provider must ensure that all Personal Data processed by or on behalf of the Provider in the course of delivering the Services is processed in accordance with the relevant Parties’ obligations under Data Protection Legislation and Data Guidance.</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616289">
            <w:pPr>
              <w:numPr>
                <w:ilvl w:val="0"/>
                <w:numId w:val="18"/>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In relation to Personal Data processed by the Provider in the course of delivering the Services, the Provider must publish, maintain and operate:</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616289">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policies relating to confidentiality, data protection and information disclosures that comply with the Law, the </w:t>
            </w:r>
            <w:proofErr w:type="spellStart"/>
            <w:r w:rsidRPr="00616289">
              <w:rPr>
                <w:rFonts w:ascii="Arial" w:eastAsia="Times New Roman" w:hAnsi="Arial" w:cs="Arial"/>
                <w:color w:val="000000"/>
                <w:sz w:val="20"/>
                <w:lang w:val="en-GB" w:eastAsia="en-GB"/>
              </w:rPr>
              <w:t>Caldicott</w:t>
            </w:r>
            <w:proofErr w:type="spellEnd"/>
            <w:r w:rsidRPr="00616289">
              <w:rPr>
                <w:rFonts w:ascii="Arial" w:eastAsia="Times New Roman" w:hAnsi="Arial" w:cs="Arial"/>
                <w:color w:val="000000"/>
                <w:sz w:val="20"/>
                <w:lang w:val="en-GB" w:eastAsia="en-GB"/>
              </w:rPr>
              <w:t xml:space="preserve"> Principles and Good Practice; </w:t>
            </w:r>
          </w:p>
          <w:p w:rsidR="00616289" w:rsidRPr="00616289" w:rsidRDefault="00616289" w:rsidP="00616289">
            <w:pPr>
              <w:autoSpaceDE w:val="0"/>
              <w:autoSpaceDN w:val="0"/>
              <w:adjustRightInd w:val="0"/>
              <w:spacing w:after="0"/>
              <w:ind w:left="1418" w:right="43" w:hanging="709"/>
              <w:jc w:val="both"/>
              <w:rPr>
                <w:rFonts w:ascii="Arial" w:eastAsia="Times New Roman" w:hAnsi="Arial" w:cs="Arial"/>
                <w:color w:val="000000"/>
                <w:sz w:val="20"/>
                <w:lang w:val="en-GB" w:eastAsia="en-GB"/>
              </w:rPr>
            </w:pPr>
          </w:p>
          <w:p w:rsidR="00616289" w:rsidRPr="00616289" w:rsidRDefault="00616289" w:rsidP="00616289">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policies that describe the personal responsibilities of Staff for handling Personal Data;</w:t>
            </w:r>
          </w:p>
          <w:p w:rsidR="00616289" w:rsidRPr="00616289" w:rsidRDefault="00616289" w:rsidP="00616289">
            <w:pPr>
              <w:autoSpaceDE w:val="0"/>
              <w:autoSpaceDN w:val="0"/>
              <w:adjustRightInd w:val="0"/>
              <w:spacing w:after="0"/>
              <w:ind w:left="1418" w:right="43" w:hanging="709"/>
              <w:jc w:val="both"/>
              <w:rPr>
                <w:rFonts w:ascii="Arial" w:eastAsia="Times New Roman" w:hAnsi="Arial" w:cs="Arial"/>
                <w:color w:val="000000"/>
                <w:sz w:val="20"/>
                <w:lang w:val="en-GB" w:eastAsia="en-GB"/>
              </w:rPr>
            </w:pPr>
          </w:p>
          <w:p w:rsidR="00616289" w:rsidRPr="00616289" w:rsidRDefault="00616289" w:rsidP="00616289">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a policy that supports the Provider’s obligations under the NHS Care Records Guarantee;</w:t>
            </w:r>
          </w:p>
          <w:p w:rsidR="00616289" w:rsidRPr="00616289" w:rsidRDefault="00616289" w:rsidP="00616289">
            <w:pPr>
              <w:spacing w:after="0"/>
              <w:ind w:left="1418" w:right="43" w:hanging="709"/>
              <w:rPr>
                <w:rFonts w:ascii="Times New Roman" w:eastAsia="Times New Roman" w:hAnsi="Times New Roman"/>
                <w:sz w:val="20"/>
                <w:lang w:val="en-GB" w:eastAsia="en-GB"/>
              </w:rPr>
            </w:pPr>
          </w:p>
          <w:p w:rsidR="00616289" w:rsidRPr="00616289" w:rsidRDefault="00616289" w:rsidP="00616289">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agreed protocols to govern the sharing of Personal Data with partner organisations; and</w:t>
            </w:r>
          </w:p>
          <w:p w:rsidR="00616289" w:rsidRPr="00616289" w:rsidRDefault="00616289" w:rsidP="00616289">
            <w:pPr>
              <w:spacing w:after="0"/>
              <w:ind w:left="1418" w:right="43" w:hanging="709"/>
              <w:rPr>
                <w:rFonts w:ascii="Times New Roman" w:eastAsia="Times New Roman" w:hAnsi="Times New Roman"/>
                <w:sz w:val="20"/>
                <w:lang w:val="en-GB" w:eastAsia="en-GB"/>
              </w:rPr>
            </w:pPr>
          </w:p>
          <w:p w:rsidR="00616289" w:rsidRPr="00616289" w:rsidRDefault="00616289" w:rsidP="00616289">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where appropriate, a system and a policy in relation to the recording of any telephone calls or other telehealth consultations in relation to the Services, including the retention and disposal of those recordings,</w:t>
            </w:r>
          </w:p>
          <w:p w:rsidR="00616289" w:rsidRPr="00616289" w:rsidRDefault="00616289" w:rsidP="00616289">
            <w:pPr>
              <w:autoSpaceDE w:val="0"/>
              <w:autoSpaceDN w:val="0"/>
              <w:adjustRightInd w:val="0"/>
              <w:spacing w:after="0"/>
              <w:ind w:left="142" w:right="43" w:hanging="709"/>
              <w:jc w:val="both"/>
              <w:rPr>
                <w:rFonts w:ascii="Arial" w:eastAsia="Times New Roman" w:hAnsi="Arial" w:cs="Arial"/>
                <w:color w:val="000000"/>
                <w:sz w:val="20"/>
                <w:szCs w:val="24"/>
                <w:lang w:val="en-GB" w:eastAsia="en-GB"/>
              </w:rPr>
            </w:pPr>
          </w:p>
          <w:p w:rsidR="00616289" w:rsidRPr="00616289" w:rsidRDefault="00616289" w:rsidP="00616289">
            <w:pPr>
              <w:autoSpaceDE w:val="0"/>
              <w:autoSpaceDN w:val="0"/>
              <w:adjustRightInd w:val="0"/>
              <w:spacing w:after="0"/>
              <w:ind w:left="709" w:right="43"/>
              <w:jc w:val="both"/>
              <w:rPr>
                <w:rFonts w:ascii="Arial" w:eastAsia="Times New Roman" w:hAnsi="Arial" w:cs="Arial"/>
                <w:color w:val="000000"/>
                <w:sz w:val="20"/>
                <w:lang w:val="en-GB" w:eastAsia="en-GB"/>
              </w:rPr>
            </w:pPr>
            <w:proofErr w:type="gramStart"/>
            <w:r w:rsidRPr="00616289">
              <w:rPr>
                <w:rFonts w:ascii="Arial" w:eastAsia="Times New Roman" w:hAnsi="Arial" w:cs="Arial"/>
                <w:color w:val="000000"/>
                <w:sz w:val="20"/>
                <w:lang w:val="en-GB" w:eastAsia="en-GB"/>
              </w:rPr>
              <w:t>and</w:t>
            </w:r>
            <w:proofErr w:type="gramEnd"/>
            <w:r w:rsidRPr="00616289">
              <w:rPr>
                <w:rFonts w:ascii="Arial" w:eastAsia="Times New Roman" w:hAnsi="Arial" w:cs="Arial"/>
                <w:color w:val="000000"/>
                <w:sz w:val="20"/>
                <w:lang w:val="en-GB" w:eastAsia="en-GB"/>
              </w:rPr>
              <w:t xml:space="preserve"> apply those policies and protocols conscientiously.</w:t>
            </w:r>
          </w:p>
          <w:p w:rsidR="00616289" w:rsidRPr="00616289" w:rsidRDefault="00616289" w:rsidP="00616289">
            <w:pPr>
              <w:spacing w:after="0"/>
              <w:ind w:left="142" w:right="43"/>
              <w:jc w:val="both"/>
              <w:rPr>
                <w:rFonts w:ascii="Arial" w:hAnsi="Arial" w:cs="Arial"/>
                <w:sz w:val="20"/>
              </w:rPr>
            </w:pPr>
          </w:p>
          <w:p w:rsidR="00616289" w:rsidRPr="00616289" w:rsidRDefault="00616289" w:rsidP="00616289">
            <w:pPr>
              <w:numPr>
                <w:ilvl w:val="1"/>
                <w:numId w:val="20"/>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Where a Commissioner requires information for the purposes of quality management of care processes, the Provider must consider whether the Commissioner’s request can be met by providing anonymised or aggregated data which does not contain Personal Data. Where Personal Data must be shared in order to meet the requirements of the Commissioner, the Provider must:</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7F6C6D">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provide such information in </w:t>
            </w:r>
            <w:proofErr w:type="spellStart"/>
            <w:r w:rsidRPr="00616289">
              <w:rPr>
                <w:rFonts w:ascii="Arial" w:eastAsia="Times New Roman" w:hAnsi="Arial" w:cs="Arial"/>
                <w:color w:val="000000"/>
                <w:sz w:val="20"/>
                <w:lang w:val="en-GB" w:eastAsia="en-GB"/>
              </w:rPr>
              <w:t>pseudonymised</w:t>
            </w:r>
            <w:proofErr w:type="spellEnd"/>
            <w:r w:rsidRPr="00616289">
              <w:rPr>
                <w:rFonts w:ascii="Arial" w:eastAsia="Times New Roman" w:hAnsi="Arial" w:cs="Arial"/>
                <w:color w:val="000000"/>
                <w:sz w:val="20"/>
                <w:lang w:val="en-GB" w:eastAsia="en-GB"/>
              </w:rPr>
              <w:t xml:space="preserve"> form where possible; and in any event</w:t>
            </w:r>
          </w:p>
          <w:p w:rsidR="00616289" w:rsidRPr="00616289" w:rsidRDefault="00616289" w:rsidP="007F6C6D">
            <w:pPr>
              <w:autoSpaceDE w:val="0"/>
              <w:autoSpaceDN w:val="0"/>
              <w:adjustRightInd w:val="0"/>
              <w:spacing w:after="0"/>
              <w:ind w:left="1418" w:right="43" w:hanging="709"/>
              <w:jc w:val="both"/>
              <w:rPr>
                <w:rFonts w:ascii="Arial" w:eastAsia="Times New Roman" w:hAnsi="Arial" w:cs="Arial"/>
                <w:color w:val="000000"/>
                <w:sz w:val="20"/>
                <w:lang w:val="en-GB" w:eastAsia="en-GB"/>
              </w:rPr>
            </w:pPr>
          </w:p>
          <w:p w:rsidR="00616289" w:rsidRPr="00616289" w:rsidRDefault="00616289" w:rsidP="007F6C6D">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proofErr w:type="gramStart"/>
            <w:r w:rsidRPr="00616289">
              <w:rPr>
                <w:rFonts w:ascii="Arial" w:eastAsia="Times New Roman" w:hAnsi="Arial" w:cs="Arial"/>
                <w:color w:val="000000"/>
                <w:sz w:val="20"/>
                <w:lang w:val="en-GB" w:eastAsia="en-GB"/>
              </w:rPr>
              <w:t>ensure</w:t>
            </w:r>
            <w:proofErr w:type="gramEnd"/>
            <w:r w:rsidRPr="00616289">
              <w:rPr>
                <w:rFonts w:ascii="Arial" w:eastAsia="Times New Roman" w:hAnsi="Arial" w:cs="Arial"/>
                <w:color w:val="000000"/>
                <w:sz w:val="20"/>
                <w:lang w:val="en-GB" w:eastAsia="en-GB"/>
              </w:rPr>
              <w:t xml:space="preserve"> that there is a legal basis for the sharing of Personal Data. </w:t>
            </w:r>
          </w:p>
          <w:p w:rsidR="00616289" w:rsidRPr="00616289" w:rsidRDefault="00616289" w:rsidP="00616289">
            <w:pPr>
              <w:autoSpaceDE w:val="0"/>
              <w:autoSpaceDN w:val="0"/>
              <w:adjustRightInd w:val="0"/>
              <w:spacing w:after="0"/>
              <w:ind w:left="142" w:right="43" w:hanging="709"/>
              <w:jc w:val="both"/>
              <w:rPr>
                <w:rFonts w:ascii="Arial" w:eastAsia="Times New Roman" w:hAnsi="Arial" w:cs="Arial"/>
                <w:color w:val="000000"/>
                <w:sz w:val="20"/>
                <w:lang w:val="en-GB" w:eastAsia="en-GB"/>
              </w:rPr>
            </w:pPr>
          </w:p>
          <w:p w:rsidR="00616289" w:rsidRPr="00616289" w:rsidRDefault="00616289" w:rsidP="00616289">
            <w:pPr>
              <w:numPr>
                <w:ilvl w:val="1"/>
                <w:numId w:val="20"/>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Notwithstanding GC21.12, the Provider must (unless it can lawfully justify non-disclosure) disclose defined or specified confidential patient information to or at the request of the Co-ordinating Commissioner where support has been provided under the Section 251 Regulations, respecting any individual Service User’s objections and complying with other conditions of the relevant approval.</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616289">
            <w:pPr>
              <w:autoSpaceDE w:val="0"/>
              <w:autoSpaceDN w:val="0"/>
              <w:adjustRightInd w:val="0"/>
              <w:spacing w:after="0"/>
              <w:ind w:left="142" w:right="43"/>
              <w:rPr>
                <w:rFonts w:ascii="Arial" w:eastAsia="Times New Roman" w:hAnsi="Arial" w:cs="Arial"/>
                <w:color w:val="000000"/>
                <w:sz w:val="20"/>
                <w:lang w:val="en-GB" w:eastAsia="en-GB"/>
              </w:rPr>
            </w:pPr>
            <w:r w:rsidRPr="00616289">
              <w:rPr>
                <w:rFonts w:ascii="Arial" w:eastAsia="Times New Roman" w:hAnsi="Arial" w:cs="Arial"/>
                <w:b/>
                <w:bCs/>
                <w:color w:val="000000"/>
                <w:sz w:val="20"/>
                <w:lang w:val="en-GB" w:eastAsia="en-GB"/>
              </w:rPr>
              <w:t>The Provider as a Data Processor</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616289">
            <w:pPr>
              <w:numPr>
                <w:ilvl w:val="1"/>
                <w:numId w:val="20"/>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Where the Provider, in the course of delivering the Services, acts as a Data Process</w:t>
            </w:r>
            <w:r w:rsidR="00EB1C99">
              <w:rPr>
                <w:rFonts w:ascii="Arial" w:eastAsia="Times New Roman" w:hAnsi="Arial" w:cs="Arial"/>
                <w:color w:val="000000"/>
                <w:sz w:val="20"/>
                <w:lang w:val="en-GB" w:eastAsia="en-GB"/>
              </w:rPr>
              <w:t xml:space="preserve">or on behalf of a Commissioner, </w:t>
            </w:r>
            <w:r w:rsidRPr="00616289">
              <w:rPr>
                <w:rFonts w:ascii="Arial" w:eastAsia="Times New Roman" w:hAnsi="Arial" w:cs="Arial"/>
                <w:color w:val="000000"/>
                <w:sz w:val="20"/>
                <w:lang w:val="en-GB" w:eastAsia="en-GB"/>
              </w:rPr>
              <w:t xml:space="preserve">the provisions of Schedule 6F </w:t>
            </w:r>
            <w:r w:rsidRPr="00616289">
              <w:rPr>
                <w:rFonts w:ascii="Arial" w:eastAsia="Times New Roman" w:hAnsi="Arial" w:cs="Arial"/>
                <w:i/>
                <w:color w:val="000000"/>
                <w:sz w:val="20"/>
                <w:lang w:val="en-GB" w:eastAsia="en-GB"/>
              </w:rPr>
              <w:t>(Provider Data Processing Agreement)</w:t>
            </w:r>
            <w:r w:rsidRPr="00616289">
              <w:rPr>
                <w:rFonts w:ascii="Arial" w:eastAsia="Times New Roman" w:hAnsi="Arial" w:cs="Arial"/>
                <w:color w:val="000000"/>
                <w:sz w:val="20"/>
                <w:lang w:val="en-GB" w:eastAsia="en-GB"/>
              </w:rPr>
              <w:t xml:space="preserve"> will apply.</w:t>
            </w:r>
          </w:p>
          <w:p w:rsidR="00616289" w:rsidRPr="00616289" w:rsidRDefault="00616289" w:rsidP="00616289">
            <w:pPr>
              <w:autoSpaceDE w:val="0"/>
              <w:autoSpaceDN w:val="0"/>
              <w:adjustRightInd w:val="0"/>
              <w:spacing w:after="0"/>
              <w:ind w:right="43"/>
              <w:jc w:val="both"/>
              <w:rPr>
                <w:rFonts w:ascii="Arial" w:eastAsia="Times New Roman" w:hAnsi="Arial" w:cs="Arial"/>
                <w:color w:val="000000"/>
                <w:sz w:val="20"/>
                <w:szCs w:val="24"/>
                <w:lang w:val="en-GB" w:eastAsia="en-GB"/>
              </w:rPr>
            </w:pP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r w:rsidRPr="00616289">
              <w:rPr>
                <w:rFonts w:ascii="Arial" w:eastAsia="Times New Roman" w:hAnsi="Arial" w:cs="Arial"/>
                <w:b/>
                <w:bCs/>
                <w:color w:val="000000"/>
                <w:sz w:val="20"/>
                <w:lang w:val="en-GB" w:eastAsia="en-GB"/>
              </w:rPr>
              <w:t>Responsibilities when engaging Sub-Contractors</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616289">
            <w:pPr>
              <w:numPr>
                <w:ilvl w:val="1"/>
                <w:numId w:val="20"/>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Subject always to GC12 (</w:t>
            </w:r>
            <w:r w:rsidRPr="00616289">
              <w:rPr>
                <w:rFonts w:ascii="Arial" w:eastAsia="Times New Roman" w:hAnsi="Arial" w:cs="Arial"/>
                <w:i/>
                <w:iCs/>
                <w:color w:val="000000"/>
                <w:sz w:val="20"/>
                <w:lang w:val="en-GB" w:eastAsia="en-GB"/>
              </w:rPr>
              <w:t>Assignment and Sub-Contracting</w:t>
            </w:r>
            <w:r w:rsidRPr="00616289">
              <w:rPr>
                <w:rFonts w:ascii="Arial" w:eastAsia="Times New Roman" w:hAnsi="Arial" w:cs="Arial"/>
                <w:color w:val="000000"/>
                <w:sz w:val="20"/>
                <w:lang w:val="en-GB" w:eastAsia="en-GB"/>
              </w:rPr>
              <w:t>), if the Provider is to engage any Sub-Contractor to deliver any part of the Services (other than as a Data Processor) and the Sub-Contractor is to access personal or confidential information or interact with Service Users, the Provider must impose on its Sub-Contractor obligations that are no less onerous than the obligations imposed on the Provider by this GC21.</w:t>
            </w:r>
          </w:p>
          <w:p w:rsidR="00616289" w:rsidRPr="00616289" w:rsidRDefault="00616289" w:rsidP="00616289">
            <w:pPr>
              <w:spacing w:after="0"/>
              <w:ind w:left="142" w:right="43"/>
              <w:jc w:val="both"/>
              <w:rPr>
                <w:rFonts w:ascii="Arial" w:hAnsi="Arial" w:cs="Arial"/>
                <w:sz w:val="20"/>
              </w:rPr>
            </w:pPr>
          </w:p>
          <w:p w:rsidR="00616289" w:rsidRPr="00616289" w:rsidRDefault="00616289" w:rsidP="00616289">
            <w:pPr>
              <w:numPr>
                <w:ilvl w:val="1"/>
                <w:numId w:val="20"/>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Without prejudice to GC12 (</w:t>
            </w:r>
            <w:r w:rsidRPr="00616289">
              <w:rPr>
                <w:rFonts w:ascii="Arial" w:eastAsia="Times New Roman" w:hAnsi="Arial" w:cs="Arial"/>
                <w:i/>
                <w:iCs/>
                <w:color w:val="000000"/>
                <w:sz w:val="20"/>
                <w:lang w:val="en-GB" w:eastAsia="en-GB"/>
              </w:rPr>
              <w:t>Assignment and Sub-Contracting</w:t>
            </w:r>
            <w:r w:rsidRPr="00616289">
              <w:rPr>
                <w:rFonts w:ascii="Arial" w:eastAsia="Times New Roman" w:hAnsi="Arial" w:cs="Arial"/>
                <w:color w:val="000000"/>
                <w:sz w:val="20"/>
                <w:lang w:val="en-GB" w:eastAsia="en-GB"/>
              </w:rPr>
              <w:t xml:space="preserve">), if the Provider is to require any Sub-Contractor to act as a Data Processor on its behalf, the Provider must: </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7F6C6D">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require that Sub-Contractor to provide sufficient guarantees in respect of its technical and organisational security measures governing the data processing to be carried out, and take reasonable steps to ensure compliance with those measures;</w:t>
            </w:r>
          </w:p>
          <w:p w:rsidR="00616289" w:rsidRPr="00616289" w:rsidRDefault="00616289" w:rsidP="007F6C6D">
            <w:pPr>
              <w:autoSpaceDE w:val="0"/>
              <w:autoSpaceDN w:val="0"/>
              <w:adjustRightInd w:val="0"/>
              <w:spacing w:after="0"/>
              <w:ind w:left="1418" w:right="43" w:hanging="709"/>
              <w:jc w:val="both"/>
              <w:rPr>
                <w:rFonts w:ascii="Arial" w:eastAsia="Times New Roman" w:hAnsi="Arial" w:cs="Arial"/>
                <w:color w:val="000000"/>
                <w:sz w:val="20"/>
                <w:lang w:val="en-GB" w:eastAsia="en-GB"/>
              </w:rPr>
            </w:pPr>
          </w:p>
          <w:p w:rsidR="00616289" w:rsidRPr="00616289" w:rsidRDefault="00616289" w:rsidP="007F6C6D">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szCs w:val="24"/>
                <w:lang w:val="en-GB" w:eastAsia="en-GB"/>
              </w:rPr>
              <w:t xml:space="preserve">carry out and </w:t>
            </w:r>
            <w:r w:rsidRPr="00616289">
              <w:rPr>
                <w:rFonts w:ascii="Arial" w:hAnsi="Arial" w:cs="Arial"/>
                <w:sz w:val="20"/>
              </w:rPr>
              <w:t>and record appropriate due diligence before the Sub-Contractor processes any Personal Data in order to demonstrate compliance with Data Protection Legislation; and</w:t>
            </w:r>
          </w:p>
          <w:p w:rsidR="00616289" w:rsidRPr="00616289" w:rsidRDefault="00616289" w:rsidP="007F6C6D">
            <w:pPr>
              <w:autoSpaceDE w:val="0"/>
              <w:autoSpaceDN w:val="0"/>
              <w:adjustRightInd w:val="0"/>
              <w:spacing w:after="0"/>
              <w:ind w:left="1418" w:right="43" w:hanging="709"/>
              <w:jc w:val="both"/>
              <w:rPr>
                <w:rFonts w:ascii="Arial" w:eastAsia="Times New Roman" w:hAnsi="Arial" w:cs="Arial"/>
                <w:color w:val="000000"/>
                <w:sz w:val="20"/>
                <w:lang w:val="en-GB" w:eastAsia="en-GB"/>
              </w:rPr>
            </w:pPr>
          </w:p>
          <w:p w:rsidR="00616289" w:rsidRPr="00616289" w:rsidRDefault="00616289" w:rsidP="007F6C6D">
            <w:pPr>
              <w:numPr>
                <w:ilvl w:val="2"/>
                <w:numId w:val="20"/>
              </w:numPr>
              <w:autoSpaceDE w:val="0"/>
              <w:autoSpaceDN w:val="0"/>
              <w:adjustRightInd w:val="0"/>
              <w:spacing w:after="0"/>
              <w:ind w:left="1418"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as far as practicable include in the terms of the sub-contract terms equivalent to those set out in Schedule 6F </w:t>
            </w:r>
            <w:r w:rsidRPr="00616289">
              <w:rPr>
                <w:rFonts w:ascii="Arial" w:eastAsia="Times New Roman" w:hAnsi="Arial" w:cs="Arial"/>
                <w:i/>
                <w:color w:val="000000"/>
                <w:sz w:val="20"/>
                <w:lang w:val="en-GB" w:eastAsia="en-GB"/>
              </w:rPr>
              <w:t>(Provider Data Processor Agreement)</w:t>
            </w:r>
            <w:r w:rsidRPr="00616289" w:rsidDel="000D14FD">
              <w:rPr>
                <w:rFonts w:ascii="Arial" w:eastAsia="Times New Roman" w:hAnsi="Arial" w:cs="Arial"/>
                <w:i/>
                <w:color w:val="000000"/>
                <w:sz w:val="20"/>
                <w:lang w:val="en-GB" w:eastAsia="en-GB"/>
              </w:rPr>
              <w:t xml:space="preserve"> </w:t>
            </w:r>
            <w:r w:rsidRPr="00616289">
              <w:rPr>
                <w:rFonts w:ascii="Arial" w:eastAsia="Times New Roman" w:hAnsi="Arial" w:cs="Arial"/>
                <w:color w:val="000000"/>
                <w:sz w:val="20"/>
                <w:lang w:val="en-GB" w:eastAsia="en-GB"/>
              </w:rPr>
              <w:t xml:space="preserve">and in any event ensure that the Sub-Contractor is engaged under the terms of a binding written agreement requiring the Sub-Contractor to: </w:t>
            </w:r>
          </w:p>
          <w:p w:rsidR="00616289" w:rsidRPr="00616289" w:rsidRDefault="00616289" w:rsidP="00616289">
            <w:pPr>
              <w:autoSpaceDE w:val="0"/>
              <w:autoSpaceDN w:val="0"/>
              <w:adjustRightInd w:val="0"/>
              <w:spacing w:after="0"/>
              <w:ind w:left="1276" w:right="43"/>
              <w:jc w:val="both"/>
              <w:rPr>
                <w:rFonts w:ascii="Arial" w:eastAsia="Times New Roman" w:hAnsi="Arial" w:cs="Arial"/>
                <w:color w:val="000000"/>
                <w:sz w:val="20"/>
                <w:lang w:val="en-GB" w:eastAsia="en-GB"/>
              </w:rPr>
            </w:pPr>
          </w:p>
          <w:p w:rsidR="00616289" w:rsidRPr="00616289" w:rsidRDefault="00616289" w:rsidP="007F6C6D">
            <w:pPr>
              <w:numPr>
                <w:ilvl w:val="3"/>
                <w:numId w:val="20"/>
              </w:numPr>
              <w:autoSpaceDE w:val="0"/>
              <w:autoSpaceDN w:val="0"/>
              <w:adjustRightInd w:val="0"/>
              <w:spacing w:after="0"/>
              <w:ind w:left="2268" w:right="43" w:hanging="850"/>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process Personal Data only in accordance with the Provider’s instructions as set out in the written agreement, including instructions regarding transfers of Personal Data outside the EU or to an international organisation unless such transfer is required by Law, in which case the Data Processor shall inform the Provider of that requirement before processing takes place, unless this is prohibited by law on the grounds of public interest; </w:t>
            </w:r>
          </w:p>
          <w:p w:rsidR="00616289" w:rsidRPr="00616289" w:rsidRDefault="00616289" w:rsidP="00616289">
            <w:pPr>
              <w:autoSpaceDE w:val="0"/>
              <w:autoSpaceDN w:val="0"/>
              <w:adjustRightInd w:val="0"/>
              <w:spacing w:after="0"/>
              <w:ind w:left="1134" w:right="43"/>
              <w:jc w:val="both"/>
              <w:rPr>
                <w:rFonts w:ascii="Arial" w:eastAsia="Times New Roman" w:hAnsi="Arial" w:cs="Arial"/>
                <w:color w:val="000000"/>
                <w:sz w:val="20"/>
                <w:lang w:val="en-GB" w:eastAsia="en-GB"/>
              </w:rPr>
            </w:pPr>
          </w:p>
          <w:p w:rsidR="00616289" w:rsidRPr="00616289" w:rsidRDefault="00616289" w:rsidP="007F6C6D">
            <w:pPr>
              <w:numPr>
                <w:ilvl w:val="3"/>
                <w:numId w:val="20"/>
              </w:numPr>
              <w:autoSpaceDE w:val="0"/>
              <w:autoSpaceDN w:val="0"/>
              <w:adjustRightInd w:val="0"/>
              <w:spacing w:after="0"/>
              <w:ind w:left="2268" w:right="43" w:hanging="850"/>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ensure that persons authorised to process the Personal Data on behalf of the Sub-Contractor have committed themselves to confidentiality or are under appropriate statutory obligations of confidentiality; </w:t>
            </w:r>
          </w:p>
          <w:p w:rsidR="00616289" w:rsidRPr="00616289" w:rsidRDefault="00616289" w:rsidP="00616289">
            <w:pPr>
              <w:autoSpaceDE w:val="0"/>
              <w:autoSpaceDN w:val="0"/>
              <w:adjustRightInd w:val="0"/>
              <w:spacing w:after="0"/>
              <w:ind w:left="1134" w:right="43"/>
              <w:jc w:val="both"/>
              <w:rPr>
                <w:rFonts w:ascii="Arial" w:eastAsia="Times New Roman" w:hAnsi="Arial" w:cs="Arial"/>
                <w:color w:val="000000"/>
                <w:sz w:val="20"/>
                <w:lang w:val="en-GB" w:eastAsia="en-GB"/>
              </w:rPr>
            </w:pPr>
          </w:p>
          <w:p w:rsidR="00616289" w:rsidRPr="00616289" w:rsidRDefault="00616289" w:rsidP="007F6C6D">
            <w:pPr>
              <w:numPr>
                <w:ilvl w:val="3"/>
                <w:numId w:val="20"/>
              </w:numPr>
              <w:autoSpaceDE w:val="0"/>
              <w:autoSpaceDN w:val="0"/>
              <w:adjustRightInd w:val="0"/>
              <w:spacing w:after="0"/>
              <w:ind w:left="2268" w:right="43" w:hanging="850"/>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comply at all times with obligations equivalent to those imposed on the Provider by virtue of the Seventh Data Protection Principle for so long as the DPA 1998 remains in force and after that time with those obligations set out at Article 32 of the GDPR and equivalent provisions implemented into Law by DPA 2018; </w:t>
            </w:r>
          </w:p>
          <w:p w:rsidR="00616289" w:rsidRPr="00616289" w:rsidRDefault="00616289" w:rsidP="00616289">
            <w:pPr>
              <w:autoSpaceDE w:val="0"/>
              <w:autoSpaceDN w:val="0"/>
              <w:adjustRightInd w:val="0"/>
              <w:spacing w:after="0"/>
              <w:ind w:left="2268" w:right="43"/>
              <w:jc w:val="both"/>
              <w:rPr>
                <w:rFonts w:ascii="Arial" w:eastAsia="Times New Roman" w:hAnsi="Arial" w:cs="Arial"/>
                <w:color w:val="000000"/>
                <w:sz w:val="20"/>
                <w:lang w:val="en-GB" w:eastAsia="en-GB"/>
              </w:rPr>
            </w:pPr>
          </w:p>
          <w:p w:rsidR="00616289" w:rsidRPr="00616289" w:rsidRDefault="00616289" w:rsidP="00326DA9">
            <w:pPr>
              <w:numPr>
                <w:ilvl w:val="3"/>
                <w:numId w:val="20"/>
              </w:numPr>
              <w:autoSpaceDE w:val="0"/>
              <w:autoSpaceDN w:val="0"/>
              <w:adjustRightInd w:val="0"/>
              <w:spacing w:after="0"/>
              <w:ind w:left="2268" w:right="43" w:hanging="850"/>
              <w:jc w:val="both"/>
              <w:rPr>
                <w:rFonts w:ascii="Arial" w:eastAsia="Times New Roman" w:hAnsi="Arial" w:cs="Arial"/>
                <w:color w:val="000000"/>
                <w:sz w:val="20"/>
                <w:szCs w:val="24"/>
                <w:lang w:val="en-GB" w:eastAsia="en-GB"/>
              </w:rPr>
            </w:pPr>
            <w:r w:rsidRPr="00616289">
              <w:rPr>
                <w:rFonts w:ascii="Arial" w:eastAsia="Times New Roman" w:hAnsi="Arial" w:cs="Arial"/>
                <w:color w:val="000000"/>
                <w:sz w:val="20"/>
                <w:lang w:val="en-GB" w:eastAsia="en-GB"/>
              </w:rPr>
              <w:t>impose obligations as set out in this clause GC21.16.3 on any Sub-processor appointed by the Sub-Contractor;</w:t>
            </w:r>
          </w:p>
          <w:p w:rsidR="00616289" w:rsidRPr="00616289" w:rsidRDefault="00616289" w:rsidP="00616289">
            <w:pPr>
              <w:autoSpaceDE w:val="0"/>
              <w:autoSpaceDN w:val="0"/>
              <w:adjustRightInd w:val="0"/>
              <w:spacing w:after="0"/>
              <w:ind w:left="2268" w:right="43"/>
              <w:jc w:val="both"/>
              <w:rPr>
                <w:rFonts w:ascii="Arial" w:eastAsia="Times New Roman" w:hAnsi="Arial" w:cs="Arial"/>
                <w:color w:val="000000"/>
                <w:sz w:val="20"/>
                <w:szCs w:val="24"/>
                <w:lang w:val="en-GB" w:eastAsia="en-GB"/>
              </w:rPr>
            </w:pPr>
          </w:p>
          <w:p w:rsidR="00616289" w:rsidRPr="00616289" w:rsidRDefault="00616289" w:rsidP="00326DA9">
            <w:pPr>
              <w:numPr>
                <w:ilvl w:val="3"/>
                <w:numId w:val="20"/>
              </w:numPr>
              <w:autoSpaceDE w:val="0"/>
              <w:autoSpaceDN w:val="0"/>
              <w:adjustRightInd w:val="0"/>
              <w:spacing w:after="0"/>
              <w:ind w:left="2268" w:right="43" w:hanging="850"/>
              <w:jc w:val="both"/>
              <w:rPr>
                <w:rFonts w:ascii="Arial" w:eastAsia="Times New Roman" w:hAnsi="Arial" w:cs="Arial"/>
                <w:color w:val="000000"/>
                <w:sz w:val="20"/>
                <w:szCs w:val="24"/>
                <w:lang w:val="en-GB" w:eastAsia="en-GB"/>
              </w:rPr>
            </w:pPr>
            <w:r w:rsidRPr="00616289">
              <w:rPr>
                <w:rFonts w:ascii="Arial" w:eastAsia="Times New Roman" w:hAnsi="Arial" w:cs="Arial"/>
                <w:color w:val="000000"/>
                <w:sz w:val="20"/>
                <w:lang w:val="en-GB" w:eastAsia="en-GB"/>
              </w:rPr>
              <w:t xml:space="preserve">taking into account the nature of the processing, assist the Provider by taking appropriate technical and organisational measures, insofar as this is possible, for the fulfilment of the Provider’s obligation to respond to requests for exercising rights granted to individuals by Data Protection Legislation; </w:t>
            </w:r>
          </w:p>
          <w:p w:rsidR="00616289" w:rsidRPr="00616289" w:rsidRDefault="00616289" w:rsidP="00616289">
            <w:pPr>
              <w:autoSpaceDE w:val="0"/>
              <w:autoSpaceDN w:val="0"/>
              <w:adjustRightInd w:val="0"/>
              <w:spacing w:after="0"/>
              <w:ind w:left="2268" w:right="43"/>
              <w:jc w:val="both"/>
              <w:rPr>
                <w:rFonts w:ascii="Arial" w:eastAsia="Times New Roman" w:hAnsi="Arial" w:cs="Arial"/>
                <w:color w:val="000000"/>
                <w:sz w:val="20"/>
                <w:szCs w:val="24"/>
                <w:lang w:val="en-GB" w:eastAsia="en-GB"/>
              </w:rPr>
            </w:pPr>
          </w:p>
          <w:p w:rsidR="00616289" w:rsidRPr="00616289" w:rsidRDefault="00616289" w:rsidP="00326DA9">
            <w:pPr>
              <w:numPr>
                <w:ilvl w:val="3"/>
                <w:numId w:val="20"/>
              </w:numPr>
              <w:autoSpaceDE w:val="0"/>
              <w:autoSpaceDN w:val="0"/>
              <w:adjustRightInd w:val="0"/>
              <w:spacing w:after="0"/>
              <w:ind w:left="2268" w:right="43" w:hanging="850"/>
              <w:jc w:val="both"/>
              <w:rPr>
                <w:rFonts w:ascii="Arial" w:eastAsia="Times New Roman" w:hAnsi="Arial" w:cs="Arial"/>
                <w:color w:val="000000"/>
                <w:sz w:val="20"/>
                <w:szCs w:val="24"/>
                <w:lang w:val="en-GB" w:eastAsia="en-GB"/>
              </w:rPr>
            </w:pPr>
            <w:r w:rsidRPr="00616289">
              <w:rPr>
                <w:rFonts w:ascii="Arial" w:eastAsia="Times New Roman" w:hAnsi="Arial" w:cs="Arial"/>
                <w:color w:val="000000"/>
                <w:sz w:val="20"/>
                <w:szCs w:val="24"/>
                <w:lang w:val="en-GB" w:eastAsia="en-GB"/>
              </w:rPr>
              <w:t xml:space="preserve">assist </w:t>
            </w:r>
            <w:r w:rsidRPr="00616289">
              <w:rPr>
                <w:rFonts w:ascii="Arial" w:eastAsia="Times New Roman" w:hAnsi="Arial" w:cs="Arial"/>
                <w:color w:val="000000"/>
                <w:sz w:val="20"/>
                <w:lang w:val="en-GB" w:eastAsia="en-GB"/>
              </w:rPr>
              <w:t>the Provider in ensuring compliance with the obligations set out at Article 32 to 36 of the GDPR and equivalent provisions implemented into Law, taking into account the nature of processing and the information available to the Sub-Contractor;</w:t>
            </w:r>
          </w:p>
          <w:p w:rsidR="00616289" w:rsidRPr="00616289" w:rsidRDefault="00616289" w:rsidP="00616289">
            <w:pPr>
              <w:autoSpaceDE w:val="0"/>
              <w:autoSpaceDN w:val="0"/>
              <w:adjustRightInd w:val="0"/>
              <w:spacing w:after="0"/>
              <w:ind w:left="2268" w:right="43"/>
              <w:jc w:val="both"/>
              <w:rPr>
                <w:rFonts w:ascii="Arial" w:eastAsia="Times New Roman" w:hAnsi="Arial" w:cs="Arial"/>
                <w:color w:val="000000"/>
                <w:sz w:val="20"/>
                <w:szCs w:val="24"/>
                <w:lang w:val="en-GB" w:eastAsia="en-GB"/>
              </w:rPr>
            </w:pPr>
          </w:p>
          <w:p w:rsidR="00616289" w:rsidRPr="00616289" w:rsidRDefault="00616289" w:rsidP="00326DA9">
            <w:pPr>
              <w:numPr>
                <w:ilvl w:val="3"/>
                <w:numId w:val="20"/>
              </w:numPr>
              <w:autoSpaceDE w:val="0"/>
              <w:autoSpaceDN w:val="0"/>
              <w:adjustRightInd w:val="0"/>
              <w:spacing w:after="0"/>
              <w:ind w:left="2268" w:right="43" w:hanging="850"/>
              <w:jc w:val="both"/>
              <w:rPr>
                <w:rFonts w:ascii="Arial" w:eastAsia="Times New Roman" w:hAnsi="Arial" w:cs="Arial"/>
                <w:color w:val="000000"/>
                <w:sz w:val="20"/>
                <w:szCs w:val="24"/>
                <w:lang w:val="en-GB" w:eastAsia="en-GB"/>
              </w:rPr>
            </w:pPr>
            <w:r w:rsidRPr="00616289">
              <w:rPr>
                <w:rFonts w:ascii="Arial" w:eastAsia="Times New Roman" w:hAnsi="Arial" w:cs="Arial"/>
                <w:color w:val="000000"/>
                <w:sz w:val="20"/>
                <w:lang w:val="en-GB" w:eastAsia="en-GB"/>
              </w:rPr>
              <w:t>at the choice of the Provider, delete or return all Personal Data to the Provider after the end of the provision of services relating to processing, and delete existing copies unless the Law requires storage of the Personal Data;</w:t>
            </w:r>
          </w:p>
          <w:p w:rsidR="00616289" w:rsidRPr="00616289" w:rsidRDefault="00616289" w:rsidP="00616289">
            <w:pPr>
              <w:autoSpaceDE w:val="0"/>
              <w:autoSpaceDN w:val="0"/>
              <w:adjustRightInd w:val="0"/>
              <w:spacing w:after="0"/>
              <w:ind w:left="2268" w:right="43"/>
              <w:jc w:val="both"/>
              <w:rPr>
                <w:rFonts w:ascii="Arial" w:eastAsia="Times New Roman" w:hAnsi="Arial" w:cs="Arial"/>
                <w:color w:val="000000"/>
                <w:sz w:val="20"/>
                <w:szCs w:val="24"/>
                <w:lang w:val="en-GB" w:eastAsia="en-GB"/>
              </w:rPr>
            </w:pPr>
          </w:p>
          <w:p w:rsidR="00616289" w:rsidRPr="00616289" w:rsidRDefault="00616289" w:rsidP="00326DA9">
            <w:pPr>
              <w:numPr>
                <w:ilvl w:val="3"/>
                <w:numId w:val="20"/>
              </w:numPr>
              <w:autoSpaceDE w:val="0"/>
              <w:autoSpaceDN w:val="0"/>
              <w:adjustRightInd w:val="0"/>
              <w:spacing w:after="0"/>
              <w:ind w:left="2268" w:right="43" w:hanging="850"/>
              <w:jc w:val="both"/>
              <w:rPr>
                <w:rFonts w:ascii="Arial" w:eastAsia="Times New Roman" w:hAnsi="Arial" w:cs="Arial"/>
                <w:color w:val="000000"/>
                <w:sz w:val="20"/>
                <w:szCs w:val="24"/>
                <w:lang w:val="en-GB" w:eastAsia="en-GB"/>
              </w:rPr>
            </w:pPr>
            <w:r w:rsidRPr="00616289">
              <w:rPr>
                <w:rFonts w:ascii="Arial" w:eastAsia="Times New Roman" w:hAnsi="Arial" w:cs="Arial"/>
                <w:color w:val="000000"/>
                <w:sz w:val="20"/>
                <w:lang w:val="en-GB" w:eastAsia="en-GB"/>
              </w:rPr>
              <w:t>create and maintain a record of all categories of data processing activities carried out under the Sub-Contract, containing:</w:t>
            </w:r>
          </w:p>
          <w:p w:rsidR="00616289" w:rsidRPr="00616289" w:rsidRDefault="00616289" w:rsidP="00616289">
            <w:pPr>
              <w:autoSpaceDE w:val="0"/>
              <w:autoSpaceDN w:val="0"/>
              <w:adjustRightInd w:val="0"/>
              <w:spacing w:after="0"/>
              <w:ind w:right="43"/>
              <w:jc w:val="both"/>
              <w:rPr>
                <w:rFonts w:ascii="Arial" w:eastAsia="Times New Roman" w:hAnsi="Arial" w:cs="Arial"/>
                <w:color w:val="000000"/>
                <w:sz w:val="20"/>
                <w:szCs w:val="24"/>
                <w:lang w:val="en-GB" w:eastAsia="en-GB"/>
              </w:rPr>
            </w:pPr>
          </w:p>
          <w:p w:rsidR="00616289" w:rsidRPr="00616289" w:rsidRDefault="00616289" w:rsidP="00616289">
            <w:pPr>
              <w:autoSpaceDE w:val="0"/>
              <w:autoSpaceDN w:val="0"/>
              <w:adjustRightInd w:val="0"/>
              <w:spacing w:after="0"/>
              <w:ind w:left="3600" w:right="43" w:hanging="1332"/>
              <w:jc w:val="both"/>
              <w:rPr>
                <w:rFonts w:ascii="Arial" w:hAnsi="Arial" w:cs="Arial"/>
                <w:color w:val="000000"/>
                <w:sz w:val="20"/>
              </w:rPr>
            </w:pPr>
            <w:r w:rsidRPr="00616289">
              <w:rPr>
                <w:rFonts w:ascii="Arial" w:hAnsi="Arial" w:cs="Arial"/>
                <w:color w:val="000000"/>
                <w:sz w:val="20"/>
              </w:rPr>
              <w:t>21.16.3.8.1</w:t>
            </w:r>
            <w:r w:rsidRPr="00616289">
              <w:rPr>
                <w:rFonts w:ascii="Arial" w:hAnsi="Arial" w:cs="Arial"/>
                <w:color w:val="000000"/>
                <w:sz w:val="20"/>
              </w:rPr>
              <w:tab/>
              <w:t>the name and contact details of the Data Protection Officer (where required by Data Protection Legislation to have one);</w:t>
            </w:r>
          </w:p>
          <w:p w:rsidR="00616289" w:rsidRPr="00616289" w:rsidRDefault="00616289" w:rsidP="00616289">
            <w:pPr>
              <w:autoSpaceDE w:val="0"/>
              <w:autoSpaceDN w:val="0"/>
              <w:adjustRightInd w:val="0"/>
              <w:spacing w:after="0"/>
              <w:ind w:left="3600" w:right="43" w:hanging="1332"/>
              <w:jc w:val="both"/>
              <w:rPr>
                <w:rFonts w:ascii="Arial" w:hAnsi="Arial" w:cs="Arial"/>
                <w:color w:val="000000"/>
                <w:sz w:val="20"/>
              </w:rPr>
            </w:pPr>
          </w:p>
          <w:p w:rsidR="00616289" w:rsidRPr="00616289" w:rsidRDefault="00616289" w:rsidP="00616289">
            <w:pPr>
              <w:autoSpaceDE w:val="0"/>
              <w:autoSpaceDN w:val="0"/>
              <w:adjustRightInd w:val="0"/>
              <w:spacing w:after="0"/>
              <w:ind w:left="3600" w:right="43" w:hanging="1332"/>
              <w:jc w:val="both"/>
              <w:rPr>
                <w:rFonts w:ascii="Arial" w:hAnsi="Arial" w:cs="Arial"/>
                <w:color w:val="000000"/>
                <w:sz w:val="20"/>
              </w:rPr>
            </w:pPr>
            <w:r w:rsidRPr="00616289">
              <w:rPr>
                <w:rFonts w:ascii="Arial" w:hAnsi="Arial" w:cs="Arial"/>
                <w:color w:val="000000"/>
                <w:sz w:val="20"/>
              </w:rPr>
              <w:t>21.16.3.8.2</w:t>
            </w:r>
            <w:r w:rsidRPr="00616289">
              <w:rPr>
                <w:rFonts w:ascii="Arial" w:hAnsi="Arial" w:cs="Arial"/>
                <w:color w:val="000000"/>
                <w:sz w:val="20"/>
              </w:rPr>
              <w:tab/>
              <w:t xml:space="preserve">the categories of processing carried out on behalf of the Provider; </w:t>
            </w:r>
          </w:p>
          <w:p w:rsidR="00616289" w:rsidRPr="00616289" w:rsidRDefault="00616289" w:rsidP="00616289">
            <w:pPr>
              <w:autoSpaceDE w:val="0"/>
              <w:autoSpaceDN w:val="0"/>
              <w:adjustRightInd w:val="0"/>
              <w:spacing w:after="0"/>
              <w:ind w:left="3600" w:right="43" w:hanging="1332"/>
              <w:jc w:val="both"/>
              <w:rPr>
                <w:rFonts w:ascii="Arial" w:hAnsi="Arial" w:cs="Arial"/>
                <w:color w:val="000000"/>
                <w:sz w:val="20"/>
              </w:rPr>
            </w:pPr>
          </w:p>
          <w:p w:rsidR="00616289" w:rsidRPr="00616289" w:rsidRDefault="00616289" w:rsidP="00616289">
            <w:pPr>
              <w:autoSpaceDE w:val="0"/>
              <w:autoSpaceDN w:val="0"/>
              <w:adjustRightInd w:val="0"/>
              <w:spacing w:after="0"/>
              <w:ind w:left="3600" w:right="43" w:hanging="1332"/>
              <w:jc w:val="both"/>
              <w:rPr>
                <w:rFonts w:ascii="Arial" w:hAnsi="Arial" w:cs="Arial"/>
                <w:color w:val="000000"/>
                <w:sz w:val="20"/>
              </w:rPr>
            </w:pPr>
            <w:r w:rsidRPr="00616289">
              <w:rPr>
                <w:rFonts w:ascii="Arial" w:hAnsi="Arial" w:cs="Arial"/>
                <w:color w:val="000000"/>
                <w:sz w:val="20"/>
              </w:rPr>
              <w:t>21.16.3.8.3</w:t>
            </w:r>
            <w:r w:rsidRPr="00616289">
              <w:rPr>
                <w:rFonts w:ascii="Arial" w:hAnsi="Arial" w:cs="Arial"/>
                <w:color w:val="000000"/>
                <w:sz w:val="20"/>
              </w:rPr>
              <w:tab/>
              <w:t xml:space="preserve">where applicable, transfers of Personal Data to a third country or an international </w:t>
            </w:r>
            <w:proofErr w:type="spellStart"/>
            <w:r w:rsidRPr="00616289">
              <w:rPr>
                <w:rFonts w:ascii="Arial" w:hAnsi="Arial" w:cs="Arial"/>
                <w:color w:val="000000"/>
                <w:sz w:val="20"/>
              </w:rPr>
              <w:t>organisation</w:t>
            </w:r>
            <w:proofErr w:type="spellEnd"/>
            <w:r w:rsidRPr="00616289">
              <w:rPr>
                <w:rFonts w:ascii="Arial" w:hAnsi="Arial" w:cs="Arial"/>
                <w:color w:val="000000"/>
                <w:sz w:val="20"/>
              </w:rPr>
              <w:t xml:space="preserve">, including the identification of that third country or international </w:t>
            </w:r>
            <w:proofErr w:type="spellStart"/>
            <w:r w:rsidRPr="00616289">
              <w:rPr>
                <w:rFonts w:ascii="Arial" w:hAnsi="Arial" w:cs="Arial"/>
                <w:color w:val="000000"/>
                <w:sz w:val="20"/>
              </w:rPr>
              <w:t>organisation</w:t>
            </w:r>
            <w:proofErr w:type="spellEnd"/>
            <w:r w:rsidRPr="00616289">
              <w:rPr>
                <w:rFonts w:ascii="Arial" w:hAnsi="Arial" w:cs="Arial"/>
                <w:color w:val="000000"/>
                <w:sz w:val="20"/>
              </w:rPr>
              <w:t xml:space="preserve"> and, where relevant, the documentation of suitable safeguards; </w:t>
            </w:r>
          </w:p>
          <w:p w:rsidR="00616289" w:rsidRPr="00616289" w:rsidRDefault="00616289" w:rsidP="00616289">
            <w:pPr>
              <w:autoSpaceDE w:val="0"/>
              <w:autoSpaceDN w:val="0"/>
              <w:adjustRightInd w:val="0"/>
              <w:spacing w:after="0"/>
              <w:ind w:left="3600" w:right="43" w:hanging="1332"/>
              <w:jc w:val="both"/>
              <w:rPr>
                <w:rFonts w:ascii="Arial" w:hAnsi="Arial" w:cs="Arial"/>
                <w:color w:val="000000"/>
                <w:sz w:val="20"/>
              </w:rPr>
            </w:pPr>
          </w:p>
          <w:p w:rsidR="00616289" w:rsidRPr="00616289" w:rsidRDefault="00616289" w:rsidP="00616289">
            <w:pPr>
              <w:autoSpaceDE w:val="0"/>
              <w:autoSpaceDN w:val="0"/>
              <w:adjustRightInd w:val="0"/>
              <w:spacing w:after="0"/>
              <w:ind w:left="3600" w:right="43" w:hanging="1332"/>
              <w:jc w:val="both"/>
              <w:rPr>
                <w:rFonts w:ascii="Arial" w:hAnsi="Arial" w:cs="Arial"/>
                <w:color w:val="000000"/>
                <w:sz w:val="20"/>
              </w:rPr>
            </w:pPr>
            <w:r w:rsidRPr="00616289">
              <w:rPr>
                <w:rFonts w:ascii="Arial" w:hAnsi="Arial" w:cs="Arial"/>
                <w:color w:val="000000"/>
                <w:sz w:val="20"/>
              </w:rPr>
              <w:t>21.16.3.8.4</w:t>
            </w:r>
            <w:r w:rsidRPr="00616289">
              <w:rPr>
                <w:rFonts w:ascii="Arial" w:hAnsi="Arial" w:cs="Arial"/>
                <w:color w:val="000000"/>
                <w:sz w:val="20"/>
              </w:rPr>
              <w:tab/>
              <w:t xml:space="preserve">a general description of the technical and </w:t>
            </w:r>
            <w:proofErr w:type="spellStart"/>
            <w:r w:rsidRPr="00616289">
              <w:rPr>
                <w:rFonts w:ascii="Arial" w:hAnsi="Arial" w:cs="Arial"/>
                <w:color w:val="000000"/>
                <w:sz w:val="20"/>
              </w:rPr>
              <w:t>organisation</w:t>
            </w:r>
            <w:proofErr w:type="spellEnd"/>
            <w:r w:rsidRPr="00616289">
              <w:rPr>
                <w:rFonts w:ascii="Arial" w:hAnsi="Arial" w:cs="Arial"/>
                <w:color w:val="000000"/>
                <w:sz w:val="20"/>
              </w:rPr>
              <w:t xml:space="preserve"> security measures taken to ensure the security and integrity of the Personal Data processed under this Contract;</w:t>
            </w:r>
          </w:p>
          <w:p w:rsidR="00616289" w:rsidRPr="00616289" w:rsidRDefault="00616289" w:rsidP="00616289">
            <w:pPr>
              <w:autoSpaceDE w:val="0"/>
              <w:autoSpaceDN w:val="0"/>
              <w:adjustRightInd w:val="0"/>
              <w:spacing w:after="0"/>
              <w:ind w:left="142" w:right="43"/>
              <w:jc w:val="both"/>
              <w:rPr>
                <w:rFonts w:ascii="Arial" w:eastAsia="Times New Roman" w:hAnsi="Arial" w:cs="Arial"/>
                <w:i/>
                <w:color w:val="000000"/>
                <w:sz w:val="20"/>
                <w:lang w:val="en-GB" w:eastAsia="en-GB"/>
              </w:rPr>
            </w:pPr>
          </w:p>
          <w:p w:rsidR="00616289" w:rsidRPr="00616289" w:rsidRDefault="00616289" w:rsidP="00326DA9">
            <w:pPr>
              <w:numPr>
                <w:ilvl w:val="3"/>
                <w:numId w:val="20"/>
              </w:numPr>
              <w:autoSpaceDE w:val="0"/>
              <w:autoSpaceDN w:val="0"/>
              <w:adjustRightInd w:val="0"/>
              <w:spacing w:after="0"/>
              <w:ind w:left="2268" w:right="43" w:hanging="850"/>
              <w:jc w:val="both"/>
              <w:rPr>
                <w:rFonts w:ascii="Arial" w:eastAsia="Times New Roman" w:hAnsi="Arial" w:cs="Arial"/>
                <w:color w:val="000000"/>
                <w:sz w:val="20"/>
                <w:szCs w:val="24"/>
                <w:lang w:val="en-GB" w:eastAsia="en-GB"/>
              </w:rPr>
            </w:pPr>
            <w:r w:rsidRPr="00616289">
              <w:rPr>
                <w:rFonts w:ascii="Arial" w:eastAsia="Times New Roman" w:hAnsi="Arial" w:cs="Arial"/>
                <w:color w:val="000000"/>
                <w:sz w:val="20"/>
                <w:lang w:val="en-GB" w:eastAsia="en-GB"/>
              </w:rPr>
              <w:t>guarantee</w:t>
            </w:r>
            <w:r w:rsidRPr="00616289">
              <w:rPr>
                <w:rFonts w:ascii="Arial" w:eastAsia="Times New Roman" w:hAnsi="Arial" w:cs="Arial"/>
                <w:color w:val="000000"/>
                <w:sz w:val="20"/>
                <w:szCs w:val="24"/>
                <w:lang w:val="en-GB" w:eastAsia="en-GB"/>
              </w:rPr>
              <w:t xml:space="preserve"> that it has technical and organisational measures in place that </w:t>
            </w:r>
            <w:r w:rsidRPr="00326DA9">
              <w:rPr>
                <w:rFonts w:ascii="Arial" w:eastAsia="Times New Roman" w:hAnsi="Arial" w:cs="Arial"/>
                <w:color w:val="000000"/>
                <w:sz w:val="20"/>
                <w:lang w:val="en-GB" w:eastAsia="en-GB"/>
              </w:rPr>
              <w:t>are</w:t>
            </w:r>
            <w:r w:rsidRPr="00616289">
              <w:rPr>
                <w:rFonts w:ascii="Arial" w:eastAsia="Times New Roman" w:hAnsi="Arial" w:cs="Arial"/>
                <w:color w:val="000000"/>
                <w:sz w:val="20"/>
                <w:szCs w:val="24"/>
                <w:lang w:val="en-GB" w:eastAsia="en-GB"/>
              </w:rPr>
              <w:t xml:space="preserve"> sufficient to ensure that the processing complies with Data Protection Legislation and ensures that the rights of Data Subject are protected;</w:t>
            </w:r>
          </w:p>
          <w:p w:rsidR="00616289" w:rsidRPr="00616289" w:rsidRDefault="00616289" w:rsidP="00616289">
            <w:pPr>
              <w:spacing w:after="0"/>
              <w:ind w:right="43"/>
              <w:jc w:val="both"/>
              <w:rPr>
                <w:rFonts w:ascii="Arial" w:hAnsi="Arial" w:cs="Arial"/>
                <w:sz w:val="20"/>
              </w:rPr>
            </w:pPr>
          </w:p>
          <w:p w:rsidR="00616289" w:rsidRPr="00616289" w:rsidRDefault="00616289" w:rsidP="00326DA9">
            <w:pPr>
              <w:numPr>
                <w:ilvl w:val="3"/>
                <w:numId w:val="20"/>
              </w:numPr>
              <w:autoSpaceDE w:val="0"/>
              <w:autoSpaceDN w:val="0"/>
              <w:adjustRightInd w:val="0"/>
              <w:spacing w:after="0"/>
              <w:ind w:left="2268" w:right="43" w:hanging="850"/>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allow rights of audit and inspection in respect of relevant data handling systems to the Provider or to the Co-ordinating Commissioner or to any person authorised by the Provider or by the Co-ordinating Commissioner to act on its behalf; and</w:t>
            </w:r>
          </w:p>
          <w:p w:rsidR="00616289" w:rsidRPr="00616289" w:rsidRDefault="00616289" w:rsidP="00616289">
            <w:pPr>
              <w:autoSpaceDE w:val="0"/>
              <w:autoSpaceDN w:val="0"/>
              <w:adjustRightInd w:val="0"/>
              <w:spacing w:after="0"/>
              <w:ind w:left="1135" w:right="43"/>
              <w:jc w:val="both"/>
              <w:rPr>
                <w:rFonts w:ascii="Arial" w:eastAsia="Times New Roman" w:hAnsi="Arial" w:cs="Arial"/>
                <w:color w:val="000000"/>
                <w:sz w:val="20"/>
                <w:lang w:val="en-GB" w:eastAsia="en-GB"/>
              </w:rPr>
            </w:pPr>
          </w:p>
          <w:p w:rsidR="00616289" w:rsidRPr="00616289" w:rsidRDefault="00616289" w:rsidP="00326DA9">
            <w:pPr>
              <w:numPr>
                <w:ilvl w:val="3"/>
                <w:numId w:val="20"/>
              </w:numPr>
              <w:autoSpaceDE w:val="0"/>
              <w:autoSpaceDN w:val="0"/>
              <w:adjustRightInd w:val="0"/>
              <w:spacing w:after="0"/>
              <w:ind w:left="2268" w:right="43" w:hanging="850"/>
              <w:jc w:val="both"/>
              <w:rPr>
                <w:rFonts w:ascii="Arial" w:eastAsia="Times New Roman" w:hAnsi="Arial" w:cs="Arial"/>
                <w:color w:val="000000"/>
                <w:sz w:val="20"/>
                <w:szCs w:val="24"/>
                <w:lang w:val="en-GB" w:eastAsia="en-GB"/>
              </w:rPr>
            </w:pPr>
            <w:proofErr w:type="gramStart"/>
            <w:r w:rsidRPr="00616289">
              <w:rPr>
                <w:rFonts w:ascii="Arial" w:eastAsia="Times New Roman" w:hAnsi="Arial" w:cs="Arial"/>
                <w:color w:val="000000"/>
                <w:sz w:val="20"/>
                <w:lang w:val="en-GB" w:eastAsia="en-GB"/>
              </w:rPr>
              <w:t>impose</w:t>
            </w:r>
            <w:proofErr w:type="gramEnd"/>
            <w:r w:rsidRPr="00616289">
              <w:rPr>
                <w:rFonts w:ascii="Arial" w:eastAsia="Times New Roman" w:hAnsi="Arial" w:cs="Arial"/>
                <w:color w:val="000000"/>
                <w:sz w:val="20"/>
                <w:szCs w:val="24"/>
                <w:lang w:val="en-GB" w:eastAsia="en-GB"/>
              </w:rPr>
              <w:t xml:space="preserve"> </w:t>
            </w:r>
            <w:r w:rsidRPr="00616289">
              <w:rPr>
                <w:rFonts w:ascii="Arial" w:eastAsia="Times New Roman" w:hAnsi="Arial" w:cs="Arial"/>
                <w:color w:val="000000"/>
                <w:sz w:val="20"/>
                <w:lang w:val="en-GB" w:eastAsia="en-GB"/>
              </w:rPr>
              <w:t>on</w:t>
            </w:r>
            <w:r w:rsidRPr="00616289">
              <w:rPr>
                <w:rFonts w:ascii="Arial" w:eastAsia="Times New Roman" w:hAnsi="Arial" w:cs="Arial"/>
                <w:color w:val="000000"/>
                <w:sz w:val="20"/>
                <w:szCs w:val="24"/>
                <w:lang w:val="en-GB" w:eastAsia="en-GB"/>
              </w:rPr>
              <w:t xml:space="preserve"> its own Sub-Contractors (in the event the Sub-Contractor </w:t>
            </w:r>
            <w:r w:rsidRPr="00326DA9">
              <w:rPr>
                <w:rFonts w:ascii="Arial" w:eastAsia="Times New Roman" w:hAnsi="Arial" w:cs="Arial"/>
                <w:color w:val="000000"/>
                <w:sz w:val="20"/>
                <w:lang w:val="en-GB" w:eastAsia="en-GB"/>
              </w:rPr>
              <w:t>further</w:t>
            </w:r>
            <w:r w:rsidRPr="00616289">
              <w:rPr>
                <w:rFonts w:ascii="Arial" w:eastAsia="Times New Roman" w:hAnsi="Arial" w:cs="Arial"/>
                <w:color w:val="000000"/>
                <w:sz w:val="20"/>
                <w:szCs w:val="24"/>
                <w:lang w:val="en-GB" w:eastAsia="en-GB"/>
              </w:rPr>
              <w:t xml:space="preserve"> sub-contracts any of its obligations under the Sub-Contract) obligations that are substantially equivalent to the obligations imposed on the Sub-Contractor by this GC21.16.3. </w:t>
            </w:r>
          </w:p>
          <w:p w:rsidR="00616289" w:rsidRPr="00616289" w:rsidRDefault="00616289" w:rsidP="00616289">
            <w:pPr>
              <w:autoSpaceDE w:val="0"/>
              <w:autoSpaceDN w:val="0"/>
              <w:adjustRightInd w:val="0"/>
              <w:spacing w:after="0"/>
              <w:ind w:left="2268" w:right="43"/>
              <w:jc w:val="both"/>
              <w:rPr>
                <w:rFonts w:ascii="Arial" w:eastAsia="Times New Roman" w:hAnsi="Arial" w:cs="Arial"/>
                <w:color w:val="000000"/>
                <w:sz w:val="20"/>
                <w:szCs w:val="24"/>
                <w:lang w:val="en-GB" w:eastAsia="en-GB"/>
              </w:rPr>
            </w:pPr>
          </w:p>
          <w:p w:rsidR="00616289" w:rsidRPr="00616289" w:rsidRDefault="00616289" w:rsidP="00616289">
            <w:pPr>
              <w:numPr>
                <w:ilvl w:val="1"/>
                <w:numId w:val="20"/>
              </w:numPr>
              <w:autoSpaceDE w:val="0"/>
              <w:autoSpaceDN w:val="0"/>
              <w:adjustRightInd w:val="0"/>
              <w:spacing w:after="0"/>
              <w:ind w:left="709" w:right="43" w:hanging="709"/>
              <w:jc w:val="both"/>
              <w:rPr>
                <w:rFonts w:ascii="Arial" w:eastAsia="Times New Roman" w:hAnsi="Arial" w:cs="Arial"/>
                <w:sz w:val="20"/>
                <w:szCs w:val="24"/>
                <w:lang w:val="en-GB" w:eastAsia="en-GB"/>
              </w:rPr>
            </w:pPr>
            <w:bookmarkStart w:id="4" w:name="_Ref506909637"/>
            <w:r w:rsidRPr="00616289">
              <w:rPr>
                <w:rFonts w:ascii="Arial" w:eastAsia="Times New Roman" w:hAnsi="Arial" w:cs="Arial"/>
                <w:sz w:val="20"/>
                <w:szCs w:val="24"/>
                <w:lang w:val="en-GB" w:eastAsia="en-GB"/>
              </w:rPr>
              <w:t xml:space="preserve">The </w:t>
            </w:r>
            <w:r w:rsidRPr="00616289">
              <w:rPr>
                <w:rFonts w:ascii="Arial" w:eastAsia="Times New Roman" w:hAnsi="Arial" w:cs="Arial"/>
                <w:sz w:val="20"/>
                <w:lang w:val="en-GB" w:eastAsia="en-GB"/>
              </w:rPr>
              <w:t>agreement</w:t>
            </w:r>
            <w:r w:rsidRPr="00616289">
              <w:rPr>
                <w:rFonts w:ascii="Arial" w:eastAsia="Times New Roman" w:hAnsi="Arial" w:cs="Arial"/>
                <w:sz w:val="20"/>
                <w:szCs w:val="24"/>
                <w:lang w:val="en-GB" w:eastAsia="en-GB"/>
              </w:rPr>
              <w:t xml:space="preserve"> required by GC21.16 must also set out:</w:t>
            </w:r>
            <w:bookmarkEnd w:id="4"/>
          </w:p>
          <w:p w:rsidR="00616289" w:rsidRPr="00616289" w:rsidRDefault="00616289" w:rsidP="00616289">
            <w:pPr>
              <w:spacing w:after="0"/>
              <w:ind w:right="43"/>
              <w:jc w:val="both"/>
              <w:rPr>
                <w:rFonts w:ascii="Arial" w:hAnsi="Arial" w:cs="Arial"/>
                <w:sz w:val="20"/>
              </w:rPr>
            </w:pPr>
          </w:p>
          <w:p w:rsidR="00616289" w:rsidRPr="00616289" w:rsidRDefault="00616289" w:rsidP="007F6C6D">
            <w:pPr>
              <w:spacing w:after="0"/>
              <w:ind w:left="1418" w:right="43" w:hanging="709"/>
              <w:jc w:val="both"/>
              <w:rPr>
                <w:rFonts w:ascii="Arial" w:hAnsi="Arial" w:cs="Arial"/>
                <w:sz w:val="20"/>
              </w:rPr>
            </w:pPr>
            <w:r w:rsidRPr="00616289">
              <w:rPr>
                <w:rFonts w:ascii="Arial" w:hAnsi="Arial" w:cs="Arial"/>
                <w:sz w:val="20"/>
              </w:rPr>
              <w:t>21.17.1</w:t>
            </w:r>
            <w:r w:rsidRPr="00616289">
              <w:rPr>
                <w:rFonts w:ascii="Arial" w:hAnsi="Arial" w:cs="Arial"/>
                <w:sz w:val="20"/>
              </w:rPr>
              <w:tab/>
              <w:t>the subject matter of the processing;</w:t>
            </w:r>
          </w:p>
          <w:p w:rsidR="00616289" w:rsidRPr="00616289" w:rsidRDefault="00616289" w:rsidP="007F6C6D">
            <w:pPr>
              <w:spacing w:after="0"/>
              <w:ind w:left="1418" w:right="43" w:hanging="709"/>
              <w:jc w:val="both"/>
              <w:rPr>
                <w:rFonts w:ascii="Arial" w:hAnsi="Arial" w:cs="Arial"/>
                <w:sz w:val="20"/>
              </w:rPr>
            </w:pPr>
          </w:p>
          <w:p w:rsidR="00616289" w:rsidRPr="00616289" w:rsidRDefault="00616289" w:rsidP="007F6C6D">
            <w:pPr>
              <w:spacing w:after="0"/>
              <w:ind w:left="1418" w:right="43" w:hanging="709"/>
              <w:jc w:val="both"/>
              <w:rPr>
                <w:rFonts w:ascii="Arial" w:hAnsi="Arial" w:cs="Arial"/>
                <w:sz w:val="20"/>
              </w:rPr>
            </w:pPr>
            <w:r w:rsidRPr="00616289">
              <w:rPr>
                <w:rFonts w:ascii="Arial" w:hAnsi="Arial" w:cs="Arial"/>
                <w:sz w:val="20"/>
              </w:rPr>
              <w:t>21.17.2</w:t>
            </w:r>
            <w:r w:rsidRPr="00616289">
              <w:rPr>
                <w:rFonts w:ascii="Arial" w:hAnsi="Arial" w:cs="Arial"/>
                <w:sz w:val="20"/>
              </w:rPr>
              <w:tab/>
              <w:t>the duration of the processing;</w:t>
            </w:r>
          </w:p>
          <w:p w:rsidR="00616289" w:rsidRPr="00616289" w:rsidRDefault="00616289" w:rsidP="007F6C6D">
            <w:pPr>
              <w:spacing w:after="0"/>
              <w:ind w:left="1418" w:right="43" w:hanging="709"/>
              <w:jc w:val="both"/>
              <w:rPr>
                <w:rFonts w:ascii="Arial" w:hAnsi="Arial" w:cs="Arial"/>
                <w:sz w:val="20"/>
              </w:rPr>
            </w:pPr>
          </w:p>
          <w:p w:rsidR="00616289" w:rsidRPr="00616289" w:rsidRDefault="00616289" w:rsidP="007F6C6D">
            <w:pPr>
              <w:spacing w:after="0"/>
              <w:ind w:left="1418" w:right="43" w:hanging="709"/>
              <w:jc w:val="both"/>
              <w:rPr>
                <w:rFonts w:ascii="Arial" w:hAnsi="Arial" w:cs="Arial"/>
                <w:sz w:val="20"/>
              </w:rPr>
            </w:pPr>
            <w:r w:rsidRPr="00616289">
              <w:rPr>
                <w:rFonts w:ascii="Arial" w:hAnsi="Arial" w:cs="Arial"/>
                <w:sz w:val="20"/>
              </w:rPr>
              <w:t>21.17.3</w:t>
            </w:r>
            <w:r w:rsidRPr="00616289">
              <w:rPr>
                <w:rFonts w:ascii="Arial" w:hAnsi="Arial" w:cs="Arial"/>
                <w:sz w:val="20"/>
              </w:rPr>
              <w:tab/>
              <w:t>the nature and purposes of the processing;</w:t>
            </w:r>
          </w:p>
          <w:p w:rsidR="00616289" w:rsidRPr="00616289" w:rsidRDefault="00616289" w:rsidP="007F6C6D">
            <w:pPr>
              <w:spacing w:after="0"/>
              <w:ind w:left="1418" w:right="43" w:hanging="709"/>
              <w:jc w:val="both"/>
              <w:rPr>
                <w:rFonts w:ascii="Arial" w:hAnsi="Arial" w:cs="Arial"/>
                <w:sz w:val="20"/>
              </w:rPr>
            </w:pPr>
          </w:p>
          <w:p w:rsidR="00616289" w:rsidRPr="00616289" w:rsidRDefault="00616289" w:rsidP="007F6C6D">
            <w:pPr>
              <w:spacing w:after="0"/>
              <w:ind w:left="1418" w:right="43" w:hanging="709"/>
              <w:jc w:val="both"/>
              <w:rPr>
                <w:rFonts w:ascii="Arial" w:hAnsi="Arial" w:cs="Arial"/>
                <w:sz w:val="20"/>
              </w:rPr>
            </w:pPr>
            <w:r w:rsidRPr="00616289">
              <w:rPr>
                <w:rFonts w:ascii="Arial" w:hAnsi="Arial" w:cs="Arial"/>
                <w:sz w:val="20"/>
              </w:rPr>
              <w:t>21.17.4</w:t>
            </w:r>
            <w:r w:rsidRPr="00616289">
              <w:rPr>
                <w:rFonts w:ascii="Arial" w:hAnsi="Arial" w:cs="Arial"/>
                <w:sz w:val="20"/>
              </w:rPr>
              <w:tab/>
              <w:t>the type of personal data processed;</w:t>
            </w:r>
          </w:p>
          <w:p w:rsidR="00616289" w:rsidRPr="00616289" w:rsidRDefault="00616289" w:rsidP="007F6C6D">
            <w:pPr>
              <w:spacing w:after="0"/>
              <w:ind w:left="1418" w:right="43" w:hanging="709"/>
              <w:jc w:val="both"/>
              <w:rPr>
                <w:rFonts w:ascii="Arial" w:hAnsi="Arial" w:cs="Arial"/>
                <w:sz w:val="20"/>
              </w:rPr>
            </w:pPr>
          </w:p>
          <w:p w:rsidR="00616289" w:rsidRPr="00616289" w:rsidRDefault="00616289" w:rsidP="007F6C6D">
            <w:pPr>
              <w:spacing w:after="0"/>
              <w:ind w:left="1418" w:right="43" w:hanging="709"/>
              <w:jc w:val="both"/>
              <w:rPr>
                <w:rFonts w:ascii="Arial" w:hAnsi="Arial" w:cs="Arial"/>
                <w:sz w:val="20"/>
              </w:rPr>
            </w:pPr>
            <w:r w:rsidRPr="00616289">
              <w:rPr>
                <w:rFonts w:ascii="Arial" w:hAnsi="Arial" w:cs="Arial"/>
                <w:sz w:val="20"/>
              </w:rPr>
              <w:t>21.17.5</w:t>
            </w:r>
            <w:r w:rsidRPr="00616289">
              <w:rPr>
                <w:rFonts w:ascii="Arial" w:hAnsi="Arial" w:cs="Arial"/>
                <w:sz w:val="20"/>
              </w:rPr>
              <w:tab/>
              <w:t>the categories of data subjects; and</w:t>
            </w:r>
          </w:p>
          <w:p w:rsidR="00616289" w:rsidRPr="00616289" w:rsidRDefault="00616289" w:rsidP="007F6C6D">
            <w:pPr>
              <w:spacing w:after="0"/>
              <w:ind w:left="1418" w:right="43" w:hanging="709"/>
              <w:jc w:val="both"/>
              <w:rPr>
                <w:rFonts w:ascii="Arial" w:hAnsi="Arial" w:cs="Arial"/>
                <w:sz w:val="20"/>
              </w:rPr>
            </w:pPr>
          </w:p>
          <w:p w:rsidR="00616289" w:rsidRPr="00616289" w:rsidRDefault="00616289" w:rsidP="007F6C6D">
            <w:pPr>
              <w:spacing w:after="0"/>
              <w:ind w:left="1418" w:right="43" w:hanging="709"/>
              <w:jc w:val="both"/>
              <w:rPr>
                <w:rFonts w:ascii="Arial" w:hAnsi="Arial" w:cs="Arial"/>
                <w:sz w:val="20"/>
              </w:rPr>
            </w:pPr>
            <w:r w:rsidRPr="00616289">
              <w:rPr>
                <w:rFonts w:ascii="Arial" w:hAnsi="Arial" w:cs="Arial"/>
                <w:sz w:val="20"/>
              </w:rPr>
              <w:t>21.17.6</w:t>
            </w:r>
            <w:r w:rsidRPr="00616289">
              <w:rPr>
                <w:rFonts w:ascii="Arial" w:hAnsi="Arial" w:cs="Arial"/>
                <w:sz w:val="20"/>
              </w:rPr>
              <w:tab/>
            </w:r>
            <w:proofErr w:type="gramStart"/>
            <w:r w:rsidRPr="00616289">
              <w:rPr>
                <w:rFonts w:ascii="Arial" w:hAnsi="Arial" w:cs="Arial"/>
                <w:sz w:val="20"/>
              </w:rPr>
              <w:t>the</w:t>
            </w:r>
            <w:proofErr w:type="gramEnd"/>
            <w:r w:rsidRPr="00616289">
              <w:rPr>
                <w:rFonts w:ascii="Arial" w:hAnsi="Arial" w:cs="Arial"/>
                <w:sz w:val="20"/>
              </w:rPr>
              <w:t xml:space="preserve"> plan for return and destruction of the data once processing is complete unless the Law requires that the data is preserved.</w:t>
            </w:r>
          </w:p>
          <w:p w:rsidR="00616289" w:rsidRPr="00616289" w:rsidRDefault="00616289" w:rsidP="00616289">
            <w:pPr>
              <w:spacing w:after="0"/>
              <w:ind w:right="43"/>
              <w:jc w:val="both"/>
              <w:rPr>
                <w:rFonts w:ascii="Arial" w:hAnsi="Arial" w:cs="Arial"/>
                <w:sz w:val="20"/>
              </w:rPr>
            </w:pP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r w:rsidRPr="00616289">
              <w:rPr>
                <w:rFonts w:ascii="Arial" w:eastAsia="Times New Roman" w:hAnsi="Arial" w:cs="Arial"/>
                <w:b/>
                <w:bCs/>
                <w:color w:val="000000"/>
                <w:sz w:val="20"/>
                <w:lang w:val="en-GB" w:eastAsia="en-GB"/>
              </w:rPr>
              <w:t>Freedom of Information and Transparency</w:t>
            </w:r>
          </w:p>
          <w:p w:rsidR="00616289" w:rsidRPr="00616289" w:rsidRDefault="00616289" w:rsidP="00616289">
            <w:pPr>
              <w:autoSpaceDE w:val="0"/>
              <w:autoSpaceDN w:val="0"/>
              <w:adjustRightInd w:val="0"/>
              <w:spacing w:after="0"/>
              <w:ind w:left="142" w:right="43"/>
              <w:jc w:val="both"/>
              <w:rPr>
                <w:rFonts w:ascii="Arial" w:eastAsia="Times New Roman" w:hAnsi="Arial" w:cs="Arial"/>
                <w:color w:val="000000"/>
                <w:sz w:val="20"/>
                <w:lang w:val="en-GB" w:eastAsia="en-GB"/>
              </w:rPr>
            </w:pPr>
          </w:p>
          <w:p w:rsidR="00616289" w:rsidRPr="00616289" w:rsidRDefault="00616289" w:rsidP="00616289">
            <w:pPr>
              <w:numPr>
                <w:ilvl w:val="1"/>
                <w:numId w:val="20"/>
              </w:num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 xml:space="preserve">The Provider acknowledges that the Commissioners are subject to the requirements of FOIA and EIR. The Provider must assist and co-operate with each Commissioner to enable it to comply with its disclosure obligations under FOIA and EIR. The Provider agrees: </w:t>
            </w:r>
          </w:p>
          <w:p w:rsidR="00616289" w:rsidRPr="00616289" w:rsidRDefault="00616289" w:rsidP="00616289">
            <w:pPr>
              <w:spacing w:after="0"/>
              <w:ind w:left="142" w:right="43"/>
              <w:jc w:val="both"/>
              <w:rPr>
                <w:rFonts w:ascii="Arial" w:hAnsi="Arial" w:cs="Arial"/>
                <w:sz w:val="20"/>
              </w:rPr>
            </w:pPr>
          </w:p>
          <w:p w:rsidR="00616289" w:rsidRPr="00616289" w:rsidRDefault="00616289" w:rsidP="007F6C6D">
            <w:pPr>
              <w:tabs>
                <w:tab w:val="left" w:pos="-3544"/>
              </w:tabs>
              <w:spacing w:after="0"/>
              <w:ind w:left="1418" w:right="43" w:hanging="709"/>
              <w:jc w:val="both"/>
              <w:rPr>
                <w:rFonts w:ascii="Arial" w:hAnsi="Arial" w:cs="Arial"/>
                <w:sz w:val="20"/>
              </w:rPr>
            </w:pPr>
            <w:r w:rsidRPr="00616289">
              <w:rPr>
                <w:rFonts w:ascii="Arial" w:hAnsi="Arial" w:cs="Arial"/>
                <w:sz w:val="20"/>
              </w:rPr>
              <w:t>21.18.1</w:t>
            </w:r>
            <w:r w:rsidRPr="00616289">
              <w:rPr>
                <w:rFonts w:ascii="Arial" w:hAnsi="Arial" w:cs="Arial"/>
                <w:sz w:val="20"/>
              </w:rPr>
              <w:tab/>
              <w:t xml:space="preserve">that this Contract and any other recorded information held by the Provider on a Commissioner’s behalf for the purposes of this Contract are subject to the obligations and commitments of the Commissioner under FOIA and EIR; </w:t>
            </w:r>
          </w:p>
          <w:p w:rsidR="00616289" w:rsidRPr="00616289" w:rsidRDefault="00616289" w:rsidP="007F6C6D">
            <w:pPr>
              <w:tabs>
                <w:tab w:val="left" w:pos="-3544"/>
              </w:tabs>
              <w:spacing w:after="0"/>
              <w:ind w:left="1418" w:right="43" w:hanging="709"/>
              <w:jc w:val="both"/>
              <w:rPr>
                <w:rFonts w:ascii="Arial" w:hAnsi="Arial" w:cs="Arial"/>
                <w:sz w:val="20"/>
              </w:rPr>
            </w:pPr>
          </w:p>
          <w:p w:rsidR="00616289" w:rsidRPr="00616289" w:rsidRDefault="00616289" w:rsidP="007F6C6D">
            <w:pPr>
              <w:tabs>
                <w:tab w:val="left" w:pos="-3544"/>
              </w:tabs>
              <w:spacing w:after="0"/>
              <w:ind w:left="1418" w:right="43" w:hanging="709"/>
              <w:jc w:val="both"/>
              <w:rPr>
                <w:rFonts w:ascii="Arial" w:hAnsi="Arial" w:cs="Arial"/>
                <w:sz w:val="20"/>
              </w:rPr>
            </w:pPr>
            <w:r w:rsidRPr="00616289">
              <w:rPr>
                <w:rFonts w:ascii="Arial" w:hAnsi="Arial" w:cs="Arial"/>
                <w:sz w:val="20"/>
              </w:rPr>
              <w:t>21.18.2</w:t>
            </w:r>
            <w:r w:rsidRPr="00616289">
              <w:rPr>
                <w:rFonts w:ascii="Arial" w:hAnsi="Arial" w:cs="Arial"/>
                <w:sz w:val="20"/>
              </w:rPr>
              <w:tab/>
              <w:t xml:space="preserve">that the decision on whether any exemption under FOIA or exception under EIR applies to any information is a decision solely for the Commissioner to whom a request for information is addressed; </w:t>
            </w:r>
          </w:p>
          <w:p w:rsidR="00616289" w:rsidRPr="00616289" w:rsidRDefault="00616289" w:rsidP="007F6C6D">
            <w:pPr>
              <w:tabs>
                <w:tab w:val="left" w:pos="-3544"/>
              </w:tabs>
              <w:spacing w:after="0"/>
              <w:ind w:left="1418" w:right="43" w:hanging="709"/>
              <w:jc w:val="both"/>
              <w:rPr>
                <w:rFonts w:ascii="Arial" w:hAnsi="Arial" w:cs="Arial"/>
                <w:sz w:val="20"/>
              </w:rPr>
            </w:pPr>
          </w:p>
          <w:p w:rsidR="00616289" w:rsidRPr="00616289" w:rsidRDefault="00616289" w:rsidP="007F6C6D">
            <w:pPr>
              <w:tabs>
                <w:tab w:val="left" w:pos="-3544"/>
              </w:tabs>
              <w:spacing w:after="0"/>
              <w:ind w:left="1418" w:right="43" w:hanging="709"/>
              <w:jc w:val="both"/>
              <w:rPr>
                <w:rFonts w:ascii="Arial" w:hAnsi="Arial" w:cs="Arial"/>
                <w:sz w:val="20"/>
              </w:rPr>
            </w:pPr>
            <w:r w:rsidRPr="00616289">
              <w:rPr>
                <w:rFonts w:ascii="Arial" w:hAnsi="Arial" w:cs="Arial"/>
                <w:sz w:val="20"/>
              </w:rPr>
              <w:t>21.18.3</w:t>
            </w:r>
            <w:r w:rsidRPr="00616289">
              <w:rPr>
                <w:rFonts w:ascii="Arial" w:hAnsi="Arial" w:cs="Arial"/>
                <w:sz w:val="20"/>
              </w:rPr>
              <w:tab/>
              <w:t xml:space="preserve">that where the Provider receives a request for information relating to the Services provided under this Contract and the Provider itself is subject to FOIA or EIR, it will liaise with the relevant Commissioner as to the contents of any response before a response to a request is issued and will promptly (and in any event within 2 Operational Days) provide a copy of the request and any response to the relevant Commissioner; </w:t>
            </w:r>
          </w:p>
          <w:p w:rsidR="00616289" w:rsidRPr="00616289" w:rsidRDefault="00616289" w:rsidP="007F6C6D">
            <w:pPr>
              <w:tabs>
                <w:tab w:val="left" w:pos="-3544"/>
              </w:tabs>
              <w:spacing w:after="0"/>
              <w:ind w:left="1418" w:right="43" w:hanging="709"/>
              <w:jc w:val="both"/>
              <w:rPr>
                <w:rFonts w:ascii="Arial" w:hAnsi="Arial" w:cs="Arial"/>
                <w:sz w:val="20"/>
              </w:rPr>
            </w:pPr>
          </w:p>
          <w:p w:rsidR="00616289" w:rsidRPr="00616289" w:rsidRDefault="00616289" w:rsidP="007F6C6D">
            <w:pPr>
              <w:tabs>
                <w:tab w:val="left" w:pos="-3544"/>
              </w:tabs>
              <w:spacing w:after="0"/>
              <w:ind w:left="1418" w:right="43" w:hanging="709"/>
              <w:jc w:val="both"/>
              <w:rPr>
                <w:rFonts w:ascii="Arial" w:hAnsi="Arial" w:cs="Arial"/>
                <w:sz w:val="20"/>
              </w:rPr>
            </w:pPr>
            <w:r w:rsidRPr="00616289">
              <w:rPr>
                <w:rFonts w:ascii="Arial" w:hAnsi="Arial" w:cs="Arial"/>
                <w:sz w:val="20"/>
              </w:rPr>
              <w:t>21.18.4</w:t>
            </w:r>
            <w:r w:rsidRPr="00616289">
              <w:rPr>
                <w:rFonts w:ascii="Arial" w:hAnsi="Arial" w:cs="Arial"/>
                <w:sz w:val="20"/>
              </w:rPr>
              <w:tab/>
              <w:t xml:space="preserve">that where the Provider receives a request for information and the Provider is not itself subject to FOIA or as applicable EIR, it will not respond to that request (unless directed to do so by the relevant Commissioner to whom the request relates) and will promptly (and in any event within 2 Operational Days) transfer the request to the relevant Commissioner; </w:t>
            </w:r>
          </w:p>
          <w:p w:rsidR="00616289" w:rsidRPr="00616289" w:rsidRDefault="00616289" w:rsidP="007F6C6D">
            <w:pPr>
              <w:tabs>
                <w:tab w:val="left" w:pos="-3544"/>
              </w:tabs>
              <w:spacing w:after="0"/>
              <w:ind w:left="1418" w:right="43" w:hanging="709"/>
              <w:jc w:val="both"/>
              <w:rPr>
                <w:rFonts w:ascii="Arial" w:hAnsi="Arial" w:cs="Arial"/>
                <w:sz w:val="20"/>
              </w:rPr>
            </w:pPr>
          </w:p>
          <w:p w:rsidR="00616289" w:rsidRPr="00616289" w:rsidRDefault="00616289" w:rsidP="007F6C6D">
            <w:pPr>
              <w:tabs>
                <w:tab w:val="left" w:pos="-3544"/>
              </w:tabs>
              <w:spacing w:after="0"/>
              <w:ind w:left="1418" w:right="43" w:hanging="709"/>
              <w:jc w:val="both"/>
              <w:rPr>
                <w:rFonts w:ascii="Arial" w:hAnsi="Arial" w:cs="Arial"/>
                <w:sz w:val="20"/>
              </w:rPr>
            </w:pPr>
            <w:r w:rsidRPr="00616289">
              <w:rPr>
                <w:rFonts w:ascii="Arial" w:hAnsi="Arial" w:cs="Arial"/>
                <w:sz w:val="20"/>
              </w:rPr>
              <w:t>21.18.5</w:t>
            </w:r>
            <w:r w:rsidRPr="00616289">
              <w:rPr>
                <w:rFonts w:ascii="Arial" w:hAnsi="Arial" w:cs="Arial"/>
                <w:sz w:val="20"/>
              </w:rPr>
              <w:tab/>
              <w:t xml:space="preserve">that any Commissioner, acting in accordance with the codes of practice issued and revised from time to time under both section 45 of FOIA and regulation 16 of EIR, may disclose information concerning the Provider and this Contract either without consulting with the Provider, or following consultation with the Provider and having taken its views into account; and </w:t>
            </w:r>
          </w:p>
          <w:p w:rsidR="00616289" w:rsidRPr="00616289" w:rsidRDefault="00616289" w:rsidP="007F6C6D">
            <w:pPr>
              <w:tabs>
                <w:tab w:val="left" w:pos="-3544"/>
              </w:tabs>
              <w:spacing w:after="0"/>
              <w:ind w:left="1418" w:right="43" w:hanging="709"/>
              <w:jc w:val="both"/>
              <w:rPr>
                <w:rFonts w:ascii="Arial" w:hAnsi="Arial" w:cs="Arial"/>
                <w:sz w:val="20"/>
              </w:rPr>
            </w:pPr>
          </w:p>
          <w:p w:rsidR="00616289" w:rsidRPr="00616289" w:rsidRDefault="00616289" w:rsidP="007F6C6D">
            <w:pPr>
              <w:tabs>
                <w:tab w:val="left" w:pos="-3544"/>
              </w:tabs>
              <w:spacing w:after="0"/>
              <w:ind w:left="1418" w:right="43" w:hanging="709"/>
              <w:jc w:val="both"/>
              <w:rPr>
                <w:rFonts w:ascii="Arial" w:hAnsi="Arial" w:cs="Arial"/>
                <w:sz w:val="20"/>
              </w:rPr>
            </w:pPr>
            <w:r w:rsidRPr="00616289">
              <w:rPr>
                <w:rFonts w:ascii="Arial" w:hAnsi="Arial" w:cs="Arial"/>
                <w:sz w:val="20"/>
              </w:rPr>
              <w:t>21.18.6</w:t>
            </w:r>
            <w:r w:rsidRPr="00616289">
              <w:rPr>
                <w:rFonts w:ascii="Arial" w:hAnsi="Arial" w:cs="Arial"/>
                <w:sz w:val="20"/>
              </w:rPr>
              <w:tab/>
              <w:t xml:space="preserve">to assist the Commissioners in responding to a request for information, by processing information or environmental information (as the same are defined in FOIA or EIR) in accordance with a records management system that complies with all applicable records management recommendations and codes of conduct issued under section 46 of FOIA, and providing copies of all information requested by that Commissioner within 5 Operational Days of that request and without charge. </w:t>
            </w:r>
          </w:p>
          <w:p w:rsidR="00616289" w:rsidRPr="00616289" w:rsidRDefault="00616289" w:rsidP="00616289">
            <w:pPr>
              <w:spacing w:after="0"/>
              <w:ind w:left="142" w:right="43"/>
              <w:jc w:val="both"/>
              <w:rPr>
                <w:rFonts w:ascii="Arial" w:hAnsi="Arial" w:cs="Arial"/>
                <w:sz w:val="20"/>
              </w:rPr>
            </w:pPr>
          </w:p>
          <w:p w:rsidR="00616289" w:rsidRPr="00616289" w:rsidRDefault="00616289" w:rsidP="00616289">
            <w:p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21.19</w:t>
            </w:r>
            <w:r w:rsidRPr="00616289">
              <w:rPr>
                <w:rFonts w:ascii="Arial" w:eastAsia="Times New Roman" w:hAnsi="Arial" w:cs="Arial"/>
                <w:color w:val="000000"/>
                <w:sz w:val="20"/>
                <w:lang w:val="en-GB" w:eastAsia="en-GB"/>
              </w:rPr>
              <w:tab/>
              <w:t xml:space="preserve">The Parties acknowledge that, except for any information which is exempt from disclosure in accordance with the provisions of FOIA, or for which an exception applies under EIR, the content of this Contract is not Confidential Information. </w:t>
            </w:r>
          </w:p>
          <w:p w:rsidR="00616289" w:rsidRPr="00616289" w:rsidRDefault="00616289" w:rsidP="00616289">
            <w:pPr>
              <w:autoSpaceDE w:val="0"/>
              <w:autoSpaceDN w:val="0"/>
              <w:adjustRightInd w:val="0"/>
              <w:spacing w:after="0"/>
              <w:ind w:left="142" w:right="43" w:hanging="709"/>
              <w:jc w:val="both"/>
              <w:rPr>
                <w:rFonts w:ascii="Arial" w:eastAsia="Times New Roman" w:hAnsi="Arial" w:cs="Arial"/>
                <w:color w:val="000000"/>
                <w:sz w:val="20"/>
                <w:lang w:val="en-GB" w:eastAsia="en-GB"/>
              </w:rPr>
            </w:pPr>
          </w:p>
          <w:p w:rsidR="00616289" w:rsidRPr="00616289" w:rsidRDefault="00616289" w:rsidP="00616289">
            <w:p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21.20</w:t>
            </w:r>
            <w:r w:rsidRPr="00616289">
              <w:rPr>
                <w:rFonts w:ascii="Arial" w:eastAsia="Times New Roman" w:hAnsi="Arial" w:cs="Arial"/>
                <w:color w:val="000000"/>
                <w:sz w:val="20"/>
                <w:lang w:val="en-GB" w:eastAsia="en-GB"/>
              </w:rPr>
              <w:tab/>
              <w:t xml:space="preserve">Notwithstanding any other term of this Contract, the Provider consents to the publication of this Contract in its entirety (including variations), subject only to the redaction of information that is exempt from disclosure in accordance with the provisions of FOIA or for which an exception applies under EIR. </w:t>
            </w:r>
          </w:p>
          <w:p w:rsidR="00616289" w:rsidRPr="00616289" w:rsidRDefault="00616289" w:rsidP="00616289">
            <w:pPr>
              <w:autoSpaceDE w:val="0"/>
              <w:autoSpaceDN w:val="0"/>
              <w:adjustRightInd w:val="0"/>
              <w:spacing w:after="0"/>
              <w:ind w:left="142" w:right="43" w:hanging="709"/>
              <w:jc w:val="both"/>
              <w:rPr>
                <w:rFonts w:ascii="Arial" w:eastAsia="Times New Roman" w:hAnsi="Arial" w:cs="Arial"/>
                <w:color w:val="000000"/>
                <w:sz w:val="20"/>
                <w:lang w:val="en-GB" w:eastAsia="en-GB"/>
              </w:rPr>
            </w:pPr>
          </w:p>
          <w:p w:rsidR="00616289" w:rsidRPr="00616289" w:rsidRDefault="00616289" w:rsidP="00616289">
            <w:pPr>
              <w:autoSpaceDE w:val="0"/>
              <w:autoSpaceDN w:val="0"/>
              <w:adjustRightInd w:val="0"/>
              <w:spacing w:after="0"/>
              <w:ind w:left="709" w:right="43"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21.21</w:t>
            </w:r>
            <w:r w:rsidRPr="00616289">
              <w:rPr>
                <w:rFonts w:ascii="Arial" w:eastAsia="Times New Roman" w:hAnsi="Arial" w:cs="Arial"/>
                <w:color w:val="000000"/>
                <w:sz w:val="20"/>
                <w:lang w:val="en-GB" w:eastAsia="en-GB"/>
              </w:rPr>
              <w:tab/>
              <w:t xml:space="preserve">In preparing a copy of this Contract for publication under GC21.20 the Commissioners may consult with the Provider to inform decision-making regarding any redactions but the final decision in relation to the redaction of information will be at the Commissioners’ absolute discretion. </w:t>
            </w:r>
          </w:p>
          <w:p w:rsidR="00616289" w:rsidRPr="00616289" w:rsidRDefault="00616289" w:rsidP="00616289">
            <w:pPr>
              <w:autoSpaceDE w:val="0"/>
              <w:autoSpaceDN w:val="0"/>
              <w:adjustRightInd w:val="0"/>
              <w:spacing w:after="0"/>
              <w:ind w:left="142" w:right="43" w:hanging="709"/>
              <w:jc w:val="both"/>
              <w:rPr>
                <w:rFonts w:ascii="Arial" w:eastAsia="Times New Roman" w:hAnsi="Arial" w:cs="Arial"/>
                <w:color w:val="000000"/>
                <w:sz w:val="20"/>
                <w:lang w:val="en-GB" w:eastAsia="en-GB"/>
              </w:rPr>
            </w:pPr>
          </w:p>
          <w:p w:rsidR="00616289" w:rsidRDefault="00616289" w:rsidP="00EB1C99">
            <w:pPr>
              <w:autoSpaceDE w:val="0"/>
              <w:autoSpaceDN w:val="0"/>
              <w:adjustRightInd w:val="0"/>
              <w:spacing w:after="0"/>
              <w:ind w:left="709" w:right="45" w:hanging="709"/>
              <w:jc w:val="both"/>
              <w:rPr>
                <w:rFonts w:ascii="Arial" w:eastAsia="Times New Roman" w:hAnsi="Arial" w:cs="Arial"/>
                <w:color w:val="000000"/>
                <w:sz w:val="20"/>
                <w:lang w:val="en-GB" w:eastAsia="en-GB"/>
              </w:rPr>
            </w:pPr>
            <w:r w:rsidRPr="00616289">
              <w:rPr>
                <w:rFonts w:ascii="Arial" w:eastAsia="Times New Roman" w:hAnsi="Arial" w:cs="Arial"/>
                <w:color w:val="000000"/>
                <w:sz w:val="20"/>
                <w:lang w:val="en-GB" w:eastAsia="en-GB"/>
              </w:rPr>
              <w:t>21.22</w:t>
            </w:r>
            <w:r w:rsidRPr="00616289">
              <w:rPr>
                <w:rFonts w:ascii="Arial" w:eastAsia="Times New Roman" w:hAnsi="Arial" w:cs="Arial"/>
                <w:color w:val="000000"/>
                <w:sz w:val="20"/>
                <w:lang w:val="en-GB" w:eastAsia="en-GB"/>
              </w:rPr>
              <w:tab/>
              <w:t xml:space="preserve">The Provider must assist and cooperate with the Commissioners to enable the Commissioners to publish this Contract. </w:t>
            </w:r>
          </w:p>
          <w:p w:rsidR="00616289" w:rsidRPr="00616289" w:rsidRDefault="00616289" w:rsidP="00616289">
            <w:pPr>
              <w:spacing w:after="0"/>
              <w:ind w:left="567" w:right="379"/>
              <w:rPr>
                <w:sz w:val="22"/>
                <w:szCs w:val="22"/>
                <w:lang w:val="en-GB" w:eastAsia="en-US"/>
              </w:rPr>
            </w:pPr>
          </w:p>
        </w:tc>
      </w:tr>
    </w:tbl>
    <w:p w:rsidR="001C3125" w:rsidRDefault="001C3125">
      <w:pPr>
        <w:spacing w:after="0"/>
        <w:rPr>
          <w:rFonts w:ascii="Arial" w:eastAsia="Times New Roman" w:hAnsi="Arial" w:cs="Arial"/>
          <w:sz w:val="20"/>
          <w:lang w:val="en-GB" w:eastAsia="en-US"/>
        </w:rPr>
      </w:pPr>
    </w:p>
    <w:p w:rsidR="008E3308" w:rsidRDefault="008E3308">
      <w:pPr>
        <w:spacing w:after="0"/>
        <w:rPr>
          <w:rFonts w:ascii="Arial" w:eastAsia="Times New Roman" w:hAnsi="Arial" w:cs="Arial"/>
          <w:sz w:val="20"/>
          <w:lang w:val="en-GB" w:eastAsia="en-US"/>
        </w:rPr>
      </w:pPr>
    </w:p>
    <w:p w:rsidR="003E1FAF" w:rsidRDefault="003E1FAF"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bookmarkStart w:id="5" w:name="_Ref377649956"/>
      <w:r>
        <w:rPr>
          <w:rFonts w:ascii="Arial Bold" w:eastAsia="Times New Roman" w:hAnsi="Arial Bold" w:cs="Arial"/>
          <w:b/>
          <w:caps/>
          <w:sz w:val="20"/>
          <w:lang w:val="en-GB" w:eastAsia="en-US"/>
        </w:rPr>
        <w:t>General Conditions: Definitions and Interpretation</w:t>
      </w:r>
    </w:p>
    <w:p w:rsidR="003E1FAF" w:rsidRDefault="008A6FAB" w:rsidP="008121FC">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the dates set out in Appendix 1, i</w:t>
      </w:r>
      <w:r w:rsidR="003E1FAF">
        <w:rPr>
          <w:rFonts w:ascii="Arial" w:eastAsia="Times New Roman" w:hAnsi="Arial" w:cs="Arial"/>
          <w:sz w:val="20"/>
          <w:lang w:val="en-GB" w:eastAsia="en-US"/>
        </w:rPr>
        <w:t xml:space="preserve">nsert the new definitions set out in Part 1 of </w:t>
      </w:r>
      <w:r w:rsidR="003E1FAF" w:rsidRPr="00150BBC">
        <w:rPr>
          <w:rFonts w:ascii="Arial" w:eastAsia="Times New Roman" w:hAnsi="Arial" w:cs="Arial"/>
          <w:sz w:val="20"/>
          <w:lang w:val="en-GB" w:eastAsia="en-US"/>
        </w:rPr>
        <w:t>Appendix 1</w:t>
      </w:r>
      <w:r w:rsidR="00380184">
        <w:rPr>
          <w:rFonts w:ascii="Arial" w:eastAsia="Times New Roman" w:hAnsi="Arial" w:cs="Arial"/>
          <w:sz w:val="20"/>
          <w:lang w:val="en-GB" w:eastAsia="en-US"/>
        </w:rPr>
        <w:t xml:space="preserve">; </w:t>
      </w:r>
      <w:r w:rsidR="003E1FAF">
        <w:rPr>
          <w:rFonts w:ascii="Arial" w:eastAsia="Times New Roman" w:hAnsi="Arial" w:cs="Arial"/>
          <w:sz w:val="20"/>
          <w:lang w:val="en-GB" w:eastAsia="en-US"/>
        </w:rPr>
        <w:t xml:space="preserve">amend the definitions set out in Part 2 of </w:t>
      </w:r>
      <w:r w:rsidR="003E1FAF" w:rsidRPr="00150BBC">
        <w:rPr>
          <w:rFonts w:ascii="Arial" w:eastAsia="Times New Roman" w:hAnsi="Arial" w:cs="Arial"/>
          <w:sz w:val="20"/>
          <w:lang w:val="en-GB" w:eastAsia="en-US"/>
        </w:rPr>
        <w:t>Appendix 1</w:t>
      </w:r>
      <w:r w:rsidR="003E1FAF">
        <w:rPr>
          <w:rFonts w:ascii="Arial" w:eastAsia="Times New Roman" w:hAnsi="Arial" w:cs="Arial"/>
          <w:sz w:val="20"/>
          <w:lang w:val="en-GB" w:eastAsia="en-US"/>
        </w:rPr>
        <w:t xml:space="preserve"> as described in that Part 2</w:t>
      </w:r>
      <w:r w:rsidR="00380184">
        <w:rPr>
          <w:rFonts w:ascii="Arial" w:eastAsia="Times New Roman" w:hAnsi="Arial" w:cs="Arial"/>
          <w:sz w:val="20"/>
          <w:lang w:val="en-GB" w:eastAsia="en-US"/>
        </w:rPr>
        <w:t>; delete the definitions set out in Part 3 of Appendix 1</w:t>
      </w:r>
      <w:r>
        <w:rPr>
          <w:rFonts w:ascii="Arial" w:eastAsia="Times New Roman" w:hAnsi="Arial" w:cs="Arial"/>
          <w:sz w:val="20"/>
          <w:lang w:val="en-GB" w:eastAsia="en-US"/>
        </w:rPr>
        <w:t>, as applicable</w:t>
      </w:r>
      <w:r w:rsidR="003E1FAF">
        <w:rPr>
          <w:rFonts w:ascii="Arial" w:eastAsia="Times New Roman" w:hAnsi="Arial" w:cs="Arial"/>
          <w:sz w:val="20"/>
          <w:lang w:val="en-GB" w:eastAsia="en-US"/>
        </w:rPr>
        <w:t>.</w:t>
      </w:r>
      <w:bookmarkEnd w:id="5"/>
      <w:r w:rsidR="003E1FAF">
        <w:rPr>
          <w:rFonts w:ascii="Arial" w:eastAsia="Times New Roman" w:hAnsi="Arial" w:cs="Arial"/>
          <w:sz w:val="20"/>
          <w:lang w:val="en-GB" w:eastAsia="en-US"/>
        </w:rPr>
        <w:br w:type="page"/>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Counterparts</w:t>
      </w:r>
    </w:p>
    <w:p w:rsidR="002838DC" w:rsidRDefault="002838DC" w:rsidP="00BC0E0C">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This National Variation Agreement may be executed in any number of counterparts, each of which shall be regarded as an original, but all of which together shall constitute one agreement binding on all of the Parties, notwithstanding that all of the Parties are not signatories to the same counterpart.</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Precedence of this National Variation Agreement</w:t>
      </w:r>
    </w:p>
    <w:p w:rsidR="002838DC" w:rsidRDefault="002838DC" w:rsidP="00BC0E0C">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the event of any inconsistency between the terms of this National Variation Agreement and the Contract, the terms of this National Variation Agreement shall take precedence. </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Continuing effect</w:t>
      </w:r>
    </w:p>
    <w:p w:rsidR="002838DC" w:rsidRDefault="002838DC" w:rsidP="00BC0E0C">
      <w:pPr>
        <w:numPr>
          <w:ilvl w:val="1"/>
          <w:numId w:val="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Subject to the Variations, the Contract shall continue in full force and effect in all respects.  </w:t>
      </w:r>
    </w:p>
    <w:p w:rsidR="002838DC" w:rsidRDefault="002838DC" w:rsidP="003E1FAF">
      <w:pPr>
        <w:keepNext/>
        <w:numPr>
          <w:ilvl w:val="0"/>
          <w:numId w:val="9"/>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Governing Law and Jurisdiction</w:t>
      </w:r>
    </w:p>
    <w:p w:rsidR="001979B2" w:rsidRDefault="002838DC" w:rsidP="00BC0E0C">
      <w:pPr>
        <w:numPr>
          <w:ilvl w:val="1"/>
          <w:numId w:val="5"/>
        </w:numPr>
        <w:spacing w:after="240"/>
        <w:jc w:val="both"/>
        <w:outlineLvl w:val="1"/>
        <w:rPr>
          <w:rFonts w:ascii="Arial" w:eastAsia="Times New Roman" w:hAnsi="Arial" w:cs="Arial"/>
          <w:b/>
          <w:sz w:val="20"/>
          <w:szCs w:val="22"/>
          <w:lang w:val="en-GB" w:eastAsia="en-US"/>
        </w:rPr>
      </w:pPr>
      <w:r>
        <w:rPr>
          <w:rFonts w:ascii="Arial" w:eastAsia="Times New Roman" w:hAnsi="Arial" w:cs="Arial"/>
          <w:sz w:val="20"/>
          <w:lang w:val="en-GB" w:eastAsia="en-US"/>
        </w:rPr>
        <w:t xml:space="preserve">This National Variation Agreement shall be subject to the provisions of </w:t>
      </w:r>
      <w:r w:rsidR="00150BBC">
        <w:rPr>
          <w:rFonts w:ascii="Arial" w:eastAsia="Times New Roman" w:hAnsi="Arial" w:cs="Arial"/>
          <w:sz w:val="20"/>
          <w:lang w:val="en-GB" w:eastAsia="en-US"/>
        </w:rPr>
        <w:t>GC3</w:t>
      </w:r>
      <w:r>
        <w:rPr>
          <w:rFonts w:ascii="Arial" w:eastAsia="Times New Roman" w:hAnsi="Arial" w:cs="Arial"/>
          <w:sz w:val="20"/>
          <w:lang w:val="en-GB" w:eastAsia="en-US"/>
        </w:rPr>
        <w:t>9 of the Contract.</w:t>
      </w:r>
      <w:r w:rsidR="001979B2">
        <w:rPr>
          <w:rFonts w:ascii="Arial" w:eastAsia="Times New Roman" w:hAnsi="Arial" w:cs="Arial"/>
          <w:b/>
          <w:sz w:val="20"/>
          <w:szCs w:val="22"/>
          <w:lang w:val="en-GB" w:eastAsia="en-US"/>
        </w:rPr>
        <w:br w:type="page"/>
      </w:r>
    </w:p>
    <w:p w:rsidR="002838DC" w:rsidRDefault="002838DC" w:rsidP="002838DC">
      <w:pPr>
        <w:numPr>
          <w:ilvl w:val="12"/>
          <w:numId w:val="0"/>
        </w:numPr>
        <w:spacing w:after="240"/>
        <w:ind w:left="720"/>
        <w:jc w:val="both"/>
        <w:outlineLvl w:val="1"/>
        <w:rPr>
          <w:rFonts w:ascii="Arial" w:eastAsia="Times New Roman" w:hAnsi="Arial" w:cs="Arial"/>
          <w:b/>
          <w:sz w:val="22"/>
          <w:szCs w:val="22"/>
          <w:lang w:val="en-GB" w:eastAsia="en-US"/>
        </w:rPr>
      </w:pPr>
      <w:r>
        <w:rPr>
          <w:rFonts w:ascii="Arial" w:eastAsia="Times New Roman" w:hAnsi="Arial" w:cs="Arial"/>
          <w:b/>
          <w:sz w:val="20"/>
          <w:szCs w:val="22"/>
          <w:lang w:val="en-GB" w:eastAsia="en-US"/>
        </w:rPr>
        <w:t>IN WITNESS OF WHICH the Parties have signed this National Variation Agreement on the date(s) shown below</w:t>
      </w:r>
    </w:p>
    <w:p w:rsidR="002838DC" w:rsidRDefault="002838DC" w:rsidP="002838DC">
      <w:pPr>
        <w:spacing w:after="0"/>
        <w:jc w:val="both"/>
        <w:rPr>
          <w:rFonts w:ascii="Times New Roman" w:eastAsia="Times New Roman" w:hAnsi="Times New Roman"/>
          <w:b/>
          <w:sz w:val="20"/>
          <w:lang w:val="en-GB" w:eastAsia="en-US"/>
        </w:rPr>
      </w:pPr>
    </w:p>
    <w:p w:rsidR="002838DC" w:rsidRDefault="002838DC" w:rsidP="002838DC">
      <w:pPr>
        <w:spacing w:after="0"/>
        <w:jc w:val="both"/>
        <w:rPr>
          <w:rFonts w:ascii="Times New Roman" w:eastAsia="Times New Roman" w:hAnsi="Times New Roman"/>
          <w:b/>
          <w:sz w:val="20"/>
          <w:lang w:val="en-GB" w:eastAsia="en-US"/>
        </w:rPr>
      </w:pPr>
    </w:p>
    <w:tbl>
      <w:tblPr>
        <w:tblW w:w="7560" w:type="dxa"/>
        <w:tblInd w:w="648" w:type="dxa"/>
        <w:tblLayout w:type="fixed"/>
        <w:tblLook w:val="00A0" w:firstRow="1" w:lastRow="0" w:firstColumn="1" w:lastColumn="0" w:noHBand="0" w:noVBand="0"/>
        <w:tblCaption w:val="Signature box"/>
      </w:tblPr>
      <w:tblGrid>
        <w:gridCol w:w="3420"/>
        <w:gridCol w:w="4140"/>
      </w:tblGrid>
      <w:tr w:rsidR="002838DC" w:rsidTr="002838DC">
        <w:trPr>
          <w:cantSplit/>
        </w:trPr>
        <w:tc>
          <w:tcPr>
            <w:tcW w:w="3420" w:type="dxa"/>
          </w:tcPr>
          <w:p w:rsidR="002838DC" w:rsidRDefault="002838DC">
            <w:pPr>
              <w:spacing w:after="0" w:line="360" w:lineRule="auto"/>
              <w:jc w:val="both"/>
              <w:rPr>
                <w:rFonts w:ascii="Arial" w:eastAsia="Times New Roman" w:hAnsi="Arial" w:cs="Arial"/>
                <w:b/>
                <w:sz w:val="20"/>
                <w:lang w:val="en-GB" w:eastAsia="en-GB"/>
              </w:rPr>
            </w:pPr>
          </w:p>
          <w:p w:rsidR="002838DC" w:rsidRDefault="002838DC">
            <w:pPr>
              <w:spacing w:after="0" w:line="360" w:lineRule="auto"/>
              <w:ind w:left="-108" w:firstLine="108"/>
              <w:jc w:val="both"/>
              <w:rPr>
                <w:rFonts w:ascii="Arial Bold" w:eastAsia="Times New Roman" w:hAnsi="Arial Bold" w:cs="Arial"/>
                <w:b/>
                <w:caps/>
                <w:sz w:val="20"/>
                <w:lang w:val="en-GB" w:eastAsia="en-GB"/>
              </w:rPr>
            </w:pPr>
            <w:r>
              <w:rPr>
                <w:rFonts w:ascii="Arial" w:eastAsia="Times New Roman" w:hAnsi="Arial" w:cs="Arial"/>
                <w:b/>
                <w:sz w:val="20"/>
                <w:lang w:val="en-GB" w:eastAsia="en-GB"/>
              </w:rPr>
              <w:t>SIGNED by</w:t>
            </w:r>
            <w:r>
              <w:rPr>
                <w:rFonts w:ascii="Arial" w:eastAsia="Times New Roman" w:hAnsi="Arial" w:cs="Arial"/>
                <w:b/>
                <w:sz w:val="20"/>
                <w:lang w:val="en-GB" w:eastAsia="en-GB"/>
              </w:rPr>
              <w:tab/>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Signature</w:t>
            </w:r>
          </w:p>
          <w:p w:rsidR="002838DC" w:rsidRDefault="002838DC">
            <w:pPr>
              <w:spacing w:after="0" w:line="360" w:lineRule="auto"/>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jc w:val="both"/>
              <w:rPr>
                <w:rFonts w:ascii="Arial" w:eastAsia="Times New Roman" w:hAnsi="Arial" w:cs="Arial"/>
                <w:b/>
                <w:sz w:val="20"/>
                <w:lang w:val="en-GB" w:eastAsia="en-GB"/>
              </w:rPr>
            </w:pPr>
          </w:p>
          <w:p w:rsidR="002838DC" w:rsidRPr="008C79F4" w:rsidRDefault="002838DC">
            <w:pPr>
              <w:spacing w:after="0"/>
              <w:jc w:val="both"/>
              <w:rPr>
                <w:rFonts w:ascii="Arial" w:eastAsia="Times New Roman" w:hAnsi="Arial" w:cs="Arial"/>
                <w:b/>
                <w:sz w:val="20"/>
                <w:highlight w:val="yellow"/>
                <w:lang w:val="en-GB" w:eastAsia="en-GB"/>
              </w:rPr>
            </w:pPr>
            <w:r w:rsidRPr="008C79F4">
              <w:rPr>
                <w:rFonts w:ascii="Arial" w:eastAsia="Times New Roman" w:hAnsi="Arial" w:cs="Arial"/>
                <w:b/>
                <w:sz w:val="20"/>
                <w:highlight w:val="yellow"/>
                <w:lang w:val="en-GB" w:eastAsia="en-GB"/>
              </w:rPr>
              <w:t xml:space="preserve">[INSERT AUTHORISED </w:t>
            </w:r>
          </w:p>
          <w:p w:rsidR="002838DC" w:rsidRPr="008C79F4" w:rsidRDefault="002838DC">
            <w:pPr>
              <w:spacing w:after="0"/>
              <w:jc w:val="both"/>
              <w:rPr>
                <w:rFonts w:ascii="Arial" w:eastAsia="Times New Roman" w:hAnsi="Arial" w:cs="Arial"/>
                <w:b/>
                <w:sz w:val="20"/>
                <w:highlight w:val="yellow"/>
                <w:lang w:val="en-GB" w:eastAsia="en-GB"/>
              </w:rPr>
            </w:pPr>
            <w:r w:rsidRPr="008C79F4">
              <w:rPr>
                <w:rFonts w:ascii="Arial" w:eastAsia="Times New Roman" w:hAnsi="Arial" w:cs="Arial"/>
                <w:b/>
                <w:sz w:val="20"/>
                <w:highlight w:val="yellow"/>
                <w:lang w:val="en-GB" w:eastAsia="en-GB"/>
              </w:rPr>
              <w:t>SIGNATORY’S</w:t>
            </w:r>
          </w:p>
          <w:p w:rsidR="002838DC" w:rsidRDefault="002838DC">
            <w:pPr>
              <w:spacing w:after="0"/>
              <w:jc w:val="both"/>
              <w:rPr>
                <w:rFonts w:ascii="Arial" w:eastAsia="Times New Roman" w:hAnsi="Arial" w:cs="Arial"/>
                <w:b/>
                <w:sz w:val="20"/>
                <w:lang w:val="en-GB" w:eastAsia="en-GB"/>
              </w:rPr>
            </w:pPr>
            <w:r w:rsidRPr="008C79F4">
              <w:rPr>
                <w:rFonts w:ascii="Arial" w:eastAsia="Times New Roman" w:hAnsi="Arial" w:cs="Arial"/>
                <w:b/>
                <w:sz w:val="20"/>
                <w:highlight w:val="yellow"/>
                <w:lang w:val="en-GB" w:eastAsia="en-GB"/>
              </w:rPr>
              <w:t>NAME]</w:t>
            </w:r>
            <w:r>
              <w:rPr>
                <w:rFonts w:ascii="Arial" w:eastAsia="Times New Roman" w:hAnsi="Arial" w:cs="Arial"/>
                <w:b/>
                <w:sz w:val="20"/>
                <w:lang w:val="en-GB" w:eastAsia="en-GB"/>
              </w:rPr>
              <w:t xml:space="preserve"> for</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and on behalf of </w:t>
            </w:r>
          </w:p>
          <w:p w:rsidR="002838DC" w:rsidRDefault="002838DC">
            <w:pPr>
              <w:spacing w:after="0" w:line="360" w:lineRule="auto"/>
              <w:jc w:val="both"/>
              <w:rPr>
                <w:rFonts w:ascii="Arial" w:eastAsia="Times New Roman" w:hAnsi="Arial" w:cs="Arial"/>
                <w:b/>
                <w:sz w:val="20"/>
                <w:lang w:val="en-GB" w:eastAsia="en-GB"/>
              </w:rPr>
            </w:pPr>
            <w:r w:rsidRPr="008C79F4">
              <w:rPr>
                <w:rFonts w:ascii="Arial" w:eastAsia="Times New Roman" w:hAnsi="Arial" w:cs="Arial"/>
                <w:b/>
                <w:sz w:val="20"/>
                <w:highlight w:val="yellow"/>
                <w:lang w:val="en-GB" w:eastAsia="en-GB"/>
              </w:rPr>
              <w:t>[INSERT COMMISSIONER NAME]</w:t>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Title</w:t>
            </w:r>
          </w:p>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Date</w:t>
            </w:r>
          </w:p>
          <w:p w:rsidR="002838DC" w:rsidRDefault="002838DC">
            <w:pPr>
              <w:spacing w:after="0"/>
              <w:jc w:val="both"/>
              <w:rPr>
                <w:rFonts w:ascii="Arial" w:eastAsia="Times New Roman" w:hAnsi="Arial" w:cs="Arial"/>
                <w:sz w:val="20"/>
                <w:lang w:val="en-GB" w:eastAsia="en-GB"/>
              </w:rPr>
            </w:pPr>
          </w:p>
          <w:p w:rsidR="002838DC" w:rsidRDefault="002838DC">
            <w:pPr>
              <w:spacing w:after="0" w:line="360" w:lineRule="auto"/>
              <w:jc w:val="both"/>
              <w:rPr>
                <w:rFonts w:ascii="Arial" w:eastAsia="Times New Roman" w:hAnsi="Arial" w:cs="Arial"/>
                <w:sz w:val="20"/>
                <w:lang w:val="en-GB" w:eastAsia="en-GB"/>
              </w:rPr>
            </w:pPr>
          </w:p>
        </w:tc>
      </w:tr>
      <w:tr w:rsidR="002838DC" w:rsidTr="002838DC">
        <w:trPr>
          <w:cantSplit/>
        </w:trPr>
        <w:tc>
          <w:tcPr>
            <w:tcW w:w="3420" w:type="dxa"/>
          </w:tcPr>
          <w:p w:rsidR="002838DC" w:rsidRPr="008C79F4" w:rsidRDefault="002838DC">
            <w:pPr>
              <w:spacing w:after="0"/>
              <w:jc w:val="both"/>
              <w:rPr>
                <w:rFonts w:ascii="Arial" w:eastAsia="Times New Roman" w:hAnsi="Arial" w:cs="Arial"/>
                <w:b/>
                <w:sz w:val="20"/>
                <w:highlight w:val="yellow"/>
                <w:lang w:val="en-GB" w:eastAsia="en-GB"/>
              </w:rPr>
            </w:pPr>
            <w:r w:rsidRPr="008C79F4">
              <w:rPr>
                <w:rFonts w:ascii="Arial" w:eastAsia="Times New Roman" w:hAnsi="Arial" w:cs="Arial"/>
                <w:b/>
                <w:sz w:val="20"/>
                <w:highlight w:val="yellow"/>
                <w:lang w:val="en-GB" w:eastAsia="en-GB"/>
              </w:rPr>
              <w:t xml:space="preserve">[INSERT AS ABOVE FOR </w:t>
            </w:r>
          </w:p>
          <w:p w:rsidR="002838DC" w:rsidRDefault="002838DC">
            <w:pPr>
              <w:spacing w:after="0"/>
              <w:jc w:val="both"/>
              <w:rPr>
                <w:rFonts w:ascii="Arial" w:eastAsia="Times New Roman" w:hAnsi="Arial" w:cs="Arial"/>
                <w:b/>
                <w:sz w:val="20"/>
                <w:lang w:val="en-GB" w:eastAsia="en-GB"/>
              </w:rPr>
            </w:pPr>
            <w:r w:rsidRPr="008C79F4">
              <w:rPr>
                <w:rFonts w:ascii="Arial" w:eastAsia="Times New Roman" w:hAnsi="Arial" w:cs="Arial"/>
                <w:b/>
                <w:sz w:val="20"/>
                <w:highlight w:val="yellow"/>
                <w:lang w:val="en-GB" w:eastAsia="en-GB"/>
              </w:rPr>
              <w:t>EACH COMMISSIONER]</w:t>
            </w:r>
          </w:p>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p>
        </w:tc>
        <w:tc>
          <w:tcPr>
            <w:tcW w:w="4140" w:type="dxa"/>
          </w:tcPr>
          <w:p w:rsidR="002838DC" w:rsidRDefault="002838DC">
            <w:pPr>
              <w:spacing w:after="0"/>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line="360" w:lineRule="auto"/>
              <w:jc w:val="both"/>
              <w:rPr>
                <w:rFonts w:ascii="Arial" w:eastAsia="Times New Roman" w:hAnsi="Arial" w:cs="Arial"/>
                <w:b/>
                <w:sz w:val="20"/>
                <w:lang w:val="en-GB" w:eastAsia="en-GB"/>
              </w:rPr>
            </w:pPr>
          </w:p>
          <w:p w:rsidR="002838DC" w:rsidRDefault="002838DC">
            <w:pPr>
              <w:spacing w:after="0" w:line="360" w:lineRule="auto"/>
              <w:jc w:val="both"/>
              <w:rPr>
                <w:rFonts w:ascii="Arial Bold" w:eastAsia="Times New Roman" w:hAnsi="Arial Bold" w:cs="Arial"/>
                <w:b/>
                <w:caps/>
                <w:sz w:val="20"/>
                <w:lang w:val="en-GB" w:eastAsia="en-GB"/>
              </w:rPr>
            </w:pPr>
            <w:r>
              <w:rPr>
                <w:rFonts w:ascii="Arial" w:eastAsia="Times New Roman" w:hAnsi="Arial" w:cs="Arial"/>
                <w:b/>
                <w:sz w:val="20"/>
                <w:lang w:val="en-GB" w:eastAsia="en-GB"/>
              </w:rPr>
              <w:t>SIGNED by</w:t>
            </w:r>
            <w:r>
              <w:rPr>
                <w:rFonts w:ascii="Arial" w:eastAsia="Times New Roman" w:hAnsi="Arial" w:cs="Arial"/>
                <w:b/>
                <w:sz w:val="20"/>
                <w:lang w:val="en-GB" w:eastAsia="en-GB"/>
              </w:rPr>
              <w:tab/>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Signature</w:t>
            </w:r>
          </w:p>
          <w:p w:rsidR="002838DC" w:rsidRDefault="002838DC">
            <w:pPr>
              <w:spacing w:after="0" w:line="360" w:lineRule="auto"/>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jc w:val="both"/>
              <w:rPr>
                <w:rFonts w:ascii="Arial" w:eastAsia="Times New Roman" w:hAnsi="Arial" w:cs="Arial"/>
                <w:b/>
                <w:sz w:val="20"/>
                <w:lang w:val="en-GB" w:eastAsia="en-GB"/>
              </w:rPr>
            </w:pPr>
          </w:p>
          <w:p w:rsidR="002838DC" w:rsidRPr="008C79F4" w:rsidRDefault="002838DC">
            <w:pPr>
              <w:spacing w:after="0"/>
              <w:jc w:val="both"/>
              <w:rPr>
                <w:rFonts w:ascii="Arial" w:eastAsia="Times New Roman" w:hAnsi="Arial" w:cs="Arial"/>
                <w:b/>
                <w:sz w:val="20"/>
                <w:highlight w:val="yellow"/>
                <w:lang w:val="en-GB" w:eastAsia="en-GB"/>
              </w:rPr>
            </w:pPr>
            <w:r w:rsidRPr="008C79F4">
              <w:rPr>
                <w:rFonts w:ascii="Arial" w:eastAsia="Times New Roman" w:hAnsi="Arial" w:cs="Arial"/>
                <w:b/>
                <w:sz w:val="20"/>
                <w:highlight w:val="yellow"/>
                <w:lang w:val="en-GB" w:eastAsia="en-GB"/>
              </w:rPr>
              <w:t xml:space="preserve">[INSERT AUTHORISED </w:t>
            </w:r>
          </w:p>
          <w:p w:rsidR="002838DC" w:rsidRPr="008C79F4" w:rsidRDefault="002838DC">
            <w:pPr>
              <w:spacing w:after="0"/>
              <w:jc w:val="both"/>
              <w:rPr>
                <w:rFonts w:ascii="Arial" w:eastAsia="Times New Roman" w:hAnsi="Arial" w:cs="Arial"/>
                <w:b/>
                <w:sz w:val="20"/>
                <w:highlight w:val="yellow"/>
                <w:lang w:val="en-GB" w:eastAsia="en-GB"/>
              </w:rPr>
            </w:pPr>
            <w:r w:rsidRPr="008C79F4">
              <w:rPr>
                <w:rFonts w:ascii="Arial" w:eastAsia="Times New Roman" w:hAnsi="Arial" w:cs="Arial"/>
                <w:b/>
                <w:sz w:val="20"/>
                <w:highlight w:val="yellow"/>
                <w:lang w:val="en-GB" w:eastAsia="en-GB"/>
              </w:rPr>
              <w:t>SIGNATORY’S</w:t>
            </w:r>
          </w:p>
          <w:p w:rsidR="002838DC" w:rsidRDefault="002838DC">
            <w:pPr>
              <w:spacing w:after="0"/>
              <w:jc w:val="both"/>
              <w:rPr>
                <w:rFonts w:ascii="Arial" w:eastAsia="Times New Roman" w:hAnsi="Arial" w:cs="Arial"/>
                <w:b/>
                <w:sz w:val="20"/>
                <w:lang w:val="en-GB" w:eastAsia="en-GB"/>
              </w:rPr>
            </w:pPr>
            <w:r w:rsidRPr="008C79F4">
              <w:rPr>
                <w:rFonts w:ascii="Arial" w:eastAsia="Times New Roman" w:hAnsi="Arial" w:cs="Arial"/>
                <w:b/>
                <w:sz w:val="20"/>
                <w:highlight w:val="yellow"/>
                <w:lang w:val="en-GB" w:eastAsia="en-GB"/>
              </w:rPr>
              <w:t>NAME]</w:t>
            </w:r>
            <w:r>
              <w:rPr>
                <w:rFonts w:ascii="Arial" w:eastAsia="Times New Roman" w:hAnsi="Arial" w:cs="Arial"/>
                <w:b/>
                <w:sz w:val="20"/>
                <w:lang w:val="en-GB" w:eastAsia="en-GB"/>
              </w:rPr>
              <w:t xml:space="preserve"> for</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and on behalf of </w:t>
            </w:r>
          </w:p>
          <w:p w:rsidR="002838DC" w:rsidRDefault="002838DC">
            <w:pPr>
              <w:spacing w:after="0" w:line="360" w:lineRule="auto"/>
              <w:jc w:val="both"/>
              <w:rPr>
                <w:rFonts w:ascii="Arial" w:eastAsia="Times New Roman" w:hAnsi="Arial" w:cs="Arial"/>
                <w:b/>
                <w:sz w:val="20"/>
                <w:lang w:val="en-GB" w:eastAsia="en-GB"/>
              </w:rPr>
            </w:pPr>
            <w:r w:rsidRPr="008C79F4">
              <w:rPr>
                <w:rFonts w:ascii="Arial" w:eastAsia="Times New Roman" w:hAnsi="Arial" w:cs="Arial"/>
                <w:b/>
                <w:sz w:val="20"/>
                <w:highlight w:val="yellow"/>
                <w:lang w:val="en-GB" w:eastAsia="en-GB"/>
              </w:rPr>
              <w:t>[INSERT PROVIDER NAME]</w:t>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Title</w:t>
            </w:r>
          </w:p>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Date</w:t>
            </w:r>
          </w:p>
          <w:p w:rsidR="002838DC" w:rsidRDefault="002838DC">
            <w:pPr>
              <w:spacing w:after="0"/>
              <w:jc w:val="both"/>
              <w:rPr>
                <w:rFonts w:ascii="Arial" w:eastAsia="Times New Roman" w:hAnsi="Arial" w:cs="Arial"/>
                <w:sz w:val="20"/>
                <w:lang w:val="en-GB" w:eastAsia="en-GB"/>
              </w:rPr>
            </w:pPr>
          </w:p>
          <w:p w:rsidR="002838DC" w:rsidRDefault="002838DC">
            <w:pPr>
              <w:spacing w:after="0" w:line="360" w:lineRule="auto"/>
              <w:jc w:val="both"/>
              <w:rPr>
                <w:rFonts w:ascii="Arial" w:eastAsia="Times New Roman" w:hAnsi="Arial" w:cs="Arial"/>
                <w:sz w:val="20"/>
                <w:lang w:val="en-GB" w:eastAsia="en-GB"/>
              </w:rPr>
            </w:pPr>
          </w:p>
        </w:tc>
      </w:tr>
    </w:tbl>
    <w:p w:rsidR="002838DC" w:rsidRDefault="002838DC" w:rsidP="002838DC">
      <w:pPr>
        <w:spacing w:after="0"/>
        <w:rPr>
          <w:rFonts w:ascii="Arial" w:eastAsia="Times New Roman" w:hAnsi="Arial" w:cs="Arial"/>
          <w:b/>
          <w:sz w:val="20"/>
          <w:lang w:val="en-GB" w:eastAsia="en-US"/>
        </w:rPr>
      </w:pPr>
      <w:r>
        <w:rPr>
          <w:rFonts w:ascii="Arial" w:eastAsia="Times New Roman" w:hAnsi="Arial" w:cs="Arial"/>
          <w:b/>
          <w:sz w:val="20"/>
          <w:lang w:val="en-GB" w:eastAsia="en-US"/>
        </w:rPr>
        <w:br w:type="page"/>
      </w:r>
    </w:p>
    <w:p w:rsidR="002838DC" w:rsidRDefault="00150BBC" w:rsidP="002838DC">
      <w:pPr>
        <w:tabs>
          <w:tab w:val="num" w:pos="900"/>
          <w:tab w:val="num" w:pos="6380"/>
        </w:tabs>
        <w:spacing w:after="0"/>
        <w:ind w:left="5967" w:hanging="5967"/>
        <w:jc w:val="center"/>
        <w:rPr>
          <w:rFonts w:ascii="Arial" w:eastAsia="Times New Roman" w:hAnsi="Arial" w:cs="Arial"/>
          <w:b/>
          <w:sz w:val="20"/>
          <w:lang w:val="en-GB" w:eastAsia="en-US"/>
        </w:rPr>
      </w:pPr>
      <w:bookmarkStart w:id="6" w:name="_Ref377562978"/>
      <w:r>
        <w:rPr>
          <w:rFonts w:ascii="Arial" w:eastAsia="Times New Roman" w:hAnsi="Arial" w:cs="Arial"/>
          <w:b/>
          <w:sz w:val="20"/>
          <w:lang w:val="en-GB" w:eastAsia="en-US"/>
        </w:rPr>
        <w:t xml:space="preserve">Appendix 1: </w:t>
      </w:r>
      <w:r w:rsidR="002838DC">
        <w:rPr>
          <w:rFonts w:ascii="Arial" w:eastAsia="Times New Roman" w:hAnsi="Arial" w:cs="Arial"/>
          <w:b/>
          <w:sz w:val="20"/>
          <w:lang w:val="en-GB" w:eastAsia="en-US"/>
        </w:rPr>
        <w:t>Definitions</w:t>
      </w:r>
      <w:bookmarkEnd w:id="6"/>
    </w:p>
    <w:p w:rsidR="002838DC" w:rsidRDefault="002838DC" w:rsidP="002838DC">
      <w:pPr>
        <w:spacing w:after="0"/>
        <w:rPr>
          <w:rFonts w:ascii="Arial" w:eastAsia="Times New Roman" w:hAnsi="Arial" w:cs="Arial"/>
          <w:b/>
          <w:sz w:val="20"/>
          <w:lang w:val="en-GB" w:eastAsia="en-US"/>
        </w:rPr>
      </w:pPr>
    </w:p>
    <w:p w:rsidR="002838DC" w:rsidRDefault="00150BBC" w:rsidP="002838DC">
      <w:pPr>
        <w:spacing w:after="0"/>
        <w:rPr>
          <w:rFonts w:ascii="Arial" w:eastAsia="Times New Roman" w:hAnsi="Arial" w:cs="Arial"/>
          <w:b/>
          <w:sz w:val="20"/>
          <w:lang w:val="en-GB" w:eastAsia="en-US"/>
        </w:rPr>
      </w:pPr>
      <w:r w:rsidRPr="00A66659">
        <w:rPr>
          <w:rFonts w:ascii="Arial" w:eastAsia="Times New Roman" w:hAnsi="Arial" w:cs="Arial"/>
          <w:b/>
          <w:sz w:val="20"/>
          <w:lang w:val="en-GB" w:eastAsia="en-US"/>
        </w:rPr>
        <w:t>Appendix 1</w:t>
      </w:r>
      <w:r w:rsidR="002838DC" w:rsidRPr="00A66659">
        <w:rPr>
          <w:rFonts w:ascii="Arial" w:eastAsia="Times New Roman" w:hAnsi="Arial" w:cs="Arial"/>
          <w:b/>
          <w:sz w:val="20"/>
          <w:lang w:val="en-GB" w:eastAsia="en-US"/>
        </w:rPr>
        <w:t xml:space="preserve"> Part 1: New Defined Terms</w:t>
      </w:r>
    </w:p>
    <w:p w:rsidR="002838DC" w:rsidRDefault="002838DC" w:rsidP="002838DC">
      <w:pPr>
        <w:spacing w:after="0"/>
        <w:rPr>
          <w:rFonts w:ascii="Arial" w:eastAsia="Times New Roman" w:hAnsi="Arial" w:cs="Arial"/>
          <w:b/>
          <w:sz w:val="20"/>
          <w:lang w:val="en-GB" w:eastAsia="en-US"/>
        </w:rPr>
      </w:pPr>
    </w:p>
    <w:p w:rsidR="002838DC" w:rsidRDefault="001979B2" w:rsidP="002838DC">
      <w:p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1 April 2018, a</w:t>
      </w:r>
      <w:r w:rsidR="002838DC">
        <w:rPr>
          <w:rFonts w:ascii="Arial" w:eastAsia="Times New Roman" w:hAnsi="Arial" w:cs="Arial"/>
          <w:sz w:val="20"/>
          <w:lang w:val="en-GB" w:eastAsia="en-US"/>
        </w:rPr>
        <w:t>dd the following definitions to the General Conditions (</w:t>
      </w:r>
      <w:r w:rsidR="002838DC">
        <w:rPr>
          <w:rFonts w:ascii="Arial" w:eastAsia="Times New Roman" w:hAnsi="Arial" w:cs="Arial"/>
          <w:i/>
          <w:sz w:val="20"/>
          <w:lang w:val="en-GB" w:eastAsia="en-US"/>
        </w:rPr>
        <w:t>Definitions and Interpretation</w:t>
      </w:r>
      <w:r w:rsidR="002838DC">
        <w:rPr>
          <w:rFonts w:ascii="Arial" w:eastAsia="Times New Roman" w:hAnsi="Arial" w:cs="Arial"/>
          <w:sz w:val="20"/>
          <w:lang w:val="en-GB" w:eastAsia="en-US"/>
        </w:rPr>
        <w:t>) in alphabetical sequence:</w:t>
      </w:r>
    </w:p>
    <w:tbl>
      <w:tblPr>
        <w:tblStyle w:val="TableGrid"/>
        <w:tblW w:w="0" w:type="auto"/>
        <w:tblLook w:val="04A0" w:firstRow="1" w:lastRow="0" w:firstColumn="1" w:lastColumn="0" w:noHBand="0" w:noVBand="1"/>
        <w:tblCaption w:val="GCs - new definitions"/>
        <w:tblDescription w:val="GCs - new definitions"/>
      </w:tblPr>
      <w:tblGrid>
        <w:gridCol w:w="8522"/>
      </w:tblGrid>
      <w:tr w:rsidR="008C79F4" w:rsidTr="008C79F4">
        <w:tc>
          <w:tcPr>
            <w:tcW w:w="8522" w:type="dxa"/>
          </w:tcPr>
          <w:p w:rsidR="00262E27" w:rsidRPr="008C79F4" w:rsidRDefault="00262E27" w:rsidP="00262E27">
            <w:pPr>
              <w:spacing w:after="0"/>
              <w:jc w:val="both"/>
              <w:outlineLvl w:val="1"/>
              <w:rPr>
                <w:rFonts w:ascii="Arial" w:eastAsia="Calibri" w:hAnsi="Arial" w:cs="Arial"/>
                <w:sz w:val="20"/>
                <w:lang w:val="en-GB" w:eastAsia="en-US"/>
              </w:rPr>
            </w:pPr>
          </w:p>
          <w:p w:rsidR="008C79F4" w:rsidRPr="008C79F4" w:rsidRDefault="008C79F4" w:rsidP="008C79F4">
            <w:pPr>
              <w:spacing w:after="0"/>
              <w:rPr>
                <w:rFonts w:ascii="Arial" w:eastAsia="Calibri" w:hAnsi="Arial" w:cs="Arial"/>
                <w:sz w:val="20"/>
                <w:lang w:val="en-GB" w:eastAsia="en-US"/>
              </w:rPr>
            </w:pPr>
            <w:r w:rsidRPr="008C79F4">
              <w:rPr>
                <w:rFonts w:ascii="Arial" w:eastAsia="Calibri" w:hAnsi="Arial" w:cs="Arial"/>
                <w:b/>
                <w:sz w:val="20"/>
                <w:lang w:val="en-GB" w:eastAsia="en-US"/>
              </w:rPr>
              <w:t>Commercial Contract Research Study</w:t>
            </w:r>
            <w:r w:rsidRPr="008C79F4">
              <w:rPr>
                <w:rFonts w:ascii="Arial" w:eastAsia="Calibri" w:hAnsi="Arial" w:cs="Arial"/>
                <w:sz w:val="20"/>
                <w:lang w:val="en-GB" w:eastAsia="en-US"/>
              </w:rPr>
              <w:t xml:space="preserve"> a research project that is fully sponsored and fully funded by a commercial company</w:t>
            </w:r>
          </w:p>
          <w:p w:rsidR="008C79F4" w:rsidRDefault="008C79F4" w:rsidP="008C79F4">
            <w:pPr>
              <w:spacing w:after="0"/>
              <w:jc w:val="both"/>
              <w:outlineLvl w:val="1"/>
              <w:rPr>
                <w:rFonts w:ascii="Arial" w:eastAsia="Times New Roman" w:hAnsi="Arial" w:cs="Arial"/>
                <w:sz w:val="20"/>
                <w:lang w:val="en-GB" w:eastAsia="en-US"/>
              </w:rPr>
            </w:pPr>
          </w:p>
        </w:tc>
      </w:tr>
      <w:tr w:rsidR="007D7805" w:rsidTr="008C79F4">
        <w:tc>
          <w:tcPr>
            <w:tcW w:w="8522" w:type="dxa"/>
          </w:tcPr>
          <w:p w:rsidR="007D7805" w:rsidRDefault="007D7805" w:rsidP="007D7805">
            <w:pPr>
              <w:spacing w:after="0"/>
              <w:jc w:val="both"/>
              <w:outlineLvl w:val="1"/>
              <w:rPr>
                <w:rFonts w:ascii="Arial" w:eastAsia="Calibri" w:hAnsi="Arial" w:cs="Arial"/>
                <w:b/>
                <w:sz w:val="20"/>
                <w:lang w:val="en-GB" w:eastAsia="en-US"/>
              </w:rPr>
            </w:pPr>
          </w:p>
          <w:p w:rsidR="007D7805" w:rsidRDefault="007D7805" w:rsidP="007D7805">
            <w:pPr>
              <w:spacing w:after="0"/>
              <w:jc w:val="both"/>
              <w:outlineLvl w:val="1"/>
              <w:rPr>
                <w:rFonts w:ascii="Arial" w:eastAsia="Calibri" w:hAnsi="Arial" w:cs="Arial"/>
                <w:sz w:val="20"/>
                <w:lang w:val="en-GB" w:eastAsia="en-US"/>
              </w:rPr>
            </w:pPr>
            <w:r w:rsidRPr="00380184">
              <w:rPr>
                <w:rFonts w:ascii="Arial" w:eastAsia="Calibri" w:hAnsi="Arial" w:cs="Arial"/>
                <w:b/>
                <w:sz w:val="20"/>
                <w:lang w:val="en-GB" w:eastAsia="en-US"/>
              </w:rPr>
              <w:t>Genomic Laboratory Hub</w:t>
            </w:r>
            <w:r w:rsidRPr="00380184">
              <w:rPr>
                <w:rFonts w:ascii="Arial" w:eastAsia="Calibri" w:hAnsi="Arial" w:cs="Arial"/>
                <w:sz w:val="20"/>
                <w:lang w:val="en-GB" w:eastAsia="en-US"/>
              </w:rPr>
              <w:t xml:space="preserve"> an organisation which holds a contract with NHS England to arrange and/or perform genomic laboratory services for a defined geographical population (details of each Genomic Laboratory Hub and the catchment it will serve will be published by NHS England from time to time, together with the sub-contracted organisations that are designated within the GLH to provide any of the services within the hub catchment area)</w:t>
            </w:r>
          </w:p>
          <w:p w:rsidR="007D7805" w:rsidRPr="008C79F4" w:rsidRDefault="007D7805" w:rsidP="00262E27">
            <w:pPr>
              <w:spacing w:after="0"/>
              <w:jc w:val="both"/>
              <w:outlineLvl w:val="1"/>
              <w:rPr>
                <w:rFonts w:ascii="Arial" w:eastAsia="Calibri" w:hAnsi="Arial" w:cs="Arial"/>
                <w:sz w:val="20"/>
                <w:lang w:val="en-GB" w:eastAsia="en-US"/>
              </w:rPr>
            </w:pPr>
          </w:p>
        </w:tc>
      </w:tr>
      <w:tr w:rsidR="008C79F4" w:rsidTr="008C79F4">
        <w:tc>
          <w:tcPr>
            <w:tcW w:w="8522" w:type="dxa"/>
          </w:tcPr>
          <w:p w:rsidR="00262E27" w:rsidRPr="008C79F4" w:rsidRDefault="00262E27" w:rsidP="00262E27">
            <w:pPr>
              <w:spacing w:after="0"/>
              <w:jc w:val="both"/>
              <w:outlineLvl w:val="1"/>
              <w:rPr>
                <w:rFonts w:ascii="Arial" w:eastAsia="Calibri" w:hAnsi="Arial" w:cs="Arial"/>
                <w:sz w:val="20"/>
                <w:lang w:val="en-GB" w:eastAsia="en-US"/>
              </w:rPr>
            </w:pPr>
          </w:p>
          <w:p w:rsidR="008C79F4" w:rsidRPr="008C79F4" w:rsidRDefault="008C79F4" w:rsidP="008C79F4">
            <w:pPr>
              <w:spacing w:after="0"/>
              <w:rPr>
                <w:rFonts w:ascii="Arial" w:eastAsia="Times New Roman" w:hAnsi="Arial" w:cs="Arial"/>
                <w:bCs/>
                <w:sz w:val="20"/>
                <w:lang w:val="en-GB" w:eastAsia="en-US"/>
              </w:rPr>
            </w:pPr>
            <w:r w:rsidRPr="008C79F4">
              <w:rPr>
                <w:rFonts w:ascii="Arial" w:eastAsia="Times New Roman" w:hAnsi="Arial" w:cs="Arial"/>
                <w:b/>
                <w:bCs/>
                <w:sz w:val="20"/>
                <w:lang w:val="en-GB" w:eastAsia="en-GB"/>
              </w:rPr>
              <w:t xml:space="preserve">Health Research Authority </w:t>
            </w:r>
            <w:r w:rsidRPr="008C79F4">
              <w:rPr>
                <w:rFonts w:ascii="Arial" w:eastAsia="Times New Roman" w:hAnsi="Arial" w:cs="Arial"/>
                <w:bCs/>
                <w:sz w:val="20"/>
                <w:lang w:val="en-GB" w:eastAsia="en-GB"/>
              </w:rPr>
              <w:t xml:space="preserve">the </w:t>
            </w:r>
            <w:r w:rsidRPr="008C79F4">
              <w:rPr>
                <w:rFonts w:ascii="Arial" w:eastAsia="Times New Roman" w:hAnsi="Arial"/>
                <w:bCs/>
                <w:sz w:val="20"/>
                <w:lang w:val="en-GB" w:eastAsia="en-US"/>
              </w:rPr>
              <w:t xml:space="preserve">executive non-departmental public body sponsored by the Department of Health which </w:t>
            </w:r>
            <w:r w:rsidRPr="008C79F4">
              <w:rPr>
                <w:rFonts w:ascii="Arial" w:eastAsia="Times New Roman" w:hAnsi="Arial" w:cs="Arial"/>
                <w:bCs/>
                <w:sz w:val="20"/>
                <w:lang w:val="en-GB" w:eastAsia="en-GB"/>
              </w:rPr>
              <w:t>protects and promotes the interests of patients and the public in health and social care research</w:t>
            </w:r>
          </w:p>
          <w:p w:rsidR="008C79F4" w:rsidRDefault="008C79F4" w:rsidP="008C79F4">
            <w:pPr>
              <w:spacing w:after="0"/>
              <w:contextualSpacing/>
              <w:jc w:val="both"/>
              <w:rPr>
                <w:rFonts w:ascii="Arial" w:eastAsia="Times New Roman" w:hAnsi="Arial" w:cs="Arial"/>
                <w:sz w:val="20"/>
                <w:lang w:val="en-GB" w:eastAsia="en-US"/>
              </w:rPr>
            </w:pPr>
          </w:p>
        </w:tc>
      </w:tr>
      <w:tr w:rsidR="008C79F4" w:rsidTr="008C79F4">
        <w:tc>
          <w:tcPr>
            <w:tcW w:w="8522" w:type="dxa"/>
          </w:tcPr>
          <w:p w:rsidR="008C79F4" w:rsidRPr="008C79F4" w:rsidRDefault="008C79F4" w:rsidP="008C79F4">
            <w:pPr>
              <w:spacing w:after="0"/>
              <w:rPr>
                <w:rFonts w:ascii="Arial" w:eastAsia="Times New Roman" w:hAnsi="Arial" w:cs="Arial"/>
                <w:bCs/>
                <w:sz w:val="20"/>
                <w:lang w:val="en-GB" w:eastAsia="en-US"/>
              </w:rPr>
            </w:pPr>
          </w:p>
          <w:p w:rsidR="008C79F4" w:rsidRPr="008C79F4" w:rsidRDefault="008C79F4" w:rsidP="008C79F4">
            <w:pPr>
              <w:spacing w:after="0"/>
              <w:rPr>
                <w:rFonts w:ascii="Arial" w:eastAsia="Times New Roman" w:hAnsi="Arial" w:cs="Arial"/>
                <w:bCs/>
                <w:color w:val="0000FF"/>
                <w:sz w:val="20"/>
                <w:u w:val="single"/>
                <w:lang w:val="en-GB" w:eastAsia="en-US"/>
              </w:rPr>
            </w:pPr>
            <w:r w:rsidRPr="008C79F4">
              <w:rPr>
                <w:rFonts w:ascii="Arial" w:eastAsia="Times New Roman" w:hAnsi="Arial" w:cs="Arial"/>
                <w:b/>
                <w:bCs/>
                <w:sz w:val="20"/>
                <w:lang w:val="en-GB" w:eastAsia="en-US"/>
              </w:rPr>
              <w:t>HRA/NIHR Research Reporting Guidance</w:t>
            </w:r>
            <w:r w:rsidRPr="008C79F4">
              <w:rPr>
                <w:rFonts w:ascii="Arial" w:eastAsia="Times New Roman" w:hAnsi="Arial" w:cs="Arial"/>
                <w:bCs/>
                <w:sz w:val="20"/>
                <w:lang w:val="en-GB" w:eastAsia="en-US"/>
              </w:rPr>
              <w:t xml:space="preserve"> the guidance published by the Health Research Authority and the National Institute for Health Research regarding publication by any Provider of data showing the progress of research studies in which that Provider is participating, available at </w:t>
            </w:r>
            <w:hyperlink r:id="rId13" w:history="1">
              <w:r w:rsidRPr="008C79F4">
                <w:rPr>
                  <w:rFonts w:ascii="Arial" w:eastAsia="Times New Roman" w:hAnsi="Arial" w:cs="Arial"/>
                  <w:bCs/>
                  <w:color w:val="0000FF"/>
                  <w:sz w:val="20"/>
                  <w:u w:val="single"/>
                  <w:lang w:val="en-GB" w:eastAsia="en-US"/>
                </w:rPr>
                <w:t>https://www.nihr.ac.uk/research-and-impact/nhs-research-performance/hra-approvals-and-nihr-metrics.htm</w:t>
              </w:r>
            </w:hyperlink>
          </w:p>
          <w:p w:rsidR="008C79F4" w:rsidRDefault="008C79F4" w:rsidP="008C79F4">
            <w:pPr>
              <w:spacing w:after="0"/>
              <w:contextualSpacing/>
              <w:jc w:val="both"/>
              <w:rPr>
                <w:rFonts w:ascii="Arial" w:eastAsia="Times New Roman" w:hAnsi="Arial" w:cs="Arial"/>
                <w:sz w:val="20"/>
                <w:lang w:val="en-GB" w:eastAsia="en-US"/>
              </w:rPr>
            </w:pPr>
          </w:p>
        </w:tc>
      </w:tr>
      <w:tr w:rsidR="008C79F4" w:rsidTr="008C79F4">
        <w:tc>
          <w:tcPr>
            <w:tcW w:w="8522" w:type="dxa"/>
          </w:tcPr>
          <w:p w:rsidR="00262E27" w:rsidRPr="008C79F4" w:rsidRDefault="00262E27" w:rsidP="00262E27">
            <w:pPr>
              <w:spacing w:after="0"/>
              <w:rPr>
                <w:rFonts w:ascii="Arial" w:eastAsia="Calibri" w:hAnsi="Arial" w:cs="Arial"/>
                <w:sz w:val="20"/>
                <w:lang w:val="en-GB" w:eastAsia="en-US"/>
              </w:rPr>
            </w:pPr>
          </w:p>
          <w:p w:rsidR="00262E27" w:rsidRDefault="00262E27" w:rsidP="00262E27">
            <w:pPr>
              <w:spacing w:after="0"/>
              <w:jc w:val="both"/>
              <w:rPr>
                <w:rFonts w:ascii="Arial" w:eastAsia="Times New Roman" w:hAnsi="Arial" w:cs="Arial"/>
                <w:bCs/>
                <w:sz w:val="20"/>
                <w:lang w:eastAsia="en-GB"/>
              </w:rPr>
            </w:pPr>
            <w:r w:rsidRPr="008C79F4">
              <w:rPr>
                <w:rFonts w:ascii="Arial" w:eastAsia="Times New Roman" w:hAnsi="Arial" w:cs="Arial"/>
                <w:b/>
                <w:bCs/>
                <w:sz w:val="20"/>
                <w:lang w:eastAsia="en-GB"/>
              </w:rPr>
              <w:t>National Directive on Conducting Commercial Contract Research Studies</w:t>
            </w:r>
            <w:r w:rsidRPr="008C79F4">
              <w:rPr>
                <w:rFonts w:ascii="Arial" w:eastAsia="Times New Roman" w:hAnsi="Arial" w:cs="Arial"/>
                <w:bCs/>
                <w:sz w:val="20"/>
                <w:lang w:eastAsia="en-GB"/>
              </w:rPr>
              <w:t xml:space="preserve"> the mandatory requirements governing participation by NHS Trusts and NHS Foundation Trusts in Commercial Research Studies, published jointly by NHS England, the National Institute for Health Research and the Health Research Authority from time to time, including</w:t>
            </w:r>
            <w:r w:rsidR="002C3A11">
              <w:rPr>
                <w:rFonts w:ascii="Arial" w:eastAsia="Times New Roman" w:hAnsi="Arial" w:cs="Arial"/>
                <w:bCs/>
                <w:sz w:val="20"/>
                <w:lang w:eastAsia="en-GB"/>
              </w:rPr>
              <w:t>:</w:t>
            </w:r>
          </w:p>
          <w:p w:rsidR="00262E27" w:rsidRPr="008C79F4" w:rsidRDefault="00262E27" w:rsidP="00262E27">
            <w:pPr>
              <w:spacing w:after="0"/>
              <w:jc w:val="both"/>
              <w:rPr>
                <w:rFonts w:ascii="Arial" w:eastAsia="Times New Roman" w:hAnsi="Arial" w:cs="Arial"/>
                <w:bCs/>
                <w:sz w:val="20"/>
                <w:lang w:eastAsia="en-GB"/>
              </w:rPr>
            </w:pPr>
          </w:p>
          <w:p w:rsidR="00262E27" w:rsidRPr="008C79F4" w:rsidRDefault="00262E27" w:rsidP="00262E27">
            <w:pPr>
              <w:numPr>
                <w:ilvl w:val="0"/>
                <w:numId w:val="29"/>
              </w:numPr>
              <w:spacing w:after="0"/>
              <w:contextualSpacing/>
              <w:jc w:val="both"/>
              <w:rPr>
                <w:rFonts w:ascii="Arial" w:eastAsia="Times New Roman" w:hAnsi="Arial" w:cs="Arial"/>
                <w:bCs/>
                <w:sz w:val="20"/>
                <w:lang w:eastAsia="en-GB"/>
              </w:rPr>
            </w:pPr>
            <w:r w:rsidRPr="008C79F4">
              <w:rPr>
                <w:rFonts w:ascii="Arial" w:eastAsia="Times New Roman" w:hAnsi="Arial" w:cs="Arial"/>
                <w:bCs/>
                <w:sz w:val="20"/>
                <w:lang w:eastAsia="en-GB"/>
              </w:rPr>
              <w:t>a methodology for setting prices payable by research sponsors to Trusts for their participation; and</w:t>
            </w:r>
          </w:p>
          <w:p w:rsidR="00262E27" w:rsidRPr="008C79F4" w:rsidRDefault="00262E27" w:rsidP="00262E27">
            <w:pPr>
              <w:numPr>
                <w:ilvl w:val="0"/>
                <w:numId w:val="29"/>
              </w:numPr>
              <w:spacing w:after="0"/>
              <w:contextualSpacing/>
              <w:jc w:val="both"/>
              <w:rPr>
                <w:rFonts w:ascii="Arial" w:eastAsia="Times New Roman" w:hAnsi="Arial" w:cs="Arial"/>
                <w:sz w:val="20"/>
                <w:lang w:val="en-GB" w:eastAsia="en-US"/>
              </w:rPr>
            </w:pPr>
            <w:r w:rsidRPr="008C79F4">
              <w:rPr>
                <w:rFonts w:ascii="Arial" w:eastAsia="Times New Roman" w:hAnsi="Arial" w:cs="Arial"/>
                <w:bCs/>
                <w:sz w:val="20"/>
                <w:lang w:eastAsia="en-GB"/>
              </w:rPr>
              <w:t>other contractual terms and conditions to apply to Trust participation</w:t>
            </w:r>
          </w:p>
          <w:p w:rsidR="008C79F4" w:rsidRDefault="008C79F4" w:rsidP="00262E27">
            <w:pPr>
              <w:spacing w:after="0"/>
              <w:jc w:val="both"/>
              <w:rPr>
                <w:rFonts w:ascii="Arial" w:eastAsia="Times New Roman" w:hAnsi="Arial" w:cs="Arial"/>
                <w:sz w:val="20"/>
                <w:lang w:val="en-GB" w:eastAsia="en-US"/>
              </w:rPr>
            </w:pPr>
          </w:p>
        </w:tc>
      </w:tr>
      <w:tr w:rsidR="007D7805" w:rsidTr="008C79F4">
        <w:tc>
          <w:tcPr>
            <w:tcW w:w="8522" w:type="dxa"/>
          </w:tcPr>
          <w:p w:rsidR="007D7805" w:rsidRDefault="007D7805" w:rsidP="007D7805">
            <w:pPr>
              <w:spacing w:after="0"/>
              <w:jc w:val="both"/>
              <w:outlineLvl w:val="1"/>
              <w:rPr>
                <w:rFonts w:ascii="Arial" w:eastAsia="Calibri" w:hAnsi="Arial" w:cs="Arial"/>
                <w:b/>
                <w:sz w:val="20"/>
                <w:lang w:val="en-GB" w:eastAsia="en-US"/>
              </w:rPr>
            </w:pPr>
          </w:p>
          <w:p w:rsidR="007D7805" w:rsidRDefault="007D7805" w:rsidP="007D7805">
            <w:pPr>
              <w:spacing w:after="0"/>
              <w:jc w:val="both"/>
              <w:outlineLvl w:val="1"/>
              <w:rPr>
                <w:rFonts w:ascii="Arial" w:eastAsia="Calibri" w:hAnsi="Arial" w:cs="Arial"/>
                <w:sz w:val="20"/>
                <w:lang w:val="en-GB" w:eastAsia="en-US"/>
              </w:rPr>
            </w:pPr>
            <w:r w:rsidRPr="00380184">
              <w:rPr>
                <w:rFonts w:ascii="Arial" w:eastAsia="Calibri" w:hAnsi="Arial" w:cs="Arial"/>
                <w:b/>
                <w:sz w:val="20"/>
                <w:lang w:val="en-GB" w:eastAsia="en-US"/>
              </w:rPr>
              <w:t xml:space="preserve">National Genomic Test Directory </w:t>
            </w:r>
            <w:r w:rsidRPr="00380184">
              <w:rPr>
                <w:rFonts w:ascii="Arial" w:eastAsia="Calibri" w:hAnsi="Arial" w:cs="Arial"/>
                <w:sz w:val="20"/>
                <w:lang w:val="en-GB" w:eastAsia="en-US"/>
              </w:rPr>
              <w:t>the document published from time to time by NHS England listing all of the commissioned and provided genomic tests. The Directory includes genetic testing for rare and more common inherited disorders where constitutional genomic testing directs clinical care, and for cancer covers somatic genomic testing where findings are actionable in clinical care or as part of conferring eligibility to clinical trials</w:t>
            </w:r>
          </w:p>
          <w:p w:rsidR="007D7805" w:rsidDel="00262E27" w:rsidRDefault="007D7805" w:rsidP="008C79F4">
            <w:pPr>
              <w:spacing w:after="0"/>
              <w:jc w:val="both"/>
              <w:rPr>
                <w:rFonts w:ascii="Arial" w:eastAsia="Times New Roman" w:hAnsi="Arial" w:cs="Arial"/>
                <w:bCs/>
                <w:sz w:val="20"/>
                <w:lang w:eastAsia="en-GB"/>
              </w:rPr>
            </w:pPr>
          </w:p>
        </w:tc>
      </w:tr>
      <w:tr w:rsidR="008C79F4" w:rsidTr="008C79F4">
        <w:tc>
          <w:tcPr>
            <w:tcW w:w="8522" w:type="dxa"/>
          </w:tcPr>
          <w:p w:rsidR="007D7805" w:rsidRDefault="007D7805" w:rsidP="00262E27">
            <w:pPr>
              <w:spacing w:after="0"/>
              <w:jc w:val="both"/>
              <w:rPr>
                <w:rFonts w:ascii="Arial" w:eastAsia="Times New Roman" w:hAnsi="Arial" w:cs="Arial"/>
                <w:b/>
                <w:bCs/>
                <w:sz w:val="20"/>
                <w:lang w:val="en-GB" w:eastAsia="en-GB"/>
              </w:rPr>
            </w:pPr>
          </w:p>
          <w:p w:rsidR="00262E27" w:rsidRPr="008C79F4" w:rsidRDefault="00262E27" w:rsidP="00262E27">
            <w:pPr>
              <w:spacing w:after="0"/>
              <w:jc w:val="both"/>
              <w:rPr>
                <w:rFonts w:ascii="Arial" w:eastAsia="Times New Roman" w:hAnsi="Arial" w:cs="Arial"/>
                <w:b/>
                <w:bCs/>
                <w:sz w:val="20"/>
                <w:lang w:val="en-GB" w:eastAsia="en-GB"/>
              </w:rPr>
            </w:pPr>
            <w:r w:rsidRPr="008C79F4">
              <w:rPr>
                <w:rFonts w:ascii="Arial" w:eastAsia="Times New Roman" w:hAnsi="Arial" w:cs="Arial"/>
                <w:b/>
                <w:bCs/>
                <w:sz w:val="20"/>
                <w:lang w:val="en-GB" w:eastAsia="en-GB"/>
              </w:rPr>
              <w:t>National Institute for Health Research</w:t>
            </w:r>
            <w:r w:rsidRPr="008C79F4">
              <w:rPr>
                <w:rFonts w:ascii="Arial" w:eastAsia="Times New Roman" w:hAnsi="Arial"/>
                <w:bCs/>
                <w:sz w:val="20"/>
                <w:lang w:val="en-GB" w:eastAsia="en-US"/>
              </w:rPr>
              <w:t xml:space="preserve"> </w:t>
            </w:r>
            <w:r w:rsidRPr="008C79F4">
              <w:rPr>
                <w:rFonts w:ascii="Arial" w:eastAsia="Times New Roman" w:hAnsi="Arial" w:cs="Arial"/>
                <w:bCs/>
                <w:sz w:val="20"/>
                <w:lang w:val="en-GB" w:eastAsia="en-GB"/>
              </w:rPr>
              <w:t>the organisation established by the Department of Health to transform research in the NHS</w:t>
            </w:r>
          </w:p>
          <w:p w:rsidR="008C79F4" w:rsidRDefault="008C79F4" w:rsidP="00262E27">
            <w:pPr>
              <w:spacing w:after="0"/>
              <w:contextualSpacing/>
              <w:jc w:val="both"/>
              <w:rPr>
                <w:rFonts w:ascii="Arial" w:eastAsia="Times New Roman" w:hAnsi="Arial" w:cs="Arial"/>
                <w:sz w:val="20"/>
                <w:lang w:val="en-GB" w:eastAsia="en-US"/>
              </w:rPr>
            </w:pPr>
          </w:p>
        </w:tc>
      </w:tr>
      <w:tr w:rsidR="007D7805" w:rsidTr="008C79F4">
        <w:tc>
          <w:tcPr>
            <w:tcW w:w="8522" w:type="dxa"/>
          </w:tcPr>
          <w:p w:rsidR="007D7805" w:rsidRDefault="007D7805" w:rsidP="008C79F4">
            <w:pPr>
              <w:spacing w:after="0"/>
              <w:jc w:val="both"/>
              <w:rPr>
                <w:rFonts w:ascii="Arial" w:eastAsia="Times New Roman" w:hAnsi="Arial" w:cs="Arial"/>
                <w:bCs/>
                <w:sz w:val="20"/>
                <w:lang w:eastAsia="en-GB"/>
              </w:rPr>
            </w:pPr>
          </w:p>
          <w:p w:rsidR="007D7805" w:rsidRDefault="007D7805" w:rsidP="007D7805">
            <w:pPr>
              <w:spacing w:after="0"/>
              <w:jc w:val="both"/>
              <w:outlineLvl w:val="1"/>
              <w:rPr>
                <w:rFonts w:ascii="Arial" w:hAnsi="Arial" w:cs="Arial"/>
                <w:sz w:val="20"/>
              </w:rPr>
            </w:pPr>
            <w:r w:rsidRPr="00380184">
              <w:rPr>
                <w:rFonts w:ascii="Arial" w:hAnsi="Arial" w:cs="Arial"/>
                <w:b/>
                <w:sz w:val="20"/>
              </w:rPr>
              <w:t>Provider Sustainability Fund</w:t>
            </w:r>
            <w:r w:rsidRPr="00380184">
              <w:rPr>
                <w:rFonts w:ascii="Arial" w:hAnsi="Arial" w:cs="Arial"/>
                <w:sz w:val="20"/>
              </w:rPr>
              <w:t xml:space="preserve"> the arrangement described in </w:t>
            </w:r>
            <w:r w:rsidRPr="00380184">
              <w:rPr>
                <w:rFonts w:ascii="Arial" w:hAnsi="Arial" w:cs="Arial"/>
                <w:i/>
                <w:sz w:val="20"/>
              </w:rPr>
              <w:t>Refreshing NHS Plans for 2018/19</w:t>
            </w:r>
            <w:r w:rsidRPr="00380184">
              <w:rPr>
                <w:rFonts w:ascii="Arial" w:hAnsi="Arial" w:cs="Arial"/>
                <w:sz w:val="20"/>
              </w:rPr>
              <w:t xml:space="preserve"> (https://www.england.nhs.uk/wp-content/uploads/2018/02/planning-guidance-18-19.pdf) through which NHS Trusts and Foundation Trusts can access non-recurrent funding</w:t>
            </w:r>
          </w:p>
          <w:p w:rsidR="007D7805" w:rsidDel="00262E27" w:rsidRDefault="007D7805" w:rsidP="008C79F4">
            <w:pPr>
              <w:spacing w:after="0"/>
              <w:jc w:val="both"/>
              <w:rPr>
                <w:rFonts w:ascii="Arial" w:eastAsia="Times New Roman" w:hAnsi="Arial" w:cs="Arial"/>
                <w:bCs/>
                <w:sz w:val="20"/>
                <w:lang w:eastAsia="en-GB"/>
              </w:rPr>
            </w:pPr>
          </w:p>
        </w:tc>
      </w:tr>
    </w:tbl>
    <w:p w:rsidR="007D7805" w:rsidRDefault="007D7805" w:rsidP="002838DC">
      <w:pPr>
        <w:spacing w:after="240"/>
        <w:jc w:val="both"/>
        <w:outlineLvl w:val="1"/>
        <w:rPr>
          <w:rFonts w:ascii="Arial" w:eastAsia="Times New Roman" w:hAnsi="Arial" w:cs="Arial"/>
          <w:sz w:val="20"/>
          <w:lang w:val="en-GB" w:eastAsia="en-US"/>
        </w:rPr>
      </w:pPr>
    </w:p>
    <w:p w:rsidR="007D7805" w:rsidRDefault="007D7805">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rsidR="008A6FAB" w:rsidRDefault="008A6FAB" w:rsidP="002838DC">
      <w:p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25 May 2018, add the following definitions to the General Conditions (</w:t>
      </w:r>
      <w:r>
        <w:rPr>
          <w:rFonts w:ascii="Arial" w:eastAsia="Times New Roman" w:hAnsi="Arial" w:cs="Arial"/>
          <w:i/>
          <w:sz w:val="20"/>
          <w:lang w:val="en-GB" w:eastAsia="en-US"/>
        </w:rPr>
        <w:t>Definitions and Interpretation</w:t>
      </w:r>
      <w:r>
        <w:rPr>
          <w:rFonts w:ascii="Arial" w:eastAsia="Times New Roman" w:hAnsi="Arial" w:cs="Arial"/>
          <w:sz w:val="20"/>
          <w:lang w:val="en-GB" w:eastAsia="en-US"/>
        </w:rPr>
        <w:t>) in alphabetical sequence:</w:t>
      </w:r>
    </w:p>
    <w:tbl>
      <w:tblPr>
        <w:tblW w:w="8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1: New Defined Terms"/>
      </w:tblPr>
      <w:tblGrid>
        <w:gridCol w:w="8280"/>
      </w:tblGrid>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4050C4" w:rsidRDefault="00B23488" w:rsidP="00B23488">
            <w:pPr>
              <w:spacing w:after="0"/>
              <w:ind w:right="43"/>
              <w:jc w:val="both"/>
              <w:rPr>
                <w:rFonts w:ascii="Arial" w:eastAsia="Times New Roman" w:hAnsi="Arial" w:cs="Arial"/>
                <w:b/>
                <w:color w:val="000000"/>
                <w:sz w:val="20"/>
                <w:lang w:val="en-GB" w:eastAsia="en-GB"/>
              </w:rPr>
            </w:pPr>
            <w:r w:rsidRPr="00B23488">
              <w:rPr>
                <w:rFonts w:ascii="Arial" w:hAnsi="Arial" w:cs="Arial"/>
                <w:b/>
                <w:sz w:val="20"/>
              </w:rPr>
              <w:t>Data Guidance</w:t>
            </w:r>
            <w:r w:rsidRPr="00B23488">
              <w:rPr>
                <w:rFonts w:ascii="Arial" w:hAnsi="Arial" w:cs="Arial"/>
                <w:sz w:val="20"/>
              </w:rPr>
              <w:t xml:space="preserve"> any applicable guidance, guidelines, direction or determination, framework, code of practice, standard or requirement regarding information governance, confidentiality, privacy or compliance with Data Protection Legislation (whether specifically mentioned in this Contract or not) to the extent published and publicly available or their existence or contents have been notified to the Provider by the Co-</w:t>
            </w:r>
            <w:proofErr w:type="spellStart"/>
            <w:r w:rsidRPr="00B23488">
              <w:rPr>
                <w:rFonts w:ascii="Arial" w:hAnsi="Arial" w:cs="Arial"/>
                <w:sz w:val="20"/>
              </w:rPr>
              <w:t>ordinating</w:t>
            </w:r>
            <w:proofErr w:type="spellEnd"/>
            <w:r w:rsidRPr="00B23488">
              <w:rPr>
                <w:rFonts w:ascii="Arial" w:hAnsi="Arial" w:cs="Arial"/>
                <w:sz w:val="20"/>
              </w:rPr>
              <w:t xml:space="preserve"> Commissioner and/or any relevant Regulatory or Supervisory Body.  This includes but is not limited to guidance issued by NHS Digital, the National Data Guardian for Health &amp; Care, the Department of Health, NHS England, the Health Research Authority, Public Health England, the European Data Protection Board and the Information Commissioner</w:t>
            </w:r>
          </w:p>
        </w:tc>
      </w:tr>
      <w:tr w:rsidR="002E6491" w:rsidRPr="004050C4"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E6491" w:rsidRPr="004050C4" w:rsidRDefault="00B23488" w:rsidP="00B23488">
            <w:pPr>
              <w:autoSpaceDE w:val="0"/>
              <w:autoSpaceDN w:val="0"/>
              <w:adjustRightInd w:val="0"/>
              <w:spacing w:after="0"/>
              <w:ind w:right="43"/>
              <w:jc w:val="both"/>
              <w:rPr>
                <w:rFonts w:ascii="Arial" w:hAnsi="Arial" w:cs="Arial"/>
                <w:b/>
                <w:sz w:val="20"/>
              </w:rPr>
            </w:pPr>
            <w:r w:rsidRPr="00B23488">
              <w:rPr>
                <w:rFonts w:ascii="Arial" w:hAnsi="Arial" w:cs="Arial"/>
                <w:b/>
                <w:bCs/>
                <w:sz w:val="20"/>
                <w:lang w:val="en-GB"/>
              </w:rPr>
              <w:t xml:space="preserve">Data Loss Event </w:t>
            </w:r>
            <w:r w:rsidRPr="00B23488">
              <w:rPr>
                <w:rFonts w:ascii="Arial" w:eastAsia="ArialMT" w:hAnsi="Arial" w:cs="Arial"/>
                <w:sz w:val="20"/>
                <w:lang w:val="en-GB"/>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B23488" w:rsidRDefault="00B23488" w:rsidP="00B23488">
            <w:pPr>
              <w:spacing w:after="0"/>
              <w:ind w:right="43"/>
              <w:jc w:val="both"/>
              <w:rPr>
                <w:rFonts w:ascii="Arial" w:hAnsi="Arial" w:cs="Arial"/>
                <w:sz w:val="20"/>
              </w:rPr>
            </w:pPr>
            <w:r w:rsidRPr="00B23488">
              <w:rPr>
                <w:rFonts w:ascii="Arial" w:hAnsi="Arial" w:cs="Arial"/>
                <w:b/>
                <w:sz w:val="20"/>
              </w:rPr>
              <w:t xml:space="preserve">Data Processing Services </w:t>
            </w:r>
            <w:r w:rsidRPr="00B23488">
              <w:rPr>
                <w:rFonts w:ascii="Arial" w:hAnsi="Arial" w:cs="Arial"/>
                <w:sz w:val="20"/>
              </w:rPr>
              <w:t>the data processing services described in the Annex to Schedule 6F</w:t>
            </w:r>
          </w:p>
        </w:tc>
      </w:tr>
      <w:tr w:rsidR="002C3A11"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C3A11" w:rsidRPr="00B23488" w:rsidRDefault="002C3A11" w:rsidP="00B23488">
            <w:pPr>
              <w:autoSpaceDE w:val="0"/>
              <w:autoSpaceDN w:val="0"/>
              <w:adjustRightInd w:val="0"/>
              <w:spacing w:after="0"/>
              <w:ind w:right="43"/>
              <w:jc w:val="both"/>
              <w:rPr>
                <w:rFonts w:ascii="Arial" w:hAnsi="Arial" w:cs="Arial"/>
                <w:b/>
                <w:sz w:val="20"/>
              </w:rPr>
            </w:pPr>
            <w:r w:rsidRPr="00B23488">
              <w:rPr>
                <w:rFonts w:ascii="Arial" w:hAnsi="Arial" w:cs="Arial"/>
                <w:b/>
                <w:bCs/>
                <w:sz w:val="20"/>
                <w:lang w:val="en-GB"/>
              </w:rPr>
              <w:t>Data Protection Impact Assessment</w:t>
            </w:r>
            <w:r w:rsidRPr="00B23488">
              <w:rPr>
                <w:rFonts w:ascii="Arial" w:eastAsia="ArialMT" w:hAnsi="Arial" w:cs="Arial"/>
                <w:sz w:val="20"/>
                <w:lang w:val="en-GB"/>
              </w:rPr>
              <w:t xml:space="preserve"> an assessment by the Controller of the impact of the envisaged processing on the protection of Personal Data</w:t>
            </w:r>
          </w:p>
        </w:tc>
      </w:tr>
      <w:tr w:rsidR="002C3A11"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C3A11" w:rsidRPr="00B23488" w:rsidRDefault="002C3A11" w:rsidP="00B23488">
            <w:pPr>
              <w:autoSpaceDE w:val="0"/>
              <w:autoSpaceDN w:val="0"/>
              <w:adjustRightInd w:val="0"/>
              <w:spacing w:after="0"/>
              <w:ind w:right="43"/>
              <w:jc w:val="both"/>
              <w:rPr>
                <w:rFonts w:ascii="Arial" w:hAnsi="Arial" w:cs="Arial"/>
                <w:b/>
                <w:sz w:val="20"/>
              </w:rPr>
            </w:pPr>
            <w:r w:rsidRPr="00B23488">
              <w:rPr>
                <w:rFonts w:ascii="Arial" w:hAnsi="Arial" w:cs="Arial"/>
                <w:b/>
                <w:bCs/>
                <w:sz w:val="20"/>
                <w:lang w:val="en-GB"/>
              </w:rPr>
              <w:t>Data Protection Legislation</w:t>
            </w:r>
            <w:r w:rsidRPr="00B23488">
              <w:rPr>
                <w:rFonts w:ascii="Arial" w:eastAsia="ArialMT" w:hAnsi="Arial" w:cs="Arial"/>
                <w:sz w:val="20"/>
                <w:lang w:val="en-GB"/>
              </w:rPr>
              <w:t xml:space="preserve"> (</w:t>
            </w:r>
            <w:proofErr w:type="spellStart"/>
            <w:r w:rsidRPr="00B23488">
              <w:rPr>
                <w:rFonts w:ascii="Arial" w:eastAsia="ArialMT" w:hAnsi="Arial" w:cs="Arial"/>
                <w:sz w:val="20"/>
                <w:lang w:val="en-GB"/>
              </w:rPr>
              <w:t>i</w:t>
            </w:r>
            <w:proofErr w:type="spellEnd"/>
            <w:r w:rsidRPr="00B23488">
              <w:rPr>
                <w:rFonts w:ascii="Arial" w:eastAsia="ArialMT" w:hAnsi="Arial" w:cs="Arial"/>
                <w:sz w:val="20"/>
                <w:lang w:val="en-GB"/>
              </w:rPr>
              <w:t xml:space="preserve">) the DPA 1998 (ii) the GDPR, the LED and any applicable national Laws implementing them as amended from time to time (iii) the DPA 2018 (iv) all applicable Law concerning privacy, confidentiality or the processing of personal data including but not limited to </w:t>
            </w:r>
            <w:r w:rsidRPr="00B23488">
              <w:rPr>
                <w:rFonts w:ascii="Arial" w:hAnsi="Arial" w:cs="Arial"/>
                <w:sz w:val="20"/>
              </w:rPr>
              <w:t>the Human Rights Act 1998, the Health and Social Care (Safety and Quality) Act 2015, the common law duty of confidentiality and the Privacy and Electronic Communications (EC Directive) Regulations</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B23488" w:rsidRDefault="00B23488" w:rsidP="00B23488">
            <w:pPr>
              <w:autoSpaceDE w:val="0"/>
              <w:autoSpaceDN w:val="0"/>
              <w:adjustRightInd w:val="0"/>
              <w:spacing w:after="0"/>
              <w:ind w:right="43"/>
              <w:jc w:val="both"/>
              <w:rPr>
                <w:rFonts w:ascii="Arial" w:hAnsi="Arial" w:cs="Arial"/>
                <w:sz w:val="20"/>
              </w:rPr>
            </w:pPr>
            <w:r w:rsidRPr="00B23488">
              <w:rPr>
                <w:rFonts w:ascii="Arial" w:hAnsi="Arial" w:cs="Arial"/>
                <w:b/>
                <w:sz w:val="20"/>
              </w:rPr>
              <w:t xml:space="preserve">Data Protection Officer </w:t>
            </w:r>
            <w:r w:rsidRPr="00B23488">
              <w:rPr>
                <w:rFonts w:ascii="Arial" w:hAnsi="Arial" w:cs="Arial"/>
                <w:sz w:val="20"/>
              </w:rPr>
              <w:t>has the meaning given to it in Data Protection Legislation</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4050C4" w:rsidRDefault="00AC0744" w:rsidP="00AC0744">
            <w:pPr>
              <w:autoSpaceDE w:val="0"/>
              <w:autoSpaceDN w:val="0"/>
              <w:adjustRightInd w:val="0"/>
              <w:spacing w:after="0"/>
              <w:ind w:right="43"/>
              <w:jc w:val="both"/>
              <w:rPr>
                <w:rFonts w:ascii="Arial" w:hAnsi="Arial" w:cs="Arial"/>
                <w:b/>
                <w:sz w:val="20"/>
              </w:rPr>
            </w:pPr>
            <w:r w:rsidRPr="00AC0744">
              <w:rPr>
                <w:rFonts w:ascii="Arial" w:hAnsi="Arial" w:cs="Arial"/>
                <w:b/>
                <w:bCs/>
                <w:sz w:val="20"/>
                <w:lang w:val="en-GB"/>
              </w:rPr>
              <w:t xml:space="preserve">Data Subject </w:t>
            </w:r>
            <w:r w:rsidRPr="00AC0744">
              <w:rPr>
                <w:rFonts w:ascii="Arial" w:hAnsi="Arial" w:cs="Arial"/>
                <w:sz w:val="20"/>
              </w:rPr>
              <w:t>has the meaning given to it in Data Protection Legislation</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4050C4" w:rsidRDefault="00AC0744" w:rsidP="00AC0744">
            <w:pPr>
              <w:autoSpaceDE w:val="0"/>
              <w:autoSpaceDN w:val="0"/>
              <w:adjustRightInd w:val="0"/>
              <w:spacing w:after="0"/>
              <w:ind w:right="43"/>
              <w:jc w:val="both"/>
              <w:rPr>
                <w:rFonts w:ascii="Arial" w:hAnsi="Arial" w:cs="Arial"/>
                <w:b/>
                <w:sz w:val="20"/>
              </w:rPr>
            </w:pPr>
            <w:r w:rsidRPr="00AC0744">
              <w:rPr>
                <w:rFonts w:ascii="Arial" w:hAnsi="Arial" w:cs="Arial"/>
                <w:b/>
                <w:bCs/>
                <w:sz w:val="20"/>
                <w:lang w:val="en-GB"/>
              </w:rPr>
              <w:t>Data Subject Access Request</w:t>
            </w:r>
            <w:r w:rsidRPr="00AC0744">
              <w:rPr>
                <w:rFonts w:ascii="Arial" w:eastAsia="ArialMT" w:hAnsi="Arial" w:cs="Arial"/>
                <w:sz w:val="20"/>
                <w:lang w:val="en-GB"/>
              </w:rPr>
              <w:t xml:space="preserve"> a request made by, or on behalf of, a Data Subject in accordance with rights granted pursuant to Data Protection Legislation to access their Personal Data</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AC0744" w:rsidRDefault="00AC0744" w:rsidP="00AC0744">
            <w:pPr>
              <w:spacing w:after="0"/>
              <w:ind w:right="43"/>
              <w:jc w:val="both"/>
              <w:rPr>
                <w:rFonts w:ascii="Arial" w:hAnsi="Arial" w:cs="Arial"/>
                <w:sz w:val="20"/>
              </w:rPr>
            </w:pPr>
            <w:r w:rsidRPr="00AC0744">
              <w:rPr>
                <w:rFonts w:ascii="Arial" w:hAnsi="Arial" w:cs="Arial"/>
                <w:b/>
                <w:sz w:val="20"/>
              </w:rPr>
              <w:t xml:space="preserve">DPA 1998 </w:t>
            </w:r>
            <w:r w:rsidRPr="00AC0744">
              <w:rPr>
                <w:rFonts w:ascii="Arial" w:hAnsi="Arial" w:cs="Arial"/>
                <w:sz w:val="20"/>
              </w:rPr>
              <w:t>the Data Protection Act 1998</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380184" w:rsidRDefault="00380184" w:rsidP="00380184">
            <w:pPr>
              <w:spacing w:after="0"/>
              <w:ind w:right="43"/>
              <w:jc w:val="both"/>
              <w:rPr>
                <w:rFonts w:ascii="Arial" w:hAnsi="Arial" w:cs="Arial"/>
                <w:sz w:val="20"/>
              </w:rPr>
            </w:pPr>
            <w:r w:rsidRPr="00380184">
              <w:rPr>
                <w:rFonts w:ascii="Arial" w:hAnsi="Arial" w:cs="Arial"/>
                <w:b/>
                <w:bCs/>
                <w:sz w:val="20"/>
                <w:lang w:val="en-GB"/>
              </w:rPr>
              <w:t>DPA 2018</w:t>
            </w:r>
            <w:r w:rsidRPr="00380184">
              <w:rPr>
                <w:rFonts w:ascii="Arial" w:eastAsia="ArialMT" w:hAnsi="Arial" w:cs="Arial"/>
                <w:sz w:val="20"/>
                <w:lang w:val="en-GB"/>
              </w:rPr>
              <w:t xml:space="preserve"> the Data Protection Act 2018</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380184" w:rsidRDefault="00380184" w:rsidP="00380184">
            <w:pPr>
              <w:spacing w:after="0"/>
              <w:ind w:right="43"/>
              <w:jc w:val="both"/>
              <w:rPr>
                <w:rFonts w:ascii="Arial" w:hAnsi="Arial" w:cs="Arial"/>
                <w:sz w:val="20"/>
              </w:rPr>
            </w:pPr>
            <w:r w:rsidRPr="00380184">
              <w:rPr>
                <w:rFonts w:ascii="Arial" w:hAnsi="Arial" w:cs="Arial"/>
                <w:b/>
                <w:sz w:val="20"/>
              </w:rPr>
              <w:t>European Data Protection Board</w:t>
            </w:r>
            <w:r w:rsidRPr="00380184">
              <w:rPr>
                <w:rFonts w:ascii="Arial" w:hAnsi="Arial" w:cs="Arial"/>
                <w:sz w:val="20"/>
              </w:rPr>
              <w:t xml:space="preserve"> has the meaning given to it in Data Protection Legislation</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4050C4" w:rsidRDefault="00380184" w:rsidP="00380184">
            <w:pPr>
              <w:spacing w:after="0"/>
              <w:ind w:right="43"/>
              <w:jc w:val="both"/>
              <w:rPr>
                <w:rFonts w:ascii="Arial" w:hAnsi="Arial" w:cs="Arial"/>
                <w:b/>
                <w:sz w:val="20"/>
              </w:rPr>
            </w:pPr>
            <w:r w:rsidRPr="00380184">
              <w:rPr>
                <w:rFonts w:ascii="Arial" w:hAnsi="Arial" w:cs="Arial"/>
                <w:b/>
                <w:bCs/>
                <w:sz w:val="20"/>
                <w:lang w:val="en-GB"/>
              </w:rPr>
              <w:t>GDPR</w:t>
            </w:r>
            <w:r w:rsidRPr="00380184">
              <w:rPr>
                <w:rFonts w:ascii="Arial" w:hAnsi="Arial" w:cs="Arial"/>
                <w:bCs/>
                <w:sz w:val="20"/>
                <w:lang w:val="en-GB"/>
              </w:rPr>
              <w:t xml:space="preserve"> </w:t>
            </w:r>
            <w:r w:rsidRPr="00380184">
              <w:rPr>
                <w:rFonts w:ascii="Arial" w:eastAsia="ArialMT" w:hAnsi="Arial" w:cs="Arial"/>
                <w:sz w:val="20"/>
                <w:lang w:val="en-GB"/>
              </w:rPr>
              <w:t xml:space="preserve">the General Data Protection Regulation </w:t>
            </w:r>
            <w:r w:rsidRPr="00380184">
              <w:rPr>
                <w:rFonts w:ascii="Arial" w:hAnsi="Arial" w:cs="Arial"/>
                <w:i/>
                <w:iCs/>
                <w:sz w:val="20"/>
                <w:lang w:val="en-GB" w:bidi="he-IL"/>
              </w:rPr>
              <w:t>(Regulation (EU) 2016/679)</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4050C4" w:rsidRDefault="00380184" w:rsidP="00380184">
            <w:pPr>
              <w:spacing w:after="0"/>
              <w:ind w:right="43"/>
              <w:jc w:val="both"/>
              <w:rPr>
                <w:rFonts w:ascii="Arial" w:hAnsi="Arial" w:cs="Arial"/>
                <w:b/>
                <w:sz w:val="20"/>
              </w:rPr>
            </w:pPr>
            <w:r w:rsidRPr="00380184">
              <w:rPr>
                <w:rFonts w:ascii="Arial" w:hAnsi="Arial" w:cs="Arial"/>
                <w:b/>
                <w:bCs/>
                <w:sz w:val="20"/>
                <w:lang w:val="en-GB"/>
              </w:rPr>
              <w:t xml:space="preserve">LED </w:t>
            </w:r>
            <w:r w:rsidRPr="00380184">
              <w:rPr>
                <w:rFonts w:ascii="Arial" w:eastAsia="ArialMT" w:hAnsi="Arial" w:cs="Arial"/>
                <w:sz w:val="20"/>
                <w:lang w:val="en-GB"/>
              </w:rPr>
              <w:t xml:space="preserve">Law Enforcement Directive </w:t>
            </w:r>
            <w:r w:rsidRPr="00380184">
              <w:rPr>
                <w:rFonts w:ascii="Arial" w:hAnsi="Arial" w:cs="Arial"/>
                <w:i/>
                <w:iCs/>
                <w:sz w:val="20"/>
                <w:lang w:val="en-GB" w:bidi="he-IL"/>
              </w:rPr>
              <w:t>(Directive (EU) 2016/680)</w:t>
            </w:r>
          </w:p>
        </w:tc>
      </w:tr>
      <w:tr w:rsidR="00F12927" w:rsidRPr="004050C4"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tcPr>
          <w:p w:rsidR="00F12927" w:rsidRPr="00380184" w:rsidRDefault="00380184" w:rsidP="00380184">
            <w:pPr>
              <w:spacing w:after="0"/>
              <w:ind w:right="43"/>
              <w:jc w:val="both"/>
              <w:rPr>
                <w:rFonts w:ascii="Arial" w:hAnsi="Arial" w:cs="Arial"/>
                <w:sz w:val="20"/>
              </w:rPr>
            </w:pPr>
            <w:r w:rsidRPr="00380184">
              <w:rPr>
                <w:rFonts w:ascii="Arial" w:hAnsi="Arial" w:cs="Arial"/>
                <w:b/>
                <w:sz w:val="20"/>
              </w:rPr>
              <w:t>Personal Data Breach</w:t>
            </w:r>
            <w:r w:rsidRPr="00380184">
              <w:rPr>
                <w:rFonts w:ascii="Arial" w:hAnsi="Arial" w:cs="Arial"/>
                <w:sz w:val="20"/>
              </w:rPr>
              <w:t xml:space="preserve"> has the meaning given to it in the Data Protection Legislation</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380184" w:rsidRPr="00380184" w:rsidRDefault="00380184" w:rsidP="00380184">
            <w:pPr>
              <w:spacing w:after="0"/>
              <w:ind w:right="43"/>
              <w:jc w:val="both"/>
              <w:rPr>
                <w:rFonts w:ascii="Arial" w:hAnsi="Arial" w:cs="Arial"/>
                <w:color w:val="000000"/>
                <w:sz w:val="20"/>
              </w:rPr>
            </w:pPr>
            <w:bookmarkStart w:id="7" w:name="_DV_C524"/>
            <w:r w:rsidRPr="00380184">
              <w:rPr>
                <w:rFonts w:ascii="Arial" w:hAnsi="Arial" w:cs="Arial"/>
                <w:b/>
                <w:color w:val="000000"/>
                <w:sz w:val="20"/>
              </w:rPr>
              <w:t>Privacy Notice</w:t>
            </w:r>
            <w:r w:rsidRPr="00380184">
              <w:rPr>
                <w:rFonts w:ascii="Arial" w:hAnsi="Arial" w:cs="Arial"/>
                <w:color w:val="000000"/>
                <w:sz w:val="20"/>
              </w:rPr>
              <w:t xml:space="preserve"> the information that must be provided to a Data Subject under whichever of the following Laws is in force at the relevant time:</w:t>
            </w:r>
          </w:p>
          <w:p w:rsidR="00380184" w:rsidRPr="00380184" w:rsidRDefault="00380184" w:rsidP="00380184">
            <w:pPr>
              <w:spacing w:after="0"/>
              <w:ind w:left="426" w:right="43" w:hanging="426"/>
              <w:jc w:val="both"/>
              <w:rPr>
                <w:rFonts w:ascii="Arial" w:eastAsia="Times New Roman" w:hAnsi="Arial" w:cs="Arial"/>
                <w:color w:val="000000"/>
                <w:sz w:val="20"/>
                <w:lang w:val="en-GB" w:eastAsia="en-GB"/>
              </w:rPr>
            </w:pPr>
            <w:r w:rsidRPr="00380184">
              <w:rPr>
                <w:rFonts w:ascii="Arial" w:eastAsia="Times New Roman" w:hAnsi="Arial" w:cs="Arial"/>
                <w:color w:val="000000"/>
                <w:sz w:val="20"/>
                <w:lang w:val="en-GB" w:eastAsia="en-GB"/>
              </w:rPr>
              <w:t>(</w:t>
            </w:r>
            <w:proofErr w:type="spellStart"/>
            <w:r w:rsidRPr="00380184">
              <w:rPr>
                <w:rFonts w:ascii="Arial" w:eastAsia="Times New Roman" w:hAnsi="Arial" w:cs="Arial"/>
                <w:color w:val="000000"/>
                <w:sz w:val="20"/>
                <w:lang w:val="en-GB" w:eastAsia="en-GB"/>
              </w:rPr>
              <w:t>i</w:t>
            </w:r>
            <w:proofErr w:type="spellEnd"/>
            <w:r w:rsidRPr="00380184">
              <w:rPr>
                <w:rFonts w:ascii="Arial" w:eastAsia="Times New Roman" w:hAnsi="Arial" w:cs="Arial"/>
                <w:color w:val="000000"/>
                <w:sz w:val="20"/>
                <w:lang w:val="en-GB" w:eastAsia="en-GB"/>
              </w:rPr>
              <w:t>)</w:t>
            </w:r>
            <w:r w:rsidRPr="00380184">
              <w:rPr>
                <w:rFonts w:ascii="Arial" w:eastAsia="Times New Roman" w:hAnsi="Arial" w:cs="Arial"/>
                <w:color w:val="000000"/>
                <w:sz w:val="20"/>
                <w:lang w:val="en-GB" w:eastAsia="en-GB"/>
              </w:rPr>
              <w:tab/>
              <w:t>paragraph 2(3) of Part II of Schedule 1 DPA 1998</w:t>
            </w:r>
          </w:p>
          <w:p w:rsidR="00380184" w:rsidRPr="00380184" w:rsidRDefault="00380184" w:rsidP="00380184">
            <w:pPr>
              <w:spacing w:after="0"/>
              <w:ind w:left="426" w:right="43" w:hanging="426"/>
              <w:jc w:val="both"/>
              <w:rPr>
                <w:rFonts w:ascii="Arial" w:eastAsia="Times New Roman" w:hAnsi="Arial" w:cs="Arial"/>
                <w:color w:val="000000"/>
                <w:sz w:val="20"/>
                <w:lang w:val="en-GB" w:eastAsia="en-GB"/>
              </w:rPr>
            </w:pPr>
            <w:r w:rsidRPr="00380184">
              <w:rPr>
                <w:rFonts w:ascii="Arial" w:eastAsia="Times New Roman" w:hAnsi="Arial" w:cs="Arial"/>
                <w:color w:val="000000"/>
                <w:sz w:val="20"/>
                <w:lang w:val="en-GB" w:eastAsia="en-GB"/>
              </w:rPr>
              <w:t>(ii)</w:t>
            </w:r>
            <w:r w:rsidRPr="00380184">
              <w:rPr>
                <w:rFonts w:ascii="Arial" w:eastAsia="Times New Roman" w:hAnsi="Arial" w:cs="Arial"/>
                <w:color w:val="000000"/>
                <w:sz w:val="20"/>
                <w:lang w:val="en-GB" w:eastAsia="en-GB"/>
              </w:rPr>
              <w:tab/>
              <w:t>Article 13 and Article 14 of the GDPR; or</w:t>
            </w:r>
          </w:p>
          <w:p w:rsidR="002838DC" w:rsidRPr="00380184" w:rsidRDefault="00380184" w:rsidP="00380184">
            <w:pPr>
              <w:spacing w:after="0"/>
              <w:ind w:left="426" w:right="43" w:hanging="426"/>
              <w:jc w:val="both"/>
              <w:rPr>
                <w:rFonts w:ascii="Arial" w:eastAsia="Times New Roman" w:hAnsi="Arial" w:cs="Arial"/>
                <w:color w:val="000000"/>
                <w:sz w:val="20"/>
                <w:lang w:val="en-GB" w:eastAsia="en-GB"/>
              </w:rPr>
            </w:pPr>
            <w:r w:rsidRPr="00380184">
              <w:rPr>
                <w:rFonts w:ascii="Arial" w:eastAsia="Times New Roman" w:hAnsi="Arial" w:cs="Arial"/>
                <w:color w:val="000000"/>
                <w:sz w:val="20"/>
                <w:lang w:val="en-GB" w:eastAsia="en-GB"/>
              </w:rPr>
              <w:t>(iii)</w:t>
            </w:r>
            <w:r w:rsidRPr="00380184">
              <w:rPr>
                <w:rFonts w:ascii="Arial" w:eastAsia="Times New Roman" w:hAnsi="Arial" w:cs="Arial"/>
                <w:color w:val="000000"/>
                <w:sz w:val="20"/>
                <w:lang w:val="en-GB" w:eastAsia="en-GB"/>
              </w:rPr>
              <w:tab/>
              <w:t>DPA 2018</w:t>
            </w:r>
            <w:bookmarkEnd w:id="7"/>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838DC" w:rsidRPr="00380184" w:rsidRDefault="00380184" w:rsidP="00380184">
            <w:pPr>
              <w:spacing w:after="0"/>
              <w:ind w:right="43"/>
              <w:jc w:val="both"/>
              <w:rPr>
                <w:rFonts w:ascii="Arial" w:hAnsi="Arial" w:cs="Arial"/>
                <w:color w:val="000000"/>
                <w:sz w:val="20"/>
              </w:rPr>
            </w:pPr>
            <w:r w:rsidRPr="00380184">
              <w:rPr>
                <w:rFonts w:ascii="Arial" w:hAnsi="Arial" w:cs="Arial"/>
                <w:b/>
                <w:color w:val="000000"/>
                <w:sz w:val="20"/>
              </w:rPr>
              <w:t>Processor Data</w:t>
            </w:r>
            <w:r w:rsidRPr="00380184">
              <w:rPr>
                <w:rFonts w:ascii="Arial" w:hAnsi="Arial" w:cs="Arial"/>
                <w:color w:val="000000"/>
                <w:sz w:val="20"/>
              </w:rPr>
              <w:t xml:space="preserve"> is any data processed by the Provider in connection with the Data Processing Services</w:t>
            </w:r>
          </w:p>
        </w:tc>
      </w:tr>
      <w:tr w:rsidR="002838DC"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8B2F1B" w:rsidRPr="00380184" w:rsidRDefault="00380184" w:rsidP="00380184">
            <w:pPr>
              <w:autoSpaceDE w:val="0"/>
              <w:autoSpaceDN w:val="0"/>
              <w:adjustRightInd w:val="0"/>
              <w:spacing w:after="0"/>
              <w:ind w:right="43"/>
              <w:jc w:val="both"/>
              <w:rPr>
                <w:rFonts w:ascii="Arial" w:hAnsi="Arial" w:cs="Arial"/>
                <w:b/>
                <w:sz w:val="20"/>
              </w:rPr>
            </w:pPr>
            <w:r w:rsidRPr="00380184">
              <w:rPr>
                <w:rFonts w:ascii="Arial" w:hAnsi="Arial" w:cs="Arial"/>
                <w:b/>
                <w:bCs/>
                <w:sz w:val="20"/>
                <w:lang w:val="en-GB"/>
              </w:rPr>
              <w:t xml:space="preserve">Protective Measures </w:t>
            </w:r>
            <w:r w:rsidRPr="00380184">
              <w:rPr>
                <w:rFonts w:ascii="Arial" w:eastAsia="ArialMT" w:hAnsi="Arial" w:cs="Arial"/>
                <w:sz w:val="20"/>
                <w:lang w:val="en-GB"/>
              </w:rPr>
              <w:t xml:space="preserve">appropriate technical and organisational measures which may include: </w:t>
            </w:r>
            <w:proofErr w:type="spellStart"/>
            <w:r w:rsidRPr="00380184">
              <w:rPr>
                <w:rFonts w:ascii="Arial" w:eastAsia="ArialMT" w:hAnsi="Arial" w:cs="Arial"/>
                <w:sz w:val="20"/>
                <w:lang w:val="en-GB"/>
              </w:rPr>
              <w:t>pseudonymising</w:t>
            </w:r>
            <w:proofErr w:type="spellEnd"/>
            <w:r w:rsidRPr="00380184">
              <w:rPr>
                <w:rFonts w:ascii="Arial" w:eastAsia="ArialMT" w:hAnsi="Arial" w:cs="Arial"/>
                <w:sz w:val="20"/>
                <w:lang w:val="en-GB"/>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tc>
      </w:tr>
      <w:tr w:rsidR="004169E2" w:rsidRPr="004050C4" w:rsidTr="004050C4">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4169E2" w:rsidRPr="00380184" w:rsidRDefault="004169E2" w:rsidP="004169E2">
            <w:pPr>
              <w:autoSpaceDE w:val="0"/>
              <w:autoSpaceDN w:val="0"/>
              <w:adjustRightInd w:val="0"/>
              <w:spacing w:after="0"/>
              <w:ind w:right="43"/>
              <w:jc w:val="both"/>
              <w:rPr>
                <w:rFonts w:ascii="Arial" w:hAnsi="Arial" w:cs="Arial"/>
                <w:b/>
                <w:sz w:val="20"/>
              </w:rPr>
            </w:pPr>
            <w:r w:rsidRPr="004169E2">
              <w:rPr>
                <w:rFonts w:ascii="Arial" w:hAnsi="Arial" w:cs="Arial"/>
                <w:b/>
                <w:bCs/>
                <w:sz w:val="20"/>
                <w:lang w:val="en-GB"/>
              </w:rPr>
              <w:t>Sub-processor</w:t>
            </w:r>
            <w:r w:rsidRPr="004169E2">
              <w:rPr>
                <w:rFonts w:ascii="Arial" w:eastAsia="ArialMT" w:hAnsi="Arial" w:cs="Arial"/>
                <w:sz w:val="20"/>
                <w:lang w:val="en-GB"/>
              </w:rPr>
              <w:t xml:space="preserve"> any Sub-Contractor appointed by a Data Processor to process Personal Data on behalf of the Commissioners pursuant to this Contract</w:t>
            </w:r>
          </w:p>
        </w:tc>
      </w:tr>
    </w:tbl>
    <w:p w:rsidR="002838DC" w:rsidRDefault="002838DC" w:rsidP="002838DC">
      <w:pPr>
        <w:spacing w:after="0"/>
        <w:rPr>
          <w:rFonts w:ascii="Arial" w:eastAsia="Times New Roman" w:hAnsi="Arial" w:cs="Arial"/>
          <w:b/>
          <w:sz w:val="20"/>
          <w:lang w:val="en-GB" w:eastAsia="en-US"/>
        </w:rPr>
      </w:pPr>
      <w:r>
        <w:rPr>
          <w:rFonts w:ascii="Arial" w:eastAsia="Times New Roman" w:hAnsi="Arial" w:cs="Arial"/>
          <w:b/>
          <w:sz w:val="20"/>
          <w:lang w:val="en-GB" w:eastAsia="en-US"/>
        </w:rPr>
        <w:br w:type="page"/>
      </w:r>
      <w:r w:rsidR="00150BBC" w:rsidRPr="001D63F1">
        <w:rPr>
          <w:rFonts w:ascii="Arial" w:eastAsia="Times New Roman" w:hAnsi="Arial" w:cs="Arial"/>
          <w:b/>
          <w:sz w:val="20"/>
          <w:lang w:val="en-GB" w:eastAsia="en-US"/>
        </w:rPr>
        <w:t>Appendix 1</w:t>
      </w:r>
      <w:r w:rsidRPr="001D63F1">
        <w:rPr>
          <w:rFonts w:ascii="Arial" w:eastAsia="Times New Roman" w:hAnsi="Arial" w:cs="Arial"/>
          <w:b/>
          <w:sz w:val="20"/>
          <w:lang w:val="en-GB" w:eastAsia="en-US"/>
        </w:rPr>
        <w:t xml:space="preserve"> Part 2: Variations to Defined Terms</w:t>
      </w:r>
    </w:p>
    <w:p w:rsidR="002838DC" w:rsidRDefault="002838DC" w:rsidP="002838DC">
      <w:pPr>
        <w:spacing w:after="0"/>
        <w:rPr>
          <w:rFonts w:ascii="Arial" w:eastAsia="Times New Roman" w:hAnsi="Arial" w:cs="Arial"/>
          <w:b/>
          <w:sz w:val="20"/>
          <w:lang w:val="en-GB" w:eastAsia="en-US"/>
        </w:rPr>
      </w:pPr>
    </w:p>
    <w:p w:rsidR="002838DC" w:rsidRDefault="001979B2" w:rsidP="002838DC">
      <w:p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With effect from 1 April 2018, d</w:t>
      </w:r>
      <w:r w:rsidR="002838DC">
        <w:rPr>
          <w:rFonts w:ascii="Arial" w:eastAsia="Times New Roman" w:hAnsi="Arial" w:cs="Arial"/>
          <w:sz w:val="20"/>
          <w:lang w:val="en-GB" w:eastAsia="en-US"/>
        </w:rPr>
        <w:t>elete the definitions given to the following defined terms and replace with the amended definitions as follows or where applicable vary the defined term as described below (and, where the defined term itself is amended, any use in the Contract of the original term is to be read as the amended term):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2: Variations to Defined Terms"/>
      </w:tblPr>
      <w:tblGrid>
        <w:gridCol w:w="2142"/>
        <w:gridCol w:w="6287"/>
      </w:tblGrid>
      <w:tr w:rsidR="002838DC" w:rsidRPr="00A66659" w:rsidTr="002838DC">
        <w:trPr>
          <w:tblHeader/>
        </w:trPr>
        <w:tc>
          <w:tcPr>
            <w:tcW w:w="2142" w:type="dxa"/>
            <w:tcBorders>
              <w:top w:val="single" w:sz="4" w:space="0" w:color="auto"/>
              <w:left w:val="single" w:sz="4" w:space="0" w:color="auto"/>
              <w:bottom w:val="single" w:sz="4" w:space="0" w:color="auto"/>
              <w:right w:val="single" w:sz="4" w:space="0" w:color="auto"/>
            </w:tcBorders>
            <w:shd w:val="clear" w:color="auto" w:fill="C0C0C0"/>
            <w:hideMark/>
          </w:tcPr>
          <w:p w:rsidR="002838DC" w:rsidRPr="00A66659" w:rsidRDefault="002838DC">
            <w:pPr>
              <w:widowControl w:val="0"/>
              <w:spacing w:after="0"/>
              <w:rPr>
                <w:rFonts w:ascii="Arial" w:eastAsia="Times New Roman" w:hAnsi="Arial" w:cs="Arial"/>
                <w:b/>
                <w:bCs/>
                <w:sz w:val="20"/>
                <w:lang w:val="en-GB" w:eastAsia="en-US"/>
              </w:rPr>
            </w:pPr>
            <w:r w:rsidRPr="00A66659">
              <w:rPr>
                <w:rFonts w:ascii="Arial" w:eastAsia="Times New Roman" w:hAnsi="Arial" w:cs="Arial"/>
                <w:b/>
                <w:bCs/>
                <w:sz w:val="20"/>
                <w:lang w:val="en-GB" w:eastAsia="en-US"/>
              </w:rPr>
              <w:t>Term:</w:t>
            </w:r>
          </w:p>
        </w:tc>
        <w:tc>
          <w:tcPr>
            <w:tcW w:w="6287" w:type="dxa"/>
            <w:tcBorders>
              <w:top w:val="single" w:sz="4" w:space="0" w:color="auto"/>
              <w:left w:val="single" w:sz="4" w:space="0" w:color="auto"/>
              <w:bottom w:val="single" w:sz="4" w:space="0" w:color="auto"/>
              <w:right w:val="single" w:sz="4" w:space="0" w:color="auto"/>
            </w:tcBorders>
            <w:shd w:val="clear" w:color="auto" w:fill="C0C0C0"/>
          </w:tcPr>
          <w:p w:rsidR="002838DC" w:rsidRPr="00A66659" w:rsidRDefault="002838DC">
            <w:pPr>
              <w:widowControl w:val="0"/>
              <w:tabs>
                <w:tab w:val="left" w:pos="0"/>
                <w:tab w:val="num" w:pos="2160"/>
                <w:tab w:val="num" w:pos="2880"/>
              </w:tabs>
              <w:spacing w:after="0"/>
              <w:jc w:val="both"/>
              <w:rPr>
                <w:rFonts w:ascii="Arial" w:eastAsia="Times New Roman" w:hAnsi="Arial" w:cs="Arial"/>
                <w:b/>
                <w:sz w:val="20"/>
                <w:lang w:val="en-GB" w:eastAsia="en-US"/>
              </w:rPr>
            </w:pPr>
            <w:r w:rsidRPr="00A66659">
              <w:rPr>
                <w:rFonts w:ascii="Arial" w:eastAsia="Times New Roman" w:hAnsi="Arial" w:cs="Arial"/>
                <w:b/>
                <w:sz w:val="20"/>
                <w:lang w:val="en-GB" w:eastAsia="en-US"/>
              </w:rPr>
              <w:t>Amended definition or amendment to defined term</w:t>
            </w:r>
          </w:p>
          <w:p w:rsidR="002838DC" w:rsidRPr="00A66659" w:rsidRDefault="002838DC">
            <w:pPr>
              <w:spacing w:after="0"/>
              <w:rPr>
                <w:rFonts w:ascii="Arial" w:eastAsia="Times New Roman" w:hAnsi="Arial" w:cs="Arial"/>
                <w:sz w:val="20"/>
                <w:lang w:val="en-GB" w:eastAsia="en-US"/>
              </w:rPr>
            </w:pPr>
          </w:p>
        </w:tc>
      </w:tr>
      <w:tr w:rsidR="007D7A7B" w:rsidRPr="00A66659" w:rsidTr="004050C4">
        <w:tc>
          <w:tcPr>
            <w:tcW w:w="2142" w:type="dxa"/>
            <w:tcBorders>
              <w:top w:val="single" w:sz="4" w:space="0" w:color="auto"/>
              <w:left w:val="single" w:sz="4" w:space="0" w:color="auto"/>
              <w:bottom w:val="single" w:sz="4" w:space="0" w:color="auto"/>
              <w:right w:val="single" w:sz="4" w:space="0" w:color="auto"/>
            </w:tcBorders>
          </w:tcPr>
          <w:p w:rsidR="007D7A7B" w:rsidRPr="007D7ED2" w:rsidRDefault="007D7A7B" w:rsidP="001836C2">
            <w:pPr>
              <w:spacing w:before="120" w:after="120"/>
              <w:rPr>
                <w:rFonts w:ascii="Arial" w:hAnsi="Arial" w:cs="Arial"/>
                <w:b/>
                <w:sz w:val="20"/>
              </w:rPr>
            </w:pPr>
            <w:r w:rsidRPr="007D7A7B">
              <w:rPr>
                <w:rFonts w:ascii="Arial" w:hAnsi="Arial" w:cs="Arial"/>
                <w:b/>
                <w:sz w:val="20"/>
              </w:rPr>
              <w:t>Commercial Contract Research Study</w:t>
            </w:r>
          </w:p>
        </w:tc>
        <w:tc>
          <w:tcPr>
            <w:tcW w:w="6287" w:type="dxa"/>
            <w:tcBorders>
              <w:top w:val="single" w:sz="4" w:space="0" w:color="auto"/>
              <w:left w:val="single" w:sz="4" w:space="0" w:color="auto"/>
              <w:bottom w:val="single" w:sz="4" w:space="0" w:color="auto"/>
              <w:right w:val="single" w:sz="4" w:space="0" w:color="auto"/>
            </w:tcBorders>
          </w:tcPr>
          <w:p w:rsidR="007D7A7B" w:rsidRPr="007D7A7B" w:rsidRDefault="007D7A7B" w:rsidP="001836C2">
            <w:pPr>
              <w:spacing w:before="120" w:after="120"/>
              <w:rPr>
                <w:rFonts w:ascii="Arial" w:hAnsi="Arial" w:cs="Arial"/>
                <w:sz w:val="20"/>
              </w:rPr>
            </w:pPr>
            <w:r w:rsidRPr="007D7A7B">
              <w:rPr>
                <w:rFonts w:ascii="Arial" w:eastAsia="Calibri" w:hAnsi="Arial" w:cs="Arial"/>
                <w:sz w:val="20"/>
                <w:lang w:val="en-GB" w:eastAsia="en-US"/>
              </w:rPr>
              <w:t>a research project that is fully sponsored and fully funded by a commercial company</w:t>
            </w:r>
          </w:p>
        </w:tc>
      </w:tr>
      <w:tr w:rsidR="00904DE7" w:rsidRPr="00A66659" w:rsidTr="004050C4">
        <w:tc>
          <w:tcPr>
            <w:tcW w:w="2142" w:type="dxa"/>
            <w:tcBorders>
              <w:top w:val="single" w:sz="4" w:space="0" w:color="auto"/>
              <w:left w:val="single" w:sz="4" w:space="0" w:color="auto"/>
              <w:bottom w:val="single" w:sz="4" w:space="0" w:color="auto"/>
              <w:right w:val="single" w:sz="4" w:space="0" w:color="auto"/>
            </w:tcBorders>
          </w:tcPr>
          <w:p w:rsidR="00904DE7" w:rsidRPr="007D7A7B" w:rsidRDefault="00904DE7" w:rsidP="001836C2">
            <w:pPr>
              <w:spacing w:before="120" w:after="120"/>
              <w:rPr>
                <w:rFonts w:ascii="Arial" w:hAnsi="Arial" w:cs="Arial"/>
                <w:b/>
                <w:sz w:val="20"/>
              </w:rPr>
            </w:pPr>
            <w:r w:rsidRPr="00904DE7">
              <w:rPr>
                <w:rFonts w:ascii="Arial" w:eastAsia="Times New Roman" w:hAnsi="Arial" w:cs="Arial"/>
                <w:b/>
                <w:sz w:val="20"/>
                <w:lang w:val="en-GB" w:eastAsia="en-GB"/>
              </w:rPr>
              <w:t>e-Invoicing Guidance</w:t>
            </w:r>
          </w:p>
        </w:tc>
        <w:tc>
          <w:tcPr>
            <w:tcW w:w="6287" w:type="dxa"/>
            <w:tcBorders>
              <w:top w:val="single" w:sz="4" w:space="0" w:color="auto"/>
              <w:left w:val="single" w:sz="4" w:space="0" w:color="auto"/>
              <w:bottom w:val="single" w:sz="4" w:space="0" w:color="auto"/>
              <w:right w:val="single" w:sz="4" w:space="0" w:color="auto"/>
            </w:tcBorders>
          </w:tcPr>
          <w:p w:rsidR="00904DE7" w:rsidRPr="007D7A7B" w:rsidRDefault="00904DE7" w:rsidP="001836C2">
            <w:pPr>
              <w:spacing w:before="120" w:after="120"/>
              <w:ind w:right="43"/>
              <w:jc w:val="both"/>
              <w:rPr>
                <w:rFonts w:ascii="Arial" w:eastAsia="Calibri" w:hAnsi="Arial" w:cs="Arial"/>
                <w:sz w:val="20"/>
                <w:lang w:val="en-GB" w:eastAsia="en-US"/>
              </w:rPr>
            </w:pPr>
            <w:r w:rsidRPr="00904DE7">
              <w:rPr>
                <w:rFonts w:ascii="Arial" w:eastAsia="Times New Roman" w:hAnsi="Arial" w:cs="Arial"/>
                <w:sz w:val="20"/>
                <w:lang w:val="en-GB" w:eastAsia="en-GB"/>
              </w:rPr>
              <w:t xml:space="preserve">guidance relating to the application and use of the NHS Shared Business Services e-Invoicing Platform, available at: </w:t>
            </w:r>
            <w:r w:rsidRPr="00904DE7">
              <w:rPr>
                <w:rFonts w:ascii="Arial" w:hAnsi="Arial" w:cs="Arial"/>
                <w:color w:val="0000FF"/>
                <w:sz w:val="20"/>
                <w:u w:val="single"/>
              </w:rPr>
              <w:t>https://networkgrowth.s3.amazonaws.com/Tradeshift%20Supplier%20Training%20Guide.pdf</w:t>
            </w:r>
          </w:p>
        </w:tc>
      </w:tr>
      <w:tr w:rsidR="00E6771B" w:rsidRPr="00A66659" w:rsidTr="004050C4">
        <w:tc>
          <w:tcPr>
            <w:tcW w:w="2142" w:type="dxa"/>
            <w:tcBorders>
              <w:top w:val="single" w:sz="4" w:space="0" w:color="auto"/>
              <w:left w:val="single" w:sz="4" w:space="0" w:color="auto"/>
              <w:bottom w:val="single" w:sz="4" w:space="0" w:color="auto"/>
              <w:right w:val="single" w:sz="4" w:space="0" w:color="auto"/>
            </w:tcBorders>
          </w:tcPr>
          <w:p w:rsidR="00E6771B" w:rsidRPr="007D7A7B" w:rsidRDefault="00E6771B" w:rsidP="001836C2">
            <w:pPr>
              <w:spacing w:before="120" w:after="120"/>
              <w:rPr>
                <w:rFonts w:ascii="Arial" w:hAnsi="Arial" w:cs="Arial"/>
                <w:b/>
                <w:sz w:val="20"/>
              </w:rPr>
            </w:pPr>
            <w:r>
              <w:rPr>
                <w:rFonts w:ascii="Arial" w:hAnsi="Arial" w:cs="Arial"/>
                <w:b/>
                <w:sz w:val="20"/>
              </w:rPr>
              <w:t>HEE Quality Framework</w:t>
            </w:r>
          </w:p>
        </w:tc>
        <w:tc>
          <w:tcPr>
            <w:tcW w:w="6287" w:type="dxa"/>
            <w:tcBorders>
              <w:top w:val="single" w:sz="4" w:space="0" w:color="auto"/>
              <w:left w:val="single" w:sz="4" w:space="0" w:color="auto"/>
              <w:bottom w:val="single" w:sz="4" w:space="0" w:color="auto"/>
              <w:right w:val="single" w:sz="4" w:space="0" w:color="auto"/>
            </w:tcBorders>
          </w:tcPr>
          <w:p w:rsidR="00E6771B" w:rsidRPr="007D7A7B" w:rsidRDefault="00E6771B" w:rsidP="001836C2">
            <w:pPr>
              <w:spacing w:before="120" w:after="120"/>
              <w:ind w:right="43"/>
              <w:jc w:val="both"/>
              <w:rPr>
                <w:rFonts w:ascii="Arial" w:eastAsia="Calibri" w:hAnsi="Arial" w:cs="Arial"/>
                <w:bCs/>
                <w:sz w:val="20"/>
                <w:lang w:val="en-GB" w:eastAsia="en-US"/>
              </w:rPr>
            </w:pPr>
            <w:r>
              <w:rPr>
                <w:rFonts w:ascii="Arial" w:hAnsi="Arial" w:cs="Arial"/>
                <w:sz w:val="20"/>
              </w:rPr>
              <w:t xml:space="preserve">the Health Education England Quality Framework, available at: </w:t>
            </w:r>
            <w:r w:rsidRPr="00E6771B">
              <w:rPr>
                <w:rStyle w:val="Hyperlink"/>
                <w:rFonts w:ascii="Arial" w:hAnsi="Arial" w:cs="Arial"/>
                <w:sz w:val="20"/>
              </w:rPr>
              <w:t>https://hee.nhs.uk/our-work/quality</w:t>
            </w:r>
          </w:p>
        </w:tc>
      </w:tr>
      <w:tr w:rsidR="007D7A7B" w:rsidRPr="00A66659" w:rsidTr="004050C4">
        <w:tc>
          <w:tcPr>
            <w:tcW w:w="2142" w:type="dxa"/>
            <w:tcBorders>
              <w:top w:val="single" w:sz="4" w:space="0" w:color="auto"/>
              <w:left w:val="single" w:sz="4" w:space="0" w:color="auto"/>
              <w:bottom w:val="single" w:sz="4" w:space="0" w:color="auto"/>
              <w:right w:val="single" w:sz="4" w:space="0" w:color="auto"/>
            </w:tcBorders>
          </w:tcPr>
          <w:p w:rsidR="007D7A7B" w:rsidRPr="007D7A7B" w:rsidRDefault="007D7A7B" w:rsidP="001836C2">
            <w:pPr>
              <w:spacing w:before="120" w:after="120"/>
              <w:rPr>
                <w:rFonts w:ascii="Arial" w:hAnsi="Arial" w:cs="Arial"/>
                <w:b/>
                <w:sz w:val="20"/>
              </w:rPr>
            </w:pPr>
            <w:r w:rsidRPr="007D7A7B">
              <w:rPr>
                <w:rFonts w:ascii="Arial" w:hAnsi="Arial" w:cs="Arial"/>
                <w:b/>
                <w:sz w:val="20"/>
              </w:rPr>
              <w:t>HRA/NIHR Research Reporting Guidance</w:t>
            </w:r>
          </w:p>
        </w:tc>
        <w:tc>
          <w:tcPr>
            <w:tcW w:w="6287" w:type="dxa"/>
            <w:tcBorders>
              <w:top w:val="single" w:sz="4" w:space="0" w:color="auto"/>
              <w:left w:val="single" w:sz="4" w:space="0" w:color="auto"/>
              <w:bottom w:val="single" w:sz="4" w:space="0" w:color="auto"/>
              <w:right w:val="single" w:sz="4" w:space="0" w:color="auto"/>
            </w:tcBorders>
          </w:tcPr>
          <w:p w:rsidR="007D7A7B" w:rsidRPr="007D7A7B" w:rsidRDefault="007D7A7B" w:rsidP="001836C2">
            <w:pPr>
              <w:spacing w:before="120" w:after="120"/>
              <w:rPr>
                <w:rFonts w:ascii="Arial" w:eastAsia="Calibri" w:hAnsi="Arial" w:cs="Arial"/>
                <w:sz w:val="20"/>
                <w:lang w:val="en-GB" w:eastAsia="en-US"/>
              </w:rPr>
            </w:pPr>
            <w:r w:rsidRPr="007D7A7B">
              <w:rPr>
                <w:rFonts w:ascii="Arial" w:eastAsia="Calibri" w:hAnsi="Arial" w:cs="Arial"/>
                <w:bCs/>
                <w:sz w:val="20"/>
                <w:lang w:val="en-GB" w:eastAsia="en-US"/>
              </w:rPr>
              <w:t xml:space="preserve">the guidance published by the Health Research Authority and the National Institute for Health Research regarding publication by any Provider of data showing the progress of research studies in which that Provider is participating, available at </w:t>
            </w:r>
            <w:hyperlink r:id="rId14" w:history="1">
              <w:r w:rsidRPr="007D7A7B">
                <w:rPr>
                  <w:rFonts w:ascii="Arial" w:eastAsia="Calibri" w:hAnsi="Arial" w:cs="Arial"/>
                  <w:bCs/>
                  <w:color w:val="0000FF"/>
                  <w:sz w:val="20"/>
                  <w:u w:val="single"/>
                  <w:lang w:val="en-GB" w:eastAsia="en-US"/>
                </w:rPr>
                <w:t>https://www.nihr.ac.uk/research-and-impact/nhs-research-performance/hra-approvals-and-nihr-metrics.htm</w:t>
              </w:r>
            </w:hyperlink>
          </w:p>
        </w:tc>
      </w:tr>
      <w:tr w:rsidR="00710BF8" w:rsidRPr="00A66659" w:rsidTr="004050C4">
        <w:tc>
          <w:tcPr>
            <w:tcW w:w="2142" w:type="dxa"/>
            <w:tcBorders>
              <w:top w:val="single" w:sz="4" w:space="0" w:color="auto"/>
              <w:left w:val="single" w:sz="4" w:space="0" w:color="auto"/>
              <w:bottom w:val="single" w:sz="4" w:space="0" w:color="auto"/>
              <w:right w:val="single" w:sz="4" w:space="0" w:color="auto"/>
            </w:tcBorders>
          </w:tcPr>
          <w:p w:rsidR="00710BF8" w:rsidRPr="007D7A7B" w:rsidRDefault="00710BF8" w:rsidP="001836C2">
            <w:pPr>
              <w:spacing w:before="120" w:after="120"/>
              <w:rPr>
                <w:rFonts w:ascii="Arial" w:hAnsi="Arial" w:cs="Arial"/>
                <w:b/>
                <w:sz w:val="20"/>
              </w:rPr>
            </w:pPr>
            <w:r>
              <w:rPr>
                <w:rFonts w:ascii="Arial" w:hAnsi="Arial" w:cs="Arial"/>
                <w:b/>
                <w:sz w:val="20"/>
              </w:rPr>
              <w:t xml:space="preserve">National Clinical Audit and Patient Outcomes </w:t>
            </w:r>
            <w:proofErr w:type="spellStart"/>
            <w:r>
              <w:rPr>
                <w:rFonts w:ascii="Arial" w:hAnsi="Arial" w:cs="Arial"/>
                <w:b/>
                <w:sz w:val="20"/>
              </w:rPr>
              <w:t>Programme</w:t>
            </w:r>
            <w:proofErr w:type="spellEnd"/>
          </w:p>
        </w:tc>
        <w:tc>
          <w:tcPr>
            <w:tcW w:w="6287" w:type="dxa"/>
            <w:tcBorders>
              <w:top w:val="single" w:sz="4" w:space="0" w:color="auto"/>
              <w:left w:val="single" w:sz="4" w:space="0" w:color="auto"/>
              <w:bottom w:val="single" w:sz="4" w:space="0" w:color="auto"/>
              <w:right w:val="single" w:sz="4" w:space="0" w:color="auto"/>
            </w:tcBorders>
          </w:tcPr>
          <w:p w:rsidR="00710BF8" w:rsidRPr="007D7A7B" w:rsidRDefault="00710BF8" w:rsidP="001836C2">
            <w:pPr>
              <w:spacing w:before="120" w:after="120"/>
              <w:ind w:right="43"/>
              <w:jc w:val="both"/>
              <w:rPr>
                <w:rFonts w:ascii="Arial" w:eastAsia="Calibri" w:hAnsi="Arial" w:cs="Arial"/>
                <w:bCs/>
                <w:sz w:val="20"/>
                <w:lang w:eastAsia="en-US"/>
              </w:rPr>
            </w:pPr>
            <w:r>
              <w:rPr>
                <w:rFonts w:ascii="Arial" w:hAnsi="Arial" w:cs="Arial"/>
                <w:sz w:val="20"/>
              </w:rPr>
              <w:t xml:space="preserve">a set of centrally commissioned national clinical audits that measure </w:t>
            </w:r>
            <w:r w:rsidRPr="00710BF8">
              <w:rPr>
                <w:rFonts w:ascii="Arial" w:hAnsi="Arial" w:cs="Arial"/>
                <w:sz w:val="20"/>
              </w:rPr>
              <w:t xml:space="preserve">Provider performance against national quality standards or evidence-based best practice, and allows comparisons to be made between provider </w:t>
            </w:r>
            <w:proofErr w:type="spellStart"/>
            <w:r w:rsidRPr="00710BF8">
              <w:rPr>
                <w:rFonts w:ascii="Arial" w:hAnsi="Arial" w:cs="Arial"/>
                <w:sz w:val="20"/>
              </w:rPr>
              <w:t>organisations</w:t>
            </w:r>
            <w:proofErr w:type="spellEnd"/>
            <w:r w:rsidRPr="00710BF8">
              <w:rPr>
                <w:rFonts w:ascii="Arial" w:hAnsi="Arial" w:cs="Arial"/>
                <w:sz w:val="20"/>
              </w:rPr>
              <w:t xml:space="preserve"> to improve the quality and outcomes of care </w:t>
            </w:r>
            <w:r w:rsidRPr="00710BF8">
              <w:rPr>
                <w:rStyle w:val="Hyperlink"/>
                <w:rFonts w:ascii="Arial" w:hAnsi="Arial" w:cs="Arial"/>
                <w:sz w:val="20"/>
              </w:rPr>
              <w:t>https://www.hqip.org.uk/national-programmes/#.WuoR4U9lJMw</w:t>
            </w:r>
          </w:p>
        </w:tc>
      </w:tr>
      <w:tr w:rsidR="007D7A7B" w:rsidRPr="00A66659" w:rsidTr="004050C4">
        <w:tc>
          <w:tcPr>
            <w:tcW w:w="2142" w:type="dxa"/>
            <w:tcBorders>
              <w:top w:val="single" w:sz="4" w:space="0" w:color="auto"/>
              <w:left w:val="single" w:sz="4" w:space="0" w:color="auto"/>
              <w:bottom w:val="single" w:sz="4" w:space="0" w:color="auto"/>
              <w:right w:val="single" w:sz="4" w:space="0" w:color="auto"/>
            </w:tcBorders>
          </w:tcPr>
          <w:p w:rsidR="007D7A7B" w:rsidRPr="007D7A7B" w:rsidRDefault="007D7A7B" w:rsidP="001836C2">
            <w:pPr>
              <w:spacing w:before="120" w:after="120"/>
              <w:rPr>
                <w:rFonts w:ascii="Arial" w:hAnsi="Arial" w:cs="Arial"/>
                <w:b/>
                <w:sz w:val="20"/>
              </w:rPr>
            </w:pPr>
            <w:r w:rsidRPr="007D7A7B">
              <w:rPr>
                <w:rFonts w:ascii="Arial" w:hAnsi="Arial" w:cs="Arial"/>
                <w:b/>
                <w:sz w:val="20"/>
              </w:rPr>
              <w:t>National Directive on Commercial Contract Research Studies</w:t>
            </w:r>
          </w:p>
        </w:tc>
        <w:tc>
          <w:tcPr>
            <w:tcW w:w="6287" w:type="dxa"/>
            <w:tcBorders>
              <w:top w:val="single" w:sz="4" w:space="0" w:color="auto"/>
              <w:left w:val="single" w:sz="4" w:space="0" w:color="auto"/>
              <w:bottom w:val="single" w:sz="4" w:space="0" w:color="auto"/>
              <w:right w:val="single" w:sz="4" w:space="0" w:color="auto"/>
            </w:tcBorders>
          </w:tcPr>
          <w:p w:rsidR="007D7A7B" w:rsidRPr="007D7A7B" w:rsidRDefault="007D7A7B" w:rsidP="001836C2">
            <w:pPr>
              <w:spacing w:before="120" w:after="120"/>
              <w:rPr>
                <w:rFonts w:ascii="Arial" w:eastAsia="Calibri" w:hAnsi="Arial" w:cs="Arial"/>
                <w:bCs/>
                <w:sz w:val="20"/>
                <w:lang w:eastAsia="en-US"/>
              </w:rPr>
            </w:pPr>
            <w:r w:rsidRPr="007D7A7B">
              <w:rPr>
                <w:rFonts w:ascii="Arial" w:eastAsia="Calibri" w:hAnsi="Arial" w:cs="Arial"/>
                <w:bCs/>
                <w:sz w:val="20"/>
                <w:lang w:eastAsia="en-US"/>
              </w:rPr>
              <w:t>the mandatory requirements governing participation by Providers in Commercial Research Studies, published jointly by NHS England, the National Institute for Health Research and the Health Research Authori</w:t>
            </w:r>
            <w:r w:rsidR="009A447A">
              <w:rPr>
                <w:rFonts w:ascii="Arial" w:eastAsia="Calibri" w:hAnsi="Arial" w:cs="Arial"/>
                <w:bCs/>
                <w:sz w:val="20"/>
                <w:lang w:eastAsia="en-US"/>
              </w:rPr>
              <w:t>ty from time to time, including</w:t>
            </w:r>
          </w:p>
          <w:p w:rsidR="007D7A7B" w:rsidRPr="007D7A7B" w:rsidRDefault="007D7A7B" w:rsidP="001836C2">
            <w:pPr>
              <w:numPr>
                <w:ilvl w:val="0"/>
                <w:numId w:val="26"/>
              </w:numPr>
              <w:spacing w:before="120" w:after="120" w:line="276" w:lineRule="auto"/>
              <w:rPr>
                <w:rFonts w:ascii="Arial" w:eastAsia="Calibri" w:hAnsi="Arial" w:cs="Arial"/>
                <w:bCs/>
                <w:sz w:val="20"/>
                <w:lang w:eastAsia="en-US"/>
              </w:rPr>
            </w:pPr>
            <w:r w:rsidRPr="007D7A7B">
              <w:rPr>
                <w:rFonts w:ascii="Arial" w:eastAsia="Calibri" w:hAnsi="Arial" w:cs="Arial"/>
                <w:bCs/>
                <w:sz w:val="20"/>
                <w:lang w:eastAsia="en-US"/>
              </w:rPr>
              <w:t>a methodology for setting prices payable by research sponsors to Providers for their participation; and</w:t>
            </w:r>
          </w:p>
          <w:p w:rsidR="007D7A7B" w:rsidRPr="007D7A7B" w:rsidRDefault="007D7A7B" w:rsidP="001836C2">
            <w:pPr>
              <w:numPr>
                <w:ilvl w:val="0"/>
                <w:numId w:val="26"/>
              </w:numPr>
              <w:spacing w:before="120" w:after="120" w:line="276" w:lineRule="auto"/>
              <w:rPr>
                <w:rFonts w:ascii="Arial" w:eastAsia="Calibri" w:hAnsi="Arial" w:cs="Arial"/>
                <w:bCs/>
                <w:sz w:val="20"/>
                <w:lang w:val="en-GB" w:eastAsia="en-US"/>
              </w:rPr>
            </w:pPr>
            <w:r w:rsidRPr="007D7A7B">
              <w:rPr>
                <w:rFonts w:ascii="Arial" w:eastAsia="Calibri" w:hAnsi="Arial" w:cs="Arial"/>
                <w:bCs/>
                <w:sz w:val="20"/>
                <w:lang w:eastAsia="en-US"/>
              </w:rPr>
              <w:t>other contractual terms and conditions to apply to Provider participation</w:t>
            </w:r>
          </w:p>
        </w:tc>
      </w:tr>
      <w:tr w:rsidR="007D7A7B" w:rsidRPr="00A66659" w:rsidTr="004050C4">
        <w:tc>
          <w:tcPr>
            <w:tcW w:w="2142" w:type="dxa"/>
            <w:tcBorders>
              <w:top w:val="single" w:sz="4" w:space="0" w:color="auto"/>
              <w:left w:val="single" w:sz="4" w:space="0" w:color="auto"/>
              <w:bottom w:val="single" w:sz="4" w:space="0" w:color="auto"/>
              <w:right w:val="single" w:sz="4" w:space="0" w:color="auto"/>
            </w:tcBorders>
          </w:tcPr>
          <w:p w:rsidR="007D7A7B" w:rsidRPr="007D7ED2" w:rsidRDefault="007D7A7B" w:rsidP="001836C2">
            <w:pPr>
              <w:spacing w:before="120" w:after="120"/>
              <w:rPr>
                <w:rFonts w:ascii="Arial" w:hAnsi="Arial" w:cs="Arial"/>
                <w:b/>
                <w:sz w:val="20"/>
              </w:rPr>
            </w:pPr>
            <w:r w:rsidRPr="007D7A7B">
              <w:rPr>
                <w:rFonts w:ascii="Arial" w:hAnsi="Arial" w:cs="Arial"/>
                <w:b/>
                <w:sz w:val="20"/>
              </w:rPr>
              <w:t>National Institute for Health Research</w:t>
            </w:r>
          </w:p>
        </w:tc>
        <w:tc>
          <w:tcPr>
            <w:tcW w:w="6287" w:type="dxa"/>
            <w:tcBorders>
              <w:top w:val="single" w:sz="4" w:space="0" w:color="auto"/>
              <w:left w:val="single" w:sz="4" w:space="0" w:color="auto"/>
              <w:bottom w:val="single" w:sz="4" w:space="0" w:color="auto"/>
              <w:right w:val="single" w:sz="4" w:space="0" w:color="auto"/>
            </w:tcBorders>
          </w:tcPr>
          <w:p w:rsidR="007D7A7B" w:rsidRPr="007D7A7B" w:rsidRDefault="007D7A7B" w:rsidP="001836C2">
            <w:pPr>
              <w:spacing w:before="120" w:after="120"/>
              <w:rPr>
                <w:rFonts w:ascii="Arial" w:hAnsi="Arial" w:cs="Arial"/>
                <w:sz w:val="20"/>
              </w:rPr>
            </w:pPr>
            <w:r w:rsidRPr="007D7A7B">
              <w:rPr>
                <w:rFonts w:ascii="Arial" w:eastAsia="Calibri" w:hAnsi="Arial" w:cs="Arial"/>
                <w:bCs/>
                <w:sz w:val="20"/>
                <w:lang w:val="en-GB" w:eastAsia="en-US"/>
              </w:rPr>
              <w:t>the organisation established by the Department of Health to transform research in the NHS</w:t>
            </w:r>
          </w:p>
        </w:tc>
      </w:tr>
      <w:tr w:rsidR="00710BF8" w:rsidRPr="00A66659" w:rsidTr="004050C4">
        <w:tc>
          <w:tcPr>
            <w:tcW w:w="2142" w:type="dxa"/>
            <w:tcBorders>
              <w:top w:val="single" w:sz="4" w:space="0" w:color="auto"/>
              <w:left w:val="single" w:sz="4" w:space="0" w:color="auto"/>
              <w:bottom w:val="single" w:sz="4" w:space="0" w:color="auto"/>
              <w:right w:val="single" w:sz="4" w:space="0" w:color="auto"/>
            </w:tcBorders>
          </w:tcPr>
          <w:p w:rsidR="00710BF8" w:rsidRPr="007D7ED2" w:rsidRDefault="00710BF8" w:rsidP="001836C2">
            <w:pPr>
              <w:spacing w:before="120" w:after="120"/>
              <w:rPr>
                <w:rFonts w:ascii="Arial" w:hAnsi="Arial" w:cs="Arial"/>
                <w:b/>
                <w:sz w:val="20"/>
              </w:rPr>
            </w:pPr>
            <w:r>
              <w:rPr>
                <w:rFonts w:ascii="Arial" w:hAnsi="Arial" w:cs="Arial"/>
                <w:b/>
                <w:sz w:val="20"/>
              </w:rPr>
              <w:t>National Service Specifications</w:t>
            </w:r>
          </w:p>
        </w:tc>
        <w:tc>
          <w:tcPr>
            <w:tcW w:w="6287" w:type="dxa"/>
            <w:tcBorders>
              <w:top w:val="single" w:sz="4" w:space="0" w:color="auto"/>
              <w:left w:val="single" w:sz="4" w:space="0" w:color="auto"/>
              <w:bottom w:val="single" w:sz="4" w:space="0" w:color="auto"/>
              <w:right w:val="single" w:sz="4" w:space="0" w:color="auto"/>
            </w:tcBorders>
          </w:tcPr>
          <w:p w:rsidR="00710BF8" w:rsidRPr="00710BF8" w:rsidRDefault="00710BF8" w:rsidP="001836C2">
            <w:pPr>
              <w:spacing w:before="120" w:after="120"/>
              <w:ind w:right="43"/>
              <w:jc w:val="both"/>
              <w:rPr>
                <w:rFonts w:ascii="Arial" w:hAnsi="Arial" w:cs="Arial"/>
                <w:sz w:val="20"/>
              </w:rPr>
            </w:pPr>
            <w:r>
              <w:rPr>
                <w:rFonts w:ascii="Arial" w:hAnsi="Arial" w:cs="Arial"/>
                <w:sz w:val="20"/>
              </w:rPr>
              <w:t xml:space="preserve">the Service Specifications published by NHS England for prescribed </w:t>
            </w:r>
            <w:proofErr w:type="spellStart"/>
            <w:r>
              <w:rPr>
                <w:rFonts w:ascii="Arial" w:hAnsi="Arial" w:cs="Arial"/>
                <w:sz w:val="20"/>
              </w:rPr>
              <w:t>specialised</w:t>
            </w:r>
            <w:proofErr w:type="spellEnd"/>
            <w:r>
              <w:rPr>
                <w:rFonts w:ascii="Arial" w:hAnsi="Arial" w:cs="Arial"/>
                <w:sz w:val="20"/>
              </w:rPr>
              <w:t xml:space="preserve"> services, available via:</w:t>
            </w:r>
          </w:p>
          <w:p w:rsidR="00710BF8" w:rsidRPr="007D7ED2" w:rsidRDefault="0069669B" w:rsidP="001836C2">
            <w:pPr>
              <w:spacing w:before="120" w:after="120"/>
              <w:ind w:right="43"/>
              <w:jc w:val="both"/>
              <w:rPr>
                <w:rFonts w:ascii="Arial" w:hAnsi="Arial" w:cs="Arial"/>
                <w:sz w:val="20"/>
              </w:rPr>
            </w:pPr>
            <w:hyperlink r:id="rId15" w:history="1">
              <w:r w:rsidR="00710BF8" w:rsidRPr="00710BF8">
                <w:rPr>
                  <w:rStyle w:val="Hyperlink"/>
                  <w:rFonts w:ascii="Arial" w:hAnsi="Arial" w:cs="Arial"/>
                  <w:sz w:val="20"/>
                </w:rPr>
                <w:t>https://www.england.nhs.uk/commissioning/spec-services/npc-crg/</w:t>
              </w:r>
            </w:hyperlink>
          </w:p>
        </w:tc>
      </w:tr>
      <w:tr w:rsidR="007D7ED2" w:rsidRPr="00A66659" w:rsidTr="004050C4">
        <w:tc>
          <w:tcPr>
            <w:tcW w:w="2142" w:type="dxa"/>
            <w:tcBorders>
              <w:top w:val="single" w:sz="4" w:space="0" w:color="auto"/>
              <w:left w:val="single" w:sz="4" w:space="0" w:color="auto"/>
              <w:bottom w:val="single" w:sz="4" w:space="0" w:color="auto"/>
              <w:right w:val="single" w:sz="4" w:space="0" w:color="auto"/>
            </w:tcBorders>
          </w:tcPr>
          <w:p w:rsidR="007D7ED2" w:rsidRPr="00B23488" w:rsidRDefault="007D7ED2" w:rsidP="001836C2">
            <w:pPr>
              <w:spacing w:before="120" w:after="120"/>
              <w:rPr>
                <w:rFonts w:ascii="Arial" w:hAnsi="Arial" w:cs="Arial"/>
                <w:b/>
                <w:sz w:val="20"/>
              </w:rPr>
            </w:pPr>
            <w:r w:rsidRPr="007D7ED2">
              <w:rPr>
                <w:rFonts w:ascii="Arial" w:hAnsi="Arial" w:cs="Arial"/>
                <w:b/>
                <w:sz w:val="20"/>
              </w:rPr>
              <w:t>Never Events Policy Framework</w:t>
            </w:r>
          </w:p>
        </w:tc>
        <w:tc>
          <w:tcPr>
            <w:tcW w:w="6287" w:type="dxa"/>
            <w:tcBorders>
              <w:top w:val="single" w:sz="4" w:space="0" w:color="auto"/>
              <w:left w:val="single" w:sz="4" w:space="0" w:color="auto"/>
              <w:bottom w:val="single" w:sz="4" w:space="0" w:color="auto"/>
              <w:right w:val="single" w:sz="4" w:space="0" w:color="auto"/>
            </w:tcBorders>
          </w:tcPr>
          <w:p w:rsidR="00710BF8" w:rsidRPr="00710BF8" w:rsidRDefault="007D7ED2" w:rsidP="001836C2">
            <w:pPr>
              <w:spacing w:before="120" w:after="120"/>
              <w:rPr>
                <w:rFonts w:ascii="Arial" w:hAnsi="Arial" w:cs="Arial"/>
                <w:color w:val="0000FF"/>
                <w:sz w:val="20"/>
                <w:u w:val="single"/>
              </w:rPr>
            </w:pPr>
            <w:r w:rsidRPr="007D7ED2">
              <w:rPr>
                <w:rFonts w:ascii="Arial" w:hAnsi="Arial" w:cs="Arial"/>
                <w:sz w:val="20"/>
              </w:rPr>
              <w:t xml:space="preserve">the </w:t>
            </w:r>
            <w:r w:rsidRPr="007D7ED2">
              <w:rPr>
                <w:rFonts w:ascii="Arial" w:hAnsi="Arial" w:cs="Arial"/>
                <w:i/>
                <w:sz w:val="20"/>
              </w:rPr>
              <w:t>Never Events Policy Framework</w:t>
            </w:r>
            <w:r w:rsidRPr="007D7ED2">
              <w:rPr>
                <w:rFonts w:ascii="Arial" w:hAnsi="Arial" w:cs="Arial"/>
                <w:sz w:val="20"/>
              </w:rPr>
              <w:t xml:space="preserve">, available at: </w:t>
            </w:r>
            <w:hyperlink r:id="rId16" w:history="1">
              <w:r w:rsidRPr="00710BF8">
                <w:rPr>
                  <w:rStyle w:val="Hyperlink"/>
                  <w:rFonts w:ascii="Arial" w:hAnsi="Arial" w:cs="Arial"/>
                  <w:sz w:val="20"/>
                </w:rPr>
                <w:t>https://improvement.nhs.uk/resources/never-events-policy-and-framework/</w:t>
              </w:r>
            </w:hyperlink>
          </w:p>
        </w:tc>
      </w:tr>
      <w:tr w:rsidR="00710BF8" w:rsidRPr="00A66659" w:rsidTr="004050C4">
        <w:tc>
          <w:tcPr>
            <w:tcW w:w="2142" w:type="dxa"/>
            <w:tcBorders>
              <w:top w:val="single" w:sz="4" w:space="0" w:color="auto"/>
              <w:left w:val="single" w:sz="4" w:space="0" w:color="auto"/>
              <w:bottom w:val="single" w:sz="4" w:space="0" w:color="auto"/>
              <w:right w:val="single" w:sz="4" w:space="0" w:color="auto"/>
            </w:tcBorders>
          </w:tcPr>
          <w:p w:rsidR="00710BF8" w:rsidRPr="00380184" w:rsidRDefault="00710BF8" w:rsidP="001836C2">
            <w:pPr>
              <w:spacing w:before="120" w:after="120"/>
              <w:rPr>
                <w:rFonts w:ascii="Arial" w:eastAsia="Times New Roman" w:hAnsi="Arial" w:cs="Arial"/>
                <w:b/>
                <w:sz w:val="20"/>
                <w:lang w:val="en-GB" w:eastAsia="en-GB"/>
              </w:rPr>
            </w:pPr>
            <w:r>
              <w:rPr>
                <w:rFonts w:ascii="Arial" w:hAnsi="Arial" w:cs="Arial"/>
                <w:b/>
                <w:sz w:val="20"/>
              </w:rPr>
              <w:t>NHS Choice Framework</w:t>
            </w:r>
          </w:p>
        </w:tc>
        <w:tc>
          <w:tcPr>
            <w:tcW w:w="6287" w:type="dxa"/>
            <w:tcBorders>
              <w:top w:val="single" w:sz="4" w:space="0" w:color="auto"/>
              <w:left w:val="single" w:sz="4" w:space="0" w:color="auto"/>
              <w:bottom w:val="single" w:sz="4" w:space="0" w:color="auto"/>
              <w:right w:val="single" w:sz="4" w:space="0" w:color="auto"/>
            </w:tcBorders>
          </w:tcPr>
          <w:p w:rsidR="00710BF8" w:rsidRPr="00710BF8" w:rsidRDefault="00710BF8" w:rsidP="001836C2">
            <w:pPr>
              <w:spacing w:before="120" w:after="120"/>
              <w:rPr>
                <w:rFonts w:cs="Arial"/>
                <w:color w:val="0000FF"/>
                <w:u w:val="single"/>
              </w:rPr>
            </w:pPr>
            <w:r>
              <w:rPr>
                <w:rFonts w:ascii="Arial" w:hAnsi="Arial" w:cs="Arial"/>
                <w:sz w:val="20"/>
              </w:rPr>
              <w:t xml:space="preserve">the framework providing information about patients’ rights to choice in the NHS: </w:t>
            </w:r>
            <w:hyperlink r:id="rId17" w:history="1">
              <w:r w:rsidRPr="00C4245E">
                <w:rPr>
                  <w:rStyle w:val="Hyperlink"/>
                  <w:rFonts w:ascii="Arial" w:hAnsi="Arial" w:cs="Arial"/>
                  <w:sz w:val="20"/>
                </w:rPr>
                <w:t>https://www.gov.uk/government/publications/the-nhs-choice-framework/the-nhs-choice-framework-what-choices-are-available-to-me-in-the-nhs</w:t>
              </w:r>
            </w:hyperlink>
          </w:p>
        </w:tc>
      </w:tr>
      <w:tr w:rsidR="00240FE4" w:rsidRPr="00A66659" w:rsidTr="004050C4">
        <w:tc>
          <w:tcPr>
            <w:tcW w:w="2142" w:type="dxa"/>
            <w:tcBorders>
              <w:top w:val="single" w:sz="4" w:space="0" w:color="auto"/>
              <w:left w:val="single" w:sz="4" w:space="0" w:color="auto"/>
              <w:bottom w:val="single" w:sz="4" w:space="0" w:color="auto"/>
              <w:right w:val="single" w:sz="4" w:space="0" w:color="auto"/>
            </w:tcBorders>
          </w:tcPr>
          <w:p w:rsidR="00240FE4" w:rsidRPr="00380184" w:rsidRDefault="00240FE4" w:rsidP="001836C2">
            <w:pPr>
              <w:spacing w:before="120" w:after="120"/>
              <w:rPr>
                <w:rFonts w:ascii="Arial" w:eastAsia="Times New Roman" w:hAnsi="Arial" w:cs="Arial"/>
                <w:b/>
                <w:sz w:val="20"/>
                <w:lang w:val="en-GB" w:eastAsia="en-GB"/>
              </w:rPr>
            </w:pPr>
            <w:r>
              <w:rPr>
                <w:rFonts w:ascii="Arial" w:hAnsi="Arial" w:cs="Arial"/>
                <w:b/>
                <w:sz w:val="20"/>
              </w:rPr>
              <w:t>NHS Clinical Classifications Service</w:t>
            </w:r>
          </w:p>
        </w:tc>
        <w:tc>
          <w:tcPr>
            <w:tcW w:w="6287" w:type="dxa"/>
            <w:tcBorders>
              <w:top w:val="single" w:sz="4" w:space="0" w:color="auto"/>
              <w:left w:val="single" w:sz="4" w:space="0" w:color="auto"/>
              <w:bottom w:val="single" w:sz="4" w:space="0" w:color="auto"/>
              <w:right w:val="single" w:sz="4" w:space="0" w:color="auto"/>
            </w:tcBorders>
          </w:tcPr>
          <w:p w:rsidR="00240FE4" w:rsidRPr="00380184" w:rsidRDefault="00240FE4" w:rsidP="001836C2">
            <w:pPr>
              <w:spacing w:before="120" w:after="120"/>
              <w:rPr>
                <w:rFonts w:ascii="Arial" w:hAnsi="Arial" w:cs="Arial"/>
                <w:sz w:val="20"/>
              </w:rPr>
            </w:pPr>
            <w:r>
              <w:rPr>
                <w:rFonts w:ascii="Arial" w:hAnsi="Arial" w:cs="Arial"/>
                <w:sz w:val="20"/>
              </w:rPr>
              <w:t xml:space="preserve">the NHS resource responsible for the delivery of national clinical classifications standards and guidance for the NHS clinical coding profession: </w:t>
            </w:r>
            <w:r w:rsidRPr="00240FE4">
              <w:rPr>
                <w:rStyle w:val="Hyperlink"/>
                <w:rFonts w:ascii="Arial" w:hAnsi="Arial" w:cs="Arial"/>
                <w:sz w:val="20"/>
              </w:rPr>
              <w:t>https://isd.digital.nhs.uk/trud3/user/guest/group/61/home</w:t>
            </w:r>
          </w:p>
        </w:tc>
      </w:tr>
      <w:tr w:rsidR="0013270B" w:rsidRPr="00A66659" w:rsidTr="004050C4">
        <w:tc>
          <w:tcPr>
            <w:tcW w:w="2142" w:type="dxa"/>
            <w:tcBorders>
              <w:top w:val="single" w:sz="4" w:space="0" w:color="auto"/>
              <w:left w:val="single" w:sz="4" w:space="0" w:color="auto"/>
              <w:bottom w:val="single" w:sz="4" w:space="0" w:color="auto"/>
              <w:right w:val="single" w:sz="4" w:space="0" w:color="auto"/>
            </w:tcBorders>
          </w:tcPr>
          <w:p w:rsidR="0013270B" w:rsidRPr="00380184" w:rsidRDefault="0013270B" w:rsidP="001836C2">
            <w:pPr>
              <w:spacing w:before="120" w:after="120"/>
              <w:rPr>
                <w:rFonts w:ascii="Arial" w:eastAsia="Times New Roman" w:hAnsi="Arial" w:cs="Arial"/>
                <w:b/>
                <w:sz w:val="20"/>
                <w:lang w:val="en-GB" w:eastAsia="en-GB"/>
              </w:rPr>
            </w:pPr>
            <w:r>
              <w:rPr>
                <w:rFonts w:ascii="Arial" w:hAnsi="Arial" w:cs="Arial"/>
                <w:b/>
                <w:sz w:val="20"/>
              </w:rPr>
              <w:t>NHS Identity Guidelines</w:t>
            </w:r>
          </w:p>
        </w:tc>
        <w:tc>
          <w:tcPr>
            <w:tcW w:w="6287" w:type="dxa"/>
            <w:tcBorders>
              <w:top w:val="single" w:sz="4" w:space="0" w:color="auto"/>
              <w:left w:val="single" w:sz="4" w:space="0" w:color="auto"/>
              <w:bottom w:val="single" w:sz="4" w:space="0" w:color="auto"/>
              <w:right w:val="single" w:sz="4" w:space="0" w:color="auto"/>
            </w:tcBorders>
          </w:tcPr>
          <w:p w:rsidR="0013270B" w:rsidRPr="00380184" w:rsidRDefault="0013270B" w:rsidP="001836C2">
            <w:pPr>
              <w:spacing w:before="120" w:after="120"/>
              <w:rPr>
                <w:rFonts w:ascii="Arial" w:hAnsi="Arial" w:cs="Arial"/>
                <w:sz w:val="20"/>
              </w:rPr>
            </w:pPr>
            <w:r>
              <w:rPr>
                <w:rFonts w:ascii="Arial" w:hAnsi="Arial" w:cs="Arial"/>
                <w:sz w:val="20"/>
              </w:rPr>
              <w:t xml:space="preserve">NHS Identity policy and guidelines, available at </w:t>
            </w:r>
            <w:r w:rsidRPr="0013270B">
              <w:rPr>
                <w:rStyle w:val="Hyperlink"/>
                <w:rFonts w:ascii="Arial" w:hAnsi="Arial" w:cs="Arial"/>
                <w:sz w:val="20"/>
              </w:rPr>
              <w:t>https://www.england.nhs.uk/nhsidentity/,</w:t>
            </w:r>
            <w:r>
              <w:rPr>
                <w:rFonts w:ascii="Arial" w:hAnsi="Arial" w:cs="Arial"/>
                <w:sz w:val="20"/>
              </w:rPr>
              <w:t xml:space="preserve"> and any other Guidance issued from time to time in relation to the NHS Identity</w:t>
            </w:r>
          </w:p>
        </w:tc>
      </w:tr>
      <w:tr w:rsidR="002838DC" w:rsidRPr="00A66659" w:rsidTr="004050C4">
        <w:tc>
          <w:tcPr>
            <w:tcW w:w="2142" w:type="dxa"/>
            <w:tcBorders>
              <w:top w:val="single" w:sz="4" w:space="0" w:color="auto"/>
              <w:left w:val="single" w:sz="4" w:space="0" w:color="auto"/>
              <w:bottom w:val="single" w:sz="4" w:space="0" w:color="auto"/>
              <w:right w:val="single" w:sz="4" w:space="0" w:color="auto"/>
            </w:tcBorders>
          </w:tcPr>
          <w:p w:rsidR="002838DC" w:rsidRPr="00A66659" w:rsidRDefault="00380184" w:rsidP="001836C2">
            <w:pPr>
              <w:spacing w:before="120" w:after="120"/>
              <w:rPr>
                <w:rFonts w:ascii="Arial" w:eastAsia="Times New Roman" w:hAnsi="Arial" w:cs="Arial"/>
                <w:b/>
                <w:sz w:val="20"/>
                <w:lang w:val="en-GB" w:eastAsia="en-US"/>
              </w:rPr>
            </w:pPr>
            <w:r w:rsidRPr="00380184">
              <w:rPr>
                <w:rFonts w:ascii="Arial" w:eastAsia="Times New Roman" w:hAnsi="Arial" w:cs="Arial"/>
                <w:b/>
                <w:sz w:val="20"/>
                <w:lang w:val="en-GB" w:eastAsia="en-GB"/>
              </w:rPr>
              <w:t>Overseas Visitor Charging Guidance</w:t>
            </w:r>
          </w:p>
        </w:tc>
        <w:tc>
          <w:tcPr>
            <w:tcW w:w="6287" w:type="dxa"/>
            <w:tcBorders>
              <w:top w:val="single" w:sz="4" w:space="0" w:color="auto"/>
              <w:left w:val="single" w:sz="4" w:space="0" w:color="auto"/>
              <w:bottom w:val="single" w:sz="4" w:space="0" w:color="auto"/>
              <w:right w:val="single" w:sz="4" w:space="0" w:color="auto"/>
            </w:tcBorders>
          </w:tcPr>
          <w:p w:rsidR="00380184" w:rsidRPr="00380184" w:rsidRDefault="00380184" w:rsidP="001836C2">
            <w:pPr>
              <w:spacing w:before="120" w:after="120"/>
              <w:rPr>
                <w:rFonts w:ascii="Arial" w:hAnsi="Arial" w:cs="Arial"/>
                <w:sz w:val="20"/>
              </w:rPr>
            </w:pPr>
            <w:r w:rsidRPr="00380184">
              <w:rPr>
                <w:rFonts w:ascii="Arial" w:hAnsi="Arial" w:cs="Arial"/>
                <w:sz w:val="20"/>
              </w:rPr>
              <w:t>any guidance issued from time to time by the Secretary of State or by NHS England on the making and recovery of charges under the Overseas Visitor Charging Regulations, including that available via:</w:t>
            </w:r>
          </w:p>
          <w:p w:rsidR="00380184" w:rsidRPr="00380184" w:rsidRDefault="00380184" w:rsidP="001836C2">
            <w:pPr>
              <w:autoSpaceDE w:val="0"/>
              <w:autoSpaceDN w:val="0"/>
              <w:adjustRightInd w:val="0"/>
              <w:spacing w:before="120" w:after="120"/>
              <w:rPr>
                <w:rStyle w:val="Hyperlink"/>
                <w:rFonts w:ascii="Arial" w:hAnsi="Arial" w:cs="Arial"/>
                <w:sz w:val="20"/>
              </w:rPr>
            </w:pPr>
            <w:r>
              <w:rPr>
                <w:rFonts w:ascii="Arial" w:hAnsi="Arial" w:cs="Arial"/>
                <w:sz w:val="20"/>
              </w:rPr>
              <w:fldChar w:fldCharType="begin"/>
            </w:r>
            <w:r>
              <w:rPr>
                <w:rFonts w:ascii="Arial" w:hAnsi="Arial" w:cs="Arial"/>
                <w:sz w:val="20"/>
              </w:rPr>
              <w:instrText xml:space="preserve"> HYPERLINK "https://www.gov.uk/government/uploads/system/uploads/attachment_data/file/666031/UPDATED_Guidance_to_Charging_Regulations_post_23_October.pdf" </w:instrText>
            </w:r>
            <w:r>
              <w:rPr>
                <w:rFonts w:ascii="Arial" w:hAnsi="Arial" w:cs="Arial"/>
                <w:sz w:val="20"/>
              </w:rPr>
              <w:fldChar w:fldCharType="separate"/>
            </w:r>
            <w:r w:rsidRPr="00380184">
              <w:rPr>
                <w:rStyle w:val="Hyperlink"/>
                <w:rFonts w:ascii="Arial" w:hAnsi="Arial" w:cs="Arial"/>
                <w:sz w:val="20"/>
              </w:rPr>
              <w:t>https://www.gov.uk/government/uploads/system/uploads/attachment_data/file/666031/UPDATED_Guidance_to_Charging_Regulations_post_23_October.pdf</w:t>
            </w:r>
          </w:p>
          <w:p w:rsidR="00380184" w:rsidRPr="00380184" w:rsidRDefault="00380184" w:rsidP="001836C2">
            <w:pPr>
              <w:autoSpaceDE w:val="0"/>
              <w:autoSpaceDN w:val="0"/>
              <w:adjustRightInd w:val="0"/>
              <w:spacing w:before="120" w:after="120"/>
              <w:rPr>
                <w:rFonts w:ascii="Arial" w:hAnsi="Arial" w:cs="Arial"/>
                <w:sz w:val="20"/>
              </w:rPr>
            </w:pPr>
            <w:r>
              <w:rPr>
                <w:rFonts w:ascii="Arial" w:hAnsi="Arial" w:cs="Arial"/>
                <w:sz w:val="20"/>
              </w:rPr>
              <w:fldChar w:fldCharType="end"/>
            </w:r>
            <w:r w:rsidRPr="00380184">
              <w:rPr>
                <w:rFonts w:ascii="Arial" w:hAnsi="Arial" w:cs="Arial"/>
                <w:sz w:val="20"/>
              </w:rPr>
              <w:t>and</w:t>
            </w:r>
          </w:p>
          <w:p w:rsidR="002838DC" w:rsidRPr="00380184" w:rsidRDefault="0069669B" w:rsidP="001836C2">
            <w:pPr>
              <w:spacing w:before="120" w:after="120"/>
              <w:rPr>
                <w:rFonts w:ascii="Arial" w:hAnsi="Arial" w:cs="Arial"/>
                <w:sz w:val="20"/>
              </w:rPr>
            </w:pPr>
            <w:hyperlink r:id="rId18" w:history="1">
              <w:r w:rsidR="00380184" w:rsidRPr="00380184">
                <w:rPr>
                  <w:rStyle w:val="Hyperlink"/>
                  <w:rFonts w:ascii="Arial" w:hAnsi="Arial" w:cs="Arial"/>
                  <w:sz w:val="20"/>
                </w:rPr>
                <w:t>https://www.england.nhs.uk/publication/improving-systems-for-cost-recovery-for-overseas-visitors/</w:t>
              </w:r>
            </w:hyperlink>
          </w:p>
        </w:tc>
      </w:tr>
      <w:tr w:rsidR="009A447A" w:rsidRPr="00A66659" w:rsidTr="004050C4">
        <w:tc>
          <w:tcPr>
            <w:tcW w:w="2142" w:type="dxa"/>
            <w:tcBorders>
              <w:top w:val="single" w:sz="4" w:space="0" w:color="auto"/>
              <w:left w:val="single" w:sz="4" w:space="0" w:color="auto"/>
              <w:bottom w:val="single" w:sz="4" w:space="0" w:color="auto"/>
              <w:right w:val="single" w:sz="4" w:space="0" w:color="auto"/>
            </w:tcBorders>
          </w:tcPr>
          <w:p w:rsidR="009A447A" w:rsidRPr="00380184" w:rsidRDefault="009A447A" w:rsidP="001836C2">
            <w:pPr>
              <w:spacing w:before="120" w:after="120"/>
              <w:rPr>
                <w:rFonts w:ascii="Arial" w:eastAsia="Times New Roman" w:hAnsi="Arial" w:cs="Arial"/>
                <w:b/>
                <w:sz w:val="20"/>
                <w:lang w:val="en-GB" w:eastAsia="en-GB"/>
              </w:rPr>
            </w:pPr>
            <w:r>
              <w:rPr>
                <w:rFonts w:ascii="Arial" w:eastAsia="Times New Roman" w:hAnsi="Arial" w:cs="Arial"/>
                <w:b/>
                <w:sz w:val="20"/>
                <w:lang w:val="en-GB" w:eastAsia="en-GB"/>
              </w:rPr>
              <w:t>Proposer</w:t>
            </w:r>
          </w:p>
        </w:tc>
        <w:tc>
          <w:tcPr>
            <w:tcW w:w="6287" w:type="dxa"/>
            <w:tcBorders>
              <w:top w:val="single" w:sz="4" w:space="0" w:color="auto"/>
              <w:left w:val="single" w:sz="4" w:space="0" w:color="auto"/>
              <w:bottom w:val="single" w:sz="4" w:space="0" w:color="auto"/>
              <w:right w:val="single" w:sz="4" w:space="0" w:color="auto"/>
            </w:tcBorders>
          </w:tcPr>
          <w:p w:rsidR="009A447A" w:rsidRPr="00380184" w:rsidRDefault="009A447A" w:rsidP="001836C2">
            <w:pPr>
              <w:spacing w:before="120" w:after="120"/>
              <w:rPr>
                <w:rFonts w:ascii="Arial" w:hAnsi="Arial" w:cs="Arial"/>
                <w:sz w:val="20"/>
              </w:rPr>
            </w:pPr>
            <w:r w:rsidRPr="004157D7">
              <w:rPr>
                <w:rFonts w:ascii="Arial" w:hAnsi="Arial" w:cs="Arial"/>
                <w:sz w:val="20"/>
              </w:rPr>
              <w:t>a Party making a Var</w:t>
            </w:r>
            <w:r>
              <w:rPr>
                <w:rFonts w:ascii="Arial" w:hAnsi="Arial" w:cs="Arial"/>
                <w:sz w:val="20"/>
              </w:rPr>
              <w:t>iation Proposal</w:t>
            </w:r>
          </w:p>
        </w:tc>
      </w:tr>
      <w:tr w:rsidR="000570C4" w:rsidRPr="00A66659" w:rsidTr="004050C4">
        <w:tc>
          <w:tcPr>
            <w:tcW w:w="2142" w:type="dxa"/>
            <w:tcBorders>
              <w:top w:val="single" w:sz="4" w:space="0" w:color="auto"/>
              <w:left w:val="single" w:sz="4" w:space="0" w:color="auto"/>
              <w:bottom w:val="single" w:sz="4" w:space="0" w:color="auto"/>
              <w:right w:val="single" w:sz="4" w:space="0" w:color="auto"/>
            </w:tcBorders>
          </w:tcPr>
          <w:p w:rsidR="000570C4" w:rsidRDefault="000570C4" w:rsidP="001836C2">
            <w:pPr>
              <w:spacing w:before="120" w:after="120"/>
              <w:rPr>
                <w:rFonts w:ascii="Arial" w:eastAsia="Times New Roman" w:hAnsi="Arial" w:cs="Arial"/>
                <w:b/>
                <w:sz w:val="20"/>
                <w:lang w:val="en-GB" w:eastAsia="en-GB"/>
              </w:rPr>
            </w:pPr>
            <w:r>
              <w:rPr>
                <w:rFonts w:ascii="Arial" w:hAnsi="Arial" w:cs="Arial"/>
                <w:b/>
                <w:sz w:val="20"/>
              </w:rPr>
              <w:t>Safeguarding Guidance</w:t>
            </w:r>
          </w:p>
        </w:tc>
        <w:tc>
          <w:tcPr>
            <w:tcW w:w="6287" w:type="dxa"/>
            <w:tcBorders>
              <w:top w:val="single" w:sz="4" w:space="0" w:color="auto"/>
              <w:left w:val="single" w:sz="4" w:space="0" w:color="auto"/>
              <w:bottom w:val="single" w:sz="4" w:space="0" w:color="auto"/>
              <w:right w:val="single" w:sz="4" w:space="0" w:color="auto"/>
            </w:tcBorders>
          </w:tcPr>
          <w:p w:rsidR="000570C4" w:rsidRPr="000570C4" w:rsidRDefault="000570C4" w:rsidP="001836C2">
            <w:pPr>
              <w:spacing w:before="120" w:after="120"/>
              <w:jc w:val="both"/>
              <w:rPr>
                <w:rFonts w:ascii="Arial" w:hAnsi="Arial" w:cs="Arial"/>
                <w:i/>
                <w:sz w:val="20"/>
              </w:rPr>
            </w:pPr>
            <w:r>
              <w:rPr>
                <w:rFonts w:ascii="Arial" w:hAnsi="Arial" w:cs="Arial"/>
                <w:i/>
                <w:sz w:val="20"/>
              </w:rPr>
              <w:t>Working Together to Safeguard Children - A guide to inter-agency working to safeguard and promote the welfare of children – statutory guidan</w:t>
            </w:r>
            <w:r w:rsidRPr="000570C4">
              <w:rPr>
                <w:rFonts w:ascii="Arial" w:hAnsi="Arial" w:cs="Arial"/>
                <w:i/>
                <w:sz w:val="20"/>
              </w:rPr>
              <w:t>ce</w:t>
            </w:r>
          </w:p>
          <w:p w:rsidR="000570C4" w:rsidRPr="009A549E" w:rsidRDefault="0069669B" w:rsidP="001836C2">
            <w:pPr>
              <w:spacing w:before="120" w:after="120"/>
              <w:rPr>
                <w:rStyle w:val="Hyperlink"/>
                <w:rFonts w:ascii="Arial" w:hAnsi="Arial" w:cs="Arial"/>
              </w:rPr>
            </w:pPr>
            <w:hyperlink r:id="rId19" w:history="1">
              <w:r w:rsidR="000570C4" w:rsidRPr="009A549E">
                <w:rPr>
                  <w:rStyle w:val="Hyperlink"/>
                  <w:rFonts w:ascii="Arial" w:hAnsi="Arial" w:cs="Arial"/>
                  <w:sz w:val="20"/>
                </w:rPr>
                <w:t>https://www.gov.uk/government/publications/working-together-to-safeguard-children--2</w:t>
              </w:r>
            </w:hyperlink>
          </w:p>
          <w:p w:rsidR="000570C4" w:rsidRPr="000570C4" w:rsidRDefault="000570C4" w:rsidP="001836C2">
            <w:pPr>
              <w:spacing w:before="120" w:after="120"/>
              <w:jc w:val="both"/>
              <w:rPr>
                <w:rFonts w:ascii="Arial" w:hAnsi="Arial" w:cs="Arial"/>
              </w:rPr>
            </w:pPr>
            <w:r w:rsidRPr="000570C4">
              <w:rPr>
                <w:rFonts w:ascii="Arial" w:hAnsi="Arial" w:cs="Arial"/>
                <w:i/>
                <w:sz w:val="20"/>
              </w:rPr>
              <w:t>Care and Support Statutory Guidance issued under the Care Act</w:t>
            </w:r>
          </w:p>
          <w:p w:rsidR="000570C4" w:rsidRPr="004157D7" w:rsidRDefault="0069669B" w:rsidP="001836C2">
            <w:pPr>
              <w:spacing w:before="120" w:after="120"/>
              <w:rPr>
                <w:rFonts w:ascii="Arial" w:hAnsi="Arial" w:cs="Arial"/>
                <w:sz w:val="20"/>
              </w:rPr>
            </w:pPr>
            <w:hyperlink r:id="rId20" w:history="1">
              <w:r w:rsidR="000570C4" w:rsidRPr="009A549E">
                <w:rPr>
                  <w:rStyle w:val="Hyperlink"/>
                  <w:rFonts w:ascii="Arial" w:hAnsi="Arial" w:cs="Arial"/>
                  <w:sz w:val="20"/>
                </w:rPr>
                <w:t>https://www.gov.uk/government/uploads/system/uploads/attachment_data/file/315993/Care-Act-Guidance.pdf</w:t>
              </w:r>
            </w:hyperlink>
          </w:p>
        </w:tc>
      </w:tr>
      <w:tr w:rsidR="00240FE4" w:rsidRPr="00A66659" w:rsidTr="004050C4">
        <w:tc>
          <w:tcPr>
            <w:tcW w:w="2142" w:type="dxa"/>
            <w:tcBorders>
              <w:top w:val="single" w:sz="4" w:space="0" w:color="auto"/>
              <w:left w:val="single" w:sz="4" w:space="0" w:color="auto"/>
              <w:bottom w:val="single" w:sz="4" w:space="0" w:color="auto"/>
              <w:right w:val="single" w:sz="4" w:space="0" w:color="auto"/>
            </w:tcBorders>
          </w:tcPr>
          <w:p w:rsidR="00240FE4" w:rsidRDefault="00240FE4" w:rsidP="001836C2">
            <w:pPr>
              <w:spacing w:before="120" w:after="120"/>
              <w:rPr>
                <w:rFonts w:ascii="Arial" w:hAnsi="Arial" w:cs="Arial"/>
                <w:b/>
              </w:rPr>
            </w:pPr>
            <w:r>
              <w:rPr>
                <w:rFonts w:ascii="Arial" w:eastAsia="Times New Roman" w:hAnsi="Arial" w:cs="Arial"/>
                <w:b/>
                <w:sz w:val="20"/>
              </w:rPr>
              <w:t>Safeguarding Training Guidance</w:t>
            </w:r>
          </w:p>
        </w:tc>
        <w:tc>
          <w:tcPr>
            <w:tcW w:w="6287" w:type="dxa"/>
            <w:tcBorders>
              <w:top w:val="single" w:sz="4" w:space="0" w:color="auto"/>
              <w:left w:val="single" w:sz="4" w:space="0" w:color="auto"/>
              <w:bottom w:val="single" w:sz="4" w:space="0" w:color="auto"/>
              <w:right w:val="single" w:sz="4" w:space="0" w:color="auto"/>
            </w:tcBorders>
          </w:tcPr>
          <w:p w:rsidR="00240FE4" w:rsidRDefault="00240FE4" w:rsidP="001836C2">
            <w:pPr>
              <w:spacing w:before="120" w:after="120"/>
              <w:rPr>
                <w:rFonts w:ascii="Arial" w:hAnsi="Arial" w:cs="Arial"/>
                <w:sz w:val="20"/>
              </w:rPr>
            </w:pPr>
            <w:r>
              <w:rPr>
                <w:rFonts w:ascii="Arial" w:hAnsi="Arial" w:cs="Arial"/>
                <w:sz w:val="20"/>
              </w:rPr>
              <w:t xml:space="preserve">guidance in relation to safeguarding published by the Department for Education, including </w:t>
            </w:r>
            <w:r>
              <w:rPr>
                <w:rFonts w:ascii="Arial" w:hAnsi="Arial" w:cs="Arial"/>
                <w:i/>
                <w:sz w:val="20"/>
              </w:rPr>
              <w:t>Safeguarding children and young people: roles and competencies for health care staff</w:t>
            </w:r>
            <w:r>
              <w:rPr>
                <w:rFonts w:ascii="Arial" w:hAnsi="Arial" w:cs="Arial"/>
                <w:sz w:val="20"/>
              </w:rPr>
              <w:t>, available at:</w:t>
            </w:r>
          </w:p>
          <w:p w:rsidR="00240FE4" w:rsidRDefault="0069669B" w:rsidP="001836C2">
            <w:pPr>
              <w:spacing w:before="120" w:after="120"/>
              <w:rPr>
                <w:rFonts w:ascii="Arial" w:hAnsi="Arial" w:cs="Arial"/>
              </w:rPr>
            </w:pPr>
            <w:hyperlink r:id="rId21" w:history="1">
              <w:r w:rsidR="00240FE4" w:rsidRPr="00240FE4">
                <w:rPr>
                  <w:rStyle w:val="Hyperlink"/>
                  <w:rFonts w:ascii="Arial" w:hAnsi="Arial" w:cs="Arial"/>
                  <w:sz w:val="20"/>
                </w:rPr>
                <w:t>https://www.rcpch.ac.uk/resources/safeguarding-children-young-people-roles-competences-healthcare-staff</w:t>
              </w:r>
            </w:hyperlink>
          </w:p>
        </w:tc>
      </w:tr>
      <w:tr w:rsidR="009A549E" w:rsidRPr="00A66659" w:rsidTr="004050C4">
        <w:tc>
          <w:tcPr>
            <w:tcW w:w="2142" w:type="dxa"/>
            <w:tcBorders>
              <w:top w:val="single" w:sz="4" w:space="0" w:color="auto"/>
              <w:left w:val="single" w:sz="4" w:space="0" w:color="auto"/>
              <w:bottom w:val="single" w:sz="4" w:space="0" w:color="auto"/>
              <w:right w:val="single" w:sz="4" w:space="0" w:color="auto"/>
            </w:tcBorders>
          </w:tcPr>
          <w:p w:rsidR="009A549E" w:rsidRPr="000E308E" w:rsidRDefault="009A549E" w:rsidP="001836C2">
            <w:pPr>
              <w:spacing w:before="120" w:after="120"/>
              <w:rPr>
                <w:rFonts w:ascii="Arial" w:hAnsi="Arial" w:cs="Arial"/>
                <w:b/>
                <w:sz w:val="20"/>
              </w:rPr>
            </w:pPr>
            <w:r w:rsidRPr="000E308E">
              <w:rPr>
                <w:rFonts w:ascii="Arial" w:hAnsi="Arial" w:cs="Arial"/>
                <w:b/>
                <w:sz w:val="20"/>
              </w:rPr>
              <w:t>SCCI</w:t>
            </w:r>
          </w:p>
        </w:tc>
        <w:tc>
          <w:tcPr>
            <w:tcW w:w="6287" w:type="dxa"/>
            <w:tcBorders>
              <w:top w:val="single" w:sz="4" w:space="0" w:color="auto"/>
              <w:left w:val="single" w:sz="4" w:space="0" w:color="auto"/>
              <w:bottom w:val="single" w:sz="4" w:space="0" w:color="auto"/>
              <w:right w:val="single" w:sz="4" w:space="0" w:color="auto"/>
            </w:tcBorders>
          </w:tcPr>
          <w:p w:rsidR="009A549E" w:rsidRPr="000E308E" w:rsidRDefault="009A549E" w:rsidP="001836C2">
            <w:pPr>
              <w:spacing w:before="120" w:after="120"/>
              <w:rPr>
                <w:rFonts w:ascii="Arial" w:hAnsi="Arial" w:cs="Arial"/>
                <w:sz w:val="20"/>
              </w:rPr>
            </w:pPr>
            <w:r w:rsidRPr="000E308E">
              <w:rPr>
                <w:rFonts w:ascii="Arial" w:hAnsi="Arial" w:cs="Arial"/>
                <w:sz w:val="20"/>
              </w:rPr>
              <w:t xml:space="preserve">the </w:t>
            </w:r>
            <w:proofErr w:type="spellStart"/>
            <w:r w:rsidRPr="000E308E">
              <w:rPr>
                <w:rFonts w:ascii="Arial" w:hAnsi="Arial" w:cs="Arial"/>
                <w:sz w:val="20"/>
              </w:rPr>
              <w:t>Standardisation</w:t>
            </w:r>
            <w:proofErr w:type="spellEnd"/>
            <w:r w:rsidRPr="000E308E">
              <w:rPr>
                <w:rFonts w:ascii="Arial" w:hAnsi="Arial" w:cs="Arial"/>
                <w:sz w:val="20"/>
              </w:rPr>
              <w:t xml:space="preserve"> Committee for Care Information, the body with delegated responsibility for appropriate information standards for the health and social care system (or that body’s predecessor):</w:t>
            </w:r>
          </w:p>
          <w:p w:rsidR="009A549E" w:rsidRDefault="009A549E" w:rsidP="001836C2">
            <w:pPr>
              <w:spacing w:before="120" w:after="120"/>
              <w:rPr>
                <w:rFonts w:ascii="Arial" w:hAnsi="Arial" w:cs="Arial"/>
                <w:i/>
                <w:sz w:val="20"/>
              </w:rPr>
            </w:pPr>
            <w:r w:rsidRPr="009A549E">
              <w:rPr>
                <w:rStyle w:val="Hyperlink"/>
                <w:rFonts w:ascii="Arial" w:hAnsi="Arial" w:cs="Arial"/>
                <w:sz w:val="20"/>
              </w:rPr>
              <w:t>https://digital.nhs.uk/data-and-information/information-standards/information-standards-and-data-collections-including-extractions</w:t>
            </w:r>
          </w:p>
        </w:tc>
      </w:tr>
      <w:tr w:rsidR="000E308E" w:rsidRPr="00A66659" w:rsidTr="004050C4">
        <w:tc>
          <w:tcPr>
            <w:tcW w:w="2142" w:type="dxa"/>
            <w:tcBorders>
              <w:top w:val="single" w:sz="4" w:space="0" w:color="auto"/>
              <w:left w:val="single" w:sz="4" w:space="0" w:color="auto"/>
              <w:bottom w:val="single" w:sz="4" w:space="0" w:color="auto"/>
              <w:right w:val="single" w:sz="4" w:space="0" w:color="auto"/>
            </w:tcBorders>
          </w:tcPr>
          <w:p w:rsidR="000E308E" w:rsidRPr="000E308E" w:rsidRDefault="000E308E" w:rsidP="001836C2">
            <w:pPr>
              <w:spacing w:before="120" w:after="120"/>
              <w:rPr>
                <w:rFonts w:ascii="Arial" w:hAnsi="Arial" w:cs="Arial"/>
                <w:b/>
                <w:sz w:val="20"/>
              </w:rPr>
            </w:pPr>
            <w:r>
              <w:rPr>
                <w:rFonts w:ascii="Arial" w:hAnsi="Arial" w:cs="Arial"/>
                <w:b/>
                <w:sz w:val="20"/>
              </w:rPr>
              <w:t>Seven Day Service Hospital Priority Clinical Standards</w:t>
            </w:r>
          </w:p>
        </w:tc>
        <w:tc>
          <w:tcPr>
            <w:tcW w:w="6287" w:type="dxa"/>
            <w:tcBorders>
              <w:top w:val="single" w:sz="4" w:space="0" w:color="auto"/>
              <w:left w:val="single" w:sz="4" w:space="0" w:color="auto"/>
              <w:bottom w:val="single" w:sz="4" w:space="0" w:color="auto"/>
              <w:right w:val="single" w:sz="4" w:space="0" w:color="auto"/>
            </w:tcBorders>
          </w:tcPr>
          <w:p w:rsidR="000E308E" w:rsidRPr="000E308E" w:rsidRDefault="000E308E" w:rsidP="001836C2">
            <w:pPr>
              <w:spacing w:before="120" w:after="120"/>
              <w:rPr>
                <w:rFonts w:ascii="Arial" w:hAnsi="Arial" w:cs="Arial"/>
                <w:sz w:val="20"/>
              </w:rPr>
            </w:pPr>
            <w:r>
              <w:rPr>
                <w:rFonts w:ascii="Arial" w:hAnsi="Arial" w:cs="Arial"/>
                <w:sz w:val="20"/>
              </w:rPr>
              <w:t xml:space="preserve">standards 2, 5, 6 and 8 of the standards for seven day services, available via: </w:t>
            </w:r>
            <w:r w:rsidRPr="000E308E">
              <w:rPr>
                <w:rStyle w:val="Hyperlink"/>
                <w:rFonts w:ascii="Arial" w:hAnsi="Arial" w:cs="Arial"/>
                <w:sz w:val="20"/>
              </w:rPr>
              <w:t>https://improvement.nhs.uk/resources/seven-day-services/</w:t>
            </w:r>
          </w:p>
        </w:tc>
      </w:tr>
      <w:tr w:rsidR="000E308E" w:rsidRPr="00A66659" w:rsidTr="004050C4">
        <w:tc>
          <w:tcPr>
            <w:tcW w:w="2142" w:type="dxa"/>
            <w:tcBorders>
              <w:top w:val="single" w:sz="4" w:space="0" w:color="auto"/>
              <w:left w:val="single" w:sz="4" w:space="0" w:color="auto"/>
              <w:bottom w:val="single" w:sz="4" w:space="0" w:color="auto"/>
              <w:right w:val="single" w:sz="4" w:space="0" w:color="auto"/>
            </w:tcBorders>
          </w:tcPr>
          <w:p w:rsidR="000E308E" w:rsidRDefault="000E308E" w:rsidP="001836C2">
            <w:pPr>
              <w:spacing w:before="120" w:after="120"/>
              <w:rPr>
                <w:rFonts w:ascii="Arial" w:hAnsi="Arial" w:cs="Arial"/>
                <w:b/>
                <w:sz w:val="20"/>
              </w:rPr>
            </w:pPr>
            <w:r w:rsidRPr="000E308E">
              <w:rPr>
                <w:rFonts w:ascii="Arial" w:hAnsi="Arial" w:cs="Arial"/>
                <w:b/>
                <w:sz w:val="20"/>
              </w:rPr>
              <w:t>Standard DBS Position</w:t>
            </w:r>
          </w:p>
        </w:tc>
        <w:tc>
          <w:tcPr>
            <w:tcW w:w="6287" w:type="dxa"/>
            <w:tcBorders>
              <w:top w:val="single" w:sz="4" w:space="0" w:color="auto"/>
              <w:left w:val="single" w:sz="4" w:space="0" w:color="auto"/>
              <w:bottom w:val="single" w:sz="4" w:space="0" w:color="auto"/>
              <w:right w:val="single" w:sz="4" w:space="0" w:color="auto"/>
            </w:tcBorders>
          </w:tcPr>
          <w:p w:rsidR="000E308E" w:rsidRPr="000E308E" w:rsidRDefault="000E308E" w:rsidP="001836C2">
            <w:pPr>
              <w:spacing w:before="120" w:after="120"/>
              <w:rPr>
                <w:rFonts w:ascii="Arial" w:hAnsi="Arial" w:cs="Arial"/>
                <w:sz w:val="20"/>
              </w:rPr>
            </w:pPr>
            <w:r w:rsidRPr="000E308E">
              <w:rPr>
                <w:rFonts w:ascii="Arial" w:hAnsi="Arial" w:cs="Arial"/>
                <w:sz w:val="20"/>
              </w:rPr>
              <w:t xml:space="preserve">any position listed in the Rehabilitation of Offenders Act 1974 (Exceptions) Order 1975 (as amended) and in relation to which a Standard DBS Check is permitted: </w:t>
            </w:r>
            <w:r w:rsidRPr="000E308E">
              <w:rPr>
                <w:rStyle w:val="Hyperlink"/>
                <w:rFonts w:ascii="Arial" w:hAnsi="Arial" w:cs="Arial"/>
                <w:sz w:val="20"/>
              </w:rPr>
              <w:t>https://www.gov.uk/government/publications/dbs-check-eligible-positions-guidance</w:t>
            </w:r>
          </w:p>
        </w:tc>
      </w:tr>
      <w:tr w:rsidR="00224A99" w:rsidRPr="00A66659" w:rsidTr="004050C4">
        <w:tc>
          <w:tcPr>
            <w:tcW w:w="2142" w:type="dxa"/>
            <w:tcBorders>
              <w:top w:val="single" w:sz="4" w:space="0" w:color="auto"/>
              <w:left w:val="single" w:sz="4" w:space="0" w:color="auto"/>
              <w:bottom w:val="single" w:sz="4" w:space="0" w:color="auto"/>
              <w:right w:val="single" w:sz="4" w:space="0" w:color="auto"/>
            </w:tcBorders>
          </w:tcPr>
          <w:p w:rsidR="00224A99" w:rsidRPr="000E308E" w:rsidRDefault="00224A99" w:rsidP="001836C2">
            <w:pPr>
              <w:spacing w:before="120" w:after="120"/>
              <w:rPr>
                <w:rFonts w:ascii="Arial" w:hAnsi="Arial" w:cs="Arial"/>
                <w:b/>
                <w:sz w:val="20"/>
              </w:rPr>
            </w:pPr>
            <w:r>
              <w:rPr>
                <w:rFonts w:ascii="Arial" w:hAnsi="Arial" w:cs="Arial"/>
                <w:b/>
                <w:bCs/>
                <w:iCs/>
                <w:sz w:val="20"/>
              </w:rPr>
              <w:t>Urgent Care Data Sharing Agreement</w:t>
            </w:r>
          </w:p>
        </w:tc>
        <w:tc>
          <w:tcPr>
            <w:tcW w:w="6287" w:type="dxa"/>
            <w:tcBorders>
              <w:top w:val="single" w:sz="4" w:space="0" w:color="auto"/>
              <w:left w:val="single" w:sz="4" w:space="0" w:color="auto"/>
              <w:bottom w:val="single" w:sz="4" w:space="0" w:color="auto"/>
              <w:right w:val="single" w:sz="4" w:space="0" w:color="auto"/>
            </w:tcBorders>
          </w:tcPr>
          <w:p w:rsidR="00224A99" w:rsidRPr="00224A99" w:rsidRDefault="00224A99" w:rsidP="001836C2">
            <w:pPr>
              <w:spacing w:before="120" w:after="120"/>
              <w:rPr>
                <w:rFonts w:ascii="Arial" w:hAnsi="Arial" w:cs="Arial"/>
                <w:iCs/>
                <w:sz w:val="20"/>
              </w:rPr>
            </w:pPr>
            <w:r>
              <w:rPr>
                <w:rFonts w:ascii="Arial" w:hAnsi="Arial" w:cs="Arial"/>
                <w:iCs/>
                <w:sz w:val="20"/>
              </w:rPr>
              <w:t xml:space="preserve">an </w:t>
            </w:r>
            <w:r w:rsidRPr="00224A99">
              <w:rPr>
                <w:rFonts w:ascii="Arial" w:hAnsi="Arial" w:cs="Arial"/>
                <w:sz w:val="20"/>
              </w:rPr>
              <w:t>agreement</w:t>
            </w:r>
            <w:r>
              <w:rPr>
                <w:rFonts w:ascii="Arial" w:hAnsi="Arial" w:cs="Arial"/>
                <w:iCs/>
                <w:sz w:val="20"/>
              </w:rPr>
              <w:t xml:space="preserve"> providing for the sharing of certain clinical data between commissioners and providers of urgent and emergency care services </w:t>
            </w:r>
            <w:r w:rsidRPr="00224A99">
              <w:rPr>
                <w:rFonts w:ascii="Arial" w:hAnsi="Arial" w:cs="Arial"/>
                <w:iCs/>
                <w:sz w:val="20"/>
              </w:rPr>
              <w:t xml:space="preserve">in accordance with </w:t>
            </w:r>
            <w:r w:rsidRPr="00224A99">
              <w:rPr>
                <w:rFonts w:ascii="Arial" w:hAnsi="Arial" w:cs="Arial"/>
                <w:i/>
                <w:iCs/>
                <w:sz w:val="20"/>
              </w:rPr>
              <w:t>Data Sharing Requirements to support Development of Urgent and Emergency Care Dashboards – Guidance for Data Providers</w:t>
            </w:r>
            <w:r w:rsidRPr="00224A99">
              <w:rPr>
                <w:rFonts w:ascii="Arial" w:hAnsi="Arial" w:cs="Arial"/>
                <w:iCs/>
                <w:sz w:val="20"/>
              </w:rPr>
              <w:t xml:space="preserve"> available at </w:t>
            </w:r>
            <w:hyperlink r:id="rId22" w:history="1">
              <w:r w:rsidRPr="00224A99">
                <w:rPr>
                  <w:rStyle w:val="Hyperlink"/>
                  <w:rFonts w:ascii="Arial" w:eastAsia="Times New Roman" w:hAnsi="Arial" w:cs="Arial"/>
                  <w:bCs/>
                  <w:sz w:val="20"/>
                  <w:lang w:val="en-GB" w:eastAsia="en-GB"/>
                </w:rPr>
                <w:t>https://www.england.nhs.uk/nhs-standard-contract/</w:t>
              </w:r>
            </w:hyperlink>
          </w:p>
        </w:tc>
      </w:tr>
      <w:tr w:rsidR="00224A99" w:rsidRPr="00A66659" w:rsidTr="004050C4">
        <w:tc>
          <w:tcPr>
            <w:tcW w:w="2142" w:type="dxa"/>
            <w:tcBorders>
              <w:top w:val="single" w:sz="4" w:space="0" w:color="auto"/>
              <w:left w:val="single" w:sz="4" w:space="0" w:color="auto"/>
              <w:bottom w:val="single" w:sz="4" w:space="0" w:color="auto"/>
              <w:right w:val="single" w:sz="4" w:space="0" w:color="auto"/>
            </w:tcBorders>
          </w:tcPr>
          <w:p w:rsidR="00224A99" w:rsidRPr="000E308E" w:rsidRDefault="00224A99" w:rsidP="001836C2">
            <w:pPr>
              <w:spacing w:before="120" w:after="120"/>
              <w:rPr>
                <w:rFonts w:ascii="Arial" w:hAnsi="Arial" w:cs="Arial"/>
                <w:b/>
                <w:sz w:val="20"/>
              </w:rPr>
            </w:pPr>
            <w:r>
              <w:rPr>
                <w:rFonts w:ascii="Arial" w:hAnsi="Arial" w:cs="Arial"/>
                <w:b/>
                <w:sz w:val="20"/>
              </w:rPr>
              <w:t>Variation Agreement</w:t>
            </w:r>
          </w:p>
        </w:tc>
        <w:tc>
          <w:tcPr>
            <w:tcW w:w="6287" w:type="dxa"/>
            <w:tcBorders>
              <w:top w:val="single" w:sz="4" w:space="0" w:color="auto"/>
              <w:left w:val="single" w:sz="4" w:space="0" w:color="auto"/>
              <w:bottom w:val="single" w:sz="4" w:space="0" w:color="auto"/>
              <w:right w:val="single" w:sz="4" w:space="0" w:color="auto"/>
            </w:tcBorders>
          </w:tcPr>
          <w:p w:rsidR="00224A99" w:rsidRPr="000E308E" w:rsidRDefault="00224A99" w:rsidP="001836C2">
            <w:pPr>
              <w:spacing w:before="120" w:after="120"/>
              <w:rPr>
                <w:rFonts w:ascii="Arial" w:hAnsi="Arial" w:cs="Arial"/>
                <w:sz w:val="20"/>
              </w:rPr>
            </w:pPr>
            <w:r w:rsidRPr="00224A99">
              <w:rPr>
                <w:rFonts w:ascii="Arial" w:hAnsi="Arial" w:cs="Arial"/>
                <w:sz w:val="20"/>
              </w:rPr>
              <w:t xml:space="preserve">an agreement in writing in the form available at: </w:t>
            </w:r>
            <w:hyperlink r:id="rId23" w:history="1">
              <w:r w:rsidRPr="00224A99">
                <w:rPr>
                  <w:rStyle w:val="Hyperlink"/>
                  <w:rFonts w:ascii="Arial" w:hAnsi="Arial" w:cs="Arial"/>
                  <w:sz w:val="20"/>
                </w:rPr>
                <w:t>https://www.england.nhs.uk/nhs-standard-contract/</w:t>
              </w:r>
            </w:hyperlink>
          </w:p>
        </w:tc>
      </w:tr>
    </w:tbl>
    <w:p w:rsidR="009A447A" w:rsidRDefault="009A447A">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rsidR="008A6FAB" w:rsidRDefault="008A6FAB">
      <w:pPr>
        <w:spacing w:after="0"/>
        <w:rPr>
          <w:rFonts w:ascii="Arial" w:eastAsia="Times New Roman" w:hAnsi="Arial" w:cs="Arial"/>
          <w:sz w:val="20"/>
          <w:lang w:val="en-GB" w:eastAsia="en-US"/>
        </w:rPr>
      </w:pPr>
      <w:r>
        <w:rPr>
          <w:rFonts w:ascii="Arial" w:eastAsia="Times New Roman" w:hAnsi="Arial" w:cs="Arial"/>
          <w:sz w:val="20"/>
          <w:lang w:val="en-GB" w:eastAsia="en-US"/>
        </w:rPr>
        <w:t xml:space="preserve">With effect from </w:t>
      </w:r>
      <w:r w:rsidR="00A34780">
        <w:rPr>
          <w:rFonts w:ascii="Arial" w:eastAsia="Times New Roman" w:hAnsi="Arial" w:cs="Arial"/>
          <w:sz w:val="20"/>
          <w:lang w:val="en-GB" w:eastAsia="en-US"/>
        </w:rPr>
        <w:t>25 May</w:t>
      </w:r>
      <w:r>
        <w:rPr>
          <w:rFonts w:ascii="Arial" w:eastAsia="Times New Roman" w:hAnsi="Arial" w:cs="Arial"/>
          <w:sz w:val="20"/>
          <w:lang w:val="en-GB" w:eastAsia="en-US"/>
        </w:rPr>
        <w:t xml:space="preserve"> 2018, delete the definitions given to the following defined terms and replace with the amended definitions as follows or where applicable vary the defined term as described below (and, where the defined term itself is amended, any use in the Contract of the original term is to be read as the amended term):</w:t>
      </w:r>
    </w:p>
    <w:p w:rsidR="008A6FAB" w:rsidRDefault="008A6FAB">
      <w:pPr>
        <w:spacing w:after="0"/>
        <w:rPr>
          <w:rFonts w:ascii="Arial" w:eastAsia="Times New Roman" w:hAnsi="Arial" w:cs="Arial"/>
          <w:sz w:val="20"/>
          <w:lang w:val="en-GB" w:eastAsia="en-US"/>
        </w:rPr>
      </w:pPr>
    </w:p>
    <w:tbl>
      <w:tblPr>
        <w:tblStyle w:val="TableGrid"/>
        <w:tblW w:w="0" w:type="auto"/>
        <w:tblInd w:w="108" w:type="dxa"/>
        <w:tblLayout w:type="fixed"/>
        <w:tblLook w:val="04A0" w:firstRow="1" w:lastRow="0" w:firstColumn="1" w:lastColumn="0" w:noHBand="0" w:noVBand="1"/>
        <w:tblCaption w:val="GCs - varied definitions"/>
        <w:tblDescription w:val="GCs - varied definitions"/>
      </w:tblPr>
      <w:tblGrid>
        <w:gridCol w:w="2127"/>
        <w:gridCol w:w="6287"/>
      </w:tblGrid>
      <w:tr w:rsidR="008A6FAB" w:rsidTr="008C79F4">
        <w:tc>
          <w:tcPr>
            <w:tcW w:w="2127" w:type="dxa"/>
            <w:shd w:val="clear" w:color="auto" w:fill="BFBFBF" w:themeFill="background1" w:themeFillShade="BF"/>
          </w:tcPr>
          <w:p w:rsidR="008A6FAB" w:rsidRDefault="00A34780">
            <w:pPr>
              <w:spacing w:after="0"/>
              <w:rPr>
                <w:rFonts w:ascii="Arial" w:eastAsia="Times New Roman" w:hAnsi="Arial" w:cs="Arial"/>
                <w:b/>
                <w:sz w:val="20"/>
                <w:lang w:val="en-GB" w:eastAsia="en-US"/>
              </w:rPr>
            </w:pPr>
            <w:r>
              <w:rPr>
                <w:rFonts w:ascii="Arial" w:eastAsia="Times New Roman" w:hAnsi="Arial" w:cs="Arial"/>
                <w:b/>
                <w:sz w:val="20"/>
                <w:lang w:val="en-GB" w:eastAsia="en-US"/>
              </w:rPr>
              <w:t>Term:</w:t>
            </w:r>
          </w:p>
          <w:p w:rsidR="00A34780" w:rsidRDefault="00A34780">
            <w:pPr>
              <w:spacing w:after="0"/>
              <w:rPr>
                <w:rFonts w:ascii="Arial" w:eastAsia="Times New Roman" w:hAnsi="Arial" w:cs="Arial"/>
                <w:b/>
                <w:sz w:val="20"/>
                <w:lang w:val="en-GB" w:eastAsia="en-US"/>
              </w:rPr>
            </w:pPr>
          </w:p>
        </w:tc>
        <w:tc>
          <w:tcPr>
            <w:tcW w:w="6287" w:type="dxa"/>
            <w:shd w:val="clear" w:color="auto" w:fill="BFBFBF" w:themeFill="background1" w:themeFillShade="BF"/>
          </w:tcPr>
          <w:p w:rsidR="00A34780" w:rsidRPr="00A66659" w:rsidRDefault="00A34780" w:rsidP="00A34780">
            <w:pPr>
              <w:widowControl w:val="0"/>
              <w:tabs>
                <w:tab w:val="left" w:pos="0"/>
                <w:tab w:val="num" w:pos="2160"/>
                <w:tab w:val="num" w:pos="2880"/>
              </w:tabs>
              <w:spacing w:after="0"/>
              <w:jc w:val="both"/>
              <w:rPr>
                <w:rFonts w:ascii="Arial" w:eastAsia="Times New Roman" w:hAnsi="Arial" w:cs="Arial"/>
                <w:b/>
                <w:sz w:val="20"/>
                <w:lang w:val="en-GB" w:eastAsia="en-US"/>
              </w:rPr>
            </w:pPr>
            <w:r w:rsidRPr="00A66659">
              <w:rPr>
                <w:rFonts w:ascii="Arial" w:eastAsia="Times New Roman" w:hAnsi="Arial" w:cs="Arial"/>
                <w:b/>
                <w:sz w:val="20"/>
                <w:lang w:val="en-GB" w:eastAsia="en-US"/>
              </w:rPr>
              <w:t>Amended definition or amendment to defined term</w:t>
            </w:r>
          </w:p>
          <w:p w:rsidR="008A6FAB" w:rsidRDefault="008A6FAB">
            <w:pPr>
              <w:spacing w:after="0"/>
              <w:rPr>
                <w:rFonts w:ascii="Arial" w:eastAsia="Times New Roman" w:hAnsi="Arial" w:cs="Arial"/>
                <w:b/>
                <w:sz w:val="20"/>
                <w:lang w:val="en-GB" w:eastAsia="en-US"/>
              </w:rPr>
            </w:pPr>
          </w:p>
        </w:tc>
      </w:tr>
      <w:tr w:rsidR="008A6FAB" w:rsidTr="008C79F4">
        <w:tc>
          <w:tcPr>
            <w:tcW w:w="2127" w:type="dxa"/>
          </w:tcPr>
          <w:p w:rsidR="00A34780" w:rsidRDefault="00A34780" w:rsidP="001836C2">
            <w:pPr>
              <w:spacing w:before="120" w:after="120"/>
              <w:rPr>
                <w:rFonts w:ascii="Arial" w:eastAsia="Times New Roman" w:hAnsi="Arial" w:cs="Arial"/>
                <w:b/>
                <w:sz w:val="20"/>
                <w:lang w:val="en-GB" w:eastAsia="en-US"/>
              </w:rPr>
            </w:pPr>
            <w:r w:rsidRPr="00B23488">
              <w:rPr>
                <w:rFonts w:ascii="Arial" w:hAnsi="Arial" w:cs="Arial"/>
                <w:b/>
                <w:sz w:val="20"/>
              </w:rPr>
              <w:t>Data Controller</w:t>
            </w:r>
          </w:p>
        </w:tc>
        <w:tc>
          <w:tcPr>
            <w:tcW w:w="6287" w:type="dxa"/>
          </w:tcPr>
          <w:p w:rsidR="008A6FAB" w:rsidRDefault="00A34780" w:rsidP="001836C2">
            <w:pPr>
              <w:spacing w:before="120" w:after="120"/>
              <w:rPr>
                <w:rFonts w:ascii="Arial" w:eastAsia="Times New Roman" w:hAnsi="Arial" w:cs="Arial"/>
                <w:b/>
                <w:sz w:val="20"/>
                <w:lang w:val="en-GB" w:eastAsia="en-US"/>
              </w:rPr>
            </w:pPr>
            <w:r w:rsidRPr="00B23488">
              <w:rPr>
                <w:rFonts w:ascii="Arial" w:hAnsi="Arial" w:cs="Arial"/>
                <w:sz w:val="20"/>
              </w:rPr>
              <w:t>has the meaning given to it in the Data Protection Legislation</w:t>
            </w:r>
          </w:p>
        </w:tc>
      </w:tr>
      <w:tr w:rsidR="009A447A" w:rsidTr="008C79F4">
        <w:tc>
          <w:tcPr>
            <w:tcW w:w="2127" w:type="dxa"/>
          </w:tcPr>
          <w:p w:rsidR="009A447A" w:rsidRPr="007D7A7B" w:rsidRDefault="009A447A" w:rsidP="001836C2">
            <w:pPr>
              <w:spacing w:before="120" w:after="120"/>
              <w:rPr>
                <w:rFonts w:ascii="Arial" w:hAnsi="Arial" w:cs="Arial"/>
                <w:b/>
                <w:sz w:val="20"/>
              </w:rPr>
            </w:pPr>
            <w:r>
              <w:rPr>
                <w:rFonts w:ascii="Arial" w:hAnsi="Arial" w:cs="Arial"/>
                <w:b/>
                <w:sz w:val="20"/>
              </w:rPr>
              <w:t>Indirect Losses</w:t>
            </w:r>
          </w:p>
        </w:tc>
        <w:tc>
          <w:tcPr>
            <w:tcW w:w="6287" w:type="dxa"/>
          </w:tcPr>
          <w:p w:rsidR="007D7805" w:rsidRPr="007D7A7B" w:rsidRDefault="009A447A" w:rsidP="001836C2">
            <w:pPr>
              <w:spacing w:before="120" w:after="120"/>
              <w:rPr>
                <w:rFonts w:ascii="Arial" w:eastAsia="Calibri" w:hAnsi="Arial" w:cs="Arial"/>
                <w:bCs/>
                <w:sz w:val="20"/>
                <w:lang w:eastAsia="en-US"/>
              </w:rPr>
            </w:pPr>
            <w:r w:rsidRPr="0065257A">
              <w:rPr>
                <w:rFonts w:ascii="Arial" w:hAnsi="Arial" w:cs="Arial"/>
                <w:sz w:val="20"/>
              </w:rPr>
              <w:t xml:space="preserve">loss of profits (other than profits directly and solely attributable to provision of the Services), loss of use, loss of production, increased operating costs, loss of business, loss of business opportunity, loss of reputation or goodwill or any other consequential or indirect loss of any nature, whether arising in tort or on any other basis but, for the avoidance of doubt, excluding any costs incurred </w:t>
            </w:r>
            <w:r>
              <w:rPr>
                <w:rFonts w:ascii="Arial" w:hAnsi="Arial" w:cs="Arial"/>
                <w:sz w:val="20"/>
              </w:rPr>
              <w:t xml:space="preserve">in </w:t>
            </w:r>
            <w:r w:rsidRPr="0065257A">
              <w:rPr>
                <w:rFonts w:ascii="Arial" w:hAnsi="Arial" w:cs="Arial"/>
                <w:sz w:val="20"/>
              </w:rPr>
              <w:t>remedying any breach of Data Protection Legislation</w:t>
            </w:r>
          </w:p>
        </w:tc>
      </w:tr>
      <w:tr w:rsidR="009A447A" w:rsidTr="008C79F4">
        <w:tc>
          <w:tcPr>
            <w:tcW w:w="2127" w:type="dxa"/>
          </w:tcPr>
          <w:p w:rsidR="009A447A" w:rsidRDefault="009A447A" w:rsidP="001836C2">
            <w:pPr>
              <w:spacing w:before="120" w:after="120"/>
              <w:rPr>
                <w:rFonts w:ascii="Arial" w:eastAsia="Times New Roman" w:hAnsi="Arial" w:cs="Arial"/>
                <w:b/>
                <w:sz w:val="20"/>
                <w:lang w:val="en-GB" w:eastAsia="en-US"/>
              </w:rPr>
            </w:pPr>
            <w:r>
              <w:rPr>
                <w:rFonts w:ascii="Arial" w:eastAsia="Times New Roman" w:hAnsi="Arial" w:cs="Arial"/>
                <w:b/>
                <w:sz w:val="20"/>
                <w:lang w:val="en-GB" w:eastAsia="en-US"/>
              </w:rPr>
              <w:t>Personal Data</w:t>
            </w:r>
          </w:p>
        </w:tc>
        <w:tc>
          <w:tcPr>
            <w:tcW w:w="6287" w:type="dxa"/>
          </w:tcPr>
          <w:p w:rsidR="009A447A" w:rsidRDefault="009A447A" w:rsidP="001836C2">
            <w:pPr>
              <w:spacing w:before="120" w:after="120"/>
              <w:rPr>
                <w:rFonts w:ascii="Arial" w:eastAsia="Times New Roman" w:hAnsi="Arial" w:cs="Arial"/>
                <w:b/>
                <w:sz w:val="20"/>
                <w:lang w:val="en-GB" w:eastAsia="en-US"/>
              </w:rPr>
            </w:pPr>
            <w:r w:rsidRPr="00380184">
              <w:rPr>
                <w:rFonts w:ascii="Arial" w:hAnsi="Arial" w:cs="Arial"/>
                <w:sz w:val="20"/>
              </w:rPr>
              <w:t>has the meaning given to it in the Data Protection Legislation</w:t>
            </w:r>
          </w:p>
        </w:tc>
      </w:tr>
      <w:tr w:rsidR="009A447A" w:rsidTr="008C79F4">
        <w:tc>
          <w:tcPr>
            <w:tcW w:w="2127" w:type="dxa"/>
          </w:tcPr>
          <w:p w:rsidR="009A447A" w:rsidRDefault="009A447A" w:rsidP="001836C2">
            <w:pPr>
              <w:spacing w:before="120" w:after="120"/>
              <w:rPr>
                <w:rFonts w:ascii="Arial" w:eastAsia="Times New Roman" w:hAnsi="Arial" w:cs="Arial"/>
                <w:b/>
                <w:sz w:val="20"/>
                <w:lang w:val="en-GB" w:eastAsia="en-US"/>
              </w:rPr>
            </w:pPr>
            <w:r w:rsidRPr="00380184">
              <w:rPr>
                <w:rFonts w:ascii="Arial" w:hAnsi="Arial" w:cs="Arial"/>
                <w:b/>
                <w:sz w:val="20"/>
              </w:rPr>
              <w:t>Regulatory or Supervisory Body</w:t>
            </w:r>
          </w:p>
        </w:tc>
        <w:tc>
          <w:tcPr>
            <w:tcW w:w="6287" w:type="dxa"/>
          </w:tcPr>
          <w:p w:rsidR="009A447A" w:rsidRPr="00380184" w:rsidRDefault="009A447A" w:rsidP="001836C2">
            <w:pPr>
              <w:spacing w:before="120" w:after="120"/>
              <w:ind w:right="45"/>
              <w:jc w:val="both"/>
              <w:rPr>
                <w:rFonts w:ascii="Arial" w:hAnsi="Arial" w:cs="Arial"/>
                <w:sz w:val="20"/>
              </w:rPr>
            </w:pPr>
            <w:r w:rsidRPr="00380184">
              <w:rPr>
                <w:rFonts w:ascii="Arial" w:hAnsi="Arial" w:cs="Arial"/>
                <w:sz w:val="20"/>
              </w:rPr>
              <w:t>any statutory or other body having authority to issue guidance, standards or recommendations with which the relevant Party and/or Staff must comply or to which it or they must have regard, including:</w:t>
            </w:r>
          </w:p>
          <w:p w:rsidR="009A447A" w:rsidRPr="00380184" w:rsidRDefault="009A447A" w:rsidP="001836C2">
            <w:pPr>
              <w:numPr>
                <w:ilvl w:val="0"/>
                <w:numId w:val="24"/>
              </w:numPr>
              <w:spacing w:before="120" w:after="120"/>
              <w:ind w:left="459" w:right="43" w:hanging="426"/>
              <w:jc w:val="both"/>
              <w:rPr>
                <w:rFonts w:ascii="Arial" w:eastAsia="Times New Roman" w:hAnsi="Arial" w:cs="Arial"/>
                <w:sz w:val="20"/>
                <w:lang w:val="en-GB" w:eastAsia="en-GB"/>
              </w:rPr>
            </w:pPr>
            <w:r w:rsidRPr="00380184">
              <w:rPr>
                <w:rFonts w:ascii="Arial" w:eastAsia="Times New Roman" w:hAnsi="Arial" w:cs="Arial"/>
                <w:sz w:val="20"/>
                <w:lang w:val="en-GB" w:eastAsia="en-GB"/>
              </w:rPr>
              <w:t>CQC;</w:t>
            </w:r>
          </w:p>
          <w:p w:rsidR="009A447A" w:rsidRPr="00380184"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r w:rsidRPr="00380184">
              <w:rPr>
                <w:rFonts w:ascii="Arial" w:eastAsia="Times New Roman" w:hAnsi="Arial" w:cs="Arial"/>
                <w:sz w:val="20"/>
                <w:lang w:val="en-GB" w:eastAsia="en-GB"/>
              </w:rPr>
              <w:t>NHS Improvement;</w:t>
            </w:r>
          </w:p>
          <w:p w:rsidR="009A447A" w:rsidRPr="00380184"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r w:rsidRPr="00380184">
              <w:rPr>
                <w:rFonts w:ascii="Arial" w:eastAsia="Times New Roman" w:hAnsi="Arial" w:cs="Arial"/>
                <w:sz w:val="20"/>
                <w:lang w:val="en-GB" w:eastAsia="en-GB"/>
              </w:rPr>
              <w:t>NHS England;</w:t>
            </w:r>
          </w:p>
          <w:p w:rsidR="009A447A" w:rsidRPr="00380184"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r w:rsidRPr="00380184">
              <w:rPr>
                <w:rFonts w:ascii="Arial" w:eastAsia="Times New Roman" w:hAnsi="Arial" w:cs="Arial"/>
                <w:sz w:val="20"/>
                <w:lang w:val="en-GB" w:eastAsia="en-GB"/>
              </w:rPr>
              <w:t xml:space="preserve">the Department of Health; </w:t>
            </w:r>
          </w:p>
          <w:p w:rsidR="009A447A" w:rsidRPr="00380184"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r w:rsidRPr="00380184">
              <w:rPr>
                <w:rFonts w:ascii="Arial" w:eastAsia="Times New Roman" w:hAnsi="Arial" w:cs="Arial"/>
                <w:sz w:val="20"/>
                <w:lang w:val="en-GB" w:eastAsia="en-GB"/>
              </w:rPr>
              <w:t xml:space="preserve">NICE; </w:t>
            </w:r>
          </w:p>
          <w:p w:rsidR="009A447A" w:rsidRPr="00380184"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proofErr w:type="spellStart"/>
            <w:r w:rsidRPr="00380184">
              <w:rPr>
                <w:rFonts w:ascii="Arial" w:eastAsia="Times New Roman" w:hAnsi="Arial" w:cs="Arial"/>
                <w:sz w:val="20"/>
                <w:lang w:val="en-GB" w:eastAsia="en-GB"/>
              </w:rPr>
              <w:t>Healthwatch</w:t>
            </w:r>
            <w:proofErr w:type="spellEnd"/>
            <w:r w:rsidRPr="00380184">
              <w:rPr>
                <w:rFonts w:ascii="Arial" w:eastAsia="Times New Roman" w:hAnsi="Arial" w:cs="Arial"/>
                <w:sz w:val="20"/>
                <w:lang w:val="en-GB" w:eastAsia="en-GB"/>
              </w:rPr>
              <w:t xml:space="preserve"> England and Local </w:t>
            </w:r>
            <w:proofErr w:type="spellStart"/>
            <w:r w:rsidRPr="00380184">
              <w:rPr>
                <w:rFonts w:ascii="Arial" w:eastAsia="Times New Roman" w:hAnsi="Arial" w:cs="Arial"/>
                <w:sz w:val="20"/>
                <w:lang w:val="en-GB" w:eastAsia="en-GB"/>
              </w:rPr>
              <w:t>Healthwatch</w:t>
            </w:r>
            <w:proofErr w:type="spellEnd"/>
            <w:r w:rsidRPr="00380184">
              <w:rPr>
                <w:rFonts w:ascii="Arial" w:eastAsia="Times New Roman" w:hAnsi="Arial" w:cs="Arial"/>
                <w:sz w:val="20"/>
                <w:lang w:val="en-GB" w:eastAsia="en-GB"/>
              </w:rPr>
              <w:t>;</w:t>
            </w:r>
          </w:p>
          <w:p w:rsidR="009A447A" w:rsidRPr="00380184"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r w:rsidRPr="00380184">
              <w:rPr>
                <w:rFonts w:ascii="Arial" w:eastAsia="Times New Roman" w:hAnsi="Arial" w:cs="Arial"/>
                <w:sz w:val="20"/>
                <w:lang w:val="en-GB" w:eastAsia="en-GB"/>
              </w:rPr>
              <w:t xml:space="preserve">Public Health England; </w:t>
            </w:r>
          </w:p>
          <w:p w:rsidR="009A447A" w:rsidRPr="00380184"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r w:rsidRPr="00380184">
              <w:rPr>
                <w:rFonts w:ascii="Arial" w:eastAsia="Times New Roman" w:hAnsi="Arial" w:cs="Arial"/>
                <w:sz w:val="20"/>
                <w:lang w:val="en-GB" w:eastAsia="en-GB"/>
              </w:rPr>
              <w:t xml:space="preserve">the General Pharmaceutical Council; </w:t>
            </w:r>
          </w:p>
          <w:p w:rsidR="009A447A" w:rsidRPr="00380184"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r w:rsidRPr="00380184">
              <w:rPr>
                <w:rFonts w:ascii="Arial" w:eastAsia="Times New Roman" w:hAnsi="Arial" w:cs="Arial"/>
                <w:sz w:val="20"/>
                <w:lang w:val="en-GB" w:eastAsia="en-GB"/>
              </w:rPr>
              <w:t>the Healthcare Safety Investigation Branch;</w:t>
            </w:r>
          </w:p>
          <w:p w:rsidR="009A447A"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r w:rsidRPr="00380184">
              <w:rPr>
                <w:rFonts w:ascii="Arial" w:eastAsia="Times New Roman" w:hAnsi="Arial" w:cs="Arial"/>
                <w:sz w:val="20"/>
                <w:lang w:val="en-GB" w:eastAsia="en-GB"/>
              </w:rPr>
              <w:t>the Information Commissioner; and</w:t>
            </w:r>
          </w:p>
          <w:p w:rsidR="009A447A" w:rsidRPr="008C79F4" w:rsidRDefault="009A447A" w:rsidP="001836C2">
            <w:pPr>
              <w:numPr>
                <w:ilvl w:val="0"/>
                <w:numId w:val="24"/>
              </w:numPr>
              <w:spacing w:before="120" w:after="120"/>
              <w:ind w:left="466" w:right="43" w:hanging="466"/>
              <w:jc w:val="both"/>
              <w:rPr>
                <w:rFonts w:ascii="Arial" w:eastAsia="Times New Roman" w:hAnsi="Arial" w:cs="Arial"/>
                <w:sz w:val="20"/>
                <w:lang w:val="en-GB" w:eastAsia="en-GB"/>
              </w:rPr>
            </w:pPr>
            <w:r w:rsidRPr="00A34780">
              <w:rPr>
                <w:rFonts w:ascii="Arial" w:eastAsia="Times New Roman" w:hAnsi="Arial" w:cs="Arial"/>
                <w:sz w:val="20"/>
                <w:lang w:val="en-GB" w:eastAsia="en-GB"/>
              </w:rPr>
              <w:t>the European Data Protection Board</w:t>
            </w:r>
          </w:p>
        </w:tc>
      </w:tr>
      <w:tr w:rsidR="009A447A" w:rsidTr="008C79F4">
        <w:tc>
          <w:tcPr>
            <w:tcW w:w="2127" w:type="dxa"/>
          </w:tcPr>
          <w:p w:rsidR="009A447A" w:rsidRDefault="009A447A" w:rsidP="001836C2">
            <w:pPr>
              <w:spacing w:before="120" w:after="120"/>
              <w:rPr>
                <w:rFonts w:ascii="Arial" w:eastAsia="Times New Roman" w:hAnsi="Arial" w:cs="Arial"/>
                <w:b/>
                <w:sz w:val="20"/>
                <w:lang w:val="en-GB" w:eastAsia="en-US"/>
              </w:rPr>
            </w:pPr>
            <w:r w:rsidRPr="00380184">
              <w:rPr>
                <w:rFonts w:ascii="Arial" w:hAnsi="Arial" w:cs="Arial"/>
                <w:b/>
                <w:sz w:val="20"/>
              </w:rPr>
              <w:t>Seventh Data Protection Principle</w:t>
            </w:r>
          </w:p>
        </w:tc>
        <w:tc>
          <w:tcPr>
            <w:tcW w:w="6287" w:type="dxa"/>
          </w:tcPr>
          <w:p w:rsidR="009A447A" w:rsidRPr="00380184" w:rsidRDefault="009A447A" w:rsidP="001836C2">
            <w:pPr>
              <w:spacing w:before="120" w:after="120"/>
              <w:ind w:right="45"/>
              <w:jc w:val="both"/>
              <w:rPr>
                <w:rFonts w:ascii="Arial" w:hAnsi="Arial" w:cs="Arial"/>
                <w:sz w:val="20"/>
              </w:rPr>
            </w:pPr>
            <w:r w:rsidRPr="00380184">
              <w:rPr>
                <w:rFonts w:ascii="Arial" w:hAnsi="Arial" w:cs="Arial"/>
                <w:sz w:val="20"/>
              </w:rPr>
              <w:t>the seventh principle set out in paragraphs 9-12 of Part II of Schedule 1 to the DPA 1998</w:t>
            </w:r>
          </w:p>
          <w:p w:rsidR="009A447A" w:rsidRDefault="0069669B" w:rsidP="001836C2">
            <w:pPr>
              <w:spacing w:before="120" w:after="120"/>
              <w:rPr>
                <w:rFonts w:ascii="Arial" w:eastAsia="Times New Roman" w:hAnsi="Arial" w:cs="Arial"/>
                <w:b/>
                <w:sz w:val="20"/>
                <w:lang w:val="en-GB" w:eastAsia="en-US"/>
              </w:rPr>
            </w:pPr>
            <w:hyperlink r:id="rId24" w:history="1">
              <w:r w:rsidR="009A447A" w:rsidRPr="00380184">
                <w:rPr>
                  <w:rFonts w:ascii="Arial" w:hAnsi="Arial" w:cs="Arial"/>
                  <w:color w:val="0000FF"/>
                  <w:sz w:val="20"/>
                  <w:u w:val="single"/>
                </w:rPr>
                <w:t>http://www.legislation.gov.uk/ukpga/1998/29/schedule/1/part/II/crossheading/the-seventh-principle</w:t>
              </w:r>
            </w:hyperlink>
          </w:p>
        </w:tc>
      </w:tr>
    </w:tbl>
    <w:p w:rsidR="00380184" w:rsidRDefault="00380184">
      <w:pPr>
        <w:spacing w:after="0"/>
        <w:rPr>
          <w:rFonts w:ascii="Arial" w:eastAsia="Times New Roman" w:hAnsi="Arial" w:cs="Arial"/>
          <w:b/>
          <w:sz w:val="20"/>
          <w:lang w:val="en-GB" w:eastAsia="en-US"/>
        </w:rPr>
      </w:pPr>
      <w:r>
        <w:rPr>
          <w:rFonts w:ascii="Arial" w:eastAsia="Times New Roman" w:hAnsi="Arial" w:cs="Arial"/>
          <w:b/>
          <w:sz w:val="20"/>
          <w:lang w:val="en-GB" w:eastAsia="en-US"/>
        </w:rPr>
        <w:br w:type="page"/>
      </w:r>
    </w:p>
    <w:p w:rsidR="00380184" w:rsidRDefault="00380184" w:rsidP="00380184">
      <w:pPr>
        <w:spacing w:after="0"/>
        <w:rPr>
          <w:rFonts w:ascii="Arial" w:eastAsia="Times New Roman" w:hAnsi="Arial" w:cs="Arial"/>
          <w:b/>
          <w:sz w:val="20"/>
          <w:lang w:val="en-GB" w:eastAsia="en-US"/>
        </w:rPr>
      </w:pPr>
      <w:r w:rsidRPr="00A66659">
        <w:rPr>
          <w:rFonts w:ascii="Arial" w:eastAsia="Times New Roman" w:hAnsi="Arial" w:cs="Arial"/>
          <w:b/>
          <w:sz w:val="20"/>
          <w:lang w:val="en-GB" w:eastAsia="en-US"/>
        </w:rPr>
        <w:t xml:space="preserve">Appendix 1 Part </w:t>
      </w:r>
      <w:r>
        <w:rPr>
          <w:rFonts w:ascii="Arial" w:eastAsia="Times New Roman" w:hAnsi="Arial" w:cs="Arial"/>
          <w:b/>
          <w:sz w:val="20"/>
          <w:lang w:val="en-GB" w:eastAsia="en-US"/>
        </w:rPr>
        <w:t>3</w:t>
      </w:r>
      <w:r w:rsidRPr="00A66659">
        <w:rPr>
          <w:rFonts w:ascii="Arial" w:eastAsia="Times New Roman" w:hAnsi="Arial" w:cs="Arial"/>
          <w:b/>
          <w:sz w:val="20"/>
          <w:lang w:val="en-GB" w:eastAsia="en-US"/>
        </w:rPr>
        <w:t>: De</w:t>
      </w:r>
      <w:r>
        <w:rPr>
          <w:rFonts w:ascii="Arial" w:eastAsia="Times New Roman" w:hAnsi="Arial" w:cs="Arial"/>
          <w:b/>
          <w:sz w:val="20"/>
          <w:lang w:val="en-GB" w:eastAsia="en-US"/>
        </w:rPr>
        <w:t>let</w:t>
      </w:r>
      <w:r w:rsidRPr="00A66659">
        <w:rPr>
          <w:rFonts w:ascii="Arial" w:eastAsia="Times New Roman" w:hAnsi="Arial" w:cs="Arial"/>
          <w:b/>
          <w:sz w:val="20"/>
          <w:lang w:val="en-GB" w:eastAsia="en-US"/>
        </w:rPr>
        <w:t xml:space="preserve">ed </w:t>
      </w:r>
      <w:r>
        <w:rPr>
          <w:rFonts w:ascii="Arial" w:eastAsia="Times New Roman" w:hAnsi="Arial" w:cs="Arial"/>
          <w:b/>
          <w:sz w:val="20"/>
          <w:lang w:val="en-GB" w:eastAsia="en-US"/>
        </w:rPr>
        <w:t xml:space="preserve">Defined </w:t>
      </w:r>
      <w:r w:rsidRPr="00A66659">
        <w:rPr>
          <w:rFonts w:ascii="Arial" w:eastAsia="Times New Roman" w:hAnsi="Arial" w:cs="Arial"/>
          <w:b/>
          <w:sz w:val="20"/>
          <w:lang w:val="en-GB" w:eastAsia="en-US"/>
        </w:rPr>
        <w:t>Terms</w:t>
      </w:r>
    </w:p>
    <w:p w:rsidR="002838DC" w:rsidRDefault="002838DC" w:rsidP="002838DC">
      <w:pPr>
        <w:spacing w:after="0"/>
        <w:rPr>
          <w:rFonts w:ascii="Arial" w:eastAsia="Times New Roman" w:hAnsi="Arial" w:cs="Arial"/>
          <w:b/>
          <w:sz w:val="20"/>
          <w:lang w:val="en-GB" w:eastAsia="en-US"/>
        </w:rPr>
      </w:pPr>
    </w:p>
    <w:p w:rsidR="001979B2" w:rsidRDefault="001979B2" w:rsidP="002838DC">
      <w:pPr>
        <w:spacing w:after="0"/>
        <w:rPr>
          <w:rFonts w:ascii="Arial" w:eastAsia="Times New Roman" w:hAnsi="Arial" w:cs="Arial"/>
          <w:b/>
          <w:sz w:val="20"/>
          <w:lang w:val="en-GB" w:eastAsia="en-US"/>
        </w:rPr>
      </w:pPr>
      <w:r>
        <w:rPr>
          <w:rFonts w:ascii="Arial" w:eastAsia="Times New Roman" w:hAnsi="Arial" w:cs="Arial"/>
          <w:sz w:val="20"/>
          <w:lang w:val="en-GB" w:eastAsia="en-US"/>
        </w:rPr>
        <w:t>With effect from 1 April 2018, delete the definition given to the following defined term</w:t>
      </w:r>
      <w:r w:rsidR="00A34780">
        <w:rPr>
          <w:rFonts w:ascii="Arial" w:eastAsia="Times New Roman" w:hAnsi="Arial" w:cs="Arial"/>
          <w:sz w:val="20"/>
          <w:lang w:val="en-GB" w:eastAsia="en-US"/>
        </w:rPr>
        <w:t>:</w:t>
      </w:r>
    </w:p>
    <w:p w:rsidR="001979B2" w:rsidRDefault="001979B2" w:rsidP="002838DC">
      <w:pPr>
        <w:spacing w:after="0"/>
        <w:rPr>
          <w:rFonts w:ascii="Arial" w:eastAsia="Times New Roman" w:hAnsi="Arial" w:cs="Arial"/>
          <w:b/>
          <w:sz w:val="20"/>
          <w:lang w:val="en-GB" w:eastAsia="en-US"/>
        </w:rPr>
      </w:pPr>
    </w:p>
    <w:tbl>
      <w:tblPr>
        <w:tblW w:w="8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380184" w:rsidRPr="004050C4" w:rsidTr="000158C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380184" w:rsidRPr="004050C4" w:rsidRDefault="004169E2" w:rsidP="004169E2">
            <w:pPr>
              <w:spacing w:after="0"/>
              <w:rPr>
                <w:rFonts w:ascii="Arial" w:hAnsi="Arial" w:cs="Arial"/>
                <w:b/>
                <w:sz w:val="20"/>
              </w:rPr>
            </w:pPr>
            <w:r w:rsidRPr="004169E2">
              <w:rPr>
                <w:rFonts w:ascii="Arial" w:hAnsi="Arial" w:cs="Arial"/>
                <w:b/>
                <w:sz w:val="20"/>
              </w:rPr>
              <w:t>Sustainability and Transformation Fund</w:t>
            </w:r>
            <w:r w:rsidRPr="004169E2">
              <w:rPr>
                <w:rFonts w:ascii="Arial" w:hAnsi="Arial" w:cs="Arial"/>
                <w:sz w:val="20"/>
              </w:rPr>
              <w:t xml:space="preserve"> the arrangement described in </w:t>
            </w:r>
            <w:r w:rsidRPr="004169E2">
              <w:rPr>
                <w:rFonts w:ascii="Arial" w:hAnsi="Arial" w:cs="Arial"/>
                <w:i/>
                <w:sz w:val="20"/>
              </w:rPr>
              <w:t>Delivering the Forward View: NHS planning guidance 2016/17 – 2020/21</w:t>
            </w:r>
            <w:r w:rsidRPr="004169E2">
              <w:rPr>
                <w:rFonts w:ascii="Arial" w:hAnsi="Arial" w:cs="Arial"/>
                <w:sz w:val="20"/>
              </w:rPr>
              <w:t xml:space="preserve"> (</w:t>
            </w:r>
            <w:hyperlink r:id="rId25" w:history="1">
              <w:r w:rsidRPr="004169E2">
                <w:rPr>
                  <w:rFonts w:ascii="Arial" w:hAnsi="Arial" w:cs="Arial"/>
                  <w:color w:val="0000FF"/>
                  <w:sz w:val="20"/>
                  <w:u w:val="single"/>
                </w:rPr>
                <w:t>https://www.england.nhs.uk/ourwork/futurenhs/deliver-forward-view/</w:t>
              </w:r>
            </w:hyperlink>
            <w:r w:rsidRPr="004169E2">
              <w:rPr>
                <w:rFonts w:ascii="Arial" w:hAnsi="Arial" w:cs="Arial"/>
                <w:sz w:val="20"/>
              </w:rPr>
              <w:t>) through which NHS Trusts and Foundation Trusts can access non-recurrent funding</w:t>
            </w:r>
          </w:p>
        </w:tc>
      </w:tr>
    </w:tbl>
    <w:p w:rsidR="002838DC" w:rsidRDefault="002838DC" w:rsidP="002838DC">
      <w:pPr>
        <w:spacing w:after="0"/>
        <w:rPr>
          <w:rFonts w:ascii="Arial" w:eastAsia="Times New Roman" w:hAnsi="Arial" w:cs="Arial"/>
          <w:b/>
          <w:sz w:val="20"/>
          <w:lang w:val="en-GB" w:eastAsia="en-US"/>
        </w:rPr>
      </w:pPr>
    </w:p>
    <w:p w:rsidR="00A34780" w:rsidRDefault="00A34780" w:rsidP="00A34780">
      <w:pPr>
        <w:spacing w:after="0"/>
        <w:rPr>
          <w:rFonts w:ascii="Arial" w:eastAsia="Times New Roman" w:hAnsi="Arial" w:cs="Arial"/>
          <w:b/>
          <w:sz w:val="20"/>
          <w:lang w:val="en-GB" w:eastAsia="en-US"/>
        </w:rPr>
      </w:pPr>
      <w:r>
        <w:rPr>
          <w:rFonts w:ascii="Arial" w:eastAsia="Times New Roman" w:hAnsi="Arial" w:cs="Arial"/>
          <w:sz w:val="20"/>
          <w:lang w:val="en-GB" w:eastAsia="en-US"/>
        </w:rPr>
        <w:t>With effect from 25 May 2018, delete the definition given to the following defined term:</w:t>
      </w:r>
    </w:p>
    <w:p w:rsidR="00A34780" w:rsidRDefault="00A34780" w:rsidP="002838DC">
      <w:pPr>
        <w:spacing w:after="0"/>
        <w:rPr>
          <w:rFonts w:ascii="Arial" w:eastAsia="Times New Roman" w:hAnsi="Arial" w:cs="Arial"/>
          <w:b/>
          <w:sz w:val="20"/>
          <w:lang w:val="en-GB" w:eastAsia="en-US"/>
        </w:rPr>
      </w:pPr>
    </w:p>
    <w:tbl>
      <w:tblPr>
        <w:tblStyle w:val="TableGrid"/>
        <w:tblW w:w="0" w:type="auto"/>
        <w:tblInd w:w="108" w:type="dxa"/>
        <w:tblLook w:val="04A0" w:firstRow="1" w:lastRow="0" w:firstColumn="1" w:lastColumn="0" w:noHBand="0" w:noVBand="1"/>
        <w:tblCaption w:val="GCs - deleted definitions"/>
        <w:tblDescription w:val="GCs - deleted definitions"/>
      </w:tblPr>
      <w:tblGrid>
        <w:gridCol w:w="8222"/>
      </w:tblGrid>
      <w:tr w:rsidR="00A34780" w:rsidTr="008C79F4">
        <w:tc>
          <w:tcPr>
            <w:tcW w:w="8222" w:type="dxa"/>
          </w:tcPr>
          <w:p w:rsidR="00A34780" w:rsidRDefault="00A34780" w:rsidP="001836C2">
            <w:pPr>
              <w:spacing w:before="120" w:after="120"/>
              <w:rPr>
                <w:rFonts w:ascii="Arial" w:eastAsia="Times New Roman" w:hAnsi="Arial" w:cs="Arial"/>
                <w:b/>
                <w:sz w:val="20"/>
                <w:lang w:val="en-GB" w:eastAsia="en-US"/>
              </w:rPr>
            </w:pPr>
            <w:r w:rsidRPr="00380184">
              <w:rPr>
                <w:rFonts w:ascii="Arial" w:hAnsi="Arial" w:cs="Arial"/>
                <w:b/>
                <w:sz w:val="20"/>
              </w:rPr>
              <w:t xml:space="preserve">DPA </w:t>
            </w:r>
            <w:r w:rsidRPr="00380184">
              <w:rPr>
                <w:rFonts w:ascii="Arial" w:hAnsi="Arial" w:cs="Arial"/>
                <w:sz w:val="20"/>
              </w:rPr>
              <w:t>the Data Protection Act 1998</w:t>
            </w:r>
          </w:p>
        </w:tc>
      </w:tr>
    </w:tbl>
    <w:p w:rsidR="00A34780" w:rsidRDefault="00A34780" w:rsidP="002838DC">
      <w:pPr>
        <w:spacing w:after="0"/>
        <w:rPr>
          <w:rFonts w:ascii="Arial" w:eastAsia="Times New Roman" w:hAnsi="Arial" w:cs="Arial"/>
          <w:b/>
          <w:sz w:val="20"/>
          <w:lang w:val="en-GB" w:eastAsia="en-US"/>
        </w:rPr>
        <w:sectPr w:rsidR="00A34780">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pgNumType w:start="0"/>
          <w:cols w:space="720"/>
        </w:sectPr>
      </w:pPr>
    </w:p>
    <w:p w:rsidR="002838DC" w:rsidRDefault="005F5A49" w:rsidP="00D10302">
      <w:pPr>
        <w:tabs>
          <w:tab w:val="num" w:pos="900"/>
          <w:tab w:val="num" w:pos="6380"/>
        </w:tabs>
        <w:spacing w:after="0"/>
        <w:ind w:left="5967" w:hanging="5967"/>
        <w:rPr>
          <w:rFonts w:ascii="Arial" w:eastAsia="Times New Roman" w:hAnsi="Arial" w:cs="Arial"/>
          <w:b/>
          <w:sz w:val="20"/>
          <w:lang w:val="en-GB" w:eastAsia="en-US"/>
        </w:rPr>
      </w:pPr>
      <w:bookmarkStart w:id="8" w:name="_Ref377560657"/>
      <w:r>
        <w:rPr>
          <w:rFonts w:ascii="Arial" w:eastAsia="Times New Roman" w:hAnsi="Arial" w:cs="Arial"/>
          <w:b/>
          <w:sz w:val="20"/>
          <w:lang w:val="en-GB" w:eastAsia="en-US"/>
        </w:rPr>
        <w:t xml:space="preserve">Appendix </w:t>
      </w:r>
      <w:r w:rsidR="00EC593A">
        <w:rPr>
          <w:rFonts w:ascii="Arial" w:eastAsia="Times New Roman" w:hAnsi="Arial" w:cs="Arial"/>
          <w:b/>
          <w:sz w:val="20"/>
          <w:lang w:val="en-GB" w:eastAsia="en-US"/>
        </w:rPr>
        <w:t>2</w:t>
      </w:r>
      <w:r w:rsidR="002838DC">
        <w:rPr>
          <w:rFonts w:ascii="Arial" w:eastAsia="Times New Roman" w:hAnsi="Arial" w:cs="Arial"/>
          <w:b/>
          <w:sz w:val="20"/>
          <w:lang w:val="en-GB" w:eastAsia="en-US"/>
        </w:rPr>
        <w:t>:</w:t>
      </w:r>
    </w:p>
    <w:p w:rsidR="002838DC" w:rsidRDefault="002838DC" w:rsidP="00D10302">
      <w:pPr>
        <w:tabs>
          <w:tab w:val="num" w:pos="900"/>
          <w:tab w:val="num" w:pos="6380"/>
        </w:tabs>
        <w:spacing w:after="0"/>
        <w:ind w:left="5967" w:hanging="5967"/>
        <w:jc w:val="center"/>
        <w:rPr>
          <w:rFonts w:ascii="Arial" w:eastAsia="Times New Roman" w:hAnsi="Arial" w:cs="Arial"/>
          <w:b/>
          <w:sz w:val="20"/>
          <w:lang w:val="en-GB" w:eastAsia="en-US"/>
        </w:rPr>
      </w:pPr>
      <w:r>
        <w:rPr>
          <w:rFonts w:ascii="Arial" w:eastAsia="Times New Roman" w:hAnsi="Arial" w:cs="Arial"/>
          <w:b/>
          <w:sz w:val="20"/>
          <w:lang w:val="en-GB" w:eastAsia="en-US"/>
        </w:rPr>
        <w:t>Operational Standards and National Quality Requirements</w:t>
      </w:r>
      <w:bookmarkEnd w:id="8"/>
    </w:p>
    <w:p w:rsidR="002838DC" w:rsidRDefault="002838DC" w:rsidP="00D10302">
      <w:pPr>
        <w:spacing w:after="0"/>
        <w:ind w:left="567" w:hanging="567"/>
        <w:jc w:val="center"/>
        <w:rPr>
          <w:rFonts w:ascii="Arial" w:eastAsia="Times New Roman" w:hAnsi="Arial" w:cs="Arial"/>
          <w:b/>
          <w:sz w:val="20"/>
          <w:lang w:val="en-GB" w:eastAsia="en-US"/>
        </w:rPr>
      </w:pPr>
    </w:p>
    <w:p w:rsidR="002838DC" w:rsidRDefault="002838DC" w:rsidP="00D10302">
      <w:pPr>
        <w:spacing w:after="0"/>
        <w:jc w:val="center"/>
        <w:outlineLvl w:val="1"/>
        <w:rPr>
          <w:rFonts w:ascii="Arial" w:eastAsia="Times New Roman" w:hAnsi="Arial" w:cs="Arial"/>
          <w:b/>
          <w:sz w:val="20"/>
          <w:lang w:val="en-GB" w:eastAsia="en-GB"/>
        </w:rPr>
      </w:pPr>
      <w:r>
        <w:rPr>
          <w:rFonts w:ascii="Arial" w:eastAsia="Times New Roman" w:hAnsi="Arial" w:cs="Arial"/>
          <w:b/>
          <w:sz w:val="20"/>
          <w:lang w:val="en-GB" w:eastAsia="en-GB"/>
        </w:rPr>
        <w:t>Schedule 4 Part A:</w:t>
      </w:r>
      <w:r>
        <w:rPr>
          <w:rFonts w:ascii="Arial" w:eastAsia="Times New Roman" w:hAnsi="Arial" w:cs="Arial"/>
          <w:b/>
          <w:sz w:val="20"/>
          <w:lang w:val="en-GB" w:eastAsia="en-GB"/>
        </w:rPr>
        <w:tab/>
        <w:t>Operational Standards</w:t>
      </w:r>
    </w:p>
    <w:p w:rsidR="00D10302" w:rsidRPr="00D10302" w:rsidRDefault="00D10302" w:rsidP="00D10302">
      <w:pPr>
        <w:spacing w:after="0"/>
        <w:ind w:left="142"/>
        <w:rPr>
          <w:rFonts w:ascii="Arial" w:eastAsia="Times New Roman" w:hAnsi="Arial" w:cs="Arial"/>
          <w:b/>
          <w:sz w:val="20"/>
          <w:lang w:val="en-GB" w:eastAsia="en-G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34"/>
        <w:gridCol w:w="2552"/>
        <w:gridCol w:w="1559"/>
        <w:gridCol w:w="2693"/>
        <w:gridCol w:w="2694"/>
        <w:gridCol w:w="1984"/>
        <w:gridCol w:w="1418"/>
      </w:tblGrid>
      <w:tr w:rsidR="00D10302" w:rsidRPr="00D10302" w:rsidTr="00445F85">
        <w:trPr>
          <w:tblHeader/>
        </w:trPr>
        <w:tc>
          <w:tcPr>
            <w:tcW w:w="1134" w:type="dxa"/>
          </w:tcPr>
          <w:p w:rsidR="00D10302" w:rsidRPr="00D10302" w:rsidRDefault="00D10302" w:rsidP="00D10302">
            <w:pPr>
              <w:spacing w:after="0"/>
              <w:rPr>
                <w:rFonts w:ascii="Arial" w:hAnsi="Arial" w:cs="Arial"/>
                <w:b/>
                <w:bCs/>
                <w:sz w:val="20"/>
              </w:rPr>
            </w:pPr>
            <w:r w:rsidRPr="00D10302">
              <w:rPr>
                <w:rFonts w:ascii="Arial" w:hAnsi="Arial" w:cs="Arial"/>
                <w:b/>
                <w:bCs/>
                <w:sz w:val="20"/>
              </w:rPr>
              <w:t>Ref</w:t>
            </w:r>
          </w:p>
        </w:tc>
        <w:tc>
          <w:tcPr>
            <w:tcW w:w="2552" w:type="dxa"/>
          </w:tcPr>
          <w:p w:rsidR="00D10302" w:rsidRPr="00D10302" w:rsidRDefault="00D10302" w:rsidP="00D10302">
            <w:pPr>
              <w:spacing w:after="0"/>
              <w:rPr>
                <w:rFonts w:ascii="Arial" w:hAnsi="Arial" w:cs="Arial"/>
                <w:b/>
                <w:bCs/>
                <w:sz w:val="20"/>
              </w:rPr>
            </w:pPr>
            <w:r w:rsidRPr="00D10302">
              <w:rPr>
                <w:rFonts w:ascii="Arial" w:hAnsi="Arial" w:cs="Arial"/>
                <w:b/>
                <w:bCs/>
                <w:sz w:val="20"/>
              </w:rPr>
              <w:t>Operational Standards</w:t>
            </w:r>
          </w:p>
        </w:tc>
        <w:tc>
          <w:tcPr>
            <w:tcW w:w="1559" w:type="dxa"/>
          </w:tcPr>
          <w:p w:rsidR="00D10302" w:rsidRPr="00D10302" w:rsidRDefault="00D10302" w:rsidP="00D10302">
            <w:pPr>
              <w:spacing w:after="0"/>
              <w:rPr>
                <w:rFonts w:ascii="Arial" w:hAnsi="Arial" w:cs="Arial"/>
                <w:b/>
                <w:bCs/>
                <w:sz w:val="20"/>
              </w:rPr>
            </w:pPr>
            <w:r w:rsidRPr="00D10302">
              <w:rPr>
                <w:rFonts w:ascii="Arial" w:hAnsi="Arial" w:cs="Arial"/>
                <w:b/>
                <w:bCs/>
                <w:sz w:val="20"/>
              </w:rPr>
              <w:t>Threshold</w:t>
            </w:r>
          </w:p>
        </w:tc>
        <w:tc>
          <w:tcPr>
            <w:tcW w:w="2693" w:type="dxa"/>
          </w:tcPr>
          <w:p w:rsidR="00D10302" w:rsidRPr="00D10302" w:rsidRDefault="00D10302" w:rsidP="00D10302">
            <w:pPr>
              <w:spacing w:after="0"/>
              <w:rPr>
                <w:rFonts w:ascii="Arial" w:hAnsi="Arial" w:cs="Arial"/>
                <w:b/>
                <w:bCs/>
                <w:sz w:val="20"/>
              </w:rPr>
            </w:pPr>
            <w:r w:rsidRPr="00D10302">
              <w:rPr>
                <w:rFonts w:ascii="Arial" w:hAnsi="Arial" w:cs="Arial"/>
                <w:b/>
                <w:bCs/>
                <w:sz w:val="20"/>
              </w:rPr>
              <w:t>Method of Measurement</w:t>
            </w:r>
          </w:p>
        </w:tc>
        <w:tc>
          <w:tcPr>
            <w:tcW w:w="2694" w:type="dxa"/>
          </w:tcPr>
          <w:p w:rsidR="00D10302" w:rsidRPr="00D10302" w:rsidRDefault="00D10302" w:rsidP="00D10302">
            <w:pPr>
              <w:spacing w:after="0"/>
              <w:rPr>
                <w:rFonts w:ascii="Arial" w:hAnsi="Arial" w:cs="Arial"/>
                <w:b/>
                <w:bCs/>
                <w:sz w:val="20"/>
              </w:rPr>
            </w:pPr>
            <w:r w:rsidRPr="00D10302">
              <w:rPr>
                <w:rFonts w:ascii="Arial" w:hAnsi="Arial" w:cs="Arial"/>
                <w:b/>
                <w:bCs/>
                <w:sz w:val="20"/>
              </w:rPr>
              <w:t>Consequence of breach</w:t>
            </w:r>
          </w:p>
        </w:tc>
        <w:tc>
          <w:tcPr>
            <w:tcW w:w="1984" w:type="dxa"/>
          </w:tcPr>
          <w:p w:rsidR="00D10302" w:rsidRPr="00D10302" w:rsidRDefault="00D10302" w:rsidP="00D10302">
            <w:pPr>
              <w:spacing w:after="0"/>
              <w:rPr>
                <w:rFonts w:ascii="Arial" w:hAnsi="Arial" w:cs="Arial"/>
                <w:b/>
                <w:bCs/>
                <w:sz w:val="20"/>
              </w:rPr>
            </w:pPr>
            <w:r w:rsidRPr="00D10302">
              <w:rPr>
                <w:rFonts w:ascii="Arial" w:hAnsi="Arial" w:cs="Arial"/>
                <w:b/>
                <w:bCs/>
                <w:sz w:val="20"/>
              </w:rPr>
              <w:t>Timing of application of consequence</w:t>
            </w:r>
          </w:p>
        </w:tc>
        <w:tc>
          <w:tcPr>
            <w:tcW w:w="1418" w:type="dxa"/>
          </w:tcPr>
          <w:p w:rsidR="00D10302" w:rsidRPr="00D10302" w:rsidRDefault="00D10302" w:rsidP="00D10302">
            <w:pPr>
              <w:spacing w:after="0"/>
              <w:rPr>
                <w:rFonts w:ascii="Arial" w:hAnsi="Arial" w:cs="Arial"/>
                <w:b/>
                <w:bCs/>
                <w:sz w:val="20"/>
              </w:rPr>
            </w:pPr>
            <w:r w:rsidRPr="00D10302">
              <w:rPr>
                <w:rFonts w:ascii="Arial" w:hAnsi="Arial" w:cs="Arial"/>
                <w:b/>
                <w:bCs/>
                <w:sz w:val="20"/>
              </w:rPr>
              <w:t>Application</w:t>
            </w:r>
          </w:p>
        </w:tc>
      </w:tr>
      <w:tr w:rsidR="00D10302" w:rsidRPr="00D10302" w:rsidTr="00445F85">
        <w:tc>
          <w:tcPr>
            <w:tcW w:w="1134" w:type="dxa"/>
            <w:shd w:val="clear" w:color="auto" w:fill="95B3D7"/>
          </w:tcPr>
          <w:p w:rsidR="00D10302" w:rsidRPr="00D10302" w:rsidRDefault="00D10302" w:rsidP="00D10302">
            <w:pPr>
              <w:spacing w:after="0"/>
              <w:rPr>
                <w:rFonts w:ascii="Arial" w:hAnsi="Arial" w:cs="Arial"/>
                <w:b/>
                <w:bCs/>
                <w:sz w:val="20"/>
              </w:rPr>
            </w:pPr>
          </w:p>
        </w:tc>
        <w:tc>
          <w:tcPr>
            <w:tcW w:w="2552" w:type="dxa"/>
            <w:shd w:val="clear" w:color="auto" w:fill="95B3D7"/>
          </w:tcPr>
          <w:p w:rsidR="00D10302" w:rsidRPr="00D10302" w:rsidRDefault="00D10302" w:rsidP="00D10302">
            <w:pPr>
              <w:spacing w:after="0"/>
              <w:rPr>
                <w:rFonts w:ascii="Arial" w:hAnsi="Arial" w:cs="Arial"/>
                <w:b/>
                <w:bCs/>
                <w:sz w:val="20"/>
              </w:rPr>
            </w:pPr>
            <w:r w:rsidRPr="00D10302">
              <w:rPr>
                <w:rFonts w:ascii="Arial" w:hAnsi="Arial" w:cs="Arial"/>
                <w:b/>
                <w:bCs/>
                <w:sz w:val="20"/>
              </w:rPr>
              <w:t>RTT waiting times for non-urgent consultant-led treatment</w:t>
            </w:r>
          </w:p>
        </w:tc>
        <w:tc>
          <w:tcPr>
            <w:tcW w:w="1559" w:type="dxa"/>
            <w:shd w:val="clear" w:color="auto" w:fill="95B3D7"/>
          </w:tcPr>
          <w:p w:rsidR="00D10302" w:rsidRPr="00D10302" w:rsidRDefault="00D10302" w:rsidP="00D10302">
            <w:pPr>
              <w:spacing w:after="0"/>
              <w:rPr>
                <w:rFonts w:ascii="Arial" w:hAnsi="Arial" w:cs="Arial"/>
                <w:sz w:val="20"/>
              </w:rPr>
            </w:pPr>
          </w:p>
        </w:tc>
        <w:tc>
          <w:tcPr>
            <w:tcW w:w="2693" w:type="dxa"/>
            <w:shd w:val="clear" w:color="auto" w:fill="95B3D7"/>
          </w:tcPr>
          <w:p w:rsidR="00D10302" w:rsidRPr="00D10302" w:rsidRDefault="00D10302" w:rsidP="00D10302">
            <w:pPr>
              <w:spacing w:after="0"/>
              <w:rPr>
                <w:rFonts w:ascii="Arial" w:hAnsi="Arial" w:cs="Arial"/>
                <w:sz w:val="20"/>
              </w:rPr>
            </w:pPr>
          </w:p>
        </w:tc>
        <w:tc>
          <w:tcPr>
            <w:tcW w:w="2694" w:type="dxa"/>
            <w:shd w:val="clear" w:color="auto" w:fill="95B3D7"/>
          </w:tcPr>
          <w:p w:rsidR="00D10302" w:rsidRPr="00D10302" w:rsidRDefault="00D10302" w:rsidP="00D10302">
            <w:pPr>
              <w:spacing w:after="0"/>
              <w:rPr>
                <w:rFonts w:ascii="Arial" w:hAnsi="Arial" w:cs="Arial"/>
                <w:sz w:val="20"/>
              </w:rPr>
            </w:pPr>
          </w:p>
        </w:tc>
        <w:tc>
          <w:tcPr>
            <w:tcW w:w="1984" w:type="dxa"/>
            <w:shd w:val="clear" w:color="auto" w:fill="95B3D7"/>
          </w:tcPr>
          <w:p w:rsidR="00D10302" w:rsidRPr="00D10302" w:rsidRDefault="00D10302" w:rsidP="00D10302">
            <w:pPr>
              <w:spacing w:after="0"/>
              <w:rPr>
                <w:rFonts w:ascii="Arial" w:hAnsi="Arial" w:cs="Arial"/>
                <w:sz w:val="20"/>
              </w:rPr>
            </w:pPr>
          </w:p>
        </w:tc>
        <w:tc>
          <w:tcPr>
            <w:tcW w:w="1418" w:type="dxa"/>
            <w:shd w:val="clear" w:color="auto" w:fill="95B3D7"/>
          </w:tcPr>
          <w:p w:rsidR="00D10302" w:rsidRPr="00D10302" w:rsidRDefault="00D10302" w:rsidP="00D10302">
            <w:pPr>
              <w:spacing w:after="0"/>
              <w:rPr>
                <w:rFonts w:ascii="Arial" w:hAnsi="Arial" w:cs="Arial"/>
                <w:sz w:val="20"/>
              </w:rPr>
            </w:pP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E.B.3</w:t>
            </w:r>
          </w:p>
        </w:tc>
        <w:tc>
          <w:tcPr>
            <w:tcW w:w="2552" w:type="dxa"/>
          </w:tcPr>
          <w:p w:rsidR="00D10302" w:rsidRPr="00D10302" w:rsidRDefault="00D10302" w:rsidP="00D10302">
            <w:pPr>
              <w:spacing w:after="0"/>
              <w:rPr>
                <w:rFonts w:ascii="Arial" w:hAnsi="Arial" w:cs="Arial"/>
                <w:b/>
                <w:bCs/>
                <w:i/>
                <w:sz w:val="20"/>
              </w:rPr>
            </w:pPr>
            <w:r w:rsidRPr="00D10302">
              <w:rPr>
                <w:rFonts w:ascii="Arial" w:hAnsi="Arial" w:cs="Arial"/>
                <w:b/>
                <w:i/>
                <w:sz w:val="20"/>
              </w:rPr>
              <w:t>Percentage of Service Users on incomplete RTT pathways (yet to start treatment) waiting no more than 18 weeks from Referral*</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92% at specialty level (as reported on Unify)</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waiting more than 18 weeks at the end of the month exceeds the tolerance permitted by the threshold, £300 in respect of each such Service User above that threshold</w:t>
            </w:r>
          </w:p>
          <w:p w:rsidR="00D10302" w:rsidRPr="00D10302" w:rsidRDefault="00D10302" w:rsidP="00D10302">
            <w:pPr>
              <w:spacing w:after="0"/>
              <w:rPr>
                <w:rFonts w:ascii="Arial" w:hAnsi="Arial" w:cs="Arial"/>
                <w:b/>
                <w:i/>
                <w:sz w:val="20"/>
              </w:rPr>
            </w:pP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Services to which 18 Weeks applies</w:t>
            </w:r>
          </w:p>
        </w:tc>
      </w:tr>
      <w:tr w:rsidR="00D10302" w:rsidRPr="00D10302" w:rsidTr="00445F85">
        <w:tc>
          <w:tcPr>
            <w:tcW w:w="1134" w:type="dxa"/>
            <w:shd w:val="clear" w:color="auto" w:fill="95B3D7"/>
          </w:tcPr>
          <w:p w:rsidR="00D10302" w:rsidRPr="00D10302" w:rsidRDefault="00D10302" w:rsidP="00D10302">
            <w:pPr>
              <w:spacing w:after="0"/>
              <w:rPr>
                <w:rFonts w:ascii="Arial" w:hAnsi="Arial" w:cs="Arial"/>
                <w:b/>
                <w:bCs/>
                <w:sz w:val="20"/>
              </w:rPr>
            </w:pPr>
          </w:p>
        </w:tc>
        <w:tc>
          <w:tcPr>
            <w:tcW w:w="2552" w:type="dxa"/>
            <w:shd w:val="clear" w:color="auto" w:fill="95B3D7"/>
          </w:tcPr>
          <w:p w:rsidR="00D10302" w:rsidRPr="00D10302" w:rsidRDefault="00D10302" w:rsidP="00D10302">
            <w:pPr>
              <w:spacing w:after="0"/>
              <w:rPr>
                <w:rFonts w:ascii="Arial" w:hAnsi="Arial" w:cs="Arial"/>
                <w:b/>
                <w:bCs/>
                <w:sz w:val="20"/>
              </w:rPr>
            </w:pPr>
            <w:r w:rsidRPr="00D10302">
              <w:rPr>
                <w:rFonts w:ascii="Arial" w:hAnsi="Arial" w:cs="Arial"/>
                <w:b/>
                <w:bCs/>
                <w:sz w:val="20"/>
              </w:rPr>
              <w:t>Diagnostic test waiting times</w:t>
            </w:r>
          </w:p>
          <w:p w:rsidR="00D10302" w:rsidRPr="00D10302" w:rsidRDefault="00D10302" w:rsidP="00D10302">
            <w:pPr>
              <w:spacing w:after="0"/>
              <w:rPr>
                <w:rFonts w:ascii="Arial" w:hAnsi="Arial" w:cs="Arial"/>
                <w:b/>
                <w:bCs/>
                <w:sz w:val="20"/>
              </w:rPr>
            </w:pPr>
          </w:p>
        </w:tc>
        <w:tc>
          <w:tcPr>
            <w:tcW w:w="1559" w:type="dxa"/>
            <w:shd w:val="clear" w:color="auto" w:fill="95B3D7"/>
          </w:tcPr>
          <w:p w:rsidR="00D10302" w:rsidRPr="00D10302" w:rsidRDefault="00D10302" w:rsidP="00D10302">
            <w:pPr>
              <w:spacing w:after="0"/>
              <w:rPr>
                <w:rFonts w:ascii="Arial" w:hAnsi="Arial" w:cs="Arial"/>
                <w:b/>
                <w:bCs/>
                <w:sz w:val="20"/>
              </w:rPr>
            </w:pPr>
          </w:p>
        </w:tc>
        <w:tc>
          <w:tcPr>
            <w:tcW w:w="2693" w:type="dxa"/>
            <w:shd w:val="clear" w:color="auto" w:fill="95B3D7"/>
          </w:tcPr>
          <w:p w:rsidR="00D10302" w:rsidRPr="00D10302" w:rsidRDefault="00D10302" w:rsidP="00D10302">
            <w:pPr>
              <w:spacing w:after="0"/>
              <w:rPr>
                <w:rFonts w:ascii="Arial" w:hAnsi="Arial" w:cs="Arial"/>
                <w:b/>
                <w:bCs/>
                <w:sz w:val="20"/>
              </w:rPr>
            </w:pPr>
          </w:p>
        </w:tc>
        <w:tc>
          <w:tcPr>
            <w:tcW w:w="2694" w:type="dxa"/>
            <w:shd w:val="clear" w:color="auto" w:fill="95B3D7"/>
          </w:tcPr>
          <w:p w:rsidR="00D10302" w:rsidRPr="00D10302" w:rsidRDefault="00D10302" w:rsidP="00D10302">
            <w:pPr>
              <w:spacing w:after="0"/>
              <w:rPr>
                <w:rFonts w:ascii="Arial" w:hAnsi="Arial" w:cs="Arial"/>
                <w:b/>
                <w:bCs/>
                <w:sz w:val="20"/>
              </w:rPr>
            </w:pPr>
          </w:p>
        </w:tc>
        <w:tc>
          <w:tcPr>
            <w:tcW w:w="1984" w:type="dxa"/>
            <w:shd w:val="clear" w:color="auto" w:fill="95B3D7"/>
          </w:tcPr>
          <w:p w:rsidR="00D10302" w:rsidRPr="00D10302" w:rsidRDefault="00D10302" w:rsidP="00D10302">
            <w:pPr>
              <w:spacing w:after="0"/>
              <w:rPr>
                <w:rFonts w:ascii="Arial" w:hAnsi="Arial" w:cs="Arial"/>
                <w:b/>
                <w:bCs/>
                <w:sz w:val="20"/>
              </w:rPr>
            </w:pPr>
          </w:p>
        </w:tc>
        <w:tc>
          <w:tcPr>
            <w:tcW w:w="1418" w:type="dxa"/>
            <w:shd w:val="clear" w:color="auto" w:fill="95B3D7"/>
          </w:tcPr>
          <w:p w:rsidR="00D10302" w:rsidRPr="00D10302" w:rsidRDefault="00D10302" w:rsidP="00D10302">
            <w:pPr>
              <w:spacing w:after="0"/>
              <w:rPr>
                <w:rFonts w:ascii="Arial" w:hAnsi="Arial" w:cs="Arial"/>
                <w:b/>
                <w:bCs/>
                <w:sz w:val="20"/>
              </w:rPr>
            </w:pP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E.B.4</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Percentage of Service Users waiting 6 weeks or more from Referral for a diagnostic test*</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no more than 1%</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waiting 6 weeks or more at the end of the month exceeds the tolerance permitted by the threshold, £200 in respect of each such Service User above that threshold</w:t>
            </w:r>
          </w:p>
          <w:p w:rsidR="00D10302" w:rsidRPr="00D10302" w:rsidRDefault="00D10302" w:rsidP="00D10302">
            <w:pPr>
              <w:spacing w:after="0"/>
              <w:rPr>
                <w:rFonts w:ascii="Arial" w:hAnsi="Arial" w:cs="Arial"/>
                <w:b/>
                <w:i/>
                <w:sz w:val="20"/>
              </w:rPr>
            </w:pPr>
          </w:p>
          <w:p w:rsidR="00D10302" w:rsidRPr="00D10302" w:rsidRDefault="00D10302" w:rsidP="00D10302">
            <w:pPr>
              <w:spacing w:after="0"/>
              <w:rPr>
                <w:rFonts w:ascii="Arial" w:hAnsi="Arial" w:cs="Arial"/>
                <w:b/>
                <w:i/>
                <w:sz w:val="20"/>
              </w:rPr>
            </w:pP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CS</w:t>
            </w:r>
          </w:p>
          <w:p w:rsidR="00D10302" w:rsidRPr="00D10302" w:rsidRDefault="00D10302" w:rsidP="00D10302">
            <w:pPr>
              <w:spacing w:after="0"/>
              <w:rPr>
                <w:rFonts w:ascii="Arial" w:hAnsi="Arial" w:cs="Arial"/>
                <w:b/>
                <w:i/>
                <w:sz w:val="20"/>
              </w:rPr>
            </w:pPr>
            <w:r w:rsidRPr="00D10302">
              <w:rPr>
                <w:rFonts w:ascii="Arial" w:hAnsi="Arial" w:cs="Arial"/>
                <w:b/>
                <w:i/>
                <w:sz w:val="20"/>
              </w:rPr>
              <w:t>CR</w:t>
            </w:r>
          </w:p>
          <w:p w:rsidR="00D10302" w:rsidRPr="00D10302" w:rsidRDefault="00D10302" w:rsidP="00D10302">
            <w:pPr>
              <w:spacing w:after="0"/>
              <w:rPr>
                <w:rFonts w:ascii="Arial" w:hAnsi="Arial" w:cs="Arial"/>
                <w:b/>
                <w:i/>
                <w:sz w:val="20"/>
              </w:rPr>
            </w:pPr>
            <w:r w:rsidRPr="00D10302">
              <w:rPr>
                <w:rFonts w:ascii="Arial" w:hAnsi="Arial" w:cs="Arial"/>
                <w:b/>
                <w:i/>
                <w:sz w:val="20"/>
              </w:rPr>
              <w:t>D</w:t>
            </w:r>
          </w:p>
        </w:tc>
      </w:tr>
      <w:tr w:rsidR="00D10302" w:rsidRPr="00D10302" w:rsidTr="00445F85">
        <w:tc>
          <w:tcPr>
            <w:tcW w:w="1134" w:type="dxa"/>
            <w:shd w:val="clear" w:color="auto" w:fill="95B3D7"/>
          </w:tcPr>
          <w:p w:rsidR="00D10302" w:rsidRPr="00D10302" w:rsidRDefault="00D10302" w:rsidP="00D10302">
            <w:pPr>
              <w:spacing w:after="0"/>
              <w:rPr>
                <w:rFonts w:ascii="Arial" w:hAnsi="Arial" w:cs="Arial"/>
                <w:b/>
                <w:bCs/>
                <w:sz w:val="20"/>
              </w:rPr>
            </w:pPr>
          </w:p>
        </w:tc>
        <w:tc>
          <w:tcPr>
            <w:tcW w:w="2552" w:type="dxa"/>
            <w:shd w:val="clear" w:color="auto" w:fill="95B3D7"/>
          </w:tcPr>
          <w:p w:rsidR="00D10302" w:rsidRPr="00D10302" w:rsidRDefault="00D10302" w:rsidP="00D10302">
            <w:pPr>
              <w:spacing w:after="0"/>
              <w:rPr>
                <w:rFonts w:ascii="Arial" w:hAnsi="Arial" w:cs="Arial"/>
                <w:b/>
                <w:bCs/>
                <w:sz w:val="20"/>
              </w:rPr>
            </w:pPr>
            <w:r w:rsidRPr="00D10302">
              <w:rPr>
                <w:rFonts w:ascii="Arial" w:hAnsi="Arial" w:cs="Arial"/>
                <w:b/>
                <w:bCs/>
                <w:sz w:val="20"/>
              </w:rPr>
              <w:t>A&amp;E waits</w:t>
            </w:r>
          </w:p>
          <w:p w:rsidR="00D10302" w:rsidRPr="00D10302" w:rsidRDefault="00D10302" w:rsidP="00D10302">
            <w:pPr>
              <w:spacing w:after="0"/>
              <w:rPr>
                <w:rFonts w:ascii="Arial" w:hAnsi="Arial" w:cs="Arial"/>
                <w:b/>
                <w:bCs/>
                <w:sz w:val="20"/>
              </w:rPr>
            </w:pPr>
          </w:p>
        </w:tc>
        <w:tc>
          <w:tcPr>
            <w:tcW w:w="1559" w:type="dxa"/>
            <w:shd w:val="clear" w:color="auto" w:fill="95B3D7"/>
          </w:tcPr>
          <w:p w:rsidR="00D10302" w:rsidRPr="00D10302" w:rsidRDefault="00D10302" w:rsidP="00D10302">
            <w:pPr>
              <w:spacing w:after="0"/>
              <w:rPr>
                <w:rFonts w:ascii="Arial" w:hAnsi="Arial" w:cs="Arial"/>
                <w:b/>
                <w:bCs/>
                <w:sz w:val="20"/>
              </w:rPr>
            </w:pPr>
          </w:p>
        </w:tc>
        <w:tc>
          <w:tcPr>
            <w:tcW w:w="2693" w:type="dxa"/>
            <w:shd w:val="clear" w:color="auto" w:fill="95B3D7"/>
          </w:tcPr>
          <w:p w:rsidR="00D10302" w:rsidRPr="00D10302" w:rsidRDefault="00D10302" w:rsidP="00D10302">
            <w:pPr>
              <w:spacing w:after="0"/>
              <w:rPr>
                <w:rFonts w:ascii="Arial" w:hAnsi="Arial" w:cs="Arial"/>
                <w:b/>
                <w:bCs/>
                <w:sz w:val="20"/>
              </w:rPr>
            </w:pPr>
          </w:p>
        </w:tc>
        <w:tc>
          <w:tcPr>
            <w:tcW w:w="2694" w:type="dxa"/>
            <w:shd w:val="clear" w:color="auto" w:fill="95B3D7"/>
          </w:tcPr>
          <w:p w:rsidR="00D10302" w:rsidRPr="00D10302" w:rsidRDefault="00D10302" w:rsidP="00D10302">
            <w:pPr>
              <w:spacing w:after="0"/>
              <w:rPr>
                <w:rFonts w:ascii="Arial" w:hAnsi="Arial" w:cs="Arial"/>
                <w:b/>
                <w:bCs/>
                <w:sz w:val="20"/>
              </w:rPr>
            </w:pPr>
          </w:p>
        </w:tc>
        <w:tc>
          <w:tcPr>
            <w:tcW w:w="1984" w:type="dxa"/>
            <w:shd w:val="clear" w:color="auto" w:fill="95B3D7"/>
          </w:tcPr>
          <w:p w:rsidR="00D10302" w:rsidRPr="00D10302" w:rsidRDefault="00D10302" w:rsidP="00D10302">
            <w:pPr>
              <w:spacing w:after="0"/>
              <w:rPr>
                <w:rFonts w:ascii="Arial" w:hAnsi="Arial" w:cs="Arial"/>
                <w:b/>
                <w:bCs/>
                <w:sz w:val="20"/>
              </w:rPr>
            </w:pPr>
          </w:p>
        </w:tc>
        <w:tc>
          <w:tcPr>
            <w:tcW w:w="1418" w:type="dxa"/>
            <w:shd w:val="clear" w:color="auto" w:fill="95B3D7"/>
          </w:tcPr>
          <w:p w:rsidR="00D10302" w:rsidRPr="00D10302" w:rsidRDefault="00D10302" w:rsidP="00D10302">
            <w:pPr>
              <w:spacing w:after="0"/>
              <w:rPr>
                <w:rFonts w:ascii="Arial" w:hAnsi="Arial" w:cs="Arial"/>
                <w:b/>
                <w:bCs/>
                <w:sz w:val="20"/>
              </w:rPr>
            </w:pP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E.B.5</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Percentage of A &amp; E attendances where the Service User was admitted, transferred or discharged within 4 hours of their arrival at an A&amp;E department*</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95%</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A&amp;E attendances in the relevant month, no further consequence will be applied in respect of the month</w:t>
            </w:r>
          </w:p>
          <w:p w:rsidR="00D10302" w:rsidRPr="00D10302" w:rsidRDefault="00D10302" w:rsidP="00D10302">
            <w:pPr>
              <w:spacing w:after="0"/>
              <w:rPr>
                <w:rFonts w:ascii="Arial" w:hAnsi="Arial" w:cs="Arial"/>
                <w:b/>
                <w:i/>
                <w:sz w:val="20"/>
              </w:rPr>
            </w:pP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A+E</w:t>
            </w:r>
          </w:p>
          <w:p w:rsidR="00D10302" w:rsidRPr="00D10302" w:rsidRDefault="00D10302" w:rsidP="00D10302">
            <w:pPr>
              <w:spacing w:after="0"/>
              <w:rPr>
                <w:rFonts w:ascii="Arial" w:hAnsi="Arial" w:cs="Arial"/>
                <w:b/>
                <w:i/>
                <w:sz w:val="20"/>
              </w:rPr>
            </w:pPr>
            <w:r w:rsidRPr="00D10302">
              <w:rPr>
                <w:rFonts w:ascii="Arial" w:hAnsi="Arial" w:cs="Arial"/>
                <w:b/>
                <w:i/>
                <w:sz w:val="20"/>
              </w:rPr>
              <w:t>U</w:t>
            </w:r>
          </w:p>
        </w:tc>
      </w:tr>
      <w:tr w:rsidR="00D10302" w:rsidRPr="00D10302" w:rsidTr="00445F85">
        <w:tc>
          <w:tcPr>
            <w:tcW w:w="1134" w:type="dxa"/>
            <w:shd w:val="clear" w:color="auto" w:fill="95B3D7"/>
          </w:tcPr>
          <w:p w:rsidR="00D10302" w:rsidRPr="00D10302" w:rsidRDefault="00D10302" w:rsidP="00D10302">
            <w:pPr>
              <w:spacing w:after="0"/>
              <w:rPr>
                <w:rFonts w:ascii="Arial" w:hAnsi="Arial" w:cs="Arial"/>
                <w:sz w:val="20"/>
              </w:rPr>
            </w:pPr>
          </w:p>
        </w:tc>
        <w:tc>
          <w:tcPr>
            <w:tcW w:w="2552" w:type="dxa"/>
            <w:shd w:val="clear" w:color="auto" w:fill="95B3D7"/>
          </w:tcPr>
          <w:p w:rsidR="00D10302" w:rsidRPr="00D10302" w:rsidRDefault="00D10302" w:rsidP="00D10302">
            <w:pPr>
              <w:spacing w:after="0"/>
              <w:rPr>
                <w:rFonts w:ascii="Arial" w:hAnsi="Arial" w:cs="Arial"/>
                <w:b/>
                <w:sz w:val="20"/>
              </w:rPr>
            </w:pPr>
            <w:r w:rsidRPr="00D10302">
              <w:rPr>
                <w:rFonts w:ascii="Arial" w:hAnsi="Arial" w:cs="Arial"/>
                <w:b/>
                <w:sz w:val="20"/>
              </w:rPr>
              <w:t>Cancer waits - 2 week wait</w:t>
            </w:r>
          </w:p>
          <w:p w:rsidR="00D10302" w:rsidRPr="00D10302" w:rsidRDefault="00D10302" w:rsidP="00D10302">
            <w:pPr>
              <w:spacing w:after="0"/>
              <w:rPr>
                <w:rFonts w:ascii="Arial" w:hAnsi="Arial" w:cs="Arial"/>
                <w:b/>
                <w:sz w:val="20"/>
              </w:rPr>
            </w:pPr>
          </w:p>
        </w:tc>
        <w:tc>
          <w:tcPr>
            <w:tcW w:w="1559" w:type="dxa"/>
            <w:shd w:val="clear" w:color="auto" w:fill="95B3D7"/>
          </w:tcPr>
          <w:p w:rsidR="00D10302" w:rsidRPr="00D10302" w:rsidRDefault="00D10302" w:rsidP="00D10302">
            <w:pPr>
              <w:spacing w:after="0"/>
              <w:rPr>
                <w:rFonts w:ascii="Arial" w:hAnsi="Arial" w:cs="Arial"/>
                <w:sz w:val="20"/>
              </w:rPr>
            </w:pPr>
          </w:p>
        </w:tc>
        <w:tc>
          <w:tcPr>
            <w:tcW w:w="2693" w:type="dxa"/>
            <w:shd w:val="clear" w:color="auto" w:fill="95B3D7"/>
          </w:tcPr>
          <w:p w:rsidR="00D10302" w:rsidRPr="00D10302" w:rsidRDefault="00D10302" w:rsidP="00D10302">
            <w:pPr>
              <w:spacing w:after="0"/>
              <w:rPr>
                <w:rFonts w:ascii="Arial" w:hAnsi="Arial" w:cs="Arial"/>
                <w:sz w:val="20"/>
              </w:rPr>
            </w:pPr>
          </w:p>
        </w:tc>
        <w:tc>
          <w:tcPr>
            <w:tcW w:w="2694" w:type="dxa"/>
            <w:shd w:val="clear" w:color="auto" w:fill="95B3D7"/>
          </w:tcPr>
          <w:p w:rsidR="00D10302" w:rsidRPr="00D10302" w:rsidRDefault="00D10302" w:rsidP="00D10302">
            <w:pPr>
              <w:spacing w:after="0"/>
              <w:rPr>
                <w:rFonts w:ascii="Arial" w:hAnsi="Arial" w:cs="Arial"/>
                <w:sz w:val="20"/>
              </w:rPr>
            </w:pPr>
          </w:p>
        </w:tc>
        <w:tc>
          <w:tcPr>
            <w:tcW w:w="1984" w:type="dxa"/>
            <w:shd w:val="clear" w:color="auto" w:fill="95B3D7"/>
          </w:tcPr>
          <w:p w:rsidR="00D10302" w:rsidRPr="00D10302" w:rsidRDefault="00D10302" w:rsidP="00D10302">
            <w:pPr>
              <w:spacing w:after="0"/>
              <w:rPr>
                <w:rFonts w:ascii="Arial" w:hAnsi="Arial" w:cs="Arial"/>
                <w:sz w:val="20"/>
              </w:rPr>
            </w:pPr>
          </w:p>
        </w:tc>
        <w:tc>
          <w:tcPr>
            <w:tcW w:w="1418" w:type="dxa"/>
            <w:shd w:val="clear" w:color="auto" w:fill="95B3D7"/>
          </w:tcPr>
          <w:p w:rsidR="00D10302" w:rsidRPr="00D10302" w:rsidRDefault="00D10302" w:rsidP="00D10302">
            <w:pPr>
              <w:spacing w:after="0"/>
              <w:rPr>
                <w:rFonts w:ascii="Arial" w:hAnsi="Arial" w:cs="Arial"/>
                <w:sz w:val="20"/>
              </w:rPr>
            </w:pP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E.B.6</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Percentage of Service Users referred urgently with suspected cancer by a GP waiting no more than two weeks for first outpatient appointment*</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93%</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 xml:space="preserve">Where the number of Service Users who have waited more than two weeks during the Quarter exceeds the tolerance permitted by the threshold, £200 in respect of each such Service User above that threshold </w:t>
            </w: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CR</w:t>
            </w:r>
          </w:p>
          <w:p w:rsidR="00D10302" w:rsidRPr="00D10302" w:rsidRDefault="00D10302" w:rsidP="00D10302">
            <w:pPr>
              <w:spacing w:after="0"/>
              <w:rPr>
                <w:rFonts w:ascii="Arial" w:hAnsi="Arial" w:cs="Arial"/>
                <w:b/>
                <w:i/>
                <w:sz w:val="20"/>
              </w:rPr>
            </w:pPr>
            <w:r w:rsidRPr="00D10302">
              <w:rPr>
                <w:rFonts w:ascii="Arial" w:hAnsi="Arial" w:cs="Arial"/>
                <w:b/>
                <w:i/>
                <w:sz w:val="20"/>
              </w:rPr>
              <w:t>R</w:t>
            </w: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E.B.7</w:t>
            </w:r>
          </w:p>
        </w:tc>
        <w:tc>
          <w:tcPr>
            <w:tcW w:w="2552" w:type="dxa"/>
          </w:tcPr>
          <w:p w:rsidR="00D10302" w:rsidRPr="00D10302" w:rsidRDefault="00D10302" w:rsidP="00D10302">
            <w:pPr>
              <w:spacing w:after="0"/>
              <w:rPr>
                <w:rFonts w:ascii="Arial" w:hAnsi="Arial" w:cs="Arial"/>
                <w:b/>
                <w:bCs/>
                <w:i/>
                <w:sz w:val="20"/>
              </w:rPr>
            </w:pPr>
            <w:r w:rsidRPr="00D10302">
              <w:rPr>
                <w:rFonts w:ascii="Arial" w:hAnsi="Arial" w:cs="Arial"/>
                <w:b/>
                <w:i/>
                <w:sz w:val="20"/>
              </w:rPr>
              <w:t>Percentage of Service Users referred urgently with breast symptoms (where cancer was not initially suspected) waiting no more than two weeks for first outpatient appointment*</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93%</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who have waited more than two weeks during the Quarter exceeds the tolerance permitted by the threshold, £200 in respect of each such Service User above that threshold</w:t>
            </w:r>
          </w:p>
          <w:p w:rsidR="00D10302" w:rsidRPr="00D10302" w:rsidRDefault="00D10302" w:rsidP="00D10302">
            <w:pPr>
              <w:spacing w:after="0"/>
              <w:rPr>
                <w:rFonts w:ascii="Arial" w:hAnsi="Arial" w:cs="Arial"/>
                <w:b/>
                <w:i/>
                <w:sz w:val="20"/>
              </w:rPr>
            </w:pP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CR</w:t>
            </w:r>
          </w:p>
          <w:p w:rsidR="00D10302" w:rsidRPr="00D10302" w:rsidRDefault="00D10302" w:rsidP="00D10302">
            <w:pPr>
              <w:spacing w:after="0"/>
              <w:rPr>
                <w:rFonts w:ascii="Arial" w:hAnsi="Arial" w:cs="Arial"/>
                <w:b/>
                <w:i/>
                <w:sz w:val="20"/>
              </w:rPr>
            </w:pPr>
            <w:r w:rsidRPr="00D10302">
              <w:rPr>
                <w:rFonts w:ascii="Arial" w:hAnsi="Arial" w:cs="Arial"/>
                <w:b/>
                <w:i/>
                <w:sz w:val="20"/>
              </w:rPr>
              <w:t>R</w:t>
            </w:r>
          </w:p>
        </w:tc>
      </w:tr>
      <w:tr w:rsidR="00D10302" w:rsidRPr="00D10302" w:rsidTr="00445F85">
        <w:tc>
          <w:tcPr>
            <w:tcW w:w="1134" w:type="dxa"/>
            <w:shd w:val="clear" w:color="auto" w:fill="95B3D7"/>
          </w:tcPr>
          <w:p w:rsidR="00D10302" w:rsidRPr="00D10302" w:rsidRDefault="00D10302" w:rsidP="00D10302">
            <w:pPr>
              <w:spacing w:after="0"/>
              <w:rPr>
                <w:rFonts w:ascii="Arial" w:hAnsi="Arial" w:cs="Arial"/>
                <w:sz w:val="20"/>
              </w:rPr>
            </w:pPr>
          </w:p>
        </w:tc>
        <w:tc>
          <w:tcPr>
            <w:tcW w:w="2552" w:type="dxa"/>
            <w:shd w:val="clear" w:color="auto" w:fill="95B3D7"/>
          </w:tcPr>
          <w:p w:rsidR="00D10302" w:rsidRPr="00D10302" w:rsidRDefault="00D10302" w:rsidP="00D10302">
            <w:pPr>
              <w:spacing w:after="0"/>
              <w:rPr>
                <w:rFonts w:ascii="Arial" w:hAnsi="Arial" w:cs="Arial"/>
                <w:b/>
                <w:sz w:val="20"/>
              </w:rPr>
            </w:pPr>
            <w:r w:rsidRPr="00D10302">
              <w:rPr>
                <w:rFonts w:ascii="Arial" w:hAnsi="Arial" w:cs="Arial"/>
                <w:b/>
                <w:sz w:val="20"/>
              </w:rPr>
              <w:t>Cancer waits – 31 days</w:t>
            </w:r>
          </w:p>
          <w:p w:rsidR="00D10302" w:rsidRPr="00D10302" w:rsidRDefault="00D10302" w:rsidP="00D10302">
            <w:pPr>
              <w:spacing w:after="0"/>
              <w:rPr>
                <w:rFonts w:ascii="Arial" w:hAnsi="Arial" w:cs="Arial"/>
                <w:b/>
                <w:sz w:val="20"/>
              </w:rPr>
            </w:pPr>
          </w:p>
        </w:tc>
        <w:tc>
          <w:tcPr>
            <w:tcW w:w="1559" w:type="dxa"/>
            <w:shd w:val="clear" w:color="auto" w:fill="95B3D7"/>
          </w:tcPr>
          <w:p w:rsidR="00D10302" w:rsidRPr="00D10302" w:rsidRDefault="00D10302" w:rsidP="00D10302">
            <w:pPr>
              <w:spacing w:after="0"/>
              <w:rPr>
                <w:rFonts w:ascii="Arial" w:hAnsi="Arial" w:cs="Arial"/>
                <w:sz w:val="20"/>
              </w:rPr>
            </w:pPr>
          </w:p>
        </w:tc>
        <w:tc>
          <w:tcPr>
            <w:tcW w:w="2693" w:type="dxa"/>
            <w:shd w:val="clear" w:color="auto" w:fill="95B3D7"/>
          </w:tcPr>
          <w:p w:rsidR="00D10302" w:rsidRPr="00D10302" w:rsidRDefault="00D10302" w:rsidP="00D10302">
            <w:pPr>
              <w:spacing w:after="0"/>
              <w:rPr>
                <w:rFonts w:ascii="Arial" w:hAnsi="Arial" w:cs="Arial"/>
                <w:sz w:val="20"/>
              </w:rPr>
            </w:pPr>
          </w:p>
        </w:tc>
        <w:tc>
          <w:tcPr>
            <w:tcW w:w="2694" w:type="dxa"/>
            <w:shd w:val="clear" w:color="auto" w:fill="95B3D7"/>
          </w:tcPr>
          <w:p w:rsidR="00D10302" w:rsidRPr="00D10302" w:rsidRDefault="00D10302" w:rsidP="00D10302">
            <w:pPr>
              <w:spacing w:after="0"/>
              <w:rPr>
                <w:rFonts w:ascii="Arial" w:hAnsi="Arial" w:cs="Arial"/>
                <w:sz w:val="20"/>
              </w:rPr>
            </w:pPr>
          </w:p>
        </w:tc>
        <w:tc>
          <w:tcPr>
            <w:tcW w:w="1984" w:type="dxa"/>
            <w:shd w:val="clear" w:color="auto" w:fill="95B3D7"/>
          </w:tcPr>
          <w:p w:rsidR="00D10302" w:rsidRPr="00D10302" w:rsidRDefault="00D10302" w:rsidP="00D10302">
            <w:pPr>
              <w:spacing w:after="0"/>
              <w:rPr>
                <w:rFonts w:ascii="Arial" w:hAnsi="Arial" w:cs="Arial"/>
                <w:sz w:val="20"/>
              </w:rPr>
            </w:pPr>
          </w:p>
        </w:tc>
        <w:tc>
          <w:tcPr>
            <w:tcW w:w="1418" w:type="dxa"/>
            <w:shd w:val="clear" w:color="auto" w:fill="95B3D7"/>
          </w:tcPr>
          <w:p w:rsidR="00D10302" w:rsidRPr="00D10302" w:rsidRDefault="00D10302" w:rsidP="00D10302">
            <w:pPr>
              <w:spacing w:after="0"/>
              <w:rPr>
                <w:rFonts w:ascii="Arial" w:hAnsi="Arial" w:cs="Arial"/>
                <w:sz w:val="20"/>
              </w:rPr>
            </w:pP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E.B.8</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Percentage of Service Users waiting no more than one month (31 days) from diagnosis to first definitive treatment for all cancers*</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96%</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who have waited more than 31 days during the Quarter exceeds the tolerance permitted by the threshold, £1,000 in respect of each such Service User above that threshold</w:t>
            </w:r>
          </w:p>
          <w:p w:rsidR="00D10302" w:rsidRPr="00D10302" w:rsidRDefault="00D10302" w:rsidP="00D10302">
            <w:pPr>
              <w:spacing w:after="0"/>
              <w:rPr>
                <w:rFonts w:ascii="Arial" w:hAnsi="Arial" w:cs="Arial"/>
                <w:b/>
                <w:i/>
                <w:sz w:val="20"/>
              </w:rPr>
            </w:pP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CR</w:t>
            </w:r>
          </w:p>
          <w:p w:rsidR="00D10302" w:rsidRPr="00D10302" w:rsidRDefault="00D10302" w:rsidP="00D10302">
            <w:pPr>
              <w:spacing w:after="0"/>
              <w:rPr>
                <w:rFonts w:ascii="Arial" w:hAnsi="Arial" w:cs="Arial"/>
                <w:b/>
                <w:i/>
                <w:sz w:val="20"/>
              </w:rPr>
            </w:pPr>
            <w:r w:rsidRPr="00D10302">
              <w:rPr>
                <w:rFonts w:ascii="Arial" w:hAnsi="Arial" w:cs="Arial"/>
                <w:b/>
                <w:i/>
                <w:sz w:val="20"/>
              </w:rPr>
              <w:t>R</w:t>
            </w: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E.B.9</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br w:type="page"/>
              <w:t>Percentage of Service Users waiting no more than 31 days for subsequent treatment where that treatment is surgery*</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94%</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who have waited more than 31 days during the Quarter exceeds the tolerance permitted by the threshold, £1,000 in respect of each such Service User above that threshold</w:t>
            </w:r>
          </w:p>
          <w:p w:rsidR="00D10302" w:rsidRPr="00D10302" w:rsidRDefault="00D10302" w:rsidP="00D10302">
            <w:pPr>
              <w:spacing w:after="0"/>
              <w:rPr>
                <w:rFonts w:ascii="Arial" w:hAnsi="Arial" w:cs="Arial"/>
                <w:b/>
                <w:i/>
                <w:sz w:val="20"/>
              </w:rPr>
            </w:pP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CR</w:t>
            </w:r>
          </w:p>
          <w:p w:rsidR="00D10302" w:rsidRPr="00D10302" w:rsidRDefault="00D10302" w:rsidP="00D10302">
            <w:pPr>
              <w:spacing w:after="0"/>
              <w:rPr>
                <w:rFonts w:ascii="Arial" w:hAnsi="Arial" w:cs="Arial"/>
                <w:b/>
                <w:i/>
                <w:sz w:val="20"/>
              </w:rPr>
            </w:pPr>
            <w:r w:rsidRPr="00D10302">
              <w:rPr>
                <w:rFonts w:ascii="Arial" w:hAnsi="Arial" w:cs="Arial"/>
                <w:b/>
                <w:i/>
                <w:sz w:val="20"/>
              </w:rPr>
              <w:t>R</w:t>
            </w: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E.B.10</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Percentage of Service Users waiting no more than 31 days for subsequent treatment where that treatment is an anti-cancer drug regimen*</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98%</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who have waited more than 31 days during the Quarter exceeds the tolerance permitted by the threshold, £1,000 in respect of each such Service User above that threshold</w:t>
            </w: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CR</w:t>
            </w:r>
          </w:p>
          <w:p w:rsidR="00D10302" w:rsidRPr="00D10302" w:rsidRDefault="00D10302" w:rsidP="00D10302">
            <w:pPr>
              <w:spacing w:after="0"/>
              <w:rPr>
                <w:rFonts w:ascii="Arial" w:hAnsi="Arial" w:cs="Arial"/>
                <w:b/>
                <w:i/>
                <w:sz w:val="20"/>
              </w:rPr>
            </w:pPr>
            <w:r w:rsidRPr="00D10302">
              <w:rPr>
                <w:rFonts w:ascii="Arial" w:hAnsi="Arial" w:cs="Arial"/>
                <w:b/>
                <w:i/>
                <w:sz w:val="20"/>
              </w:rPr>
              <w:t>R</w:t>
            </w: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E.B.11</w:t>
            </w:r>
          </w:p>
        </w:tc>
        <w:tc>
          <w:tcPr>
            <w:tcW w:w="2552" w:type="dxa"/>
          </w:tcPr>
          <w:p w:rsidR="00D10302" w:rsidRPr="00D10302" w:rsidRDefault="00D10302" w:rsidP="00D10302">
            <w:pPr>
              <w:spacing w:after="0"/>
              <w:rPr>
                <w:rFonts w:ascii="Arial" w:hAnsi="Arial" w:cs="Arial"/>
                <w:b/>
                <w:bCs/>
                <w:i/>
                <w:sz w:val="20"/>
              </w:rPr>
            </w:pPr>
            <w:r w:rsidRPr="00D10302">
              <w:rPr>
                <w:rFonts w:ascii="Arial" w:hAnsi="Arial" w:cs="Arial"/>
                <w:b/>
                <w:i/>
                <w:sz w:val="20"/>
              </w:rPr>
              <w:t>Percentage of Service Users waiting no more than 31 days for subsequent treatment where the treatment is a course of radiotherapy*</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94%</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who have waited more than 31 days during the Quarter exceeds the tolerance permitted by the threshold, £1,000 in respect of each such Service User above that threshold</w:t>
            </w: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CR</w:t>
            </w:r>
          </w:p>
          <w:p w:rsidR="00D10302" w:rsidRPr="00D10302" w:rsidRDefault="00D10302" w:rsidP="00D10302">
            <w:pPr>
              <w:spacing w:after="0"/>
              <w:rPr>
                <w:rFonts w:ascii="Arial" w:hAnsi="Arial" w:cs="Arial"/>
                <w:b/>
                <w:i/>
                <w:sz w:val="20"/>
              </w:rPr>
            </w:pPr>
            <w:r w:rsidRPr="00D10302">
              <w:rPr>
                <w:rFonts w:ascii="Arial" w:hAnsi="Arial" w:cs="Arial"/>
                <w:b/>
                <w:i/>
                <w:sz w:val="20"/>
              </w:rPr>
              <w:t>R</w:t>
            </w:r>
          </w:p>
        </w:tc>
      </w:tr>
      <w:tr w:rsidR="00D10302" w:rsidRPr="00D10302" w:rsidTr="00445F85">
        <w:tc>
          <w:tcPr>
            <w:tcW w:w="1134" w:type="dxa"/>
            <w:shd w:val="clear" w:color="auto" w:fill="95B3D7"/>
          </w:tcPr>
          <w:p w:rsidR="00D10302" w:rsidRPr="00D10302" w:rsidRDefault="00D10302" w:rsidP="00D10302">
            <w:pPr>
              <w:spacing w:after="0"/>
              <w:rPr>
                <w:rFonts w:ascii="Arial" w:hAnsi="Arial" w:cs="Arial"/>
                <w:sz w:val="20"/>
              </w:rPr>
            </w:pPr>
          </w:p>
        </w:tc>
        <w:tc>
          <w:tcPr>
            <w:tcW w:w="2552" w:type="dxa"/>
            <w:shd w:val="clear" w:color="auto" w:fill="95B3D7"/>
          </w:tcPr>
          <w:p w:rsidR="00D10302" w:rsidRPr="00D10302" w:rsidRDefault="00D10302" w:rsidP="00D10302">
            <w:pPr>
              <w:spacing w:after="0"/>
              <w:rPr>
                <w:rFonts w:ascii="Arial" w:hAnsi="Arial" w:cs="Arial"/>
                <w:b/>
                <w:sz w:val="20"/>
              </w:rPr>
            </w:pPr>
            <w:r w:rsidRPr="00D10302">
              <w:rPr>
                <w:rFonts w:ascii="Arial" w:hAnsi="Arial" w:cs="Arial"/>
                <w:b/>
                <w:sz w:val="20"/>
              </w:rPr>
              <w:t>Cancer waits – 62 days</w:t>
            </w:r>
          </w:p>
          <w:p w:rsidR="00D10302" w:rsidRPr="00D10302" w:rsidRDefault="00D10302" w:rsidP="00D10302">
            <w:pPr>
              <w:spacing w:after="0"/>
              <w:rPr>
                <w:rFonts w:ascii="Arial" w:hAnsi="Arial" w:cs="Arial"/>
                <w:b/>
                <w:sz w:val="20"/>
              </w:rPr>
            </w:pPr>
          </w:p>
        </w:tc>
        <w:tc>
          <w:tcPr>
            <w:tcW w:w="1559" w:type="dxa"/>
            <w:shd w:val="clear" w:color="auto" w:fill="95B3D7"/>
          </w:tcPr>
          <w:p w:rsidR="00D10302" w:rsidRPr="00D10302" w:rsidRDefault="00D10302" w:rsidP="00D10302">
            <w:pPr>
              <w:spacing w:after="0"/>
              <w:rPr>
                <w:rFonts w:ascii="Arial" w:hAnsi="Arial" w:cs="Arial"/>
                <w:sz w:val="20"/>
              </w:rPr>
            </w:pPr>
          </w:p>
        </w:tc>
        <w:tc>
          <w:tcPr>
            <w:tcW w:w="2693" w:type="dxa"/>
            <w:shd w:val="clear" w:color="auto" w:fill="95B3D7"/>
          </w:tcPr>
          <w:p w:rsidR="00D10302" w:rsidRPr="00D10302" w:rsidRDefault="00D10302" w:rsidP="00D10302">
            <w:pPr>
              <w:spacing w:after="0"/>
              <w:rPr>
                <w:rFonts w:ascii="Arial" w:hAnsi="Arial" w:cs="Arial"/>
                <w:sz w:val="20"/>
              </w:rPr>
            </w:pPr>
          </w:p>
        </w:tc>
        <w:tc>
          <w:tcPr>
            <w:tcW w:w="2694" w:type="dxa"/>
            <w:shd w:val="clear" w:color="auto" w:fill="95B3D7"/>
          </w:tcPr>
          <w:p w:rsidR="00D10302" w:rsidRPr="00D10302" w:rsidRDefault="00D10302" w:rsidP="00D10302">
            <w:pPr>
              <w:spacing w:after="0"/>
              <w:rPr>
                <w:rFonts w:ascii="Arial" w:hAnsi="Arial" w:cs="Arial"/>
                <w:sz w:val="20"/>
              </w:rPr>
            </w:pPr>
          </w:p>
        </w:tc>
        <w:tc>
          <w:tcPr>
            <w:tcW w:w="1984" w:type="dxa"/>
            <w:shd w:val="clear" w:color="auto" w:fill="95B3D7"/>
          </w:tcPr>
          <w:p w:rsidR="00D10302" w:rsidRPr="00D10302" w:rsidRDefault="00D10302" w:rsidP="00D10302">
            <w:pPr>
              <w:spacing w:after="0"/>
              <w:rPr>
                <w:rFonts w:ascii="Arial" w:hAnsi="Arial" w:cs="Arial"/>
                <w:sz w:val="20"/>
              </w:rPr>
            </w:pPr>
          </w:p>
        </w:tc>
        <w:tc>
          <w:tcPr>
            <w:tcW w:w="1418" w:type="dxa"/>
            <w:shd w:val="clear" w:color="auto" w:fill="95B3D7"/>
          </w:tcPr>
          <w:p w:rsidR="00D10302" w:rsidRPr="00D10302" w:rsidRDefault="00D10302" w:rsidP="00D10302">
            <w:pPr>
              <w:spacing w:after="0"/>
              <w:rPr>
                <w:rFonts w:ascii="Arial" w:hAnsi="Arial" w:cs="Arial"/>
                <w:sz w:val="20"/>
              </w:rPr>
            </w:pP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E.B.12</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Percentage of Service Users waiting no more than two months (62 days) from urgent GP referral to first definitive treatment for cancer*</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85%</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who have waited more than 62 days during the Quarter exceeds the tolerance permitted by the threshold, £1,000 in respect of each such Service User above that threshold</w:t>
            </w:r>
          </w:p>
          <w:p w:rsidR="00D10302" w:rsidRPr="00D10302" w:rsidRDefault="00D10302" w:rsidP="00D10302">
            <w:pPr>
              <w:spacing w:after="0"/>
              <w:rPr>
                <w:rFonts w:ascii="Arial" w:hAnsi="Arial" w:cs="Arial"/>
                <w:b/>
                <w:i/>
                <w:sz w:val="20"/>
              </w:rPr>
            </w:pPr>
          </w:p>
          <w:p w:rsidR="00D10302" w:rsidRPr="00D10302" w:rsidRDefault="00D10302" w:rsidP="00D10302">
            <w:pPr>
              <w:spacing w:after="0"/>
              <w:rPr>
                <w:rFonts w:ascii="Arial" w:hAnsi="Arial" w:cs="Arial"/>
                <w:b/>
                <w:i/>
                <w:sz w:val="20"/>
              </w:rPr>
            </w:pP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CR</w:t>
            </w:r>
          </w:p>
          <w:p w:rsidR="00D10302" w:rsidRPr="00D10302" w:rsidRDefault="00D10302" w:rsidP="00D10302">
            <w:pPr>
              <w:spacing w:after="0"/>
              <w:rPr>
                <w:rFonts w:ascii="Arial" w:hAnsi="Arial" w:cs="Arial"/>
                <w:b/>
                <w:i/>
                <w:sz w:val="20"/>
              </w:rPr>
            </w:pPr>
            <w:r w:rsidRPr="00D10302">
              <w:rPr>
                <w:rFonts w:ascii="Arial" w:hAnsi="Arial" w:cs="Arial"/>
                <w:b/>
                <w:i/>
                <w:sz w:val="20"/>
              </w:rPr>
              <w:t>R</w:t>
            </w:r>
          </w:p>
        </w:tc>
      </w:tr>
      <w:tr w:rsidR="00D10302" w:rsidRPr="00D10302" w:rsidTr="00445F85">
        <w:tc>
          <w:tcPr>
            <w:tcW w:w="1134" w:type="dxa"/>
          </w:tcPr>
          <w:p w:rsidR="00D10302" w:rsidRPr="00D10302" w:rsidRDefault="00D10302" w:rsidP="00D10302">
            <w:pPr>
              <w:spacing w:after="0"/>
              <w:rPr>
                <w:rFonts w:ascii="Arial" w:hAnsi="Arial" w:cs="Arial"/>
                <w:b/>
                <w:i/>
                <w:sz w:val="20"/>
              </w:rPr>
            </w:pPr>
            <w:r w:rsidRPr="00D10302">
              <w:rPr>
                <w:rFonts w:ascii="Arial" w:hAnsi="Arial" w:cs="Arial"/>
                <w:b/>
                <w:i/>
                <w:sz w:val="20"/>
              </w:rPr>
              <w:t>E.B.13</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Percentage of Service Users waiting no more than 62 days from referral from an NHS screening service to first definitive treatment for all cancers*</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90%</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694"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in the Quarter who have waited more than 62 days during the Quarter exceeds the tolerance permitted by the  threshold, £1,000 in respect of each such Service User above that threshold</w:t>
            </w:r>
          </w:p>
          <w:p w:rsidR="00D10302" w:rsidRPr="00D10302" w:rsidRDefault="00D10302" w:rsidP="00D10302">
            <w:pPr>
              <w:spacing w:after="0"/>
              <w:rPr>
                <w:rFonts w:ascii="Arial" w:hAnsi="Arial" w:cs="Arial"/>
                <w:b/>
                <w:i/>
                <w:sz w:val="20"/>
              </w:rPr>
            </w:pPr>
          </w:p>
        </w:tc>
        <w:tc>
          <w:tcPr>
            <w:tcW w:w="1984"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8"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CR</w:t>
            </w:r>
          </w:p>
          <w:p w:rsidR="00D10302" w:rsidRPr="00D10302" w:rsidRDefault="00D10302" w:rsidP="00D10302">
            <w:pPr>
              <w:spacing w:after="0"/>
              <w:rPr>
                <w:rFonts w:ascii="Arial" w:hAnsi="Arial" w:cs="Arial"/>
                <w:b/>
                <w:i/>
                <w:sz w:val="20"/>
              </w:rPr>
            </w:pPr>
            <w:r w:rsidRPr="00D10302">
              <w:rPr>
                <w:rFonts w:ascii="Arial" w:hAnsi="Arial" w:cs="Arial"/>
                <w:b/>
                <w:i/>
                <w:sz w:val="20"/>
              </w:rPr>
              <w:t>R</w:t>
            </w:r>
          </w:p>
        </w:tc>
      </w:tr>
      <w:tr w:rsidR="00D10302" w:rsidRPr="00D10302" w:rsidTr="00445F85">
        <w:tc>
          <w:tcPr>
            <w:tcW w:w="1134" w:type="dxa"/>
            <w:tcBorders>
              <w:bottom w:val="single" w:sz="4" w:space="0" w:color="auto"/>
            </w:tcBorders>
            <w:shd w:val="clear" w:color="auto" w:fill="95B3D7"/>
          </w:tcPr>
          <w:p w:rsidR="00D10302" w:rsidRPr="00D10302" w:rsidRDefault="00D10302" w:rsidP="00D10302">
            <w:pPr>
              <w:spacing w:after="0"/>
              <w:rPr>
                <w:rFonts w:ascii="Arial" w:hAnsi="Arial" w:cs="Arial"/>
                <w:sz w:val="20"/>
              </w:rPr>
            </w:pPr>
          </w:p>
        </w:tc>
        <w:tc>
          <w:tcPr>
            <w:tcW w:w="2552" w:type="dxa"/>
            <w:tcBorders>
              <w:bottom w:val="single" w:sz="4" w:space="0" w:color="auto"/>
            </w:tcBorders>
            <w:shd w:val="clear" w:color="auto" w:fill="95B3D7"/>
          </w:tcPr>
          <w:p w:rsidR="00D10302" w:rsidRPr="00D10302" w:rsidRDefault="00D10302" w:rsidP="00D10302">
            <w:pPr>
              <w:spacing w:after="0"/>
              <w:rPr>
                <w:rFonts w:ascii="Arial" w:hAnsi="Arial" w:cs="Arial"/>
                <w:b/>
                <w:sz w:val="20"/>
              </w:rPr>
            </w:pPr>
            <w:r w:rsidRPr="00D10302">
              <w:rPr>
                <w:rFonts w:ascii="Arial" w:hAnsi="Arial" w:cs="Arial"/>
                <w:b/>
                <w:sz w:val="20"/>
              </w:rPr>
              <w:t>Ambulance Service Response Times</w:t>
            </w:r>
          </w:p>
        </w:tc>
        <w:tc>
          <w:tcPr>
            <w:tcW w:w="1559" w:type="dxa"/>
            <w:tcBorders>
              <w:bottom w:val="single" w:sz="4" w:space="0" w:color="auto"/>
            </w:tcBorders>
            <w:shd w:val="clear" w:color="auto" w:fill="95B3D7"/>
          </w:tcPr>
          <w:p w:rsidR="00D10302" w:rsidRPr="00D10302" w:rsidRDefault="00D10302" w:rsidP="00D10302">
            <w:pPr>
              <w:spacing w:after="0"/>
              <w:rPr>
                <w:rFonts w:ascii="Arial" w:hAnsi="Arial" w:cs="Arial"/>
                <w:sz w:val="20"/>
              </w:rPr>
            </w:pPr>
          </w:p>
        </w:tc>
        <w:tc>
          <w:tcPr>
            <w:tcW w:w="2693" w:type="dxa"/>
            <w:tcBorders>
              <w:bottom w:val="single" w:sz="4" w:space="0" w:color="auto"/>
            </w:tcBorders>
            <w:shd w:val="clear" w:color="auto" w:fill="95B3D7"/>
          </w:tcPr>
          <w:p w:rsidR="00D10302" w:rsidRPr="00D10302" w:rsidRDefault="00D10302" w:rsidP="00D10302">
            <w:pPr>
              <w:spacing w:after="0"/>
              <w:rPr>
                <w:rFonts w:ascii="Arial" w:hAnsi="Arial" w:cs="Arial"/>
                <w:sz w:val="20"/>
              </w:rPr>
            </w:pPr>
          </w:p>
        </w:tc>
        <w:tc>
          <w:tcPr>
            <w:tcW w:w="2694" w:type="dxa"/>
            <w:tcBorders>
              <w:bottom w:val="single" w:sz="4" w:space="0" w:color="auto"/>
            </w:tcBorders>
            <w:shd w:val="clear" w:color="auto" w:fill="95B3D7"/>
          </w:tcPr>
          <w:p w:rsidR="00D10302" w:rsidRPr="00D10302" w:rsidRDefault="00D10302" w:rsidP="00D10302">
            <w:pPr>
              <w:spacing w:after="0"/>
              <w:rPr>
                <w:rFonts w:ascii="Arial" w:hAnsi="Arial" w:cs="Arial"/>
                <w:sz w:val="20"/>
              </w:rPr>
            </w:pPr>
          </w:p>
        </w:tc>
        <w:tc>
          <w:tcPr>
            <w:tcW w:w="1984" w:type="dxa"/>
            <w:tcBorders>
              <w:bottom w:val="single" w:sz="4" w:space="0" w:color="auto"/>
            </w:tcBorders>
            <w:shd w:val="clear" w:color="auto" w:fill="95B3D7"/>
          </w:tcPr>
          <w:p w:rsidR="00D10302" w:rsidRPr="00D10302" w:rsidRDefault="00D10302" w:rsidP="00D10302">
            <w:pPr>
              <w:spacing w:after="0"/>
              <w:rPr>
                <w:rFonts w:ascii="Arial" w:hAnsi="Arial" w:cs="Arial"/>
                <w:sz w:val="20"/>
              </w:rPr>
            </w:pPr>
          </w:p>
        </w:tc>
        <w:tc>
          <w:tcPr>
            <w:tcW w:w="1418" w:type="dxa"/>
            <w:tcBorders>
              <w:bottom w:val="single" w:sz="4" w:space="0" w:color="auto"/>
            </w:tcBorders>
            <w:shd w:val="clear" w:color="auto" w:fill="95B3D7"/>
          </w:tcPr>
          <w:p w:rsidR="00D10302" w:rsidRPr="00D10302" w:rsidRDefault="00D10302" w:rsidP="00D10302">
            <w:pPr>
              <w:spacing w:after="0"/>
              <w:rPr>
                <w:rFonts w:ascii="Arial" w:hAnsi="Arial" w:cs="Arial"/>
                <w:sz w:val="20"/>
              </w:rPr>
            </w:pPr>
          </w:p>
        </w:tc>
      </w:tr>
      <w:tr w:rsidR="00D10302" w:rsidRPr="00D10302" w:rsidTr="00445F85">
        <w:tc>
          <w:tcPr>
            <w:tcW w:w="1134" w:type="dxa"/>
            <w:shd w:val="clear" w:color="auto" w:fill="auto"/>
          </w:tcPr>
          <w:p w:rsidR="00D10302" w:rsidRPr="00D10302" w:rsidRDefault="00D10302" w:rsidP="00D10302">
            <w:pPr>
              <w:spacing w:after="0"/>
              <w:rPr>
                <w:rFonts w:ascii="Arial" w:hAnsi="Arial" w:cs="Arial"/>
                <w:sz w:val="20"/>
              </w:rPr>
            </w:pPr>
          </w:p>
        </w:tc>
        <w:tc>
          <w:tcPr>
            <w:tcW w:w="2552" w:type="dxa"/>
            <w:shd w:val="clear" w:color="auto" w:fill="auto"/>
          </w:tcPr>
          <w:p w:rsidR="00D10302" w:rsidRPr="00D10302" w:rsidRDefault="00D10302" w:rsidP="00C40A1E">
            <w:pPr>
              <w:spacing w:after="0"/>
              <w:rPr>
                <w:rFonts w:ascii="Arial" w:hAnsi="Arial" w:cs="Arial"/>
                <w:b/>
                <w:sz w:val="20"/>
              </w:rPr>
            </w:pPr>
            <w:r w:rsidRPr="00D10302">
              <w:rPr>
                <w:rFonts w:ascii="Arial" w:eastAsia="Times New Roman" w:hAnsi="Arial" w:cs="Arial"/>
                <w:b/>
                <w:i/>
                <w:sz w:val="20"/>
                <w:lang w:eastAsia="en-GB"/>
              </w:rPr>
              <w:t>(With effect from 1 April 2018) Category 1 (life-threatening) calls – percentage of calls resulting in a response arriving within 15 minutes **</w:t>
            </w:r>
          </w:p>
        </w:tc>
        <w:tc>
          <w:tcPr>
            <w:tcW w:w="1559"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Operating standard that 90</w:t>
            </w:r>
            <w:r w:rsidRPr="00D10302">
              <w:rPr>
                <w:rFonts w:ascii="Arial" w:eastAsia="Times New Roman" w:hAnsi="Arial" w:cs="Arial"/>
                <w:b/>
                <w:i/>
                <w:sz w:val="20"/>
                <w:vertAlign w:val="superscript"/>
                <w:lang w:eastAsia="en-GB"/>
              </w:rPr>
              <w:t>th</w:t>
            </w:r>
            <w:r w:rsidRPr="00D10302">
              <w:rPr>
                <w:rFonts w:ascii="Arial" w:eastAsia="Times New Roman" w:hAnsi="Arial" w:cs="Arial"/>
                <w:b/>
                <w:i/>
                <w:sz w:val="20"/>
                <w:lang w:eastAsia="en-GB"/>
              </w:rPr>
              <w:t xml:space="preserve"> centile is no greater than 15 minutes</w:t>
            </w:r>
          </w:p>
        </w:tc>
        <w:tc>
          <w:tcPr>
            <w:tcW w:w="2693"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Review of Service Quality Performance Reports</w:t>
            </w:r>
          </w:p>
        </w:tc>
        <w:tc>
          <w:tcPr>
            <w:tcW w:w="269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Quarterly</w:t>
            </w:r>
          </w:p>
        </w:tc>
        <w:tc>
          <w:tcPr>
            <w:tcW w:w="1418"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AM</w:t>
            </w:r>
          </w:p>
        </w:tc>
      </w:tr>
      <w:tr w:rsidR="00D10302" w:rsidRPr="00D10302" w:rsidTr="00445F85">
        <w:tc>
          <w:tcPr>
            <w:tcW w:w="1134" w:type="dxa"/>
            <w:shd w:val="clear" w:color="auto" w:fill="auto"/>
          </w:tcPr>
          <w:p w:rsidR="00D10302" w:rsidRPr="00D10302" w:rsidRDefault="00D10302" w:rsidP="00D10302">
            <w:pPr>
              <w:spacing w:after="0"/>
              <w:rPr>
                <w:rFonts w:ascii="Arial" w:hAnsi="Arial" w:cs="Arial"/>
                <w:sz w:val="20"/>
              </w:rPr>
            </w:pPr>
          </w:p>
        </w:tc>
        <w:tc>
          <w:tcPr>
            <w:tcW w:w="2552" w:type="dxa"/>
            <w:shd w:val="clear" w:color="auto" w:fill="auto"/>
          </w:tcPr>
          <w:p w:rsidR="00D10302" w:rsidRPr="00D10302" w:rsidRDefault="00D10302" w:rsidP="00D10302">
            <w:pPr>
              <w:spacing w:after="0"/>
              <w:rPr>
                <w:rFonts w:ascii="Arial" w:hAnsi="Arial" w:cs="Arial"/>
                <w:b/>
                <w:sz w:val="20"/>
              </w:rPr>
            </w:pPr>
            <w:r w:rsidRPr="00D10302">
              <w:rPr>
                <w:rFonts w:ascii="Arial" w:eastAsia="Times New Roman" w:hAnsi="Arial" w:cs="Arial"/>
                <w:b/>
                <w:i/>
                <w:sz w:val="20"/>
                <w:lang w:eastAsia="en-GB"/>
              </w:rPr>
              <w:t>(With effect from 1 April 2018) Category 1 (life-threatening) calls – mean time taken for a response to arrive **</w:t>
            </w:r>
          </w:p>
        </w:tc>
        <w:tc>
          <w:tcPr>
            <w:tcW w:w="1559"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Mean is no greater than 7</w:t>
            </w:r>
            <w:r w:rsidRPr="00D10302">
              <w:rPr>
                <w:rFonts w:ascii="Arial" w:eastAsia="Times New Roman" w:hAnsi="Arial" w:cs="Arial"/>
                <w:b/>
                <w:i/>
                <w:color w:val="FF0000"/>
                <w:sz w:val="20"/>
                <w:lang w:eastAsia="en-GB"/>
              </w:rPr>
              <w:t xml:space="preserve"> </w:t>
            </w:r>
            <w:r w:rsidRPr="00D10302">
              <w:rPr>
                <w:rFonts w:ascii="Arial" w:eastAsia="Times New Roman" w:hAnsi="Arial" w:cs="Arial"/>
                <w:b/>
                <w:i/>
                <w:sz w:val="20"/>
                <w:lang w:eastAsia="en-GB"/>
              </w:rPr>
              <w:t>minutes</w:t>
            </w:r>
          </w:p>
        </w:tc>
        <w:tc>
          <w:tcPr>
            <w:tcW w:w="2693"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Review of Service Quality Performance Reports</w:t>
            </w:r>
          </w:p>
        </w:tc>
        <w:tc>
          <w:tcPr>
            <w:tcW w:w="269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Quarterly</w:t>
            </w:r>
          </w:p>
        </w:tc>
        <w:tc>
          <w:tcPr>
            <w:tcW w:w="1418"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AM</w:t>
            </w:r>
          </w:p>
        </w:tc>
      </w:tr>
      <w:tr w:rsidR="00D10302" w:rsidRPr="00D10302" w:rsidTr="00445F85">
        <w:tc>
          <w:tcPr>
            <w:tcW w:w="1134" w:type="dxa"/>
            <w:shd w:val="clear" w:color="auto" w:fill="auto"/>
          </w:tcPr>
          <w:p w:rsidR="00D10302" w:rsidRPr="00D10302" w:rsidRDefault="00D10302" w:rsidP="00D10302">
            <w:pPr>
              <w:spacing w:after="0"/>
              <w:rPr>
                <w:rFonts w:ascii="Arial" w:hAnsi="Arial" w:cs="Arial"/>
                <w:sz w:val="20"/>
              </w:rPr>
            </w:pPr>
          </w:p>
        </w:tc>
        <w:tc>
          <w:tcPr>
            <w:tcW w:w="2552" w:type="dxa"/>
            <w:shd w:val="clear" w:color="auto" w:fill="auto"/>
          </w:tcPr>
          <w:p w:rsidR="00D10302" w:rsidRPr="00D10302" w:rsidRDefault="00D10302" w:rsidP="00D10302">
            <w:pPr>
              <w:spacing w:after="0"/>
              <w:rPr>
                <w:rFonts w:ascii="Arial" w:hAnsi="Arial" w:cs="Arial"/>
                <w:b/>
                <w:sz w:val="20"/>
              </w:rPr>
            </w:pPr>
            <w:r w:rsidRPr="00D10302">
              <w:rPr>
                <w:rFonts w:ascii="Arial" w:eastAsia="Times New Roman" w:hAnsi="Arial" w:cs="Arial"/>
                <w:b/>
                <w:i/>
                <w:sz w:val="20"/>
                <w:lang w:eastAsia="en-GB"/>
              </w:rPr>
              <w:t>(With effect from 1 April 2018) Category 2 (emergency) calls – percentage of calls resulting in an appropriate response arriving within 40 minutes **</w:t>
            </w:r>
          </w:p>
        </w:tc>
        <w:tc>
          <w:tcPr>
            <w:tcW w:w="1559"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Operating standard that 90</w:t>
            </w:r>
            <w:r w:rsidRPr="00D10302">
              <w:rPr>
                <w:rFonts w:ascii="Arial" w:eastAsia="Times New Roman" w:hAnsi="Arial" w:cs="Arial"/>
                <w:b/>
                <w:i/>
                <w:sz w:val="20"/>
                <w:vertAlign w:val="superscript"/>
                <w:lang w:eastAsia="en-GB"/>
              </w:rPr>
              <w:t>th</w:t>
            </w:r>
            <w:r w:rsidRPr="00D10302">
              <w:rPr>
                <w:rFonts w:ascii="Arial" w:eastAsia="Times New Roman" w:hAnsi="Arial" w:cs="Arial"/>
                <w:b/>
                <w:i/>
                <w:sz w:val="20"/>
                <w:lang w:eastAsia="en-GB"/>
              </w:rPr>
              <w:t xml:space="preserve"> centile is no greater than 40 minutes</w:t>
            </w:r>
          </w:p>
        </w:tc>
        <w:tc>
          <w:tcPr>
            <w:tcW w:w="2693"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Review of Service Quality Performance Reports</w:t>
            </w:r>
          </w:p>
        </w:tc>
        <w:tc>
          <w:tcPr>
            <w:tcW w:w="269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Quarterly</w:t>
            </w:r>
          </w:p>
        </w:tc>
        <w:tc>
          <w:tcPr>
            <w:tcW w:w="1418"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AM</w:t>
            </w:r>
          </w:p>
        </w:tc>
      </w:tr>
      <w:tr w:rsidR="00D10302" w:rsidRPr="00D10302" w:rsidTr="00445F85">
        <w:tc>
          <w:tcPr>
            <w:tcW w:w="1134" w:type="dxa"/>
            <w:shd w:val="clear" w:color="auto" w:fill="auto"/>
          </w:tcPr>
          <w:p w:rsidR="00D10302" w:rsidRPr="00D10302" w:rsidRDefault="00D10302" w:rsidP="00D10302">
            <w:pPr>
              <w:spacing w:after="0"/>
              <w:rPr>
                <w:rFonts w:ascii="Arial" w:hAnsi="Arial" w:cs="Arial"/>
                <w:sz w:val="20"/>
              </w:rPr>
            </w:pPr>
          </w:p>
        </w:tc>
        <w:tc>
          <w:tcPr>
            <w:tcW w:w="2552" w:type="dxa"/>
            <w:shd w:val="clear" w:color="auto" w:fill="auto"/>
          </w:tcPr>
          <w:p w:rsidR="00D10302" w:rsidRPr="00D10302" w:rsidRDefault="00D10302" w:rsidP="00D10302">
            <w:pPr>
              <w:spacing w:after="0"/>
              <w:rPr>
                <w:rFonts w:ascii="Arial" w:eastAsia="Times New Roman" w:hAnsi="Arial" w:cs="Arial"/>
                <w:b/>
                <w:i/>
                <w:sz w:val="20"/>
                <w:lang w:eastAsia="en-GB"/>
              </w:rPr>
            </w:pPr>
            <w:r w:rsidRPr="00D10302">
              <w:rPr>
                <w:rFonts w:ascii="Arial" w:eastAsia="Times New Roman" w:hAnsi="Arial" w:cs="Arial"/>
                <w:b/>
                <w:i/>
                <w:sz w:val="20"/>
                <w:lang w:eastAsia="en-GB"/>
              </w:rPr>
              <w:t>(With effect from 1 April 2018) Category 2 (emergency) calls – mean time taken for an appropriate response to arrive **</w:t>
            </w:r>
          </w:p>
          <w:p w:rsidR="00D10302" w:rsidRPr="00D10302" w:rsidRDefault="00D10302" w:rsidP="00D10302">
            <w:pPr>
              <w:spacing w:after="0"/>
              <w:rPr>
                <w:rFonts w:ascii="Arial" w:hAnsi="Arial" w:cs="Arial"/>
                <w:b/>
                <w:sz w:val="20"/>
              </w:rPr>
            </w:pPr>
          </w:p>
        </w:tc>
        <w:tc>
          <w:tcPr>
            <w:tcW w:w="1559"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Mean is no greater than 18 minutes</w:t>
            </w:r>
          </w:p>
        </w:tc>
        <w:tc>
          <w:tcPr>
            <w:tcW w:w="2693"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Review of Service Quality Performance Reports</w:t>
            </w:r>
          </w:p>
        </w:tc>
        <w:tc>
          <w:tcPr>
            <w:tcW w:w="269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Quarterly</w:t>
            </w:r>
          </w:p>
        </w:tc>
        <w:tc>
          <w:tcPr>
            <w:tcW w:w="1418"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AM</w:t>
            </w:r>
          </w:p>
        </w:tc>
      </w:tr>
      <w:tr w:rsidR="00D10302" w:rsidRPr="00D10302" w:rsidTr="00445F85">
        <w:tc>
          <w:tcPr>
            <w:tcW w:w="1134" w:type="dxa"/>
            <w:shd w:val="clear" w:color="auto" w:fill="auto"/>
          </w:tcPr>
          <w:p w:rsidR="00D10302" w:rsidRPr="00D10302" w:rsidRDefault="00D10302" w:rsidP="00D10302">
            <w:pPr>
              <w:spacing w:after="0"/>
              <w:rPr>
                <w:rFonts w:ascii="Arial" w:hAnsi="Arial" w:cs="Arial"/>
                <w:sz w:val="20"/>
              </w:rPr>
            </w:pPr>
          </w:p>
        </w:tc>
        <w:tc>
          <w:tcPr>
            <w:tcW w:w="2552" w:type="dxa"/>
            <w:shd w:val="clear" w:color="auto" w:fill="auto"/>
          </w:tcPr>
          <w:p w:rsidR="00D10302" w:rsidRPr="00D10302" w:rsidRDefault="00D10302" w:rsidP="00D10302">
            <w:pPr>
              <w:spacing w:after="0"/>
              <w:rPr>
                <w:rFonts w:ascii="Arial" w:eastAsia="Times New Roman" w:hAnsi="Arial" w:cs="Arial"/>
                <w:b/>
                <w:i/>
                <w:sz w:val="20"/>
                <w:lang w:eastAsia="en-GB"/>
              </w:rPr>
            </w:pPr>
            <w:r w:rsidRPr="00D10302">
              <w:rPr>
                <w:rFonts w:ascii="Arial" w:eastAsia="Times New Roman" w:hAnsi="Arial" w:cs="Arial"/>
                <w:b/>
                <w:i/>
                <w:sz w:val="20"/>
                <w:lang w:eastAsia="en-GB"/>
              </w:rPr>
              <w:t>(With effect from 1 April 2018) Category 3 (urgent) calls – percentage of calls resulting in an appropriate response arriving within 120 minutes **</w:t>
            </w:r>
          </w:p>
          <w:p w:rsidR="00D10302" w:rsidRPr="00D10302" w:rsidRDefault="00D10302" w:rsidP="00D10302">
            <w:pPr>
              <w:spacing w:after="0"/>
              <w:rPr>
                <w:rFonts w:ascii="Arial" w:hAnsi="Arial" w:cs="Arial"/>
                <w:b/>
                <w:sz w:val="20"/>
              </w:rPr>
            </w:pPr>
          </w:p>
        </w:tc>
        <w:tc>
          <w:tcPr>
            <w:tcW w:w="1559"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Operating standard that 90</w:t>
            </w:r>
            <w:r w:rsidRPr="00D10302">
              <w:rPr>
                <w:rFonts w:ascii="Arial" w:eastAsia="Times New Roman" w:hAnsi="Arial" w:cs="Arial"/>
                <w:b/>
                <w:i/>
                <w:sz w:val="20"/>
                <w:vertAlign w:val="superscript"/>
                <w:lang w:eastAsia="en-GB"/>
              </w:rPr>
              <w:t>th</w:t>
            </w:r>
            <w:r w:rsidRPr="00D10302">
              <w:rPr>
                <w:rFonts w:ascii="Arial" w:eastAsia="Times New Roman" w:hAnsi="Arial" w:cs="Arial"/>
                <w:b/>
                <w:i/>
                <w:sz w:val="20"/>
                <w:lang w:eastAsia="en-GB"/>
              </w:rPr>
              <w:t xml:space="preserve"> centile is no greater than 120 minutes</w:t>
            </w:r>
          </w:p>
        </w:tc>
        <w:tc>
          <w:tcPr>
            <w:tcW w:w="2693"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Review of Service Quality Performance Reports</w:t>
            </w:r>
          </w:p>
        </w:tc>
        <w:tc>
          <w:tcPr>
            <w:tcW w:w="269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Quarterly</w:t>
            </w:r>
          </w:p>
        </w:tc>
        <w:tc>
          <w:tcPr>
            <w:tcW w:w="1418"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AM</w:t>
            </w:r>
          </w:p>
        </w:tc>
      </w:tr>
      <w:tr w:rsidR="00D10302" w:rsidRPr="00D10302" w:rsidTr="00445F85">
        <w:tc>
          <w:tcPr>
            <w:tcW w:w="1134" w:type="dxa"/>
            <w:shd w:val="clear" w:color="auto" w:fill="auto"/>
          </w:tcPr>
          <w:p w:rsidR="00D10302" w:rsidRPr="00D10302" w:rsidRDefault="00D10302" w:rsidP="00D10302">
            <w:pPr>
              <w:spacing w:after="0"/>
              <w:rPr>
                <w:rFonts w:ascii="Arial" w:hAnsi="Arial" w:cs="Arial"/>
                <w:sz w:val="20"/>
              </w:rPr>
            </w:pPr>
          </w:p>
        </w:tc>
        <w:tc>
          <w:tcPr>
            <w:tcW w:w="2552" w:type="dxa"/>
            <w:shd w:val="clear" w:color="auto" w:fill="auto"/>
          </w:tcPr>
          <w:p w:rsidR="00D10302" w:rsidRPr="00D10302" w:rsidRDefault="00D10302" w:rsidP="00D10302">
            <w:pPr>
              <w:spacing w:after="0"/>
              <w:rPr>
                <w:rFonts w:ascii="Arial" w:eastAsia="Times New Roman" w:hAnsi="Arial" w:cs="Arial"/>
                <w:b/>
                <w:i/>
                <w:sz w:val="20"/>
                <w:lang w:eastAsia="en-GB"/>
              </w:rPr>
            </w:pPr>
            <w:r w:rsidRPr="00D10302">
              <w:rPr>
                <w:rFonts w:ascii="Arial" w:eastAsia="Times New Roman" w:hAnsi="Arial" w:cs="Arial"/>
                <w:b/>
                <w:i/>
                <w:sz w:val="20"/>
                <w:lang w:eastAsia="en-GB"/>
              </w:rPr>
              <w:t>(With effect from 1 April 2018) Category 4 (non-urgent “assess, treat, transport” calls only) – percentage of calls resulting in an appropriate response</w:t>
            </w:r>
            <w:r w:rsidRPr="00D10302" w:rsidDel="005E58F2">
              <w:rPr>
                <w:rFonts w:ascii="Arial" w:eastAsia="Times New Roman" w:hAnsi="Arial" w:cs="Arial"/>
                <w:b/>
                <w:i/>
                <w:sz w:val="20"/>
                <w:lang w:eastAsia="en-GB"/>
              </w:rPr>
              <w:t xml:space="preserve"> </w:t>
            </w:r>
            <w:r w:rsidRPr="00D10302">
              <w:rPr>
                <w:rFonts w:ascii="Arial" w:eastAsia="Times New Roman" w:hAnsi="Arial" w:cs="Arial"/>
                <w:b/>
                <w:i/>
                <w:sz w:val="20"/>
                <w:lang w:eastAsia="en-GB"/>
              </w:rPr>
              <w:t>arriving within 180 minutes **</w:t>
            </w:r>
          </w:p>
          <w:p w:rsidR="00D10302" w:rsidRPr="00D10302" w:rsidRDefault="00D10302" w:rsidP="00D10302">
            <w:pPr>
              <w:spacing w:after="0"/>
              <w:rPr>
                <w:rFonts w:ascii="Arial" w:hAnsi="Arial" w:cs="Arial"/>
                <w:b/>
                <w:sz w:val="20"/>
              </w:rPr>
            </w:pPr>
          </w:p>
        </w:tc>
        <w:tc>
          <w:tcPr>
            <w:tcW w:w="1559"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Operating standard that 90</w:t>
            </w:r>
            <w:r w:rsidRPr="00D10302">
              <w:rPr>
                <w:rFonts w:ascii="Arial" w:eastAsia="Times New Roman" w:hAnsi="Arial" w:cs="Arial"/>
                <w:b/>
                <w:i/>
                <w:sz w:val="20"/>
                <w:vertAlign w:val="superscript"/>
                <w:lang w:eastAsia="en-GB"/>
              </w:rPr>
              <w:t>th</w:t>
            </w:r>
            <w:r w:rsidRPr="00D10302">
              <w:rPr>
                <w:rFonts w:ascii="Arial" w:eastAsia="Times New Roman" w:hAnsi="Arial" w:cs="Arial"/>
                <w:b/>
                <w:i/>
                <w:sz w:val="20"/>
                <w:lang w:eastAsia="en-GB"/>
              </w:rPr>
              <w:t xml:space="preserve"> centile is no greater than 180 minutes</w:t>
            </w:r>
          </w:p>
        </w:tc>
        <w:tc>
          <w:tcPr>
            <w:tcW w:w="2693"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Review of Service Quality Performance Reports</w:t>
            </w:r>
          </w:p>
        </w:tc>
        <w:tc>
          <w:tcPr>
            <w:tcW w:w="269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Quarterly</w:t>
            </w:r>
          </w:p>
        </w:tc>
        <w:tc>
          <w:tcPr>
            <w:tcW w:w="1418" w:type="dxa"/>
            <w:shd w:val="clear" w:color="auto" w:fill="auto"/>
          </w:tcPr>
          <w:p w:rsidR="00D10302" w:rsidRPr="00D10302" w:rsidRDefault="00D10302" w:rsidP="00D10302">
            <w:pPr>
              <w:spacing w:after="0"/>
              <w:rPr>
                <w:rFonts w:ascii="Arial" w:hAnsi="Arial" w:cs="Arial"/>
                <w:sz w:val="20"/>
              </w:rPr>
            </w:pPr>
            <w:r w:rsidRPr="00D10302">
              <w:rPr>
                <w:rFonts w:ascii="Arial" w:eastAsia="Times New Roman" w:hAnsi="Arial" w:cs="Arial"/>
                <w:b/>
                <w:i/>
                <w:sz w:val="20"/>
                <w:lang w:eastAsia="en-GB"/>
              </w:rPr>
              <w:t>AM</w:t>
            </w:r>
          </w:p>
        </w:tc>
      </w:tr>
      <w:tr w:rsidR="00D10302" w:rsidRPr="00D10302" w:rsidTr="00445F85">
        <w:tc>
          <w:tcPr>
            <w:tcW w:w="1134" w:type="dxa"/>
            <w:shd w:val="clear" w:color="auto" w:fill="95B3D7"/>
          </w:tcPr>
          <w:p w:rsidR="00D10302" w:rsidRPr="00D10302" w:rsidRDefault="00D10302" w:rsidP="00D10302">
            <w:pPr>
              <w:spacing w:after="0"/>
              <w:rPr>
                <w:rFonts w:ascii="Arial" w:hAnsi="Arial" w:cs="Arial"/>
                <w:sz w:val="20"/>
              </w:rPr>
            </w:pPr>
          </w:p>
        </w:tc>
        <w:tc>
          <w:tcPr>
            <w:tcW w:w="2552" w:type="dxa"/>
            <w:shd w:val="clear" w:color="auto" w:fill="95B3D7"/>
          </w:tcPr>
          <w:p w:rsidR="00D10302" w:rsidRPr="00D10302" w:rsidRDefault="00D10302" w:rsidP="00D10302">
            <w:pPr>
              <w:spacing w:after="0"/>
              <w:rPr>
                <w:rFonts w:ascii="Arial" w:hAnsi="Arial" w:cs="Arial"/>
                <w:b/>
                <w:sz w:val="20"/>
              </w:rPr>
            </w:pPr>
            <w:r w:rsidRPr="00D10302">
              <w:rPr>
                <w:rFonts w:ascii="Arial" w:hAnsi="Arial" w:cs="Arial"/>
                <w:b/>
                <w:sz w:val="20"/>
              </w:rPr>
              <w:t>Mixed sex accommodation breaches</w:t>
            </w:r>
          </w:p>
        </w:tc>
        <w:tc>
          <w:tcPr>
            <w:tcW w:w="1559" w:type="dxa"/>
            <w:shd w:val="clear" w:color="auto" w:fill="95B3D7"/>
          </w:tcPr>
          <w:p w:rsidR="00D10302" w:rsidRPr="00D10302" w:rsidRDefault="00D10302" w:rsidP="00D10302">
            <w:pPr>
              <w:spacing w:after="0"/>
              <w:rPr>
                <w:rFonts w:ascii="Arial" w:hAnsi="Arial" w:cs="Arial"/>
                <w:sz w:val="20"/>
              </w:rPr>
            </w:pPr>
          </w:p>
        </w:tc>
        <w:tc>
          <w:tcPr>
            <w:tcW w:w="2693" w:type="dxa"/>
            <w:shd w:val="clear" w:color="auto" w:fill="95B3D7"/>
          </w:tcPr>
          <w:p w:rsidR="00D10302" w:rsidRPr="00D10302" w:rsidRDefault="00D10302" w:rsidP="00D10302">
            <w:pPr>
              <w:spacing w:after="0"/>
              <w:rPr>
                <w:rFonts w:ascii="Arial" w:hAnsi="Arial" w:cs="Arial"/>
                <w:sz w:val="20"/>
              </w:rPr>
            </w:pPr>
          </w:p>
        </w:tc>
        <w:tc>
          <w:tcPr>
            <w:tcW w:w="2694" w:type="dxa"/>
            <w:shd w:val="clear" w:color="auto" w:fill="95B3D7"/>
          </w:tcPr>
          <w:p w:rsidR="00D10302" w:rsidRPr="00D10302" w:rsidRDefault="00D10302" w:rsidP="00D10302">
            <w:pPr>
              <w:spacing w:after="0"/>
              <w:rPr>
                <w:rFonts w:ascii="Arial" w:hAnsi="Arial" w:cs="Arial"/>
                <w:sz w:val="20"/>
              </w:rPr>
            </w:pPr>
          </w:p>
        </w:tc>
        <w:tc>
          <w:tcPr>
            <w:tcW w:w="1984" w:type="dxa"/>
            <w:shd w:val="clear" w:color="auto" w:fill="95B3D7"/>
          </w:tcPr>
          <w:p w:rsidR="00D10302" w:rsidRPr="00D10302" w:rsidRDefault="00D10302" w:rsidP="00D10302">
            <w:pPr>
              <w:spacing w:after="0"/>
              <w:rPr>
                <w:rFonts w:ascii="Arial" w:hAnsi="Arial" w:cs="Arial"/>
                <w:sz w:val="20"/>
              </w:rPr>
            </w:pPr>
          </w:p>
        </w:tc>
        <w:tc>
          <w:tcPr>
            <w:tcW w:w="1418" w:type="dxa"/>
            <w:shd w:val="clear" w:color="auto" w:fill="95B3D7"/>
          </w:tcPr>
          <w:p w:rsidR="00D10302" w:rsidRPr="00D10302" w:rsidRDefault="00D10302" w:rsidP="00D10302">
            <w:pPr>
              <w:spacing w:after="0"/>
              <w:rPr>
                <w:rFonts w:ascii="Arial" w:hAnsi="Arial" w:cs="Arial"/>
                <w:sz w:val="20"/>
              </w:rPr>
            </w:pPr>
          </w:p>
        </w:tc>
      </w:tr>
      <w:tr w:rsidR="00D10302" w:rsidRPr="00D10302" w:rsidTr="00445F85">
        <w:tc>
          <w:tcPr>
            <w:tcW w:w="1134" w:type="dxa"/>
          </w:tcPr>
          <w:p w:rsidR="00D10302" w:rsidRPr="00D10302" w:rsidRDefault="00D10302" w:rsidP="00D10302">
            <w:pPr>
              <w:spacing w:after="0"/>
              <w:rPr>
                <w:rFonts w:ascii="Arial" w:hAnsi="Arial" w:cs="Arial"/>
                <w:sz w:val="20"/>
              </w:rPr>
            </w:pPr>
            <w:r w:rsidRPr="00D10302">
              <w:rPr>
                <w:rFonts w:ascii="Arial" w:hAnsi="Arial" w:cs="Arial"/>
                <w:sz w:val="20"/>
              </w:rPr>
              <w:t>E.B.S.1</w:t>
            </w:r>
          </w:p>
        </w:tc>
        <w:tc>
          <w:tcPr>
            <w:tcW w:w="2552" w:type="dxa"/>
          </w:tcPr>
          <w:p w:rsidR="00D10302" w:rsidRPr="00D10302" w:rsidRDefault="00D10302" w:rsidP="00D10302">
            <w:pPr>
              <w:spacing w:after="0"/>
              <w:rPr>
                <w:rFonts w:ascii="Arial" w:hAnsi="Arial" w:cs="Arial"/>
                <w:sz w:val="20"/>
              </w:rPr>
            </w:pPr>
            <w:r w:rsidRPr="00D10302">
              <w:rPr>
                <w:rFonts w:ascii="Arial" w:hAnsi="Arial" w:cs="Arial"/>
                <w:sz w:val="20"/>
              </w:rPr>
              <w:t>Mixed sex accommodation breach*</w:t>
            </w:r>
          </w:p>
        </w:tc>
        <w:tc>
          <w:tcPr>
            <w:tcW w:w="1559" w:type="dxa"/>
          </w:tcPr>
          <w:p w:rsidR="00D10302" w:rsidRPr="00D10302" w:rsidRDefault="00D10302" w:rsidP="00D10302">
            <w:pPr>
              <w:spacing w:after="0"/>
              <w:rPr>
                <w:rFonts w:ascii="Arial" w:hAnsi="Arial" w:cs="Arial"/>
                <w:sz w:val="20"/>
              </w:rPr>
            </w:pPr>
            <w:r w:rsidRPr="00D10302">
              <w:rPr>
                <w:rFonts w:ascii="Arial" w:hAnsi="Arial" w:cs="Arial"/>
                <w:sz w:val="20"/>
              </w:rPr>
              <w:t>&gt;0</w:t>
            </w:r>
          </w:p>
        </w:tc>
        <w:tc>
          <w:tcPr>
            <w:tcW w:w="2693" w:type="dxa"/>
          </w:tcPr>
          <w:p w:rsidR="00D10302" w:rsidRPr="00D10302" w:rsidRDefault="00D10302" w:rsidP="00D10302">
            <w:pPr>
              <w:spacing w:after="0"/>
              <w:rPr>
                <w:rFonts w:ascii="Arial" w:hAnsi="Arial" w:cs="Arial"/>
                <w:sz w:val="20"/>
              </w:rPr>
            </w:pPr>
            <w:r w:rsidRPr="00D10302">
              <w:rPr>
                <w:rFonts w:ascii="Arial" w:hAnsi="Arial" w:cs="Arial"/>
                <w:sz w:val="20"/>
              </w:rPr>
              <w:t>Review of Service Quality Performance Reports</w:t>
            </w:r>
          </w:p>
        </w:tc>
        <w:tc>
          <w:tcPr>
            <w:tcW w:w="2694" w:type="dxa"/>
          </w:tcPr>
          <w:p w:rsidR="00D10302" w:rsidRPr="00D10302" w:rsidRDefault="00D10302" w:rsidP="00D10302">
            <w:pPr>
              <w:spacing w:after="0"/>
              <w:rPr>
                <w:rFonts w:ascii="Arial" w:hAnsi="Arial" w:cs="Arial"/>
                <w:sz w:val="20"/>
              </w:rPr>
            </w:pPr>
            <w:r w:rsidRPr="00D10302">
              <w:rPr>
                <w:rFonts w:ascii="Arial" w:hAnsi="Arial" w:cs="Arial"/>
                <w:sz w:val="20"/>
              </w:rPr>
              <w:t>£250 per day per Service User affected</w:t>
            </w:r>
          </w:p>
        </w:tc>
        <w:tc>
          <w:tcPr>
            <w:tcW w:w="1984" w:type="dxa"/>
          </w:tcPr>
          <w:p w:rsidR="00D10302" w:rsidRPr="00D10302" w:rsidRDefault="00D10302" w:rsidP="00D10302">
            <w:pPr>
              <w:spacing w:after="0"/>
              <w:rPr>
                <w:rFonts w:ascii="Arial" w:hAnsi="Arial" w:cs="Arial"/>
                <w:sz w:val="20"/>
              </w:rPr>
            </w:pPr>
            <w:r w:rsidRPr="00D10302">
              <w:rPr>
                <w:rFonts w:ascii="Arial" w:hAnsi="Arial" w:cs="Arial"/>
                <w:sz w:val="20"/>
              </w:rPr>
              <w:t>Monthly</w:t>
            </w:r>
          </w:p>
        </w:tc>
        <w:tc>
          <w:tcPr>
            <w:tcW w:w="1418" w:type="dxa"/>
          </w:tcPr>
          <w:p w:rsidR="00D10302" w:rsidRPr="00D10302" w:rsidRDefault="00D10302" w:rsidP="00D10302">
            <w:pPr>
              <w:spacing w:after="0"/>
              <w:rPr>
                <w:rFonts w:ascii="Arial" w:hAnsi="Arial" w:cs="Arial"/>
                <w:sz w:val="20"/>
              </w:rPr>
            </w:pPr>
            <w:r w:rsidRPr="00D10302">
              <w:rPr>
                <w:rFonts w:ascii="Arial" w:hAnsi="Arial" w:cs="Arial"/>
                <w:sz w:val="20"/>
              </w:rPr>
              <w:t>A</w:t>
            </w:r>
          </w:p>
          <w:p w:rsidR="00D10302" w:rsidRPr="00D10302" w:rsidRDefault="00D10302" w:rsidP="00D10302">
            <w:pPr>
              <w:spacing w:after="0"/>
              <w:rPr>
                <w:rFonts w:ascii="Arial" w:hAnsi="Arial" w:cs="Arial"/>
                <w:sz w:val="20"/>
              </w:rPr>
            </w:pPr>
            <w:r w:rsidRPr="00D10302">
              <w:rPr>
                <w:rFonts w:ascii="Arial" w:hAnsi="Arial" w:cs="Arial"/>
                <w:sz w:val="20"/>
              </w:rPr>
              <w:t>CR</w:t>
            </w:r>
          </w:p>
          <w:p w:rsidR="00D10302" w:rsidRPr="00D10302" w:rsidRDefault="00D10302" w:rsidP="00D10302">
            <w:pPr>
              <w:spacing w:after="0"/>
              <w:rPr>
                <w:rFonts w:ascii="Arial" w:hAnsi="Arial" w:cs="Arial"/>
                <w:sz w:val="20"/>
                <w:highlight w:val="yellow"/>
              </w:rPr>
            </w:pPr>
            <w:r w:rsidRPr="00D10302">
              <w:rPr>
                <w:rFonts w:ascii="Arial" w:hAnsi="Arial" w:cs="Arial"/>
                <w:sz w:val="20"/>
              </w:rPr>
              <w:t>MH</w:t>
            </w:r>
          </w:p>
        </w:tc>
      </w:tr>
      <w:tr w:rsidR="00D10302" w:rsidRPr="00D10302" w:rsidTr="00445F85">
        <w:tc>
          <w:tcPr>
            <w:tcW w:w="1134" w:type="dxa"/>
            <w:shd w:val="clear" w:color="auto" w:fill="95B3D7"/>
          </w:tcPr>
          <w:p w:rsidR="00D10302" w:rsidRPr="00D10302" w:rsidRDefault="00D10302" w:rsidP="00D10302">
            <w:pPr>
              <w:spacing w:after="0"/>
              <w:rPr>
                <w:rFonts w:ascii="Arial" w:hAnsi="Arial" w:cs="Arial"/>
                <w:b/>
                <w:sz w:val="20"/>
              </w:rPr>
            </w:pPr>
          </w:p>
        </w:tc>
        <w:tc>
          <w:tcPr>
            <w:tcW w:w="2552" w:type="dxa"/>
            <w:shd w:val="clear" w:color="auto" w:fill="95B3D7"/>
          </w:tcPr>
          <w:p w:rsidR="00D10302" w:rsidRPr="00D10302" w:rsidRDefault="00D10302" w:rsidP="00D10302">
            <w:pPr>
              <w:spacing w:after="0"/>
              <w:rPr>
                <w:rFonts w:ascii="Arial" w:hAnsi="Arial" w:cs="Arial"/>
                <w:b/>
                <w:sz w:val="20"/>
              </w:rPr>
            </w:pPr>
            <w:r w:rsidRPr="00D10302">
              <w:rPr>
                <w:rFonts w:ascii="Arial" w:hAnsi="Arial" w:cs="Arial"/>
                <w:b/>
                <w:sz w:val="20"/>
              </w:rPr>
              <w:t>Cancelled operations</w:t>
            </w:r>
          </w:p>
        </w:tc>
        <w:tc>
          <w:tcPr>
            <w:tcW w:w="1559" w:type="dxa"/>
            <w:shd w:val="clear" w:color="auto" w:fill="95B3D7"/>
          </w:tcPr>
          <w:p w:rsidR="00D10302" w:rsidRPr="00D10302" w:rsidRDefault="00D10302" w:rsidP="00D10302">
            <w:pPr>
              <w:spacing w:after="0"/>
              <w:rPr>
                <w:rFonts w:ascii="Arial" w:hAnsi="Arial" w:cs="Arial"/>
                <w:sz w:val="20"/>
              </w:rPr>
            </w:pPr>
          </w:p>
        </w:tc>
        <w:tc>
          <w:tcPr>
            <w:tcW w:w="2693" w:type="dxa"/>
            <w:shd w:val="clear" w:color="auto" w:fill="95B3D7"/>
          </w:tcPr>
          <w:p w:rsidR="00D10302" w:rsidRPr="00D10302" w:rsidRDefault="00D10302" w:rsidP="00D10302">
            <w:pPr>
              <w:spacing w:after="0"/>
              <w:rPr>
                <w:rFonts w:ascii="Arial" w:hAnsi="Arial" w:cs="Arial"/>
                <w:sz w:val="20"/>
              </w:rPr>
            </w:pPr>
          </w:p>
        </w:tc>
        <w:tc>
          <w:tcPr>
            <w:tcW w:w="2694" w:type="dxa"/>
            <w:shd w:val="clear" w:color="auto" w:fill="95B3D7"/>
          </w:tcPr>
          <w:p w:rsidR="00D10302" w:rsidRPr="00D10302" w:rsidRDefault="00D10302" w:rsidP="00D10302">
            <w:pPr>
              <w:spacing w:after="0"/>
              <w:rPr>
                <w:rFonts w:ascii="Arial" w:hAnsi="Arial" w:cs="Arial"/>
                <w:sz w:val="20"/>
              </w:rPr>
            </w:pPr>
          </w:p>
        </w:tc>
        <w:tc>
          <w:tcPr>
            <w:tcW w:w="1984" w:type="dxa"/>
            <w:shd w:val="clear" w:color="auto" w:fill="95B3D7"/>
          </w:tcPr>
          <w:p w:rsidR="00D10302" w:rsidRPr="00D10302" w:rsidRDefault="00D10302" w:rsidP="00D10302">
            <w:pPr>
              <w:spacing w:after="0"/>
              <w:rPr>
                <w:rFonts w:ascii="Arial" w:hAnsi="Arial" w:cs="Arial"/>
                <w:sz w:val="20"/>
              </w:rPr>
            </w:pPr>
          </w:p>
        </w:tc>
        <w:tc>
          <w:tcPr>
            <w:tcW w:w="1418" w:type="dxa"/>
            <w:shd w:val="clear" w:color="auto" w:fill="95B3D7"/>
          </w:tcPr>
          <w:p w:rsidR="00D10302" w:rsidRPr="00D10302" w:rsidRDefault="00D10302" w:rsidP="00D10302">
            <w:pPr>
              <w:spacing w:after="0"/>
              <w:rPr>
                <w:rFonts w:ascii="Arial" w:hAnsi="Arial" w:cs="Arial"/>
                <w:sz w:val="20"/>
              </w:rPr>
            </w:pPr>
          </w:p>
        </w:tc>
      </w:tr>
      <w:tr w:rsidR="00D10302" w:rsidRPr="00D10302" w:rsidTr="00445F85">
        <w:tc>
          <w:tcPr>
            <w:tcW w:w="1134" w:type="dxa"/>
          </w:tcPr>
          <w:p w:rsidR="00D10302" w:rsidRPr="00D10302" w:rsidRDefault="00D10302" w:rsidP="00D10302">
            <w:pPr>
              <w:spacing w:after="0"/>
              <w:rPr>
                <w:rFonts w:ascii="Arial" w:hAnsi="Arial" w:cs="Arial"/>
                <w:sz w:val="20"/>
              </w:rPr>
            </w:pPr>
            <w:r w:rsidRPr="00D10302">
              <w:rPr>
                <w:rFonts w:ascii="Arial" w:hAnsi="Arial" w:cs="Arial"/>
                <w:sz w:val="20"/>
              </w:rPr>
              <w:t xml:space="preserve">E.B.S.2 </w:t>
            </w:r>
          </w:p>
        </w:tc>
        <w:tc>
          <w:tcPr>
            <w:tcW w:w="2552" w:type="dxa"/>
          </w:tcPr>
          <w:p w:rsidR="00D10302" w:rsidRPr="00D10302" w:rsidRDefault="00D10302" w:rsidP="00D10302">
            <w:pPr>
              <w:spacing w:after="0"/>
              <w:rPr>
                <w:rFonts w:ascii="Arial" w:hAnsi="Arial" w:cs="Arial"/>
                <w:sz w:val="20"/>
              </w:rPr>
            </w:pPr>
            <w:r w:rsidRPr="00D10302">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59" w:type="dxa"/>
          </w:tcPr>
          <w:p w:rsidR="00D10302" w:rsidRPr="00D10302" w:rsidRDefault="00D10302" w:rsidP="00D10302">
            <w:pPr>
              <w:spacing w:after="0"/>
              <w:rPr>
                <w:rFonts w:ascii="Arial" w:hAnsi="Arial" w:cs="Arial"/>
                <w:sz w:val="20"/>
              </w:rPr>
            </w:pPr>
            <w:r w:rsidRPr="00D10302">
              <w:rPr>
                <w:rFonts w:ascii="Arial" w:hAnsi="Arial" w:cs="Arial"/>
                <w:sz w:val="20"/>
              </w:rPr>
              <w:t>Number of Service Users who are not offered another binding date within 28 days &gt;0</w:t>
            </w:r>
          </w:p>
        </w:tc>
        <w:tc>
          <w:tcPr>
            <w:tcW w:w="2693" w:type="dxa"/>
          </w:tcPr>
          <w:p w:rsidR="00D10302" w:rsidRPr="00D10302" w:rsidRDefault="00D10302" w:rsidP="00D10302">
            <w:pPr>
              <w:spacing w:after="0"/>
              <w:rPr>
                <w:rFonts w:ascii="Arial" w:hAnsi="Arial" w:cs="Arial"/>
                <w:sz w:val="20"/>
              </w:rPr>
            </w:pPr>
            <w:r w:rsidRPr="00D10302">
              <w:rPr>
                <w:rFonts w:ascii="Arial" w:hAnsi="Arial" w:cs="Arial"/>
                <w:sz w:val="20"/>
              </w:rPr>
              <w:t>Review of Service Quality Performance Reports</w:t>
            </w:r>
          </w:p>
        </w:tc>
        <w:tc>
          <w:tcPr>
            <w:tcW w:w="2694" w:type="dxa"/>
          </w:tcPr>
          <w:p w:rsidR="00D10302" w:rsidRPr="00D10302" w:rsidRDefault="00D10302" w:rsidP="00D10302">
            <w:pPr>
              <w:spacing w:after="0"/>
              <w:rPr>
                <w:rFonts w:ascii="Arial" w:hAnsi="Arial" w:cs="Arial"/>
                <w:sz w:val="20"/>
              </w:rPr>
            </w:pPr>
            <w:r w:rsidRPr="00D10302">
              <w:rPr>
                <w:rFonts w:ascii="Arial" w:hAnsi="Arial" w:cs="Arial"/>
                <w:sz w:val="20"/>
              </w:rPr>
              <w:t>Non-payment of costs associated with cancellation and non- payment or reimbursement (as applicable) of re-scheduled episode of care</w:t>
            </w:r>
          </w:p>
        </w:tc>
        <w:tc>
          <w:tcPr>
            <w:tcW w:w="1984" w:type="dxa"/>
          </w:tcPr>
          <w:p w:rsidR="00D10302" w:rsidRPr="00D10302" w:rsidRDefault="00D10302" w:rsidP="00D10302">
            <w:pPr>
              <w:spacing w:after="0"/>
              <w:rPr>
                <w:rFonts w:ascii="Arial" w:hAnsi="Arial" w:cs="Arial"/>
                <w:sz w:val="20"/>
              </w:rPr>
            </w:pPr>
            <w:r w:rsidRPr="00D10302">
              <w:rPr>
                <w:rFonts w:ascii="Arial" w:hAnsi="Arial" w:cs="Arial"/>
                <w:sz w:val="20"/>
              </w:rPr>
              <w:t>Monthly</w:t>
            </w:r>
          </w:p>
        </w:tc>
        <w:tc>
          <w:tcPr>
            <w:tcW w:w="1418" w:type="dxa"/>
          </w:tcPr>
          <w:p w:rsidR="00D10302" w:rsidRPr="00D10302" w:rsidRDefault="00D10302" w:rsidP="00D10302">
            <w:pPr>
              <w:spacing w:after="0"/>
              <w:rPr>
                <w:rFonts w:ascii="Arial" w:hAnsi="Arial" w:cs="Arial"/>
                <w:sz w:val="20"/>
              </w:rPr>
            </w:pPr>
            <w:r w:rsidRPr="00D10302">
              <w:rPr>
                <w:rFonts w:ascii="Arial" w:hAnsi="Arial" w:cs="Arial"/>
                <w:sz w:val="20"/>
              </w:rPr>
              <w:t>A</w:t>
            </w:r>
          </w:p>
          <w:p w:rsidR="00D10302" w:rsidRPr="00D10302" w:rsidRDefault="00D10302" w:rsidP="00D10302">
            <w:pPr>
              <w:spacing w:after="0"/>
              <w:rPr>
                <w:rFonts w:ascii="Arial" w:hAnsi="Arial" w:cs="Arial"/>
                <w:sz w:val="20"/>
              </w:rPr>
            </w:pPr>
            <w:r w:rsidRPr="00D10302">
              <w:rPr>
                <w:rFonts w:ascii="Arial" w:hAnsi="Arial" w:cs="Arial"/>
                <w:sz w:val="20"/>
              </w:rPr>
              <w:t>CR</w:t>
            </w:r>
          </w:p>
        </w:tc>
      </w:tr>
      <w:tr w:rsidR="00D10302" w:rsidRPr="00D10302" w:rsidTr="00445F85">
        <w:tc>
          <w:tcPr>
            <w:tcW w:w="1134" w:type="dxa"/>
            <w:shd w:val="clear" w:color="auto" w:fill="95B3D7"/>
          </w:tcPr>
          <w:p w:rsidR="00D10302" w:rsidRPr="00D10302" w:rsidRDefault="00D10302" w:rsidP="00D10302">
            <w:pPr>
              <w:spacing w:after="0"/>
              <w:rPr>
                <w:rFonts w:ascii="Arial" w:hAnsi="Arial" w:cs="Arial"/>
                <w:sz w:val="20"/>
              </w:rPr>
            </w:pPr>
          </w:p>
        </w:tc>
        <w:tc>
          <w:tcPr>
            <w:tcW w:w="2552" w:type="dxa"/>
            <w:shd w:val="clear" w:color="auto" w:fill="95B3D7"/>
          </w:tcPr>
          <w:p w:rsidR="00D10302" w:rsidRPr="00D10302" w:rsidRDefault="00D10302" w:rsidP="00D10302">
            <w:pPr>
              <w:spacing w:after="0"/>
              <w:rPr>
                <w:rFonts w:ascii="Arial" w:hAnsi="Arial" w:cs="Arial"/>
                <w:b/>
                <w:sz w:val="20"/>
              </w:rPr>
            </w:pPr>
            <w:r w:rsidRPr="00D10302">
              <w:rPr>
                <w:rFonts w:ascii="Arial" w:hAnsi="Arial" w:cs="Arial"/>
                <w:b/>
                <w:sz w:val="20"/>
              </w:rPr>
              <w:t>Mental health</w:t>
            </w:r>
          </w:p>
          <w:p w:rsidR="00D10302" w:rsidRPr="00D10302" w:rsidRDefault="00D10302" w:rsidP="00D10302">
            <w:pPr>
              <w:spacing w:after="0"/>
              <w:rPr>
                <w:rFonts w:ascii="Arial" w:hAnsi="Arial" w:cs="Arial"/>
                <w:b/>
                <w:sz w:val="20"/>
              </w:rPr>
            </w:pPr>
          </w:p>
        </w:tc>
        <w:tc>
          <w:tcPr>
            <w:tcW w:w="1559" w:type="dxa"/>
            <w:shd w:val="clear" w:color="auto" w:fill="95B3D7"/>
          </w:tcPr>
          <w:p w:rsidR="00D10302" w:rsidRPr="00D10302" w:rsidRDefault="00D10302" w:rsidP="00D10302">
            <w:pPr>
              <w:spacing w:after="0"/>
              <w:rPr>
                <w:rFonts w:ascii="Arial" w:hAnsi="Arial" w:cs="Arial"/>
                <w:sz w:val="20"/>
              </w:rPr>
            </w:pPr>
          </w:p>
        </w:tc>
        <w:tc>
          <w:tcPr>
            <w:tcW w:w="2693" w:type="dxa"/>
            <w:shd w:val="clear" w:color="auto" w:fill="95B3D7"/>
          </w:tcPr>
          <w:p w:rsidR="00D10302" w:rsidRPr="00D10302" w:rsidRDefault="00D10302" w:rsidP="00D10302">
            <w:pPr>
              <w:spacing w:after="0"/>
              <w:rPr>
                <w:rFonts w:ascii="Arial" w:hAnsi="Arial" w:cs="Arial"/>
                <w:sz w:val="20"/>
              </w:rPr>
            </w:pPr>
          </w:p>
        </w:tc>
        <w:tc>
          <w:tcPr>
            <w:tcW w:w="2694" w:type="dxa"/>
            <w:shd w:val="clear" w:color="auto" w:fill="95B3D7"/>
          </w:tcPr>
          <w:p w:rsidR="00D10302" w:rsidRPr="00D10302" w:rsidRDefault="00D10302" w:rsidP="00D10302">
            <w:pPr>
              <w:spacing w:after="0"/>
              <w:rPr>
                <w:rFonts w:ascii="Arial" w:hAnsi="Arial" w:cs="Arial"/>
                <w:sz w:val="20"/>
              </w:rPr>
            </w:pPr>
          </w:p>
        </w:tc>
        <w:tc>
          <w:tcPr>
            <w:tcW w:w="1984" w:type="dxa"/>
            <w:shd w:val="clear" w:color="auto" w:fill="95B3D7"/>
          </w:tcPr>
          <w:p w:rsidR="00D10302" w:rsidRPr="00D10302" w:rsidRDefault="00D10302" w:rsidP="00D10302">
            <w:pPr>
              <w:spacing w:after="0"/>
              <w:rPr>
                <w:rFonts w:ascii="Arial" w:hAnsi="Arial" w:cs="Arial"/>
                <w:sz w:val="20"/>
              </w:rPr>
            </w:pPr>
          </w:p>
        </w:tc>
        <w:tc>
          <w:tcPr>
            <w:tcW w:w="1418" w:type="dxa"/>
            <w:shd w:val="clear" w:color="auto" w:fill="95B3D7" w:themeFill="accent1" w:themeFillTint="99"/>
          </w:tcPr>
          <w:p w:rsidR="00D10302" w:rsidRPr="00D10302" w:rsidRDefault="00D10302" w:rsidP="00D10302">
            <w:pPr>
              <w:spacing w:after="0"/>
              <w:rPr>
                <w:rFonts w:ascii="Arial" w:hAnsi="Arial" w:cs="Arial"/>
                <w:b/>
                <w:color w:val="8DB3E2"/>
                <w:sz w:val="20"/>
              </w:rPr>
            </w:pP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r w:rsidRPr="00D10302">
              <w:rPr>
                <w:rFonts w:ascii="Arial" w:hAnsi="Arial" w:cs="Arial"/>
                <w:b/>
                <w:i/>
                <w:color w:val="000000"/>
                <w:sz w:val="20"/>
              </w:rPr>
              <w:t xml:space="preserve">E.B.S.3 </w:t>
            </w:r>
          </w:p>
        </w:tc>
        <w:tc>
          <w:tcPr>
            <w:tcW w:w="2552" w:type="dxa"/>
          </w:tcPr>
          <w:p w:rsidR="00D10302" w:rsidRPr="00D10302" w:rsidRDefault="00D10302" w:rsidP="00D10302">
            <w:pPr>
              <w:autoSpaceDE w:val="0"/>
              <w:autoSpaceDN w:val="0"/>
              <w:adjustRightInd w:val="0"/>
              <w:spacing w:after="0"/>
              <w:rPr>
                <w:rFonts w:ascii="Arial" w:hAnsi="Arial" w:cs="Arial"/>
                <w:b/>
                <w:i/>
                <w:sz w:val="20"/>
              </w:rPr>
            </w:pPr>
            <w:r w:rsidRPr="00D10302">
              <w:rPr>
                <w:rFonts w:ascii="Arial" w:hAnsi="Arial" w:cs="Arial"/>
                <w:b/>
                <w:i/>
                <w:color w:val="000000"/>
                <w:sz w:val="20"/>
              </w:rPr>
              <w:t xml:space="preserve">Care </w:t>
            </w:r>
            <w:proofErr w:type="spellStart"/>
            <w:r w:rsidRPr="00D10302">
              <w:rPr>
                <w:rFonts w:ascii="Arial" w:hAnsi="Arial" w:cs="Arial"/>
                <w:b/>
                <w:i/>
                <w:color w:val="000000"/>
                <w:sz w:val="20"/>
              </w:rPr>
              <w:t>Programme</w:t>
            </w:r>
            <w:proofErr w:type="spellEnd"/>
            <w:r w:rsidRPr="00D10302">
              <w:rPr>
                <w:rFonts w:ascii="Arial" w:hAnsi="Arial" w:cs="Arial"/>
                <w:b/>
                <w:i/>
                <w:color w:val="000000"/>
                <w:sz w:val="20"/>
              </w:rPr>
              <w:t xml:space="preserve"> Approach (CPA): The percentage of Service Users under adult mental illness specialties on CPA who were followed up within 7 days of discharge from psychiatric in-patient care*</w:t>
            </w:r>
          </w:p>
        </w:tc>
        <w:tc>
          <w:tcPr>
            <w:tcW w:w="1559"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95%</w:t>
            </w:r>
          </w:p>
        </w:tc>
        <w:tc>
          <w:tcPr>
            <w:tcW w:w="2693" w:type="dxa"/>
          </w:tcPr>
          <w:p w:rsidR="00D10302" w:rsidRPr="00D10302" w:rsidRDefault="00D10302" w:rsidP="00D10302">
            <w:pPr>
              <w:spacing w:after="0"/>
              <w:rPr>
                <w:rFonts w:ascii="Arial" w:hAnsi="Arial" w:cs="Arial"/>
                <w:b/>
                <w:i/>
                <w:sz w:val="20"/>
              </w:rPr>
            </w:pPr>
            <w:r w:rsidRPr="00D10302">
              <w:rPr>
                <w:rFonts w:ascii="Arial" w:hAnsi="Arial" w:cs="Arial"/>
                <w:b/>
                <w:i/>
                <w:sz w:val="20"/>
              </w:rPr>
              <w:t xml:space="preserve">Review of Service Quality Performance Reports  </w:t>
            </w:r>
          </w:p>
          <w:p w:rsidR="00D10302" w:rsidRPr="00D10302" w:rsidRDefault="00D10302" w:rsidP="00D10302">
            <w:pPr>
              <w:spacing w:after="0"/>
              <w:rPr>
                <w:rFonts w:ascii="Arial" w:hAnsi="Arial" w:cs="Arial"/>
                <w:b/>
                <w:i/>
                <w:sz w:val="20"/>
              </w:rPr>
            </w:pPr>
          </w:p>
        </w:tc>
        <w:tc>
          <w:tcPr>
            <w:tcW w:w="2694" w:type="dxa"/>
            <w:shd w:val="clear" w:color="auto" w:fill="auto"/>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Service Users in the Quarter not followed up within 7 days exceeds the tolerance permitted by the threshold, £200 in respect of each such Service User above that threshold</w:t>
            </w:r>
          </w:p>
        </w:tc>
        <w:tc>
          <w:tcPr>
            <w:tcW w:w="1984" w:type="dxa"/>
            <w:shd w:val="clear" w:color="auto" w:fill="auto"/>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8" w:type="dxa"/>
            <w:shd w:val="clear" w:color="auto" w:fill="auto"/>
          </w:tcPr>
          <w:p w:rsidR="00D10302" w:rsidRPr="00D10302" w:rsidRDefault="00D10302" w:rsidP="00D10302">
            <w:pPr>
              <w:spacing w:after="0"/>
              <w:rPr>
                <w:rFonts w:ascii="Arial" w:hAnsi="Arial" w:cs="Arial"/>
                <w:b/>
                <w:i/>
                <w:sz w:val="20"/>
              </w:rPr>
            </w:pPr>
            <w:r w:rsidRPr="00D10302">
              <w:rPr>
                <w:rFonts w:ascii="Arial" w:hAnsi="Arial" w:cs="Arial"/>
                <w:b/>
                <w:i/>
                <w:sz w:val="20"/>
              </w:rPr>
              <w:t>MH</w:t>
            </w:r>
          </w:p>
          <w:p w:rsidR="00D10302" w:rsidRPr="00D10302" w:rsidRDefault="00D10302" w:rsidP="00D10302">
            <w:pPr>
              <w:spacing w:after="0"/>
              <w:rPr>
                <w:rFonts w:ascii="Arial" w:hAnsi="Arial" w:cs="Arial"/>
                <w:b/>
                <w:i/>
                <w:sz w:val="20"/>
              </w:rPr>
            </w:pPr>
            <w:r w:rsidRPr="00D10302">
              <w:rPr>
                <w:rFonts w:ascii="Arial" w:hAnsi="Arial" w:cs="Arial"/>
                <w:b/>
                <w:i/>
                <w:sz w:val="20"/>
              </w:rPr>
              <w:t>MHSS</w:t>
            </w:r>
          </w:p>
        </w:tc>
      </w:tr>
    </w:tbl>
    <w:p w:rsidR="00D10302" w:rsidRPr="00D10302" w:rsidRDefault="00D10302" w:rsidP="00D10302">
      <w:pPr>
        <w:spacing w:after="0"/>
        <w:rPr>
          <w:rFonts w:ascii="Arial" w:hAnsi="Arial" w:cs="Arial"/>
          <w:sz w:val="20"/>
          <w:u w:val="single"/>
        </w:rPr>
      </w:pPr>
    </w:p>
    <w:p w:rsidR="00D10302" w:rsidRPr="00D10302" w:rsidRDefault="00D10302" w:rsidP="00D10302">
      <w:pPr>
        <w:spacing w:after="0"/>
        <w:rPr>
          <w:rFonts w:ascii="Arial" w:hAnsi="Arial" w:cs="Arial"/>
          <w:sz w:val="20"/>
        </w:rPr>
      </w:pPr>
      <w:r w:rsidRPr="00D10302">
        <w:rPr>
          <w:rFonts w:ascii="Arial" w:hAnsi="Arial" w:cs="Arial"/>
          <w:sz w:val="20"/>
        </w:rPr>
        <w:t xml:space="preserve">In respect of those Operational Standards shown in </w:t>
      </w:r>
      <w:r w:rsidRPr="00D10302">
        <w:rPr>
          <w:rFonts w:ascii="Arial" w:hAnsi="Arial" w:cs="Arial"/>
          <w:b/>
          <w:i/>
          <w:sz w:val="20"/>
        </w:rPr>
        <w:t>bold italics</w:t>
      </w:r>
      <w:r w:rsidRPr="00D10302">
        <w:rPr>
          <w:rFonts w:ascii="Arial" w:hAnsi="Arial" w:cs="Arial"/>
          <w:sz w:val="20"/>
        </w:rPr>
        <w:t>, the provisions of SC36.37A apply.</w:t>
      </w:r>
    </w:p>
    <w:p w:rsidR="00D10302" w:rsidRPr="00D10302" w:rsidRDefault="00D10302" w:rsidP="00D10302">
      <w:pPr>
        <w:spacing w:after="0"/>
        <w:rPr>
          <w:rFonts w:ascii="Arial" w:hAnsi="Arial" w:cs="Arial"/>
          <w:i/>
          <w:sz w:val="20"/>
          <w:u w:val="single"/>
        </w:rPr>
      </w:pPr>
    </w:p>
    <w:p w:rsidR="00D10302" w:rsidRPr="00D10302" w:rsidRDefault="00D10302" w:rsidP="00D10302">
      <w:pPr>
        <w:spacing w:after="0"/>
        <w:rPr>
          <w:rFonts w:ascii="Arial" w:hAnsi="Arial" w:cs="Arial"/>
          <w:sz w:val="20"/>
        </w:rPr>
      </w:pPr>
      <w:r w:rsidRPr="00D10302">
        <w:rPr>
          <w:rFonts w:ascii="Arial" w:hAnsi="Arial" w:cs="Arial"/>
          <w:sz w:val="28"/>
          <w:szCs w:val="28"/>
        </w:rPr>
        <w:t>*</w:t>
      </w:r>
      <w:r w:rsidRPr="00D10302">
        <w:rPr>
          <w:rFonts w:ascii="Arial" w:hAnsi="Arial" w:cs="Arial"/>
          <w:sz w:val="20"/>
        </w:rPr>
        <w:t xml:space="preserve"> </w:t>
      </w:r>
      <w:proofErr w:type="gramStart"/>
      <w:r w:rsidRPr="00D10302">
        <w:rPr>
          <w:rFonts w:ascii="Arial" w:hAnsi="Arial" w:cs="Arial"/>
          <w:sz w:val="20"/>
        </w:rPr>
        <w:t>as</w:t>
      </w:r>
      <w:proofErr w:type="gramEnd"/>
      <w:r w:rsidRPr="00D10302">
        <w:rPr>
          <w:rFonts w:ascii="Arial" w:hAnsi="Arial" w:cs="Arial"/>
          <w:sz w:val="20"/>
        </w:rPr>
        <w:t xml:space="preserve"> further described in </w:t>
      </w:r>
      <w:r w:rsidRPr="00D10302">
        <w:rPr>
          <w:rFonts w:ascii="Arial" w:hAnsi="Arial" w:cs="Arial"/>
          <w:i/>
          <w:iCs/>
          <w:sz w:val="20"/>
        </w:rPr>
        <w:t xml:space="preserve">Joint Technical Definitions for Performance and Activity 2017/18-2018/19, </w:t>
      </w:r>
      <w:r w:rsidRPr="00D10302">
        <w:rPr>
          <w:rFonts w:ascii="Arial" w:hAnsi="Arial" w:cs="Arial"/>
          <w:sz w:val="20"/>
        </w:rPr>
        <w:t xml:space="preserve">available at: </w:t>
      </w:r>
      <w:hyperlink r:id="rId32" w:history="1">
        <w:r w:rsidRPr="00D10302">
          <w:rPr>
            <w:rFonts w:ascii="Arial" w:hAnsi="Arial" w:cs="Arial"/>
            <w:color w:val="0000FF"/>
            <w:sz w:val="20"/>
            <w:u w:val="single"/>
          </w:rPr>
          <w:t>https://www.england.nhs.uk/wp-content/uploads/2015/12/joint-technical-definitions-performance-activity.pdf</w:t>
        </w:r>
      </w:hyperlink>
    </w:p>
    <w:p w:rsidR="00D10302" w:rsidRPr="00D10302" w:rsidRDefault="00D10302" w:rsidP="00D10302">
      <w:pPr>
        <w:spacing w:after="0"/>
        <w:rPr>
          <w:rFonts w:ascii="Arial" w:hAnsi="Arial" w:cs="Arial"/>
          <w:color w:val="1F497D"/>
          <w:sz w:val="20"/>
        </w:rPr>
      </w:pPr>
    </w:p>
    <w:p w:rsidR="002838DC" w:rsidRDefault="00D10302" w:rsidP="00D10302">
      <w:pPr>
        <w:spacing w:after="0"/>
        <w:rPr>
          <w:rFonts w:ascii="Arial" w:eastAsia="Times New Roman" w:hAnsi="Arial" w:cs="Arial"/>
          <w:sz w:val="20"/>
          <w:szCs w:val="24"/>
          <w:u w:val="single"/>
          <w:lang w:val="en-GB" w:eastAsia="en-US"/>
        </w:rPr>
      </w:pPr>
      <w:r w:rsidRPr="00D10302">
        <w:rPr>
          <w:rFonts w:ascii="Arial" w:hAnsi="Arial" w:cs="Arial"/>
          <w:color w:val="1F497D"/>
          <w:sz w:val="28"/>
          <w:szCs w:val="28"/>
        </w:rPr>
        <w:t>**</w:t>
      </w:r>
      <w:r w:rsidRPr="00D10302">
        <w:rPr>
          <w:rFonts w:ascii="Arial" w:hAnsi="Arial" w:cs="Arial"/>
          <w:sz w:val="20"/>
        </w:rPr>
        <w:t xml:space="preserve"> </w:t>
      </w:r>
      <w:proofErr w:type="gramStart"/>
      <w:r w:rsidRPr="00D10302">
        <w:rPr>
          <w:rFonts w:ascii="Arial" w:hAnsi="Arial" w:cs="Arial"/>
          <w:sz w:val="20"/>
        </w:rPr>
        <w:t>as</w:t>
      </w:r>
      <w:proofErr w:type="gramEnd"/>
      <w:r w:rsidRPr="00D10302">
        <w:rPr>
          <w:rFonts w:ascii="Arial" w:hAnsi="Arial" w:cs="Arial"/>
          <w:sz w:val="20"/>
        </w:rPr>
        <w:t xml:space="preserve"> further described in </w:t>
      </w:r>
      <w:r w:rsidRPr="00D10302">
        <w:rPr>
          <w:rFonts w:ascii="Arial" w:hAnsi="Arial" w:cs="Arial"/>
          <w:i/>
          <w:sz w:val="20"/>
        </w:rPr>
        <w:t>Ambulance System Indicators</w:t>
      </w:r>
      <w:r w:rsidRPr="00D10302">
        <w:rPr>
          <w:rFonts w:ascii="Arial" w:hAnsi="Arial" w:cs="Arial"/>
          <w:sz w:val="20"/>
        </w:rPr>
        <w:t xml:space="preserve">, available at </w:t>
      </w:r>
      <w:hyperlink r:id="rId33" w:history="1">
        <w:r w:rsidRPr="00D10302">
          <w:rPr>
            <w:rFonts w:ascii="Arial" w:hAnsi="Arial" w:cs="Arial"/>
            <w:color w:val="0000FF"/>
            <w:sz w:val="20"/>
            <w:u w:val="single"/>
          </w:rPr>
          <w:t>https://www.england.nhs.uk/statistics/wp-content/uploads/sites/2/2013/04/20170926-Ambulance-System-Indicators.docx</w:t>
        </w:r>
      </w:hyperlink>
    </w:p>
    <w:p w:rsidR="002838DC" w:rsidRDefault="002838DC" w:rsidP="002838DC">
      <w:pPr>
        <w:spacing w:after="0"/>
        <w:jc w:val="center"/>
        <w:rPr>
          <w:rFonts w:ascii="Arial" w:eastAsia="Times New Roman" w:hAnsi="Arial" w:cs="Arial"/>
          <w:b/>
          <w:sz w:val="28"/>
          <w:szCs w:val="28"/>
          <w:lang w:val="en-GB" w:eastAsia="en-US"/>
        </w:rPr>
      </w:pPr>
      <w:r>
        <w:rPr>
          <w:rFonts w:ascii="Arial" w:eastAsia="Times New Roman" w:hAnsi="Arial" w:cs="Arial"/>
          <w:b/>
          <w:sz w:val="28"/>
          <w:szCs w:val="28"/>
          <w:lang w:val="en-GB" w:eastAsia="en-US"/>
        </w:rPr>
        <w:br w:type="page"/>
      </w:r>
    </w:p>
    <w:p w:rsidR="00EC593A" w:rsidRDefault="00EC593A" w:rsidP="00EC593A">
      <w:pPr>
        <w:tabs>
          <w:tab w:val="num" w:pos="900"/>
          <w:tab w:val="num" w:pos="6380"/>
        </w:tabs>
        <w:spacing w:after="0"/>
        <w:ind w:left="5967" w:hanging="5967"/>
        <w:rPr>
          <w:rFonts w:ascii="Arial" w:eastAsia="Times New Roman" w:hAnsi="Arial" w:cs="Arial"/>
          <w:b/>
          <w:sz w:val="20"/>
          <w:lang w:val="en-GB" w:eastAsia="en-US"/>
        </w:rPr>
      </w:pPr>
      <w:r>
        <w:rPr>
          <w:rFonts w:ascii="Arial" w:eastAsia="Times New Roman" w:hAnsi="Arial" w:cs="Arial"/>
          <w:b/>
          <w:sz w:val="20"/>
          <w:lang w:val="en-GB" w:eastAsia="en-US"/>
        </w:rPr>
        <w:t>Appendix 2:</w:t>
      </w:r>
    </w:p>
    <w:p w:rsidR="00EC593A" w:rsidRDefault="00EC593A" w:rsidP="00EC593A">
      <w:pPr>
        <w:tabs>
          <w:tab w:val="num" w:pos="900"/>
          <w:tab w:val="num" w:pos="6380"/>
        </w:tabs>
        <w:spacing w:after="0"/>
        <w:ind w:left="5967" w:hanging="5967"/>
        <w:jc w:val="center"/>
        <w:rPr>
          <w:rFonts w:ascii="Arial" w:eastAsia="Times New Roman" w:hAnsi="Arial" w:cs="Arial"/>
          <w:b/>
          <w:sz w:val="20"/>
          <w:lang w:val="en-GB" w:eastAsia="en-US"/>
        </w:rPr>
      </w:pPr>
      <w:r>
        <w:rPr>
          <w:rFonts w:ascii="Arial" w:eastAsia="Times New Roman" w:hAnsi="Arial" w:cs="Arial"/>
          <w:b/>
          <w:sz w:val="20"/>
          <w:lang w:val="en-GB" w:eastAsia="en-US"/>
        </w:rPr>
        <w:t>Operational Standards and National Quality Requirements</w:t>
      </w:r>
    </w:p>
    <w:p w:rsidR="00EC593A" w:rsidRDefault="00EC593A" w:rsidP="002838DC">
      <w:pPr>
        <w:spacing w:after="0"/>
        <w:jc w:val="center"/>
        <w:rPr>
          <w:rFonts w:ascii="Arial" w:eastAsia="Times New Roman" w:hAnsi="Arial" w:cs="Arial"/>
          <w:b/>
          <w:sz w:val="20"/>
          <w:lang w:val="en-GB" w:eastAsia="en-US"/>
        </w:rPr>
      </w:pPr>
    </w:p>
    <w:p w:rsidR="002838DC" w:rsidRDefault="002838DC" w:rsidP="002838DC">
      <w:pPr>
        <w:spacing w:after="0"/>
        <w:jc w:val="center"/>
        <w:rPr>
          <w:rFonts w:ascii="Arial" w:eastAsia="Times New Roman" w:hAnsi="Arial" w:cs="Arial"/>
          <w:b/>
          <w:sz w:val="20"/>
          <w:lang w:val="en-GB" w:eastAsia="en-US"/>
        </w:rPr>
      </w:pPr>
      <w:r>
        <w:rPr>
          <w:rFonts w:ascii="Arial" w:eastAsia="Times New Roman" w:hAnsi="Arial" w:cs="Arial"/>
          <w:b/>
          <w:sz w:val="20"/>
          <w:lang w:val="en-GB" w:eastAsia="en-US"/>
        </w:rPr>
        <w:t>Schedule 4 Part B:</w:t>
      </w:r>
      <w:r>
        <w:rPr>
          <w:rFonts w:ascii="Arial" w:eastAsia="Times New Roman" w:hAnsi="Arial" w:cs="Arial"/>
          <w:b/>
          <w:sz w:val="20"/>
          <w:lang w:val="en-GB" w:eastAsia="en-US"/>
        </w:rPr>
        <w:tab/>
        <w:t>National Quality Requirements</w:t>
      </w:r>
    </w:p>
    <w:p w:rsidR="00D10302" w:rsidRPr="00D10302" w:rsidRDefault="00D10302" w:rsidP="00D10302">
      <w:pPr>
        <w:spacing w:after="0"/>
        <w:ind w:left="720"/>
        <w:rPr>
          <w:rFonts w:ascii="Arial" w:eastAsia="Times New Roman" w:hAnsi="Arial" w:cs="Arial"/>
          <w:b/>
          <w:sz w:val="20"/>
          <w:lang w:val="en-GB"/>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4"/>
        <w:gridCol w:w="2552"/>
        <w:gridCol w:w="1701"/>
        <w:gridCol w:w="2551"/>
        <w:gridCol w:w="2552"/>
        <w:gridCol w:w="1843"/>
        <w:gridCol w:w="1417"/>
      </w:tblGrid>
      <w:tr w:rsidR="00D10302" w:rsidRPr="00D10302" w:rsidTr="00445F85">
        <w:trPr>
          <w:tblHeader/>
        </w:trPr>
        <w:tc>
          <w:tcPr>
            <w:tcW w:w="1134" w:type="dxa"/>
          </w:tcPr>
          <w:p w:rsidR="00D10302" w:rsidRPr="00D10302" w:rsidRDefault="00D10302" w:rsidP="00D10302">
            <w:pPr>
              <w:autoSpaceDE w:val="0"/>
              <w:autoSpaceDN w:val="0"/>
              <w:adjustRightInd w:val="0"/>
              <w:rPr>
                <w:rFonts w:ascii="Arial" w:hAnsi="Arial" w:cs="Arial"/>
                <w:color w:val="000000"/>
                <w:sz w:val="20"/>
              </w:rPr>
            </w:pPr>
          </w:p>
        </w:tc>
        <w:tc>
          <w:tcPr>
            <w:tcW w:w="2552" w:type="dxa"/>
          </w:tcPr>
          <w:p w:rsidR="00D10302" w:rsidRPr="00D10302" w:rsidRDefault="00D10302" w:rsidP="00D10302">
            <w:pPr>
              <w:rPr>
                <w:rFonts w:ascii="Arial" w:hAnsi="Arial" w:cs="Arial"/>
                <w:b/>
                <w:bCs/>
                <w:sz w:val="20"/>
              </w:rPr>
            </w:pPr>
            <w:r w:rsidRPr="00D10302">
              <w:rPr>
                <w:rFonts w:ascii="Arial" w:hAnsi="Arial" w:cs="Arial"/>
                <w:b/>
                <w:bCs/>
                <w:sz w:val="20"/>
              </w:rPr>
              <w:t>National Quality Requirement</w:t>
            </w:r>
          </w:p>
        </w:tc>
        <w:tc>
          <w:tcPr>
            <w:tcW w:w="1701" w:type="dxa"/>
          </w:tcPr>
          <w:p w:rsidR="00D10302" w:rsidRPr="00D10302" w:rsidRDefault="00D10302" w:rsidP="00D10302">
            <w:pPr>
              <w:rPr>
                <w:rFonts w:ascii="Arial" w:hAnsi="Arial" w:cs="Arial"/>
                <w:b/>
                <w:bCs/>
                <w:sz w:val="20"/>
              </w:rPr>
            </w:pPr>
            <w:r w:rsidRPr="00D10302">
              <w:rPr>
                <w:rFonts w:ascii="Arial" w:hAnsi="Arial" w:cs="Arial"/>
                <w:b/>
                <w:bCs/>
                <w:sz w:val="20"/>
              </w:rPr>
              <w:t>Threshold</w:t>
            </w:r>
          </w:p>
          <w:p w:rsidR="00D10302" w:rsidRPr="00D10302" w:rsidRDefault="00D10302" w:rsidP="00D10302">
            <w:pPr>
              <w:rPr>
                <w:rFonts w:ascii="Arial" w:hAnsi="Arial" w:cs="Arial"/>
                <w:b/>
                <w:bCs/>
                <w:sz w:val="20"/>
              </w:rPr>
            </w:pPr>
          </w:p>
        </w:tc>
        <w:tc>
          <w:tcPr>
            <w:tcW w:w="2551" w:type="dxa"/>
          </w:tcPr>
          <w:p w:rsidR="00D10302" w:rsidRPr="00D10302" w:rsidRDefault="00D10302" w:rsidP="00D10302">
            <w:pPr>
              <w:rPr>
                <w:rFonts w:ascii="Arial" w:hAnsi="Arial" w:cs="Arial"/>
                <w:b/>
                <w:bCs/>
                <w:sz w:val="20"/>
              </w:rPr>
            </w:pPr>
            <w:r w:rsidRPr="00D10302">
              <w:rPr>
                <w:rFonts w:ascii="Arial" w:hAnsi="Arial" w:cs="Arial"/>
                <w:b/>
                <w:bCs/>
                <w:sz w:val="20"/>
              </w:rPr>
              <w:t xml:space="preserve">Method of Measurement </w:t>
            </w:r>
          </w:p>
          <w:p w:rsidR="00D10302" w:rsidRPr="00D10302" w:rsidRDefault="00D10302" w:rsidP="00D10302">
            <w:pPr>
              <w:rPr>
                <w:rFonts w:ascii="Arial" w:hAnsi="Arial" w:cs="Arial"/>
                <w:b/>
                <w:bCs/>
                <w:sz w:val="20"/>
              </w:rPr>
            </w:pPr>
          </w:p>
        </w:tc>
        <w:tc>
          <w:tcPr>
            <w:tcW w:w="2552" w:type="dxa"/>
          </w:tcPr>
          <w:p w:rsidR="00D10302" w:rsidRPr="00D10302" w:rsidRDefault="00D10302" w:rsidP="00D10302">
            <w:pPr>
              <w:rPr>
                <w:rFonts w:ascii="Arial" w:hAnsi="Arial" w:cs="Arial"/>
                <w:b/>
                <w:bCs/>
                <w:sz w:val="20"/>
              </w:rPr>
            </w:pPr>
            <w:r w:rsidRPr="00D10302">
              <w:rPr>
                <w:rFonts w:ascii="Arial" w:hAnsi="Arial" w:cs="Arial"/>
                <w:b/>
                <w:bCs/>
                <w:sz w:val="20"/>
              </w:rPr>
              <w:t>Consequence of breach</w:t>
            </w:r>
          </w:p>
          <w:p w:rsidR="00D10302" w:rsidRPr="00D10302" w:rsidRDefault="00D10302" w:rsidP="00D10302">
            <w:pPr>
              <w:rPr>
                <w:rFonts w:ascii="Arial" w:hAnsi="Arial" w:cs="Arial"/>
                <w:b/>
                <w:bCs/>
                <w:sz w:val="20"/>
              </w:rPr>
            </w:pPr>
          </w:p>
        </w:tc>
        <w:tc>
          <w:tcPr>
            <w:tcW w:w="1843" w:type="dxa"/>
          </w:tcPr>
          <w:p w:rsidR="00D10302" w:rsidRPr="00D10302" w:rsidRDefault="00D10302" w:rsidP="00D10302">
            <w:pPr>
              <w:rPr>
                <w:rFonts w:ascii="Arial" w:hAnsi="Arial" w:cs="Arial"/>
                <w:b/>
                <w:bCs/>
                <w:sz w:val="20"/>
              </w:rPr>
            </w:pPr>
            <w:r w:rsidRPr="00D10302">
              <w:rPr>
                <w:rFonts w:ascii="Arial" w:hAnsi="Arial" w:cs="Arial"/>
                <w:b/>
                <w:bCs/>
                <w:sz w:val="20"/>
              </w:rPr>
              <w:t>Timing of application of consequence</w:t>
            </w:r>
          </w:p>
        </w:tc>
        <w:tc>
          <w:tcPr>
            <w:tcW w:w="1417" w:type="dxa"/>
            <w:shd w:val="clear" w:color="auto" w:fill="auto"/>
          </w:tcPr>
          <w:p w:rsidR="00D10302" w:rsidRPr="00D10302" w:rsidRDefault="00D10302" w:rsidP="00D10302">
            <w:pPr>
              <w:rPr>
                <w:rFonts w:ascii="Arial" w:hAnsi="Arial" w:cs="Arial"/>
                <w:b/>
                <w:bCs/>
                <w:sz w:val="20"/>
              </w:rPr>
            </w:pPr>
            <w:r w:rsidRPr="00D10302">
              <w:rPr>
                <w:rFonts w:ascii="Arial" w:hAnsi="Arial" w:cs="Arial"/>
                <w:b/>
                <w:bCs/>
                <w:sz w:val="20"/>
              </w:rPr>
              <w:t>Application</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color w:val="000000"/>
                <w:sz w:val="20"/>
                <w:highlight w:val="yellow"/>
              </w:rPr>
            </w:pPr>
            <w:r w:rsidRPr="00D10302">
              <w:rPr>
                <w:rFonts w:ascii="Arial" w:hAnsi="Arial" w:cs="Arial"/>
                <w:color w:val="000000"/>
                <w:sz w:val="20"/>
              </w:rPr>
              <w:t>E.A.S.4</w:t>
            </w:r>
          </w:p>
        </w:tc>
        <w:tc>
          <w:tcPr>
            <w:tcW w:w="2552" w:type="dxa"/>
          </w:tcPr>
          <w:p w:rsidR="00D10302" w:rsidRPr="00D10302" w:rsidRDefault="00D10302" w:rsidP="00D10302">
            <w:pPr>
              <w:spacing w:after="0"/>
              <w:rPr>
                <w:rFonts w:ascii="Arial" w:hAnsi="Arial" w:cs="Arial"/>
                <w:sz w:val="20"/>
              </w:rPr>
            </w:pPr>
            <w:r w:rsidRPr="00D10302">
              <w:rPr>
                <w:rFonts w:ascii="Arial" w:hAnsi="Arial" w:cs="Arial"/>
                <w:sz w:val="20"/>
              </w:rPr>
              <w:t xml:space="preserve">Zero tolerance methicillin-resistant </w:t>
            </w:r>
            <w:r w:rsidRPr="00D10302">
              <w:rPr>
                <w:rFonts w:ascii="Arial" w:hAnsi="Arial" w:cs="Arial"/>
                <w:i/>
                <w:sz w:val="20"/>
              </w:rPr>
              <w:t>Staphylococcus aureus</w:t>
            </w:r>
            <w:r w:rsidRPr="00D10302">
              <w:rPr>
                <w:rFonts w:ascii="Arial" w:hAnsi="Arial" w:cs="Arial"/>
                <w:sz w:val="20"/>
              </w:rPr>
              <w:t>*</w:t>
            </w:r>
          </w:p>
        </w:tc>
        <w:tc>
          <w:tcPr>
            <w:tcW w:w="1701" w:type="dxa"/>
          </w:tcPr>
          <w:p w:rsidR="00D10302" w:rsidRPr="00D10302" w:rsidRDefault="00D10302" w:rsidP="00D10302">
            <w:pPr>
              <w:spacing w:after="0"/>
              <w:rPr>
                <w:rFonts w:ascii="Arial" w:hAnsi="Arial" w:cs="Arial"/>
                <w:sz w:val="20"/>
              </w:rPr>
            </w:pPr>
            <w:r w:rsidRPr="00D10302">
              <w:rPr>
                <w:rFonts w:ascii="Arial" w:hAnsi="Arial" w:cs="Arial"/>
                <w:sz w:val="20"/>
              </w:rPr>
              <w:t>&gt;0</w:t>
            </w:r>
          </w:p>
        </w:tc>
        <w:tc>
          <w:tcPr>
            <w:tcW w:w="2551" w:type="dxa"/>
          </w:tcPr>
          <w:p w:rsidR="00D10302" w:rsidRPr="00D10302" w:rsidRDefault="00D10302" w:rsidP="00D10302">
            <w:pPr>
              <w:spacing w:after="0"/>
              <w:rPr>
                <w:rFonts w:ascii="Arial" w:hAnsi="Arial" w:cs="Arial"/>
                <w:sz w:val="20"/>
              </w:rPr>
            </w:pPr>
            <w:r w:rsidRPr="00D10302">
              <w:rPr>
                <w:rFonts w:ascii="Arial" w:hAnsi="Arial" w:cs="Arial"/>
                <w:sz w:val="20"/>
              </w:rPr>
              <w:t>Review of Service Quality Performance Reports</w:t>
            </w:r>
          </w:p>
        </w:tc>
        <w:tc>
          <w:tcPr>
            <w:tcW w:w="2552" w:type="dxa"/>
          </w:tcPr>
          <w:p w:rsidR="00D10302" w:rsidRPr="00D10302" w:rsidRDefault="00D10302" w:rsidP="00D10302">
            <w:pPr>
              <w:spacing w:after="0"/>
              <w:rPr>
                <w:rFonts w:ascii="Arial" w:hAnsi="Arial" w:cs="Arial"/>
                <w:sz w:val="20"/>
              </w:rPr>
            </w:pPr>
            <w:r w:rsidRPr="00D10302">
              <w:rPr>
                <w:rFonts w:ascii="Arial" w:hAnsi="Arial" w:cs="Arial"/>
                <w:sz w:val="20"/>
              </w:rPr>
              <w:t>£10,000 in respect of each incidence in the relevant month</w:t>
            </w:r>
          </w:p>
        </w:tc>
        <w:tc>
          <w:tcPr>
            <w:tcW w:w="1843" w:type="dxa"/>
          </w:tcPr>
          <w:p w:rsidR="00D10302" w:rsidRPr="00D10302" w:rsidRDefault="00D10302" w:rsidP="00D10302">
            <w:pPr>
              <w:spacing w:after="0"/>
              <w:rPr>
                <w:rFonts w:ascii="Arial" w:hAnsi="Arial" w:cs="Arial"/>
                <w:sz w:val="20"/>
              </w:rPr>
            </w:pPr>
            <w:r w:rsidRPr="00D10302">
              <w:rPr>
                <w:rFonts w:ascii="Arial" w:hAnsi="Arial" w:cs="Arial"/>
                <w:sz w:val="20"/>
              </w:rPr>
              <w:t>Monthly</w:t>
            </w:r>
          </w:p>
        </w:tc>
        <w:tc>
          <w:tcPr>
            <w:tcW w:w="1417" w:type="dxa"/>
          </w:tcPr>
          <w:p w:rsidR="00D10302" w:rsidRPr="00D10302" w:rsidRDefault="00D10302" w:rsidP="00D10302">
            <w:pPr>
              <w:spacing w:after="0"/>
              <w:rPr>
                <w:rFonts w:ascii="Arial" w:hAnsi="Arial" w:cs="Arial"/>
                <w:sz w:val="20"/>
              </w:rPr>
            </w:pPr>
            <w:r w:rsidRPr="00D10302">
              <w:rPr>
                <w:rFonts w:ascii="Arial" w:hAnsi="Arial" w:cs="Arial"/>
                <w:sz w:val="20"/>
              </w:rPr>
              <w:t>A</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color w:val="000000"/>
                <w:sz w:val="20"/>
                <w:highlight w:val="yellow"/>
              </w:rPr>
            </w:pPr>
            <w:r w:rsidRPr="00D10302">
              <w:rPr>
                <w:rFonts w:ascii="Arial" w:hAnsi="Arial" w:cs="Arial"/>
                <w:color w:val="000000"/>
                <w:sz w:val="20"/>
              </w:rPr>
              <w:t>E.A.S.5</w:t>
            </w:r>
          </w:p>
        </w:tc>
        <w:tc>
          <w:tcPr>
            <w:tcW w:w="2552" w:type="dxa"/>
          </w:tcPr>
          <w:p w:rsidR="00D10302" w:rsidRPr="00D10302" w:rsidRDefault="00D10302" w:rsidP="00D10302">
            <w:pPr>
              <w:spacing w:after="0"/>
              <w:rPr>
                <w:rFonts w:ascii="Arial" w:hAnsi="Arial" w:cs="Arial"/>
                <w:b/>
                <w:sz w:val="20"/>
              </w:rPr>
            </w:pPr>
            <w:proofErr w:type="spellStart"/>
            <w:r w:rsidRPr="00D10302">
              <w:rPr>
                <w:rFonts w:ascii="Arial" w:hAnsi="Arial" w:cs="Arial"/>
                <w:sz w:val="20"/>
              </w:rPr>
              <w:t>Minimise</w:t>
            </w:r>
            <w:proofErr w:type="spellEnd"/>
            <w:r w:rsidRPr="00D10302">
              <w:rPr>
                <w:rFonts w:ascii="Arial" w:hAnsi="Arial" w:cs="Arial"/>
                <w:sz w:val="20"/>
              </w:rPr>
              <w:t xml:space="preserve"> rates of Clostridium difficile*</w:t>
            </w:r>
          </w:p>
        </w:tc>
        <w:tc>
          <w:tcPr>
            <w:tcW w:w="1701" w:type="dxa"/>
            <w:shd w:val="clear" w:color="auto" w:fill="E36C0A" w:themeFill="accent6" w:themeFillShade="BF"/>
          </w:tcPr>
          <w:p w:rsidR="00D10302" w:rsidRPr="00D10302" w:rsidRDefault="00D10302" w:rsidP="00D10302">
            <w:pPr>
              <w:spacing w:after="0"/>
              <w:rPr>
                <w:rFonts w:ascii="Arial" w:hAnsi="Arial" w:cs="Arial"/>
                <w:sz w:val="20"/>
              </w:rPr>
            </w:pPr>
            <w:r w:rsidRPr="00D10302">
              <w:rPr>
                <w:rFonts w:ascii="Arial" w:hAnsi="Arial" w:cs="Arial"/>
                <w:sz w:val="20"/>
              </w:rPr>
              <w:t>[Insert baseline threshold identified for Provider: see Schedule 4F]</w:t>
            </w:r>
          </w:p>
        </w:tc>
        <w:tc>
          <w:tcPr>
            <w:tcW w:w="2551" w:type="dxa"/>
          </w:tcPr>
          <w:p w:rsidR="00D10302" w:rsidRPr="00D10302" w:rsidRDefault="00D10302" w:rsidP="00D10302">
            <w:pPr>
              <w:spacing w:after="0"/>
              <w:rPr>
                <w:rFonts w:ascii="Arial" w:hAnsi="Arial" w:cs="Arial"/>
                <w:sz w:val="20"/>
              </w:rPr>
            </w:pPr>
            <w:r w:rsidRPr="00D10302">
              <w:rPr>
                <w:rFonts w:ascii="Arial" w:hAnsi="Arial" w:cs="Arial"/>
                <w:sz w:val="20"/>
              </w:rPr>
              <w:t>Review of Service Quality Performance Reports</w:t>
            </w:r>
          </w:p>
        </w:tc>
        <w:tc>
          <w:tcPr>
            <w:tcW w:w="2552" w:type="dxa"/>
          </w:tcPr>
          <w:p w:rsidR="00D10302" w:rsidRPr="00D10302" w:rsidRDefault="00D10302" w:rsidP="00D10302">
            <w:pPr>
              <w:spacing w:after="0"/>
              <w:rPr>
                <w:rFonts w:ascii="Arial" w:hAnsi="Arial" w:cs="Arial"/>
                <w:b/>
                <w:sz w:val="20"/>
              </w:rPr>
            </w:pPr>
            <w:r w:rsidRPr="00D10302">
              <w:rPr>
                <w:rFonts w:ascii="Arial" w:hAnsi="Arial" w:cs="Arial"/>
                <w:sz w:val="20"/>
              </w:rPr>
              <w:t>As set out in Schedule 4F, in accordance with applicable Guidance</w:t>
            </w:r>
          </w:p>
        </w:tc>
        <w:tc>
          <w:tcPr>
            <w:tcW w:w="1843" w:type="dxa"/>
          </w:tcPr>
          <w:p w:rsidR="00D10302" w:rsidRPr="00D10302" w:rsidRDefault="00D10302" w:rsidP="00D10302">
            <w:pPr>
              <w:spacing w:after="0"/>
              <w:rPr>
                <w:rFonts w:ascii="Arial" w:hAnsi="Arial" w:cs="Arial"/>
                <w:b/>
                <w:sz w:val="20"/>
              </w:rPr>
            </w:pPr>
            <w:r w:rsidRPr="00D10302">
              <w:rPr>
                <w:rFonts w:ascii="Arial" w:hAnsi="Arial" w:cs="Arial"/>
                <w:sz w:val="20"/>
              </w:rPr>
              <w:t>Annual</w:t>
            </w:r>
          </w:p>
        </w:tc>
        <w:tc>
          <w:tcPr>
            <w:tcW w:w="1417" w:type="dxa"/>
          </w:tcPr>
          <w:p w:rsidR="00D10302" w:rsidRPr="00D10302" w:rsidRDefault="00D10302" w:rsidP="00D10302">
            <w:pPr>
              <w:spacing w:after="0"/>
              <w:rPr>
                <w:rFonts w:ascii="Arial" w:hAnsi="Arial" w:cs="Arial"/>
                <w:sz w:val="20"/>
              </w:rPr>
            </w:pPr>
            <w:r w:rsidRPr="00D10302">
              <w:rPr>
                <w:rFonts w:ascii="Arial" w:hAnsi="Arial" w:cs="Arial"/>
                <w:sz w:val="20"/>
              </w:rPr>
              <w:t>A</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r w:rsidRPr="00D10302">
              <w:rPr>
                <w:rFonts w:ascii="Arial" w:hAnsi="Arial" w:cs="Arial"/>
                <w:b/>
                <w:i/>
                <w:color w:val="000000"/>
                <w:sz w:val="20"/>
              </w:rPr>
              <w:t>E.B.S.4</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Zero tolerance RTT waits over 52 weeks for incomplete pathways*</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&gt;0</w:t>
            </w:r>
          </w:p>
        </w:tc>
        <w:tc>
          <w:tcPr>
            <w:tcW w:w="2551"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£5,000 per Service User with an incomplete RTT pathway waiting over 52 weeks at the end of the relevant month</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Services to which 18 Weeks applies</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r w:rsidRPr="00D10302">
              <w:rPr>
                <w:rFonts w:ascii="Arial" w:hAnsi="Arial" w:cs="Arial"/>
                <w:b/>
                <w:i/>
                <w:color w:val="000000"/>
                <w:sz w:val="20"/>
              </w:rPr>
              <w:t>E.B.S.7a</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All handovers between ambulance and A&amp;E must take place within 15 minutes with none waiting more than 30 minutes*</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&gt;0</w:t>
            </w:r>
          </w:p>
        </w:tc>
        <w:tc>
          <w:tcPr>
            <w:tcW w:w="2551"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£200 per Service User waiting over 30 minutes in the relevant month</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A+E</w:t>
            </w:r>
          </w:p>
        </w:tc>
      </w:tr>
      <w:tr w:rsidR="00D10302" w:rsidRPr="00D10302" w:rsidTr="00445F85">
        <w:trPr>
          <w:trHeight w:val="1239"/>
        </w:trPr>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r w:rsidRPr="00D10302">
              <w:rPr>
                <w:rFonts w:ascii="Arial" w:hAnsi="Arial" w:cs="Arial"/>
                <w:b/>
                <w:i/>
                <w:color w:val="000000"/>
                <w:sz w:val="20"/>
              </w:rPr>
              <w:t>E.B.S.7b</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All handovers between ambulance and A&amp;E must take place within 15 minutes with none waiting more than 60 minutes*</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 xml:space="preserve">&gt;0 </w:t>
            </w:r>
          </w:p>
        </w:tc>
        <w:tc>
          <w:tcPr>
            <w:tcW w:w="2551"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£1,000 per Service User waiting over 60 minutes (in total, not aggregated with E.B.S.7a consequence) in the relevant month</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A+E</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r w:rsidRPr="00D10302">
              <w:rPr>
                <w:rFonts w:ascii="Arial" w:hAnsi="Arial" w:cs="Arial"/>
                <w:b/>
                <w:i/>
                <w:color w:val="000000"/>
                <w:sz w:val="20"/>
              </w:rPr>
              <w:t>E.B.S.8a</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Following handover between ambulance and A &amp; E, ambulance crew should be ready to accept new calls within 15 minutes and no longer than 30 minutes*</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&gt;0</w:t>
            </w:r>
          </w:p>
        </w:tc>
        <w:tc>
          <w:tcPr>
            <w:tcW w:w="2551"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£20 per event where &gt; 30 minutes in the relevant month</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AM</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r w:rsidRPr="00D10302">
              <w:rPr>
                <w:rFonts w:ascii="Arial" w:hAnsi="Arial" w:cs="Arial"/>
                <w:b/>
                <w:i/>
                <w:color w:val="000000"/>
                <w:sz w:val="20"/>
              </w:rPr>
              <w:t>E.B.S.8b</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Following handover between ambulance and A&amp;E, ambulance crew should be ready to accept new calls within 15 minutes and no longer than 60 minutes*</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&gt;0</w:t>
            </w:r>
          </w:p>
        </w:tc>
        <w:tc>
          <w:tcPr>
            <w:tcW w:w="2551"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£100 per event where &gt; 60 minutes (in total, not aggregated with E.B.S.8a consequence) in the relevant month</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AM</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highlight w:val="yellow"/>
              </w:rPr>
            </w:pPr>
            <w:r w:rsidRPr="00D10302">
              <w:rPr>
                <w:rFonts w:ascii="Arial" w:hAnsi="Arial" w:cs="Arial"/>
                <w:b/>
                <w:i/>
                <w:color w:val="000000"/>
                <w:sz w:val="20"/>
              </w:rPr>
              <w:t>E.B.S.5</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Trolley waits in A&amp;E not longer than 12 hours*</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&gt;0</w:t>
            </w:r>
          </w:p>
        </w:tc>
        <w:tc>
          <w:tcPr>
            <w:tcW w:w="2551"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£1,000 per incidence in the relevant month</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A+E</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color w:val="000000"/>
                <w:sz w:val="20"/>
                <w:highlight w:val="yellow"/>
              </w:rPr>
            </w:pPr>
            <w:r w:rsidRPr="00D10302">
              <w:rPr>
                <w:rFonts w:ascii="Arial" w:hAnsi="Arial" w:cs="Arial"/>
                <w:color w:val="000000"/>
                <w:sz w:val="20"/>
              </w:rPr>
              <w:t>E.B.S.6</w:t>
            </w:r>
          </w:p>
        </w:tc>
        <w:tc>
          <w:tcPr>
            <w:tcW w:w="2552" w:type="dxa"/>
          </w:tcPr>
          <w:p w:rsidR="00D10302" w:rsidRPr="00D10302" w:rsidRDefault="00D10302" w:rsidP="00D10302">
            <w:pPr>
              <w:spacing w:after="0"/>
              <w:rPr>
                <w:rFonts w:ascii="Arial" w:hAnsi="Arial" w:cs="Arial"/>
                <w:sz w:val="20"/>
              </w:rPr>
            </w:pPr>
            <w:r w:rsidRPr="00D10302">
              <w:rPr>
                <w:rFonts w:ascii="Arial" w:hAnsi="Arial" w:cs="Arial"/>
                <w:sz w:val="20"/>
              </w:rPr>
              <w:t>No urgent operation should be cancelled for a second time*</w:t>
            </w:r>
          </w:p>
        </w:tc>
        <w:tc>
          <w:tcPr>
            <w:tcW w:w="1701" w:type="dxa"/>
          </w:tcPr>
          <w:p w:rsidR="00D10302" w:rsidRPr="00D10302" w:rsidRDefault="00D10302" w:rsidP="00D10302">
            <w:pPr>
              <w:spacing w:after="0"/>
              <w:rPr>
                <w:rFonts w:ascii="Arial" w:hAnsi="Arial" w:cs="Arial"/>
                <w:sz w:val="20"/>
              </w:rPr>
            </w:pPr>
            <w:r w:rsidRPr="00D10302">
              <w:rPr>
                <w:rFonts w:ascii="Arial" w:hAnsi="Arial" w:cs="Arial"/>
                <w:sz w:val="20"/>
              </w:rPr>
              <w:t>&gt;0</w:t>
            </w:r>
          </w:p>
        </w:tc>
        <w:tc>
          <w:tcPr>
            <w:tcW w:w="2551" w:type="dxa"/>
          </w:tcPr>
          <w:p w:rsidR="00D10302" w:rsidRPr="00D10302" w:rsidRDefault="00D10302" w:rsidP="00D10302">
            <w:pPr>
              <w:spacing w:after="0"/>
              <w:rPr>
                <w:rFonts w:ascii="Arial" w:hAnsi="Arial" w:cs="Arial"/>
                <w:sz w:val="20"/>
              </w:rPr>
            </w:pPr>
            <w:r w:rsidRPr="00D10302">
              <w:rPr>
                <w:rFonts w:ascii="Arial" w:hAnsi="Arial" w:cs="Arial"/>
                <w:sz w:val="20"/>
              </w:rPr>
              <w:t>Review of Service Quality Performance Reports</w:t>
            </w:r>
          </w:p>
        </w:tc>
        <w:tc>
          <w:tcPr>
            <w:tcW w:w="2552" w:type="dxa"/>
          </w:tcPr>
          <w:p w:rsidR="00D10302" w:rsidRPr="00D10302" w:rsidRDefault="00D10302" w:rsidP="00D10302">
            <w:pPr>
              <w:spacing w:after="0"/>
              <w:rPr>
                <w:rFonts w:ascii="Arial" w:hAnsi="Arial" w:cs="Arial"/>
                <w:sz w:val="20"/>
              </w:rPr>
            </w:pPr>
            <w:r w:rsidRPr="00D10302">
              <w:rPr>
                <w:rFonts w:ascii="Arial" w:hAnsi="Arial" w:cs="Arial"/>
                <w:sz w:val="20"/>
              </w:rPr>
              <w:t>£5,000 per incidence in the relevant month</w:t>
            </w:r>
          </w:p>
        </w:tc>
        <w:tc>
          <w:tcPr>
            <w:tcW w:w="1843" w:type="dxa"/>
          </w:tcPr>
          <w:p w:rsidR="00D10302" w:rsidRPr="00D10302" w:rsidRDefault="00D10302" w:rsidP="00D10302">
            <w:pPr>
              <w:spacing w:after="0"/>
              <w:rPr>
                <w:rFonts w:ascii="Arial" w:hAnsi="Arial" w:cs="Arial"/>
                <w:sz w:val="20"/>
              </w:rPr>
            </w:pPr>
            <w:r w:rsidRPr="00D10302">
              <w:rPr>
                <w:rFonts w:ascii="Arial" w:hAnsi="Arial" w:cs="Arial"/>
                <w:sz w:val="20"/>
              </w:rPr>
              <w:t>Monthly</w:t>
            </w:r>
          </w:p>
        </w:tc>
        <w:tc>
          <w:tcPr>
            <w:tcW w:w="1417" w:type="dxa"/>
          </w:tcPr>
          <w:p w:rsidR="00D10302" w:rsidRPr="00D10302" w:rsidRDefault="00D10302" w:rsidP="00D10302">
            <w:pPr>
              <w:spacing w:after="0"/>
              <w:rPr>
                <w:rFonts w:ascii="Arial" w:hAnsi="Arial" w:cs="Arial"/>
                <w:sz w:val="20"/>
              </w:rPr>
            </w:pPr>
            <w:r w:rsidRPr="00D10302">
              <w:rPr>
                <w:rFonts w:ascii="Arial" w:hAnsi="Arial" w:cs="Arial"/>
                <w:sz w:val="20"/>
              </w:rPr>
              <w:t>A</w:t>
            </w:r>
          </w:p>
          <w:p w:rsidR="00D10302" w:rsidRPr="00D10302" w:rsidRDefault="00D10302" w:rsidP="00D10302">
            <w:pPr>
              <w:spacing w:after="0"/>
              <w:rPr>
                <w:rFonts w:ascii="Arial" w:hAnsi="Arial" w:cs="Arial"/>
                <w:sz w:val="20"/>
              </w:rPr>
            </w:pPr>
            <w:r w:rsidRPr="00D10302">
              <w:rPr>
                <w:rFonts w:ascii="Arial" w:hAnsi="Arial" w:cs="Arial"/>
                <w:sz w:val="20"/>
              </w:rPr>
              <w:t>CR</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highlight w:val="yellow"/>
              </w:rPr>
            </w:pP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VTE risk assessment: all inpatient Service Users undergoing risk assessment for VTE, as defined in Contract Technical Guidance</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95%</w:t>
            </w:r>
          </w:p>
        </w:tc>
        <w:tc>
          <w:tcPr>
            <w:tcW w:w="2551" w:type="dxa"/>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Issue of Contract Performance Notice and subsequent process in accordance with GC9</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color w:val="000000"/>
                <w:sz w:val="20"/>
                <w:highlight w:val="yellow"/>
              </w:rPr>
            </w:pPr>
          </w:p>
        </w:tc>
        <w:tc>
          <w:tcPr>
            <w:tcW w:w="2552" w:type="dxa"/>
          </w:tcPr>
          <w:p w:rsidR="00D10302" w:rsidRPr="00D10302" w:rsidRDefault="00D10302" w:rsidP="00D10302">
            <w:pPr>
              <w:spacing w:after="0"/>
              <w:rPr>
                <w:rFonts w:ascii="Arial" w:hAnsi="Arial" w:cs="Arial"/>
                <w:sz w:val="20"/>
              </w:rPr>
            </w:pPr>
            <w:r w:rsidRPr="00D10302">
              <w:rPr>
                <w:rFonts w:ascii="Arial" w:hAnsi="Arial" w:cs="Arial"/>
                <w:sz w:val="20"/>
              </w:rPr>
              <w:t xml:space="preserve">Duty of </w:t>
            </w:r>
            <w:proofErr w:type="spellStart"/>
            <w:r w:rsidRPr="00D10302">
              <w:rPr>
                <w:rFonts w:ascii="Arial" w:hAnsi="Arial" w:cs="Arial"/>
                <w:sz w:val="20"/>
              </w:rPr>
              <w:t>candour</w:t>
            </w:r>
            <w:proofErr w:type="spellEnd"/>
          </w:p>
        </w:tc>
        <w:tc>
          <w:tcPr>
            <w:tcW w:w="1701" w:type="dxa"/>
          </w:tcPr>
          <w:p w:rsidR="00D10302" w:rsidRPr="00D10302" w:rsidRDefault="00D10302" w:rsidP="00D10302">
            <w:pPr>
              <w:spacing w:after="0"/>
              <w:rPr>
                <w:rFonts w:ascii="Arial" w:hAnsi="Arial" w:cs="Arial"/>
                <w:sz w:val="20"/>
              </w:rPr>
            </w:pPr>
            <w:r w:rsidRPr="00D10302">
              <w:rPr>
                <w:rFonts w:ascii="Arial" w:hAnsi="Arial" w:cs="Arial"/>
                <w:sz w:val="20"/>
              </w:rPr>
              <w:t>Each failure to notify the Relevant Person of a suspected or actual Notifiable Safety Incident in accordance with Regulation 20 of the 2014 Regulations</w:t>
            </w:r>
          </w:p>
        </w:tc>
        <w:tc>
          <w:tcPr>
            <w:tcW w:w="2551" w:type="dxa"/>
            <w:shd w:val="clear" w:color="auto" w:fill="auto"/>
          </w:tcPr>
          <w:p w:rsidR="00D10302" w:rsidRPr="00D10302" w:rsidRDefault="00D10302" w:rsidP="00D10302">
            <w:pPr>
              <w:spacing w:after="0"/>
              <w:rPr>
                <w:rFonts w:ascii="Arial" w:hAnsi="Arial" w:cs="Arial"/>
                <w:sz w:val="20"/>
              </w:rPr>
            </w:pPr>
            <w:r w:rsidRPr="00D10302">
              <w:rPr>
                <w:rFonts w:ascii="Arial" w:hAnsi="Arial" w:cs="Arial"/>
                <w:sz w:val="20"/>
              </w:rPr>
              <w:t>Review of Service Quality Performance Reports</w:t>
            </w:r>
          </w:p>
        </w:tc>
        <w:tc>
          <w:tcPr>
            <w:tcW w:w="2552" w:type="dxa"/>
          </w:tcPr>
          <w:p w:rsidR="00D10302" w:rsidRPr="00D10302" w:rsidRDefault="00D10302" w:rsidP="00D10302">
            <w:pPr>
              <w:spacing w:after="0"/>
              <w:rPr>
                <w:rFonts w:ascii="Arial" w:hAnsi="Arial" w:cs="Arial"/>
                <w:sz w:val="20"/>
              </w:rPr>
            </w:pPr>
            <w:r w:rsidRPr="00D10302">
              <w:rPr>
                <w:rFonts w:ascii="Arial" w:hAnsi="Arial" w:cs="Arial"/>
                <w:sz w:val="20"/>
              </w:rPr>
              <w:t>Recovery of the cost of the episode of care, or £10,000 if the cost of the episode of care is unknown or indeterminate</w:t>
            </w:r>
          </w:p>
        </w:tc>
        <w:tc>
          <w:tcPr>
            <w:tcW w:w="1843" w:type="dxa"/>
          </w:tcPr>
          <w:p w:rsidR="00D10302" w:rsidRPr="00D10302" w:rsidRDefault="00D10302" w:rsidP="00D10302">
            <w:pPr>
              <w:spacing w:after="0"/>
              <w:rPr>
                <w:rFonts w:ascii="Arial" w:hAnsi="Arial" w:cs="Arial"/>
                <w:sz w:val="20"/>
              </w:rPr>
            </w:pPr>
            <w:r w:rsidRPr="00D10302">
              <w:rPr>
                <w:rFonts w:ascii="Arial" w:hAnsi="Arial" w:cs="Arial"/>
                <w:sz w:val="20"/>
              </w:rPr>
              <w:t>Monthly</w:t>
            </w:r>
          </w:p>
        </w:tc>
        <w:tc>
          <w:tcPr>
            <w:tcW w:w="1417" w:type="dxa"/>
          </w:tcPr>
          <w:p w:rsidR="00D10302" w:rsidRPr="00D10302" w:rsidRDefault="00D10302" w:rsidP="00D10302">
            <w:pPr>
              <w:spacing w:after="0"/>
              <w:rPr>
                <w:rFonts w:ascii="Arial" w:hAnsi="Arial" w:cs="Arial"/>
                <w:sz w:val="20"/>
              </w:rPr>
            </w:pPr>
            <w:r w:rsidRPr="00D10302">
              <w:rPr>
                <w:rFonts w:ascii="Arial" w:hAnsi="Arial" w:cs="Arial"/>
                <w:sz w:val="20"/>
              </w:rPr>
              <w:t>All</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highlight w:val="yellow"/>
              </w:rPr>
            </w:pP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Completion of a valid NHS Number field in mental health and acute commissioning data sets submitted via SUS, as defined in Contract Technical Guidance</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99%</w:t>
            </w:r>
          </w:p>
        </w:tc>
        <w:tc>
          <w:tcPr>
            <w:tcW w:w="2551" w:type="dxa"/>
            <w:shd w:val="clear" w:color="auto" w:fill="FFFFFF" w:themeFill="background1"/>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breaches in the month exceeds the tolerance permitted by the threshold, £10 in respect of each excess breach above that threshold</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A</w:t>
            </w:r>
          </w:p>
          <w:p w:rsidR="00D10302" w:rsidRPr="00D10302" w:rsidRDefault="00D10302" w:rsidP="00D10302">
            <w:pPr>
              <w:spacing w:after="0"/>
              <w:rPr>
                <w:rFonts w:ascii="Arial" w:hAnsi="Arial" w:cs="Arial"/>
                <w:b/>
                <w:i/>
                <w:sz w:val="20"/>
              </w:rPr>
            </w:pPr>
            <w:r w:rsidRPr="00D10302">
              <w:rPr>
                <w:rFonts w:ascii="Arial" w:hAnsi="Arial" w:cs="Arial"/>
                <w:b/>
                <w:i/>
                <w:sz w:val="20"/>
              </w:rPr>
              <w:t>MH</w:t>
            </w:r>
          </w:p>
          <w:p w:rsidR="00D10302" w:rsidRPr="00D10302" w:rsidRDefault="00D10302" w:rsidP="00D10302">
            <w:pPr>
              <w:spacing w:after="0"/>
              <w:rPr>
                <w:rFonts w:ascii="Arial" w:hAnsi="Arial" w:cs="Arial"/>
                <w:b/>
                <w:i/>
                <w:sz w:val="20"/>
              </w:rPr>
            </w:pPr>
            <w:r w:rsidRPr="00D10302">
              <w:rPr>
                <w:rFonts w:ascii="Arial" w:hAnsi="Arial" w:cs="Arial"/>
                <w:b/>
                <w:i/>
                <w:sz w:val="20"/>
              </w:rPr>
              <w:t>MHSS</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highlight w:val="yellow"/>
              </w:rPr>
            </w:pP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Completion of a valid NHS Number field in A&amp;E commissioning data sets submitted via SUS, as defined in Contract Technical Guidance</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95%</w:t>
            </w:r>
          </w:p>
        </w:tc>
        <w:tc>
          <w:tcPr>
            <w:tcW w:w="2551" w:type="dxa"/>
            <w:shd w:val="clear" w:color="auto" w:fill="FFFFFF" w:themeFill="background1"/>
          </w:tcPr>
          <w:p w:rsidR="00D10302" w:rsidRPr="00D10302" w:rsidDel="00D215DF"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breaches in the month exceeds the tolerance permitted by the threshold, £10 in respect of each excess breach above that threshold</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A&amp;E</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Completion of Mental Health Services Data Set ethnicity coding for all Service Users, as defined in Contract Technical Guidance</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90%</w:t>
            </w:r>
          </w:p>
        </w:tc>
        <w:tc>
          <w:tcPr>
            <w:tcW w:w="2551" w:type="dxa"/>
            <w:shd w:val="clear" w:color="auto" w:fill="FFFFFF" w:themeFill="background1"/>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breaches in the month exceeds the tolerance permitted by the threshold, £10 in respect of each excess breach above that threshold</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MH</w:t>
            </w:r>
          </w:p>
          <w:p w:rsidR="00D10302" w:rsidRPr="00D10302" w:rsidRDefault="00D10302" w:rsidP="00D10302">
            <w:pPr>
              <w:spacing w:after="0"/>
              <w:rPr>
                <w:rFonts w:ascii="Arial" w:hAnsi="Arial" w:cs="Arial"/>
                <w:b/>
                <w:i/>
                <w:sz w:val="20"/>
              </w:rPr>
            </w:pPr>
            <w:r w:rsidRPr="00D10302">
              <w:rPr>
                <w:rFonts w:ascii="Arial" w:hAnsi="Arial" w:cs="Arial"/>
                <w:b/>
                <w:i/>
                <w:sz w:val="20"/>
              </w:rPr>
              <w:t>MHSS</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color w:val="000000"/>
                <w:sz w:val="20"/>
              </w:rPr>
              <w:t>Completion of IAPT Minimum Data Set outcome data for all appropriate Service Users, as defined in Contract Technical Guidance</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90%</w:t>
            </w:r>
          </w:p>
        </w:tc>
        <w:tc>
          <w:tcPr>
            <w:tcW w:w="2551" w:type="dxa"/>
            <w:shd w:val="clear" w:color="auto" w:fill="FFFFFF" w:themeFill="background1"/>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Where the number of breaches in the month exceeds the tolerance permitted by the threshold, £10 in respect of each excess breach above that threshold</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Monthly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MH</w:t>
            </w:r>
          </w:p>
          <w:p w:rsidR="00D10302" w:rsidRPr="00D10302" w:rsidRDefault="00D10302" w:rsidP="00D10302">
            <w:pPr>
              <w:spacing w:after="0"/>
              <w:rPr>
                <w:rFonts w:ascii="Arial" w:hAnsi="Arial" w:cs="Arial"/>
                <w:b/>
                <w:i/>
                <w:sz w:val="20"/>
              </w:rPr>
            </w:pPr>
            <w:r w:rsidRPr="00D10302">
              <w:rPr>
                <w:rFonts w:ascii="Arial" w:hAnsi="Arial" w:cs="Arial"/>
                <w:b/>
                <w:i/>
                <w:sz w:val="20"/>
              </w:rPr>
              <w:t>MHSS</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r w:rsidRPr="00D10302">
              <w:rPr>
                <w:rFonts w:ascii="Arial" w:hAnsi="Arial" w:cs="Arial"/>
                <w:b/>
                <w:i/>
                <w:color w:val="000000"/>
                <w:sz w:val="20"/>
              </w:rPr>
              <w:t>E.H.4</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 xml:space="preserve">Early Intervention in Psychosis </w:t>
            </w:r>
            <w:proofErr w:type="spellStart"/>
            <w:r w:rsidRPr="00D10302">
              <w:rPr>
                <w:rFonts w:ascii="Arial" w:hAnsi="Arial" w:cs="Arial"/>
                <w:b/>
                <w:i/>
                <w:sz w:val="20"/>
              </w:rPr>
              <w:t>programmes</w:t>
            </w:r>
            <w:proofErr w:type="spellEnd"/>
            <w:r w:rsidRPr="00D10302">
              <w:rPr>
                <w:rFonts w:ascii="Arial" w:hAnsi="Arial" w:cs="Arial"/>
                <w:b/>
                <w:i/>
                <w:sz w:val="20"/>
              </w:rPr>
              <w:t>: the percentage of Service Users experiencing a first episode of psychosis or ARMS (at risk mental state) who wait less than two weeks to start a NICE-recommended package of care*</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For the period 1 April 2017 to 31 March 2018, operating standard of 50%. From 1 April 2018, operating standard of 53%</w:t>
            </w:r>
          </w:p>
        </w:tc>
        <w:tc>
          <w:tcPr>
            <w:tcW w:w="2551" w:type="dxa"/>
            <w:shd w:val="clear" w:color="auto" w:fill="FFFFFF" w:themeFill="background1"/>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highlight w:val="yellow"/>
              </w:rPr>
            </w:pPr>
            <w:r w:rsidRPr="00D10302">
              <w:rPr>
                <w:rFonts w:ascii="Arial" w:hAnsi="Arial" w:cs="Arial"/>
                <w:b/>
                <w:i/>
                <w:sz w:val="20"/>
              </w:rPr>
              <w:t xml:space="preserve">Issue of Contract Performance Notice and subsequent process in accordance with GC9 </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MH</w:t>
            </w:r>
          </w:p>
          <w:p w:rsidR="00D10302" w:rsidRPr="00D10302" w:rsidRDefault="00D10302" w:rsidP="00D10302">
            <w:pPr>
              <w:spacing w:after="0"/>
              <w:rPr>
                <w:rFonts w:ascii="Arial" w:hAnsi="Arial" w:cs="Arial"/>
                <w:b/>
                <w:i/>
                <w:sz w:val="20"/>
              </w:rPr>
            </w:pPr>
            <w:r w:rsidRPr="00D10302">
              <w:rPr>
                <w:rFonts w:ascii="Arial" w:hAnsi="Arial" w:cs="Arial"/>
                <w:b/>
                <w:i/>
                <w:sz w:val="20"/>
              </w:rPr>
              <w:t>MHSS</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r w:rsidRPr="00D10302">
              <w:rPr>
                <w:rFonts w:ascii="Arial" w:hAnsi="Arial" w:cs="Arial"/>
                <w:b/>
                <w:i/>
                <w:color w:val="000000"/>
                <w:sz w:val="20"/>
              </w:rPr>
              <w:t>E.H.1</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bCs/>
                <w:i/>
                <w:sz w:val="20"/>
              </w:rPr>
              <w:t xml:space="preserve">Improving Access to Psychological Therapies (IAPT) </w:t>
            </w:r>
            <w:proofErr w:type="spellStart"/>
            <w:r w:rsidRPr="00D10302">
              <w:rPr>
                <w:rFonts w:ascii="Arial" w:hAnsi="Arial" w:cs="Arial"/>
                <w:b/>
                <w:bCs/>
                <w:i/>
                <w:sz w:val="20"/>
              </w:rPr>
              <w:t>programmes</w:t>
            </w:r>
            <w:proofErr w:type="spellEnd"/>
            <w:r w:rsidRPr="00D10302">
              <w:rPr>
                <w:rFonts w:ascii="Arial" w:hAnsi="Arial" w:cs="Arial"/>
                <w:b/>
                <w:bCs/>
                <w:i/>
                <w:sz w:val="20"/>
              </w:rPr>
              <w:t xml:space="preserve">: the percentage of Service Users referred to an IAPT </w:t>
            </w:r>
            <w:proofErr w:type="spellStart"/>
            <w:r w:rsidRPr="00D10302">
              <w:rPr>
                <w:rFonts w:ascii="Arial" w:hAnsi="Arial" w:cs="Arial"/>
                <w:b/>
                <w:bCs/>
                <w:i/>
                <w:sz w:val="20"/>
              </w:rPr>
              <w:t>programme</w:t>
            </w:r>
            <w:proofErr w:type="spellEnd"/>
            <w:r w:rsidRPr="00D10302">
              <w:rPr>
                <w:rFonts w:ascii="Arial" w:hAnsi="Arial" w:cs="Arial"/>
                <w:b/>
                <w:bCs/>
                <w:i/>
                <w:sz w:val="20"/>
              </w:rPr>
              <w:t xml:space="preserve"> who wait six weeks or less from referral to entering a course of IAPT treatment*</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75%</w:t>
            </w:r>
          </w:p>
        </w:tc>
        <w:tc>
          <w:tcPr>
            <w:tcW w:w="2551" w:type="dxa"/>
            <w:shd w:val="clear" w:color="auto" w:fill="FFFFFF" w:themeFill="background1"/>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highlight w:val="yellow"/>
              </w:rPr>
            </w:pPr>
            <w:r w:rsidRPr="00D10302">
              <w:rPr>
                <w:rFonts w:ascii="Arial" w:hAnsi="Arial" w:cs="Arial"/>
                <w:b/>
                <w:i/>
                <w:sz w:val="20"/>
              </w:rPr>
              <w:t>Issue of Contract Performance Notice and subsequent process in accordance with GC9</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MH</w:t>
            </w:r>
          </w:p>
          <w:p w:rsidR="00D10302" w:rsidRPr="00D10302" w:rsidRDefault="00D10302" w:rsidP="00D10302">
            <w:pPr>
              <w:spacing w:after="0"/>
              <w:rPr>
                <w:rFonts w:ascii="Arial" w:hAnsi="Arial" w:cs="Arial"/>
                <w:b/>
                <w:i/>
                <w:sz w:val="20"/>
              </w:rPr>
            </w:pPr>
            <w:r w:rsidRPr="00D10302">
              <w:rPr>
                <w:rFonts w:ascii="Arial" w:hAnsi="Arial" w:cs="Arial"/>
                <w:b/>
                <w:i/>
                <w:sz w:val="20"/>
              </w:rPr>
              <w:t>MHSS</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i/>
                <w:color w:val="000000"/>
                <w:sz w:val="20"/>
              </w:rPr>
            </w:pPr>
            <w:r w:rsidRPr="00D10302">
              <w:rPr>
                <w:rFonts w:ascii="Arial" w:hAnsi="Arial" w:cs="Arial"/>
                <w:b/>
                <w:i/>
                <w:color w:val="000000"/>
                <w:sz w:val="20"/>
              </w:rPr>
              <w:t>E.H.2</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bCs/>
                <w:i/>
                <w:sz w:val="20"/>
              </w:rPr>
              <w:t xml:space="preserve">Improving Access to Psychological Therapies (IAPT) </w:t>
            </w:r>
            <w:proofErr w:type="spellStart"/>
            <w:r w:rsidRPr="00D10302">
              <w:rPr>
                <w:rFonts w:ascii="Arial" w:hAnsi="Arial" w:cs="Arial"/>
                <w:b/>
                <w:bCs/>
                <w:i/>
                <w:sz w:val="20"/>
              </w:rPr>
              <w:t>programmes</w:t>
            </w:r>
            <w:proofErr w:type="spellEnd"/>
            <w:r w:rsidRPr="00D10302">
              <w:rPr>
                <w:rFonts w:ascii="Arial" w:hAnsi="Arial" w:cs="Arial"/>
                <w:b/>
                <w:bCs/>
                <w:i/>
                <w:sz w:val="20"/>
              </w:rPr>
              <w:t xml:space="preserve">: the percentage of Service Users referred to an IAPT </w:t>
            </w:r>
            <w:proofErr w:type="spellStart"/>
            <w:r w:rsidRPr="00D10302">
              <w:rPr>
                <w:rFonts w:ascii="Arial" w:hAnsi="Arial" w:cs="Arial"/>
                <w:b/>
                <w:bCs/>
                <w:i/>
                <w:sz w:val="20"/>
              </w:rPr>
              <w:t>programme</w:t>
            </w:r>
            <w:proofErr w:type="spellEnd"/>
            <w:r w:rsidRPr="00D10302">
              <w:rPr>
                <w:rFonts w:ascii="Arial" w:hAnsi="Arial" w:cs="Arial"/>
                <w:b/>
                <w:bCs/>
                <w:i/>
                <w:sz w:val="20"/>
              </w:rPr>
              <w:t xml:space="preserve"> who </w:t>
            </w:r>
            <w:r w:rsidRPr="00D10302">
              <w:rPr>
                <w:rFonts w:ascii="Arial" w:hAnsi="Arial" w:cs="Arial"/>
                <w:b/>
                <w:i/>
                <w:sz w:val="20"/>
              </w:rPr>
              <w:t>wait 18 weeks or less from referral to entering a course of IAPT treatment*</w:t>
            </w:r>
          </w:p>
        </w:tc>
        <w:tc>
          <w:tcPr>
            <w:tcW w:w="1701" w:type="dxa"/>
          </w:tcPr>
          <w:p w:rsidR="00D10302" w:rsidRPr="00D10302" w:rsidRDefault="00D10302" w:rsidP="00D10302">
            <w:pPr>
              <w:spacing w:after="0"/>
              <w:rPr>
                <w:rFonts w:ascii="Arial" w:hAnsi="Arial" w:cs="Arial"/>
                <w:b/>
                <w:i/>
                <w:sz w:val="20"/>
              </w:rPr>
            </w:pPr>
            <w:r w:rsidRPr="00D10302">
              <w:rPr>
                <w:rFonts w:ascii="Arial" w:hAnsi="Arial" w:cs="Arial"/>
                <w:b/>
                <w:i/>
                <w:sz w:val="20"/>
              </w:rPr>
              <w:t>Operating standard of 95%</w:t>
            </w:r>
          </w:p>
        </w:tc>
        <w:tc>
          <w:tcPr>
            <w:tcW w:w="2551" w:type="dxa"/>
            <w:shd w:val="clear" w:color="auto" w:fill="FFFFFF" w:themeFill="background1"/>
          </w:tcPr>
          <w:p w:rsidR="00D10302" w:rsidRPr="00D10302" w:rsidRDefault="00D10302" w:rsidP="00D10302">
            <w:pPr>
              <w:spacing w:after="0"/>
              <w:rPr>
                <w:rFonts w:ascii="Arial" w:hAnsi="Arial" w:cs="Arial"/>
                <w:b/>
                <w:i/>
                <w:sz w:val="20"/>
              </w:rPr>
            </w:pPr>
            <w:r w:rsidRPr="00D10302">
              <w:rPr>
                <w:rFonts w:ascii="Arial" w:hAnsi="Arial" w:cs="Arial"/>
                <w:b/>
                <w:i/>
                <w:sz w:val="20"/>
              </w:rPr>
              <w:t>Review of Service Quality Performance Reports</w:t>
            </w:r>
          </w:p>
        </w:tc>
        <w:tc>
          <w:tcPr>
            <w:tcW w:w="2552" w:type="dxa"/>
          </w:tcPr>
          <w:p w:rsidR="00D10302" w:rsidRPr="00D10302" w:rsidRDefault="00D10302" w:rsidP="00D10302">
            <w:pPr>
              <w:spacing w:after="0"/>
              <w:rPr>
                <w:rFonts w:ascii="Arial" w:hAnsi="Arial" w:cs="Arial"/>
                <w:b/>
                <w:i/>
                <w:sz w:val="20"/>
              </w:rPr>
            </w:pPr>
            <w:r w:rsidRPr="00D10302">
              <w:rPr>
                <w:rFonts w:ascii="Arial" w:hAnsi="Arial" w:cs="Arial"/>
                <w:b/>
                <w:i/>
                <w:sz w:val="20"/>
              </w:rPr>
              <w:t>Issue of Contract Performance Notice and subsequent process in accordance with GC9</w:t>
            </w:r>
          </w:p>
        </w:tc>
        <w:tc>
          <w:tcPr>
            <w:tcW w:w="1843" w:type="dxa"/>
          </w:tcPr>
          <w:p w:rsidR="00D10302" w:rsidRPr="00D10302" w:rsidRDefault="00D10302" w:rsidP="00D10302">
            <w:pPr>
              <w:spacing w:after="0"/>
              <w:rPr>
                <w:rFonts w:ascii="Arial" w:hAnsi="Arial" w:cs="Arial"/>
                <w:b/>
                <w:i/>
                <w:sz w:val="20"/>
              </w:rPr>
            </w:pPr>
            <w:r w:rsidRPr="00D10302">
              <w:rPr>
                <w:rFonts w:ascii="Arial" w:hAnsi="Arial" w:cs="Arial"/>
                <w:b/>
                <w:i/>
                <w:sz w:val="20"/>
              </w:rPr>
              <w:t>Quarterly</w:t>
            </w:r>
          </w:p>
        </w:tc>
        <w:tc>
          <w:tcPr>
            <w:tcW w:w="1417" w:type="dxa"/>
          </w:tcPr>
          <w:p w:rsidR="00D10302" w:rsidRPr="00D10302" w:rsidRDefault="00D10302" w:rsidP="00D10302">
            <w:pPr>
              <w:spacing w:after="0"/>
              <w:rPr>
                <w:rFonts w:ascii="Arial" w:hAnsi="Arial" w:cs="Arial"/>
                <w:b/>
                <w:i/>
                <w:sz w:val="20"/>
              </w:rPr>
            </w:pPr>
            <w:r w:rsidRPr="00D10302">
              <w:rPr>
                <w:rFonts w:ascii="Arial" w:hAnsi="Arial" w:cs="Arial"/>
                <w:b/>
                <w:i/>
                <w:sz w:val="20"/>
              </w:rPr>
              <w:t>MH</w:t>
            </w:r>
          </w:p>
          <w:p w:rsidR="00D10302" w:rsidRPr="00D10302" w:rsidRDefault="00D10302" w:rsidP="00D10302">
            <w:pPr>
              <w:spacing w:after="0"/>
              <w:rPr>
                <w:rFonts w:ascii="Arial" w:hAnsi="Arial" w:cs="Arial"/>
                <w:b/>
                <w:i/>
                <w:sz w:val="20"/>
              </w:rPr>
            </w:pPr>
            <w:r w:rsidRPr="00D10302">
              <w:rPr>
                <w:rFonts w:ascii="Arial" w:hAnsi="Arial" w:cs="Arial"/>
                <w:b/>
                <w:i/>
                <w:sz w:val="20"/>
              </w:rPr>
              <w:t>MHSS</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color w:val="000000"/>
                <w:sz w:val="20"/>
              </w:rPr>
            </w:pPr>
          </w:p>
        </w:tc>
        <w:tc>
          <w:tcPr>
            <w:tcW w:w="2552" w:type="dxa"/>
          </w:tcPr>
          <w:p w:rsidR="00D10302" w:rsidRPr="009A447A" w:rsidRDefault="00D10302" w:rsidP="00D10302">
            <w:pPr>
              <w:spacing w:after="0"/>
              <w:rPr>
                <w:rFonts w:ascii="Arial" w:hAnsi="Arial" w:cs="Arial"/>
                <w:b/>
                <w:bCs/>
                <w:i/>
                <w:sz w:val="20"/>
              </w:rPr>
            </w:pPr>
            <w:r w:rsidRPr="009A447A">
              <w:rPr>
                <w:rFonts w:ascii="Arial" w:hAnsi="Arial" w:cs="Arial"/>
                <w:b/>
                <w:bCs/>
                <w:i/>
                <w:sz w:val="20"/>
              </w:rPr>
              <w:t xml:space="preserve">Full implementation of an effective e-Prescribing system for chemotherapy across all relevant clinical teams within the Provider (other than those dealing with children, teenagers and young adults) across all </w:t>
            </w:r>
            <w:proofErr w:type="spellStart"/>
            <w:r w:rsidRPr="009A447A">
              <w:rPr>
                <w:rFonts w:ascii="Arial" w:hAnsi="Arial" w:cs="Arial"/>
                <w:b/>
                <w:bCs/>
                <w:i/>
                <w:sz w:val="20"/>
              </w:rPr>
              <w:t>tumour</w:t>
            </w:r>
            <w:proofErr w:type="spellEnd"/>
            <w:r w:rsidRPr="009A447A">
              <w:rPr>
                <w:rFonts w:ascii="Arial" w:hAnsi="Arial" w:cs="Arial"/>
                <w:b/>
                <w:bCs/>
                <w:i/>
                <w:sz w:val="20"/>
              </w:rPr>
              <w:t xml:space="preserve"> sites</w:t>
            </w:r>
          </w:p>
        </w:tc>
        <w:tc>
          <w:tcPr>
            <w:tcW w:w="1701" w:type="dxa"/>
          </w:tcPr>
          <w:p w:rsidR="00D10302" w:rsidRPr="009A447A" w:rsidRDefault="00D10302" w:rsidP="00D10302">
            <w:pPr>
              <w:spacing w:after="0"/>
              <w:rPr>
                <w:rFonts w:ascii="Arial" w:hAnsi="Arial" w:cs="Arial"/>
                <w:b/>
                <w:i/>
                <w:sz w:val="20"/>
              </w:rPr>
            </w:pPr>
            <w:r w:rsidRPr="009A447A">
              <w:rPr>
                <w:rFonts w:ascii="Arial" w:hAnsi="Arial" w:cs="Arial"/>
                <w:b/>
                <w:i/>
                <w:sz w:val="20"/>
              </w:rPr>
              <w:t>Failure to achieve full implementation as described under Service Specification B15/S/a Cancer: Chemotherapy (Adult) by 31 March 2017</w:t>
            </w:r>
          </w:p>
        </w:tc>
        <w:tc>
          <w:tcPr>
            <w:tcW w:w="2551" w:type="dxa"/>
            <w:shd w:val="clear" w:color="auto" w:fill="FFFFFF" w:themeFill="background1"/>
          </w:tcPr>
          <w:p w:rsidR="00D10302" w:rsidRPr="009A447A" w:rsidRDefault="00D10302" w:rsidP="00D10302">
            <w:pPr>
              <w:spacing w:after="0"/>
              <w:rPr>
                <w:rFonts w:ascii="Arial" w:hAnsi="Arial" w:cs="Arial"/>
                <w:b/>
                <w:i/>
                <w:sz w:val="20"/>
              </w:rPr>
            </w:pPr>
            <w:r w:rsidRPr="009A447A">
              <w:rPr>
                <w:rFonts w:ascii="Arial" w:hAnsi="Arial" w:cs="Arial"/>
                <w:b/>
                <w:i/>
                <w:sz w:val="20"/>
              </w:rPr>
              <w:t>Review of Service Quality Performance Reports</w:t>
            </w:r>
          </w:p>
        </w:tc>
        <w:tc>
          <w:tcPr>
            <w:tcW w:w="2552" w:type="dxa"/>
          </w:tcPr>
          <w:p w:rsidR="00D10302" w:rsidRPr="009A447A" w:rsidRDefault="00D10302" w:rsidP="00D10302">
            <w:pPr>
              <w:spacing w:after="0"/>
              <w:rPr>
                <w:rFonts w:ascii="Arial" w:hAnsi="Arial" w:cs="Arial"/>
                <w:b/>
                <w:i/>
                <w:sz w:val="20"/>
              </w:rPr>
            </w:pPr>
            <w:r w:rsidRPr="009A447A">
              <w:rPr>
                <w:rFonts w:ascii="Arial" w:hAnsi="Arial" w:cs="Arial"/>
                <w:b/>
                <w:i/>
                <w:sz w:val="20"/>
              </w:rPr>
              <w:t>5% of the Actual Monthly Value for the Services provided under Service Specification B15/S/a (Cancer: Chemotherapy (Adult) per month, until full implementation is achieved</w:t>
            </w:r>
          </w:p>
        </w:tc>
        <w:tc>
          <w:tcPr>
            <w:tcW w:w="1843" w:type="dxa"/>
          </w:tcPr>
          <w:p w:rsidR="00D10302" w:rsidRPr="009A447A" w:rsidRDefault="00D10302" w:rsidP="00D10302">
            <w:pPr>
              <w:spacing w:after="0"/>
              <w:rPr>
                <w:rFonts w:ascii="Arial" w:hAnsi="Arial" w:cs="Arial"/>
                <w:b/>
                <w:i/>
                <w:sz w:val="20"/>
              </w:rPr>
            </w:pPr>
            <w:r w:rsidRPr="009A447A">
              <w:rPr>
                <w:rFonts w:ascii="Arial" w:hAnsi="Arial" w:cs="Arial"/>
                <w:b/>
                <w:i/>
                <w:sz w:val="20"/>
              </w:rPr>
              <w:t>Monthly</w:t>
            </w:r>
          </w:p>
        </w:tc>
        <w:tc>
          <w:tcPr>
            <w:tcW w:w="1417" w:type="dxa"/>
          </w:tcPr>
          <w:p w:rsidR="00D10302" w:rsidRPr="009A447A" w:rsidRDefault="00D10302" w:rsidP="00D10302">
            <w:pPr>
              <w:spacing w:after="0"/>
              <w:rPr>
                <w:rFonts w:ascii="Arial" w:hAnsi="Arial" w:cs="Arial"/>
                <w:b/>
                <w:i/>
                <w:sz w:val="20"/>
              </w:rPr>
            </w:pPr>
            <w:r w:rsidRPr="009A447A">
              <w:rPr>
                <w:rFonts w:ascii="Arial" w:hAnsi="Arial" w:cs="Arial"/>
                <w:b/>
                <w:i/>
                <w:sz w:val="20"/>
              </w:rPr>
              <w:t xml:space="preserve">Where </w:t>
            </w:r>
            <w:r w:rsidRPr="009A447A">
              <w:rPr>
                <w:rFonts w:ascii="Arial" w:hAnsi="Arial" w:cs="Arial"/>
                <w:b/>
                <w:i/>
                <w:sz w:val="20"/>
                <w:u w:val="single"/>
              </w:rPr>
              <w:t>both</w:t>
            </w:r>
            <w:r w:rsidRPr="009A447A">
              <w:rPr>
                <w:rFonts w:ascii="Arial" w:hAnsi="Arial" w:cs="Arial"/>
                <w:b/>
                <w:i/>
                <w:sz w:val="20"/>
              </w:rPr>
              <w:t xml:space="preserve"> </w:t>
            </w:r>
            <w:proofErr w:type="spellStart"/>
            <w:r w:rsidRPr="009A447A">
              <w:rPr>
                <w:rFonts w:ascii="Arial" w:hAnsi="Arial" w:cs="Arial"/>
                <w:b/>
                <w:i/>
                <w:sz w:val="20"/>
              </w:rPr>
              <w:t>Specialised</w:t>
            </w:r>
            <w:proofErr w:type="spellEnd"/>
            <w:r w:rsidRPr="009A447A">
              <w:rPr>
                <w:rFonts w:ascii="Arial" w:hAnsi="Arial" w:cs="Arial"/>
                <w:b/>
                <w:i/>
                <w:sz w:val="20"/>
              </w:rPr>
              <w:t xml:space="preserve"> Services </w:t>
            </w:r>
            <w:r w:rsidRPr="009A447A">
              <w:rPr>
                <w:rFonts w:ascii="Arial" w:hAnsi="Arial" w:cs="Arial"/>
                <w:b/>
                <w:i/>
                <w:sz w:val="20"/>
                <w:u w:val="single"/>
              </w:rPr>
              <w:t>and</w:t>
            </w:r>
            <w:r w:rsidRPr="009A447A">
              <w:rPr>
                <w:rFonts w:ascii="Arial" w:hAnsi="Arial" w:cs="Arial"/>
                <w:b/>
                <w:i/>
                <w:sz w:val="20"/>
              </w:rPr>
              <w:t xml:space="preserve"> Cancer apply</w:t>
            </w:r>
          </w:p>
        </w:tc>
      </w:tr>
      <w:tr w:rsidR="00D10302" w:rsidRPr="00D10302" w:rsidTr="00445F85">
        <w:tc>
          <w:tcPr>
            <w:tcW w:w="1134" w:type="dxa"/>
          </w:tcPr>
          <w:p w:rsidR="00D10302" w:rsidRPr="00D10302" w:rsidRDefault="00D10302" w:rsidP="00D10302">
            <w:pPr>
              <w:autoSpaceDE w:val="0"/>
              <w:autoSpaceDN w:val="0"/>
              <w:adjustRightInd w:val="0"/>
              <w:spacing w:after="0"/>
              <w:rPr>
                <w:rFonts w:ascii="Arial" w:hAnsi="Arial" w:cs="Arial"/>
                <w:b/>
                <w:color w:val="000000"/>
                <w:sz w:val="20"/>
              </w:rPr>
            </w:pPr>
          </w:p>
        </w:tc>
        <w:tc>
          <w:tcPr>
            <w:tcW w:w="2552" w:type="dxa"/>
          </w:tcPr>
          <w:p w:rsidR="00D10302" w:rsidRPr="009A447A" w:rsidRDefault="00D10302" w:rsidP="00D10302">
            <w:pPr>
              <w:spacing w:after="0"/>
              <w:rPr>
                <w:rFonts w:ascii="Arial" w:hAnsi="Arial" w:cs="Arial"/>
                <w:b/>
                <w:bCs/>
                <w:i/>
                <w:sz w:val="20"/>
              </w:rPr>
            </w:pPr>
            <w:r w:rsidRPr="009A447A">
              <w:rPr>
                <w:rFonts w:ascii="Arial" w:hAnsi="Arial" w:cs="Arial"/>
                <w:b/>
                <w:i/>
                <w:sz w:val="20"/>
              </w:rPr>
              <w:t xml:space="preserve">Full implementation of an effective e-Prescribing system for chemotherapy across all relevant clinical teams within the Provider dealing with children, teenagers and young adults across all </w:t>
            </w:r>
            <w:proofErr w:type="spellStart"/>
            <w:r w:rsidRPr="009A447A">
              <w:rPr>
                <w:rFonts w:ascii="Arial" w:hAnsi="Arial" w:cs="Arial"/>
                <w:b/>
                <w:i/>
                <w:sz w:val="20"/>
              </w:rPr>
              <w:t>tumour</w:t>
            </w:r>
            <w:proofErr w:type="spellEnd"/>
            <w:r w:rsidRPr="009A447A">
              <w:rPr>
                <w:rFonts w:ascii="Arial" w:hAnsi="Arial" w:cs="Arial"/>
                <w:b/>
                <w:i/>
                <w:sz w:val="20"/>
              </w:rPr>
              <w:t xml:space="preserve"> sites</w:t>
            </w:r>
          </w:p>
        </w:tc>
        <w:tc>
          <w:tcPr>
            <w:tcW w:w="1701" w:type="dxa"/>
          </w:tcPr>
          <w:p w:rsidR="00D10302" w:rsidRPr="009A447A" w:rsidRDefault="00D10302" w:rsidP="00D10302">
            <w:pPr>
              <w:spacing w:after="0"/>
              <w:rPr>
                <w:rFonts w:ascii="Arial" w:hAnsi="Arial" w:cs="Arial"/>
                <w:b/>
                <w:i/>
                <w:sz w:val="20"/>
              </w:rPr>
            </w:pPr>
            <w:r w:rsidRPr="009A447A">
              <w:rPr>
                <w:rFonts w:ascii="Arial" w:hAnsi="Arial" w:cs="Arial"/>
                <w:b/>
                <w:i/>
                <w:sz w:val="20"/>
              </w:rPr>
              <w:t>Failure to achieve full implementation as described under Service Specification B15/S/b Cancer: Chemotherapy (Children, Teenagers and Young Adults) by 30 September 2017</w:t>
            </w:r>
          </w:p>
        </w:tc>
        <w:tc>
          <w:tcPr>
            <w:tcW w:w="2551" w:type="dxa"/>
            <w:shd w:val="clear" w:color="auto" w:fill="FFFFFF" w:themeFill="background1"/>
          </w:tcPr>
          <w:p w:rsidR="00D10302" w:rsidRPr="009A447A" w:rsidRDefault="00D10302" w:rsidP="00D10302">
            <w:pPr>
              <w:spacing w:after="0"/>
              <w:rPr>
                <w:rFonts w:ascii="Arial" w:hAnsi="Arial" w:cs="Arial"/>
                <w:b/>
                <w:i/>
                <w:sz w:val="20"/>
              </w:rPr>
            </w:pPr>
            <w:r w:rsidRPr="009A447A">
              <w:rPr>
                <w:rFonts w:ascii="Arial" w:hAnsi="Arial" w:cs="Arial"/>
                <w:b/>
                <w:i/>
                <w:sz w:val="20"/>
              </w:rPr>
              <w:t>Review of Service Quality Performance Reports</w:t>
            </w:r>
          </w:p>
        </w:tc>
        <w:tc>
          <w:tcPr>
            <w:tcW w:w="2552" w:type="dxa"/>
          </w:tcPr>
          <w:p w:rsidR="00D10302" w:rsidRPr="009A447A" w:rsidRDefault="00D10302" w:rsidP="00D10302">
            <w:pPr>
              <w:spacing w:after="0"/>
              <w:rPr>
                <w:rFonts w:ascii="Arial" w:hAnsi="Arial" w:cs="Arial"/>
                <w:b/>
                <w:i/>
                <w:sz w:val="20"/>
              </w:rPr>
            </w:pPr>
            <w:r w:rsidRPr="009A447A">
              <w:rPr>
                <w:rFonts w:ascii="Arial" w:hAnsi="Arial" w:cs="Arial"/>
                <w:b/>
                <w:i/>
                <w:sz w:val="20"/>
              </w:rPr>
              <w:t>5% of the Actual Monthly Value for the Services provided under Service Specification B15/S/b Cancer: Chemotherapy (Children, Teenagers and Young Adults) per month, until full implementation is achieved</w:t>
            </w:r>
          </w:p>
        </w:tc>
        <w:tc>
          <w:tcPr>
            <w:tcW w:w="1843" w:type="dxa"/>
          </w:tcPr>
          <w:p w:rsidR="00D10302" w:rsidRPr="009A447A" w:rsidRDefault="00D10302" w:rsidP="00D10302">
            <w:pPr>
              <w:spacing w:after="0"/>
              <w:rPr>
                <w:rFonts w:ascii="Arial" w:hAnsi="Arial" w:cs="Arial"/>
                <w:b/>
                <w:i/>
                <w:sz w:val="20"/>
              </w:rPr>
            </w:pPr>
            <w:r w:rsidRPr="009A447A">
              <w:rPr>
                <w:rFonts w:ascii="Arial" w:hAnsi="Arial" w:cs="Arial"/>
                <w:b/>
                <w:i/>
                <w:sz w:val="20"/>
              </w:rPr>
              <w:t>Monthly</w:t>
            </w:r>
          </w:p>
        </w:tc>
        <w:tc>
          <w:tcPr>
            <w:tcW w:w="1417" w:type="dxa"/>
          </w:tcPr>
          <w:p w:rsidR="00D10302" w:rsidRPr="009A447A" w:rsidRDefault="00D10302" w:rsidP="00D10302">
            <w:pPr>
              <w:spacing w:after="0"/>
              <w:rPr>
                <w:rFonts w:ascii="Arial" w:hAnsi="Arial" w:cs="Arial"/>
                <w:b/>
                <w:i/>
                <w:sz w:val="20"/>
              </w:rPr>
            </w:pPr>
            <w:r w:rsidRPr="009A447A">
              <w:rPr>
                <w:rFonts w:ascii="Arial" w:hAnsi="Arial" w:cs="Arial"/>
                <w:b/>
                <w:i/>
                <w:sz w:val="20"/>
              </w:rPr>
              <w:t xml:space="preserve">Where </w:t>
            </w:r>
            <w:r w:rsidRPr="009A447A">
              <w:rPr>
                <w:rFonts w:ascii="Arial" w:hAnsi="Arial" w:cs="Arial"/>
                <w:b/>
                <w:i/>
                <w:sz w:val="20"/>
                <w:u w:val="single"/>
              </w:rPr>
              <w:t>both</w:t>
            </w:r>
            <w:r w:rsidRPr="009A447A">
              <w:rPr>
                <w:rFonts w:ascii="Arial" w:hAnsi="Arial" w:cs="Arial"/>
                <w:b/>
                <w:i/>
                <w:sz w:val="20"/>
              </w:rPr>
              <w:t xml:space="preserve"> </w:t>
            </w:r>
            <w:proofErr w:type="spellStart"/>
            <w:r w:rsidRPr="009A447A">
              <w:rPr>
                <w:rFonts w:ascii="Arial" w:hAnsi="Arial" w:cs="Arial"/>
                <w:b/>
                <w:i/>
                <w:sz w:val="20"/>
              </w:rPr>
              <w:t>Specialised</w:t>
            </w:r>
            <w:proofErr w:type="spellEnd"/>
            <w:r w:rsidRPr="009A447A">
              <w:rPr>
                <w:rFonts w:ascii="Arial" w:hAnsi="Arial" w:cs="Arial"/>
                <w:b/>
                <w:i/>
                <w:sz w:val="20"/>
              </w:rPr>
              <w:t xml:space="preserve"> Services </w:t>
            </w:r>
            <w:r w:rsidRPr="009A447A">
              <w:rPr>
                <w:rFonts w:ascii="Arial" w:hAnsi="Arial" w:cs="Arial"/>
                <w:b/>
                <w:i/>
                <w:sz w:val="20"/>
                <w:u w:val="single"/>
              </w:rPr>
              <w:t>and</w:t>
            </w:r>
            <w:r w:rsidRPr="009A447A">
              <w:rPr>
                <w:rFonts w:ascii="Arial" w:hAnsi="Arial" w:cs="Arial"/>
                <w:b/>
                <w:i/>
                <w:sz w:val="20"/>
              </w:rPr>
              <w:t xml:space="preserve"> Cancer apply</w:t>
            </w:r>
          </w:p>
        </w:tc>
      </w:tr>
    </w:tbl>
    <w:p w:rsidR="00D10302" w:rsidRPr="00D10302" w:rsidRDefault="00D10302" w:rsidP="00D10302">
      <w:pPr>
        <w:spacing w:after="0"/>
        <w:rPr>
          <w:rFonts w:ascii="Arial" w:hAnsi="Arial" w:cs="Arial"/>
          <w:sz w:val="20"/>
        </w:rPr>
      </w:pPr>
    </w:p>
    <w:p w:rsidR="00D10302" w:rsidRPr="00D10302" w:rsidRDefault="00D10302" w:rsidP="00D10302">
      <w:pPr>
        <w:spacing w:after="0"/>
        <w:rPr>
          <w:rFonts w:ascii="Arial" w:hAnsi="Arial" w:cs="Arial"/>
          <w:sz w:val="20"/>
        </w:rPr>
      </w:pPr>
    </w:p>
    <w:p w:rsidR="00D10302" w:rsidRPr="00D10302" w:rsidRDefault="00D10302" w:rsidP="00D10302">
      <w:pPr>
        <w:spacing w:after="0"/>
        <w:rPr>
          <w:rFonts w:ascii="Arial" w:hAnsi="Arial" w:cs="Arial"/>
          <w:sz w:val="20"/>
        </w:rPr>
      </w:pPr>
      <w:r w:rsidRPr="00D10302">
        <w:rPr>
          <w:rFonts w:ascii="Arial" w:hAnsi="Arial" w:cs="Arial"/>
          <w:sz w:val="20"/>
        </w:rPr>
        <w:t xml:space="preserve">In respect of the National Quality Requirements shown in </w:t>
      </w:r>
      <w:r w:rsidRPr="00D10302">
        <w:rPr>
          <w:rFonts w:ascii="Arial" w:hAnsi="Arial" w:cs="Arial"/>
          <w:b/>
          <w:i/>
          <w:sz w:val="20"/>
        </w:rPr>
        <w:t>bold italics</w:t>
      </w:r>
      <w:r w:rsidRPr="00D10302">
        <w:rPr>
          <w:rFonts w:ascii="Arial" w:hAnsi="Arial" w:cs="Arial"/>
          <w:sz w:val="20"/>
        </w:rPr>
        <w:t xml:space="preserve"> the provisions of SC36.37A apply.</w:t>
      </w:r>
    </w:p>
    <w:p w:rsidR="00D10302" w:rsidRPr="00D10302" w:rsidRDefault="00D10302" w:rsidP="00D10302">
      <w:pPr>
        <w:spacing w:after="0"/>
        <w:rPr>
          <w:rFonts w:ascii="Arial" w:hAnsi="Arial" w:cs="Arial"/>
          <w:sz w:val="20"/>
        </w:rPr>
      </w:pPr>
    </w:p>
    <w:p w:rsidR="00D10302" w:rsidRPr="00D10302" w:rsidRDefault="00D10302" w:rsidP="00D10302">
      <w:pPr>
        <w:spacing w:after="0"/>
        <w:rPr>
          <w:rFonts w:ascii="Arial" w:hAnsi="Arial" w:cs="Arial"/>
          <w:sz w:val="20"/>
        </w:rPr>
      </w:pPr>
      <w:r w:rsidRPr="00D10302">
        <w:rPr>
          <w:rFonts w:ascii="Arial" w:hAnsi="Arial" w:cs="Arial"/>
          <w:sz w:val="28"/>
          <w:szCs w:val="28"/>
        </w:rPr>
        <w:t>*</w:t>
      </w:r>
      <w:r w:rsidRPr="00D10302">
        <w:rPr>
          <w:rFonts w:ascii="Arial" w:hAnsi="Arial" w:cs="Arial"/>
          <w:sz w:val="20"/>
        </w:rPr>
        <w:t xml:space="preserve"> </w:t>
      </w:r>
      <w:proofErr w:type="gramStart"/>
      <w:r w:rsidRPr="00D10302">
        <w:rPr>
          <w:rFonts w:ascii="Arial" w:hAnsi="Arial" w:cs="Arial"/>
          <w:sz w:val="20"/>
        </w:rPr>
        <w:t>as</w:t>
      </w:r>
      <w:proofErr w:type="gramEnd"/>
      <w:r w:rsidRPr="00D10302">
        <w:rPr>
          <w:rFonts w:ascii="Arial" w:hAnsi="Arial" w:cs="Arial"/>
          <w:sz w:val="20"/>
        </w:rPr>
        <w:t xml:space="preserve"> further described in </w:t>
      </w:r>
      <w:r w:rsidRPr="00D10302">
        <w:rPr>
          <w:rFonts w:ascii="Arial" w:hAnsi="Arial" w:cs="Arial"/>
          <w:i/>
          <w:iCs/>
          <w:sz w:val="20"/>
        </w:rPr>
        <w:t xml:space="preserve">Joint Technical Definitions for Performance and Activity 2017/18-2018/19, </w:t>
      </w:r>
      <w:r w:rsidRPr="00D10302">
        <w:rPr>
          <w:rFonts w:ascii="Arial" w:hAnsi="Arial" w:cs="Arial"/>
          <w:sz w:val="20"/>
        </w:rPr>
        <w:t xml:space="preserve">available at: </w:t>
      </w:r>
      <w:hyperlink r:id="rId34" w:history="1">
        <w:r w:rsidRPr="00D10302">
          <w:rPr>
            <w:rFonts w:ascii="Arial" w:hAnsi="Arial" w:cs="Arial"/>
            <w:color w:val="0000FF"/>
            <w:sz w:val="20"/>
            <w:u w:val="single"/>
          </w:rPr>
          <w:t>https://www.england.nhs.uk/wp-content/uploads/2015/12/joint-technical-definitions-performance-activity.pdf</w:t>
        </w:r>
      </w:hyperlink>
    </w:p>
    <w:p w:rsidR="0089485F" w:rsidRDefault="0089485F">
      <w:pPr>
        <w:spacing w:after="0"/>
        <w:rPr>
          <w:rFonts w:ascii="Arial" w:hAnsi="Arial" w:cs="Arial"/>
          <w:sz w:val="20"/>
        </w:rPr>
        <w:sectPr w:rsidR="0089485F">
          <w:pgSz w:w="16838" w:h="11906" w:orient="landscape"/>
          <w:pgMar w:top="1800" w:right="1440" w:bottom="1800" w:left="1440" w:header="708" w:footer="708" w:gutter="0"/>
          <w:pgNumType w:start="0"/>
          <w:cols w:space="720"/>
        </w:sectPr>
      </w:pPr>
    </w:p>
    <w:p w:rsidR="00EC593A" w:rsidRPr="00FB3A21" w:rsidRDefault="00FB3A21" w:rsidP="00D10302">
      <w:pPr>
        <w:spacing w:after="0"/>
        <w:rPr>
          <w:rFonts w:ascii="Arial" w:hAnsi="Arial" w:cs="Arial"/>
          <w:b/>
          <w:sz w:val="20"/>
        </w:rPr>
      </w:pPr>
      <w:r w:rsidRPr="00FB3A21">
        <w:rPr>
          <w:rFonts w:ascii="Arial" w:hAnsi="Arial" w:cs="Arial"/>
          <w:b/>
          <w:sz w:val="20"/>
        </w:rPr>
        <w:t xml:space="preserve">Appendix </w:t>
      </w:r>
      <w:r w:rsidR="00A34780">
        <w:rPr>
          <w:rFonts w:ascii="Arial" w:hAnsi="Arial" w:cs="Arial"/>
          <w:b/>
          <w:sz w:val="20"/>
        </w:rPr>
        <w:t>3</w:t>
      </w:r>
      <w:r w:rsidRPr="00FB3A21">
        <w:rPr>
          <w:rFonts w:ascii="Arial" w:hAnsi="Arial" w:cs="Arial"/>
          <w:b/>
          <w:sz w:val="20"/>
        </w:rPr>
        <w:t>:</w:t>
      </w:r>
    </w:p>
    <w:p w:rsidR="00FB3A21" w:rsidRDefault="00FB3A21" w:rsidP="00D10302">
      <w:pPr>
        <w:spacing w:after="0"/>
        <w:rPr>
          <w:rFonts w:ascii="Arial" w:hAnsi="Arial" w:cs="Arial"/>
          <w:sz w:val="20"/>
        </w:rPr>
      </w:pPr>
    </w:p>
    <w:p w:rsidR="004C2964" w:rsidRPr="004C2964" w:rsidRDefault="004C2964" w:rsidP="004C2964">
      <w:pPr>
        <w:spacing w:after="0"/>
        <w:contextualSpacing/>
        <w:jc w:val="center"/>
        <w:rPr>
          <w:rFonts w:ascii="Arial" w:hAnsi="Arial" w:cs="Arial"/>
          <w:b/>
          <w:sz w:val="28"/>
          <w:szCs w:val="28"/>
        </w:rPr>
      </w:pPr>
      <w:r w:rsidRPr="004C2964">
        <w:rPr>
          <w:rFonts w:ascii="Arial" w:hAnsi="Arial" w:cs="Arial"/>
          <w:b/>
          <w:sz w:val="28"/>
          <w:szCs w:val="28"/>
        </w:rPr>
        <w:t>SCHEDULE 6 – CONTRACT MANAGEMENT, REPORTING AND INFORMATION REQUIREMENTS</w:t>
      </w:r>
    </w:p>
    <w:p w:rsidR="004C2964" w:rsidRPr="004C2964" w:rsidRDefault="004C2964" w:rsidP="004C2964">
      <w:pPr>
        <w:spacing w:after="0"/>
        <w:rPr>
          <w:rFonts w:ascii="Arial" w:eastAsia="Times New Roman" w:hAnsi="Arial" w:cs="Arial"/>
          <w:b/>
          <w:sz w:val="20"/>
          <w:lang w:val="en-GB" w:eastAsia="en-GB"/>
        </w:rPr>
      </w:pPr>
    </w:p>
    <w:p w:rsidR="004C2964" w:rsidRPr="004C2964" w:rsidRDefault="00CF5E06" w:rsidP="00CF5E06">
      <w:pPr>
        <w:spacing w:after="0"/>
        <w:contextualSpacing/>
        <w:jc w:val="center"/>
        <w:outlineLvl w:val="1"/>
        <w:rPr>
          <w:rFonts w:ascii="Arial" w:eastAsia="Times New Roman" w:hAnsi="Arial" w:cs="Arial"/>
          <w:b/>
          <w:szCs w:val="24"/>
          <w:lang w:val="en-GB" w:eastAsia="en-GB"/>
        </w:rPr>
      </w:pPr>
      <w:bookmarkStart w:id="9" w:name="_DV_C481"/>
      <w:bookmarkStart w:id="10" w:name="_Toc481407389"/>
      <w:bookmarkStart w:id="11" w:name="_Toc501377339"/>
      <w:bookmarkStart w:id="12" w:name="_Toc511983520"/>
      <w:r>
        <w:rPr>
          <w:rFonts w:ascii="Arial" w:eastAsia="Times New Roman" w:hAnsi="Arial" w:cs="Arial"/>
          <w:b/>
          <w:szCs w:val="24"/>
          <w:lang w:val="en-GB" w:eastAsia="en-GB"/>
        </w:rPr>
        <w:t xml:space="preserve">F. </w:t>
      </w:r>
      <w:r w:rsidR="004C2964" w:rsidRPr="004C2964">
        <w:rPr>
          <w:rFonts w:ascii="Arial" w:eastAsia="Times New Roman" w:hAnsi="Arial" w:cs="Arial"/>
          <w:b/>
          <w:szCs w:val="24"/>
          <w:lang w:val="en-GB" w:eastAsia="en-GB"/>
        </w:rPr>
        <w:t>Provider Data Processing Agreement</w:t>
      </w:r>
      <w:bookmarkEnd w:id="9"/>
      <w:bookmarkEnd w:id="10"/>
      <w:bookmarkEnd w:id="11"/>
      <w:bookmarkEnd w:id="12"/>
    </w:p>
    <w:p w:rsidR="004C2964" w:rsidRPr="004C2964" w:rsidRDefault="004C2964" w:rsidP="004C2964">
      <w:pPr>
        <w:spacing w:after="0"/>
        <w:rPr>
          <w:rFonts w:ascii="Arial" w:hAnsi="Arial" w:cs="Arial"/>
        </w:rPr>
      </w:pPr>
    </w:p>
    <w:p w:rsidR="004C2964" w:rsidRPr="004C2964" w:rsidRDefault="004C2964" w:rsidP="004C2964">
      <w:pPr>
        <w:spacing w:after="0"/>
        <w:rPr>
          <w:rFonts w:ascii="Arial" w:hAnsi="Arial" w:cs="Arial"/>
          <w:szCs w:val="24"/>
        </w:rPr>
      </w:pPr>
      <w:r w:rsidRPr="004C2964">
        <w:rPr>
          <w:rFonts w:ascii="Arial" w:hAnsi="Arial" w:cs="Arial"/>
        </w:rPr>
        <w:t>NOTE: This Schedule 6F applies only where the Provider is appointed to act as a Data Processor under this Contract</w:t>
      </w:r>
    </w:p>
    <w:p w:rsidR="004C2964" w:rsidRPr="004C2964" w:rsidRDefault="004C2964" w:rsidP="004C2964">
      <w:pPr>
        <w:shd w:val="clear" w:color="auto" w:fill="FFFFFF"/>
        <w:spacing w:after="0"/>
        <w:jc w:val="both"/>
        <w:rPr>
          <w:rFonts w:ascii="Arial" w:hAnsi="Arial" w:cs="Arial"/>
          <w:sz w:val="20"/>
        </w:rPr>
      </w:pPr>
    </w:p>
    <w:p w:rsidR="004C2964" w:rsidRPr="004C2964" w:rsidRDefault="004C2964" w:rsidP="004C2964">
      <w:pPr>
        <w:numPr>
          <w:ilvl w:val="0"/>
          <w:numId w:val="13"/>
        </w:numPr>
        <w:autoSpaceDE w:val="0"/>
        <w:autoSpaceDN w:val="0"/>
        <w:adjustRightInd w:val="0"/>
        <w:spacing w:after="120" w:line="312" w:lineRule="auto"/>
        <w:ind w:left="360"/>
        <w:jc w:val="both"/>
        <w:rPr>
          <w:rFonts w:ascii="Arial" w:eastAsia="Times New Roman" w:hAnsi="Arial" w:cs="Arial"/>
          <w:b/>
          <w:bCs/>
          <w:sz w:val="20"/>
          <w:szCs w:val="24"/>
          <w:lang w:val="en-GB" w:eastAsia="en-GB"/>
        </w:rPr>
      </w:pPr>
      <w:r w:rsidRPr="004C2964">
        <w:rPr>
          <w:rFonts w:ascii="Arial" w:eastAsia="Times New Roman" w:hAnsi="Arial" w:cs="Arial"/>
          <w:b/>
          <w:bCs/>
          <w:sz w:val="20"/>
          <w:szCs w:val="24"/>
          <w:lang w:val="en-GB" w:eastAsia="en-GB"/>
        </w:rPr>
        <w:t>SCOPE</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The Co-ordinating Commissioner appoints the Provider as a Data Processor to perform the Data Processing Services.</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When delivering the Data Processing Services, the Provider must, in addition to its other obligations under this Contract, comply with the provisions of this Schedule 6F.</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This Schedule 6F applies for so long as the Provider acts as a Data Processor in connection with this Contract.</w:t>
      </w:r>
    </w:p>
    <w:p w:rsidR="004C2964" w:rsidRPr="004C2964" w:rsidRDefault="004C2964" w:rsidP="004C2964">
      <w:pPr>
        <w:numPr>
          <w:ilvl w:val="0"/>
          <w:numId w:val="13"/>
        </w:numPr>
        <w:autoSpaceDE w:val="0"/>
        <w:autoSpaceDN w:val="0"/>
        <w:adjustRightInd w:val="0"/>
        <w:spacing w:after="120" w:line="312" w:lineRule="auto"/>
        <w:ind w:left="360"/>
        <w:jc w:val="both"/>
        <w:rPr>
          <w:rFonts w:ascii="Arial" w:eastAsia="Times New Roman" w:hAnsi="Arial" w:cs="Arial"/>
          <w:b/>
          <w:bCs/>
          <w:sz w:val="20"/>
          <w:szCs w:val="24"/>
          <w:lang w:val="en-GB" w:eastAsia="en-GB"/>
        </w:rPr>
      </w:pPr>
      <w:r w:rsidRPr="004C2964">
        <w:rPr>
          <w:rFonts w:ascii="Arial" w:eastAsia="Times New Roman" w:hAnsi="Arial" w:cs="Arial"/>
          <w:b/>
          <w:bCs/>
          <w:sz w:val="20"/>
          <w:szCs w:val="24"/>
          <w:lang w:val="en-GB" w:eastAsia="en-GB"/>
        </w:rPr>
        <w:t>DATA PROTECTION</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 xml:space="preserve">The Parties acknowledge that for the purposes of Data Protection Legislation in relation to the Data Processing Services the Co-ordinating Commissioner is the Data Controller and the Provider is the Data Processor. </w:t>
      </w:r>
      <w:r w:rsidRPr="004C2964">
        <w:rPr>
          <w:rFonts w:ascii="Arial" w:eastAsia="MS Gothic" w:hAnsi="Arial" w:cs="Arial"/>
          <w:bCs/>
          <w:sz w:val="20"/>
          <w:szCs w:val="22"/>
          <w:lang w:val="en-GB" w:eastAsia="en-GB"/>
        </w:rPr>
        <w:t xml:space="preserve">The Provider must process the Processor Data only to the extent necessary to perform the Data Processing Services and only in accordance with written instructions set out in this Schedule, </w:t>
      </w:r>
      <w:r w:rsidRPr="004C2964">
        <w:rPr>
          <w:rFonts w:ascii="Arial" w:eastAsia="Times New Roman" w:hAnsi="Arial" w:cs="Arial"/>
          <w:sz w:val="20"/>
          <w:lang w:val="en-GB" w:eastAsia="en-GB"/>
        </w:rPr>
        <w:t>including instructions regarding transfers of Personal Data outside the EU or to an international organisation unless such transfer is required by Law, in which case the Provider must inform the Co-ordinating Commissioner of that requirement before processing takes place, unless this is prohibited by Law on the grounds of public interest</w:t>
      </w:r>
      <w:r w:rsidRPr="004C2964">
        <w:rPr>
          <w:rFonts w:ascii="Arial" w:eastAsia="MS Gothic" w:hAnsi="Arial" w:cs="Arial"/>
          <w:bCs/>
          <w:sz w:val="20"/>
          <w:szCs w:val="22"/>
          <w:lang w:val="en-GB" w:eastAsia="en-GB"/>
        </w:rPr>
        <w:t>.</w:t>
      </w:r>
      <w:r w:rsidRPr="004C2964">
        <w:rPr>
          <w:rFonts w:ascii="Arial" w:eastAsia="ArialMT" w:hAnsi="Arial" w:cs="Arial"/>
          <w:sz w:val="20"/>
          <w:lang w:val="en-GB" w:eastAsia="en-GB"/>
        </w:rPr>
        <w:t xml:space="preserve"> </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The Provider must notify the Co-ordinating Commissioner immediately if it considers that carrying out any of the Co-ordinating Commissioner’s instructions would infringe Data Protection Legislation.</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The Provider must provide all reasonable assistance to the Co-ordinating Commissioner in the preparation of any Data Protection Impact Assessment prior to commencing any processing. Such assistance may, at the discretion of the Co-ordinating Commissioner, include:</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a systematic description of the envisaged processing operations and the purpose of the processing;</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an assessment of the necessity and proportionality of the processing operations in relation to the Data Processing Services;</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an assessment of the risks to the rights and freedoms of Data Subjects; and</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4C2964">
        <w:rPr>
          <w:rFonts w:ascii="Arial" w:eastAsia="ArialMT" w:hAnsi="Arial" w:cs="Arial"/>
          <w:sz w:val="20"/>
          <w:lang w:val="en-GB" w:eastAsia="en-GB"/>
        </w:rPr>
        <w:t>the</w:t>
      </w:r>
      <w:proofErr w:type="gramEnd"/>
      <w:r w:rsidRPr="004C2964">
        <w:rPr>
          <w:rFonts w:ascii="Arial" w:eastAsia="ArialMT" w:hAnsi="Arial" w:cs="Arial"/>
          <w:sz w:val="20"/>
          <w:lang w:val="en-GB" w:eastAsia="en-GB"/>
        </w:rPr>
        <w:t xml:space="preserve"> measures envisaged to address the risks, including safeguards, security measures and mechanisms to ensure the protection of Personal Data. </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bookmarkStart w:id="13" w:name="_Ref503850870"/>
      <w:r w:rsidRPr="004C2964">
        <w:rPr>
          <w:rFonts w:ascii="Arial" w:eastAsia="ArialMT" w:hAnsi="Arial" w:cs="Arial"/>
          <w:sz w:val="20"/>
          <w:lang w:val="en-GB" w:eastAsia="en-GB"/>
        </w:rPr>
        <w:t>The Provider must, in relation to any Personal Data processed in connection with its obligations under this Schedule 6F:</w:t>
      </w:r>
      <w:bookmarkEnd w:id="13"/>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4C2964">
        <w:rPr>
          <w:rFonts w:ascii="Arial" w:eastAsia="ArialMT" w:hAnsi="Arial" w:cs="Arial"/>
          <w:sz w:val="20"/>
          <w:lang w:val="en-GB" w:eastAsia="en-GB"/>
        </w:rPr>
        <w:t>process</w:t>
      </w:r>
      <w:proofErr w:type="gramEnd"/>
      <w:r w:rsidRPr="004C2964">
        <w:rPr>
          <w:rFonts w:ascii="Arial" w:eastAsia="ArialMT" w:hAnsi="Arial" w:cs="Arial"/>
          <w:sz w:val="20"/>
          <w:lang w:val="en-GB" w:eastAsia="en-GB"/>
        </w:rPr>
        <w:t xml:space="preserve"> that Personal Data only in accordance with Annex A, unless the Provider is required to do otherwise by Law. If it is so required the Provider must promptly notify the Co-ordinating Commissioner before processing the Personal Data unless prohibited by Law;</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ensure that it has in place Protective Measures, which have been reviewed and approved by the Co-ordinating Commissioner as appropriate to protect against a Data Loss Event having taken account of the:</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nature of the data to be protected;</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harm that might result from a Data Loss Event;</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state of technological development; and</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cost of implementing any measures;</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ensure that:</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when delivering the Data Processing Services the Provider Staff only process Personal Data in accordance with this Schedule 6F (and in particular Annex A);</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it takes all reasonable steps to ensure the reliability and integrity of any Provider Staff who have access to the Personal Data and ensure that they:</w:t>
      </w:r>
    </w:p>
    <w:p w:rsidR="004C2964" w:rsidRPr="004C2964" w:rsidRDefault="004C2964" w:rsidP="004C2964">
      <w:pPr>
        <w:numPr>
          <w:ilvl w:val="4"/>
          <w:numId w:val="13"/>
        </w:numPr>
        <w:autoSpaceDE w:val="0"/>
        <w:autoSpaceDN w:val="0"/>
        <w:adjustRightInd w:val="0"/>
        <w:spacing w:after="120" w:line="312" w:lineRule="auto"/>
        <w:ind w:left="2552" w:hanging="567"/>
        <w:jc w:val="both"/>
        <w:rPr>
          <w:rFonts w:ascii="Arial" w:eastAsia="ArialMT" w:hAnsi="Arial" w:cs="Arial"/>
          <w:sz w:val="20"/>
          <w:lang w:val="en-GB" w:eastAsia="en-GB"/>
        </w:rPr>
      </w:pPr>
      <w:r w:rsidRPr="004C2964">
        <w:rPr>
          <w:rFonts w:ascii="Arial" w:eastAsia="ArialMT" w:hAnsi="Arial" w:cs="Arial"/>
          <w:sz w:val="20"/>
          <w:lang w:val="en-GB" w:eastAsia="en-GB"/>
        </w:rPr>
        <w:t>are aware of and comply with the Provider’s duties under this paragraph;</w:t>
      </w:r>
    </w:p>
    <w:p w:rsidR="004C2964" w:rsidRPr="004C2964" w:rsidRDefault="004C2964" w:rsidP="004C2964">
      <w:pPr>
        <w:numPr>
          <w:ilvl w:val="4"/>
          <w:numId w:val="13"/>
        </w:numPr>
        <w:autoSpaceDE w:val="0"/>
        <w:autoSpaceDN w:val="0"/>
        <w:adjustRightInd w:val="0"/>
        <w:spacing w:after="120" w:line="312" w:lineRule="auto"/>
        <w:ind w:left="2552" w:hanging="567"/>
        <w:jc w:val="both"/>
        <w:rPr>
          <w:rFonts w:ascii="Arial" w:eastAsia="ArialMT" w:hAnsi="Arial" w:cs="Arial"/>
          <w:sz w:val="20"/>
          <w:lang w:val="en-GB" w:eastAsia="en-GB"/>
        </w:rPr>
      </w:pPr>
      <w:r w:rsidRPr="004C2964">
        <w:rPr>
          <w:rFonts w:ascii="Arial" w:eastAsia="ArialMT" w:hAnsi="Arial" w:cs="Arial"/>
          <w:sz w:val="20"/>
          <w:lang w:val="en-GB" w:eastAsia="en-GB"/>
        </w:rPr>
        <w:t>are subject to appropriate confidentiality undertakings with the Provider and any Sub-processor;</w:t>
      </w:r>
    </w:p>
    <w:p w:rsidR="004C2964" w:rsidRPr="004C2964" w:rsidRDefault="004C2964" w:rsidP="004C2964">
      <w:pPr>
        <w:numPr>
          <w:ilvl w:val="4"/>
          <w:numId w:val="13"/>
        </w:numPr>
        <w:autoSpaceDE w:val="0"/>
        <w:autoSpaceDN w:val="0"/>
        <w:adjustRightInd w:val="0"/>
        <w:spacing w:after="120" w:line="312" w:lineRule="auto"/>
        <w:ind w:left="2552" w:hanging="567"/>
        <w:jc w:val="both"/>
        <w:rPr>
          <w:rFonts w:ascii="Arial" w:eastAsia="ArialMT" w:hAnsi="Arial" w:cs="Arial"/>
          <w:sz w:val="20"/>
          <w:lang w:val="en-GB" w:eastAsia="en-GB"/>
        </w:rPr>
      </w:pPr>
      <w:r w:rsidRPr="004C2964">
        <w:rPr>
          <w:rFonts w:ascii="Arial" w:eastAsia="ArialMT" w:hAnsi="Arial" w:cs="Arial"/>
          <w:sz w:val="20"/>
          <w:lang w:val="en-GB" w:eastAsia="en-GB"/>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rsidR="004C2964" w:rsidRPr="004C2964" w:rsidRDefault="004C2964" w:rsidP="004C2964">
      <w:pPr>
        <w:numPr>
          <w:ilvl w:val="4"/>
          <w:numId w:val="13"/>
        </w:numPr>
        <w:autoSpaceDE w:val="0"/>
        <w:autoSpaceDN w:val="0"/>
        <w:adjustRightInd w:val="0"/>
        <w:spacing w:after="120" w:line="312" w:lineRule="auto"/>
        <w:ind w:left="2552" w:hanging="567"/>
        <w:jc w:val="both"/>
        <w:rPr>
          <w:rFonts w:ascii="Arial" w:eastAsia="ArialMT" w:hAnsi="Arial" w:cs="Arial"/>
          <w:sz w:val="20"/>
          <w:lang w:val="en-GB" w:eastAsia="en-GB"/>
        </w:rPr>
      </w:pPr>
      <w:r w:rsidRPr="004C2964">
        <w:rPr>
          <w:rFonts w:ascii="Arial" w:eastAsia="ArialMT" w:hAnsi="Arial" w:cs="Arial"/>
          <w:sz w:val="20"/>
          <w:lang w:val="en-GB" w:eastAsia="en-GB"/>
        </w:rPr>
        <w:t>have undergone adequate training in the use, care, protection and handling of Personal Data; and</w:t>
      </w:r>
    </w:p>
    <w:p w:rsidR="004C2964" w:rsidRPr="004C2964" w:rsidRDefault="004C2964" w:rsidP="004C2964">
      <w:pPr>
        <w:numPr>
          <w:ilvl w:val="4"/>
          <w:numId w:val="13"/>
        </w:numPr>
        <w:autoSpaceDE w:val="0"/>
        <w:autoSpaceDN w:val="0"/>
        <w:adjustRightInd w:val="0"/>
        <w:spacing w:after="120" w:line="312" w:lineRule="auto"/>
        <w:ind w:left="2552" w:hanging="567"/>
        <w:jc w:val="both"/>
        <w:rPr>
          <w:rFonts w:ascii="Arial" w:eastAsia="ArialMT" w:hAnsi="Arial" w:cs="Arial"/>
          <w:sz w:val="20"/>
          <w:lang w:val="en-GB" w:eastAsia="en-GB"/>
        </w:rPr>
      </w:pPr>
      <w:proofErr w:type="gramStart"/>
      <w:r w:rsidRPr="004C2964">
        <w:rPr>
          <w:rFonts w:ascii="Arial" w:eastAsia="ArialMT" w:hAnsi="Arial" w:cs="Arial"/>
          <w:sz w:val="20"/>
          <w:lang w:val="en-GB" w:eastAsia="en-GB"/>
        </w:rPr>
        <w:t>are</w:t>
      </w:r>
      <w:proofErr w:type="gramEnd"/>
      <w:r w:rsidRPr="004C2964">
        <w:rPr>
          <w:rFonts w:ascii="Arial" w:eastAsia="ArialMT" w:hAnsi="Arial" w:cs="Arial"/>
          <w:sz w:val="20"/>
          <w:lang w:val="en-GB" w:eastAsia="en-GB"/>
        </w:rPr>
        <w:t xml:space="preserve"> aware of and trained in the policies and procedures identified in GC21.11 (</w:t>
      </w:r>
      <w:r w:rsidRPr="004C2964">
        <w:rPr>
          <w:rFonts w:ascii="Arial" w:eastAsia="ArialMT" w:hAnsi="Arial" w:cs="Arial"/>
          <w:i/>
          <w:sz w:val="20"/>
          <w:lang w:val="en-GB" w:eastAsia="en-GB"/>
        </w:rPr>
        <w:t>Patient Confidentiality, Data Protection, Freedom of Information and Transparency</w:t>
      </w:r>
      <w:r w:rsidRPr="004C2964">
        <w:rPr>
          <w:rFonts w:ascii="Arial" w:eastAsia="ArialMT" w:hAnsi="Arial" w:cs="Arial"/>
          <w:sz w:val="20"/>
          <w:lang w:val="en-GB" w:eastAsia="en-GB"/>
        </w:rPr>
        <w:t>).</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not transfer Personal Data outside of the EU unless the prior written consent of the Co-ordinating Commissioner has been obtained and the following conditions are fulfilled:</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the Co-ordinating Commissioner or the Provider has provided appropriate safeguards in relation to the transfer as determined by the Co-ordinating Commissioner;</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the Data Subject has enforceable rights and effective legal remedies;</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rsidR="004C2964" w:rsidRPr="004C2964" w:rsidRDefault="004C2964" w:rsidP="004C2964">
      <w:pPr>
        <w:numPr>
          <w:ilvl w:val="3"/>
          <w:numId w:val="13"/>
        </w:numPr>
        <w:autoSpaceDE w:val="0"/>
        <w:autoSpaceDN w:val="0"/>
        <w:adjustRightInd w:val="0"/>
        <w:spacing w:after="120" w:line="312" w:lineRule="auto"/>
        <w:ind w:left="1985" w:hanging="545"/>
        <w:jc w:val="both"/>
        <w:rPr>
          <w:rFonts w:ascii="Arial" w:eastAsia="ArialMT" w:hAnsi="Arial" w:cs="Arial"/>
          <w:sz w:val="20"/>
          <w:lang w:val="en-GB" w:eastAsia="en-GB"/>
        </w:rPr>
      </w:pPr>
      <w:r w:rsidRPr="004C2964">
        <w:rPr>
          <w:rFonts w:ascii="Arial" w:eastAsia="ArialMT" w:hAnsi="Arial" w:cs="Arial"/>
          <w:sz w:val="20"/>
          <w:lang w:val="en-GB" w:eastAsia="en-GB"/>
        </w:rPr>
        <w:t xml:space="preserve">the Provider complies with any reasonable instructions notified to it in advance by the Co-ordinating Commissioner with respect to the processing of the Personal Data; </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 unless the Provider is required by Law to retain the Personal Data;</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 xml:space="preserve">if the Provider is required by any Law or Regulatory or Supervisory Body to retain any Processor Data that it would otherwise be required to destroy under this paragraph </w:t>
      </w:r>
      <w:r w:rsidRPr="004C2964">
        <w:rPr>
          <w:rFonts w:ascii="Arial" w:eastAsia="ArialMT" w:hAnsi="Arial" w:cs="Arial"/>
          <w:sz w:val="20"/>
          <w:lang w:val="en-GB" w:eastAsia="en-GB"/>
        </w:rPr>
        <w:fldChar w:fldCharType="begin"/>
      </w:r>
      <w:r w:rsidRPr="004C2964">
        <w:rPr>
          <w:rFonts w:ascii="Arial" w:eastAsia="ArialMT" w:hAnsi="Arial" w:cs="Arial"/>
          <w:sz w:val="20"/>
          <w:lang w:val="en-GB" w:eastAsia="en-GB"/>
        </w:rPr>
        <w:instrText xml:space="preserve"> REF _Ref503850870 \r \h  \* MERGEFORMAT </w:instrText>
      </w:r>
      <w:r w:rsidRPr="004C2964">
        <w:rPr>
          <w:rFonts w:ascii="Arial" w:eastAsia="ArialMT" w:hAnsi="Arial" w:cs="Arial"/>
          <w:sz w:val="20"/>
          <w:lang w:val="en-GB" w:eastAsia="en-GB"/>
        </w:rPr>
      </w:r>
      <w:r w:rsidRPr="004C2964">
        <w:rPr>
          <w:rFonts w:ascii="Arial" w:eastAsia="ArialMT" w:hAnsi="Arial" w:cs="Arial"/>
          <w:sz w:val="20"/>
          <w:lang w:val="en-GB" w:eastAsia="en-GB"/>
        </w:rPr>
        <w:fldChar w:fldCharType="separate"/>
      </w:r>
      <w:r w:rsidRPr="004C2964">
        <w:rPr>
          <w:rFonts w:ascii="Arial" w:eastAsia="ArialMT" w:hAnsi="Arial" w:cs="Arial"/>
          <w:sz w:val="20"/>
          <w:lang w:val="en-GB" w:eastAsia="en-GB"/>
        </w:rPr>
        <w:t>2.4</w:t>
      </w:r>
      <w:r w:rsidRPr="004C2964">
        <w:rPr>
          <w:rFonts w:ascii="Arial" w:eastAsia="ArialMT" w:hAnsi="Arial" w:cs="Arial"/>
          <w:sz w:val="20"/>
          <w:lang w:val="en-GB" w:eastAsia="en-GB"/>
        </w:rPr>
        <w:fldChar w:fldCharType="end"/>
      </w:r>
      <w:r w:rsidRPr="004C2964">
        <w:rPr>
          <w:rFonts w:ascii="Arial" w:eastAsia="ArialMT" w:hAnsi="Arial" w:cs="Arial"/>
          <w:sz w:val="20"/>
          <w:lang w:val="en-GB" w:eastAsia="en-GB"/>
        </w:rPr>
        <w:t xml:space="preserve">, notify the Co-ordinating Commissioner in writing of that retention giving details of the Processor Data that it must retain and the reasons for its retention; and </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 </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bookmarkStart w:id="14" w:name="_Ref503799602"/>
      <w:r w:rsidRPr="004C2964">
        <w:rPr>
          <w:rFonts w:ascii="Arial" w:eastAsia="ArialMT" w:hAnsi="Arial" w:cs="Arial"/>
          <w:sz w:val="20"/>
          <w:lang w:val="en-GB" w:eastAsia="en-GB"/>
        </w:rPr>
        <w:t xml:space="preserve">Subject to paragraph </w:t>
      </w:r>
      <w:r w:rsidRPr="004C2964">
        <w:rPr>
          <w:rFonts w:ascii="Arial" w:eastAsia="ArialMT" w:hAnsi="Arial" w:cs="Arial"/>
          <w:sz w:val="20"/>
          <w:lang w:val="en-GB" w:eastAsia="en-GB"/>
        </w:rPr>
        <w:fldChar w:fldCharType="begin"/>
      </w:r>
      <w:r w:rsidRPr="004C2964">
        <w:rPr>
          <w:rFonts w:ascii="Arial" w:eastAsia="ArialMT" w:hAnsi="Arial" w:cs="Arial"/>
          <w:sz w:val="20"/>
          <w:lang w:val="en-GB" w:eastAsia="en-GB"/>
        </w:rPr>
        <w:instrText xml:space="preserve"> REF _Ref503799842 \r \h  \* MERGEFORMAT </w:instrText>
      </w:r>
      <w:r w:rsidRPr="004C2964">
        <w:rPr>
          <w:rFonts w:ascii="Arial" w:eastAsia="ArialMT" w:hAnsi="Arial" w:cs="Arial"/>
          <w:sz w:val="20"/>
          <w:lang w:val="en-GB" w:eastAsia="en-GB"/>
        </w:rPr>
      </w:r>
      <w:r w:rsidRPr="004C2964">
        <w:rPr>
          <w:rFonts w:ascii="Arial" w:eastAsia="ArialMT" w:hAnsi="Arial" w:cs="Arial"/>
          <w:sz w:val="20"/>
          <w:lang w:val="en-GB" w:eastAsia="en-GB"/>
        </w:rPr>
        <w:fldChar w:fldCharType="separate"/>
      </w:r>
      <w:r w:rsidRPr="004C2964">
        <w:rPr>
          <w:rFonts w:ascii="Arial" w:eastAsia="ArialMT" w:hAnsi="Arial" w:cs="Arial"/>
          <w:sz w:val="20"/>
          <w:lang w:val="en-GB" w:eastAsia="en-GB"/>
        </w:rPr>
        <w:t>2.6</w:t>
      </w:r>
      <w:r w:rsidRPr="004C2964">
        <w:rPr>
          <w:rFonts w:ascii="Arial" w:eastAsia="ArialMT" w:hAnsi="Arial" w:cs="Arial"/>
          <w:sz w:val="20"/>
          <w:lang w:val="en-GB" w:eastAsia="en-GB"/>
        </w:rPr>
        <w:fldChar w:fldCharType="end"/>
      </w:r>
      <w:r w:rsidRPr="004C2964">
        <w:rPr>
          <w:rFonts w:ascii="Arial" w:eastAsia="ArialMT" w:hAnsi="Arial" w:cs="Arial"/>
          <w:sz w:val="20"/>
          <w:lang w:val="en-GB" w:eastAsia="en-GB"/>
        </w:rPr>
        <w:t xml:space="preserve">, the Provider must notify the Co-ordinating Commissioner immediately if, in relation any Personal Data processed in connection with its obligations under this </w:t>
      </w:r>
      <w:proofErr w:type="spellStart"/>
      <w:r w:rsidRPr="004C2964">
        <w:rPr>
          <w:rFonts w:ascii="Arial" w:eastAsia="ArialMT" w:hAnsi="Arial" w:cs="Arial"/>
          <w:sz w:val="20"/>
          <w:lang w:val="en-GB" w:eastAsia="en-GB"/>
        </w:rPr>
        <w:t>Schedue</w:t>
      </w:r>
      <w:proofErr w:type="spellEnd"/>
      <w:r w:rsidRPr="004C2964">
        <w:rPr>
          <w:rFonts w:ascii="Arial" w:eastAsia="ArialMT" w:hAnsi="Arial" w:cs="Arial"/>
          <w:sz w:val="20"/>
          <w:lang w:val="en-GB" w:eastAsia="en-GB"/>
        </w:rPr>
        <w:t xml:space="preserve"> 6F, it:</w:t>
      </w:r>
      <w:bookmarkEnd w:id="14"/>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receives a Data Subject Access Request (or purported Data Subject Access Request);</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receives a request to rectify, block or erase any Personal Data;</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receives any other request, complaint or communication relating to obligations under Data Protection Legislation owed by the Provider or any Commissioner;</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receives any communication from the Information Commissioner or any other Regulatory or Supervisory Body (including any communication concerned with the systems on which Personal Data is processed under this Schedule 6F);</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 xml:space="preserve">receives a request from any third party for disclosure of Personal Data where compliance with such request is required or purported to be required by Law; </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becomes aware of or reasonably suspects a Data Loss Event; or</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4C2964">
        <w:rPr>
          <w:rFonts w:ascii="Arial" w:eastAsia="ArialMT" w:hAnsi="Arial" w:cs="Arial"/>
          <w:sz w:val="20"/>
          <w:lang w:val="en-GB" w:eastAsia="en-GB"/>
        </w:rPr>
        <w:t>becomes</w:t>
      </w:r>
      <w:proofErr w:type="gramEnd"/>
      <w:r w:rsidRPr="004C2964">
        <w:rPr>
          <w:rFonts w:ascii="Arial" w:eastAsia="ArialMT" w:hAnsi="Arial" w:cs="Arial"/>
          <w:sz w:val="20"/>
          <w:lang w:val="en-GB" w:eastAsia="en-GB"/>
        </w:rPr>
        <w:t xml:space="preserve"> aware of or reasonably suspects that it has in any way caused the Co-ordinating Commissioner or other Commissioner to breach Data Protection Legislation.</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bookmarkStart w:id="15" w:name="_Ref503799842"/>
      <w:r w:rsidRPr="004C2964">
        <w:rPr>
          <w:rFonts w:ascii="Arial" w:eastAsia="ArialMT" w:hAnsi="Arial" w:cs="Arial"/>
          <w:sz w:val="20"/>
          <w:lang w:val="en-GB" w:eastAsia="en-GB"/>
        </w:rPr>
        <w:t xml:space="preserve">The Provider’s obligation to notify under paragraph </w:t>
      </w:r>
      <w:r w:rsidRPr="004C2964">
        <w:rPr>
          <w:rFonts w:ascii="Arial" w:eastAsia="ArialMT" w:hAnsi="Arial" w:cs="Arial"/>
          <w:sz w:val="20"/>
          <w:lang w:val="en-GB" w:eastAsia="en-GB"/>
        </w:rPr>
        <w:fldChar w:fldCharType="begin"/>
      </w:r>
      <w:r w:rsidRPr="004C2964">
        <w:rPr>
          <w:rFonts w:ascii="Arial" w:eastAsia="ArialMT" w:hAnsi="Arial" w:cs="Arial"/>
          <w:sz w:val="20"/>
          <w:lang w:val="en-GB" w:eastAsia="en-GB"/>
        </w:rPr>
        <w:instrText xml:space="preserve"> REF _Ref503799602 \r \h  \* MERGEFORMAT </w:instrText>
      </w:r>
      <w:r w:rsidRPr="004C2964">
        <w:rPr>
          <w:rFonts w:ascii="Arial" w:eastAsia="ArialMT" w:hAnsi="Arial" w:cs="Arial"/>
          <w:sz w:val="20"/>
          <w:lang w:val="en-GB" w:eastAsia="en-GB"/>
        </w:rPr>
      </w:r>
      <w:r w:rsidRPr="004C2964">
        <w:rPr>
          <w:rFonts w:ascii="Arial" w:eastAsia="ArialMT" w:hAnsi="Arial" w:cs="Arial"/>
          <w:sz w:val="20"/>
          <w:lang w:val="en-GB" w:eastAsia="en-GB"/>
        </w:rPr>
        <w:fldChar w:fldCharType="separate"/>
      </w:r>
      <w:r w:rsidRPr="004C2964">
        <w:rPr>
          <w:rFonts w:ascii="Arial" w:eastAsia="ArialMT" w:hAnsi="Arial" w:cs="Arial"/>
          <w:sz w:val="20"/>
          <w:lang w:val="en-GB" w:eastAsia="en-GB"/>
        </w:rPr>
        <w:t>2.5</w:t>
      </w:r>
      <w:r w:rsidRPr="004C2964">
        <w:rPr>
          <w:rFonts w:ascii="Arial" w:eastAsia="ArialMT" w:hAnsi="Arial" w:cs="Arial"/>
          <w:sz w:val="20"/>
          <w:lang w:val="en-GB" w:eastAsia="en-GB"/>
        </w:rPr>
        <w:fldChar w:fldCharType="end"/>
      </w:r>
      <w:r w:rsidRPr="004C2964">
        <w:rPr>
          <w:rFonts w:ascii="Arial" w:eastAsia="ArialMT" w:hAnsi="Arial" w:cs="Arial"/>
          <w:sz w:val="20"/>
          <w:lang w:val="en-GB" w:eastAsia="en-GB"/>
        </w:rPr>
        <w:t xml:space="preserve"> includes the provision of further information to the Co-ordinating Commissioner in phases, as details become available.</w:t>
      </w:r>
      <w:bookmarkEnd w:id="15"/>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 xml:space="preserve">The Provider must provide whatever co-operation the Co-ordinating Commissioner reasonably requires to remedy any issue notified to the Co-ordinating Commissioner under paragraphs </w:t>
      </w:r>
      <w:r w:rsidRPr="004C2964">
        <w:rPr>
          <w:rFonts w:ascii="Arial" w:eastAsia="ArialMT" w:hAnsi="Arial" w:cs="Arial"/>
          <w:sz w:val="20"/>
          <w:lang w:val="en-GB" w:eastAsia="en-GB"/>
        </w:rPr>
        <w:fldChar w:fldCharType="begin"/>
      </w:r>
      <w:r w:rsidRPr="004C2964">
        <w:rPr>
          <w:rFonts w:ascii="Arial" w:eastAsia="ArialMT" w:hAnsi="Arial" w:cs="Arial"/>
          <w:sz w:val="20"/>
          <w:lang w:val="en-GB" w:eastAsia="en-GB"/>
        </w:rPr>
        <w:instrText xml:space="preserve"> REF _Ref503799602 \r \h  \* MERGEFORMAT </w:instrText>
      </w:r>
      <w:r w:rsidRPr="004C2964">
        <w:rPr>
          <w:rFonts w:ascii="Arial" w:eastAsia="ArialMT" w:hAnsi="Arial" w:cs="Arial"/>
          <w:sz w:val="20"/>
          <w:lang w:val="en-GB" w:eastAsia="en-GB"/>
        </w:rPr>
      </w:r>
      <w:r w:rsidRPr="004C2964">
        <w:rPr>
          <w:rFonts w:ascii="Arial" w:eastAsia="ArialMT" w:hAnsi="Arial" w:cs="Arial"/>
          <w:sz w:val="20"/>
          <w:lang w:val="en-GB" w:eastAsia="en-GB"/>
        </w:rPr>
        <w:fldChar w:fldCharType="separate"/>
      </w:r>
      <w:r w:rsidRPr="004C2964">
        <w:rPr>
          <w:rFonts w:ascii="Arial" w:eastAsia="ArialMT" w:hAnsi="Arial" w:cs="Arial"/>
          <w:sz w:val="20"/>
          <w:lang w:val="en-GB" w:eastAsia="en-GB"/>
        </w:rPr>
        <w:t>2.5</w:t>
      </w:r>
      <w:r w:rsidRPr="004C2964">
        <w:rPr>
          <w:rFonts w:ascii="Arial" w:eastAsia="ArialMT" w:hAnsi="Arial" w:cs="Arial"/>
          <w:sz w:val="20"/>
          <w:lang w:val="en-GB" w:eastAsia="en-GB"/>
        </w:rPr>
        <w:fldChar w:fldCharType="end"/>
      </w:r>
      <w:r w:rsidRPr="004C2964">
        <w:rPr>
          <w:rFonts w:ascii="Arial" w:eastAsia="ArialMT" w:hAnsi="Arial" w:cs="Arial"/>
          <w:sz w:val="20"/>
          <w:lang w:val="en-GB" w:eastAsia="en-GB"/>
        </w:rPr>
        <w:t xml:space="preserve"> and </w:t>
      </w:r>
      <w:r w:rsidRPr="004C2964">
        <w:rPr>
          <w:rFonts w:ascii="Arial" w:eastAsia="ArialMT" w:hAnsi="Arial" w:cs="Arial"/>
          <w:sz w:val="20"/>
          <w:lang w:val="en-GB" w:eastAsia="en-GB"/>
        </w:rPr>
        <w:fldChar w:fldCharType="begin"/>
      </w:r>
      <w:r w:rsidRPr="004C2964">
        <w:rPr>
          <w:rFonts w:ascii="Arial" w:eastAsia="ArialMT" w:hAnsi="Arial" w:cs="Arial"/>
          <w:sz w:val="20"/>
          <w:lang w:val="en-GB" w:eastAsia="en-GB"/>
        </w:rPr>
        <w:instrText xml:space="preserve"> REF _Ref503799842 \r \h  \* MERGEFORMAT </w:instrText>
      </w:r>
      <w:r w:rsidRPr="004C2964">
        <w:rPr>
          <w:rFonts w:ascii="Arial" w:eastAsia="ArialMT" w:hAnsi="Arial" w:cs="Arial"/>
          <w:sz w:val="20"/>
          <w:lang w:val="en-GB" w:eastAsia="en-GB"/>
        </w:rPr>
      </w:r>
      <w:r w:rsidRPr="004C2964">
        <w:rPr>
          <w:rFonts w:ascii="Arial" w:eastAsia="ArialMT" w:hAnsi="Arial" w:cs="Arial"/>
          <w:sz w:val="20"/>
          <w:lang w:val="en-GB" w:eastAsia="en-GB"/>
        </w:rPr>
        <w:fldChar w:fldCharType="separate"/>
      </w:r>
      <w:r w:rsidRPr="004C2964">
        <w:rPr>
          <w:rFonts w:ascii="Arial" w:eastAsia="ArialMT" w:hAnsi="Arial" w:cs="Arial"/>
          <w:sz w:val="20"/>
          <w:lang w:val="en-GB" w:eastAsia="en-GB"/>
        </w:rPr>
        <w:t>2.6</w:t>
      </w:r>
      <w:r w:rsidRPr="004C2964">
        <w:rPr>
          <w:rFonts w:ascii="Arial" w:eastAsia="ArialMT" w:hAnsi="Arial" w:cs="Arial"/>
          <w:sz w:val="20"/>
          <w:lang w:val="en-GB" w:eastAsia="en-GB"/>
        </w:rPr>
        <w:fldChar w:fldCharType="end"/>
      </w:r>
      <w:r w:rsidRPr="004C2964">
        <w:rPr>
          <w:rFonts w:ascii="Arial" w:eastAsia="ArialMT" w:hAnsi="Arial" w:cs="Arial"/>
          <w:sz w:val="20"/>
          <w:lang w:val="en-GB" w:eastAsia="en-GB"/>
        </w:rPr>
        <w:t xml:space="preserve"> as soon as reasonably practicable.</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4C2964">
        <w:rPr>
          <w:rFonts w:ascii="Arial" w:eastAsia="ArialMT" w:hAnsi="Arial" w:cs="Arial"/>
          <w:sz w:val="20"/>
          <w:lang w:val="en-GB" w:eastAsia="en-GB"/>
        </w:rPr>
        <w:fldChar w:fldCharType="begin"/>
      </w:r>
      <w:r w:rsidRPr="004C2964">
        <w:rPr>
          <w:rFonts w:ascii="Arial" w:eastAsia="ArialMT" w:hAnsi="Arial" w:cs="Arial"/>
          <w:sz w:val="20"/>
          <w:lang w:val="en-GB" w:eastAsia="en-GB"/>
        </w:rPr>
        <w:instrText xml:space="preserve"> REF _Ref503799602 \r \h  \* MERGEFORMAT </w:instrText>
      </w:r>
      <w:r w:rsidRPr="004C2964">
        <w:rPr>
          <w:rFonts w:ascii="Arial" w:eastAsia="ArialMT" w:hAnsi="Arial" w:cs="Arial"/>
          <w:sz w:val="20"/>
          <w:lang w:val="en-GB" w:eastAsia="en-GB"/>
        </w:rPr>
      </w:r>
      <w:r w:rsidRPr="004C2964">
        <w:rPr>
          <w:rFonts w:ascii="Arial" w:eastAsia="ArialMT" w:hAnsi="Arial" w:cs="Arial"/>
          <w:sz w:val="20"/>
          <w:lang w:val="en-GB" w:eastAsia="en-GB"/>
        </w:rPr>
        <w:fldChar w:fldCharType="separate"/>
      </w:r>
      <w:r w:rsidRPr="004C2964">
        <w:rPr>
          <w:rFonts w:ascii="Arial" w:eastAsia="ArialMT" w:hAnsi="Arial" w:cs="Arial"/>
          <w:sz w:val="20"/>
          <w:lang w:val="en-GB" w:eastAsia="en-GB"/>
        </w:rPr>
        <w:t>2.5</w:t>
      </w:r>
      <w:r w:rsidRPr="004C2964">
        <w:rPr>
          <w:rFonts w:ascii="Arial" w:eastAsia="ArialMT" w:hAnsi="Arial" w:cs="Arial"/>
          <w:sz w:val="20"/>
          <w:lang w:val="en-GB" w:eastAsia="en-GB"/>
        </w:rPr>
        <w:fldChar w:fldCharType="end"/>
      </w:r>
      <w:r w:rsidRPr="004C2964">
        <w:rPr>
          <w:rFonts w:ascii="Arial" w:eastAsia="ArialMT" w:hAnsi="Arial" w:cs="Arial"/>
          <w:sz w:val="20"/>
          <w:lang w:val="en-GB" w:eastAsia="en-GB"/>
        </w:rPr>
        <w:t xml:space="preserve"> (and insofar as possible within the timescales reasonably required by the Co-ordinating Commissioner) including by promptly providing:</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the Co-ordinating Commissioner with full details and copies of the complaint, communication or request;</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such assistance as is reasonably requested by the Co-ordinating Commissioner to enable the Co-ordinating Commissioner to comply with a Data Subject Access Request within the relevant timescales set out in Data Protection Legislation;</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assistance as requested by the Co-ordinating Commissioner following any Data Loss Event;</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4C2964">
        <w:rPr>
          <w:rFonts w:ascii="Arial" w:eastAsia="ArialMT" w:hAnsi="Arial" w:cs="Arial"/>
          <w:sz w:val="20"/>
          <w:lang w:val="en-GB" w:eastAsia="en-GB"/>
        </w:rPr>
        <w:t>assistance</w:t>
      </w:r>
      <w:proofErr w:type="gramEnd"/>
      <w:r w:rsidRPr="004C2964">
        <w:rPr>
          <w:rFonts w:ascii="Arial" w:eastAsia="ArialMT" w:hAnsi="Arial" w:cs="Arial"/>
          <w:sz w:val="20"/>
          <w:lang w:val="en-GB" w:eastAsia="en-GB"/>
        </w:rPr>
        <w:t xml:space="preserve"> as requested by the Co-ordinating Commissioner with respect to any request from the Information Commissioner’s Office, or any consultation by the Co-ordinating Commissioner with the Information Commissioner's Office.</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MS Gothic" w:hAnsi="Arial" w:cs="Arial"/>
          <w:sz w:val="20"/>
          <w:szCs w:val="22"/>
          <w:lang w:val="en-GB" w:eastAsia="en-GB"/>
        </w:rPr>
        <w:t xml:space="preserve">Without prejudice to the generality of GC15 </w:t>
      </w:r>
      <w:r w:rsidRPr="004C2964">
        <w:rPr>
          <w:rFonts w:ascii="Arial" w:eastAsia="MS Gothic" w:hAnsi="Arial" w:cs="Arial"/>
          <w:i/>
          <w:sz w:val="20"/>
          <w:szCs w:val="22"/>
          <w:lang w:val="en-GB" w:eastAsia="en-GB"/>
        </w:rPr>
        <w:t xml:space="preserve">(Governance, Transaction Records and Audit), </w:t>
      </w:r>
      <w:r w:rsidRPr="004C2964">
        <w:rPr>
          <w:rFonts w:ascii="Arial" w:eastAsia="ArialMT" w:hAnsi="Arial" w:cs="Arial"/>
          <w:sz w:val="20"/>
          <w:lang w:val="en-GB" w:eastAsia="en-GB"/>
        </w:rPr>
        <w:t>the Provider must allow for audits of its delivery of the Data Processing Services by the Co-ordinating Commissioner or the Co-ordinating Commissioner’s designated auditor.</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 xml:space="preserve">For the avoidance of doubt the provisions of GC12 </w:t>
      </w:r>
      <w:r w:rsidRPr="004C2964">
        <w:rPr>
          <w:rFonts w:ascii="Arial" w:eastAsia="ArialMT" w:hAnsi="Arial" w:cs="Arial"/>
          <w:i/>
          <w:sz w:val="20"/>
          <w:lang w:val="en-GB" w:eastAsia="en-GB"/>
        </w:rPr>
        <w:t>(Assignment and Sub-contracting)</w:t>
      </w:r>
      <w:r w:rsidRPr="004C2964">
        <w:rPr>
          <w:rFonts w:ascii="Arial" w:eastAsia="ArialMT" w:hAnsi="Arial" w:cs="Arial"/>
          <w:sz w:val="20"/>
          <w:lang w:val="en-GB" w:eastAsia="en-GB"/>
        </w:rPr>
        <w:t xml:space="preserve"> apply to the delivery of any Data Processing Services.</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 xml:space="preserve">Without prejudice to GC12, before allowing any Sub-processor to process any Personal Data related to this Schedule 6F, the Provider must: </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szCs w:val="24"/>
          <w:lang w:val="en-GB" w:eastAsia="en-GB"/>
        </w:rPr>
        <w:t>notify the Co-ordinating Commissioner in writing of the intended Sub-processor and processing;</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szCs w:val="24"/>
          <w:lang w:val="en-GB" w:eastAsia="en-GB"/>
        </w:rPr>
        <w:t>obtain the written consent of the Co-ordinating Commissioner</w:t>
      </w:r>
      <w:r w:rsidRPr="004C2964">
        <w:rPr>
          <w:rFonts w:ascii="Arial" w:eastAsia="ArialMT" w:hAnsi="Arial" w:cs="Arial"/>
          <w:sz w:val="20"/>
          <w:lang w:val="en-GB" w:eastAsia="en-GB"/>
        </w:rPr>
        <w:t>;</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MS Gothic" w:hAnsi="Arial" w:cs="Arial"/>
          <w:sz w:val="20"/>
          <w:szCs w:val="22"/>
          <w:lang w:val="en-GB" w:eastAsia="en-GB"/>
        </w:rPr>
        <w:t>carry out appropriate due diligence of the Sub-processor and ensure this is documented;</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enter into a binding written agreement with the Sub-processor which as far as practicable includes equivalent terms to those set out in this Schedule 6F and in any event includes the requirements set out at GC21.16.3; and</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4C2964">
        <w:rPr>
          <w:rFonts w:ascii="Arial" w:eastAsia="ArialMT" w:hAnsi="Arial" w:cs="Arial"/>
          <w:sz w:val="20"/>
          <w:lang w:val="en-GB" w:eastAsia="en-GB"/>
        </w:rPr>
        <w:t>provide</w:t>
      </w:r>
      <w:proofErr w:type="gramEnd"/>
      <w:r w:rsidRPr="004C2964">
        <w:rPr>
          <w:rFonts w:ascii="Arial" w:eastAsia="ArialMT" w:hAnsi="Arial" w:cs="Arial"/>
          <w:sz w:val="20"/>
          <w:lang w:val="en-GB" w:eastAsia="en-GB"/>
        </w:rPr>
        <w:t xml:space="preserve"> the Co-ordinating Commissioner with such information regarding the Sub-processor as the Co-ordinating Commissioner may reasonably require.</w:t>
      </w:r>
      <w:bookmarkStart w:id="16" w:name="_Ref503802507"/>
    </w:p>
    <w:bookmarkEnd w:id="16"/>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The Provider must create and maintain a record of all categories of data processing activities carried out under this Schedule 6F, containing:</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the categories of processing carried out under this Schedule 6F;</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where applicable, transfers of Personal Data to a third country or an international organisation, including the identification of that third country or international organisation and, where relevant, the documentation of suitable safeguards;</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a general description of the Protective Measures taken to ensure the security and integrity of the Personal Data processed under this Schedule 6F; and</w:t>
      </w:r>
    </w:p>
    <w:p w:rsidR="004C2964" w:rsidRPr="004C2964" w:rsidRDefault="004C2964" w:rsidP="004C2964">
      <w:pPr>
        <w:numPr>
          <w:ilvl w:val="2"/>
          <w:numId w:val="13"/>
        </w:numPr>
        <w:autoSpaceDE w:val="0"/>
        <w:autoSpaceDN w:val="0"/>
        <w:adjustRightInd w:val="0"/>
        <w:spacing w:after="120" w:line="312" w:lineRule="auto"/>
        <w:ind w:left="1418" w:hanging="425"/>
        <w:jc w:val="both"/>
        <w:rPr>
          <w:rFonts w:ascii="Arial" w:eastAsia="ArialMT" w:hAnsi="Arial" w:cs="Arial"/>
          <w:sz w:val="20"/>
          <w:lang w:val="en-GB" w:eastAsia="en-GB"/>
        </w:rPr>
      </w:pPr>
      <w:r w:rsidRPr="004C2964">
        <w:rPr>
          <w:rFonts w:ascii="Arial" w:eastAsia="ArialMT" w:hAnsi="Arial" w:cs="Arial"/>
          <w:sz w:val="20"/>
          <w:lang w:val="en-GB"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szCs w:val="24"/>
          <w:lang w:val="en-GB" w:eastAsia="en-GB"/>
        </w:rPr>
      </w:pPr>
      <w:r w:rsidRPr="004C2964">
        <w:rPr>
          <w:rFonts w:ascii="Arial" w:eastAsia="ArialMT" w:hAnsi="Arial" w:cs="Arial"/>
          <w:sz w:val="20"/>
          <w:lang w:val="en-GB" w:eastAsia="en-GB"/>
        </w:rPr>
        <w:t xml:space="preserve">The Provider warrants </w:t>
      </w:r>
      <w:r w:rsidRPr="004C2964">
        <w:rPr>
          <w:rFonts w:ascii="Arial" w:eastAsia="MS Gothic" w:hAnsi="Arial" w:cs="Arial"/>
          <w:bCs/>
          <w:sz w:val="20"/>
          <w:szCs w:val="22"/>
          <w:lang w:val="en-GB" w:eastAsia="en-GB"/>
        </w:rPr>
        <w:t>and undertakes that it will deliver the Data Processing Services in accordance with all Data Protection Legislation and this Contract</w:t>
      </w:r>
      <w:r w:rsidRPr="004C2964">
        <w:rPr>
          <w:rFonts w:ascii="Arial" w:eastAsia="ArialMT" w:hAnsi="Arial" w:cs="Arial"/>
          <w:sz w:val="20"/>
          <w:lang w:val="en-GB" w:eastAsia="en-GB"/>
        </w:rPr>
        <w:t xml:space="preserve"> and in particular that it has in place Protective Measures that are sufficient to ensure that the delivery of the Data Processing Services complies with Data Protection Legislation and ensures that the rights of Data Subjects are protected.</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szCs w:val="24"/>
          <w:lang w:val="en-GB" w:eastAsia="en-GB"/>
        </w:rPr>
      </w:pPr>
      <w:r w:rsidRPr="004C2964">
        <w:rPr>
          <w:rFonts w:ascii="Arial" w:eastAsia="ArialMT" w:hAnsi="Arial" w:cs="Arial"/>
          <w:sz w:val="20"/>
          <w:lang w:val="en-GB" w:eastAsia="en-GB"/>
        </w:rPr>
        <w:t>The Provider must comply at all times with obligations equivalent to those imposed on the Co-ordinating Commissioner by virtue of Seventh Data Protection Principle for so long as the DPA 1998 remains in force and after that time with those set out at Article 32 of the GDPR and equivalent provisions implemented into Law.</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ArialMT" w:hAnsi="Arial" w:cs="Arial"/>
          <w:sz w:val="20"/>
          <w:lang w:val="en-GB" w:eastAsia="en-GB"/>
        </w:rPr>
        <w:t>The Provider must assist the Commissioners in ensuring compliance with the obligations set out at Article 32 to 36 of the GDPR and equivalent provisions implemented into Law, taking into account the nature of processing and the information available to the Provider.</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szCs w:val="24"/>
          <w:lang w:val="en-GB" w:eastAsia="en-GB"/>
        </w:rPr>
      </w:pPr>
      <w:r w:rsidRPr="004C2964">
        <w:rPr>
          <w:rFonts w:ascii="Arial" w:eastAsia="ArialMT" w:hAnsi="Arial" w:cs="Arial"/>
          <w:sz w:val="20"/>
          <w:lang w:val="en-GB" w:eastAsia="en-GB"/>
        </w:rPr>
        <w:t xml:space="preserve">The Provider must take prompt and proper remedial action regarding any Data Loss Event. </w:t>
      </w:r>
    </w:p>
    <w:p w:rsidR="004C2964" w:rsidRPr="004C2964" w:rsidRDefault="004C2964" w:rsidP="004C2964">
      <w:pPr>
        <w:numPr>
          <w:ilvl w:val="1"/>
          <w:numId w:val="13"/>
        </w:numPr>
        <w:autoSpaceDE w:val="0"/>
        <w:autoSpaceDN w:val="0"/>
        <w:adjustRightInd w:val="0"/>
        <w:spacing w:after="120" w:line="312" w:lineRule="auto"/>
        <w:ind w:left="720" w:hanging="720"/>
        <w:jc w:val="both"/>
        <w:rPr>
          <w:rFonts w:ascii="Arial" w:eastAsia="ArialMT" w:hAnsi="Arial" w:cs="Arial"/>
          <w:sz w:val="20"/>
          <w:lang w:val="en-GB" w:eastAsia="en-GB"/>
        </w:rPr>
      </w:pPr>
      <w:r w:rsidRPr="004C2964">
        <w:rPr>
          <w:rFonts w:ascii="Arial" w:eastAsia="Times New Roman" w:hAnsi="Arial" w:cs="Arial"/>
          <w:sz w:val="20"/>
          <w:lang w:val="en-GB" w:eastAsia="en-GB"/>
        </w:rPr>
        <w:t xml:space="preserve">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w:t>
      </w:r>
      <w:r w:rsidRPr="004C2964">
        <w:rPr>
          <w:rFonts w:ascii="Arial" w:eastAsia="Times New Roman" w:hAnsi="Arial" w:cs="Arial"/>
          <w:sz w:val="20"/>
          <w:szCs w:val="24"/>
          <w:lang w:val="en-GB" w:eastAsia="en-GB"/>
        </w:rPr>
        <w:t>Legislation.</w:t>
      </w:r>
    </w:p>
    <w:p w:rsidR="004C2964" w:rsidRPr="004C2964" w:rsidRDefault="004C2964" w:rsidP="004C2964">
      <w:pPr>
        <w:rPr>
          <w:rFonts w:ascii="Arial" w:hAnsi="Arial" w:cs="Arial"/>
        </w:rPr>
      </w:pPr>
      <w:r w:rsidRPr="004C2964">
        <w:rPr>
          <w:rFonts w:ascii="Arial" w:hAnsi="Arial" w:cs="Arial"/>
        </w:rPr>
        <w:br w:type="page"/>
      </w:r>
    </w:p>
    <w:p w:rsidR="004C2964" w:rsidRPr="004C2964" w:rsidRDefault="004C2964" w:rsidP="004C2964">
      <w:pPr>
        <w:autoSpaceDE w:val="0"/>
        <w:autoSpaceDN w:val="0"/>
        <w:adjustRightInd w:val="0"/>
        <w:spacing w:after="120" w:line="312" w:lineRule="auto"/>
        <w:jc w:val="center"/>
        <w:rPr>
          <w:rFonts w:ascii="Arial" w:hAnsi="Arial" w:cs="Arial"/>
          <w:b/>
          <w:bCs/>
          <w:color w:val="000000"/>
          <w:szCs w:val="24"/>
          <w:lang w:val="en-GB"/>
        </w:rPr>
      </w:pPr>
      <w:r w:rsidRPr="004C2964">
        <w:rPr>
          <w:rFonts w:ascii="Arial" w:hAnsi="Arial" w:cs="Arial"/>
          <w:b/>
          <w:bCs/>
          <w:color w:val="000000"/>
          <w:szCs w:val="24"/>
          <w:lang w:val="en-GB"/>
        </w:rPr>
        <w:t>Annex A</w:t>
      </w:r>
    </w:p>
    <w:p w:rsidR="004C2964" w:rsidRPr="004C2964" w:rsidRDefault="004C2964" w:rsidP="004C2964">
      <w:pPr>
        <w:autoSpaceDE w:val="0"/>
        <w:autoSpaceDN w:val="0"/>
        <w:adjustRightInd w:val="0"/>
        <w:spacing w:after="120" w:line="312" w:lineRule="auto"/>
        <w:jc w:val="center"/>
        <w:rPr>
          <w:rFonts w:ascii="Arial" w:hAnsi="Arial" w:cs="Arial"/>
          <w:b/>
          <w:bCs/>
          <w:color w:val="000000"/>
          <w:szCs w:val="24"/>
          <w:lang w:val="en-GB"/>
        </w:rPr>
      </w:pPr>
      <w:r w:rsidRPr="004C2964">
        <w:rPr>
          <w:rFonts w:ascii="Arial" w:hAnsi="Arial" w:cs="Arial"/>
          <w:b/>
          <w:bCs/>
          <w:color w:val="000000"/>
          <w:szCs w:val="24"/>
          <w:lang w:val="en-GB"/>
        </w:rPr>
        <w:t>Data Processing Services</w:t>
      </w:r>
    </w:p>
    <w:p w:rsidR="004C2964" w:rsidRPr="004C2964" w:rsidRDefault="004C2964" w:rsidP="004C2964">
      <w:pPr>
        <w:autoSpaceDE w:val="0"/>
        <w:autoSpaceDN w:val="0"/>
        <w:adjustRightInd w:val="0"/>
        <w:spacing w:after="120" w:line="312" w:lineRule="auto"/>
        <w:rPr>
          <w:rFonts w:ascii="Arial" w:hAnsi="Arial" w:cs="Arial"/>
          <w:b/>
          <w:bCs/>
          <w:color w:val="000000"/>
          <w:sz w:val="20"/>
          <w:lang w:val="en-GB"/>
        </w:rPr>
      </w:pPr>
      <w:r w:rsidRPr="004C2964">
        <w:rPr>
          <w:rFonts w:ascii="Arial" w:hAnsi="Arial" w:cs="Arial"/>
          <w:b/>
          <w:bCs/>
          <w:color w:val="000000"/>
          <w:sz w:val="20"/>
          <w:lang w:val="en-GB"/>
        </w:rPr>
        <w:t>Processing, Personal Data and Data Subjects</w:t>
      </w:r>
    </w:p>
    <w:p w:rsidR="004C2964" w:rsidRPr="004C2964" w:rsidRDefault="004C2964" w:rsidP="004C2964">
      <w:pPr>
        <w:numPr>
          <w:ilvl w:val="0"/>
          <w:numId w:val="14"/>
        </w:numPr>
        <w:autoSpaceDE w:val="0"/>
        <w:autoSpaceDN w:val="0"/>
        <w:adjustRightInd w:val="0"/>
        <w:spacing w:after="120" w:line="312" w:lineRule="auto"/>
        <w:ind w:hanging="720"/>
        <w:rPr>
          <w:rFonts w:ascii="Arial" w:eastAsia="ArialMT" w:hAnsi="Arial" w:cs="Arial"/>
          <w:color w:val="000000"/>
          <w:sz w:val="20"/>
          <w:lang w:val="en-GB" w:eastAsia="en-GB"/>
        </w:rPr>
      </w:pPr>
      <w:r w:rsidRPr="004C2964">
        <w:rPr>
          <w:rFonts w:ascii="Arial" w:eastAsia="ArialMT" w:hAnsi="Arial" w:cs="Arial"/>
          <w:color w:val="000000"/>
          <w:sz w:val="20"/>
          <w:lang w:val="en-GB" w:eastAsia="en-GB"/>
        </w:rPr>
        <w:t>The Provider must comply with any further written instructions with respect to processing by the Co-ordinating Commissioner.</w:t>
      </w:r>
    </w:p>
    <w:p w:rsidR="004C2964" w:rsidRPr="004C2964" w:rsidRDefault="004C2964" w:rsidP="004C2964">
      <w:pPr>
        <w:numPr>
          <w:ilvl w:val="0"/>
          <w:numId w:val="14"/>
        </w:numPr>
        <w:autoSpaceDE w:val="0"/>
        <w:autoSpaceDN w:val="0"/>
        <w:adjustRightInd w:val="0"/>
        <w:spacing w:after="120" w:line="312" w:lineRule="auto"/>
        <w:ind w:hanging="720"/>
        <w:rPr>
          <w:rFonts w:ascii="Arial" w:eastAsia="ArialMT" w:hAnsi="Arial" w:cs="Arial"/>
          <w:color w:val="000000"/>
          <w:sz w:val="20"/>
          <w:lang w:val="en-GB" w:eastAsia="en-GB"/>
        </w:rPr>
      </w:pPr>
      <w:r w:rsidRPr="004C2964">
        <w:rPr>
          <w:rFonts w:ascii="Arial" w:eastAsia="ArialMT" w:hAnsi="Arial" w:cs="Arial"/>
          <w:color w:val="000000"/>
          <w:sz w:val="20"/>
          <w:lang w:val="en-GB" w:eastAsia="en-GB"/>
        </w:rPr>
        <w:t>Any such further instructions shall be incorporated into this Annex.</w:t>
      </w:r>
    </w:p>
    <w:tbl>
      <w:tblPr>
        <w:tblStyle w:val="TableGrid8"/>
        <w:tblW w:w="0" w:type="auto"/>
        <w:tblLook w:val="04A0" w:firstRow="1" w:lastRow="0" w:firstColumn="1" w:lastColumn="0" w:noHBand="0" w:noVBand="1"/>
        <w:tblCaption w:val="Annex A"/>
        <w:tblDescription w:val="Annex A"/>
      </w:tblPr>
      <w:tblGrid>
        <w:gridCol w:w="3715"/>
        <w:gridCol w:w="4807"/>
      </w:tblGrid>
      <w:tr w:rsidR="004C2964" w:rsidRPr="004C2964" w:rsidTr="00A5119F">
        <w:trPr>
          <w:tblHeader/>
        </w:trPr>
        <w:tc>
          <w:tcPr>
            <w:tcW w:w="4428" w:type="dxa"/>
            <w:shd w:val="clear" w:color="auto" w:fill="C6D9F1" w:themeFill="text2" w:themeFillTint="33"/>
          </w:tcPr>
          <w:p w:rsidR="004C2964" w:rsidRPr="004C2964" w:rsidRDefault="004C2964" w:rsidP="004C2964">
            <w:pPr>
              <w:autoSpaceDE w:val="0"/>
              <w:autoSpaceDN w:val="0"/>
              <w:adjustRightInd w:val="0"/>
              <w:spacing w:before="60" w:after="60"/>
              <w:rPr>
                <w:rFonts w:ascii="Arial" w:hAnsi="Arial" w:cs="Arial"/>
                <w:b/>
                <w:bCs/>
                <w:color w:val="000000"/>
                <w:sz w:val="20"/>
                <w:lang w:val="en-GB" w:eastAsia="en-GB"/>
              </w:rPr>
            </w:pPr>
            <w:r w:rsidRPr="004C2964">
              <w:rPr>
                <w:rFonts w:ascii="Arial" w:hAnsi="Arial" w:cs="Arial"/>
                <w:b/>
                <w:bCs/>
                <w:color w:val="000000"/>
                <w:sz w:val="20"/>
                <w:lang w:val="en-GB" w:eastAsia="en-GB"/>
              </w:rPr>
              <w:t xml:space="preserve">Description </w:t>
            </w:r>
          </w:p>
        </w:tc>
        <w:tc>
          <w:tcPr>
            <w:tcW w:w="5745" w:type="dxa"/>
            <w:shd w:val="clear" w:color="auto" w:fill="C6D9F1" w:themeFill="text2" w:themeFillTint="33"/>
          </w:tcPr>
          <w:p w:rsidR="004C2964" w:rsidRPr="004C2964" w:rsidRDefault="004C2964" w:rsidP="004C2964">
            <w:pPr>
              <w:autoSpaceDE w:val="0"/>
              <w:autoSpaceDN w:val="0"/>
              <w:adjustRightInd w:val="0"/>
              <w:spacing w:before="60" w:after="60"/>
              <w:rPr>
                <w:rFonts w:ascii="Arial" w:hAnsi="Arial" w:cs="Arial"/>
                <w:b/>
                <w:bCs/>
                <w:color w:val="000000"/>
                <w:sz w:val="20"/>
                <w:lang w:val="en-GB" w:eastAsia="en-GB"/>
              </w:rPr>
            </w:pPr>
            <w:r w:rsidRPr="004C2964">
              <w:rPr>
                <w:rFonts w:ascii="Arial" w:hAnsi="Arial" w:cs="Arial"/>
                <w:b/>
                <w:bCs/>
                <w:color w:val="000000"/>
                <w:sz w:val="20"/>
                <w:lang w:val="en-GB" w:eastAsia="en-GB"/>
              </w:rPr>
              <w:t>Details</w:t>
            </w:r>
          </w:p>
        </w:tc>
      </w:tr>
      <w:tr w:rsidR="004C2964" w:rsidRPr="004C2964" w:rsidTr="00A5119F">
        <w:tc>
          <w:tcPr>
            <w:tcW w:w="4428" w:type="dxa"/>
          </w:tcPr>
          <w:p w:rsidR="004C2964" w:rsidRPr="004C2964" w:rsidRDefault="004C2964" w:rsidP="004C2964">
            <w:pPr>
              <w:autoSpaceDE w:val="0"/>
              <w:autoSpaceDN w:val="0"/>
              <w:adjustRightInd w:val="0"/>
              <w:spacing w:before="60" w:after="60"/>
              <w:rPr>
                <w:rFonts w:ascii="Arial" w:eastAsia="ArialMT" w:hAnsi="Arial" w:cs="Arial"/>
                <w:color w:val="000000"/>
                <w:sz w:val="20"/>
                <w:lang w:val="en-GB" w:eastAsia="en-GB"/>
              </w:rPr>
            </w:pPr>
            <w:r w:rsidRPr="004C2964">
              <w:rPr>
                <w:rFonts w:ascii="Arial" w:eastAsia="ArialMT" w:hAnsi="Arial" w:cs="Arial"/>
                <w:color w:val="000000"/>
                <w:sz w:val="20"/>
                <w:lang w:val="en-GB" w:eastAsia="en-GB"/>
              </w:rPr>
              <w:t>Subject matter of the processing</w:t>
            </w:r>
          </w:p>
        </w:tc>
        <w:tc>
          <w:tcPr>
            <w:tcW w:w="5745" w:type="dxa"/>
          </w:tcPr>
          <w:p w:rsidR="004C2964" w:rsidRPr="004C2964" w:rsidRDefault="004C2964" w:rsidP="004C2964">
            <w:pPr>
              <w:autoSpaceDE w:val="0"/>
              <w:autoSpaceDN w:val="0"/>
              <w:adjustRightInd w:val="0"/>
              <w:spacing w:before="60" w:after="60"/>
              <w:rPr>
                <w:rFonts w:ascii="Arial" w:hAnsi="Arial" w:cs="Arial"/>
                <w:i/>
                <w:iCs/>
                <w:color w:val="000000"/>
                <w:sz w:val="20"/>
                <w:highlight w:val="yellow"/>
                <w:lang w:val="en-GB" w:eastAsia="en-GB" w:bidi="he-IL"/>
              </w:rPr>
            </w:pPr>
            <w:r w:rsidRPr="004C2964">
              <w:rPr>
                <w:rFonts w:ascii="Arial" w:hAnsi="Arial" w:cs="Arial"/>
                <w:i/>
                <w:iCs/>
                <w:color w:val="000000"/>
                <w:sz w:val="20"/>
                <w:highlight w:val="yellow"/>
                <w:lang w:val="en-GB" w:eastAsia="en-GB" w:bidi="he-IL"/>
              </w:rPr>
              <w:t>[This should be a high level, short description of what the processing is about i.e. its subject matter]</w:t>
            </w:r>
          </w:p>
        </w:tc>
      </w:tr>
      <w:tr w:rsidR="004C2964" w:rsidRPr="004C2964" w:rsidTr="00A5119F">
        <w:tc>
          <w:tcPr>
            <w:tcW w:w="4428" w:type="dxa"/>
          </w:tcPr>
          <w:p w:rsidR="004C2964" w:rsidRPr="004C2964" w:rsidRDefault="004C2964" w:rsidP="004C2964">
            <w:pPr>
              <w:autoSpaceDE w:val="0"/>
              <w:autoSpaceDN w:val="0"/>
              <w:adjustRightInd w:val="0"/>
              <w:spacing w:before="60" w:after="60"/>
              <w:rPr>
                <w:rFonts w:ascii="Arial" w:eastAsia="ArialMT" w:hAnsi="Arial" w:cs="Arial"/>
                <w:color w:val="000000"/>
                <w:sz w:val="20"/>
                <w:lang w:val="en-GB" w:eastAsia="en-GB"/>
              </w:rPr>
            </w:pPr>
            <w:r w:rsidRPr="004C2964">
              <w:rPr>
                <w:rFonts w:ascii="Arial" w:eastAsia="ArialMT" w:hAnsi="Arial" w:cs="Arial"/>
                <w:color w:val="000000"/>
                <w:sz w:val="20"/>
                <w:lang w:val="en-GB" w:eastAsia="en-GB"/>
              </w:rPr>
              <w:t>Duration of the processing</w:t>
            </w:r>
          </w:p>
        </w:tc>
        <w:tc>
          <w:tcPr>
            <w:tcW w:w="5745" w:type="dxa"/>
          </w:tcPr>
          <w:p w:rsidR="004C2964" w:rsidRPr="004C2964" w:rsidRDefault="004C2964" w:rsidP="004C2964">
            <w:pPr>
              <w:autoSpaceDE w:val="0"/>
              <w:autoSpaceDN w:val="0"/>
              <w:adjustRightInd w:val="0"/>
              <w:spacing w:before="60" w:after="60"/>
              <w:rPr>
                <w:rFonts w:ascii="Arial" w:hAnsi="Arial" w:cs="Arial"/>
                <w:i/>
                <w:iCs/>
                <w:color w:val="000000"/>
                <w:sz w:val="20"/>
                <w:highlight w:val="yellow"/>
                <w:lang w:val="en-GB" w:eastAsia="en-GB" w:bidi="he-IL"/>
              </w:rPr>
            </w:pPr>
            <w:r w:rsidRPr="004C2964">
              <w:rPr>
                <w:rFonts w:ascii="Arial" w:hAnsi="Arial" w:cs="Arial"/>
                <w:i/>
                <w:iCs/>
                <w:color w:val="000000"/>
                <w:sz w:val="20"/>
                <w:highlight w:val="yellow"/>
                <w:lang w:val="en-GB" w:eastAsia="en-GB" w:bidi="he-IL"/>
              </w:rPr>
              <w:t>[Clearly set out the duration of the processing including dates]</w:t>
            </w:r>
          </w:p>
        </w:tc>
      </w:tr>
      <w:tr w:rsidR="004C2964" w:rsidRPr="004C2964" w:rsidTr="00A5119F">
        <w:tc>
          <w:tcPr>
            <w:tcW w:w="4428" w:type="dxa"/>
          </w:tcPr>
          <w:p w:rsidR="004C2964" w:rsidRPr="004C2964" w:rsidRDefault="004C2964" w:rsidP="004C2964">
            <w:pPr>
              <w:autoSpaceDE w:val="0"/>
              <w:autoSpaceDN w:val="0"/>
              <w:adjustRightInd w:val="0"/>
              <w:spacing w:before="60" w:after="60"/>
              <w:rPr>
                <w:rFonts w:ascii="Arial" w:eastAsia="ArialMT" w:hAnsi="Arial" w:cs="Arial"/>
                <w:color w:val="000000"/>
                <w:sz w:val="20"/>
                <w:lang w:val="en-GB" w:eastAsia="en-GB"/>
              </w:rPr>
            </w:pPr>
            <w:r w:rsidRPr="004C2964">
              <w:rPr>
                <w:rFonts w:ascii="Arial" w:eastAsia="ArialMT" w:hAnsi="Arial" w:cs="Arial"/>
                <w:color w:val="000000"/>
                <w:sz w:val="20"/>
                <w:lang w:val="en-GB" w:eastAsia="en-GB"/>
              </w:rPr>
              <w:t>Nature and purposes of the processing</w:t>
            </w:r>
          </w:p>
        </w:tc>
        <w:tc>
          <w:tcPr>
            <w:tcW w:w="5745" w:type="dxa"/>
          </w:tcPr>
          <w:p w:rsidR="004C2964" w:rsidRPr="004C2964" w:rsidRDefault="004C2964" w:rsidP="004C2964">
            <w:pPr>
              <w:autoSpaceDE w:val="0"/>
              <w:autoSpaceDN w:val="0"/>
              <w:adjustRightInd w:val="0"/>
              <w:spacing w:before="60" w:after="60"/>
              <w:rPr>
                <w:rFonts w:ascii="Arial" w:hAnsi="Arial" w:cs="Arial"/>
                <w:i/>
                <w:iCs/>
                <w:color w:val="000000"/>
                <w:sz w:val="20"/>
                <w:highlight w:val="yellow"/>
                <w:lang w:val="en-GB" w:eastAsia="en-GB" w:bidi="he-IL"/>
              </w:rPr>
            </w:pPr>
            <w:r w:rsidRPr="004C2964">
              <w:rPr>
                <w:rFonts w:ascii="Arial" w:hAnsi="Arial" w:cs="Arial"/>
                <w:i/>
                <w:iCs/>
                <w:color w:val="000000"/>
                <w:sz w:val="20"/>
                <w:highlight w:val="yellow"/>
                <w:lang w:val="en-GB" w:eastAsia="en-GB"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proofErr w:type="spellStart"/>
            <w:r w:rsidRPr="004C2964">
              <w:rPr>
                <w:rFonts w:ascii="Arial" w:hAnsi="Arial" w:cs="Arial"/>
                <w:i/>
                <w:iCs/>
                <w:color w:val="000000"/>
                <w:sz w:val="20"/>
                <w:highlight w:val="yellow"/>
                <w:lang w:val="en-GB" w:eastAsia="en-GB" w:bidi="he-IL"/>
              </w:rPr>
              <w:t>etc</w:t>
            </w:r>
            <w:proofErr w:type="spellEnd"/>
            <w:r w:rsidRPr="004C2964">
              <w:rPr>
                <w:rFonts w:ascii="Arial" w:hAnsi="Arial" w:cs="Arial"/>
                <w:i/>
                <w:iCs/>
                <w:color w:val="000000"/>
                <w:sz w:val="20"/>
                <w:highlight w:val="yellow"/>
                <w:lang w:val="en-GB" w:eastAsia="en-GB" w:bidi="he-IL"/>
              </w:rPr>
              <w:t>]</w:t>
            </w:r>
          </w:p>
        </w:tc>
      </w:tr>
      <w:tr w:rsidR="004C2964" w:rsidRPr="004C2964" w:rsidTr="00A5119F">
        <w:tc>
          <w:tcPr>
            <w:tcW w:w="4428" w:type="dxa"/>
          </w:tcPr>
          <w:p w:rsidR="004C2964" w:rsidRPr="004C2964" w:rsidRDefault="004C2964" w:rsidP="004C2964">
            <w:pPr>
              <w:autoSpaceDE w:val="0"/>
              <w:autoSpaceDN w:val="0"/>
              <w:adjustRightInd w:val="0"/>
              <w:spacing w:before="60" w:after="60"/>
              <w:rPr>
                <w:rFonts w:ascii="Arial" w:eastAsia="ArialMT" w:hAnsi="Arial" w:cs="Arial"/>
                <w:color w:val="000000"/>
                <w:sz w:val="20"/>
                <w:lang w:val="en-GB" w:eastAsia="en-GB"/>
              </w:rPr>
            </w:pPr>
            <w:r w:rsidRPr="004C2964">
              <w:rPr>
                <w:rFonts w:ascii="Arial" w:eastAsia="ArialMT" w:hAnsi="Arial" w:cs="Arial"/>
                <w:color w:val="000000"/>
                <w:sz w:val="20"/>
                <w:lang w:val="en-GB" w:eastAsia="en-GB"/>
              </w:rPr>
              <w:t xml:space="preserve">Type of Personal Data </w:t>
            </w:r>
          </w:p>
        </w:tc>
        <w:tc>
          <w:tcPr>
            <w:tcW w:w="5745" w:type="dxa"/>
          </w:tcPr>
          <w:p w:rsidR="004C2964" w:rsidRPr="004C2964" w:rsidRDefault="004C2964" w:rsidP="004C2964">
            <w:pPr>
              <w:autoSpaceDE w:val="0"/>
              <w:autoSpaceDN w:val="0"/>
              <w:adjustRightInd w:val="0"/>
              <w:spacing w:before="60" w:after="60"/>
              <w:rPr>
                <w:rFonts w:ascii="Arial" w:hAnsi="Arial" w:cs="Arial"/>
                <w:i/>
                <w:iCs/>
                <w:color w:val="000000"/>
                <w:sz w:val="20"/>
                <w:highlight w:val="yellow"/>
                <w:lang w:val="en-GB" w:eastAsia="en-GB" w:bidi="he-IL"/>
              </w:rPr>
            </w:pPr>
            <w:r w:rsidRPr="004C2964">
              <w:rPr>
                <w:rFonts w:ascii="Arial" w:hAnsi="Arial" w:cs="Arial"/>
                <w:i/>
                <w:iCs/>
                <w:color w:val="000000"/>
                <w:sz w:val="20"/>
                <w:highlight w:val="yellow"/>
                <w:lang w:val="en-GB" w:eastAsia="en-GB" w:bidi="he-IL"/>
              </w:rPr>
              <w:t xml:space="preserve">[Examples here include: name, address, date of birth, NI number, telephone number, pay, images, biometric data </w:t>
            </w:r>
            <w:proofErr w:type="spellStart"/>
            <w:r w:rsidRPr="004C2964">
              <w:rPr>
                <w:rFonts w:ascii="Arial" w:hAnsi="Arial" w:cs="Arial"/>
                <w:i/>
                <w:iCs/>
                <w:color w:val="000000"/>
                <w:sz w:val="20"/>
                <w:highlight w:val="yellow"/>
                <w:lang w:val="en-GB" w:eastAsia="en-GB" w:bidi="he-IL"/>
              </w:rPr>
              <w:t>etc</w:t>
            </w:r>
            <w:proofErr w:type="spellEnd"/>
            <w:r w:rsidRPr="004C2964">
              <w:rPr>
                <w:rFonts w:ascii="Arial" w:hAnsi="Arial" w:cs="Arial"/>
                <w:i/>
                <w:iCs/>
                <w:color w:val="000000"/>
                <w:sz w:val="20"/>
                <w:highlight w:val="yellow"/>
                <w:lang w:val="en-GB" w:eastAsia="en-GB" w:bidi="he-IL"/>
              </w:rPr>
              <w:t>]</w:t>
            </w:r>
          </w:p>
        </w:tc>
      </w:tr>
      <w:tr w:rsidR="004C2964" w:rsidRPr="004C2964" w:rsidTr="00A5119F">
        <w:tc>
          <w:tcPr>
            <w:tcW w:w="4428" w:type="dxa"/>
          </w:tcPr>
          <w:p w:rsidR="004C2964" w:rsidRPr="004C2964" w:rsidRDefault="004C2964" w:rsidP="004C2964">
            <w:pPr>
              <w:autoSpaceDE w:val="0"/>
              <w:autoSpaceDN w:val="0"/>
              <w:adjustRightInd w:val="0"/>
              <w:spacing w:before="60" w:after="60"/>
              <w:rPr>
                <w:rFonts w:ascii="Arial" w:eastAsia="ArialMT" w:hAnsi="Arial" w:cs="Arial"/>
                <w:color w:val="000000"/>
                <w:sz w:val="20"/>
                <w:lang w:val="en-GB" w:eastAsia="en-GB"/>
              </w:rPr>
            </w:pPr>
            <w:r w:rsidRPr="004C2964">
              <w:rPr>
                <w:rFonts w:ascii="Arial" w:eastAsia="ArialMT" w:hAnsi="Arial" w:cs="Arial"/>
                <w:color w:val="000000"/>
                <w:sz w:val="20"/>
                <w:lang w:val="en-GB" w:eastAsia="en-GB"/>
              </w:rPr>
              <w:t>Categories of Data Subject</w:t>
            </w:r>
          </w:p>
        </w:tc>
        <w:tc>
          <w:tcPr>
            <w:tcW w:w="5745" w:type="dxa"/>
          </w:tcPr>
          <w:p w:rsidR="004C2964" w:rsidRPr="004C2964" w:rsidRDefault="004C2964" w:rsidP="004C2964">
            <w:pPr>
              <w:autoSpaceDE w:val="0"/>
              <w:autoSpaceDN w:val="0"/>
              <w:adjustRightInd w:val="0"/>
              <w:spacing w:before="60" w:after="60"/>
              <w:rPr>
                <w:rFonts w:ascii="Arial" w:hAnsi="Arial" w:cs="Arial"/>
                <w:i/>
                <w:iCs/>
                <w:color w:val="000000"/>
                <w:sz w:val="20"/>
                <w:highlight w:val="yellow"/>
                <w:lang w:val="en-GB" w:eastAsia="en-GB" w:bidi="he-IL"/>
              </w:rPr>
            </w:pPr>
            <w:r w:rsidRPr="004C2964">
              <w:rPr>
                <w:rFonts w:ascii="Arial" w:hAnsi="Arial" w:cs="Arial"/>
                <w:i/>
                <w:iCs/>
                <w:color w:val="000000"/>
                <w:sz w:val="20"/>
                <w:highlight w:val="yellow"/>
                <w:lang w:val="en-GB" w:eastAsia="en-GB" w:bidi="he-IL"/>
              </w:rPr>
              <w:t xml:space="preserve">[Examples include: Staff (including volunteers, agents, and temporary workers), Co-ordinating Commissioners/ clients, suppliers, patients, students / pupils, members of the public, users of a particular website </w:t>
            </w:r>
            <w:proofErr w:type="spellStart"/>
            <w:r w:rsidRPr="004C2964">
              <w:rPr>
                <w:rFonts w:ascii="Arial" w:hAnsi="Arial" w:cs="Arial"/>
                <w:i/>
                <w:iCs/>
                <w:color w:val="000000"/>
                <w:sz w:val="20"/>
                <w:highlight w:val="yellow"/>
                <w:lang w:val="en-GB" w:eastAsia="en-GB" w:bidi="he-IL"/>
              </w:rPr>
              <w:t>etc</w:t>
            </w:r>
            <w:proofErr w:type="spellEnd"/>
            <w:r w:rsidRPr="004C2964">
              <w:rPr>
                <w:rFonts w:ascii="Arial" w:hAnsi="Arial" w:cs="Arial"/>
                <w:i/>
                <w:iCs/>
                <w:color w:val="000000"/>
                <w:sz w:val="20"/>
                <w:highlight w:val="yellow"/>
                <w:lang w:val="en-GB" w:eastAsia="en-GB" w:bidi="he-IL"/>
              </w:rPr>
              <w:t>]</w:t>
            </w:r>
          </w:p>
        </w:tc>
      </w:tr>
      <w:tr w:rsidR="004C2964" w:rsidRPr="004C2964" w:rsidTr="00A5119F">
        <w:tc>
          <w:tcPr>
            <w:tcW w:w="4428" w:type="dxa"/>
          </w:tcPr>
          <w:p w:rsidR="004C2964" w:rsidRPr="004C2964" w:rsidRDefault="004C2964" w:rsidP="004C2964">
            <w:pPr>
              <w:autoSpaceDE w:val="0"/>
              <w:autoSpaceDN w:val="0"/>
              <w:adjustRightInd w:val="0"/>
              <w:spacing w:before="60" w:after="60"/>
              <w:rPr>
                <w:rFonts w:ascii="Arial" w:eastAsia="ArialMT" w:hAnsi="Arial" w:cs="Arial"/>
                <w:color w:val="000000"/>
                <w:sz w:val="20"/>
                <w:lang w:val="en-GB" w:eastAsia="en-GB"/>
              </w:rPr>
            </w:pPr>
            <w:r w:rsidRPr="004C2964">
              <w:rPr>
                <w:rFonts w:ascii="Arial" w:eastAsia="ArialMT" w:hAnsi="Arial" w:cs="Arial"/>
                <w:color w:val="000000"/>
                <w:sz w:val="20"/>
                <w:lang w:val="en-GB" w:eastAsia="en-GB"/>
              </w:rPr>
              <w:t>Plan for return and destruction of the data once the processing is complete UNLESS requirement under union or member state law to preserve that type of data</w:t>
            </w:r>
          </w:p>
        </w:tc>
        <w:tc>
          <w:tcPr>
            <w:tcW w:w="5745" w:type="dxa"/>
          </w:tcPr>
          <w:p w:rsidR="004C2964" w:rsidRPr="004C2964" w:rsidRDefault="004C2964" w:rsidP="004C2964">
            <w:pPr>
              <w:autoSpaceDE w:val="0"/>
              <w:autoSpaceDN w:val="0"/>
              <w:adjustRightInd w:val="0"/>
              <w:spacing w:before="60" w:after="60"/>
              <w:rPr>
                <w:rFonts w:ascii="Arial" w:hAnsi="Arial" w:cs="Arial"/>
                <w:i/>
                <w:iCs/>
                <w:color w:val="000000"/>
                <w:sz w:val="20"/>
                <w:highlight w:val="yellow"/>
                <w:lang w:val="en-GB" w:eastAsia="en-GB" w:bidi="he-IL"/>
              </w:rPr>
            </w:pPr>
            <w:r w:rsidRPr="004C2964">
              <w:rPr>
                <w:rFonts w:ascii="Arial" w:hAnsi="Arial" w:cs="Arial"/>
                <w:i/>
                <w:iCs/>
                <w:color w:val="000000"/>
                <w:sz w:val="20"/>
                <w:highlight w:val="yellow"/>
                <w:lang w:val="en-GB" w:eastAsia="en-GB" w:bidi="he-IL"/>
              </w:rPr>
              <w:t>[Describe how long the data will be retained for, how it be returned or destroyed]</w:t>
            </w:r>
          </w:p>
        </w:tc>
      </w:tr>
    </w:tbl>
    <w:p w:rsidR="00A20F18" w:rsidRPr="000B7EA0" w:rsidRDefault="00A20F18" w:rsidP="004C2964">
      <w:pPr>
        <w:spacing w:after="0"/>
        <w:contextualSpacing/>
        <w:jc w:val="center"/>
        <w:rPr>
          <w:rFonts w:ascii="Arial" w:eastAsia="Times New Roman" w:hAnsi="Arial" w:cs="Arial"/>
          <w:b/>
          <w:bCs/>
          <w:sz w:val="20"/>
          <w:shd w:val="clear" w:color="auto" w:fill="FFCC00"/>
          <w:lang w:val="en-GB" w:eastAsia="en-US"/>
        </w:rPr>
      </w:pPr>
    </w:p>
    <w:sectPr w:rsidR="00A20F18" w:rsidRPr="000B7EA0" w:rsidSect="00B23488">
      <w:headerReference w:type="even" r:id="rId35"/>
      <w:headerReference w:type="default" r:id="rId36"/>
      <w:footerReference w:type="even" r:id="rId37"/>
      <w:headerReference w:type="first" r:id="rId38"/>
      <w:footerReference w:type="first" r:id="rId39"/>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9B" w:rsidRDefault="0069669B" w:rsidP="009F5589">
      <w:pPr>
        <w:spacing w:after="0"/>
      </w:pPr>
      <w:r>
        <w:separator/>
      </w:r>
    </w:p>
  </w:endnote>
  <w:endnote w:type="continuationSeparator" w:id="0">
    <w:p w:rsidR="0069669B" w:rsidRDefault="0069669B" w:rsidP="009F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Footer"/>
    </w:pPr>
    <w:r>
      <w:rPr>
        <w:rFonts w:ascii="Arial" w:hAnsi="Arial" w:cs="Arial"/>
        <w:b/>
        <w:sz w:val="16"/>
        <w:szCs w:val="16"/>
      </w:rPr>
      <w:t>NHS STANDARD CONTRACT FULL LENGTH NATIONAL VARIATION AGREEMENT 2017-19 (May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Pr="008933AD" w:rsidRDefault="0013270B" w:rsidP="00893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9B" w:rsidRDefault="0069669B" w:rsidP="009F5589">
      <w:pPr>
        <w:spacing w:after="0"/>
      </w:pPr>
      <w:r>
        <w:separator/>
      </w:r>
    </w:p>
  </w:footnote>
  <w:footnote w:type="continuationSeparator" w:id="0">
    <w:p w:rsidR="0069669B" w:rsidRDefault="0069669B" w:rsidP="009F55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0B" w:rsidRDefault="001327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90D"/>
    <w:multiLevelType w:val="multilevel"/>
    <w:tmpl w:val="EB34D5CA"/>
    <w:lvl w:ilvl="0">
      <w:start w:val="29"/>
      <w:numFmt w:val="decimal"/>
      <w:lvlText w:val="%1"/>
      <w:lvlJc w:val="left"/>
      <w:pPr>
        <w:ind w:left="552" w:hanging="552"/>
      </w:pPr>
      <w:rPr>
        <w:rFonts w:hint="default"/>
      </w:rPr>
    </w:lvl>
    <w:lvl w:ilvl="1">
      <w:start w:val="9"/>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81F38C4"/>
    <w:multiLevelType w:val="hybridMultilevel"/>
    <w:tmpl w:val="2A60EBCC"/>
    <w:lvl w:ilvl="0" w:tplc="F59CF7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3F7DB0"/>
    <w:multiLevelType w:val="hybridMultilevel"/>
    <w:tmpl w:val="BDE225B4"/>
    <w:lvl w:ilvl="0" w:tplc="A4C6F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75470"/>
    <w:multiLevelType w:val="hybridMultilevel"/>
    <w:tmpl w:val="2A60EBCC"/>
    <w:lvl w:ilvl="0" w:tplc="F59CF7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87748C"/>
    <w:multiLevelType w:val="hybridMultilevel"/>
    <w:tmpl w:val="64300996"/>
    <w:lvl w:ilvl="0" w:tplc="2C9A63F0">
      <w:start w:val="1"/>
      <w:numFmt w:val="bullet"/>
      <w:pStyle w:val="PDbulletlevel1"/>
      <w:lvlText w:val=""/>
      <w:lvlJc w:val="left"/>
      <w:pPr>
        <w:tabs>
          <w:tab w:val="num" w:pos="927"/>
        </w:tabs>
        <w:ind w:left="927" w:hanging="360"/>
      </w:pPr>
      <w:rPr>
        <w:rFonts w:ascii="Symbol" w:hAnsi="Symbol" w:hint="default"/>
        <w:color w:val="0072C6"/>
      </w:rPr>
    </w:lvl>
    <w:lvl w:ilvl="1" w:tplc="1674B828">
      <w:numFmt w:val="bullet"/>
      <w:lvlText w:val="–"/>
      <w:lvlJc w:val="left"/>
      <w:pPr>
        <w:tabs>
          <w:tab w:val="num" w:pos="2007"/>
        </w:tabs>
        <w:ind w:left="2007" w:hanging="360"/>
      </w:pPr>
      <w:rPr>
        <w:rFonts w:ascii="Arial" w:eastAsia="Times New Roman" w:hAnsi="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nsid w:val="16B00D17"/>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8">
    <w:nsid w:val="1F9E2E5A"/>
    <w:multiLevelType w:val="hybridMultilevel"/>
    <w:tmpl w:val="6D664E00"/>
    <w:lvl w:ilvl="0" w:tplc="E7CAB7F2">
      <w:start w:val="2"/>
      <w:numFmt w:val="upperLetter"/>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2851C1"/>
    <w:multiLevelType w:val="multilevel"/>
    <w:tmpl w:val="262E1920"/>
    <w:lvl w:ilvl="0">
      <w:start w:val="2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5B71425"/>
    <w:multiLevelType w:val="multilevel"/>
    <w:tmpl w:val="FCE69BC6"/>
    <w:lvl w:ilvl="0">
      <w:start w:val="26"/>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1">
    <w:nsid w:val="2721469A"/>
    <w:multiLevelType w:val="multilevel"/>
    <w:tmpl w:val="6CD8F3BA"/>
    <w:lvl w:ilvl="0">
      <w:start w:val="21"/>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2947529B"/>
    <w:multiLevelType w:val="hybridMultilevel"/>
    <w:tmpl w:val="62C6D08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nsid w:val="296E2D14"/>
    <w:multiLevelType w:val="multilevel"/>
    <w:tmpl w:val="162A93C2"/>
    <w:lvl w:ilvl="0">
      <w:start w:val="1"/>
      <w:numFmt w:val="decimal"/>
      <w:pStyle w:val="PDChapterTitleLevel1"/>
      <w:lvlText w:val="%1."/>
      <w:lvlJc w:val="left"/>
      <w:pPr>
        <w:tabs>
          <w:tab w:val="num" w:pos="567"/>
        </w:tabs>
        <w:ind w:left="567" w:hanging="567"/>
      </w:pPr>
      <w:rPr>
        <w:rFonts w:cs="Times New Roman" w:hint="default"/>
        <w:sz w:val="40"/>
        <w:szCs w:val="40"/>
      </w:rPr>
    </w:lvl>
    <w:lvl w:ilvl="1">
      <w:start w:val="1"/>
      <w:numFmt w:val="decimal"/>
      <w:pStyle w:val="PDNumberedPara"/>
      <w:lvlText w:val="%1.%2"/>
      <w:lvlJc w:val="left"/>
      <w:pPr>
        <w:tabs>
          <w:tab w:val="num" w:pos="567"/>
        </w:tabs>
        <w:ind w:left="567" w:hanging="567"/>
      </w:pPr>
      <w:rPr>
        <w:rFonts w:cs="Times New Roman" w:hint="default"/>
        <w:i w:val="0"/>
        <w:color w:val="808080"/>
        <w:sz w:val="20"/>
        <w:szCs w:val="20"/>
      </w:rPr>
    </w:lvl>
    <w:lvl w:ilvl="2">
      <w:start w:val="1"/>
      <w:numFmt w:val="decimal"/>
      <w:pStyle w:val="Heading3"/>
      <w:lvlText w:val="%1.%2.%3"/>
      <w:lvlJc w:val="left"/>
      <w:pPr>
        <w:tabs>
          <w:tab w:val="num" w:pos="1304"/>
        </w:tabs>
        <w:ind w:left="1304"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BD831DC"/>
    <w:multiLevelType w:val="multilevel"/>
    <w:tmpl w:val="B4F6C69E"/>
    <w:lvl w:ilvl="0">
      <w:start w:val="6"/>
      <w:numFmt w:val="none"/>
      <w:lvlText w:val="29.9.1"/>
      <w:lvlJc w:val="left"/>
      <w:pPr>
        <w:ind w:left="435" w:hanging="435"/>
      </w:pPr>
      <w:rPr>
        <w:rFonts w:ascii="Arial" w:hAnsi="Arial" w:hint="default"/>
        <w:b w:val="0"/>
        <w:i w:val="0"/>
        <w:sz w:val="20"/>
      </w:rPr>
    </w:lvl>
    <w:lvl w:ilvl="1">
      <w:start w:val="2"/>
      <w:numFmt w:val="decimal"/>
      <w:lvlText w:val="%1.%2"/>
      <w:lvlJc w:val="left"/>
      <w:pPr>
        <w:ind w:left="2071" w:hanging="435"/>
      </w:pPr>
      <w:rPr>
        <w:rFonts w:hint="default"/>
      </w:rPr>
    </w:lvl>
    <w:lvl w:ilvl="2">
      <w:start w:val="1"/>
      <w:numFmt w:val="decimal"/>
      <w:lvlText w:val="%1.%2.%3"/>
      <w:lvlJc w:val="left"/>
      <w:pPr>
        <w:ind w:left="3992" w:hanging="720"/>
      </w:pPr>
      <w:rPr>
        <w:rFonts w:hint="default"/>
        <w:color w:val="auto"/>
      </w:rPr>
    </w:lvl>
    <w:lvl w:ilvl="3">
      <w:start w:val="1"/>
      <w:numFmt w:val="decimal"/>
      <w:lvlText w:val="%1.%2.%3.%4"/>
      <w:lvlJc w:val="left"/>
      <w:pPr>
        <w:ind w:left="5628" w:hanging="72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260" w:hanging="108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2892" w:hanging="1440"/>
      </w:pPr>
      <w:rPr>
        <w:rFonts w:hint="default"/>
      </w:rPr>
    </w:lvl>
    <w:lvl w:ilvl="8">
      <w:start w:val="1"/>
      <w:numFmt w:val="decimal"/>
      <w:lvlText w:val="%1.%2.%3.%4.%5.%6.%7.%8.%9"/>
      <w:lvlJc w:val="left"/>
      <w:pPr>
        <w:ind w:left="14888" w:hanging="1800"/>
      </w:pPr>
      <w:rPr>
        <w:rFonts w:hint="default"/>
      </w:rPr>
    </w:lvl>
  </w:abstractNum>
  <w:abstractNum w:abstractNumId="15">
    <w:nsid w:val="2C172EC5"/>
    <w:multiLevelType w:val="hybridMultilevel"/>
    <w:tmpl w:val="2A60EBCC"/>
    <w:lvl w:ilvl="0" w:tplc="F59CF7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B70A7B"/>
    <w:multiLevelType w:val="multilevel"/>
    <w:tmpl w:val="1CC64534"/>
    <w:lvl w:ilvl="0">
      <w:start w:val="23"/>
      <w:numFmt w:val="decimal"/>
      <w:lvlText w:val="%1"/>
      <w:lvlJc w:val="left"/>
      <w:pPr>
        <w:ind w:left="375" w:hanging="375"/>
      </w:pPr>
      <w:rPr>
        <w:rFonts w:hint="default"/>
      </w:rPr>
    </w:lvl>
    <w:lvl w:ilvl="1">
      <w:start w:val="1"/>
      <w:numFmt w:val="decimal"/>
      <w:lvlText w:val="%1.%2"/>
      <w:lvlJc w:val="left"/>
      <w:pPr>
        <w:ind w:left="1793" w:hanging="375"/>
      </w:pPr>
      <w:rPr>
        <w:rFonts w:hint="default"/>
        <w:b w:val="0"/>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nsid w:val="413C66F3"/>
    <w:multiLevelType w:val="hybridMultilevel"/>
    <w:tmpl w:val="80A4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F70080"/>
    <w:multiLevelType w:val="multilevel"/>
    <w:tmpl w:val="BB16B0EE"/>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DF44A87"/>
    <w:multiLevelType w:val="hybridMultilevel"/>
    <w:tmpl w:val="2A60EBCC"/>
    <w:lvl w:ilvl="0" w:tplc="F59CF7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2B3CC9"/>
    <w:multiLevelType w:val="hybridMultilevel"/>
    <w:tmpl w:val="73DC4A86"/>
    <w:lvl w:ilvl="0" w:tplc="819A53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9444B3C"/>
    <w:multiLevelType w:val="hybridMultilevel"/>
    <w:tmpl w:val="E3AE35D8"/>
    <w:lvl w:ilvl="0" w:tplc="83E67CDC">
      <w:start w:val="1"/>
      <w:numFmt w:val="decimal"/>
      <w:pStyle w:val="Schmainhead"/>
      <w:lvlText w:val="Appendix %1"/>
      <w:lvlJc w:val="center"/>
      <w:pPr>
        <w:tabs>
          <w:tab w:val="num" w:pos="6380"/>
        </w:tabs>
        <w:ind w:left="6522"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6D7188"/>
    <w:multiLevelType w:val="multilevel"/>
    <w:tmpl w:val="69E8713A"/>
    <w:lvl w:ilvl="0">
      <w:start w:val="2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27">
    <w:nsid w:val="6A271861"/>
    <w:multiLevelType w:val="multilevel"/>
    <w:tmpl w:val="1BD41194"/>
    <w:lvl w:ilvl="0">
      <w:start w:val="21"/>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BB64AD"/>
    <w:multiLevelType w:val="hybridMultilevel"/>
    <w:tmpl w:val="E14A689C"/>
    <w:lvl w:ilvl="0" w:tplc="067870FC">
      <w:start w:val="2"/>
      <w:numFmt w:val="upperLetter"/>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0D85F6A"/>
    <w:multiLevelType w:val="hybridMultilevel"/>
    <w:tmpl w:val="AB44F480"/>
    <w:lvl w:ilvl="0" w:tplc="F648DF8E">
      <w:start w:val="1"/>
      <w:numFmt w:val="lowerRoman"/>
      <w:lvlText w:val="(%1)"/>
      <w:lvlJc w:val="left"/>
      <w:pPr>
        <w:ind w:left="1080" w:hanging="720"/>
      </w:pPr>
      <w:rPr>
        <w:rFonts w:ascii="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728C386F"/>
    <w:multiLevelType w:val="multilevel"/>
    <w:tmpl w:val="A6F2FA68"/>
    <w:lvl w:ilvl="0">
      <w:start w:val="1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1146" w:hanging="720"/>
      </w:pPr>
      <w:rPr>
        <w:rFonts w:hint="default"/>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95C0E6E"/>
    <w:multiLevelType w:val="multilevel"/>
    <w:tmpl w:val="92B6BBD8"/>
    <w:lvl w:ilvl="0">
      <w:start w:val="1"/>
      <w:numFmt w:val="decimal"/>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6"/>
  </w:num>
  <w:num w:numId="3">
    <w:abstractNumId w:val="13"/>
  </w:num>
  <w:num w:numId="4">
    <w:abstractNumId w:val="23"/>
  </w:num>
  <w:num w:numId="5">
    <w:abstractNumId w:val="7"/>
  </w:num>
  <w:num w:numId="6">
    <w:abstractNumId w:val="17"/>
  </w:num>
  <w:num w:numId="7">
    <w:abstractNumId w:val="26"/>
    <w:lvlOverride w:ilvl="0">
      <w:startOverride w:val="1"/>
    </w:lvlOverride>
  </w:num>
  <w:num w:numId="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8"/>
  </w:num>
  <w:num w:numId="12">
    <w:abstractNumId w:val="5"/>
  </w:num>
  <w:num w:numId="13">
    <w:abstractNumId w:val="31"/>
  </w:num>
  <w:num w:numId="14">
    <w:abstractNumId w:val="24"/>
  </w:num>
  <w:num w:numId="15">
    <w:abstractNumId w:val="16"/>
  </w:num>
  <w:num w:numId="16">
    <w:abstractNumId w:val="9"/>
  </w:num>
  <w:num w:numId="17">
    <w:abstractNumId w:val="19"/>
  </w:num>
  <w:num w:numId="18">
    <w:abstractNumId w:val="32"/>
  </w:num>
  <w:num w:numId="19">
    <w:abstractNumId w:val="11"/>
  </w:num>
  <w:num w:numId="20">
    <w:abstractNumId w:val="25"/>
  </w:num>
  <w:num w:numId="21">
    <w:abstractNumId w:val="3"/>
  </w:num>
  <w:num w:numId="22">
    <w:abstractNumId w:val="1"/>
  </w:num>
  <w:num w:numId="23">
    <w:abstractNumId w:val="18"/>
  </w:num>
  <w:num w:numId="24">
    <w:abstractNumId w:val="21"/>
  </w:num>
  <w:num w:numId="25">
    <w:abstractNumId w:val="10"/>
  </w:num>
  <w:num w:numId="26">
    <w:abstractNumId w:val="4"/>
  </w:num>
  <w:num w:numId="27">
    <w:abstractNumId w:val="20"/>
  </w:num>
  <w:num w:numId="28">
    <w:abstractNumId w:val="2"/>
  </w:num>
  <w:num w:numId="29">
    <w:abstractNumId w:val="15"/>
  </w:num>
  <w:num w:numId="30">
    <w:abstractNumId w:val="30"/>
  </w:num>
  <w:num w:numId="31">
    <w:abstractNumId w:val="14"/>
  </w:num>
  <w:num w:numId="32">
    <w:abstractNumId w:val="27"/>
  </w:num>
  <w:num w:numId="33">
    <w:abstractNumId w:val="0"/>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1425B"/>
    <w:rsid w:val="000158CB"/>
    <w:rsid w:val="00025B77"/>
    <w:rsid w:val="0003171B"/>
    <w:rsid w:val="00041FF1"/>
    <w:rsid w:val="00042A7C"/>
    <w:rsid w:val="000570C4"/>
    <w:rsid w:val="00060B61"/>
    <w:rsid w:val="0007222B"/>
    <w:rsid w:val="000758A2"/>
    <w:rsid w:val="00076D42"/>
    <w:rsid w:val="00084326"/>
    <w:rsid w:val="0009501D"/>
    <w:rsid w:val="0009630C"/>
    <w:rsid w:val="000A414B"/>
    <w:rsid w:val="000A6CBA"/>
    <w:rsid w:val="000B002E"/>
    <w:rsid w:val="000B6C7F"/>
    <w:rsid w:val="000B7EA0"/>
    <w:rsid w:val="000C0906"/>
    <w:rsid w:val="000C15EF"/>
    <w:rsid w:val="000C634A"/>
    <w:rsid w:val="000D0BB4"/>
    <w:rsid w:val="000D5C48"/>
    <w:rsid w:val="000E308E"/>
    <w:rsid w:val="000E60F7"/>
    <w:rsid w:val="000E7735"/>
    <w:rsid w:val="000F7F2A"/>
    <w:rsid w:val="00103103"/>
    <w:rsid w:val="001036A2"/>
    <w:rsid w:val="00105798"/>
    <w:rsid w:val="00127DEF"/>
    <w:rsid w:val="0013270B"/>
    <w:rsid w:val="001344D6"/>
    <w:rsid w:val="00140A3A"/>
    <w:rsid w:val="00150BBC"/>
    <w:rsid w:val="0015189E"/>
    <w:rsid w:val="001542AD"/>
    <w:rsid w:val="00172A78"/>
    <w:rsid w:val="00180828"/>
    <w:rsid w:val="001836C2"/>
    <w:rsid w:val="00191B34"/>
    <w:rsid w:val="00193C9D"/>
    <w:rsid w:val="00195267"/>
    <w:rsid w:val="00196C4F"/>
    <w:rsid w:val="001979B2"/>
    <w:rsid w:val="001A0043"/>
    <w:rsid w:val="001A0C82"/>
    <w:rsid w:val="001C3125"/>
    <w:rsid w:val="001D63F1"/>
    <w:rsid w:val="001E46B7"/>
    <w:rsid w:val="002037A7"/>
    <w:rsid w:val="002041F9"/>
    <w:rsid w:val="0021262A"/>
    <w:rsid w:val="002218E8"/>
    <w:rsid w:val="00224A99"/>
    <w:rsid w:val="002304AE"/>
    <w:rsid w:val="002330BB"/>
    <w:rsid w:val="00236B47"/>
    <w:rsid w:val="00236C1E"/>
    <w:rsid w:val="00240FE4"/>
    <w:rsid w:val="00241648"/>
    <w:rsid w:val="00243B2F"/>
    <w:rsid w:val="0024506D"/>
    <w:rsid w:val="002547D0"/>
    <w:rsid w:val="00255CAC"/>
    <w:rsid w:val="00256765"/>
    <w:rsid w:val="002609AA"/>
    <w:rsid w:val="00260F7F"/>
    <w:rsid w:val="00262E27"/>
    <w:rsid w:val="002838DC"/>
    <w:rsid w:val="0028602A"/>
    <w:rsid w:val="002935F8"/>
    <w:rsid w:val="00294FA6"/>
    <w:rsid w:val="002A4024"/>
    <w:rsid w:val="002C2E70"/>
    <w:rsid w:val="002C3A11"/>
    <w:rsid w:val="002C4D76"/>
    <w:rsid w:val="002C6EFA"/>
    <w:rsid w:val="002C7992"/>
    <w:rsid w:val="002D66C3"/>
    <w:rsid w:val="002D713A"/>
    <w:rsid w:val="002E6491"/>
    <w:rsid w:val="002F018B"/>
    <w:rsid w:val="002F4B8C"/>
    <w:rsid w:val="003005A8"/>
    <w:rsid w:val="00302FB4"/>
    <w:rsid w:val="00306F7A"/>
    <w:rsid w:val="00313C37"/>
    <w:rsid w:val="003202CE"/>
    <w:rsid w:val="00325C5E"/>
    <w:rsid w:val="00326DA9"/>
    <w:rsid w:val="00331632"/>
    <w:rsid w:val="00356B93"/>
    <w:rsid w:val="0036667B"/>
    <w:rsid w:val="00372077"/>
    <w:rsid w:val="0037244C"/>
    <w:rsid w:val="00380184"/>
    <w:rsid w:val="00386E3D"/>
    <w:rsid w:val="00397C70"/>
    <w:rsid w:val="003A7FB4"/>
    <w:rsid w:val="003B03C5"/>
    <w:rsid w:val="003B4634"/>
    <w:rsid w:val="003C0927"/>
    <w:rsid w:val="003C10B6"/>
    <w:rsid w:val="003C20BD"/>
    <w:rsid w:val="003C3EAA"/>
    <w:rsid w:val="003D23FD"/>
    <w:rsid w:val="003E1FAF"/>
    <w:rsid w:val="003E43B4"/>
    <w:rsid w:val="003E5E42"/>
    <w:rsid w:val="003E61C6"/>
    <w:rsid w:val="003F5400"/>
    <w:rsid w:val="004050C4"/>
    <w:rsid w:val="004169E2"/>
    <w:rsid w:val="004176C5"/>
    <w:rsid w:val="00427D9D"/>
    <w:rsid w:val="00431CA5"/>
    <w:rsid w:val="00445F85"/>
    <w:rsid w:val="00446C90"/>
    <w:rsid w:val="00455960"/>
    <w:rsid w:val="004635BC"/>
    <w:rsid w:val="004708C3"/>
    <w:rsid w:val="004839CA"/>
    <w:rsid w:val="00486EC1"/>
    <w:rsid w:val="00491D5D"/>
    <w:rsid w:val="00494432"/>
    <w:rsid w:val="00497D24"/>
    <w:rsid w:val="004B0CFC"/>
    <w:rsid w:val="004B6920"/>
    <w:rsid w:val="004C0AF2"/>
    <w:rsid w:val="004C2964"/>
    <w:rsid w:val="004C6D22"/>
    <w:rsid w:val="004C76CA"/>
    <w:rsid w:val="004D2502"/>
    <w:rsid w:val="004F1152"/>
    <w:rsid w:val="004F1A92"/>
    <w:rsid w:val="00501EFC"/>
    <w:rsid w:val="00517084"/>
    <w:rsid w:val="005245AC"/>
    <w:rsid w:val="00532F04"/>
    <w:rsid w:val="00541BFD"/>
    <w:rsid w:val="00556602"/>
    <w:rsid w:val="0056068D"/>
    <w:rsid w:val="005723F5"/>
    <w:rsid w:val="00580F5E"/>
    <w:rsid w:val="00583433"/>
    <w:rsid w:val="005902A0"/>
    <w:rsid w:val="00590B66"/>
    <w:rsid w:val="00597D85"/>
    <w:rsid w:val="005A0E95"/>
    <w:rsid w:val="005B0F48"/>
    <w:rsid w:val="005B3A3D"/>
    <w:rsid w:val="005D1AB4"/>
    <w:rsid w:val="005D2079"/>
    <w:rsid w:val="005D2A40"/>
    <w:rsid w:val="005D3C8C"/>
    <w:rsid w:val="005E0C6E"/>
    <w:rsid w:val="005F5A49"/>
    <w:rsid w:val="00601256"/>
    <w:rsid w:val="00616289"/>
    <w:rsid w:val="00635E6C"/>
    <w:rsid w:val="00660BB6"/>
    <w:rsid w:val="00661BC5"/>
    <w:rsid w:val="00670ABF"/>
    <w:rsid w:val="00671AFE"/>
    <w:rsid w:val="006723E5"/>
    <w:rsid w:val="00681DB3"/>
    <w:rsid w:val="006863D1"/>
    <w:rsid w:val="00692601"/>
    <w:rsid w:val="006935BD"/>
    <w:rsid w:val="00695026"/>
    <w:rsid w:val="0069669B"/>
    <w:rsid w:val="006966AF"/>
    <w:rsid w:val="006B068E"/>
    <w:rsid w:val="006C09FF"/>
    <w:rsid w:val="006C23A6"/>
    <w:rsid w:val="006C521A"/>
    <w:rsid w:val="006C6E4C"/>
    <w:rsid w:val="006D7479"/>
    <w:rsid w:val="006F03EA"/>
    <w:rsid w:val="00702888"/>
    <w:rsid w:val="007072B0"/>
    <w:rsid w:val="00710BF8"/>
    <w:rsid w:val="00725D67"/>
    <w:rsid w:val="00733DEF"/>
    <w:rsid w:val="0073761C"/>
    <w:rsid w:val="00740A79"/>
    <w:rsid w:val="00741EE2"/>
    <w:rsid w:val="00753410"/>
    <w:rsid w:val="00761670"/>
    <w:rsid w:val="00761E1B"/>
    <w:rsid w:val="00763707"/>
    <w:rsid w:val="0076623B"/>
    <w:rsid w:val="00766253"/>
    <w:rsid w:val="00772779"/>
    <w:rsid w:val="00783473"/>
    <w:rsid w:val="007A62AA"/>
    <w:rsid w:val="007C15B4"/>
    <w:rsid w:val="007C6CDC"/>
    <w:rsid w:val="007C7B29"/>
    <w:rsid w:val="007D1483"/>
    <w:rsid w:val="007D7805"/>
    <w:rsid w:val="007D7A7B"/>
    <w:rsid w:val="007D7ED2"/>
    <w:rsid w:val="007E31E5"/>
    <w:rsid w:val="007E48CA"/>
    <w:rsid w:val="007F6C6D"/>
    <w:rsid w:val="00803547"/>
    <w:rsid w:val="0080427E"/>
    <w:rsid w:val="008059B3"/>
    <w:rsid w:val="008121FC"/>
    <w:rsid w:val="00815211"/>
    <w:rsid w:val="00815D84"/>
    <w:rsid w:val="00816A3A"/>
    <w:rsid w:val="008305C1"/>
    <w:rsid w:val="00832CAE"/>
    <w:rsid w:val="00836F6B"/>
    <w:rsid w:val="008407A0"/>
    <w:rsid w:val="00841EC8"/>
    <w:rsid w:val="008428E9"/>
    <w:rsid w:val="00850C65"/>
    <w:rsid w:val="008538BA"/>
    <w:rsid w:val="008542F6"/>
    <w:rsid w:val="00861846"/>
    <w:rsid w:val="00865A65"/>
    <w:rsid w:val="00875122"/>
    <w:rsid w:val="00883021"/>
    <w:rsid w:val="00885951"/>
    <w:rsid w:val="0088615A"/>
    <w:rsid w:val="0088657B"/>
    <w:rsid w:val="008933AD"/>
    <w:rsid w:val="0089485F"/>
    <w:rsid w:val="00895BF2"/>
    <w:rsid w:val="008A08AA"/>
    <w:rsid w:val="008A6F81"/>
    <w:rsid w:val="008A6FAB"/>
    <w:rsid w:val="008B111E"/>
    <w:rsid w:val="008B2F1B"/>
    <w:rsid w:val="008B573E"/>
    <w:rsid w:val="008B7FA9"/>
    <w:rsid w:val="008C08BC"/>
    <w:rsid w:val="008C79F4"/>
    <w:rsid w:val="008D2D50"/>
    <w:rsid w:val="008E0AA9"/>
    <w:rsid w:val="008E3308"/>
    <w:rsid w:val="008E6B70"/>
    <w:rsid w:val="008E6DEB"/>
    <w:rsid w:val="008F4208"/>
    <w:rsid w:val="00904DE7"/>
    <w:rsid w:val="009255BF"/>
    <w:rsid w:val="0093092C"/>
    <w:rsid w:val="00932914"/>
    <w:rsid w:val="00942D76"/>
    <w:rsid w:val="00955A51"/>
    <w:rsid w:val="009626D8"/>
    <w:rsid w:val="00973717"/>
    <w:rsid w:val="00976355"/>
    <w:rsid w:val="009872A0"/>
    <w:rsid w:val="00987FA6"/>
    <w:rsid w:val="009921D1"/>
    <w:rsid w:val="009A447A"/>
    <w:rsid w:val="009A4932"/>
    <w:rsid w:val="009A549E"/>
    <w:rsid w:val="009A5F94"/>
    <w:rsid w:val="009A7845"/>
    <w:rsid w:val="009B225E"/>
    <w:rsid w:val="009B66D9"/>
    <w:rsid w:val="009C3738"/>
    <w:rsid w:val="009D108A"/>
    <w:rsid w:val="009D4C03"/>
    <w:rsid w:val="009E2BF6"/>
    <w:rsid w:val="009E5604"/>
    <w:rsid w:val="009F4281"/>
    <w:rsid w:val="009F4EE1"/>
    <w:rsid w:val="009F5589"/>
    <w:rsid w:val="00A02D84"/>
    <w:rsid w:val="00A03983"/>
    <w:rsid w:val="00A20606"/>
    <w:rsid w:val="00A20F18"/>
    <w:rsid w:val="00A23412"/>
    <w:rsid w:val="00A23DC5"/>
    <w:rsid w:val="00A32D40"/>
    <w:rsid w:val="00A34780"/>
    <w:rsid w:val="00A4026D"/>
    <w:rsid w:val="00A4420A"/>
    <w:rsid w:val="00A5119F"/>
    <w:rsid w:val="00A66659"/>
    <w:rsid w:val="00A668E2"/>
    <w:rsid w:val="00A66D13"/>
    <w:rsid w:val="00A836C9"/>
    <w:rsid w:val="00A90CC0"/>
    <w:rsid w:val="00A94EA8"/>
    <w:rsid w:val="00AA103C"/>
    <w:rsid w:val="00AA32B9"/>
    <w:rsid w:val="00AB58FF"/>
    <w:rsid w:val="00AC0744"/>
    <w:rsid w:val="00AE04F6"/>
    <w:rsid w:val="00AE4588"/>
    <w:rsid w:val="00AF591E"/>
    <w:rsid w:val="00AF7A64"/>
    <w:rsid w:val="00B00266"/>
    <w:rsid w:val="00B00868"/>
    <w:rsid w:val="00B23488"/>
    <w:rsid w:val="00B31DCB"/>
    <w:rsid w:val="00B41FA7"/>
    <w:rsid w:val="00B45424"/>
    <w:rsid w:val="00B566A6"/>
    <w:rsid w:val="00B664E4"/>
    <w:rsid w:val="00B83CB1"/>
    <w:rsid w:val="00B84A11"/>
    <w:rsid w:val="00B95DB4"/>
    <w:rsid w:val="00B974CD"/>
    <w:rsid w:val="00BA3936"/>
    <w:rsid w:val="00BA70D6"/>
    <w:rsid w:val="00BB0D14"/>
    <w:rsid w:val="00BC0E0C"/>
    <w:rsid w:val="00BC5FD2"/>
    <w:rsid w:val="00BD71C5"/>
    <w:rsid w:val="00BE4531"/>
    <w:rsid w:val="00BE79D4"/>
    <w:rsid w:val="00C0098A"/>
    <w:rsid w:val="00C013BF"/>
    <w:rsid w:val="00C20C74"/>
    <w:rsid w:val="00C2503A"/>
    <w:rsid w:val="00C360F3"/>
    <w:rsid w:val="00C40A1E"/>
    <w:rsid w:val="00C50021"/>
    <w:rsid w:val="00C536AF"/>
    <w:rsid w:val="00C542CD"/>
    <w:rsid w:val="00C73445"/>
    <w:rsid w:val="00C874A8"/>
    <w:rsid w:val="00C90535"/>
    <w:rsid w:val="00C94B71"/>
    <w:rsid w:val="00CC1E2D"/>
    <w:rsid w:val="00CC3874"/>
    <w:rsid w:val="00CD3272"/>
    <w:rsid w:val="00CD7933"/>
    <w:rsid w:val="00CE0D33"/>
    <w:rsid w:val="00CE1295"/>
    <w:rsid w:val="00CE5C7A"/>
    <w:rsid w:val="00CE6225"/>
    <w:rsid w:val="00CE62BE"/>
    <w:rsid w:val="00CE7A76"/>
    <w:rsid w:val="00CE7FF9"/>
    <w:rsid w:val="00CF0910"/>
    <w:rsid w:val="00CF4F09"/>
    <w:rsid w:val="00CF5E06"/>
    <w:rsid w:val="00CF6901"/>
    <w:rsid w:val="00D01D85"/>
    <w:rsid w:val="00D06F65"/>
    <w:rsid w:val="00D07FE9"/>
    <w:rsid w:val="00D10302"/>
    <w:rsid w:val="00D20549"/>
    <w:rsid w:val="00D2127F"/>
    <w:rsid w:val="00D25C3A"/>
    <w:rsid w:val="00D3477B"/>
    <w:rsid w:val="00D37A0E"/>
    <w:rsid w:val="00D42307"/>
    <w:rsid w:val="00D43CA8"/>
    <w:rsid w:val="00D55F6F"/>
    <w:rsid w:val="00D6227D"/>
    <w:rsid w:val="00D7720B"/>
    <w:rsid w:val="00D77930"/>
    <w:rsid w:val="00D8493C"/>
    <w:rsid w:val="00D94D69"/>
    <w:rsid w:val="00D968A6"/>
    <w:rsid w:val="00DA2F78"/>
    <w:rsid w:val="00DB7166"/>
    <w:rsid w:val="00DC31E9"/>
    <w:rsid w:val="00DE4E65"/>
    <w:rsid w:val="00DF073E"/>
    <w:rsid w:val="00DF5E59"/>
    <w:rsid w:val="00E01634"/>
    <w:rsid w:val="00E02231"/>
    <w:rsid w:val="00E340DD"/>
    <w:rsid w:val="00E341B5"/>
    <w:rsid w:val="00E35139"/>
    <w:rsid w:val="00E379BB"/>
    <w:rsid w:val="00E52AC6"/>
    <w:rsid w:val="00E60C37"/>
    <w:rsid w:val="00E62A86"/>
    <w:rsid w:val="00E6771B"/>
    <w:rsid w:val="00E74988"/>
    <w:rsid w:val="00E83C36"/>
    <w:rsid w:val="00E86372"/>
    <w:rsid w:val="00E904CD"/>
    <w:rsid w:val="00E9525C"/>
    <w:rsid w:val="00EA78C2"/>
    <w:rsid w:val="00EB11FB"/>
    <w:rsid w:val="00EB1C99"/>
    <w:rsid w:val="00EC2F13"/>
    <w:rsid w:val="00EC593A"/>
    <w:rsid w:val="00EC71E8"/>
    <w:rsid w:val="00EE14B5"/>
    <w:rsid w:val="00EE53F5"/>
    <w:rsid w:val="00EE686C"/>
    <w:rsid w:val="00EE7EFA"/>
    <w:rsid w:val="00EF2434"/>
    <w:rsid w:val="00F05E06"/>
    <w:rsid w:val="00F12927"/>
    <w:rsid w:val="00F13A68"/>
    <w:rsid w:val="00F14274"/>
    <w:rsid w:val="00F50020"/>
    <w:rsid w:val="00F53167"/>
    <w:rsid w:val="00F624C3"/>
    <w:rsid w:val="00F7278B"/>
    <w:rsid w:val="00F73953"/>
    <w:rsid w:val="00F80F31"/>
    <w:rsid w:val="00F834BA"/>
    <w:rsid w:val="00FA2EA9"/>
    <w:rsid w:val="00FB3A21"/>
    <w:rsid w:val="00FB7F28"/>
    <w:rsid w:val="00FC38D6"/>
    <w:rsid w:val="00FD2399"/>
    <w:rsid w:val="00FE1197"/>
    <w:rsid w:val="00FE65EC"/>
    <w:rsid w:val="00FF5CB8"/>
    <w:rsid w:val="00FF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link w:val="ListParagraphChar"/>
    <w:uiPriority w:val="34"/>
    <w:qFormat/>
    <w:rsid w:val="00BA70D6"/>
    <w:pPr>
      <w:ind w:left="720"/>
      <w:contextualSpacing/>
    </w:pPr>
  </w:style>
  <w:style w:type="table" w:styleId="TableGrid">
    <w:name w:val="Table Grid"/>
    <w:basedOn w:val="TableNormal"/>
    <w:uiPriority w:val="5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6"/>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link w:val="ListParagraph"/>
    <w:uiPriority w:val="34"/>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4C29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62A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62A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1628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link w:val="ListParagraphChar"/>
    <w:uiPriority w:val="34"/>
    <w:qFormat/>
    <w:rsid w:val="00BA70D6"/>
    <w:pPr>
      <w:ind w:left="720"/>
      <w:contextualSpacing/>
    </w:pPr>
  </w:style>
  <w:style w:type="table" w:styleId="TableGrid">
    <w:name w:val="Table Grid"/>
    <w:basedOn w:val="TableNormal"/>
    <w:uiPriority w:val="5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6"/>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link w:val="ListParagraph"/>
    <w:uiPriority w:val="34"/>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4C29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62A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62A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1628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1171">
      <w:bodyDiv w:val="1"/>
      <w:marLeft w:val="0"/>
      <w:marRight w:val="0"/>
      <w:marTop w:val="0"/>
      <w:marBottom w:val="0"/>
      <w:divBdr>
        <w:top w:val="none" w:sz="0" w:space="0" w:color="auto"/>
        <w:left w:val="none" w:sz="0" w:space="0" w:color="auto"/>
        <w:bottom w:val="none" w:sz="0" w:space="0" w:color="auto"/>
        <w:right w:val="none" w:sz="0" w:space="0" w:color="auto"/>
      </w:divBdr>
    </w:div>
    <w:div w:id="97406289">
      <w:bodyDiv w:val="1"/>
      <w:marLeft w:val="0"/>
      <w:marRight w:val="0"/>
      <w:marTop w:val="0"/>
      <w:marBottom w:val="0"/>
      <w:divBdr>
        <w:top w:val="none" w:sz="0" w:space="0" w:color="auto"/>
        <w:left w:val="none" w:sz="0" w:space="0" w:color="auto"/>
        <w:bottom w:val="none" w:sz="0" w:space="0" w:color="auto"/>
        <w:right w:val="none" w:sz="0" w:space="0" w:color="auto"/>
      </w:divBdr>
    </w:div>
    <w:div w:id="136998757">
      <w:bodyDiv w:val="1"/>
      <w:marLeft w:val="0"/>
      <w:marRight w:val="0"/>
      <w:marTop w:val="0"/>
      <w:marBottom w:val="0"/>
      <w:divBdr>
        <w:top w:val="none" w:sz="0" w:space="0" w:color="auto"/>
        <w:left w:val="none" w:sz="0" w:space="0" w:color="auto"/>
        <w:bottom w:val="none" w:sz="0" w:space="0" w:color="auto"/>
        <w:right w:val="none" w:sz="0" w:space="0" w:color="auto"/>
      </w:divBdr>
    </w:div>
    <w:div w:id="172116563">
      <w:bodyDiv w:val="1"/>
      <w:marLeft w:val="0"/>
      <w:marRight w:val="0"/>
      <w:marTop w:val="0"/>
      <w:marBottom w:val="0"/>
      <w:divBdr>
        <w:top w:val="none" w:sz="0" w:space="0" w:color="auto"/>
        <w:left w:val="none" w:sz="0" w:space="0" w:color="auto"/>
        <w:bottom w:val="none" w:sz="0" w:space="0" w:color="auto"/>
        <w:right w:val="none" w:sz="0" w:space="0" w:color="auto"/>
      </w:divBdr>
    </w:div>
    <w:div w:id="283779555">
      <w:bodyDiv w:val="1"/>
      <w:marLeft w:val="0"/>
      <w:marRight w:val="0"/>
      <w:marTop w:val="0"/>
      <w:marBottom w:val="0"/>
      <w:divBdr>
        <w:top w:val="none" w:sz="0" w:space="0" w:color="auto"/>
        <w:left w:val="none" w:sz="0" w:space="0" w:color="auto"/>
        <w:bottom w:val="none" w:sz="0" w:space="0" w:color="auto"/>
        <w:right w:val="none" w:sz="0" w:space="0" w:color="auto"/>
      </w:divBdr>
    </w:div>
    <w:div w:id="346099970">
      <w:bodyDiv w:val="1"/>
      <w:marLeft w:val="0"/>
      <w:marRight w:val="0"/>
      <w:marTop w:val="0"/>
      <w:marBottom w:val="0"/>
      <w:divBdr>
        <w:top w:val="none" w:sz="0" w:space="0" w:color="auto"/>
        <w:left w:val="none" w:sz="0" w:space="0" w:color="auto"/>
        <w:bottom w:val="none" w:sz="0" w:space="0" w:color="auto"/>
        <w:right w:val="none" w:sz="0" w:space="0" w:color="auto"/>
      </w:divBdr>
    </w:div>
    <w:div w:id="365563416">
      <w:bodyDiv w:val="1"/>
      <w:marLeft w:val="0"/>
      <w:marRight w:val="0"/>
      <w:marTop w:val="0"/>
      <w:marBottom w:val="0"/>
      <w:divBdr>
        <w:top w:val="none" w:sz="0" w:space="0" w:color="auto"/>
        <w:left w:val="none" w:sz="0" w:space="0" w:color="auto"/>
        <w:bottom w:val="none" w:sz="0" w:space="0" w:color="auto"/>
        <w:right w:val="none" w:sz="0" w:space="0" w:color="auto"/>
      </w:divBdr>
    </w:div>
    <w:div w:id="490484954">
      <w:bodyDiv w:val="1"/>
      <w:marLeft w:val="0"/>
      <w:marRight w:val="0"/>
      <w:marTop w:val="0"/>
      <w:marBottom w:val="0"/>
      <w:divBdr>
        <w:top w:val="none" w:sz="0" w:space="0" w:color="auto"/>
        <w:left w:val="none" w:sz="0" w:space="0" w:color="auto"/>
        <w:bottom w:val="none" w:sz="0" w:space="0" w:color="auto"/>
        <w:right w:val="none" w:sz="0" w:space="0" w:color="auto"/>
      </w:divBdr>
    </w:div>
    <w:div w:id="496001927">
      <w:bodyDiv w:val="1"/>
      <w:marLeft w:val="0"/>
      <w:marRight w:val="0"/>
      <w:marTop w:val="0"/>
      <w:marBottom w:val="0"/>
      <w:divBdr>
        <w:top w:val="none" w:sz="0" w:space="0" w:color="auto"/>
        <w:left w:val="none" w:sz="0" w:space="0" w:color="auto"/>
        <w:bottom w:val="none" w:sz="0" w:space="0" w:color="auto"/>
        <w:right w:val="none" w:sz="0" w:space="0" w:color="auto"/>
      </w:divBdr>
    </w:div>
    <w:div w:id="557860617">
      <w:bodyDiv w:val="1"/>
      <w:marLeft w:val="0"/>
      <w:marRight w:val="0"/>
      <w:marTop w:val="0"/>
      <w:marBottom w:val="0"/>
      <w:divBdr>
        <w:top w:val="none" w:sz="0" w:space="0" w:color="auto"/>
        <w:left w:val="none" w:sz="0" w:space="0" w:color="auto"/>
        <w:bottom w:val="none" w:sz="0" w:space="0" w:color="auto"/>
        <w:right w:val="none" w:sz="0" w:space="0" w:color="auto"/>
      </w:divBdr>
    </w:div>
    <w:div w:id="621838223">
      <w:bodyDiv w:val="1"/>
      <w:marLeft w:val="0"/>
      <w:marRight w:val="0"/>
      <w:marTop w:val="0"/>
      <w:marBottom w:val="0"/>
      <w:divBdr>
        <w:top w:val="none" w:sz="0" w:space="0" w:color="auto"/>
        <w:left w:val="none" w:sz="0" w:space="0" w:color="auto"/>
        <w:bottom w:val="none" w:sz="0" w:space="0" w:color="auto"/>
        <w:right w:val="none" w:sz="0" w:space="0" w:color="auto"/>
      </w:divBdr>
    </w:div>
    <w:div w:id="650066331">
      <w:bodyDiv w:val="1"/>
      <w:marLeft w:val="0"/>
      <w:marRight w:val="0"/>
      <w:marTop w:val="0"/>
      <w:marBottom w:val="0"/>
      <w:divBdr>
        <w:top w:val="none" w:sz="0" w:space="0" w:color="auto"/>
        <w:left w:val="none" w:sz="0" w:space="0" w:color="auto"/>
        <w:bottom w:val="none" w:sz="0" w:space="0" w:color="auto"/>
        <w:right w:val="none" w:sz="0" w:space="0" w:color="auto"/>
      </w:divBdr>
    </w:div>
    <w:div w:id="733356655">
      <w:bodyDiv w:val="1"/>
      <w:marLeft w:val="0"/>
      <w:marRight w:val="0"/>
      <w:marTop w:val="0"/>
      <w:marBottom w:val="0"/>
      <w:divBdr>
        <w:top w:val="none" w:sz="0" w:space="0" w:color="auto"/>
        <w:left w:val="none" w:sz="0" w:space="0" w:color="auto"/>
        <w:bottom w:val="none" w:sz="0" w:space="0" w:color="auto"/>
        <w:right w:val="none" w:sz="0" w:space="0" w:color="auto"/>
      </w:divBdr>
    </w:div>
    <w:div w:id="815684690">
      <w:bodyDiv w:val="1"/>
      <w:marLeft w:val="0"/>
      <w:marRight w:val="0"/>
      <w:marTop w:val="0"/>
      <w:marBottom w:val="0"/>
      <w:divBdr>
        <w:top w:val="none" w:sz="0" w:space="0" w:color="auto"/>
        <w:left w:val="none" w:sz="0" w:space="0" w:color="auto"/>
        <w:bottom w:val="none" w:sz="0" w:space="0" w:color="auto"/>
        <w:right w:val="none" w:sz="0" w:space="0" w:color="auto"/>
      </w:divBdr>
    </w:div>
    <w:div w:id="943001323">
      <w:bodyDiv w:val="1"/>
      <w:marLeft w:val="0"/>
      <w:marRight w:val="0"/>
      <w:marTop w:val="0"/>
      <w:marBottom w:val="0"/>
      <w:divBdr>
        <w:top w:val="none" w:sz="0" w:space="0" w:color="auto"/>
        <w:left w:val="none" w:sz="0" w:space="0" w:color="auto"/>
        <w:bottom w:val="none" w:sz="0" w:space="0" w:color="auto"/>
        <w:right w:val="none" w:sz="0" w:space="0" w:color="auto"/>
      </w:divBdr>
    </w:div>
    <w:div w:id="947394845">
      <w:bodyDiv w:val="1"/>
      <w:marLeft w:val="0"/>
      <w:marRight w:val="0"/>
      <w:marTop w:val="0"/>
      <w:marBottom w:val="0"/>
      <w:divBdr>
        <w:top w:val="none" w:sz="0" w:space="0" w:color="auto"/>
        <w:left w:val="none" w:sz="0" w:space="0" w:color="auto"/>
        <w:bottom w:val="none" w:sz="0" w:space="0" w:color="auto"/>
        <w:right w:val="none" w:sz="0" w:space="0" w:color="auto"/>
      </w:divBdr>
    </w:div>
    <w:div w:id="1001741536">
      <w:bodyDiv w:val="1"/>
      <w:marLeft w:val="0"/>
      <w:marRight w:val="0"/>
      <w:marTop w:val="0"/>
      <w:marBottom w:val="0"/>
      <w:divBdr>
        <w:top w:val="none" w:sz="0" w:space="0" w:color="auto"/>
        <w:left w:val="none" w:sz="0" w:space="0" w:color="auto"/>
        <w:bottom w:val="none" w:sz="0" w:space="0" w:color="auto"/>
        <w:right w:val="none" w:sz="0" w:space="0" w:color="auto"/>
      </w:divBdr>
    </w:div>
    <w:div w:id="1102653609">
      <w:bodyDiv w:val="1"/>
      <w:marLeft w:val="0"/>
      <w:marRight w:val="0"/>
      <w:marTop w:val="0"/>
      <w:marBottom w:val="0"/>
      <w:divBdr>
        <w:top w:val="none" w:sz="0" w:space="0" w:color="auto"/>
        <w:left w:val="none" w:sz="0" w:space="0" w:color="auto"/>
        <w:bottom w:val="none" w:sz="0" w:space="0" w:color="auto"/>
        <w:right w:val="none" w:sz="0" w:space="0" w:color="auto"/>
      </w:divBdr>
    </w:div>
    <w:div w:id="1234393083">
      <w:marLeft w:val="0"/>
      <w:marRight w:val="0"/>
      <w:marTop w:val="0"/>
      <w:marBottom w:val="0"/>
      <w:divBdr>
        <w:top w:val="none" w:sz="0" w:space="0" w:color="auto"/>
        <w:left w:val="none" w:sz="0" w:space="0" w:color="auto"/>
        <w:bottom w:val="none" w:sz="0" w:space="0" w:color="auto"/>
        <w:right w:val="none" w:sz="0" w:space="0" w:color="auto"/>
      </w:divBdr>
    </w:div>
    <w:div w:id="1243105366">
      <w:bodyDiv w:val="1"/>
      <w:marLeft w:val="0"/>
      <w:marRight w:val="0"/>
      <w:marTop w:val="0"/>
      <w:marBottom w:val="0"/>
      <w:divBdr>
        <w:top w:val="none" w:sz="0" w:space="0" w:color="auto"/>
        <w:left w:val="none" w:sz="0" w:space="0" w:color="auto"/>
        <w:bottom w:val="none" w:sz="0" w:space="0" w:color="auto"/>
        <w:right w:val="none" w:sz="0" w:space="0" w:color="auto"/>
      </w:divBdr>
    </w:div>
    <w:div w:id="1317077880">
      <w:bodyDiv w:val="1"/>
      <w:marLeft w:val="0"/>
      <w:marRight w:val="0"/>
      <w:marTop w:val="0"/>
      <w:marBottom w:val="0"/>
      <w:divBdr>
        <w:top w:val="none" w:sz="0" w:space="0" w:color="auto"/>
        <w:left w:val="none" w:sz="0" w:space="0" w:color="auto"/>
        <w:bottom w:val="none" w:sz="0" w:space="0" w:color="auto"/>
        <w:right w:val="none" w:sz="0" w:space="0" w:color="auto"/>
      </w:divBdr>
    </w:div>
    <w:div w:id="1323388723">
      <w:bodyDiv w:val="1"/>
      <w:marLeft w:val="0"/>
      <w:marRight w:val="0"/>
      <w:marTop w:val="0"/>
      <w:marBottom w:val="0"/>
      <w:divBdr>
        <w:top w:val="none" w:sz="0" w:space="0" w:color="auto"/>
        <w:left w:val="none" w:sz="0" w:space="0" w:color="auto"/>
        <w:bottom w:val="none" w:sz="0" w:space="0" w:color="auto"/>
        <w:right w:val="none" w:sz="0" w:space="0" w:color="auto"/>
      </w:divBdr>
    </w:div>
    <w:div w:id="1327632143">
      <w:bodyDiv w:val="1"/>
      <w:marLeft w:val="0"/>
      <w:marRight w:val="0"/>
      <w:marTop w:val="0"/>
      <w:marBottom w:val="0"/>
      <w:divBdr>
        <w:top w:val="none" w:sz="0" w:space="0" w:color="auto"/>
        <w:left w:val="none" w:sz="0" w:space="0" w:color="auto"/>
        <w:bottom w:val="none" w:sz="0" w:space="0" w:color="auto"/>
        <w:right w:val="none" w:sz="0" w:space="0" w:color="auto"/>
      </w:divBdr>
    </w:div>
    <w:div w:id="1638728754">
      <w:bodyDiv w:val="1"/>
      <w:marLeft w:val="0"/>
      <w:marRight w:val="0"/>
      <w:marTop w:val="0"/>
      <w:marBottom w:val="0"/>
      <w:divBdr>
        <w:top w:val="none" w:sz="0" w:space="0" w:color="auto"/>
        <w:left w:val="none" w:sz="0" w:space="0" w:color="auto"/>
        <w:bottom w:val="none" w:sz="0" w:space="0" w:color="auto"/>
        <w:right w:val="none" w:sz="0" w:space="0" w:color="auto"/>
      </w:divBdr>
    </w:div>
    <w:div w:id="1639719778">
      <w:bodyDiv w:val="1"/>
      <w:marLeft w:val="0"/>
      <w:marRight w:val="0"/>
      <w:marTop w:val="0"/>
      <w:marBottom w:val="0"/>
      <w:divBdr>
        <w:top w:val="none" w:sz="0" w:space="0" w:color="auto"/>
        <w:left w:val="none" w:sz="0" w:space="0" w:color="auto"/>
        <w:bottom w:val="none" w:sz="0" w:space="0" w:color="auto"/>
        <w:right w:val="none" w:sz="0" w:space="0" w:color="auto"/>
      </w:divBdr>
    </w:div>
    <w:div w:id="1730572903">
      <w:bodyDiv w:val="1"/>
      <w:marLeft w:val="0"/>
      <w:marRight w:val="0"/>
      <w:marTop w:val="0"/>
      <w:marBottom w:val="0"/>
      <w:divBdr>
        <w:top w:val="none" w:sz="0" w:space="0" w:color="auto"/>
        <w:left w:val="none" w:sz="0" w:space="0" w:color="auto"/>
        <w:bottom w:val="none" w:sz="0" w:space="0" w:color="auto"/>
        <w:right w:val="none" w:sz="0" w:space="0" w:color="auto"/>
      </w:divBdr>
    </w:div>
    <w:div w:id="1869758735">
      <w:bodyDiv w:val="1"/>
      <w:marLeft w:val="0"/>
      <w:marRight w:val="0"/>
      <w:marTop w:val="0"/>
      <w:marBottom w:val="0"/>
      <w:divBdr>
        <w:top w:val="none" w:sz="0" w:space="0" w:color="auto"/>
        <w:left w:val="none" w:sz="0" w:space="0" w:color="auto"/>
        <w:bottom w:val="none" w:sz="0" w:space="0" w:color="auto"/>
        <w:right w:val="none" w:sz="0" w:space="0" w:color="auto"/>
      </w:divBdr>
    </w:div>
    <w:div w:id="2011908425">
      <w:bodyDiv w:val="1"/>
      <w:marLeft w:val="0"/>
      <w:marRight w:val="0"/>
      <w:marTop w:val="0"/>
      <w:marBottom w:val="0"/>
      <w:divBdr>
        <w:top w:val="none" w:sz="0" w:space="0" w:color="auto"/>
        <w:left w:val="none" w:sz="0" w:space="0" w:color="auto"/>
        <w:bottom w:val="none" w:sz="0" w:space="0" w:color="auto"/>
        <w:right w:val="none" w:sz="0" w:space="0" w:color="auto"/>
      </w:divBdr>
    </w:div>
    <w:div w:id="2069692926">
      <w:bodyDiv w:val="1"/>
      <w:marLeft w:val="0"/>
      <w:marRight w:val="0"/>
      <w:marTop w:val="0"/>
      <w:marBottom w:val="0"/>
      <w:divBdr>
        <w:top w:val="none" w:sz="0" w:space="0" w:color="auto"/>
        <w:left w:val="none" w:sz="0" w:space="0" w:color="auto"/>
        <w:bottom w:val="none" w:sz="0" w:space="0" w:color="auto"/>
        <w:right w:val="none" w:sz="0" w:space="0" w:color="auto"/>
      </w:divBdr>
    </w:div>
    <w:div w:id="2136364461">
      <w:bodyDiv w:val="1"/>
      <w:marLeft w:val="0"/>
      <w:marRight w:val="0"/>
      <w:marTop w:val="0"/>
      <w:marBottom w:val="0"/>
      <w:divBdr>
        <w:top w:val="none" w:sz="0" w:space="0" w:color="auto"/>
        <w:left w:val="none" w:sz="0" w:space="0" w:color="auto"/>
        <w:bottom w:val="none" w:sz="0" w:space="0" w:color="auto"/>
        <w:right w:val="none" w:sz="0" w:space="0" w:color="auto"/>
      </w:divBdr>
    </w:div>
    <w:div w:id="214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hr.ac.uk/research-and-impact/nhs-research-performance/hra-approvals-and-nihr-metrics.htm" TargetMode="External"/><Relationship Id="rId18" Type="http://schemas.openxmlformats.org/officeDocument/2006/relationships/hyperlink" Target="https://www.england.nhs.uk/publication/improving-systems-for-cost-recovery-for-overseas-visitors/" TargetMode="External"/><Relationship Id="rId26" Type="http://schemas.openxmlformats.org/officeDocument/2006/relationships/header" Target="header1.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rcpch.ac.uk/resources/safeguarding-children-young-people-roles-competences-healthcare-staff" TargetMode="External"/><Relationship Id="rId34" Type="http://schemas.openxmlformats.org/officeDocument/2006/relationships/hyperlink" Target="https://www.england.nhs.uk/wp-content/uploads/2015/12/joint-technical-definitions-performance-activity.pdf" TargetMode="External"/><Relationship Id="rId7" Type="http://schemas.openxmlformats.org/officeDocument/2006/relationships/footnotes" Target="footnotes.xml"/><Relationship Id="rId12" Type="http://schemas.openxmlformats.org/officeDocument/2006/relationships/hyperlink" Target="https://digital.nhs.uk/services/the-challenging-burden-service/central-register-of-collections" TargetMode="External"/><Relationship Id="rId17" Type="http://schemas.openxmlformats.org/officeDocument/2006/relationships/hyperlink" Target="https://www.gov.uk/government/publications/the-nhs-choice-framework/the-nhs-choice-framework-what-choices-are-available-to-me-in-the-nhs" TargetMode="External"/><Relationship Id="rId25" Type="http://schemas.openxmlformats.org/officeDocument/2006/relationships/hyperlink" Target="https://www.england.nhs.uk/ourwork/futurenhs/deliver-forward-view/" TargetMode="External"/><Relationship Id="rId33" Type="http://schemas.openxmlformats.org/officeDocument/2006/relationships/hyperlink" Target="https://www.england.nhs.uk/statistics/wp-content/uploads/sites/2/2013/04/20170926-Ambulance-System-Indicators.docx"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improvement.nhs.uk/resources/never-events-policy-and-framework/" TargetMode="External"/><Relationship Id="rId20" Type="http://schemas.openxmlformats.org/officeDocument/2006/relationships/hyperlink" Target="https://www.gov.uk/government/uploads/system/uploads/attachment_data/file/315993/Care-Act-Guidance.pdf"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yperlink" Target="http://www.legislation.gov.uk/ukpga/1998/29/schedule/1/part/II/crossheading/the-seventh-principle" TargetMode="External"/><Relationship Id="rId32" Type="http://schemas.openxmlformats.org/officeDocument/2006/relationships/hyperlink" Target="https://www.england.nhs.uk/wp-content/uploads/2015/12/joint-technical-definitions-performance-activity.pdf"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ngland.nhs.uk/commissioning/spec-services/npc-crg/" TargetMode="External"/><Relationship Id="rId23" Type="http://schemas.openxmlformats.org/officeDocument/2006/relationships/hyperlink" Target="https://www.england.nhs.uk/nhs-standard-contract/" TargetMode="External"/><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yperlink" Target="https://www.gov.uk/government/publications/working-together-to-safeguard-children--2"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ihr.ac.uk/research-and-impact/nhs-research-performance/hra-approvals-and-nihr-metrics.htm" TargetMode="External"/><Relationship Id="rId22" Type="http://schemas.openxmlformats.org/officeDocument/2006/relationships/hyperlink" Target="https://www.england.nhs.uk/nhs-standard-contract/"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D9DE-AD04-496C-A8F8-7C859BAB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11950</Words>
  <Characters>68118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2018-05-02T13:58:00Z</dcterms:created>
  <dcterms:modified xsi:type="dcterms:W3CDTF">2018-05-03T10:12:00Z</dcterms:modified>
</cp:coreProperties>
</file>