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60" w:rsidRDefault="00712C37" w:rsidP="00A611C6">
      <w:bookmarkStart w:id="0" w:name="_MacBuGuideStaticData_10602H"/>
      <w:bookmarkStart w:id="1" w:name="_MacBuGuideStaticData_3130H"/>
      <w:bookmarkStart w:id="2" w:name="_MacBuGuideStaticData_543H"/>
      <w:bookmarkStart w:id="3" w:name="_MacBuGuideStaticData_2275V"/>
      <w:r w:rsidRPr="00712C37">
        <w:rPr>
          <w:rFonts w:eastAsia="Calibri" w:cs="Arial"/>
          <w:bCs w:val="0"/>
          <w:noProof/>
          <w:szCs w:val="24"/>
          <w:lang w:eastAsia="en-GB"/>
        </w:rPr>
        <w:drawing>
          <wp:anchor distT="0" distB="0" distL="114300" distR="114300" simplePos="0" relativeHeight="251661312" behindDoc="1" locked="0" layoutInCell="1" allowOverlap="1" wp14:anchorId="1A99BD32" wp14:editId="16FBF923">
            <wp:simplePos x="0" y="0"/>
            <wp:positionH relativeFrom="column">
              <wp:posOffset>5132070</wp:posOffset>
            </wp:positionH>
            <wp:positionV relativeFrom="paragraph">
              <wp:posOffset>-263525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8512" behindDoc="0" locked="0" layoutInCell="1" allowOverlap="1" wp14:anchorId="1B822100" wp14:editId="6A38AE00">
            <wp:simplePos x="0" y="0"/>
            <wp:positionH relativeFrom="page">
              <wp:posOffset>5895975</wp:posOffset>
            </wp:positionH>
            <wp:positionV relativeFrom="page">
              <wp:posOffset>352425</wp:posOffset>
            </wp:positionV>
            <wp:extent cx="45085" cy="47625"/>
            <wp:effectExtent l="0" t="0" r="0" b="0"/>
            <wp:wrapThrough wrapText="bothSides">
              <wp:wrapPolygon edited="0">
                <wp:start x="0" y="0"/>
                <wp:lineTo x="0" y="21600"/>
                <wp:lineTo x="21600" y="21600"/>
                <wp:lineTo x="21600" y="0"/>
              </wp:wrapPolygon>
            </wp:wrapThrough>
            <wp:docPr id="40" name="Picture 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96000" b="93310"/>
                    <a:stretch/>
                  </pic:blipFill>
                  <pic:spPr bwMode="auto">
                    <a:xfrm>
                      <a:off x="0" y="0"/>
                      <a:ext cx="45085" cy="4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660" w:rsidRPr="00EC32FF">
        <w:rPr>
          <w:rFonts w:cs="Arial"/>
          <w:b/>
          <w:i/>
          <w:noProof/>
          <w:sz w:val="32"/>
          <w:szCs w:val="32"/>
          <w:lang w:eastAsia="en-GB"/>
        </w:rPr>
        <w:drawing>
          <wp:anchor distT="0" distB="0" distL="114300" distR="114300" simplePos="0" relativeHeight="251659264" behindDoc="0" locked="0" layoutInCell="1" allowOverlap="1" wp14:anchorId="031DA3DD" wp14:editId="2324005F">
            <wp:simplePos x="0" y="0"/>
            <wp:positionH relativeFrom="column">
              <wp:posOffset>-262255</wp:posOffset>
            </wp:positionH>
            <wp:positionV relativeFrom="paragraph">
              <wp:posOffset>937260</wp:posOffset>
            </wp:positionV>
            <wp:extent cx="6538595" cy="5147945"/>
            <wp:effectExtent l="0" t="0" r="0" b="0"/>
            <wp:wrapSquare wrapText="bothSides"/>
            <wp:docPr id="4" name="Picture 4" descr="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le doctor.jpg"/>
                    <pic:cNvPicPr/>
                  </pic:nvPicPr>
                  <pic:blipFill rotWithShape="1">
                    <a:blip r:embed="rId15">
                      <a:extLst>
                        <a:ext uri="{28A0092B-C50C-407E-A947-70E740481C1C}">
                          <a14:useLocalDpi xmlns:a14="http://schemas.microsoft.com/office/drawing/2010/main" val="0"/>
                        </a:ext>
                      </a:extLst>
                    </a:blip>
                    <a:srcRect r="6534"/>
                    <a:stretch/>
                  </pic:blipFill>
                  <pic:spPr bwMode="auto">
                    <a:xfrm>
                      <a:off x="0" y="0"/>
                      <a:ext cx="6538595" cy="514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48B0">
        <w:rPr>
          <w:noProof/>
          <w:lang w:eastAsia="en-GB"/>
        </w:rPr>
        <mc:AlternateContent>
          <mc:Choice Requires="wps">
            <w:drawing>
              <wp:anchor distT="0" distB="0" distL="114300" distR="114300" simplePos="0" relativeHeight="251646464" behindDoc="0" locked="0" layoutInCell="1" allowOverlap="1" wp14:anchorId="372F0100" wp14:editId="2146283B">
                <wp:simplePos x="0" y="0"/>
                <wp:positionH relativeFrom="page">
                  <wp:posOffset>485775</wp:posOffset>
                </wp:positionH>
                <wp:positionV relativeFrom="page">
                  <wp:posOffset>7115175</wp:posOffset>
                </wp:positionV>
                <wp:extent cx="6686550" cy="2771775"/>
                <wp:effectExtent l="0" t="0" r="0" b="9525"/>
                <wp:wrapThrough wrapText="bothSides">
                  <wp:wrapPolygon edited="0">
                    <wp:start x="123" y="0"/>
                    <wp:lineTo x="123" y="21526"/>
                    <wp:lineTo x="21415" y="21526"/>
                    <wp:lineTo x="21415" y="0"/>
                    <wp:lineTo x="123"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0"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122" w:rsidRPr="00757ABA" w:rsidRDefault="00826122" w:rsidP="00757ABA">
                            <w:pPr>
                              <w:pStyle w:val="Title"/>
                              <w:rPr>
                                <w:rFonts w:cs="Arial"/>
                                <w:color w:val="0072C6"/>
                                <w:sz w:val="72"/>
                                <w:szCs w:val="72"/>
                              </w:rPr>
                            </w:pPr>
                            <w:r>
                              <w:rPr>
                                <w:rFonts w:cs="Arial"/>
                                <w:color w:val="0072C6"/>
                                <w:sz w:val="72"/>
                                <w:szCs w:val="72"/>
                              </w:rPr>
                              <w:t>NHS Standard Contract 2018/19</w:t>
                            </w:r>
                          </w:p>
                          <w:p w:rsidR="00826122" w:rsidRDefault="00826122" w:rsidP="00A611C6">
                            <w:pPr>
                              <w:pStyle w:val="Title"/>
                              <w:rPr>
                                <w:rFonts w:cs="Arial"/>
                                <w:color w:val="0072C6"/>
                                <w:sz w:val="56"/>
                                <w:szCs w:val="56"/>
                              </w:rPr>
                            </w:pPr>
                          </w:p>
                          <w:p w:rsidR="00826122" w:rsidRPr="000206D7" w:rsidRDefault="00826122" w:rsidP="00A611C6">
                            <w:pPr>
                              <w:pStyle w:val="Title"/>
                              <w:rPr>
                                <w:rFonts w:cs="Arial"/>
                                <w:b w:val="0"/>
                                <w:color w:val="0072C6"/>
                                <w:sz w:val="56"/>
                                <w:szCs w:val="56"/>
                              </w:rPr>
                            </w:pPr>
                            <w:r>
                              <w:rPr>
                                <w:rFonts w:cs="Arial"/>
                                <w:color w:val="0072C6"/>
                                <w:sz w:val="56"/>
                                <w:szCs w:val="56"/>
                              </w:rPr>
                              <w:t>Template SDIP for Provider Sustainability F</w:t>
                            </w:r>
                            <w:r w:rsidRPr="009A48B0">
                              <w:rPr>
                                <w:rFonts w:cs="Arial"/>
                                <w:color w:val="0072C6"/>
                                <w:sz w:val="56"/>
                                <w:szCs w:val="56"/>
                              </w:rPr>
                              <w:t>und</w:t>
                            </w:r>
                            <w:r>
                              <w:rPr>
                                <w:rFonts w:cs="Arial"/>
                                <w:b w:val="0"/>
                                <w:szCs w:val="24"/>
                              </w:rPr>
                              <w:t xml:space="preserve"> </w:t>
                            </w:r>
                            <w:r>
                              <w:rPr>
                                <w:rFonts w:cs="Arial"/>
                                <w:color w:val="0072C6"/>
                                <w:sz w:val="56"/>
                                <w:szCs w:val="56"/>
                              </w:rPr>
                              <w:t>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26.5pt;height:218.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kVpQIAAKM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" filled="f" stroked="f">
                <v:path arrowok="t"/>
                <v:textbox>
                  <w:txbxContent>
                    <w:p w:rsidR="00826122" w:rsidRPr="00757ABA" w:rsidRDefault="00826122" w:rsidP="00757ABA">
                      <w:pPr>
                        <w:pStyle w:val="Title"/>
                        <w:rPr>
                          <w:rFonts w:cs="Arial"/>
                          <w:color w:val="0072C6"/>
                          <w:sz w:val="72"/>
                          <w:szCs w:val="72"/>
                        </w:rPr>
                      </w:pPr>
                      <w:r>
                        <w:rPr>
                          <w:rFonts w:cs="Arial"/>
                          <w:color w:val="0072C6"/>
                          <w:sz w:val="72"/>
                          <w:szCs w:val="72"/>
                        </w:rPr>
                        <w:t>NHS Standard Contract 2018/19</w:t>
                      </w:r>
                    </w:p>
                    <w:p w:rsidR="00826122" w:rsidRDefault="00826122" w:rsidP="00A611C6">
                      <w:pPr>
                        <w:pStyle w:val="Title"/>
                        <w:rPr>
                          <w:rFonts w:cs="Arial"/>
                          <w:color w:val="0072C6"/>
                          <w:sz w:val="56"/>
                          <w:szCs w:val="56"/>
                        </w:rPr>
                      </w:pPr>
                    </w:p>
                    <w:p w:rsidR="00826122" w:rsidRPr="000206D7" w:rsidRDefault="00826122" w:rsidP="00A611C6">
                      <w:pPr>
                        <w:pStyle w:val="Title"/>
                        <w:rPr>
                          <w:rFonts w:cs="Arial"/>
                          <w:b w:val="0"/>
                          <w:color w:val="0072C6"/>
                          <w:sz w:val="56"/>
                          <w:szCs w:val="56"/>
                        </w:rPr>
                      </w:pPr>
                      <w:r>
                        <w:rPr>
                          <w:rFonts w:cs="Arial"/>
                          <w:color w:val="0072C6"/>
                          <w:sz w:val="56"/>
                          <w:szCs w:val="56"/>
                        </w:rPr>
                        <w:t>Template SDIP for Provider Sustainability F</w:t>
                      </w:r>
                      <w:r w:rsidRPr="009A48B0">
                        <w:rPr>
                          <w:rFonts w:cs="Arial"/>
                          <w:color w:val="0072C6"/>
                          <w:sz w:val="56"/>
                          <w:szCs w:val="56"/>
                        </w:rPr>
                        <w:t>und</w:t>
                      </w:r>
                      <w:r>
                        <w:rPr>
                          <w:rFonts w:cs="Arial"/>
                          <w:b w:val="0"/>
                          <w:szCs w:val="24"/>
                        </w:rPr>
                        <w:t xml:space="preserve"> </w:t>
                      </w:r>
                      <w:r>
                        <w:rPr>
                          <w:rFonts w:cs="Arial"/>
                          <w:color w:val="0072C6"/>
                          <w:sz w:val="56"/>
                          <w:szCs w:val="56"/>
                        </w:rPr>
                        <w:t>performance</w:t>
                      </w:r>
                    </w:p>
                  </w:txbxContent>
                </v:textbox>
                <w10:wrap type="through" anchorx="page" anchory="page"/>
              </v:shape>
            </w:pict>
          </mc:Fallback>
        </mc:AlternateContent>
      </w:r>
      <w:r w:rsidR="00102A99">
        <w:br w:type="page"/>
      </w:r>
      <w:bookmarkStart w:id="4" w:name="_MacBuGuideStaticData_10810H"/>
      <w:bookmarkStart w:id="5" w:name="_MacBuGuideStaticData_3861H"/>
      <w:bookmarkEnd w:id="0"/>
      <w:bookmarkEnd w:id="1"/>
      <w:bookmarkEnd w:id="2"/>
      <w:bookmarkEnd w:id="3"/>
    </w:p>
    <w:p w:rsidR="009C5C3D" w:rsidRDefault="009C5C3D" w:rsidP="00A611C6"/>
    <w:p w:rsidR="00A611C6" w:rsidRDefault="00A611C6" w:rsidP="00A611C6">
      <w:pPr>
        <w:rPr>
          <w:rFonts w:cs="Arial"/>
          <w:b/>
          <w:sz w:val="32"/>
          <w:szCs w:val="32"/>
        </w:rPr>
      </w:pPr>
      <w:r>
        <w:rPr>
          <w:rFonts w:cs="Arial"/>
          <w:b/>
          <w:sz w:val="32"/>
          <w:szCs w:val="32"/>
        </w:rPr>
        <w:t xml:space="preserve">NHS Standard Contract </w:t>
      </w:r>
      <w:r w:rsidR="00757ABA">
        <w:rPr>
          <w:rFonts w:cs="Arial"/>
          <w:b/>
          <w:sz w:val="32"/>
          <w:szCs w:val="32"/>
        </w:rPr>
        <w:t>2018/19</w:t>
      </w:r>
    </w:p>
    <w:p w:rsidR="00A611C6" w:rsidRPr="009A48B0" w:rsidRDefault="00A611C6" w:rsidP="00A611C6">
      <w:pPr>
        <w:rPr>
          <w:rFonts w:cs="Arial"/>
          <w:b/>
          <w:szCs w:val="24"/>
        </w:rPr>
      </w:pPr>
    </w:p>
    <w:p w:rsidR="009A48B0" w:rsidRDefault="00492E53" w:rsidP="009A48B0">
      <w:pPr>
        <w:rPr>
          <w:rFonts w:cs="Arial"/>
          <w:b/>
          <w:szCs w:val="24"/>
        </w:rPr>
      </w:pPr>
      <w:r>
        <w:rPr>
          <w:rFonts w:cs="Arial"/>
          <w:b/>
          <w:szCs w:val="24"/>
        </w:rPr>
        <w:t>Template Service Development and I</w:t>
      </w:r>
      <w:r w:rsidR="007546C2">
        <w:rPr>
          <w:rFonts w:cs="Arial"/>
          <w:b/>
          <w:szCs w:val="24"/>
        </w:rPr>
        <w:t>mprovement P</w:t>
      </w:r>
      <w:r w:rsidR="009A48B0">
        <w:rPr>
          <w:rFonts w:cs="Arial"/>
          <w:b/>
          <w:szCs w:val="24"/>
        </w:rPr>
        <w:t>lan in relation t</w:t>
      </w:r>
      <w:r>
        <w:rPr>
          <w:rFonts w:cs="Arial"/>
          <w:b/>
          <w:szCs w:val="24"/>
        </w:rPr>
        <w:t xml:space="preserve">o provider performance against </w:t>
      </w:r>
      <w:r w:rsidR="00364759">
        <w:rPr>
          <w:rFonts w:cs="Arial"/>
          <w:b/>
          <w:szCs w:val="24"/>
        </w:rPr>
        <w:t xml:space="preserve">Provider </w:t>
      </w:r>
      <w:r>
        <w:rPr>
          <w:rFonts w:cs="Arial"/>
          <w:b/>
          <w:szCs w:val="24"/>
        </w:rPr>
        <w:t>Sustainability F</w:t>
      </w:r>
      <w:r w:rsidR="009A48B0">
        <w:rPr>
          <w:rFonts w:cs="Arial"/>
          <w:b/>
          <w:szCs w:val="24"/>
        </w:rPr>
        <w:t>und performance trajectories and assurance statements</w:t>
      </w:r>
    </w:p>
    <w:p w:rsidR="009A48B0" w:rsidRDefault="009A48B0" w:rsidP="009A48B0">
      <w:pPr>
        <w:rPr>
          <w:rFonts w:cs="Arial"/>
          <w:b/>
          <w:szCs w:val="24"/>
        </w:rPr>
      </w:pPr>
    </w:p>
    <w:p w:rsidR="00A611C6" w:rsidRDefault="00A611C6" w:rsidP="00A611C6">
      <w:pPr>
        <w:rPr>
          <w:rFonts w:cs="Arial"/>
        </w:rPr>
      </w:pPr>
      <w:r>
        <w:rPr>
          <w:rFonts w:cs="Arial"/>
        </w:rPr>
        <w:t>Version number:</w:t>
      </w:r>
      <w:r>
        <w:rPr>
          <w:rFonts w:cs="Arial"/>
        </w:rPr>
        <w:tab/>
      </w:r>
      <w:r w:rsidR="00757ABA">
        <w:rPr>
          <w:rFonts w:cs="Arial"/>
        </w:rPr>
        <w:tab/>
      </w:r>
      <w:r w:rsidR="00364759">
        <w:rPr>
          <w:rFonts w:cs="Arial"/>
        </w:rPr>
        <w:t>2</w:t>
      </w:r>
    </w:p>
    <w:p w:rsidR="00A611C6" w:rsidRDefault="00A611C6" w:rsidP="00A611C6">
      <w:pPr>
        <w:rPr>
          <w:rFonts w:cs="Arial"/>
        </w:rPr>
      </w:pPr>
    </w:p>
    <w:p w:rsidR="00A611C6" w:rsidRDefault="00A611C6" w:rsidP="00A611C6">
      <w:pPr>
        <w:rPr>
          <w:rFonts w:cs="Arial"/>
        </w:rPr>
      </w:pPr>
      <w:r>
        <w:rPr>
          <w:rFonts w:cs="Arial"/>
        </w:rPr>
        <w:t>First published:</w:t>
      </w:r>
      <w:r>
        <w:rPr>
          <w:rFonts w:cs="Arial"/>
        </w:rPr>
        <w:tab/>
      </w:r>
      <w:r w:rsidR="007546C2">
        <w:rPr>
          <w:rFonts w:cs="Arial"/>
        </w:rPr>
        <w:tab/>
      </w:r>
      <w:r w:rsidR="0043287D">
        <w:rPr>
          <w:rFonts w:cs="Arial"/>
        </w:rPr>
        <w:t xml:space="preserve">May </w:t>
      </w:r>
      <w:r w:rsidR="007546C2">
        <w:rPr>
          <w:rFonts w:cs="Arial"/>
        </w:rPr>
        <w:t>201</w:t>
      </w:r>
      <w:r w:rsidR="00364759">
        <w:rPr>
          <w:rFonts w:cs="Arial"/>
        </w:rPr>
        <w:t>8</w:t>
      </w:r>
    </w:p>
    <w:p w:rsidR="00A611C6" w:rsidRDefault="00A611C6" w:rsidP="00A611C6">
      <w:pPr>
        <w:rPr>
          <w:rFonts w:cs="Arial"/>
        </w:rPr>
      </w:pPr>
    </w:p>
    <w:p w:rsidR="00A611C6" w:rsidRDefault="00A611C6" w:rsidP="00A611C6">
      <w:pPr>
        <w:rPr>
          <w:rFonts w:cs="Arial"/>
        </w:rPr>
      </w:pPr>
      <w:r>
        <w:rPr>
          <w:rFonts w:cs="Arial"/>
        </w:rPr>
        <w:t>Updated:</w:t>
      </w:r>
      <w:r>
        <w:rPr>
          <w:rFonts w:cs="Arial"/>
        </w:rPr>
        <w:tab/>
      </w:r>
      <w:r>
        <w:rPr>
          <w:rFonts w:cs="Arial"/>
        </w:rPr>
        <w:tab/>
      </w:r>
      <w:r w:rsidR="00757ABA">
        <w:rPr>
          <w:rFonts w:cs="Arial"/>
        </w:rPr>
        <w:tab/>
      </w:r>
      <w:r>
        <w:rPr>
          <w:rFonts w:cs="Arial"/>
        </w:rPr>
        <w:t>NA</w:t>
      </w:r>
    </w:p>
    <w:p w:rsidR="00A611C6" w:rsidRDefault="00A611C6" w:rsidP="00A611C6">
      <w:pPr>
        <w:rPr>
          <w:rFonts w:cs="Arial"/>
        </w:rPr>
      </w:pPr>
    </w:p>
    <w:p w:rsidR="00A611C6" w:rsidRDefault="00A611C6" w:rsidP="00A611C6">
      <w:pPr>
        <w:rPr>
          <w:rFonts w:cs="Arial"/>
        </w:rPr>
      </w:pPr>
      <w:r>
        <w:rPr>
          <w:rFonts w:cs="Arial"/>
        </w:rPr>
        <w:t>Prepared by:</w:t>
      </w:r>
      <w:r>
        <w:rPr>
          <w:rFonts w:cs="Arial"/>
        </w:rPr>
        <w:tab/>
      </w:r>
      <w:r>
        <w:rPr>
          <w:rFonts w:cs="Arial"/>
        </w:rPr>
        <w:tab/>
      </w:r>
      <w:r w:rsidR="00757ABA">
        <w:rPr>
          <w:rFonts w:cs="Arial"/>
        </w:rPr>
        <w:tab/>
      </w:r>
      <w:r>
        <w:rPr>
          <w:rFonts w:cs="Arial"/>
        </w:rPr>
        <w:t>NHS Standard Contract Team, NHS England</w:t>
      </w:r>
    </w:p>
    <w:p w:rsidR="0043287D" w:rsidRDefault="0043287D" w:rsidP="00A611C6">
      <w:pPr>
        <w:rPr>
          <w:rFonts w:cs="Arial"/>
        </w:rPr>
      </w:pPr>
      <w:r>
        <w:rPr>
          <w:rFonts w:cs="Arial"/>
        </w:rPr>
        <w:tab/>
      </w:r>
      <w:r>
        <w:rPr>
          <w:rFonts w:cs="Arial"/>
        </w:rPr>
        <w:tab/>
      </w:r>
      <w:r>
        <w:rPr>
          <w:rFonts w:cs="Arial"/>
        </w:rPr>
        <w:tab/>
      </w:r>
      <w:r>
        <w:rPr>
          <w:rFonts w:cs="Arial"/>
        </w:rPr>
        <w:tab/>
        <w:t>nhscb.contractshelp@nhs.net</w:t>
      </w:r>
    </w:p>
    <w:p w:rsidR="00A611C6" w:rsidRDefault="00A611C6"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p w:rsidR="0043287D" w:rsidRDefault="0043287D" w:rsidP="00A611C6">
      <w:r>
        <w:t>Publications Gateway Reference</w:t>
      </w:r>
      <w:r w:rsidR="009D7FAA">
        <w:t xml:space="preserve"> Number</w:t>
      </w:r>
      <w:r>
        <w:t>:</w:t>
      </w:r>
      <w:r>
        <w:tab/>
      </w:r>
      <w:r w:rsidR="006D1527">
        <w:t>07992</w:t>
      </w:r>
    </w:p>
    <w:p w:rsidR="009D7FAA" w:rsidRDefault="009D7FAA" w:rsidP="0043287D"/>
    <w:p w:rsidR="0043287D" w:rsidRDefault="00A611C6" w:rsidP="0043287D">
      <w:r>
        <w:t>Document classification:</w:t>
      </w:r>
      <w:r>
        <w:tab/>
      </w:r>
      <w:r w:rsidR="009D7FAA">
        <w:tab/>
      </w:r>
      <w:r w:rsidR="009D7FAA">
        <w:tab/>
      </w:r>
      <w:r w:rsidR="009D7FAA">
        <w:tab/>
      </w:r>
      <w:r>
        <w:t>Official</w:t>
      </w:r>
    </w:p>
    <w:p w:rsidR="0043287D" w:rsidRPr="0043287D" w:rsidRDefault="0043287D" w:rsidP="0043287D">
      <w:pPr>
        <w:sectPr w:rsidR="0043287D" w:rsidRPr="0043287D" w:rsidSect="001B62FE">
          <w:headerReference w:type="even" r:id="rId16"/>
          <w:headerReference w:type="default" r:id="rId17"/>
          <w:footerReference w:type="even" r:id="rId18"/>
          <w:footerReference w:type="default" r:id="rId19"/>
          <w:headerReference w:type="first" r:id="rId20"/>
          <w:footerReference w:type="first" r:id="rId21"/>
          <w:pgSz w:w="11900" w:h="16840"/>
          <w:pgMar w:top="1418" w:right="1418" w:bottom="1418" w:left="1418" w:header="0" w:footer="0" w:gutter="0"/>
          <w:cols w:space="708"/>
          <w:titlePg/>
          <w:docGrid w:linePitch="326"/>
        </w:sectPr>
      </w:pPr>
    </w:p>
    <w:p w:rsidR="006B1775" w:rsidRPr="006B1775" w:rsidRDefault="006B1775" w:rsidP="006B1775">
      <w:pPr>
        <w:rPr>
          <w:rFonts w:eastAsia="Calibri" w:cs="Arial"/>
          <w:bCs w:val="0"/>
          <w:i/>
          <w:sz w:val="20"/>
          <w:szCs w:val="20"/>
        </w:rPr>
      </w:pPr>
      <w:r w:rsidRPr="006B1775">
        <w:rPr>
          <w:rFonts w:eastAsia="Calibri" w:cs="Arial"/>
          <w:bCs w:val="0"/>
          <w:i/>
          <w:sz w:val="20"/>
          <w:szCs w:val="20"/>
        </w:rPr>
        <w:t xml:space="preserve">[This Service Development and Improvement Plan template should be completed to reflect the final Performance Improvement Trajectories and Assurance Statements relevant to the Provider, as signed off by NHS Improvement and NHS England. It should then be included at Schedule 6D in each NHS Standard Contract which the Provider </w:t>
      </w:r>
      <w:r w:rsidR="00364759">
        <w:rPr>
          <w:rFonts w:eastAsia="Calibri" w:cs="Arial"/>
          <w:bCs w:val="0"/>
          <w:i/>
          <w:sz w:val="20"/>
          <w:szCs w:val="20"/>
        </w:rPr>
        <w:t>holds</w:t>
      </w:r>
      <w:r w:rsidRPr="006B1775">
        <w:rPr>
          <w:rFonts w:eastAsia="Calibri" w:cs="Arial"/>
          <w:bCs w:val="0"/>
          <w:i/>
          <w:sz w:val="20"/>
          <w:szCs w:val="20"/>
        </w:rPr>
        <w:t xml:space="preserve"> with an NHS Commis</w:t>
      </w:r>
      <w:r w:rsidR="00757ABA">
        <w:rPr>
          <w:rFonts w:eastAsia="Calibri" w:cs="Arial"/>
          <w:bCs w:val="0"/>
          <w:i/>
          <w:sz w:val="20"/>
          <w:szCs w:val="20"/>
        </w:rPr>
        <w:t xml:space="preserve">sioner or Commissioners for </w:t>
      </w:r>
      <w:r w:rsidR="007546C2">
        <w:rPr>
          <w:rFonts w:eastAsia="Calibri" w:cs="Arial"/>
          <w:bCs w:val="0"/>
          <w:i/>
          <w:sz w:val="20"/>
          <w:szCs w:val="20"/>
        </w:rPr>
        <w:t>2018/19</w:t>
      </w:r>
      <w:r w:rsidRPr="006B1775">
        <w:rPr>
          <w:rFonts w:eastAsia="Calibri" w:cs="Arial"/>
          <w:bCs w:val="0"/>
          <w:i/>
          <w:sz w:val="20"/>
          <w:szCs w:val="20"/>
        </w:rPr>
        <w:t>.</w:t>
      </w:r>
      <w:r w:rsidR="00492E53">
        <w:rPr>
          <w:rFonts w:eastAsia="Calibri" w:cs="Arial"/>
          <w:bCs w:val="0"/>
          <w:i/>
          <w:sz w:val="20"/>
          <w:szCs w:val="20"/>
        </w:rPr>
        <w:t xml:space="preserve"> Note that both the Trajectories and the Assurance Statements relate to the Provider as a whole, covering its aggregate performance under all of its separate signed contracts and including any non-contract activity.</w:t>
      </w:r>
      <w:r w:rsidRPr="006B1775">
        <w:rPr>
          <w:rFonts w:eastAsia="Calibri" w:cs="Arial"/>
          <w:bCs w:val="0"/>
          <w:i/>
          <w:sz w:val="20"/>
          <w:szCs w:val="20"/>
        </w:rPr>
        <w:t>]</w:t>
      </w:r>
    </w:p>
    <w:p w:rsidR="006B1775" w:rsidRDefault="006B1775" w:rsidP="006B1775">
      <w:pPr>
        <w:rPr>
          <w:rFonts w:eastAsia="Calibri" w:cs="Arial"/>
          <w:bCs w:val="0"/>
          <w:sz w:val="20"/>
          <w:szCs w:val="20"/>
        </w:rPr>
      </w:pPr>
    </w:p>
    <w:p w:rsidR="003913AB" w:rsidRPr="006B1775" w:rsidRDefault="003913AB" w:rsidP="006B1775">
      <w:pPr>
        <w:rPr>
          <w:rFonts w:eastAsia="Calibri" w:cs="Arial"/>
          <w:bCs w:val="0"/>
          <w:sz w:val="20"/>
          <w:szCs w:val="20"/>
        </w:rPr>
      </w:pPr>
    </w:p>
    <w:p w:rsidR="006B1775" w:rsidRPr="006B1775" w:rsidRDefault="006B1775" w:rsidP="006B1775">
      <w:pPr>
        <w:rPr>
          <w:rFonts w:eastAsia="Calibri" w:cs="Arial"/>
          <w:b/>
          <w:bCs w:val="0"/>
          <w:sz w:val="20"/>
          <w:szCs w:val="20"/>
        </w:rPr>
      </w:pPr>
      <w:r w:rsidRPr="006B1775">
        <w:rPr>
          <w:rFonts w:eastAsia="Calibri" w:cs="Arial"/>
          <w:b/>
          <w:bCs w:val="0"/>
          <w:sz w:val="20"/>
          <w:szCs w:val="20"/>
        </w:rPr>
        <w:t>Performance Improvement Trajectories</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sz w:val="20"/>
          <w:szCs w:val="20"/>
        </w:rPr>
      </w:pPr>
      <w:r w:rsidRPr="006B1775">
        <w:rPr>
          <w:rFonts w:eastAsia="Calibri" w:cs="Arial"/>
          <w:bCs w:val="0"/>
          <w:sz w:val="20"/>
          <w:szCs w:val="20"/>
        </w:rPr>
        <w:t xml:space="preserve">The Provider undertakes to achieve specific levels of performance, on a </w:t>
      </w:r>
      <w:r w:rsidR="00757ABA">
        <w:rPr>
          <w:rFonts w:eastAsia="Calibri" w:cs="Arial"/>
          <w:bCs w:val="0"/>
          <w:sz w:val="20"/>
          <w:szCs w:val="20"/>
        </w:rPr>
        <w:t>month-by-month basis during 201</w:t>
      </w:r>
      <w:r w:rsidR="00364759">
        <w:rPr>
          <w:rFonts w:eastAsia="Calibri" w:cs="Arial"/>
          <w:bCs w:val="0"/>
          <w:sz w:val="20"/>
          <w:szCs w:val="20"/>
        </w:rPr>
        <w:t>8</w:t>
      </w:r>
      <w:r w:rsidR="00757ABA">
        <w:rPr>
          <w:rFonts w:eastAsia="Calibri" w:cs="Arial"/>
          <w:bCs w:val="0"/>
          <w:sz w:val="20"/>
          <w:szCs w:val="20"/>
        </w:rPr>
        <w:t>/1</w:t>
      </w:r>
      <w:r w:rsidR="00364759">
        <w:rPr>
          <w:rFonts w:eastAsia="Calibri" w:cs="Arial"/>
          <w:bCs w:val="0"/>
          <w:sz w:val="20"/>
          <w:szCs w:val="20"/>
        </w:rPr>
        <w:t>9</w:t>
      </w:r>
      <w:r w:rsidRPr="006B1775">
        <w:rPr>
          <w:rFonts w:eastAsia="Calibri" w:cs="Arial"/>
          <w:bCs w:val="0"/>
          <w:sz w:val="20"/>
          <w:szCs w:val="20"/>
        </w:rPr>
        <w:t xml:space="preserve">, against </w:t>
      </w:r>
      <w:r w:rsidR="00F531B7">
        <w:rPr>
          <w:rFonts w:eastAsia="Calibri" w:cs="Arial"/>
          <w:bCs w:val="0"/>
          <w:sz w:val="20"/>
          <w:szCs w:val="20"/>
        </w:rPr>
        <w:t xml:space="preserve">the following </w:t>
      </w:r>
      <w:r w:rsidRPr="006B1775">
        <w:rPr>
          <w:rFonts w:eastAsia="Calibri" w:cs="Arial"/>
          <w:bCs w:val="0"/>
          <w:sz w:val="20"/>
          <w:szCs w:val="20"/>
        </w:rPr>
        <w:t>Operational Standards</w:t>
      </w:r>
      <w:r w:rsidR="00F531B7">
        <w:rPr>
          <w:rFonts w:eastAsia="Calibri" w:cs="Arial"/>
          <w:bCs w:val="0"/>
          <w:sz w:val="20"/>
          <w:szCs w:val="20"/>
        </w:rPr>
        <w:t>,</w:t>
      </w:r>
      <w:r w:rsidRPr="006B1775">
        <w:rPr>
          <w:rFonts w:eastAsia="Calibri" w:cs="Arial"/>
          <w:bCs w:val="0"/>
          <w:sz w:val="20"/>
          <w:szCs w:val="20"/>
        </w:rPr>
        <w:t xml:space="preserve"> as set out in the table</w:t>
      </w:r>
      <w:r w:rsidR="002B7772">
        <w:rPr>
          <w:rFonts w:eastAsia="Calibri" w:cs="Arial"/>
          <w:bCs w:val="0"/>
          <w:sz w:val="20"/>
          <w:szCs w:val="20"/>
        </w:rPr>
        <w:t>s</w:t>
      </w:r>
      <w:r w:rsidRPr="006B1775">
        <w:rPr>
          <w:rFonts w:eastAsia="Calibri" w:cs="Arial"/>
          <w:bCs w:val="0"/>
          <w:sz w:val="20"/>
          <w:szCs w:val="20"/>
        </w:rPr>
        <w:t xml:space="preserve"> below.</w:t>
      </w:r>
      <w:r w:rsidR="00DB2251">
        <w:rPr>
          <w:rFonts w:eastAsia="Calibri" w:cs="Arial"/>
          <w:bCs w:val="0"/>
          <w:sz w:val="20"/>
          <w:szCs w:val="20"/>
        </w:rPr>
        <w:t xml:space="preserve"> </w:t>
      </w:r>
    </w:p>
    <w:p w:rsidR="006B1775" w:rsidRPr="006B1775" w:rsidRDefault="006B1775" w:rsidP="006B1775">
      <w:pPr>
        <w:rPr>
          <w:rFonts w:eastAsia="Calibri" w:cs="Arial"/>
          <w:bCs w:val="0"/>
          <w:sz w:val="20"/>
          <w:szCs w:val="20"/>
        </w:rPr>
      </w:pPr>
    </w:p>
    <w:p w:rsidR="006B1775" w:rsidRPr="006A5511" w:rsidRDefault="00510785" w:rsidP="006B1775">
      <w:pPr>
        <w:rPr>
          <w:rFonts w:eastAsia="Calibri" w:cs="Arial"/>
          <w:bCs w:val="0"/>
          <w:i/>
          <w:sz w:val="20"/>
          <w:szCs w:val="20"/>
        </w:rPr>
      </w:pPr>
      <w:r w:rsidRPr="006A5511">
        <w:rPr>
          <w:rFonts w:eastAsia="Calibri" w:cs="Arial"/>
          <w:bCs w:val="0"/>
          <w:i/>
          <w:sz w:val="20"/>
          <w:szCs w:val="20"/>
        </w:rPr>
        <w:t>[Delete where not relevant to the Services provided by the Provider</w:t>
      </w:r>
      <w:r w:rsidR="006B1775" w:rsidRPr="006A5511">
        <w:rPr>
          <w:rFonts w:eastAsia="Calibri" w:cs="Arial"/>
          <w:bCs w:val="0"/>
          <w:i/>
          <w:sz w:val="20"/>
          <w:szCs w:val="20"/>
        </w:rPr>
        <w:t>]</w:t>
      </w:r>
    </w:p>
    <w:p w:rsidR="006B1775" w:rsidRDefault="006B1775" w:rsidP="006B1775">
      <w:pPr>
        <w:rPr>
          <w:rFonts w:eastAsia="Calibri" w:cs="Arial"/>
          <w:bCs w:val="0"/>
          <w:sz w:val="20"/>
          <w:szCs w:val="20"/>
        </w:rPr>
      </w:pPr>
    </w:p>
    <w:p w:rsidR="003913AB" w:rsidRDefault="003913AB" w:rsidP="006B1775">
      <w:pPr>
        <w:rPr>
          <w:rFonts w:eastAsia="Calibri" w:cs="Arial"/>
          <w:bCs w:val="0"/>
          <w:sz w:val="20"/>
          <w:szCs w:val="20"/>
        </w:rPr>
      </w:pPr>
    </w:p>
    <w:p w:rsidR="00492E53" w:rsidRPr="002513AD" w:rsidRDefault="00492E53" w:rsidP="002513AD">
      <w:pPr>
        <w:rPr>
          <w:rFonts w:eastAsia="MS Mincho" w:cs="Arial"/>
          <w:bCs w:val="0"/>
          <w:sz w:val="20"/>
          <w:szCs w:val="20"/>
          <w:u w:val="single"/>
          <w:lang w:val="en-US" w:eastAsia="ja-JP"/>
        </w:rPr>
      </w:pPr>
      <w:r w:rsidRPr="002513AD">
        <w:rPr>
          <w:rFonts w:eastAsia="MS Mincho" w:cs="Arial"/>
          <w:bCs w:val="0"/>
          <w:sz w:val="20"/>
          <w:szCs w:val="20"/>
          <w:u w:val="single"/>
          <w:lang w:val="en-US" w:eastAsia="ja-JP"/>
        </w:rPr>
        <w:t xml:space="preserve">E.B.5 </w:t>
      </w:r>
      <w:r w:rsidR="002B7772" w:rsidRPr="002513AD">
        <w:rPr>
          <w:rFonts w:eastAsia="MS Mincho" w:cs="Arial"/>
          <w:bCs w:val="0"/>
          <w:sz w:val="20"/>
          <w:szCs w:val="20"/>
          <w:u w:val="single"/>
          <w:lang w:val="en-US" w:eastAsia="ja-JP"/>
        </w:rPr>
        <w:tab/>
      </w:r>
      <w:r w:rsidRPr="002513AD">
        <w:rPr>
          <w:rFonts w:eastAsia="MS Mincho" w:cs="Arial"/>
          <w:bCs w:val="0"/>
          <w:sz w:val="20"/>
          <w:szCs w:val="20"/>
          <w:u w:val="single"/>
          <w:lang w:val="en-US" w:eastAsia="ja-JP"/>
        </w:rPr>
        <w:t>Percentage of A &amp; E attendances where the Service User was admitted, transferred or discharged within 4 hours of their arrival at an A&amp;E department</w:t>
      </w:r>
    </w:p>
    <w:p w:rsidR="00826122" w:rsidRDefault="00826122" w:rsidP="002513AD">
      <w:pPr>
        <w:rPr>
          <w:rFonts w:eastAsia="MS Mincho" w:cs="Arial"/>
          <w:bCs w:val="0"/>
          <w:i/>
          <w:sz w:val="20"/>
          <w:szCs w:val="20"/>
          <w:lang w:val="en-US" w:eastAsia="ja-JP"/>
        </w:rPr>
      </w:pPr>
    </w:p>
    <w:p w:rsidR="00826122" w:rsidRPr="002513AD" w:rsidRDefault="00826122" w:rsidP="002513AD">
      <w:pPr>
        <w:rPr>
          <w:rFonts w:eastAsia="MS Mincho" w:cs="Arial"/>
          <w:bCs w:val="0"/>
          <w:sz w:val="20"/>
          <w:szCs w:val="20"/>
          <w:lang w:val="en-US" w:eastAsia="ja-JP"/>
        </w:rPr>
      </w:pPr>
      <w:r w:rsidRPr="002513AD">
        <w:rPr>
          <w:rFonts w:eastAsia="MS Mincho" w:cs="Arial"/>
          <w:bCs w:val="0"/>
          <w:sz w:val="20"/>
          <w:szCs w:val="20"/>
          <w:lang w:val="en-US" w:eastAsia="ja-JP"/>
        </w:rPr>
        <w:t xml:space="preserve">In line with the requirement set out in </w:t>
      </w:r>
      <w:hyperlink r:id="rId22" w:history="1">
        <w:r w:rsidRPr="002513AD">
          <w:rPr>
            <w:rStyle w:val="Hyperlink"/>
            <w:rFonts w:eastAsia="MS Mincho" w:cs="Arial"/>
            <w:bCs w:val="0"/>
            <w:sz w:val="20"/>
            <w:szCs w:val="20"/>
            <w:lang w:val="en-US" w:eastAsia="ja-JP"/>
          </w:rPr>
          <w:t>Refreshing NHS Plans for 2018/19</w:t>
        </w:r>
      </w:hyperlink>
      <w:r w:rsidRPr="002513AD">
        <w:rPr>
          <w:rFonts w:eastAsia="MS Mincho" w:cs="Arial"/>
          <w:bCs w:val="0"/>
          <w:sz w:val="20"/>
          <w:szCs w:val="20"/>
          <w:lang w:val="en-US" w:eastAsia="ja-JP"/>
        </w:rPr>
        <w:t>, the Provider will, as a minimum, ensure that pe</w:t>
      </w:r>
      <w:r w:rsidR="008B1F9E" w:rsidRPr="002513AD">
        <w:rPr>
          <w:rFonts w:eastAsia="MS Mincho" w:cs="Arial"/>
          <w:bCs w:val="0"/>
          <w:sz w:val="20"/>
          <w:szCs w:val="20"/>
          <w:lang w:val="en-US" w:eastAsia="ja-JP"/>
        </w:rPr>
        <w:t>rformance against this standard</w:t>
      </w:r>
      <w:r w:rsidRPr="002513AD">
        <w:rPr>
          <w:rFonts w:eastAsia="MS Mincho" w:cs="Arial"/>
          <w:bCs w:val="0"/>
          <w:sz w:val="20"/>
          <w:szCs w:val="20"/>
          <w:lang w:val="en-US" w:eastAsia="ja-JP"/>
        </w:rPr>
        <w:t xml:space="preserve"> in each separate Quarter of 2018/19 is</w:t>
      </w:r>
      <w:r w:rsidR="008B1F9E" w:rsidRPr="002513AD">
        <w:rPr>
          <w:rFonts w:eastAsia="MS Mincho" w:cs="Arial"/>
          <w:bCs w:val="0"/>
          <w:sz w:val="20"/>
          <w:szCs w:val="20"/>
          <w:lang w:val="en-US" w:eastAsia="ja-JP"/>
        </w:rPr>
        <w:t xml:space="preserve"> no worse than the lower of 90%</w:t>
      </w:r>
      <w:r w:rsidRPr="002513AD">
        <w:rPr>
          <w:rFonts w:eastAsia="MS Mincho" w:cs="Arial"/>
          <w:bCs w:val="0"/>
          <w:sz w:val="20"/>
          <w:szCs w:val="20"/>
          <w:lang w:val="en-US" w:eastAsia="ja-JP"/>
        </w:rPr>
        <w:t xml:space="preserve"> or the Provider’s actual level of performance for the corresponding Quarter in 2017/18</w:t>
      </w:r>
      <w:r w:rsidR="008B1F9E">
        <w:rPr>
          <w:rFonts w:eastAsia="MS Mincho" w:cs="Arial"/>
          <w:bCs w:val="0"/>
          <w:sz w:val="20"/>
          <w:szCs w:val="20"/>
          <w:lang w:val="en-US" w:eastAsia="ja-JP"/>
        </w:rPr>
        <w:t>.</w:t>
      </w:r>
    </w:p>
    <w:p w:rsidR="00826122" w:rsidRDefault="00826122" w:rsidP="002513AD">
      <w:pPr>
        <w:rPr>
          <w:rFonts w:eastAsia="MS Mincho" w:cs="Arial"/>
          <w:bCs w:val="0"/>
          <w:sz w:val="20"/>
          <w:szCs w:val="20"/>
          <w:u w:val="single"/>
          <w:lang w:val="en-US" w:eastAsia="ja-JP"/>
        </w:rPr>
      </w:pPr>
    </w:p>
    <w:p w:rsidR="00826122" w:rsidRDefault="00826122" w:rsidP="002513AD">
      <w:pPr>
        <w:rPr>
          <w:rFonts w:eastAsia="MS Mincho" w:cs="Arial"/>
          <w:bCs w:val="0"/>
          <w:sz w:val="20"/>
          <w:szCs w:val="20"/>
          <w:u w:val="single"/>
          <w:lang w:val="en-US" w:eastAsia="ja-JP"/>
        </w:rPr>
      </w:pPr>
    </w:p>
    <w:p w:rsidR="003913AB" w:rsidRPr="002513AD" w:rsidRDefault="003913AB" w:rsidP="002513AD">
      <w:pPr>
        <w:rPr>
          <w:rFonts w:eastAsia="Calibri" w:cs="Arial"/>
          <w:bCs w:val="0"/>
          <w:sz w:val="20"/>
          <w:szCs w:val="20"/>
          <w:u w:val="single"/>
        </w:rPr>
      </w:pPr>
      <w:r w:rsidRPr="002513AD">
        <w:rPr>
          <w:rFonts w:eastAsia="MS Mincho" w:cs="Arial"/>
          <w:bCs w:val="0"/>
          <w:sz w:val="20"/>
          <w:szCs w:val="20"/>
          <w:u w:val="single"/>
          <w:lang w:val="en-US" w:eastAsia="ja-JP"/>
        </w:rPr>
        <w:t>E.B.3</w:t>
      </w:r>
      <w:r w:rsidRPr="002513AD">
        <w:rPr>
          <w:rFonts w:eastAsia="MS Mincho" w:cs="Arial"/>
          <w:bCs w:val="0"/>
          <w:sz w:val="20"/>
          <w:szCs w:val="20"/>
          <w:u w:val="single"/>
          <w:lang w:val="en-US" w:eastAsia="ja-JP"/>
        </w:rPr>
        <w:tab/>
      </w:r>
      <w:r w:rsidRPr="002513AD">
        <w:rPr>
          <w:rFonts w:eastAsia="Calibri" w:cs="Arial"/>
          <w:bCs w:val="0"/>
          <w:sz w:val="20"/>
          <w:szCs w:val="20"/>
          <w:u w:val="single"/>
        </w:rPr>
        <w:t>Percentage of Service Users on incomplete RTT pathways (yet to start treatment) waiting no more than 18 weeks from Referral</w:t>
      </w:r>
    </w:p>
    <w:p w:rsidR="003913AB" w:rsidRDefault="003913AB" w:rsidP="002513AD">
      <w:pPr>
        <w:rPr>
          <w:rFonts w:eastAsia="Calibri" w:cs="Arial"/>
          <w:bCs w:val="0"/>
          <w:sz w:val="20"/>
          <w:szCs w:val="20"/>
        </w:rPr>
      </w:pPr>
    </w:p>
    <w:p w:rsidR="00826122" w:rsidRDefault="00826122" w:rsidP="002513AD">
      <w:pPr>
        <w:rPr>
          <w:rFonts w:eastAsia="Calibri" w:cs="Arial"/>
          <w:bCs w:val="0"/>
          <w:sz w:val="20"/>
          <w:szCs w:val="20"/>
        </w:rPr>
      </w:pPr>
      <w:r>
        <w:rPr>
          <w:rFonts w:eastAsia="Calibri" w:cs="Arial"/>
          <w:bCs w:val="0"/>
          <w:sz w:val="20"/>
          <w:szCs w:val="20"/>
        </w:rPr>
        <w:t>In line with the requirement set out in</w:t>
      </w:r>
      <w:r w:rsidRPr="00826122">
        <w:t xml:space="preserve"> </w:t>
      </w:r>
      <w:hyperlink r:id="rId23" w:history="1">
        <w:r w:rsidRPr="00826122">
          <w:rPr>
            <w:rStyle w:val="Hyperlink"/>
            <w:rFonts w:eastAsia="Calibri" w:cs="Arial"/>
            <w:bCs w:val="0"/>
            <w:sz w:val="20"/>
            <w:szCs w:val="20"/>
          </w:rPr>
          <w:t>Refreshing NHS Plans for 2018/19</w:t>
        </w:r>
      </w:hyperlink>
      <w:r>
        <w:rPr>
          <w:rFonts w:eastAsia="Calibri" w:cs="Arial"/>
          <w:bCs w:val="0"/>
          <w:sz w:val="20"/>
          <w:szCs w:val="20"/>
        </w:rPr>
        <w:t>, as a proxy for achieving this standard, the Provider will ensure that the total number of Service Users on an incomplete RTT pathway at 31 March 2019 is no higher than at 31 March 2018.</w:t>
      </w:r>
    </w:p>
    <w:p w:rsidR="003913AB" w:rsidRDefault="003913AB" w:rsidP="002513AD">
      <w:pPr>
        <w:rPr>
          <w:rFonts w:eastAsia="Calibri" w:cs="Arial"/>
          <w:bCs w:val="0"/>
          <w:sz w:val="20"/>
          <w:szCs w:val="20"/>
        </w:rPr>
      </w:pPr>
    </w:p>
    <w:p w:rsidR="003913AB" w:rsidRDefault="003913AB" w:rsidP="002513AD">
      <w:pPr>
        <w:rPr>
          <w:rFonts w:eastAsia="Calibri" w:cs="Arial"/>
          <w:bCs w:val="0"/>
          <w:sz w:val="20"/>
          <w:szCs w:val="20"/>
        </w:rPr>
      </w:pPr>
    </w:p>
    <w:p w:rsidR="003913AB" w:rsidRPr="002513AD" w:rsidRDefault="003913AB" w:rsidP="002513AD">
      <w:pPr>
        <w:rPr>
          <w:rFonts w:eastAsia="Calibri" w:cs="Arial"/>
          <w:bCs w:val="0"/>
          <w:sz w:val="20"/>
          <w:szCs w:val="20"/>
          <w:u w:val="single"/>
        </w:rPr>
      </w:pPr>
      <w:r w:rsidRPr="002513AD">
        <w:rPr>
          <w:rFonts w:eastAsia="Calibri" w:cs="Arial"/>
          <w:bCs w:val="0"/>
          <w:sz w:val="20"/>
          <w:szCs w:val="20"/>
          <w:u w:val="single"/>
        </w:rPr>
        <w:t>E.B.S4</w:t>
      </w:r>
      <w:r w:rsidRPr="002513AD">
        <w:rPr>
          <w:rFonts w:eastAsia="Calibri" w:cs="Arial"/>
          <w:bCs w:val="0"/>
          <w:sz w:val="20"/>
          <w:szCs w:val="20"/>
          <w:u w:val="single"/>
        </w:rPr>
        <w:tab/>
        <w:t>Zero tolerance RTT waits over 52 weeks for incomplete pathways</w:t>
      </w:r>
    </w:p>
    <w:p w:rsidR="003913AB" w:rsidRDefault="003913AB" w:rsidP="002513AD">
      <w:pPr>
        <w:rPr>
          <w:rFonts w:eastAsia="Calibri" w:cs="Arial"/>
          <w:bCs w:val="0"/>
          <w:sz w:val="20"/>
          <w:szCs w:val="20"/>
        </w:rPr>
      </w:pPr>
    </w:p>
    <w:p w:rsidR="003913AB" w:rsidRDefault="00826122" w:rsidP="002513AD">
      <w:pPr>
        <w:rPr>
          <w:rFonts w:eastAsia="Calibri" w:cs="Arial"/>
          <w:bCs w:val="0"/>
          <w:sz w:val="20"/>
          <w:szCs w:val="20"/>
        </w:rPr>
      </w:pPr>
      <w:r>
        <w:rPr>
          <w:rFonts w:eastAsia="Calibri" w:cs="Arial"/>
          <w:bCs w:val="0"/>
          <w:sz w:val="20"/>
          <w:szCs w:val="20"/>
        </w:rPr>
        <w:t>In line with the requirement set out in</w:t>
      </w:r>
      <w:r w:rsidRPr="00826122">
        <w:t xml:space="preserve"> </w:t>
      </w:r>
      <w:hyperlink r:id="rId24" w:history="1">
        <w:r w:rsidRPr="00826122">
          <w:rPr>
            <w:rStyle w:val="Hyperlink"/>
            <w:rFonts w:eastAsia="Calibri" w:cs="Arial"/>
            <w:bCs w:val="0"/>
            <w:sz w:val="20"/>
            <w:szCs w:val="20"/>
          </w:rPr>
          <w:t xml:space="preserve">Refreshing NHS </w:t>
        </w:r>
        <w:bookmarkStart w:id="6" w:name="_GoBack"/>
        <w:bookmarkEnd w:id="6"/>
        <w:r w:rsidRPr="00826122">
          <w:rPr>
            <w:rStyle w:val="Hyperlink"/>
            <w:rFonts w:eastAsia="Calibri" w:cs="Arial"/>
            <w:bCs w:val="0"/>
            <w:sz w:val="20"/>
            <w:szCs w:val="20"/>
          </w:rPr>
          <w:t>P</w:t>
        </w:r>
        <w:r w:rsidRPr="00826122">
          <w:rPr>
            <w:rStyle w:val="Hyperlink"/>
            <w:rFonts w:eastAsia="Calibri" w:cs="Arial"/>
            <w:bCs w:val="0"/>
            <w:sz w:val="20"/>
            <w:szCs w:val="20"/>
          </w:rPr>
          <w:t>lans for 2018/19</w:t>
        </w:r>
      </w:hyperlink>
      <w:r>
        <w:rPr>
          <w:rFonts w:eastAsia="Calibri" w:cs="Arial"/>
          <w:bCs w:val="0"/>
          <w:sz w:val="20"/>
          <w:szCs w:val="20"/>
        </w:rPr>
        <w:t>, t</w:t>
      </w:r>
      <w:r w:rsidR="003913AB">
        <w:rPr>
          <w:rFonts w:eastAsia="Calibri" w:cs="Arial"/>
          <w:bCs w:val="0"/>
          <w:sz w:val="20"/>
          <w:szCs w:val="20"/>
        </w:rPr>
        <w:t xml:space="preserve">he Provider will use all reasonable endeavours to ensure that </w:t>
      </w:r>
      <w:r>
        <w:rPr>
          <w:rFonts w:eastAsia="Calibri" w:cs="Arial"/>
          <w:bCs w:val="0"/>
          <w:sz w:val="20"/>
          <w:szCs w:val="20"/>
        </w:rPr>
        <w:t>waits over 52 weeks are eliminated by 31 March 2019 and will, as a minimum, ensure that the number of Service Users</w:t>
      </w:r>
      <w:r w:rsidR="003913AB">
        <w:rPr>
          <w:rFonts w:eastAsia="Calibri" w:cs="Arial"/>
          <w:bCs w:val="0"/>
          <w:sz w:val="20"/>
          <w:szCs w:val="20"/>
        </w:rPr>
        <w:t xml:space="preserve"> waiting over 52 weeks </w:t>
      </w:r>
      <w:r>
        <w:rPr>
          <w:rFonts w:eastAsia="Calibri" w:cs="Arial"/>
          <w:bCs w:val="0"/>
          <w:sz w:val="20"/>
          <w:szCs w:val="20"/>
        </w:rPr>
        <w:t xml:space="preserve">at 31 March 2018 </w:t>
      </w:r>
      <w:r w:rsidR="003913AB">
        <w:rPr>
          <w:rFonts w:eastAsia="Calibri" w:cs="Arial"/>
          <w:bCs w:val="0"/>
          <w:sz w:val="20"/>
          <w:szCs w:val="20"/>
        </w:rPr>
        <w:t xml:space="preserve">is reduced by 50% </w:t>
      </w:r>
      <w:r>
        <w:rPr>
          <w:rFonts w:eastAsia="Calibri" w:cs="Arial"/>
          <w:bCs w:val="0"/>
          <w:sz w:val="20"/>
          <w:szCs w:val="20"/>
        </w:rPr>
        <w:t>by 31 March 2019.</w:t>
      </w:r>
    </w:p>
    <w:p w:rsidR="006B1775" w:rsidRPr="006B1775" w:rsidRDefault="003913AB" w:rsidP="006B1775">
      <w:pPr>
        <w:rPr>
          <w:rFonts w:eastAsia="Calibri" w:cs="Arial"/>
          <w:b/>
          <w:bCs w:val="0"/>
          <w:sz w:val="20"/>
          <w:szCs w:val="20"/>
        </w:rPr>
      </w:pPr>
      <w:r>
        <w:rPr>
          <w:rFonts w:eastAsia="MS Mincho" w:cs="Arial"/>
          <w:bCs w:val="0"/>
          <w:i/>
          <w:sz w:val="20"/>
          <w:szCs w:val="20"/>
          <w:lang w:val="en-US" w:eastAsia="ja-JP"/>
        </w:rPr>
        <w:br w:type="page"/>
      </w:r>
      <w:r w:rsidR="007546C2">
        <w:rPr>
          <w:rFonts w:eastAsia="Calibri" w:cs="Arial"/>
          <w:b/>
          <w:bCs w:val="0"/>
          <w:sz w:val="20"/>
          <w:szCs w:val="20"/>
        </w:rPr>
        <w:t>Assurance S</w:t>
      </w:r>
      <w:r w:rsidR="006B1775" w:rsidRPr="006B1775">
        <w:rPr>
          <w:rFonts w:eastAsia="Calibri" w:cs="Arial"/>
          <w:b/>
          <w:bCs w:val="0"/>
          <w:sz w:val="20"/>
          <w:szCs w:val="20"/>
        </w:rPr>
        <w:t>tatements</w:t>
      </w:r>
    </w:p>
    <w:p w:rsidR="00F531B7" w:rsidRDefault="00F531B7" w:rsidP="006B1775">
      <w:pPr>
        <w:rPr>
          <w:rFonts w:eastAsia="Calibri" w:cs="Arial"/>
          <w:bCs w:val="0"/>
          <w:sz w:val="20"/>
          <w:szCs w:val="20"/>
        </w:rPr>
      </w:pPr>
    </w:p>
    <w:p w:rsidR="006B1775" w:rsidRPr="006B1775" w:rsidRDefault="006C540A" w:rsidP="006B1775">
      <w:pPr>
        <w:rPr>
          <w:rFonts w:eastAsia="Calibri" w:cs="Arial"/>
          <w:bCs w:val="0"/>
          <w:sz w:val="20"/>
          <w:szCs w:val="20"/>
        </w:rPr>
      </w:pPr>
      <w:r>
        <w:rPr>
          <w:rFonts w:eastAsia="Calibri" w:cs="Arial"/>
          <w:bCs w:val="0"/>
          <w:sz w:val="20"/>
          <w:szCs w:val="20"/>
        </w:rPr>
        <w:t xml:space="preserve">In line with the </w:t>
      </w:r>
      <w:r w:rsidR="006A57BE">
        <w:rPr>
          <w:rFonts w:eastAsia="Calibri" w:cs="Arial"/>
          <w:bCs w:val="0"/>
          <w:sz w:val="20"/>
          <w:szCs w:val="20"/>
        </w:rPr>
        <w:t>assurance statements</w:t>
      </w:r>
      <w:r w:rsidR="006B1775" w:rsidRPr="006B1775">
        <w:rPr>
          <w:rFonts w:eastAsia="Calibri" w:cs="Arial"/>
          <w:bCs w:val="0"/>
          <w:sz w:val="20"/>
          <w:szCs w:val="20"/>
        </w:rPr>
        <w:t xml:space="preserve"> </w:t>
      </w:r>
      <w:r>
        <w:rPr>
          <w:rFonts w:eastAsia="Calibri" w:cs="Arial"/>
          <w:bCs w:val="0"/>
          <w:sz w:val="20"/>
          <w:szCs w:val="20"/>
        </w:rPr>
        <w:t xml:space="preserve">it has given </w:t>
      </w:r>
      <w:r w:rsidR="006B1775" w:rsidRPr="006B1775">
        <w:rPr>
          <w:rFonts w:eastAsia="Calibri" w:cs="Arial"/>
          <w:bCs w:val="0"/>
          <w:sz w:val="20"/>
          <w:szCs w:val="20"/>
        </w:rPr>
        <w:t>to NHS Improvement and NHS England</w:t>
      </w:r>
      <w:r>
        <w:rPr>
          <w:rFonts w:eastAsia="Calibri" w:cs="Arial"/>
          <w:bCs w:val="0"/>
          <w:sz w:val="20"/>
          <w:szCs w:val="20"/>
        </w:rPr>
        <w:t>, the Provider undertakes</w:t>
      </w:r>
      <w:r w:rsidR="006B1775" w:rsidRPr="006B1775">
        <w:rPr>
          <w:rFonts w:eastAsia="Calibri" w:cs="Arial"/>
          <w:bCs w:val="0"/>
          <w:sz w:val="20"/>
          <w:szCs w:val="20"/>
        </w:rPr>
        <w:t xml:space="preserve"> </w:t>
      </w:r>
      <w:r w:rsidR="006A57BE">
        <w:rPr>
          <w:rFonts w:eastAsia="Calibri" w:cs="Arial"/>
          <w:bCs w:val="0"/>
          <w:sz w:val="20"/>
          <w:szCs w:val="20"/>
        </w:rPr>
        <w:t>that it will use all</w:t>
      </w:r>
      <w:r w:rsidR="007546C2">
        <w:rPr>
          <w:rFonts w:eastAsia="Calibri" w:cs="Arial"/>
          <w:bCs w:val="0"/>
          <w:sz w:val="20"/>
          <w:szCs w:val="20"/>
        </w:rPr>
        <w:t xml:space="preserve"> reasonable endeavours to achieve in full </w:t>
      </w:r>
      <w:r w:rsidR="006A57BE">
        <w:rPr>
          <w:rFonts w:eastAsia="Calibri" w:cs="Arial"/>
          <w:bCs w:val="0"/>
          <w:sz w:val="20"/>
          <w:szCs w:val="20"/>
        </w:rPr>
        <w:t>the following Operational Standards and National Quality Requirements on an ongoing basis during 2018/19.</w:t>
      </w:r>
    </w:p>
    <w:p w:rsidR="006B1775" w:rsidRPr="006B1775" w:rsidRDefault="006B1775" w:rsidP="006B1775">
      <w:pPr>
        <w:rPr>
          <w:rFonts w:eastAsia="Calibri" w:cs="Arial"/>
          <w:bCs w:val="0"/>
          <w:sz w:val="20"/>
          <w:szCs w:val="20"/>
        </w:rPr>
      </w:pPr>
    </w:p>
    <w:p w:rsidR="006B1775" w:rsidRPr="006A5511" w:rsidRDefault="00510785" w:rsidP="006B1775">
      <w:pPr>
        <w:rPr>
          <w:rFonts w:eastAsia="Calibri" w:cs="Arial"/>
          <w:bCs w:val="0"/>
          <w:i/>
          <w:sz w:val="20"/>
          <w:szCs w:val="20"/>
        </w:rPr>
      </w:pPr>
      <w:r w:rsidRPr="006A5511">
        <w:rPr>
          <w:rFonts w:eastAsia="Calibri" w:cs="Arial"/>
          <w:bCs w:val="0"/>
          <w:i/>
          <w:sz w:val="20"/>
          <w:szCs w:val="20"/>
        </w:rPr>
        <w:t>[Delete where not relevant to the Services provided by the Provider]</w:t>
      </w:r>
    </w:p>
    <w:bookmarkEnd w:id="4"/>
    <w:bookmarkEnd w:id="5"/>
    <w:p w:rsidR="002B7772" w:rsidRDefault="002B7772" w:rsidP="00492E53">
      <w:pPr>
        <w:rPr>
          <w:sz w:val="20"/>
          <w:szCs w:val="20"/>
        </w:rPr>
      </w:pPr>
    </w:p>
    <w:p w:rsidR="007546C2" w:rsidRPr="007546C2" w:rsidRDefault="007546C2" w:rsidP="00492E53">
      <w:pPr>
        <w:rPr>
          <w:sz w:val="20"/>
          <w:szCs w:val="20"/>
          <w:u w:val="single"/>
        </w:rPr>
      </w:pPr>
      <w:r w:rsidRPr="007546C2">
        <w:rPr>
          <w:sz w:val="20"/>
          <w:szCs w:val="20"/>
          <w:u w:val="single"/>
        </w:rPr>
        <w:t>Operational Standards</w:t>
      </w:r>
    </w:p>
    <w:p w:rsidR="007546C2" w:rsidRDefault="007546C2" w:rsidP="00492E53">
      <w:pPr>
        <w:rPr>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3041"/>
      </w:tblGrid>
      <w:tr w:rsidR="006A57BE" w:rsidRPr="007546C2" w:rsidTr="0043287D">
        <w:tc>
          <w:tcPr>
            <w:tcW w:w="993" w:type="dxa"/>
          </w:tcPr>
          <w:p w:rsidR="006A57BE" w:rsidRPr="007546C2" w:rsidRDefault="006A57BE" w:rsidP="006C540A">
            <w:pPr>
              <w:spacing w:before="40" w:after="40"/>
              <w:rPr>
                <w:sz w:val="20"/>
                <w:szCs w:val="20"/>
                <w:lang w:val="en-US"/>
              </w:rPr>
            </w:pPr>
            <w:r w:rsidRPr="007546C2">
              <w:rPr>
                <w:sz w:val="20"/>
                <w:szCs w:val="20"/>
                <w:lang w:val="en-US"/>
              </w:rPr>
              <w:t>E.B.4</w:t>
            </w:r>
          </w:p>
        </w:tc>
        <w:tc>
          <w:tcPr>
            <w:tcW w:w="13041" w:type="dxa"/>
          </w:tcPr>
          <w:p w:rsidR="006A57BE" w:rsidRPr="007546C2" w:rsidRDefault="006A57BE" w:rsidP="006C540A">
            <w:pPr>
              <w:spacing w:before="40" w:after="40"/>
              <w:rPr>
                <w:sz w:val="20"/>
                <w:szCs w:val="20"/>
                <w:lang w:val="en-US"/>
              </w:rPr>
            </w:pPr>
            <w:r w:rsidRPr="007546C2">
              <w:rPr>
                <w:sz w:val="20"/>
                <w:szCs w:val="20"/>
                <w:lang w:val="en-US"/>
              </w:rPr>
              <w:t>Percentage of  Service Users waiting 6 weeks or more from Referral for a diagnostic test</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E.B.6</w:t>
            </w:r>
          </w:p>
        </w:tc>
        <w:tc>
          <w:tcPr>
            <w:tcW w:w="13041" w:type="dxa"/>
          </w:tcPr>
          <w:p w:rsidR="00364759" w:rsidRPr="007546C2" w:rsidDel="00364759" w:rsidRDefault="00364759" w:rsidP="00364759">
            <w:pPr>
              <w:spacing w:before="40" w:after="40"/>
              <w:rPr>
                <w:sz w:val="20"/>
                <w:szCs w:val="20"/>
                <w:lang w:val="en-US"/>
              </w:rPr>
            </w:pPr>
            <w:r w:rsidRPr="00364759">
              <w:rPr>
                <w:sz w:val="20"/>
                <w:szCs w:val="20"/>
                <w:lang w:val="en-US"/>
              </w:rPr>
              <w:t>Percentage of Service Users referred urgently with suspected cancer by a GP waiting no more than two weeks for first outpatient appointment*</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E.B.7</w:t>
            </w: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Percentage of Service Users referred urgently with breast symptoms (where cancer was not initially suspected) waiting no more than two weeks for first outpatient appointment*</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E.B.8</w:t>
            </w:r>
          </w:p>
        </w:tc>
        <w:tc>
          <w:tcPr>
            <w:tcW w:w="13041" w:type="dxa"/>
          </w:tcPr>
          <w:p w:rsidR="00364759" w:rsidRPr="007546C2" w:rsidDel="00364759" w:rsidRDefault="00364759" w:rsidP="00364759">
            <w:pPr>
              <w:spacing w:before="40" w:after="40"/>
              <w:rPr>
                <w:sz w:val="20"/>
                <w:szCs w:val="20"/>
                <w:lang w:val="en-US"/>
              </w:rPr>
            </w:pPr>
            <w:r w:rsidRPr="00364759">
              <w:rPr>
                <w:sz w:val="20"/>
                <w:szCs w:val="20"/>
                <w:lang w:val="en-US"/>
              </w:rPr>
              <w:t>Percentage of Service Users waiting no more than one month (31 days) from diagnosis to first definitive treatment for all cancers*</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w:t>
            </w:r>
            <w:r w:rsidR="000E3B07">
              <w:rPr>
                <w:sz w:val="20"/>
                <w:szCs w:val="20"/>
                <w:lang w:val="en-US"/>
              </w:rPr>
              <w:t>9</w:t>
            </w: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Percentage of Service Users waiting no more than 31 days for subsequent treatment where that treatment is surgery*</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E.B.10</w:t>
            </w: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Percentage of Service Users waiting no more than 31 days for subsequent treatment where that treatment is an anti-cancer drug regimen*</w:t>
            </w:r>
          </w:p>
        </w:tc>
      </w:tr>
      <w:tr w:rsidR="00364759" w:rsidRPr="007546C2" w:rsidDel="00364759" w:rsidTr="0043287D">
        <w:tc>
          <w:tcPr>
            <w:tcW w:w="993" w:type="dxa"/>
          </w:tcPr>
          <w:p w:rsidR="00364759" w:rsidRPr="007546C2" w:rsidDel="00364759" w:rsidRDefault="000E3B07" w:rsidP="006C540A">
            <w:pPr>
              <w:spacing w:before="40" w:after="40"/>
              <w:rPr>
                <w:sz w:val="20"/>
                <w:szCs w:val="20"/>
                <w:lang w:val="en-US"/>
              </w:rPr>
            </w:pPr>
            <w:r>
              <w:rPr>
                <w:sz w:val="20"/>
                <w:szCs w:val="20"/>
                <w:lang w:val="en-US"/>
              </w:rPr>
              <w:t>E.</w:t>
            </w:r>
            <w:r w:rsidR="00364759">
              <w:rPr>
                <w:sz w:val="20"/>
                <w:szCs w:val="20"/>
                <w:lang w:val="en-US"/>
              </w:rPr>
              <w:t>B.11</w:t>
            </w: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Percentage of Service Users waiting no more than 31 days for subsequent treatment where the treatment is a course of radiotherapy*</w:t>
            </w:r>
          </w:p>
        </w:tc>
      </w:tr>
      <w:tr w:rsidR="000E3B07" w:rsidRPr="007546C2" w:rsidDel="00364759" w:rsidTr="0043287D">
        <w:tc>
          <w:tcPr>
            <w:tcW w:w="993" w:type="dxa"/>
          </w:tcPr>
          <w:p w:rsidR="000E3B07" w:rsidRDefault="000E3B07" w:rsidP="006C540A">
            <w:pPr>
              <w:spacing w:before="40" w:after="40"/>
              <w:rPr>
                <w:sz w:val="20"/>
                <w:szCs w:val="20"/>
                <w:lang w:val="en-US"/>
              </w:rPr>
            </w:pPr>
            <w:r>
              <w:rPr>
                <w:sz w:val="20"/>
                <w:szCs w:val="20"/>
                <w:lang w:val="en-US"/>
              </w:rPr>
              <w:t>E.B.12</w:t>
            </w:r>
          </w:p>
        </w:tc>
        <w:tc>
          <w:tcPr>
            <w:tcW w:w="13041" w:type="dxa"/>
          </w:tcPr>
          <w:p w:rsidR="000E3B07" w:rsidRPr="00364759" w:rsidRDefault="000E3B07" w:rsidP="006C540A">
            <w:pPr>
              <w:spacing w:before="40" w:after="40"/>
              <w:rPr>
                <w:sz w:val="20"/>
                <w:szCs w:val="20"/>
                <w:lang w:val="en-US"/>
              </w:rPr>
            </w:pPr>
            <w:r w:rsidRPr="000E3B07">
              <w:rPr>
                <w:sz w:val="20"/>
                <w:szCs w:val="20"/>
                <w:lang w:val="en-US"/>
              </w:rPr>
              <w:t>Percentage of Service Users waiting no more than two months (62 days) from urgent GP referral to first definitive treatment for cancer*</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r>
              <w:rPr>
                <w:sz w:val="20"/>
                <w:szCs w:val="20"/>
                <w:lang w:val="en-US"/>
              </w:rPr>
              <w:t>E.B.13</w:t>
            </w: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Percentage of Service Users waiting no more than two months (62 days) from urgent GP referral to first definitive treatment for cancer*</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1 (life-threatening) calls – percentage of calls resulting in a response arriving within 15 minutes **</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1 (life-threatening) calls – mean time taken for a response to arrive **</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2 (emergency) calls – percentage of calls resulting in an appropriate response arriving within 40 minutes **</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2 (emergency) calls – mean time taken for an appropriate response to arrive **</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3 (urgent) calls – percentage of calls resulting in an appropriate response</w:t>
            </w:r>
            <w:r>
              <w:rPr>
                <w:sz w:val="20"/>
                <w:szCs w:val="20"/>
                <w:lang w:val="en-US"/>
              </w:rPr>
              <w:t xml:space="preserve"> arriving within 120 minutes **</w:t>
            </w:r>
          </w:p>
        </w:tc>
      </w:tr>
      <w:tr w:rsidR="00364759" w:rsidRPr="007546C2" w:rsidDel="00364759" w:rsidTr="0043287D">
        <w:tc>
          <w:tcPr>
            <w:tcW w:w="993" w:type="dxa"/>
          </w:tcPr>
          <w:p w:rsidR="00364759" w:rsidRPr="007546C2" w:rsidDel="00364759" w:rsidRDefault="00364759" w:rsidP="006C540A">
            <w:pPr>
              <w:spacing w:before="40" w:after="40"/>
              <w:rPr>
                <w:sz w:val="20"/>
                <w:szCs w:val="20"/>
                <w:lang w:val="en-US"/>
              </w:rPr>
            </w:pPr>
          </w:p>
        </w:tc>
        <w:tc>
          <w:tcPr>
            <w:tcW w:w="13041" w:type="dxa"/>
          </w:tcPr>
          <w:p w:rsidR="00364759" w:rsidRPr="007546C2" w:rsidDel="00364759" w:rsidRDefault="00364759" w:rsidP="006C540A">
            <w:pPr>
              <w:spacing w:before="40" w:after="40"/>
              <w:rPr>
                <w:sz w:val="20"/>
                <w:szCs w:val="20"/>
                <w:lang w:val="en-US"/>
              </w:rPr>
            </w:pPr>
            <w:r w:rsidRPr="00364759">
              <w:rPr>
                <w:sz w:val="20"/>
                <w:szCs w:val="20"/>
                <w:lang w:val="en-US"/>
              </w:rPr>
              <w:t>(With effect from 1 April 2018) Category 4 (non-urgent “assess, treat, transport” calls only) – percentage of calls resulting in an appropriate response arriving within 180 minutes **</w:t>
            </w:r>
          </w:p>
        </w:tc>
      </w:tr>
      <w:tr w:rsidR="00364759" w:rsidRPr="007546C2" w:rsidDel="00364759" w:rsidTr="0043287D">
        <w:tc>
          <w:tcPr>
            <w:tcW w:w="993" w:type="dxa"/>
          </w:tcPr>
          <w:p w:rsidR="00364759" w:rsidRPr="007546C2" w:rsidDel="00364759" w:rsidRDefault="00B90C5E" w:rsidP="006C540A">
            <w:pPr>
              <w:spacing w:before="40" w:after="40"/>
              <w:rPr>
                <w:sz w:val="20"/>
                <w:szCs w:val="20"/>
                <w:lang w:val="en-US"/>
              </w:rPr>
            </w:pPr>
            <w:r>
              <w:rPr>
                <w:sz w:val="20"/>
                <w:szCs w:val="20"/>
                <w:lang w:val="en-US"/>
              </w:rPr>
              <w:t>E.B.S.3</w:t>
            </w:r>
          </w:p>
        </w:tc>
        <w:tc>
          <w:tcPr>
            <w:tcW w:w="13041" w:type="dxa"/>
          </w:tcPr>
          <w:p w:rsidR="00364759" w:rsidRPr="007546C2" w:rsidDel="00364759" w:rsidRDefault="00B90C5E" w:rsidP="006C540A">
            <w:pPr>
              <w:spacing w:before="40" w:after="40"/>
              <w:rPr>
                <w:sz w:val="20"/>
                <w:szCs w:val="20"/>
                <w:lang w:val="en-US"/>
              </w:rPr>
            </w:pPr>
            <w:r w:rsidRPr="00B90C5E">
              <w:rPr>
                <w:sz w:val="20"/>
                <w:szCs w:val="20"/>
                <w:lang w:val="en-US"/>
              </w:rPr>
              <w:t xml:space="preserve">Care </w:t>
            </w:r>
            <w:proofErr w:type="spellStart"/>
            <w:r w:rsidRPr="00B90C5E">
              <w:rPr>
                <w:sz w:val="20"/>
                <w:szCs w:val="20"/>
                <w:lang w:val="en-US"/>
              </w:rPr>
              <w:t>Programme</w:t>
            </w:r>
            <w:proofErr w:type="spellEnd"/>
            <w:r w:rsidRPr="00B90C5E">
              <w:rPr>
                <w:sz w:val="20"/>
                <w:szCs w:val="20"/>
                <w:lang w:val="en-US"/>
              </w:rPr>
              <w:t xml:space="preserve"> Approach (CPA): The percentage of Service Users under adult mental illness specialties on CPA who were followed up within 7 days of discharge from psychiatric in-patient care</w:t>
            </w:r>
            <w:r w:rsidR="0043287D">
              <w:rPr>
                <w:sz w:val="20"/>
                <w:szCs w:val="20"/>
                <w:lang w:val="en-US"/>
              </w:rPr>
              <w:t xml:space="preserve"> </w:t>
            </w:r>
            <w:r w:rsidRPr="00B90C5E">
              <w:rPr>
                <w:sz w:val="20"/>
                <w:szCs w:val="20"/>
                <w:lang w:val="en-US"/>
              </w:rPr>
              <w:t>*</w:t>
            </w:r>
          </w:p>
        </w:tc>
      </w:tr>
    </w:tbl>
    <w:p w:rsidR="007546C2" w:rsidRPr="007546C2" w:rsidRDefault="0043287D" w:rsidP="00492E53">
      <w:pPr>
        <w:rPr>
          <w:sz w:val="20"/>
          <w:szCs w:val="20"/>
          <w:u w:val="single"/>
        </w:rPr>
      </w:pPr>
      <w:r>
        <w:rPr>
          <w:sz w:val="20"/>
          <w:szCs w:val="20"/>
        </w:rPr>
        <w:br w:type="page"/>
      </w:r>
      <w:r w:rsidR="007546C2" w:rsidRPr="007546C2">
        <w:rPr>
          <w:sz w:val="20"/>
          <w:szCs w:val="20"/>
          <w:u w:val="single"/>
        </w:rPr>
        <w:t>National Quality Requirements</w:t>
      </w:r>
    </w:p>
    <w:p w:rsidR="002B7772" w:rsidRDefault="002B7772" w:rsidP="00492E53">
      <w:pPr>
        <w:rPr>
          <w:sz w:val="20"/>
          <w:szCs w:val="20"/>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474"/>
      </w:tblGrid>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E.B.S.7a</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All handovers between ambulance and A &amp; E must take place within 15 minutes with no</w:t>
            </w:r>
            <w:r w:rsidR="007546C2">
              <w:rPr>
                <w:sz w:val="20"/>
                <w:szCs w:val="20"/>
                <w:lang w:val="en-US"/>
              </w:rPr>
              <w:t>ne waiting more than 30 minutes</w:t>
            </w:r>
          </w:p>
        </w:tc>
      </w:tr>
      <w:tr w:rsidR="007546C2" w:rsidRPr="007546C2" w:rsidTr="006C540A">
        <w:tc>
          <w:tcPr>
            <w:tcW w:w="1276" w:type="dxa"/>
          </w:tcPr>
          <w:p w:rsidR="007546C2" w:rsidRPr="007546C2" w:rsidRDefault="007546C2" w:rsidP="006C540A">
            <w:pPr>
              <w:spacing w:before="40" w:after="40"/>
              <w:rPr>
                <w:sz w:val="20"/>
                <w:szCs w:val="20"/>
                <w:lang w:val="en-US"/>
              </w:rPr>
            </w:pPr>
            <w:r w:rsidRPr="007546C2">
              <w:rPr>
                <w:sz w:val="20"/>
                <w:szCs w:val="20"/>
                <w:lang w:val="en-US"/>
              </w:rPr>
              <w:t>E.B.S.7b</w:t>
            </w:r>
          </w:p>
        </w:tc>
        <w:tc>
          <w:tcPr>
            <w:tcW w:w="12474" w:type="dxa"/>
          </w:tcPr>
          <w:p w:rsidR="007546C2" w:rsidRPr="007546C2" w:rsidRDefault="007546C2" w:rsidP="006C540A">
            <w:pPr>
              <w:spacing w:before="40" w:after="40"/>
              <w:rPr>
                <w:sz w:val="20"/>
                <w:szCs w:val="20"/>
                <w:lang w:val="en-US"/>
              </w:rPr>
            </w:pPr>
            <w:r w:rsidRPr="007546C2">
              <w:rPr>
                <w:sz w:val="20"/>
                <w:szCs w:val="20"/>
                <w:lang w:val="en-US"/>
              </w:rPr>
              <w:t>All handovers between ambulance and A &amp; E must take place within 15 minutes with no</w:t>
            </w:r>
            <w:r>
              <w:rPr>
                <w:sz w:val="20"/>
                <w:szCs w:val="20"/>
                <w:lang w:val="en-US"/>
              </w:rPr>
              <w:t>ne waiting more than 60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E.B.S.8a</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Following handover between ambulance and A &amp; E, ambulance crew should be ready to accept new calls within 15 minute</w:t>
            </w:r>
            <w:r w:rsidR="007546C2">
              <w:rPr>
                <w:sz w:val="20"/>
                <w:szCs w:val="20"/>
                <w:lang w:val="en-US"/>
              </w:rPr>
              <w:t>s and no longer than 30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E.B.S.8b</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Following handover between ambulance and A &amp; E, ambulance crew should be ready to accept new calls within 15 minute</w:t>
            </w:r>
            <w:r w:rsidR="007546C2">
              <w:rPr>
                <w:sz w:val="20"/>
                <w:szCs w:val="20"/>
                <w:lang w:val="en-US"/>
              </w:rPr>
              <w:t>s and no longer than 60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E.B.S.5</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 xml:space="preserve">Trolley waits </w:t>
            </w:r>
            <w:r w:rsidR="007546C2">
              <w:rPr>
                <w:sz w:val="20"/>
                <w:szCs w:val="20"/>
                <w:lang w:val="en-US"/>
              </w:rPr>
              <w:t>in A&amp;E not longer than 12 hours</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6C540A">
            <w:pPr>
              <w:spacing w:before="40" w:after="40"/>
              <w:rPr>
                <w:sz w:val="20"/>
                <w:szCs w:val="20"/>
                <w:lang w:val="en-US"/>
              </w:rPr>
            </w:pPr>
            <w:r w:rsidRPr="000E3B07">
              <w:rPr>
                <w:sz w:val="20"/>
                <w:szCs w:val="20"/>
                <w:lang w:val="en-US"/>
              </w:rPr>
              <w:t>VTE risk assessment: all inpatient Service Users undergoing risk assessment for VTE, as defined in Contract Technical Guidance</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0E3B07">
            <w:pPr>
              <w:spacing w:before="40" w:after="40"/>
              <w:rPr>
                <w:sz w:val="20"/>
                <w:szCs w:val="20"/>
                <w:lang w:val="en-US"/>
              </w:rPr>
            </w:pPr>
            <w:r w:rsidRPr="000E3B07">
              <w:rPr>
                <w:sz w:val="20"/>
                <w:szCs w:val="20"/>
                <w:lang w:val="en-US"/>
              </w:rPr>
              <w:t>Completion of a valid NHS Number field in mental health and acute commissioning data sets submitted via SUS, as defined in Contract Technical Guidance</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6C540A">
            <w:pPr>
              <w:spacing w:before="40" w:after="40"/>
              <w:rPr>
                <w:sz w:val="20"/>
                <w:szCs w:val="20"/>
                <w:lang w:val="en-US"/>
              </w:rPr>
            </w:pPr>
            <w:r w:rsidRPr="000E3B07">
              <w:rPr>
                <w:sz w:val="20"/>
                <w:szCs w:val="20"/>
                <w:lang w:val="en-US"/>
              </w:rPr>
              <w:t>Completion of a valid NHS Number field in A&amp;E commissioning data sets submitted via SUS, as defined in Contract Technical Guidance</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6C540A">
            <w:pPr>
              <w:spacing w:before="40" w:after="40"/>
              <w:rPr>
                <w:sz w:val="20"/>
                <w:szCs w:val="20"/>
                <w:lang w:val="en-US"/>
              </w:rPr>
            </w:pPr>
            <w:r w:rsidRPr="000E3B07">
              <w:rPr>
                <w:sz w:val="20"/>
                <w:szCs w:val="20"/>
                <w:lang w:val="en-US"/>
              </w:rPr>
              <w:t>Completion of Mental Health Services Data Set ethnicity coding for all Service Users, as defined in Contract Technical Guidance</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6C540A">
            <w:pPr>
              <w:spacing w:before="40" w:after="40"/>
              <w:rPr>
                <w:sz w:val="20"/>
                <w:szCs w:val="20"/>
                <w:lang w:val="en-US"/>
              </w:rPr>
            </w:pPr>
            <w:r w:rsidRPr="000E3B07">
              <w:rPr>
                <w:sz w:val="20"/>
                <w:szCs w:val="20"/>
                <w:lang w:val="en-US"/>
              </w:rPr>
              <w:t>Completion of IAPT Minimum Data Set outcome data for all appropriate Service Users, as defined in Contract Technical Guidance</w:t>
            </w:r>
          </w:p>
        </w:tc>
      </w:tr>
      <w:tr w:rsidR="000E3B07" w:rsidRPr="007546C2" w:rsidTr="006C540A">
        <w:tc>
          <w:tcPr>
            <w:tcW w:w="1276" w:type="dxa"/>
          </w:tcPr>
          <w:p w:rsidR="000E3B07" w:rsidRPr="007546C2" w:rsidRDefault="000E3B07" w:rsidP="006C540A">
            <w:pPr>
              <w:spacing w:before="40" w:after="40"/>
              <w:rPr>
                <w:sz w:val="20"/>
                <w:szCs w:val="20"/>
                <w:lang w:val="en-US"/>
              </w:rPr>
            </w:pPr>
            <w:r>
              <w:rPr>
                <w:sz w:val="20"/>
                <w:szCs w:val="20"/>
                <w:lang w:val="en-US"/>
              </w:rPr>
              <w:t>E.H.4</w:t>
            </w:r>
          </w:p>
        </w:tc>
        <w:tc>
          <w:tcPr>
            <w:tcW w:w="12474" w:type="dxa"/>
          </w:tcPr>
          <w:p w:rsidR="000E3B07" w:rsidRPr="007546C2" w:rsidRDefault="000E3B07" w:rsidP="000E3B07">
            <w:pPr>
              <w:spacing w:before="40" w:after="40"/>
              <w:rPr>
                <w:sz w:val="20"/>
                <w:szCs w:val="20"/>
                <w:lang w:val="en-US"/>
              </w:rPr>
            </w:pPr>
            <w:r w:rsidRPr="000E3B07">
              <w:rPr>
                <w:sz w:val="20"/>
                <w:szCs w:val="20"/>
                <w:lang w:val="en-US"/>
              </w:rPr>
              <w:t xml:space="preserve">Early Intervention in Psychosis </w:t>
            </w:r>
            <w:proofErr w:type="spellStart"/>
            <w:r w:rsidRPr="000E3B07">
              <w:rPr>
                <w:sz w:val="20"/>
                <w:szCs w:val="20"/>
                <w:lang w:val="en-US"/>
              </w:rPr>
              <w:t>programmes</w:t>
            </w:r>
            <w:proofErr w:type="spellEnd"/>
            <w:r w:rsidRPr="000E3B07">
              <w:rPr>
                <w:sz w:val="20"/>
                <w:szCs w:val="20"/>
                <w:lang w:val="en-US"/>
              </w:rPr>
              <w:t>: the percentage of Service Users experiencing a first episode of psychosis or ARMS (at risk mental state) who wait less than two weeks to start a NICE-recommended package of care*</w:t>
            </w:r>
          </w:p>
        </w:tc>
      </w:tr>
      <w:tr w:rsidR="000E3B07" w:rsidRPr="007546C2" w:rsidTr="006C540A">
        <w:tc>
          <w:tcPr>
            <w:tcW w:w="1276" w:type="dxa"/>
          </w:tcPr>
          <w:p w:rsidR="000E3B07" w:rsidRPr="007546C2" w:rsidRDefault="000E3B07" w:rsidP="006C540A">
            <w:pPr>
              <w:spacing w:before="40" w:after="40"/>
              <w:rPr>
                <w:sz w:val="20"/>
                <w:szCs w:val="20"/>
                <w:lang w:val="en-US"/>
              </w:rPr>
            </w:pPr>
            <w:r>
              <w:rPr>
                <w:sz w:val="20"/>
                <w:szCs w:val="20"/>
                <w:lang w:val="en-US"/>
              </w:rPr>
              <w:t>E.H.1</w:t>
            </w:r>
          </w:p>
        </w:tc>
        <w:tc>
          <w:tcPr>
            <w:tcW w:w="12474" w:type="dxa"/>
          </w:tcPr>
          <w:p w:rsidR="000E3B07" w:rsidRPr="007546C2" w:rsidRDefault="000E3B07" w:rsidP="006C540A">
            <w:pPr>
              <w:spacing w:before="40" w:after="40"/>
              <w:rPr>
                <w:sz w:val="20"/>
                <w:szCs w:val="20"/>
                <w:lang w:val="en-US"/>
              </w:rPr>
            </w:pPr>
            <w:r w:rsidRPr="000E3B07">
              <w:rPr>
                <w:sz w:val="20"/>
                <w:szCs w:val="20"/>
                <w:lang w:val="en-US"/>
              </w:rPr>
              <w:t xml:space="preserve">Improving Access to Psychological Therapies (IAPT) </w:t>
            </w:r>
            <w:proofErr w:type="spellStart"/>
            <w:r w:rsidRPr="000E3B07">
              <w:rPr>
                <w:sz w:val="20"/>
                <w:szCs w:val="20"/>
                <w:lang w:val="en-US"/>
              </w:rPr>
              <w:t>programmes</w:t>
            </w:r>
            <w:proofErr w:type="spellEnd"/>
            <w:r w:rsidRPr="000E3B07">
              <w:rPr>
                <w:sz w:val="20"/>
                <w:szCs w:val="20"/>
                <w:lang w:val="en-US"/>
              </w:rPr>
              <w:t xml:space="preserve">: the percentage of Service Users referred to an IAPT </w:t>
            </w:r>
            <w:proofErr w:type="spellStart"/>
            <w:r w:rsidRPr="000E3B07">
              <w:rPr>
                <w:sz w:val="20"/>
                <w:szCs w:val="20"/>
                <w:lang w:val="en-US"/>
              </w:rPr>
              <w:t>programme</w:t>
            </w:r>
            <w:proofErr w:type="spellEnd"/>
            <w:r w:rsidRPr="000E3B07">
              <w:rPr>
                <w:sz w:val="20"/>
                <w:szCs w:val="20"/>
                <w:lang w:val="en-US"/>
              </w:rPr>
              <w:t xml:space="preserve"> who wait six weeks or less from referral to entering a course of IAPT treatment*</w:t>
            </w:r>
          </w:p>
        </w:tc>
      </w:tr>
      <w:tr w:rsidR="000E3B07" w:rsidRPr="007546C2" w:rsidTr="006C540A">
        <w:tc>
          <w:tcPr>
            <w:tcW w:w="1276" w:type="dxa"/>
          </w:tcPr>
          <w:p w:rsidR="000E3B07" w:rsidRPr="007546C2" w:rsidRDefault="000E3B07" w:rsidP="006C540A">
            <w:pPr>
              <w:spacing w:before="40" w:after="40"/>
              <w:rPr>
                <w:sz w:val="20"/>
                <w:szCs w:val="20"/>
                <w:lang w:val="en-US"/>
              </w:rPr>
            </w:pPr>
            <w:r>
              <w:rPr>
                <w:sz w:val="20"/>
                <w:szCs w:val="20"/>
                <w:lang w:val="en-US"/>
              </w:rPr>
              <w:t>E.H.2</w:t>
            </w:r>
          </w:p>
        </w:tc>
        <w:tc>
          <w:tcPr>
            <w:tcW w:w="12474" w:type="dxa"/>
          </w:tcPr>
          <w:p w:rsidR="000E3B07" w:rsidRPr="007546C2" w:rsidRDefault="000E3B07" w:rsidP="006C540A">
            <w:pPr>
              <w:spacing w:before="40" w:after="40"/>
              <w:rPr>
                <w:sz w:val="20"/>
                <w:szCs w:val="20"/>
                <w:lang w:val="en-US"/>
              </w:rPr>
            </w:pPr>
            <w:r w:rsidRPr="000E3B07">
              <w:rPr>
                <w:sz w:val="20"/>
                <w:szCs w:val="20"/>
                <w:lang w:val="en-US"/>
              </w:rPr>
              <w:t xml:space="preserve">Improving Access to Psychological Therapies (IAPT) </w:t>
            </w:r>
            <w:proofErr w:type="spellStart"/>
            <w:r w:rsidRPr="000E3B07">
              <w:rPr>
                <w:sz w:val="20"/>
                <w:szCs w:val="20"/>
                <w:lang w:val="en-US"/>
              </w:rPr>
              <w:t>programmes</w:t>
            </w:r>
            <w:proofErr w:type="spellEnd"/>
            <w:r w:rsidRPr="000E3B07">
              <w:rPr>
                <w:sz w:val="20"/>
                <w:szCs w:val="20"/>
                <w:lang w:val="en-US"/>
              </w:rPr>
              <w:t xml:space="preserve">: the percentage of Service Users referred to an IAPT </w:t>
            </w:r>
            <w:proofErr w:type="spellStart"/>
            <w:r w:rsidRPr="000E3B07">
              <w:rPr>
                <w:sz w:val="20"/>
                <w:szCs w:val="20"/>
                <w:lang w:val="en-US"/>
              </w:rPr>
              <w:t>programme</w:t>
            </w:r>
            <w:proofErr w:type="spellEnd"/>
            <w:r w:rsidRPr="000E3B07">
              <w:rPr>
                <w:sz w:val="20"/>
                <w:szCs w:val="20"/>
                <w:lang w:val="en-US"/>
              </w:rPr>
              <w:t xml:space="preserve"> who wait 18 weeks or less from referral to entering a course of IAPT treatment*</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0E3B07">
            <w:pPr>
              <w:spacing w:before="40" w:after="40"/>
              <w:rPr>
                <w:sz w:val="20"/>
                <w:szCs w:val="20"/>
                <w:lang w:val="en-US"/>
              </w:rPr>
            </w:pPr>
            <w:r w:rsidRPr="000E3B07">
              <w:rPr>
                <w:sz w:val="20"/>
                <w:szCs w:val="20"/>
                <w:lang w:val="en-US"/>
              </w:rPr>
              <w:t xml:space="preserve">Full implementation of an effective e-Prescribing system for chemotherapy across all relevant clinical teams within the Provider (other than those dealing with children, teenagers and young adults) across all </w:t>
            </w:r>
            <w:proofErr w:type="spellStart"/>
            <w:r w:rsidRPr="000E3B07">
              <w:rPr>
                <w:sz w:val="20"/>
                <w:szCs w:val="20"/>
                <w:lang w:val="en-US"/>
              </w:rPr>
              <w:t>tumour</w:t>
            </w:r>
            <w:proofErr w:type="spellEnd"/>
            <w:r w:rsidRPr="000E3B07">
              <w:rPr>
                <w:sz w:val="20"/>
                <w:szCs w:val="20"/>
                <w:lang w:val="en-US"/>
              </w:rPr>
              <w:t xml:space="preserve"> sites</w:t>
            </w:r>
          </w:p>
        </w:tc>
      </w:tr>
      <w:tr w:rsidR="000E3B07" w:rsidRPr="007546C2" w:rsidTr="006C540A">
        <w:tc>
          <w:tcPr>
            <w:tcW w:w="1276" w:type="dxa"/>
          </w:tcPr>
          <w:p w:rsidR="000E3B07" w:rsidRPr="007546C2" w:rsidRDefault="000E3B07" w:rsidP="006C540A">
            <w:pPr>
              <w:spacing w:before="40" w:after="40"/>
              <w:rPr>
                <w:sz w:val="20"/>
                <w:szCs w:val="20"/>
                <w:lang w:val="en-US"/>
              </w:rPr>
            </w:pPr>
          </w:p>
        </w:tc>
        <w:tc>
          <w:tcPr>
            <w:tcW w:w="12474" w:type="dxa"/>
          </w:tcPr>
          <w:p w:rsidR="000E3B07" w:rsidRPr="007546C2" w:rsidRDefault="000E3B07" w:rsidP="006C540A">
            <w:pPr>
              <w:spacing w:before="40" w:after="40"/>
              <w:rPr>
                <w:sz w:val="20"/>
                <w:szCs w:val="20"/>
                <w:lang w:val="en-US"/>
              </w:rPr>
            </w:pPr>
            <w:r w:rsidRPr="000E3B07">
              <w:rPr>
                <w:sz w:val="20"/>
                <w:szCs w:val="20"/>
                <w:lang w:val="en-US"/>
              </w:rPr>
              <w:t xml:space="preserve">Full implementation of an effective e-Prescribing system for chemotherapy across all relevant clinical teams within the Provider dealing with children, teenagers and young adults across all </w:t>
            </w:r>
            <w:proofErr w:type="spellStart"/>
            <w:r w:rsidRPr="000E3B07">
              <w:rPr>
                <w:sz w:val="20"/>
                <w:szCs w:val="20"/>
                <w:lang w:val="en-US"/>
              </w:rPr>
              <w:t>tumour</w:t>
            </w:r>
            <w:proofErr w:type="spellEnd"/>
            <w:r w:rsidRPr="000E3B07">
              <w:rPr>
                <w:sz w:val="20"/>
                <w:szCs w:val="20"/>
                <w:lang w:val="en-US"/>
              </w:rPr>
              <w:t xml:space="preserve"> sites</w:t>
            </w:r>
          </w:p>
        </w:tc>
      </w:tr>
    </w:tbl>
    <w:p w:rsidR="00492E53" w:rsidRPr="00492E53" w:rsidRDefault="006A5511" w:rsidP="00492E53">
      <w:pPr>
        <w:rPr>
          <w:b/>
          <w:sz w:val="20"/>
          <w:szCs w:val="20"/>
        </w:rPr>
      </w:pPr>
      <w:r>
        <w:rPr>
          <w:b/>
          <w:sz w:val="20"/>
          <w:szCs w:val="20"/>
        </w:rPr>
        <w:br w:type="page"/>
      </w:r>
      <w:r w:rsidR="00492E53" w:rsidRPr="00492E53">
        <w:rPr>
          <w:b/>
          <w:sz w:val="20"/>
          <w:szCs w:val="20"/>
        </w:rPr>
        <w:t>Assumptions underpinning Performance Improvement Trajectories and Assurance Statements</w:t>
      </w:r>
    </w:p>
    <w:p w:rsidR="00492E53" w:rsidRPr="00492E53" w:rsidRDefault="00492E53" w:rsidP="00492E53">
      <w:pPr>
        <w:rPr>
          <w:sz w:val="20"/>
          <w:szCs w:val="20"/>
        </w:rPr>
      </w:pPr>
    </w:p>
    <w:p w:rsidR="00492E53" w:rsidRPr="00492E53" w:rsidRDefault="00492E53" w:rsidP="00492E53">
      <w:pPr>
        <w:rPr>
          <w:sz w:val="20"/>
          <w:szCs w:val="20"/>
        </w:rPr>
      </w:pPr>
      <w:r>
        <w:rPr>
          <w:sz w:val="20"/>
          <w:szCs w:val="20"/>
        </w:rPr>
        <w:t>Include below any assumptions</w:t>
      </w:r>
      <w:r w:rsidR="002B7772">
        <w:rPr>
          <w:sz w:val="20"/>
          <w:szCs w:val="20"/>
        </w:rPr>
        <w:t>, jointly agreed between the P</w:t>
      </w:r>
      <w:r>
        <w:rPr>
          <w:sz w:val="20"/>
          <w:szCs w:val="20"/>
        </w:rPr>
        <w:t xml:space="preserve">rovider and </w:t>
      </w:r>
      <w:r w:rsidR="002B7772">
        <w:rPr>
          <w:sz w:val="20"/>
          <w:szCs w:val="20"/>
        </w:rPr>
        <w:t>its Commissioners, which underpin the Trajectories and Assurance Statements set out above.</w:t>
      </w:r>
    </w:p>
    <w:p w:rsidR="00492E53" w:rsidRPr="00492E53" w:rsidRDefault="00492E53" w:rsidP="00492E53">
      <w:pPr>
        <w:rPr>
          <w:sz w:val="20"/>
          <w:szCs w:val="20"/>
        </w:rPr>
      </w:pPr>
    </w:p>
    <w:tbl>
      <w:tblPr>
        <w:tblStyle w:val="TableGrid"/>
        <w:tblW w:w="0" w:type="auto"/>
        <w:tblInd w:w="108" w:type="dxa"/>
        <w:tblLook w:val="04A0" w:firstRow="1" w:lastRow="0" w:firstColumn="1" w:lastColumn="0" w:noHBand="0" w:noVBand="1"/>
        <w:tblDescription w:val="Include below any assumptions, jointly agreed between the Provider and its Commissioners, which underpin the Trajectories and Assurance Statements set out above"/>
      </w:tblPr>
      <w:tblGrid>
        <w:gridCol w:w="13892"/>
      </w:tblGrid>
      <w:tr w:rsidR="00492E53" w:rsidRPr="00492E53" w:rsidTr="00E7572D">
        <w:trPr>
          <w:tblHeader/>
        </w:trPr>
        <w:tc>
          <w:tcPr>
            <w:tcW w:w="13892" w:type="dxa"/>
          </w:tcPr>
          <w:p w:rsidR="00492E53" w:rsidRPr="00492E53" w:rsidRDefault="00492E53" w:rsidP="00492E53">
            <w:pPr>
              <w:rPr>
                <w:sz w:val="20"/>
                <w:szCs w:val="20"/>
              </w:rPr>
            </w:pPr>
          </w:p>
          <w:p w:rsidR="00492E53" w:rsidRPr="00492E53" w:rsidRDefault="00492E53" w:rsidP="00492E53">
            <w:pPr>
              <w:rPr>
                <w:sz w:val="20"/>
                <w:szCs w:val="20"/>
              </w:rPr>
            </w:pPr>
          </w:p>
          <w:p w:rsidR="00492E53" w:rsidRDefault="00492E53"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492E53" w:rsidRPr="00492E53" w:rsidRDefault="00492E53" w:rsidP="00492E53">
            <w:pPr>
              <w:rPr>
                <w:sz w:val="20"/>
                <w:szCs w:val="20"/>
              </w:rPr>
            </w:pPr>
          </w:p>
        </w:tc>
      </w:tr>
    </w:tbl>
    <w:p w:rsidR="00492E53" w:rsidRPr="00492E53" w:rsidRDefault="00492E53" w:rsidP="007546C2"/>
    <w:sectPr w:rsidR="00492E53" w:rsidRPr="00492E53" w:rsidSect="006C540A">
      <w:pgSz w:w="16840" w:h="11900" w:orient="landscape"/>
      <w:pgMar w:top="1134" w:right="1418" w:bottom="1134"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22" w:rsidRDefault="00826122" w:rsidP="00A716D1">
      <w:r>
        <w:separator/>
      </w:r>
    </w:p>
  </w:endnote>
  <w:endnote w:type="continuationSeparator" w:id="0">
    <w:p w:rsidR="00826122" w:rsidRDefault="00826122"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22" w:rsidRDefault="00826122"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26122" w:rsidRDefault="00826122"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22" w:rsidRPr="004C3C1D" w:rsidRDefault="00826122" w:rsidP="004C3C1D">
    <w:pPr>
      <w:pStyle w:val="Footer"/>
      <w:jc w:val="center"/>
      <w:rPr>
        <w:rStyle w:val="PageNumber"/>
        <w:szCs w:val="24"/>
      </w:rPr>
    </w:pPr>
    <w:r w:rsidRPr="004C3C1D">
      <w:rPr>
        <w:rStyle w:val="PageNumber"/>
        <w:szCs w:val="24"/>
      </w:rPr>
      <w:fldChar w:fldCharType="begin"/>
    </w:r>
    <w:r w:rsidRPr="004C3C1D">
      <w:rPr>
        <w:rStyle w:val="PageNumber"/>
        <w:szCs w:val="24"/>
      </w:rPr>
      <w:instrText xml:space="preserve">PAGE  </w:instrText>
    </w:r>
    <w:r w:rsidRPr="004C3C1D">
      <w:rPr>
        <w:rStyle w:val="PageNumber"/>
        <w:szCs w:val="24"/>
      </w:rPr>
      <w:fldChar w:fldCharType="separate"/>
    </w:r>
    <w:r w:rsidR="009D7FAA">
      <w:rPr>
        <w:rStyle w:val="PageNumber"/>
        <w:noProof/>
        <w:szCs w:val="24"/>
      </w:rPr>
      <w:t>4</w:t>
    </w:r>
    <w:r w:rsidRPr="004C3C1D">
      <w:rPr>
        <w:rStyle w:val="PageNumber"/>
        <w:szCs w:val="24"/>
      </w:rPr>
      <w:fldChar w:fldCharType="end"/>
    </w:r>
  </w:p>
  <w:p w:rsidR="00826122" w:rsidRPr="004C3C1D" w:rsidRDefault="00826122" w:rsidP="004C3C1D">
    <w:pPr>
      <w:pStyle w:val="Footer"/>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D1" w:rsidRDefault="00A7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22" w:rsidRDefault="00826122" w:rsidP="00A716D1">
      <w:r>
        <w:separator/>
      </w:r>
    </w:p>
  </w:footnote>
  <w:footnote w:type="continuationSeparator" w:id="0">
    <w:p w:rsidR="00826122" w:rsidRDefault="00826122"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D1" w:rsidRDefault="00A7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D1" w:rsidRDefault="00A7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D1" w:rsidRDefault="00A7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339"/>
    <w:multiLevelType w:val="hybridMultilevel"/>
    <w:tmpl w:val="1514F6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F1AC7"/>
    <w:multiLevelType w:val="hybridMultilevel"/>
    <w:tmpl w:val="EC5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938D3"/>
    <w:multiLevelType w:val="hybridMultilevel"/>
    <w:tmpl w:val="93BC0284"/>
    <w:lvl w:ilvl="0" w:tplc="C360CE7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46E1D"/>
    <w:multiLevelType w:val="multilevel"/>
    <w:tmpl w:val="49C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AC1739C"/>
    <w:multiLevelType w:val="hybridMultilevel"/>
    <w:tmpl w:val="51B27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50471D"/>
    <w:multiLevelType w:val="multilevel"/>
    <w:tmpl w:val="37A403C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F44577"/>
    <w:multiLevelType w:val="hybridMultilevel"/>
    <w:tmpl w:val="662A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AF6228"/>
    <w:multiLevelType w:val="hybridMultilevel"/>
    <w:tmpl w:val="1A60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74CDF"/>
    <w:multiLevelType w:val="multilevel"/>
    <w:tmpl w:val="0422D0F2"/>
    <w:lvl w:ilvl="0">
      <w:start w:val="1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EB2736"/>
    <w:multiLevelType w:val="hybridMultilevel"/>
    <w:tmpl w:val="A3C2D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2B83116"/>
    <w:multiLevelType w:val="hybridMultilevel"/>
    <w:tmpl w:val="2E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83405B"/>
    <w:multiLevelType w:val="hybridMultilevel"/>
    <w:tmpl w:val="25C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2B017C"/>
    <w:multiLevelType w:val="hybridMultilevel"/>
    <w:tmpl w:val="F3FC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1555AF"/>
    <w:multiLevelType w:val="hybridMultilevel"/>
    <w:tmpl w:val="A9EC4B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9146B01"/>
    <w:multiLevelType w:val="hybridMultilevel"/>
    <w:tmpl w:val="F0FED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3452EF"/>
    <w:multiLevelType w:val="hybridMultilevel"/>
    <w:tmpl w:val="A2342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E54623"/>
    <w:multiLevelType w:val="hybridMultilevel"/>
    <w:tmpl w:val="E320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E96F94"/>
    <w:multiLevelType w:val="hybridMultilevel"/>
    <w:tmpl w:val="ADDA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A2358A7"/>
    <w:multiLevelType w:val="hybridMultilevel"/>
    <w:tmpl w:val="9A36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E12686"/>
    <w:multiLevelType w:val="hybridMultilevel"/>
    <w:tmpl w:val="F228A8C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13"/>
  </w:num>
  <w:num w:numId="4">
    <w:abstractNumId w:val="2"/>
  </w:num>
  <w:num w:numId="5">
    <w:abstractNumId w:val="8"/>
  </w:num>
  <w:num w:numId="6">
    <w:abstractNumId w:val="10"/>
  </w:num>
  <w:num w:numId="7">
    <w:abstractNumId w:val="9"/>
  </w:num>
  <w:num w:numId="8">
    <w:abstractNumId w:val="14"/>
  </w:num>
  <w:num w:numId="9">
    <w:abstractNumId w:val="22"/>
  </w:num>
  <w:num w:numId="10">
    <w:abstractNumId w:val="0"/>
  </w:num>
  <w:num w:numId="11">
    <w:abstractNumId w:val="21"/>
  </w:num>
  <w:num w:numId="12">
    <w:abstractNumId w:val="17"/>
  </w:num>
  <w:num w:numId="13">
    <w:abstractNumId w:val="15"/>
  </w:num>
  <w:num w:numId="14">
    <w:abstractNumId w:val="12"/>
  </w:num>
  <w:num w:numId="15">
    <w:abstractNumId w:val="20"/>
  </w:num>
  <w:num w:numId="16">
    <w:abstractNumId w:val="23"/>
  </w:num>
  <w:num w:numId="17">
    <w:abstractNumId w:val="11"/>
  </w:num>
  <w:num w:numId="18">
    <w:abstractNumId w:val="4"/>
  </w:num>
  <w:num w:numId="19">
    <w:abstractNumId w:val="18"/>
  </w:num>
  <w:num w:numId="20">
    <w:abstractNumId w:val="3"/>
  </w:num>
  <w:num w:numId="21">
    <w:abstractNumId w:val="16"/>
  </w:num>
  <w:num w:numId="22">
    <w:abstractNumId w:val="7"/>
    <w:lvlOverride w:ilvl="0">
      <w:lvl w:ilvl="0">
        <w:start w:val="1"/>
        <w:numFmt w:val="decimal"/>
        <w:lvlText w:val="%1"/>
        <w:lvlJc w:val="left"/>
        <w:pPr>
          <w:ind w:left="851" w:hanging="851"/>
        </w:pPr>
        <w:rPr>
          <w:rFonts w:hint="default"/>
          <w:color w:val="A00054" w:themeColor="accent2"/>
          <w:sz w:val="28"/>
          <w:szCs w:val="28"/>
        </w:rPr>
      </w:lvl>
    </w:lvlOverride>
    <w:lvlOverride w:ilvl="1">
      <w:lvl w:ilvl="1">
        <w:start w:val="1"/>
        <w:numFmt w:val="decimal"/>
        <w:lvlText w:val="%1.%2"/>
        <w:lvlJc w:val="left"/>
        <w:pPr>
          <w:ind w:left="851" w:hanging="851"/>
        </w:pPr>
        <w:rPr>
          <w:rFonts w:hint="default"/>
          <w:b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09C3"/>
    <w:rsid w:val="000206D7"/>
    <w:rsid w:val="0002174B"/>
    <w:rsid w:val="00023944"/>
    <w:rsid w:val="00031797"/>
    <w:rsid w:val="000325BD"/>
    <w:rsid w:val="00040D57"/>
    <w:rsid w:val="000419B4"/>
    <w:rsid w:val="00050D0D"/>
    <w:rsid w:val="00055930"/>
    <w:rsid w:val="00077B51"/>
    <w:rsid w:val="00095B31"/>
    <w:rsid w:val="000E3B07"/>
    <w:rsid w:val="000F195C"/>
    <w:rsid w:val="00102A99"/>
    <w:rsid w:val="0011476E"/>
    <w:rsid w:val="001466BF"/>
    <w:rsid w:val="00152FB6"/>
    <w:rsid w:val="001636C4"/>
    <w:rsid w:val="001718C6"/>
    <w:rsid w:val="00174767"/>
    <w:rsid w:val="00182516"/>
    <w:rsid w:val="00184E99"/>
    <w:rsid w:val="001940F4"/>
    <w:rsid w:val="00194EB6"/>
    <w:rsid w:val="001A3439"/>
    <w:rsid w:val="001B62FE"/>
    <w:rsid w:val="001C2FAF"/>
    <w:rsid w:val="001C50E6"/>
    <w:rsid w:val="001E477C"/>
    <w:rsid w:val="00211279"/>
    <w:rsid w:val="00222A7E"/>
    <w:rsid w:val="00234230"/>
    <w:rsid w:val="002513AD"/>
    <w:rsid w:val="002559BF"/>
    <w:rsid w:val="0025692A"/>
    <w:rsid w:val="00281CE0"/>
    <w:rsid w:val="002A0C8D"/>
    <w:rsid w:val="002B1F68"/>
    <w:rsid w:val="002B7772"/>
    <w:rsid w:val="002C542F"/>
    <w:rsid w:val="002D107A"/>
    <w:rsid w:val="002E4212"/>
    <w:rsid w:val="002F2335"/>
    <w:rsid w:val="00307070"/>
    <w:rsid w:val="003113FB"/>
    <w:rsid w:val="00317645"/>
    <w:rsid w:val="00325616"/>
    <w:rsid w:val="00332963"/>
    <w:rsid w:val="003330F2"/>
    <w:rsid w:val="003357B2"/>
    <w:rsid w:val="00343845"/>
    <w:rsid w:val="00344C9D"/>
    <w:rsid w:val="00357AFE"/>
    <w:rsid w:val="00364759"/>
    <w:rsid w:val="00383ABD"/>
    <w:rsid w:val="003913AB"/>
    <w:rsid w:val="00397E3E"/>
    <w:rsid w:val="003A13D3"/>
    <w:rsid w:val="003B2D5D"/>
    <w:rsid w:val="003B511C"/>
    <w:rsid w:val="003C7C71"/>
    <w:rsid w:val="003E1C1F"/>
    <w:rsid w:val="003E3E21"/>
    <w:rsid w:val="003F18A0"/>
    <w:rsid w:val="003F4F0A"/>
    <w:rsid w:val="00403D8C"/>
    <w:rsid w:val="0043287D"/>
    <w:rsid w:val="004409E2"/>
    <w:rsid w:val="00460D6B"/>
    <w:rsid w:val="004704A2"/>
    <w:rsid w:val="0047274A"/>
    <w:rsid w:val="004863FB"/>
    <w:rsid w:val="0049170F"/>
    <w:rsid w:val="00492E53"/>
    <w:rsid w:val="004A19CA"/>
    <w:rsid w:val="004B2A95"/>
    <w:rsid w:val="004C1D4E"/>
    <w:rsid w:val="004C3900"/>
    <w:rsid w:val="004C3C1D"/>
    <w:rsid w:val="004C7895"/>
    <w:rsid w:val="004E2398"/>
    <w:rsid w:val="005045B3"/>
    <w:rsid w:val="00510785"/>
    <w:rsid w:val="005436B0"/>
    <w:rsid w:val="005629D1"/>
    <w:rsid w:val="005B40B1"/>
    <w:rsid w:val="005D40A3"/>
    <w:rsid w:val="005D6B38"/>
    <w:rsid w:val="005E65DC"/>
    <w:rsid w:val="005F27A1"/>
    <w:rsid w:val="006340A7"/>
    <w:rsid w:val="006660A4"/>
    <w:rsid w:val="00667E6C"/>
    <w:rsid w:val="0069518C"/>
    <w:rsid w:val="006968CB"/>
    <w:rsid w:val="006A0B73"/>
    <w:rsid w:val="006A5511"/>
    <w:rsid w:val="006A57BE"/>
    <w:rsid w:val="006B1775"/>
    <w:rsid w:val="006C540A"/>
    <w:rsid w:val="006C5902"/>
    <w:rsid w:val="006D1527"/>
    <w:rsid w:val="006D4362"/>
    <w:rsid w:val="006F595D"/>
    <w:rsid w:val="006F6EE6"/>
    <w:rsid w:val="007017BC"/>
    <w:rsid w:val="0071074D"/>
    <w:rsid w:val="007128F6"/>
    <w:rsid w:val="00712C37"/>
    <w:rsid w:val="00733083"/>
    <w:rsid w:val="007546C2"/>
    <w:rsid w:val="007569A9"/>
    <w:rsid w:val="00757ABA"/>
    <w:rsid w:val="0076219B"/>
    <w:rsid w:val="0078519C"/>
    <w:rsid w:val="00785EED"/>
    <w:rsid w:val="007926F4"/>
    <w:rsid w:val="007B5FED"/>
    <w:rsid w:val="007D1356"/>
    <w:rsid w:val="007E08F7"/>
    <w:rsid w:val="007E3B4F"/>
    <w:rsid w:val="007F0755"/>
    <w:rsid w:val="00800CFA"/>
    <w:rsid w:val="00801F51"/>
    <w:rsid w:val="00805370"/>
    <w:rsid w:val="00821E02"/>
    <w:rsid w:val="00826122"/>
    <w:rsid w:val="00827201"/>
    <w:rsid w:val="00857123"/>
    <w:rsid w:val="00875080"/>
    <w:rsid w:val="00881053"/>
    <w:rsid w:val="00894880"/>
    <w:rsid w:val="008A4B40"/>
    <w:rsid w:val="008B1A71"/>
    <w:rsid w:val="008B1F9E"/>
    <w:rsid w:val="008B71E5"/>
    <w:rsid w:val="008C174F"/>
    <w:rsid w:val="008D1D3C"/>
    <w:rsid w:val="008E31E8"/>
    <w:rsid w:val="008E34EA"/>
    <w:rsid w:val="008E574F"/>
    <w:rsid w:val="0090040F"/>
    <w:rsid w:val="009073EA"/>
    <w:rsid w:val="00947CBB"/>
    <w:rsid w:val="0097040E"/>
    <w:rsid w:val="00985B42"/>
    <w:rsid w:val="00990557"/>
    <w:rsid w:val="009A3546"/>
    <w:rsid w:val="009A48B0"/>
    <w:rsid w:val="009B0630"/>
    <w:rsid w:val="009B71E0"/>
    <w:rsid w:val="009C3A3D"/>
    <w:rsid w:val="009C5C3D"/>
    <w:rsid w:val="009D0885"/>
    <w:rsid w:val="009D7A81"/>
    <w:rsid w:val="009D7FAA"/>
    <w:rsid w:val="00A03CFA"/>
    <w:rsid w:val="00A2093B"/>
    <w:rsid w:val="00A4250E"/>
    <w:rsid w:val="00A5078E"/>
    <w:rsid w:val="00A55267"/>
    <w:rsid w:val="00A566AC"/>
    <w:rsid w:val="00A60833"/>
    <w:rsid w:val="00A611C6"/>
    <w:rsid w:val="00A716D1"/>
    <w:rsid w:val="00A71B20"/>
    <w:rsid w:val="00A72CBF"/>
    <w:rsid w:val="00A74AD1"/>
    <w:rsid w:val="00AB549D"/>
    <w:rsid w:val="00AD18FA"/>
    <w:rsid w:val="00AE0D75"/>
    <w:rsid w:val="00AE133E"/>
    <w:rsid w:val="00AE3334"/>
    <w:rsid w:val="00B16DC1"/>
    <w:rsid w:val="00B429DF"/>
    <w:rsid w:val="00B44E3A"/>
    <w:rsid w:val="00B45176"/>
    <w:rsid w:val="00B51CDD"/>
    <w:rsid w:val="00B547E6"/>
    <w:rsid w:val="00B667BC"/>
    <w:rsid w:val="00B875DD"/>
    <w:rsid w:val="00B9046E"/>
    <w:rsid w:val="00B90C5E"/>
    <w:rsid w:val="00B961B8"/>
    <w:rsid w:val="00BA1EF6"/>
    <w:rsid w:val="00BC1ED6"/>
    <w:rsid w:val="00BD0523"/>
    <w:rsid w:val="00BF4DE0"/>
    <w:rsid w:val="00C15660"/>
    <w:rsid w:val="00C16200"/>
    <w:rsid w:val="00C34B31"/>
    <w:rsid w:val="00C373AD"/>
    <w:rsid w:val="00C50A84"/>
    <w:rsid w:val="00C51EE0"/>
    <w:rsid w:val="00C641EE"/>
    <w:rsid w:val="00C648C3"/>
    <w:rsid w:val="00C66517"/>
    <w:rsid w:val="00C8654D"/>
    <w:rsid w:val="00C94915"/>
    <w:rsid w:val="00C94F2C"/>
    <w:rsid w:val="00C953C8"/>
    <w:rsid w:val="00CA78CE"/>
    <w:rsid w:val="00CB7A7F"/>
    <w:rsid w:val="00CC5B4D"/>
    <w:rsid w:val="00CD478E"/>
    <w:rsid w:val="00CE2F07"/>
    <w:rsid w:val="00CE3904"/>
    <w:rsid w:val="00D04A3A"/>
    <w:rsid w:val="00D07D9D"/>
    <w:rsid w:val="00D376C3"/>
    <w:rsid w:val="00D86A05"/>
    <w:rsid w:val="00D9536A"/>
    <w:rsid w:val="00DA2AB7"/>
    <w:rsid w:val="00DB2251"/>
    <w:rsid w:val="00DF3FB0"/>
    <w:rsid w:val="00E01309"/>
    <w:rsid w:val="00E033C2"/>
    <w:rsid w:val="00E21D91"/>
    <w:rsid w:val="00E3236C"/>
    <w:rsid w:val="00E52ACB"/>
    <w:rsid w:val="00E72C89"/>
    <w:rsid w:val="00E7572D"/>
    <w:rsid w:val="00E9155B"/>
    <w:rsid w:val="00EB549C"/>
    <w:rsid w:val="00EB59B6"/>
    <w:rsid w:val="00EB7419"/>
    <w:rsid w:val="00ED0920"/>
    <w:rsid w:val="00ED7D57"/>
    <w:rsid w:val="00EE7E9A"/>
    <w:rsid w:val="00F119E7"/>
    <w:rsid w:val="00F11B7F"/>
    <w:rsid w:val="00F17AD6"/>
    <w:rsid w:val="00F531B7"/>
    <w:rsid w:val="00F6500A"/>
    <w:rsid w:val="00F76189"/>
    <w:rsid w:val="00F775D6"/>
    <w:rsid w:val="00F85896"/>
    <w:rsid w:val="00FA7FDE"/>
    <w:rsid w:val="00FB587A"/>
    <w:rsid w:val="00FE464E"/>
    <w:rsid w:val="00FE597E"/>
    <w:rsid w:val="00FF64E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234230"/>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 w:type="paragraph" w:styleId="Revision">
    <w:name w:val="Revision"/>
    <w:hidden/>
    <w:uiPriority w:val="71"/>
    <w:rsid w:val="0043287D"/>
    <w:rPr>
      <w:rFonts w:eastAsia="Times New Roman"/>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234230"/>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 w:type="paragraph" w:styleId="Revision">
    <w:name w:val="Revision"/>
    <w:hidden/>
    <w:uiPriority w:val="71"/>
    <w:rsid w:val="0043287D"/>
    <w:rPr>
      <w:rFonts w:eastAsia="Times New Roman"/>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5452">
      <w:bodyDiv w:val="1"/>
      <w:marLeft w:val="0"/>
      <w:marRight w:val="0"/>
      <w:marTop w:val="0"/>
      <w:marBottom w:val="0"/>
      <w:divBdr>
        <w:top w:val="none" w:sz="0" w:space="0" w:color="auto"/>
        <w:left w:val="none" w:sz="0" w:space="0" w:color="auto"/>
        <w:bottom w:val="none" w:sz="0" w:space="0" w:color="auto"/>
        <w:right w:val="none" w:sz="0" w:space="0" w:color="auto"/>
      </w:divBdr>
      <w:divsChild>
        <w:div w:id="795217018">
          <w:marLeft w:val="0"/>
          <w:marRight w:val="0"/>
          <w:marTop w:val="0"/>
          <w:marBottom w:val="0"/>
          <w:divBdr>
            <w:top w:val="none" w:sz="0" w:space="0" w:color="auto"/>
            <w:left w:val="none" w:sz="0" w:space="0" w:color="auto"/>
            <w:bottom w:val="none" w:sz="0" w:space="0" w:color="auto"/>
            <w:right w:val="none" w:sz="0" w:space="0" w:color="auto"/>
          </w:divBdr>
          <w:divsChild>
            <w:div w:id="1422683909">
              <w:marLeft w:val="0"/>
              <w:marRight w:val="0"/>
              <w:marTop w:val="0"/>
              <w:marBottom w:val="0"/>
              <w:divBdr>
                <w:top w:val="none" w:sz="0" w:space="0" w:color="auto"/>
                <w:left w:val="none" w:sz="0" w:space="0" w:color="auto"/>
                <w:bottom w:val="none" w:sz="0" w:space="0" w:color="auto"/>
                <w:right w:val="none" w:sz="0" w:space="0" w:color="auto"/>
              </w:divBdr>
              <w:divsChild>
                <w:div w:id="91900925">
                  <w:marLeft w:val="0"/>
                  <w:marRight w:val="0"/>
                  <w:marTop w:val="0"/>
                  <w:marBottom w:val="0"/>
                  <w:divBdr>
                    <w:top w:val="none" w:sz="0" w:space="0" w:color="auto"/>
                    <w:left w:val="none" w:sz="0" w:space="0" w:color="auto"/>
                    <w:bottom w:val="none" w:sz="0" w:space="0" w:color="auto"/>
                    <w:right w:val="none" w:sz="0" w:space="0" w:color="auto"/>
                  </w:divBdr>
                  <w:divsChild>
                    <w:div w:id="1228491825">
                      <w:marLeft w:val="0"/>
                      <w:marRight w:val="0"/>
                      <w:marTop w:val="0"/>
                      <w:marBottom w:val="0"/>
                      <w:divBdr>
                        <w:top w:val="none" w:sz="0" w:space="0" w:color="auto"/>
                        <w:left w:val="none" w:sz="0" w:space="0" w:color="auto"/>
                        <w:bottom w:val="none" w:sz="0" w:space="0" w:color="auto"/>
                        <w:right w:val="none" w:sz="0" w:space="0" w:color="auto"/>
                      </w:divBdr>
                      <w:divsChild>
                        <w:div w:id="2003459474">
                          <w:marLeft w:val="0"/>
                          <w:marRight w:val="-13800"/>
                          <w:marTop w:val="0"/>
                          <w:marBottom w:val="0"/>
                          <w:divBdr>
                            <w:top w:val="none" w:sz="0" w:space="0" w:color="auto"/>
                            <w:left w:val="none" w:sz="0" w:space="0" w:color="auto"/>
                            <w:bottom w:val="none" w:sz="0" w:space="0" w:color="auto"/>
                            <w:right w:val="none" w:sz="0" w:space="0" w:color="auto"/>
                          </w:divBdr>
                          <w:divsChild>
                            <w:div w:id="1346325262">
                              <w:marLeft w:val="0"/>
                              <w:marRight w:val="0"/>
                              <w:marTop w:val="0"/>
                              <w:marBottom w:val="0"/>
                              <w:divBdr>
                                <w:top w:val="none" w:sz="0" w:space="0" w:color="auto"/>
                                <w:left w:val="none" w:sz="0" w:space="0" w:color="auto"/>
                                <w:bottom w:val="none" w:sz="0" w:space="0" w:color="auto"/>
                                <w:right w:val="none" w:sz="0" w:space="0" w:color="auto"/>
                              </w:divBdr>
                              <w:divsChild>
                                <w:div w:id="1093086884">
                                  <w:marLeft w:val="0"/>
                                  <w:marRight w:val="0"/>
                                  <w:marTop w:val="0"/>
                                  <w:marBottom w:val="0"/>
                                  <w:divBdr>
                                    <w:top w:val="none" w:sz="0" w:space="0" w:color="auto"/>
                                    <w:left w:val="none" w:sz="0" w:space="0" w:color="auto"/>
                                    <w:bottom w:val="none" w:sz="0" w:space="0" w:color="auto"/>
                                    <w:right w:val="none" w:sz="0" w:space="0" w:color="auto"/>
                                  </w:divBdr>
                                  <w:divsChild>
                                    <w:div w:id="818956571">
                                      <w:marLeft w:val="0"/>
                                      <w:marRight w:val="0"/>
                                      <w:marTop w:val="0"/>
                                      <w:marBottom w:val="0"/>
                                      <w:divBdr>
                                        <w:top w:val="none" w:sz="0" w:space="0" w:color="auto"/>
                                        <w:left w:val="none" w:sz="0" w:space="0" w:color="auto"/>
                                        <w:bottom w:val="none" w:sz="0" w:space="0" w:color="auto"/>
                                        <w:right w:val="none" w:sz="0" w:space="0" w:color="auto"/>
                                      </w:divBdr>
                                      <w:divsChild>
                                        <w:div w:id="1980068766">
                                          <w:marLeft w:val="0"/>
                                          <w:marRight w:val="0"/>
                                          <w:marTop w:val="0"/>
                                          <w:marBottom w:val="0"/>
                                          <w:divBdr>
                                            <w:top w:val="none" w:sz="0" w:space="0" w:color="auto"/>
                                            <w:left w:val="none" w:sz="0" w:space="0" w:color="auto"/>
                                            <w:bottom w:val="none" w:sz="0" w:space="0" w:color="auto"/>
                                            <w:right w:val="none" w:sz="0" w:space="0" w:color="auto"/>
                                          </w:divBdr>
                                          <w:divsChild>
                                            <w:div w:id="13383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25171">
      <w:bodyDiv w:val="1"/>
      <w:marLeft w:val="0"/>
      <w:marRight w:val="0"/>
      <w:marTop w:val="0"/>
      <w:marBottom w:val="0"/>
      <w:divBdr>
        <w:top w:val="none" w:sz="0" w:space="0" w:color="auto"/>
        <w:left w:val="none" w:sz="0" w:space="0" w:color="auto"/>
        <w:bottom w:val="none" w:sz="0" w:space="0" w:color="auto"/>
        <w:right w:val="none" w:sz="0" w:space="0" w:color="auto"/>
      </w:divBdr>
      <w:divsChild>
        <w:div w:id="1306742075">
          <w:marLeft w:val="0"/>
          <w:marRight w:val="0"/>
          <w:marTop w:val="0"/>
          <w:marBottom w:val="0"/>
          <w:divBdr>
            <w:top w:val="none" w:sz="0" w:space="0" w:color="auto"/>
            <w:left w:val="none" w:sz="0" w:space="0" w:color="auto"/>
            <w:bottom w:val="none" w:sz="0" w:space="0" w:color="auto"/>
            <w:right w:val="none" w:sz="0" w:space="0" w:color="auto"/>
          </w:divBdr>
          <w:divsChild>
            <w:div w:id="1962421670">
              <w:marLeft w:val="0"/>
              <w:marRight w:val="0"/>
              <w:marTop w:val="2205"/>
              <w:marBottom w:val="0"/>
              <w:divBdr>
                <w:top w:val="single" w:sz="6" w:space="0" w:color="506184"/>
                <w:left w:val="none" w:sz="0" w:space="0" w:color="auto"/>
                <w:bottom w:val="none" w:sz="0" w:space="0" w:color="auto"/>
                <w:right w:val="none" w:sz="0" w:space="0" w:color="auto"/>
              </w:divBdr>
              <w:divsChild>
                <w:div w:id="453331986">
                  <w:marLeft w:val="0"/>
                  <w:marRight w:val="0"/>
                  <w:marTop w:val="0"/>
                  <w:marBottom w:val="0"/>
                  <w:divBdr>
                    <w:top w:val="single" w:sz="6" w:space="4" w:color="506184"/>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england.nhs.uk/publication/refreshing-nhs-plans-for-2018-19/" TargetMode="Externa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yperlink" Target="https://www.england.nhs.uk/publication/refreshing-nhs-plans-for-2018-19/"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england.nhs.uk/publication/refreshing-nhs-plans-for-201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K57F673QWXRZ-1374-45</_dlc_DocId>
    <_dlc_DocIdUrl xmlns="51367701-27c8-403e-a234-85855c5cd73e">
      <Url>https://nhsengland.sharepoint.com/TeamCentre/VisionandValues/_layouts/15/DocIdRedir.aspx?ID=K57F673QWXRZ-1374-45</Url>
      <Description>K57F673QWXRZ-1374-45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7F1F-E815-42A8-97E8-18E449AE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8279F-D5BA-4F5A-9186-363E2DC5E7DB}">
  <ds:schemaRefs>
    <ds:schemaRef ds:uri="http://schemas.microsoft.com/office/2006/documentManagement/types"/>
    <ds:schemaRef ds:uri="http://schemas.microsoft.com/office/2006/metadata/properties"/>
    <ds:schemaRef ds:uri="http://purl.org/dc/terms/"/>
    <ds:schemaRef ds:uri="http://purl.org/dc/dcmitype/"/>
    <ds:schemaRef ds:uri="11cf67b4-8be8-4203-926d-b1451d6a3644"/>
    <ds:schemaRef ds:uri="http://schemas.openxmlformats.org/package/2006/metadata/core-properties"/>
    <ds:schemaRef ds:uri="http://www.w3.org/XML/1998/namespace"/>
    <ds:schemaRef ds:uri="http://schemas.microsoft.com/office/infopath/2007/PartnerControls"/>
    <ds:schemaRef ds:uri="51367701-27c8-403e-a234-85855c5cd73e"/>
    <ds:schemaRef ds:uri="http://purl.org/dc/elements/1.1/"/>
  </ds:schemaRefs>
</ds:datastoreItem>
</file>

<file path=customXml/itemProps3.xml><?xml version="1.0" encoding="utf-8"?>
<ds:datastoreItem xmlns:ds="http://schemas.openxmlformats.org/officeDocument/2006/customXml" ds:itemID="{B4EDF711-52DF-4E19-A9D0-42F2EA991C72}">
  <ds:schemaRefs>
    <ds:schemaRef ds:uri="http://schemas.microsoft.com/sharepoint/events"/>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96795307-BEA7-4C17-A2F5-6617A1A2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324</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Michelle Coleman</cp:lastModifiedBy>
  <cp:revision>7</cp:revision>
  <cp:lastPrinted>2014-04-10T08:13:00Z</cp:lastPrinted>
  <dcterms:created xsi:type="dcterms:W3CDTF">2018-04-22T16:33:00Z</dcterms:created>
  <dcterms:modified xsi:type="dcterms:W3CDTF">2018-05-02T23:42:00Z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c96ac759-0749-4f80-84b2-bad9c61ce5fa</vt:lpwstr>
  </property>
</Properties>
</file>