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91" w:rsidRPr="00D45FB5" w:rsidRDefault="005C77B7" w:rsidP="005C77B7">
      <w:pPr>
        <w:jc w:val="center"/>
        <w:rPr>
          <w:rFonts w:ascii="Arial" w:hAnsi="Arial" w:cs="Arial"/>
          <w:b/>
        </w:rPr>
      </w:pPr>
      <w:proofErr w:type="gramStart"/>
      <w:r w:rsidRPr="00D45FB5">
        <w:rPr>
          <w:rFonts w:ascii="Arial" w:hAnsi="Arial" w:cs="Arial"/>
          <w:b/>
        </w:rPr>
        <w:t>CA3 – Optimising Palliative Chemotherapy Decision Making</w:t>
      </w:r>
      <w:r w:rsidR="009A3F06" w:rsidRPr="00D45FB5">
        <w:rPr>
          <w:rFonts w:ascii="Arial" w:hAnsi="Arial" w:cs="Arial"/>
          <w:b/>
        </w:rPr>
        <w:t xml:space="preserve"> – Reporting Template.</w:t>
      </w:r>
      <w:proofErr w:type="gramEnd"/>
    </w:p>
    <w:p w:rsidR="00230368" w:rsidRPr="00D45FB5" w:rsidRDefault="00230368" w:rsidP="005C77B7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 xml:space="preserve">This </w:t>
      </w:r>
      <w:r w:rsidR="00585860" w:rsidRPr="00D45FB5">
        <w:rPr>
          <w:rFonts w:ascii="Arial" w:hAnsi="Arial" w:cs="Arial"/>
          <w:b/>
        </w:rPr>
        <w:t>reporting guide</w:t>
      </w:r>
      <w:r w:rsidRPr="00D45FB5">
        <w:rPr>
          <w:rFonts w:ascii="Arial" w:hAnsi="Arial" w:cs="Arial"/>
          <w:b/>
        </w:rPr>
        <w:t xml:space="preserve"> is to be used in conjunction with the </w:t>
      </w:r>
      <w:r w:rsidR="00585860" w:rsidRPr="00D45FB5">
        <w:rPr>
          <w:rFonts w:ascii="Arial" w:hAnsi="Arial" w:cs="Arial"/>
          <w:b/>
        </w:rPr>
        <w:t xml:space="preserve">CA3 </w:t>
      </w:r>
      <w:r w:rsidRPr="00D45FB5">
        <w:rPr>
          <w:rFonts w:ascii="Arial" w:hAnsi="Arial" w:cs="Arial"/>
          <w:b/>
        </w:rPr>
        <w:t xml:space="preserve">CQUIN </w:t>
      </w:r>
      <w:r w:rsidR="00585860" w:rsidRPr="00D45FB5">
        <w:rPr>
          <w:rFonts w:ascii="Arial" w:hAnsi="Arial" w:cs="Arial"/>
          <w:b/>
        </w:rPr>
        <w:t xml:space="preserve">template </w:t>
      </w:r>
      <w:r w:rsidR="00327620">
        <w:rPr>
          <w:rFonts w:ascii="Arial" w:hAnsi="Arial" w:cs="Arial"/>
          <w:b/>
        </w:rPr>
        <w:t xml:space="preserve">available at </w:t>
      </w:r>
      <w:hyperlink r:id="rId9" w:history="1">
        <w:r w:rsidRPr="00D45FB5">
          <w:rPr>
            <w:rStyle w:val="Hyperlink"/>
            <w:rFonts w:ascii="Arial" w:hAnsi="Arial" w:cs="Arial"/>
            <w:b/>
            <w:lang w:val="en-US"/>
          </w:rPr>
          <w:t xml:space="preserve">CA3 </w:t>
        </w:r>
        <w:proofErr w:type="spellStart"/>
        <w:r w:rsidRPr="00D45FB5">
          <w:rPr>
            <w:rStyle w:val="Hyperlink"/>
            <w:rFonts w:ascii="Arial" w:hAnsi="Arial" w:cs="Arial"/>
            <w:b/>
            <w:lang w:val="en-US"/>
          </w:rPr>
          <w:t>Optimising</w:t>
        </w:r>
        <w:proofErr w:type="spellEnd"/>
        <w:r w:rsidRPr="00D45FB5">
          <w:rPr>
            <w:rStyle w:val="Hyperlink"/>
            <w:rFonts w:ascii="Arial" w:hAnsi="Arial" w:cs="Arial"/>
            <w:b/>
            <w:lang w:val="en-US"/>
          </w:rPr>
          <w:t xml:space="preserve"> Palliative Chemotherapy Decision Making</w:t>
        </w:r>
      </w:hyperlink>
    </w:p>
    <w:p w:rsidR="00230368" w:rsidRPr="00D45FB5" w:rsidRDefault="00230368" w:rsidP="00230368">
      <w:pPr>
        <w:rPr>
          <w:rFonts w:ascii="Arial" w:hAnsi="Arial" w:cs="Arial"/>
          <w:b/>
          <w:bCs/>
        </w:rPr>
      </w:pPr>
      <w:r w:rsidRPr="00D45FB5">
        <w:rPr>
          <w:rFonts w:ascii="Arial" w:hAnsi="Arial" w:cs="Arial"/>
          <w:b/>
        </w:rPr>
        <w:t>The details in th</w:t>
      </w:r>
      <w:r w:rsidR="00327620">
        <w:rPr>
          <w:rFonts w:ascii="Arial" w:hAnsi="Arial" w:cs="Arial"/>
          <w:b/>
        </w:rPr>
        <w:t>is</w:t>
      </w:r>
      <w:r w:rsidRPr="00D45FB5">
        <w:rPr>
          <w:rFonts w:ascii="Arial" w:hAnsi="Arial" w:cs="Arial"/>
          <w:b/>
        </w:rPr>
        <w:t xml:space="preserve"> </w:t>
      </w:r>
      <w:r w:rsidR="00585860" w:rsidRPr="00D45FB5">
        <w:rPr>
          <w:rFonts w:ascii="Arial" w:hAnsi="Arial" w:cs="Arial"/>
          <w:b/>
        </w:rPr>
        <w:t xml:space="preserve">reporting </w:t>
      </w:r>
      <w:r w:rsidRPr="00D45FB5">
        <w:rPr>
          <w:rFonts w:ascii="Arial" w:hAnsi="Arial" w:cs="Arial"/>
          <w:b/>
        </w:rPr>
        <w:t xml:space="preserve">template are to be agreed between the local commissioner responsible for the contract and the provider. Advice to define or agree metrics can be obtained from </w:t>
      </w:r>
      <w:r w:rsidRPr="00D45FB5">
        <w:rPr>
          <w:rFonts w:ascii="Arial" w:hAnsi="Arial" w:cs="Arial"/>
          <w:b/>
          <w:bCs/>
        </w:rPr>
        <w:t xml:space="preserve">Dr Nigel Andrews (Accountable Commissioner: Cancer Diagnostics) </w:t>
      </w:r>
      <w:hyperlink r:id="rId10" w:history="1">
        <w:r w:rsidRPr="00D45FB5">
          <w:rPr>
            <w:rStyle w:val="Hyperlink"/>
            <w:rFonts w:ascii="Arial" w:hAnsi="Arial" w:cs="Arial"/>
            <w:b/>
            <w:bCs/>
          </w:rPr>
          <w:t>nigel.andrews@nhs.net</w:t>
        </w:r>
      </w:hyperlink>
    </w:p>
    <w:p w:rsidR="00230368" w:rsidRPr="00D45FB5" w:rsidRDefault="00230368" w:rsidP="005C77B7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 xml:space="preserve">General queries regarding CQUIN Implementation should be </w:t>
      </w:r>
      <w:r w:rsidR="00585860" w:rsidRPr="00D45FB5">
        <w:rPr>
          <w:rFonts w:ascii="Arial" w:hAnsi="Arial" w:cs="Arial"/>
          <w:b/>
        </w:rPr>
        <w:t xml:space="preserve">sent to </w:t>
      </w:r>
      <w:r w:rsidRPr="00D45FB5">
        <w:rPr>
          <w:rFonts w:ascii="Arial" w:hAnsi="Arial" w:cs="Arial"/>
          <w:b/>
        </w:rPr>
        <w:t xml:space="preserve">Owen Jones </w:t>
      </w:r>
      <w:hyperlink r:id="rId11" w:history="1">
        <w:r w:rsidRPr="00D45FB5">
          <w:rPr>
            <w:rStyle w:val="Hyperlink"/>
            <w:rFonts w:ascii="Arial" w:hAnsi="Arial" w:cs="Arial"/>
            <w:b/>
          </w:rPr>
          <w:t>o.jones@nhs.net</w:t>
        </w:r>
      </w:hyperlink>
      <w:r w:rsidRPr="00D45FB5">
        <w:rPr>
          <w:rFonts w:ascii="Arial" w:hAnsi="Arial" w:cs="Arial"/>
          <w:b/>
        </w:rPr>
        <w:t xml:space="preserve"> </w:t>
      </w:r>
    </w:p>
    <w:p w:rsidR="00AE35C3" w:rsidRPr="00D45FB5" w:rsidRDefault="00585860" w:rsidP="005C77B7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>This reporting template is to be completed</w:t>
      </w:r>
      <w:r w:rsidR="00AE35C3" w:rsidRPr="00D45FB5">
        <w:rPr>
          <w:rFonts w:ascii="Arial" w:hAnsi="Arial" w:cs="Arial"/>
          <w:b/>
        </w:rPr>
        <w:t xml:space="preserve"> by the provider and submitted to the Hub in accordance with the agreed quarterly CQUIN submission. This is to be used as evidence of compliance.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025"/>
        <w:gridCol w:w="1874"/>
        <w:gridCol w:w="3764"/>
      </w:tblGrid>
      <w:tr w:rsidR="00AE35C3" w:rsidRPr="00D45FB5" w:rsidTr="00327620">
        <w:trPr>
          <w:trHeight w:val="300"/>
        </w:trPr>
        <w:tc>
          <w:tcPr>
            <w:tcW w:w="1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QTR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Date</w:t>
            </w:r>
            <w:r w:rsidR="003276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64" w:type="dxa"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Comment</w:t>
            </w:r>
          </w:p>
        </w:tc>
      </w:tr>
      <w:tr w:rsidR="00AE35C3" w:rsidRPr="00D45FB5" w:rsidTr="00327620">
        <w:trPr>
          <w:trHeight w:val="300"/>
        </w:trPr>
        <w:tc>
          <w:tcPr>
            <w:tcW w:w="1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17/18 – M 12</w:t>
            </w:r>
          </w:p>
        </w:tc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FOUR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</w:p>
        </w:tc>
        <w:tc>
          <w:tcPr>
            <w:tcW w:w="3764" w:type="dxa"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Year one summary</w:t>
            </w:r>
          </w:p>
        </w:tc>
      </w:tr>
      <w:tr w:rsidR="00AE35C3" w:rsidRPr="00D45FB5" w:rsidTr="00327620">
        <w:trPr>
          <w:trHeight w:val="300"/>
        </w:trPr>
        <w:tc>
          <w:tcPr>
            <w:tcW w:w="1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ONE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</w:p>
        </w:tc>
        <w:tc>
          <w:tcPr>
            <w:tcW w:w="3764" w:type="dxa"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Q1 Report</w:t>
            </w:r>
          </w:p>
        </w:tc>
      </w:tr>
      <w:tr w:rsidR="00AE35C3" w:rsidRPr="00D45FB5" w:rsidTr="00327620">
        <w:trPr>
          <w:trHeight w:val="300"/>
        </w:trPr>
        <w:tc>
          <w:tcPr>
            <w:tcW w:w="1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TWO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</w:p>
        </w:tc>
        <w:tc>
          <w:tcPr>
            <w:tcW w:w="3764" w:type="dxa"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Q2 Report</w:t>
            </w:r>
          </w:p>
        </w:tc>
      </w:tr>
      <w:tr w:rsidR="00AE35C3" w:rsidRPr="00D45FB5" w:rsidTr="00327620">
        <w:trPr>
          <w:trHeight w:val="300"/>
        </w:trPr>
        <w:tc>
          <w:tcPr>
            <w:tcW w:w="1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 THREE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</w:p>
        </w:tc>
        <w:tc>
          <w:tcPr>
            <w:tcW w:w="3764" w:type="dxa"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Q3 Report</w:t>
            </w:r>
          </w:p>
        </w:tc>
      </w:tr>
      <w:tr w:rsidR="00AE35C3" w:rsidRPr="00D45FB5" w:rsidTr="00327620">
        <w:trPr>
          <w:trHeight w:val="300"/>
        </w:trPr>
        <w:tc>
          <w:tcPr>
            <w:tcW w:w="18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FOUR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</w:p>
        </w:tc>
        <w:tc>
          <w:tcPr>
            <w:tcW w:w="3764" w:type="dxa"/>
          </w:tcPr>
          <w:p w:rsidR="00AE35C3" w:rsidRPr="00D45FB5" w:rsidRDefault="00AE35C3" w:rsidP="00AE35C3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Year two summary</w:t>
            </w:r>
          </w:p>
        </w:tc>
      </w:tr>
    </w:tbl>
    <w:p w:rsidR="00D45FB5" w:rsidRDefault="00D45FB5" w:rsidP="005C77B7">
      <w:pPr>
        <w:rPr>
          <w:rFonts w:ascii="Arial" w:hAnsi="Arial" w:cs="Arial"/>
          <w:b/>
        </w:rPr>
      </w:pPr>
    </w:p>
    <w:p w:rsidR="00AE35C3" w:rsidRPr="00D45FB5" w:rsidRDefault="00AE35C3" w:rsidP="005C77B7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>The completed reports are to be filed by the Hub contract or CQUIN lead in:</w:t>
      </w:r>
    </w:p>
    <w:p w:rsidR="00AE35C3" w:rsidRPr="00D45FB5" w:rsidRDefault="00AE35C3" w:rsidP="005C77B7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 xml:space="preserve">O:\Contracts\2018-19\CQUIN\Regional Folders\Hub Submissions\CA3 Optimising Palliative Chemotherapy Decision Making\CA3 Reference </w:t>
      </w:r>
    </w:p>
    <w:p w:rsidR="00E91256" w:rsidRPr="00D45FB5" w:rsidRDefault="00AE35C3" w:rsidP="00E91256">
      <w:pPr>
        <w:rPr>
          <w:rFonts w:ascii="Arial" w:hAnsi="Arial" w:cs="Arial"/>
          <w:b/>
          <w:bCs/>
        </w:rPr>
      </w:pPr>
      <w:r w:rsidRPr="00D45FB5">
        <w:rPr>
          <w:rFonts w:ascii="Arial" w:hAnsi="Arial" w:cs="Arial"/>
          <w:b/>
        </w:rPr>
        <w:t xml:space="preserve">The file </w:t>
      </w:r>
      <w:r w:rsidR="00E91256" w:rsidRPr="00D45FB5">
        <w:rPr>
          <w:rFonts w:ascii="Arial" w:hAnsi="Arial" w:cs="Arial"/>
          <w:b/>
        </w:rPr>
        <w:t xml:space="preserve">should be named using the following naming convention: </w:t>
      </w:r>
      <w:proofErr w:type="spellStart"/>
      <w:r w:rsidR="00E91256" w:rsidRPr="00D45FB5">
        <w:rPr>
          <w:rFonts w:ascii="Arial" w:hAnsi="Arial" w:cs="Arial"/>
          <w:b/>
          <w:bCs/>
        </w:rPr>
        <w:t>HubShortName</w:t>
      </w:r>
      <w:proofErr w:type="spellEnd"/>
      <w:r w:rsidR="00E91256" w:rsidRPr="00D45FB5">
        <w:rPr>
          <w:rFonts w:ascii="Arial" w:hAnsi="Arial" w:cs="Arial"/>
          <w:b/>
          <w:bCs/>
        </w:rPr>
        <w:t>/</w:t>
      </w:r>
      <w:proofErr w:type="spellStart"/>
      <w:r w:rsidR="00E91256" w:rsidRPr="00D45FB5">
        <w:rPr>
          <w:rFonts w:ascii="Arial" w:hAnsi="Arial" w:cs="Arial"/>
          <w:b/>
          <w:bCs/>
        </w:rPr>
        <w:t>CQUINCode</w:t>
      </w:r>
      <w:proofErr w:type="spellEnd"/>
      <w:r w:rsidR="00E91256" w:rsidRPr="00D45FB5">
        <w:rPr>
          <w:rFonts w:ascii="Arial" w:hAnsi="Arial" w:cs="Arial"/>
          <w:b/>
          <w:bCs/>
        </w:rPr>
        <w:t>/Quarter e.g. EoE_CA3_Q1</w:t>
      </w:r>
    </w:p>
    <w:p w:rsidR="005C77B7" w:rsidRPr="00D45FB5" w:rsidRDefault="00327620" w:rsidP="005C7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intent of this scheme is to promote the recording of</w:t>
      </w:r>
      <w:r w:rsidR="005C77B7" w:rsidRPr="00D45FB5">
        <w:rPr>
          <w:rFonts w:ascii="Arial" w:hAnsi="Arial" w:cs="Arial"/>
          <w:b/>
        </w:rPr>
        <w:t xml:space="preserve"> peer </w:t>
      </w:r>
      <w:r>
        <w:rPr>
          <w:rFonts w:ascii="Arial" w:hAnsi="Arial" w:cs="Arial"/>
          <w:b/>
        </w:rPr>
        <w:t xml:space="preserve">review </w:t>
      </w:r>
      <w:r w:rsidR="005C77B7" w:rsidRPr="00D45FB5">
        <w:rPr>
          <w:rFonts w:ascii="Arial" w:hAnsi="Arial" w:cs="Arial"/>
          <w:b/>
        </w:rPr>
        <w:t>discussion</w:t>
      </w:r>
      <w:r>
        <w:rPr>
          <w:rFonts w:ascii="Arial" w:hAnsi="Arial" w:cs="Arial"/>
          <w:b/>
        </w:rPr>
        <w:t>s</w:t>
      </w:r>
      <w:r w:rsidR="005C77B7" w:rsidRPr="00D45FB5">
        <w:rPr>
          <w:rFonts w:ascii="Arial" w:hAnsi="Arial" w:cs="Arial"/>
          <w:b/>
        </w:rPr>
        <w:t xml:space="preserve"> when making decisions regarding the commencement or continuation of chemotherapy for patients that fall within the following groups:</w:t>
      </w:r>
    </w:p>
    <w:p w:rsidR="005C77B7" w:rsidRPr="00327620" w:rsidRDefault="005C77B7" w:rsidP="0032762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327620">
        <w:rPr>
          <w:rFonts w:ascii="Arial" w:hAnsi="Arial" w:cs="Arial"/>
          <w:b/>
          <w:highlight w:val="yellow"/>
        </w:rPr>
        <w:t>Commencement or continuation of chemotherapy in any patients with a performance status (PS) of 2-4</w:t>
      </w:r>
      <w:r w:rsidRPr="00327620">
        <w:rPr>
          <w:rFonts w:ascii="Arial" w:hAnsi="Arial" w:cs="Arial"/>
          <w:b/>
        </w:rPr>
        <w:t xml:space="preserve"> (PS2: up and about &gt;50% of waking hours; PS3: confined to bed or chairs &gt;50% of waking hours; PS4: totally confined to bed or chair)</w:t>
      </w:r>
    </w:p>
    <w:p w:rsidR="005C77B7" w:rsidRPr="00327620" w:rsidRDefault="005C77B7" w:rsidP="0032762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327620">
        <w:rPr>
          <w:rFonts w:ascii="Arial" w:hAnsi="Arial" w:cs="Arial"/>
          <w:b/>
          <w:highlight w:val="yellow"/>
        </w:rPr>
        <w:t>Commencement of 2nd, 3rd, 4th line and beyond treatments in patients being treated with non-curative intent</w:t>
      </w:r>
      <w:r w:rsidRPr="00327620">
        <w:rPr>
          <w:rFonts w:ascii="Arial" w:hAnsi="Arial" w:cs="Arial"/>
          <w:b/>
        </w:rPr>
        <w:t xml:space="preserve"> who have demonstrated outright disease progression on the previous line of therapy (</w:t>
      </w:r>
      <w:proofErr w:type="spellStart"/>
      <w:r w:rsidRPr="00327620">
        <w:rPr>
          <w:rFonts w:ascii="Arial" w:hAnsi="Arial" w:cs="Arial"/>
          <w:b/>
        </w:rPr>
        <w:t>ie</w:t>
      </w:r>
      <w:proofErr w:type="spellEnd"/>
      <w:r w:rsidRPr="00327620">
        <w:rPr>
          <w:rFonts w:ascii="Arial" w:hAnsi="Arial" w:cs="Arial"/>
          <w:b/>
        </w:rPr>
        <w:t xml:space="preserve"> those patients whose only response to that line of therapy has been progression of disease)</w:t>
      </w:r>
    </w:p>
    <w:p w:rsidR="002208DB" w:rsidRDefault="002208DB" w:rsidP="00D81C49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>2018-19 reporting requirements for CQUIN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1934"/>
        <w:gridCol w:w="2510"/>
        <w:gridCol w:w="2513"/>
      </w:tblGrid>
      <w:tr w:rsidR="00D52F94" w:rsidTr="00D52F94">
        <w:tc>
          <w:tcPr>
            <w:tcW w:w="2285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10" w:type="dxa"/>
          </w:tcPr>
          <w:p w:rsidR="00D52F94" w:rsidRDefault="00D52F94" w:rsidP="00D70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/ Lead</w:t>
            </w:r>
          </w:p>
        </w:tc>
        <w:tc>
          <w:tcPr>
            <w:tcW w:w="2513" w:type="dxa"/>
          </w:tcPr>
          <w:p w:rsidR="00D52F94" w:rsidRDefault="00D52F94" w:rsidP="00D70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D52F94" w:rsidTr="00D52F94">
        <w:tc>
          <w:tcPr>
            <w:tcW w:w="2285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Hub</w:t>
            </w:r>
          </w:p>
          <w:p w:rsidR="00D52F94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</w:p>
        </w:tc>
      </w:tr>
      <w:tr w:rsidR="00D52F94" w:rsidTr="00D52F94">
        <w:tc>
          <w:tcPr>
            <w:tcW w:w="2285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 / Service</w:t>
            </w:r>
          </w:p>
          <w:p w:rsidR="00D52F94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</w:p>
        </w:tc>
      </w:tr>
    </w:tbl>
    <w:p w:rsidR="00D70848" w:rsidRDefault="00D70848" w:rsidP="00D81C4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52F94" w:rsidTr="00D52F94">
        <w:tc>
          <w:tcPr>
            <w:tcW w:w="1848" w:type="dxa"/>
          </w:tcPr>
          <w:p w:rsidR="00D52F94" w:rsidRDefault="00D52F94" w:rsidP="00D81C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completed / updated for</w:t>
            </w:r>
          </w:p>
        </w:tc>
        <w:tc>
          <w:tcPr>
            <w:tcW w:w="1848" w:type="dxa"/>
          </w:tcPr>
          <w:p w:rsidR="00D52F94" w:rsidRDefault="00D52F94" w:rsidP="00D52F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Q1</w:t>
            </w:r>
          </w:p>
          <w:p w:rsidR="00D52F94" w:rsidRDefault="00D52F94" w:rsidP="00D52F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</w:tcPr>
          <w:p w:rsidR="00D52F94" w:rsidRDefault="00D52F94" w:rsidP="00D52F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1849" w:type="dxa"/>
          </w:tcPr>
          <w:p w:rsidR="00D52F94" w:rsidRDefault="00D52F94" w:rsidP="00D52F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1849" w:type="dxa"/>
          </w:tcPr>
          <w:p w:rsidR="00D52F94" w:rsidRDefault="00D52F94" w:rsidP="00D52F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Q4</w:t>
            </w:r>
          </w:p>
        </w:tc>
      </w:tr>
    </w:tbl>
    <w:p w:rsidR="00D70848" w:rsidRPr="00D45FB5" w:rsidRDefault="00D70848" w:rsidP="00D81C49">
      <w:pPr>
        <w:rPr>
          <w:rFonts w:ascii="Arial" w:hAnsi="Arial" w:cs="Arial"/>
          <w:b/>
        </w:rPr>
      </w:pPr>
    </w:p>
    <w:p w:rsidR="00100CC2" w:rsidRPr="00D45FB5" w:rsidRDefault="00100CC2" w:rsidP="00D81C49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1193"/>
        <w:gridCol w:w="1276"/>
        <w:gridCol w:w="1134"/>
        <w:gridCol w:w="1134"/>
        <w:gridCol w:w="1904"/>
      </w:tblGrid>
      <w:tr w:rsidR="00C46C9F" w:rsidRPr="00D45FB5" w:rsidTr="00C46C9F">
        <w:tc>
          <w:tcPr>
            <w:tcW w:w="9242" w:type="dxa"/>
            <w:gridSpan w:val="6"/>
          </w:tcPr>
          <w:p w:rsidR="00C46C9F" w:rsidRPr="00D45FB5" w:rsidRDefault="00C46C9F" w:rsidP="00C46C9F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Number of patients receiving SACT – by quarter in 2018-19</w:t>
            </w:r>
          </w:p>
        </w:tc>
      </w:tr>
      <w:tr w:rsidR="00C46C9F" w:rsidRPr="00D45FB5" w:rsidTr="00A75DCD">
        <w:tc>
          <w:tcPr>
            <w:tcW w:w="2601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C46C9F" w:rsidRPr="00D45FB5" w:rsidRDefault="00C46C9F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1276" w:type="dxa"/>
          </w:tcPr>
          <w:p w:rsidR="00C46C9F" w:rsidRPr="00D45FB5" w:rsidRDefault="00C46C9F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1134" w:type="dxa"/>
          </w:tcPr>
          <w:p w:rsidR="00C46C9F" w:rsidRPr="00D45FB5" w:rsidRDefault="00C46C9F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1134" w:type="dxa"/>
          </w:tcPr>
          <w:p w:rsidR="00C46C9F" w:rsidRPr="00D45FB5" w:rsidRDefault="00C46C9F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1904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Total</w:t>
            </w:r>
          </w:p>
        </w:tc>
      </w:tr>
      <w:tr w:rsidR="00C46C9F" w:rsidRPr="00D45FB5" w:rsidTr="00A75DCD">
        <w:tc>
          <w:tcPr>
            <w:tcW w:w="2601" w:type="dxa"/>
          </w:tcPr>
          <w:p w:rsidR="00C46C9F" w:rsidRDefault="00C46C9F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Patients receiving drug treatments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</w:tr>
      <w:tr w:rsidR="00C46C9F" w:rsidRPr="00D45FB5" w:rsidTr="00D52F94">
        <w:trPr>
          <w:trHeight w:val="412"/>
        </w:trPr>
        <w:tc>
          <w:tcPr>
            <w:tcW w:w="2601" w:type="dxa"/>
          </w:tcPr>
          <w:p w:rsidR="00C46C9F" w:rsidRDefault="00C46C9F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New regimen starts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C46C9F" w:rsidRPr="00D45FB5" w:rsidRDefault="00C46C9F" w:rsidP="00D81C49">
            <w:pPr>
              <w:rPr>
                <w:rFonts w:ascii="Arial" w:hAnsi="Arial" w:cs="Arial"/>
                <w:b/>
              </w:rPr>
            </w:pPr>
          </w:p>
        </w:tc>
      </w:tr>
    </w:tbl>
    <w:p w:rsidR="002208DB" w:rsidRPr="00D45FB5" w:rsidRDefault="002208DB" w:rsidP="00D81C49">
      <w:pPr>
        <w:rPr>
          <w:rFonts w:ascii="Arial" w:hAnsi="Arial" w:cs="Arial"/>
          <w:b/>
        </w:rPr>
      </w:pPr>
    </w:p>
    <w:p w:rsidR="00100CC2" w:rsidRPr="00D45FB5" w:rsidRDefault="00100CC2" w:rsidP="00D81C49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1193"/>
        <w:gridCol w:w="1276"/>
        <w:gridCol w:w="1090"/>
        <w:gridCol w:w="1178"/>
        <w:gridCol w:w="1904"/>
      </w:tblGrid>
      <w:tr w:rsidR="00100CC2" w:rsidRPr="00D45FB5" w:rsidTr="00AB1ADD">
        <w:tc>
          <w:tcPr>
            <w:tcW w:w="9242" w:type="dxa"/>
            <w:gridSpan w:val="6"/>
          </w:tcPr>
          <w:p w:rsidR="00100CC2" w:rsidRPr="00D45FB5" w:rsidRDefault="00100CC2" w:rsidP="00AB1ADD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 xml:space="preserve">Commencement or continuation of chemotherapy in any patients with </w:t>
            </w:r>
          </w:p>
          <w:p w:rsidR="00100CC2" w:rsidRPr="00D45FB5" w:rsidRDefault="00100CC2" w:rsidP="00AB1ADD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Performance Status (PS) 2 to 4</w:t>
            </w:r>
            <w:r w:rsidR="00384397" w:rsidRPr="00D45FB5">
              <w:rPr>
                <w:rFonts w:ascii="Arial" w:hAnsi="Arial" w:cs="Arial"/>
                <w:b/>
              </w:rPr>
              <w:t xml:space="preserve"> that had a Peer Review Discussion recorded </w:t>
            </w:r>
            <w:r w:rsidRPr="00D45FB5">
              <w:rPr>
                <w:rFonts w:ascii="Arial" w:hAnsi="Arial" w:cs="Arial"/>
                <w:b/>
              </w:rPr>
              <w:t xml:space="preserve"> by quarter in 2018-19</w:t>
            </w:r>
          </w:p>
        </w:tc>
      </w:tr>
      <w:tr w:rsidR="00100CC2" w:rsidRPr="00D45FB5" w:rsidTr="00AB1ADD">
        <w:tc>
          <w:tcPr>
            <w:tcW w:w="2601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100CC2" w:rsidRPr="00D45FB5" w:rsidRDefault="00100CC2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1276" w:type="dxa"/>
          </w:tcPr>
          <w:p w:rsidR="00100CC2" w:rsidRPr="00D45FB5" w:rsidRDefault="00100CC2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1090" w:type="dxa"/>
          </w:tcPr>
          <w:p w:rsidR="00100CC2" w:rsidRPr="00D45FB5" w:rsidRDefault="00100CC2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1178" w:type="dxa"/>
          </w:tcPr>
          <w:p w:rsidR="00100CC2" w:rsidRPr="00D45FB5" w:rsidRDefault="00100CC2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1904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Total</w:t>
            </w:r>
          </w:p>
        </w:tc>
      </w:tr>
      <w:tr w:rsidR="00100CC2" w:rsidRPr="00D45FB5" w:rsidTr="00AB1ADD">
        <w:tc>
          <w:tcPr>
            <w:tcW w:w="2601" w:type="dxa"/>
          </w:tcPr>
          <w:p w:rsidR="00100CC2" w:rsidRDefault="00100CC2" w:rsidP="00AB1ADD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Number of Lines Prescribed to Patients Within the Cohort</w:t>
            </w:r>
          </w:p>
          <w:p w:rsidR="00D52F94" w:rsidRPr="00D45FB5" w:rsidRDefault="00D52F94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</w:tr>
      <w:tr w:rsidR="00100CC2" w:rsidRPr="00D45FB5" w:rsidTr="00AB1ADD">
        <w:tc>
          <w:tcPr>
            <w:tcW w:w="2601" w:type="dxa"/>
          </w:tcPr>
          <w:p w:rsidR="00100CC2" w:rsidRDefault="00100CC2" w:rsidP="00AB1ADD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Number that had a Peer Discussion Recorded</w:t>
            </w:r>
          </w:p>
          <w:p w:rsidR="00D52F94" w:rsidRPr="00D45FB5" w:rsidRDefault="00D52F94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</w:tr>
      <w:tr w:rsidR="00100CC2" w:rsidRPr="00D45FB5" w:rsidTr="00AB1ADD">
        <w:tc>
          <w:tcPr>
            <w:tcW w:w="2601" w:type="dxa"/>
          </w:tcPr>
          <w:p w:rsidR="00100CC2" w:rsidRDefault="00100CC2" w:rsidP="00AB1ADD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Percentage having had a Peer Discussion Recorded</w:t>
            </w:r>
          </w:p>
          <w:p w:rsidR="00D52F94" w:rsidRPr="00D45FB5" w:rsidRDefault="00D52F94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</w:tr>
      <w:tr w:rsidR="00100CC2" w:rsidRPr="00D45FB5" w:rsidTr="00AB1ADD">
        <w:tc>
          <w:tcPr>
            <w:tcW w:w="2601" w:type="dxa"/>
          </w:tcPr>
          <w:p w:rsidR="00100CC2" w:rsidRDefault="00100CC2" w:rsidP="00AB1ADD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  <w:highlight w:val="yellow"/>
              </w:rPr>
              <w:t>Percentage Improvement target agreed for 2018-19</w:t>
            </w:r>
          </w:p>
          <w:p w:rsidR="00D52F94" w:rsidRPr="00D45FB5" w:rsidRDefault="00D52F94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100CC2" w:rsidRPr="00D45FB5" w:rsidRDefault="00100CC2" w:rsidP="00AB1ADD">
            <w:pPr>
              <w:rPr>
                <w:rFonts w:ascii="Arial" w:hAnsi="Arial" w:cs="Arial"/>
                <w:b/>
              </w:rPr>
            </w:pPr>
          </w:p>
        </w:tc>
      </w:tr>
    </w:tbl>
    <w:p w:rsidR="00D52F94" w:rsidRDefault="00D52F94" w:rsidP="00D81C49">
      <w:pPr>
        <w:rPr>
          <w:rFonts w:ascii="Arial" w:hAnsi="Arial" w:cs="Arial"/>
          <w:b/>
        </w:rPr>
      </w:pPr>
    </w:p>
    <w:p w:rsidR="00D52F94" w:rsidRDefault="00D52F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208DB" w:rsidRPr="00D45FB5" w:rsidRDefault="00100CC2" w:rsidP="00D81C49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>Table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1193"/>
        <w:gridCol w:w="1276"/>
        <w:gridCol w:w="1090"/>
        <w:gridCol w:w="1178"/>
        <w:gridCol w:w="1904"/>
      </w:tblGrid>
      <w:tr w:rsidR="00A75DCD" w:rsidRPr="00D45FB5" w:rsidTr="00AB1ADD">
        <w:tc>
          <w:tcPr>
            <w:tcW w:w="9242" w:type="dxa"/>
            <w:gridSpan w:val="6"/>
          </w:tcPr>
          <w:p w:rsidR="00A75DCD" w:rsidRPr="00D45FB5" w:rsidRDefault="00A75DCD" w:rsidP="00A75DCD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Number of Newly Prescribed Lines to Patients within the Cohorts that had a Peer Discussion Recorded – by quarter in 2018-19</w:t>
            </w:r>
          </w:p>
        </w:tc>
      </w:tr>
      <w:tr w:rsidR="00A75DCD" w:rsidRPr="00D45FB5" w:rsidTr="00A75DCD">
        <w:tc>
          <w:tcPr>
            <w:tcW w:w="2601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75DCD" w:rsidRPr="00D45FB5" w:rsidRDefault="00A75DCD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1276" w:type="dxa"/>
          </w:tcPr>
          <w:p w:rsidR="00A75DCD" w:rsidRPr="00D45FB5" w:rsidRDefault="00A75DCD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1090" w:type="dxa"/>
          </w:tcPr>
          <w:p w:rsidR="00A75DCD" w:rsidRPr="00D45FB5" w:rsidRDefault="00A75DCD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1178" w:type="dxa"/>
          </w:tcPr>
          <w:p w:rsidR="00A75DCD" w:rsidRPr="00D45FB5" w:rsidRDefault="00A75DCD" w:rsidP="00100CC2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1904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Total</w:t>
            </w:r>
          </w:p>
        </w:tc>
      </w:tr>
      <w:tr w:rsidR="00A75DCD" w:rsidRPr="00D45FB5" w:rsidTr="00A75DCD">
        <w:tc>
          <w:tcPr>
            <w:tcW w:w="2601" w:type="dxa"/>
          </w:tcPr>
          <w:p w:rsidR="00D52F94" w:rsidRPr="00D45FB5" w:rsidRDefault="00A75DCD" w:rsidP="00D52F94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Number of Lines Prescribed to Patients Within the Cohort</w:t>
            </w:r>
          </w:p>
        </w:tc>
        <w:tc>
          <w:tcPr>
            <w:tcW w:w="1193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</w:tr>
      <w:tr w:rsidR="00A75DCD" w:rsidRPr="00D45FB5" w:rsidTr="00A75DCD">
        <w:tc>
          <w:tcPr>
            <w:tcW w:w="2601" w:type="dxa"/>
          </w:tcPr>
          <w:p w:rsidR="00D52F94" w:rsidRPr="00D45FB5" w:rsidRDefault="00A75DCD" w:rsidP="00D52F94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Number that had a Peer Discussion Recorded</w:t>
            </w:r>
          </w:p>
        </w:tc>
        <w:tc>
          <w:tcPr>
            <w:tcW w:w="1193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</w:tr>
      <w:tr w:rsidR="00A75DCD" w:rsidRPr="00D45FB5" w:rsidTr="00A75DCD">
        <w:tc>
          <w:tcPr>
            <w:tcW w:w="2601" w:type="dxa"/>
          </w:tcPr>
          <w:p w:rsidR="00D52F94" w:rsidRPr="00D45FB5" w:rsidRDefault="00A75DCD" w:rsidP="00D52F94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Percentage having had a Peer Discussion Recorded</w:t>
            </w:r>
          </w:p>
        </w:tc>
        <w:tc>
          <w:tcPr>
            <w:tcW w:w="1193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</w:tr>
      <w:tr w:rsidR="00A75DCD" w:rsidRPr="00D45FB5" w:rsidTr="00A75DCD">
        <w:tc>
          <w:tcPr>
            <w:tcW w:w="2601" w:type="dxa"/>
          </w:tcPr>
          <w:p w:rsidR="00D52F94" w:rsidRPr="00D45FB5" w:rsidRDefault="00100CC2" w:rsidP="00D52F94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  <w:highlight w:val="yellow"/>
              </w:rPr>
              <w:t>Percentage Improvement target agreed for 2018-19</w:t>
            </w:r>
          </w:p>
        </w:tc>
        <w:tc>
          <w:tcPr>
            <w:tcW w:w="1193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A75DCD" w:rsidRPr="00D45FB5" w:rsidRDefault="00A75DCD" w:rsidP="00AB1ADD">
            <w:pPr>
              <w:rPr>
                <w:rFonts w:ascii="Arial" w:hAnsi="Arial" w:cs="Arial"/>
                <w:b/>
              </w:rPr>
            </w:pPr>
          </w:p>
        </w:tc>
      </w:tr>
    </w:tbl>
    <w:p w:rsidR="00D52F94" w:rsidRDefault="00D52F94" w:rsidP="00D81C49">
      <w:pPr>
        <w:rPr>
          <w:rFonts w:ascii="Arial" w:hAnsi="Arial" w:cs="Arial"/>
          <w:b/>
        </w:rPr>
      </w:pPr>
    </w:p>
    <w:p w:rsidR="00100CC2" w:rsidRPr="00D45FB5" w:rsidRDefault="00566CFC" w:rsidP="00D81C49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 xml:space="preserve">Table 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268"/>
        <w:gridCol w:w="2409"/>
      </w:tblGrid>
      <w:tr w:rsidR="00FB2173" w:rsidRPr="00D45FB5" w:rsidTr="00FB2173">
        <w:tc>
          <w:tcPr>
            <w:tcW w:w="2518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Tumour site</w:t>
            </w:r>
          </w:p>
        </w:tc>
        <w:tc>
          <w:tcPr>
            <w:tcW w:w="1985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No of patients in cohort</w:t>
            </w:r>
          </w:p>
        </w:tc>
        <w:tc>
          <w:tcPr>
            <w:tcW w:w="2268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Number of peer reviews</w:t>
            </w:r>
          </w:p>
        </w:tc>
        <w:tc>
          <w:tcPr>
            <w:tcW w:w="2409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Percentage of peer review treatment decisions</w:t>
            </w:r>
          </w:p>
        </w:tc>
      </w:tr>
      <w:tr w:rsidR="00FB2173" w:rsidRPr="00D45FB5" w:rsidTr="00FB2173">
        <w:tc>
          <w:tcPr>
            <w:tcW w:w="2518" w:type="dxa"/>
          </w:tcPr>
          <w:p w:rsidR="00FB2173" w:rsidRDefault="00FB2173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Breast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</w:tr>
      <w:tr w:rsidR="00FB2173" w:rsidRPr="00D45FB5" w:rsidTr="00FB2173">
        <w:tc>
          <w:tcPr>
            <w:tcW w:w="2518" w:type="dxa"/>
          </w:tcPr>
          <w:p w:rsidR="00FB2173" w:rsidRDefault="00FB2173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Endocrine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</w:tr>
      <w:tr w:rsidR="00FB2173" w:rsidRPr="00D45FB5" w:rsidTr="00FB2173">
        <w:tc>
          <w:tcPr>
            <w:tcW w:w="2518" w:type="dxa"/>
          </w:tcPr>
          <w:p w:rsidR="00FB2173" w:rsidRDefault="00FB2173" w:rsidP="00D81C49">
            <w:pPr>
              <w:rPr>
                <w:rFonts w:ascii="Arial" w:hAnsi="Arial" w:cs="Arial"/>
                <w:b/>
              </w:rPr>
            </w:pPr>
            <w:proofErr w:type="spellStart"/>
            <w:r w:rsidRPr="00D45FB5">
              <w:rPr>
                <w:rFonts w:ascii="Arial" w:hAnsi="Arial" w:cs="Arial"/>
                <w:b/>
              </w:rPr>
              <w:t>Gynae</w:t>
            </w:r>
            <w:proofErr w:type="spellEnd"/>
            <w:r w:rsidRPr="00D45FB5">
              <w:rPr>
                <w:rFonts w:ascii="Arial" w:hAnsi="Arial" w:cs="Arial"/>
                <w:b/>
              </w:rPr>
              <w:t xml:space="preserve"> 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</w:tr>
      <w:tr w:rsidR="00FB2173" w:rsidRPr="00D45FB5" w:rsidTr="00FB2173">
        <w:tc>
          <w:tcPr>
            <w:tcW w:w="2518" w:type="dxa"/>
          </w:tcPr>
          <w:p w:rsidR="00FB2173" w:rsidRDefault="00FB2173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Head and Neck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</w:tr>
      <w:tr w:rsidR="00FB2173" w:rsidRPr="00D45FB5" w:rsidTr="00FB2173">
        <w:tc>
          <w:tcPr>
            <w:tcW w:w="2518" w:type="dxa"/>
          </w:tcPr>
          <w:p w:rsidR="00FB2173" w:rsidRDefault="00FB2173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Leukaemia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</w:tr>
      <w:tr w:rsidR="00FB2173" w:rsidRPr="00D45FB5" w:rsidTr="00FB2173">
        <w:tc>
          <w:tcPr>
            <w:tcW w:w="2518" w:type="dxa"/>
          </w:tcPr>
          <w:p w:rsidR="00FB2173" w:rsidRDefault="001B525E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Lower GI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</w:tr>
      <w:tr w:rsidR="00FB2173" w:rsidRPr="00D45FB5" w:rsidTr="00FB2173">
        <w:tc>
          <w:tcPr>
            <w:tcW w:w="2518" w:type="dxa"/>
          </w:tcPr>
          <w:p w:rsidR="00FB2173" w:rsidRDefault="001B525E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Lung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FB2173" w:rsidRPr="00D45FB5" w:rsidRDefault="00FB2173" w:rsidP="00D81C49">
            <w:pPr>
              <w:rPr>
                <w:rFonts w:ascii="Arial" w:hAnsi="Arial" w:cs="Arial"/>
                <w:b/>
              </w:rPr>
            </w:pPr>
          </w:p>
        </w:tc>
      </w:tr>
      <w:tr w:rsidR="001B525E" w:rsidRPr="00D45FB5" w:rsidTr="00FB2173">
        <w:tc>
          <w:tcPr>
            <w:tcW w:w="2518" w:type="dxa"/>
          </w:tcPr>
          <w:p w:rsidR="001B525E" w:rsidRDefault="001B525E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Lymphoma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</w:tr>
      <w:tr w:rsidR="001B525E" w:rsidRPr="00D45FB5" w:rsidTr="00FB2173">
        <w:tc>
          <w:tcPr>
            <w:tcW w:w="2518" w:type="dxa"/>
          </w:tcPr>
          <w:p w:rsidR="001B525E" w:rsidRDefault="001B525E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Myeloma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</w:tr>
      <w:tr w:rsidR="001B525E" w:rsidRPr="00D45FB5" w:rsidTr="00FB2173">
        <w:tc>
          <w:tcPr>
            <w:tcW w:w="2518" w:type="dxa"/>
          </w:tcPr>
          <w:p w:rsidR="001B525E" w:rsidRDefault="001B525E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Sarcoma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</w:tr>
      <w:tr w:rsidR="001B525E" w:rsidRPr="00D45FB5" w:rsidTr="00FB2173">
        <w:tc>
          <w:tcPr>
            <w:tcW w:w="2518" w:type="dxa"/>
          </w:tcPr>
          <w:p w:rsidR="001B525E" w:rsidRDefault="001B525E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Skin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</w:tr>
      <w:tr w:rsidR="001B525E" w:rsidRPr="00D45FB5" w:rsidTr="00FB2173">
        <w:tc>
          <w:tcPr>
            <w:tcW w:w="2518" w:type="dxa"/>
          </w:tcPr>
          <w:p w:rsidR="001B525E" w:rsidRDefault="001B525E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Upper GI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</w:tr>
      <w:tr w:rsidR="001B525E" w:rsidRPr="00D45FB5" w:rsidTr="00FB2173">
        <w:tc>
          <w:tcPr>
            <w:tcW w:w="2518" w:type="dxa"/>
          </w:tcPr>
          <w:p w:rsidR="001B525E" w:rsidRDefault="001B525E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Urology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</w:tr>
      <w:tr w:rsidR="001B525E" w:rsidRPr="00D45FB5" w:rsidTr="00FB2173">
        <w:tc>
          <w:tcPr>
            <w:tcW w:w="2518" w:type="dxa"/>
          </w:tcPr>
          <w:p w:rsidR="001B525E" w:rsidRDefault="001B525E" w:rsidP="00D81C49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ETC</w:t>
            </w:r>
          </w:p>
          <w:p w:rsidR="00D52F94" w:rsidRPr="00D45FB5" w:rsidRDefault="00D52F94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B525E" w:rsidRPr="00D45FB5" w:rsidRDefault="001B525E" w:rsidP="00D81C49">
            <w:pPr>
              <w:rPr>
                <w:rFonts w:ascii="Arial" w:hAnsi="Arial" w:cs="Arial"/>
                <w:b/>
              </w:rPr>
            </w:pPr>
          </w:p>
        </w:tc>
      </w:tr>
    </w:tbl>
    <w:p w:rsidR="00A75DCD" w:rsidRPr="00D45FB5" w:rsidRDefault="00A75DCD" w:rsidP="00D81C49">
      <w:pPr>
        <w:rPr>
          <w:rFonts w:ascii="Arial" w:hAnsi="Arial" w:cs="Arial"/>
          <w:b/>
        </w:rPr>
      </w:pPr>
    </w:p>
    <w:p w:rsidR="00965BA9" w:rsidRPr="00D45FB5" w:rsidRDefault="00501D51" w:rsidP="00D81C49">
      <w:pPr>
        <w:rPr>
          <w:rFonts w:ascii="Arial" w:hAnsi="Arial" w:cs="Arial"/>
          <w:b/>
        </w:rPr>
      </w:pPr>
      <w:r w:rsidRPr="00D45FB5">
        <w:rPr>
          <w:rFonts w:ascii="Arial" w:hAnsi="Arial" w:cs="Arial"/>
          <w:b/>
        </w:rPr>
        <w:t>Table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1193"/>
        <w:gridCol w:w="1276"/>
        <w:gridCol w:w="1090"/>
        <w:gridCol w:w="1178"/>
        <w:gridCol w:w="1904"/>
      </w:tblGrid>
      <w:tr w:rsidR="00566CFC" w:rsidRPr="00D45FB5" w:rsidTr="00AB1ADD">
        <w:tc>
          <w:tcPr>
            <w:tcW w:w="9242" w:type="dxa"/>
            <w:gridSpan w:val="6"/>
          </w:tcPr>
          <w:p w:rsidR="00566CFC" w:rsidRDefault="00566CFC" w:rsidP="00AB1ADD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SACT 30-day Mortalities</w:t>
            </w:r>
            <w:r w:rsidRPr="00D45FB5">
              <w:rPr>
                <w:rFonts w:ascii="Arial" w:hAnsi="Arial" w:cs="Arial"/>
                <w:b/>
              </w:rPr>
              <w:t xml:space="preserve"> – by quarter in 2018-19</w:t>
            </w:r>
          </w:p>
          <w:p w:rsidR="00D52F94" w:rsidRPr="00D45FB5" w:rsidRDefault="00D52F94" w:rsidP="00AB1A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6CFC" w:rsidRPr="00D45FB5" w:rsidTr="00AB1ADD">
        <w:tc>
          <w:tcPr>
            <w:tcW w:w="2601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566CFC" w:rsidRPr="00D45FB5" w:rsidRDefault="00566CFC" w:rsidP="00AB1ADD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1276" w:type="dxa"/>
          </w:tcPr>
          <w:p w:rsidR="00566CFC" w:rsidRPr="00D45FB5" w:rsidRDefault="00566CFC" w:rsidP="00AB1ADD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1090" w:type="dxa"/>
          </w:tcPr>
          <w:p w:rsidR="00566CFC" w:rsidRPr="00D45FB5" w:rsidRDefault="00566CFC" w:rsidP="00AB1ADD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1178" w:type="dxa"/>
          </w:tcPr>
          <w:p w:rsidR="00566CFC" w:rsidRPr="00D45FB5" w:rsidRDefault="00566CFC" w:rsidP="00AB1ADD">
            <w:pPr>
              <w:jc w:val="center"/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1904" w:type="dxa"/>
          </w:tcPr>
          <w:p w:rsidR="00566CFC" w:rsidRDefault="00566CFC" w:rsidP="00AB1ADD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hAnsi="Arial" w:cs="Arial"/>
                <w:b/>
              </w:rPr>
              <w:t>Total</w:t>
            </w:r>
          </w:p>
          <w:p w:rsidR="00D52F94" w:rsidRPr="00D45FB5" w:rsidRDefault="00D52F94" w:rsidP="00AB1ADD">
            <w:pPr>
              <w:rPr>
                <w:rFonts w:ascii="Arial" w:hAnsi="Arial" w:cs="Arial"/>
                <w:b/>
              </w:rPr>
            </w:pPr>
          </w:p>
        </w:tc>
      </w:tr>
      <w:tr w:rsidR="00501D51" w:rsidRPr="00D45FB5" w:rsidTr="00AB1ADD">
        <w:tc>
          <w:tcPr>
            <w:tcW w:w="2601" w:type="dxa"/>
          </w:tcPr>
          <w:p w:rsidR="00501D51" w:rsidRPr="00D45FB5" w:rsidRDefault="00501D51" w:rsidP="00AB1AD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45FB5">
              <w:rPr>
                <w:rFonts w:ascii="Arial" w:eastAsia="Times New Roman" w:hAnsi="Arial" w:cs="Arial"/>
                <w:color w:val="000000"/>
                <w:lang w:eastAsia="en-GB"/>
              </w:rPr>
              <w:t>Total SACT 30-day Mortalities</w:t>
            </w:r>
          </w:p>
        </w:tc>
        <w:tc>
          <w:tcPr>
            <w:tcW w:w="1193" w:type="dxa"/>
          </w:tcPr>
          <w:p w:rsidR="00501D51" w:rsidRPr="00D45FB5" w:rsidRDefault="00501D51" w:rsidP="00AB1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501D51" w:rsidRPr="00D45FB5" w:rsidRDefault="00501D51" w:rsidP="00AB1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501D51" w:rsidRPr="00D45FB5" w:rsidRDefault="00501D51" w:rsidP="00AB1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501D51" w:rsidRPr="00D45FB5" w:rsidRDefault="00501D51" w:rsidP="00AB1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501D51" w:rsidRPr="00D45FB5" w:rsidRDefault="00501D51" w:rsidP="00AB1ADD">
            <w:pPr>
              <w:rPr>
                <w:rFonts w:ascii="Arial" w:hAnsi="Arial" w:cs="Arial"/>
                <w:b/>
              </w:rPr>
            </w:pPr>
          </w:p>
        </w:tc>
      </w:tr>
      <w:tr w:rsidR="00566CFC" w:rsidRPr="00D45FB5" w:rsidTr="00AB1ADD">
        <w:tc>
          <w:tcPr>
            <w:tcW w:w="2601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eastAsia="Times New Roman" w:hAnsi="Arial" w:cs="Arial"/>
                <w:color w:val="000000"/>
                <w:lang w:eastAsia="en-GB"/>
              </w:rPr>
              <w:t>Percentage of 30-day Mortalities Discussed in M&amp;M</w:t>
            </w:r>
          </w:p>
        </w:tc>
        <w:tc>
          <w:tcPr>
            <w:tcW w:w="1193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</w:tr>
      <w:tr w:rsidR="00566CFC" w:rsidRPr="00D45FB5" w:rsidTr="00AB1ADD">
        <w:tc>
          <w:tcPr>
            <w:tcW w:w="2601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eastAsia="Times New Roman" w:hAnsi="Arial" w:cs="Arial"/>
                <w:color w:val="000000"/>
                <w:lang w:eastAsia="en-GB"/>
              </w:rPr>
              <w:t>Percentage of those receiving SACT</w:t>
            </w:r>
          </w:p>
        </w:tc>
        <w:tc>
          <w:tcPr>
            <w:tcW w:w="1193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</w:tr>
      <w:tr w:rsidR="00566CFC" w:rsidRPr="00D45FB5" w:rsidTr="00AB1ADD">
        <w:tc>
          <w:tcPr>
            <w:tcW w:w="2601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  <w:r w:rsidRPr="00D45FB5">
              <w:rPr>
                <w:rFonts w:ascii="Arial" w:eastAsia="Times New Roman" w:hAnsi="Arial" w:cs="Arial"/>
                <w:color w:val="000000"/>
                <w:lang w:eastAsia="en-GB"/>
              </w:rPr>
              <w:t>Percentage of Deceased Patient Cohort*</w:t>
            </w:r>
          </w:p>
        </w:tc>
        <w:tc>
          <w:tcPr>
            <w:tcW w:w="1193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</w:tr>
      <w:tr w:rsidR="00566CFC" w:rsidRPr="00D45FB5" w:rsidTr="00AB1ADD">
        <w:tc>
          <w:tcPr>
            <w:tcW w:w="2601" w:type="dxa"/>
          </w:tcPr>
          <w:p w:rsidR="00566CFC" w:rsidRPr="00D45FB5" w:rsidRDefault="00566CFC" w:rsidP="00AB1ADD">
            <w:pPr>
              <w:rPr>
                <w:rFonts w:ascii="Arial" w:hAnsi="Arial" w:cs="Arial"/>
              </w:rPr>
            </w:pPr>
            <w:r w:rsidRPr="00D45FB5">
              <w:rPr>
                <w:rFonts w:ascii="Arial" w:hAnsi="Arial" w:cs="Arial"/>
              </w:rPr>
              <w:t>Total 30-day Mortalities with Performance Status 2 or above and/or Rece</w:t>
            </w:r>
            <w:r w:rsidR="00501D51" w:rsidRPr="00D45FB5">
              <w:rPr>
                <w:rFonts w:ascii="Arial" w:hAnsi="Arial" w:cs="Arial"/>
              </w:rPr>
              <w:t>iving 2nd Line Chemotherapy or beyond and d</w:t>
            </w:r>
            <w:r w:rsidRPr="00D45FB5">
              <w:rPr>
                <w:rFonts w:ascii="Arial" w:hAnsi="Arial" w:cs="Arial"/>
              </w:rPr>
              <w:t>iscussed in M&amp;M</w:t>
            </w:r>
          </w:p>
        </w:tc>
        <w:tc>
          <w:tcPr>
            <w:tcW w:w="1193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566CFC" w:rsidRPr="00D45FB5" w:rsidRDefault="00566CFC" w:rsidP="00AB1ADD">
            <w:pPr>
              <w:rPr>
                <w:rFonts w:ascii="Arial" w:hAnsi="Arial" w:cs="Arial"/>
                <w:b/>
              </w:rPr>
            </w:pPr>
          </w:p>
        </w:tc>
      </w:tr>
    </w:tbl>
    <w:p w:rsidR="00965BA9" w:rsidRDefault="00965BA9" w:rsidP="00D81C49">
      <w:pPr>
        <w:rPr>
          <w:rFonts w:ascii="Arial" w:hAnsi="Arial" w:cs="Arial"/>
          <w:b/>
        </w:rPr>
      </w:pPr>
    </w:p>
    <w:p w:rsidR="00D52F94" w:rsidRPr="00D45FB5" w:rsidRDefault="00D52F94" w:rsidP="00D81C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 from the service</w:t>
      </w:r>
    </w:p>
    <w:sectPr w:rsidR="00D52F94" w:rsidRPr="00D45FB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33" w:rsidRDefault="007C4233" w:rsidP="00566CFC">
      <w:pPr>
        <w:spacing w:after="0" w:line="240" w:lineRule="auto"/>
      </w:pPr>
      <w:r>
        <w:separator/>
      </w:r>
    </w:p>
  </w:endnote>
  <w:endnote w:type="continuationSeparator" w:id="0">
    <w:p w:rsidR="007C4233" w:rsidRDefault="007C4233" w:rsidP="0056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695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5FB5" w:rsidRDefault="00D45F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9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92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6CFC" w:rsidRDefault="00566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33" w:rsidRDefault="007C4233" w:rsidP="00566CFC">
      <w:pPr>
        <w:spacing w:after="0" w:line="240" w:lineRule="auto"/>
      </w:pPr>
      <w:r>
        <w:separator/>
      </w:r>
    </w:p>
  </w:footnote>
  <w:footnote w:type="continuationSeparator" w:id="0">
    <w:p w:rsidR="007C4233" w:rsidRDefault="007C4233" w:rsidP="0056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B5" w:rsidRDefault="00D45FB5">
    <w:pPr>
      <w:pStyle w:val="Header"/>
    </w:pPr>
    <w:proofErr w:type="gramStart"/>
    <w:r>
      <w:t>CA3  Reporting</w:t>
    </w:r>
    <w:proofErr w:type="gramEnd"/>
    <w:r>
      <w:t xml:space="preserve"> Template – 11 APR 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46B"/>
    <w:multiLevelType w:val="hybridMultilevel"/>
    <w:tmpl w:val="DE1A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71A81"/>
    <w:multiLevelType w:val="hybridMultilevel"/>
    <w:tmpl w:val="42F63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C10E9E"/>
    <w:multiLevelType w:val="hybridMultilevel"/>
    <w:tmpl w:val="FA5AF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912066"/>
    <w:multiLevelType w:val="hybridMultilevel"/>
    <w:tmpl w:val="4BFEA8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15EAC"/>
    <w:multiLevelType w:val="hybridMultilevel"/>
    <w:tmpl w:val="7EDC2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D06DEB"/>
    <w:multiLevelType w:val="hybridMultilevel"/>
    <w:tmpl w:val="2C4CBC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0601E"/>
    <w:multiLevelType w:val="hybridMultilevel"/>
    <w:tmpl w:val="72A22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D840E1"/>
    <w:multiLevelType w:val="hybridMultilevel"/>
    <w:tmpl w:val="653E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A4F96"/>
    <w:multiLevelType w:val="hybridMultilevel"/>
    <w:tmpl w:val="E63C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B7"/>
    <w:rsid w:val="00024313"/>
    <w:rsid w:val="000E5CE7"/>
    <w:rsid w:val="00100CC2"/>
    <w:rsid w:val="00136D68"/>
    <w:rsid w:val="00173E66"/>
    <w:rsid w:val="001A0F57"/>
    <w:rsid w:val="001B525E"/>
    <w:rsid w:val="001F5E2D"/>
    <w:rsid w:val="002208DB"/>
    <w:rsid w:val="00222405"/>
    <w:rsid w:val="00230368"/>
    <w:rsid w:val="00246275"/>
    <w:rsid w:val="00267B82"/>
    <w:rsid w:val="002A7101"/>
    <w:rsid w:val="00317497"/>
    <w:rsid w:val="00327620"/>
    <w:rsid w:val="00372B55"/>
    <w:rsid w:val="00374B09"/>
    <w:rsid w:val="00384397"/>
    <w:rsid w:val="00432DDC"/>
    <w:rsid w:val="004500C2"/>
    <w:rsid w:val="004B2A04"/>
    <w:rsid w:val="004D549A"/>
    <w:rsid w:val="004E492C"/>
    <w:rsid w:val="00501D51"/>
    <w:rsid w:val="00510537"/>
    <w:rsid w:val="00516398"/>
    <w:rsid w:val="00566CFC"/>
    <w:rsid w:val="00585860"/>
    <w:rsid w:val="005C77B7"/>
    <w:rsid w:val="006345B9"/>
    <w:rsid w:val="00636016"/>
    <w:rsid w:val="006A5C69"/>
    <w:rsid w:val="006F1F2D"/>
    <w:rsid w:val="00785110"/>
    <w:rsid w:val="007A466A"/>
    <w:rsid w:val="007C4233"/>
    <w:rsid w:val="00826A55"/>
    <w:rsid w:val="00835358"/>
    <w:rsid w:val="008F6094"/>
    <w:rsid w:val="00965BA9"/>
    <w:rsid w:val="009A3F06"/>
    <w:rsid w:val="00A735FB"/>
    <w:rsid w:val="00A75DCD"/>
    <w:rsid w:val="00A77E88"/>
    <w:rsid w:val="00AE35C3"/>
    <w:rsid w:val="00B7740B"/>
    <w:rsid w:val="00B82FA9"/>
    <w:rsid w:val="00C46C9F"/>
    <w:rsid w:val="00D45BB1"/>
    <w:rsid w:val="00D45FB5"/>
    <w:rsid w:val="00D52F94"/>
    <w:rsid w:val="00D70848"/>
    <w:rsid w:val="00D81C49"/>
    <w:rsid w:val="00DA4785"/>
    <w:rsid w:val="00E061B7"/>
    <w:rsid w:val="00E91256"/>
    <w:rsid w:val="00EC1DD0"/>
    <w:rsid w:val="00FB2173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FC"/>
  </w:style>
  <w:style w:type="paragraph" w:styleId="Footer">
    <w:name w:val="footer"/>
    <w:basedOn w:val="Normal"/>
    <w:link w:val="FooterChar"/>
    <w:uiPriority w:val="99"/>
    <w:unhideWhenUsed/>
    <w:rsid w:val="00566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FC"/>
  </w:style>
  <w:style w:type="paragraph" w:styleId="BalloonText">
    <w:name w:val="Balloon Text"/>
    <w:basedOn w:val="Normal"/>
    <w:link w:val="BalloonTextChar"/>
    <w:uiPriority w:val="99"/>
    <w:semiHidden/>
    <w:unhideWhenUsed/>
    <w:rsid w:val="006F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3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3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FC"/>
  </w:style>
  <w:style w:type="paragraph" w:styleId="Footer">
    <w:name w:val="footer"/>
    <w:basedOn w:val="Normal"/>
    <w:link w:val="FooterChar"/>
    <w:uiPriority w:val="99"/>
    <w:unhideWhenUsed/>
    <w:rsid w:val="00566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FC"/>
  </w:style>
  <w:style w:type="paragraph" w:styleId="BalloonText">
    <w:name w:val="Balloon Text"/>
    <w:basedOn w:val="Normal"/>
    <w:link w:val="BalloonTextChar"/>
    <w:uiPriority w:val="99"/>
    <w:semiHidden/>
    <w:unhideWhenUsed/>
    <w:rsid w:val="006F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3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3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jones@nhs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igel.andrews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ngland.nhs.uk/wp-content/uploads/2016/11/ca3-optimis-palliative-chemo-decision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7D9C-364A-4223-8059-681F01F8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Warr</dc:creator>
  <cp:lastModifiedBy>Jones, Owen</cp:lastModifiedBy>
  <cp:revision>2</cp:revision>
  <dcterms:created xsi:type="dcterms:W3CDTF">2018-05-29T11:19:00Z</dcterms:created>
  <dcterms:modified xsi:type="dcterms:W3CDTF">2018-05-29T11:19:00Z</dcterms:modified>
</cp:coreProperties>
</file>