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9" w:rsidRPr="00082F82" w:rsidRDefault="007F43C3" w:rsidP="00B143B7">
      <w:r w:rsidRPr="00082F82">
        <w:rPr>
          <w:noProof/>
          <w:lang w:val="en-GB" w:eastAsia="en-GB"/>
        </w:rPr>
        <w:drawing>
          <wp:anchor distT="0" distB="0" distL="114300" distR="114300" simplePos="0" relativeHeight="251688960" behindDoc="1" locked="0" layoutInCell="1" allowOverlap="1" wp14:anchorId="62174610" wp14:editId="31E7C15C">
            <wp:simplePos x="0" y="0"/>
            <wp:positionH relativeFrom="column">
              <wp:posOffset>5124450</wp:posOffset>
            </wp:positionH>
            <wp:positionV relativeFrom="paragraph">
              <wp:posOffset>-393065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FC4" w:rsidRPr="00082F82">
        <w:rPr>
          <w:noProof/>
          <w:lang w:val="en-GB" w:eastAsia="en-GB"/>
        </w:rPr>
        <w:drawing>
          <wp:anchor distT="0" distB="0" distL="114300" distR="114300" simplePos="0" relativeHeight="251683839" behindDoc="0" locked="0" layoutInCell="1" allowOverlap="1" wp14:anchorId="22F1AF54" wp14:editId="2CDFF93E">
            <wp:simplePos x="0" y="0"/>
            <wp:positionH relativeFrom="column">
              <wp:posOffset>-317500</wp:posOffset>
            </wp:positionH>
            <wp:positionV relativeFrom="paragraph">
              <wp:posOffset>567690</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FD1" w:rsidRDefault="00BF1FD1" w:rsidP="00CD4CB9"/>
    <w:p w:rsidR="007D5DA9" w:rsidRPr="00F679EB" w:rsidRDefault="000151FA" w:rsidP="007D5DA9">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F679EB">
        <w:rPr>
          <w:rFonts w:ascii="Arial" w:eastAsia="Times New Roman" w:hAnsi="Arial" w:cs="Times New Roman"/>
          <w:b/>
          <w:bCs/>
          <w:color w:val="0072C6"/>
          <w:spacing w:val="0"/>
          <w:kern w:val="0"/>
          <w:sz w:val="44"/>
          <w:szCs w:val="44"/>
          <w:lang w:val="en-GB" w:eastAsia="en-US"/>
        </w:rPr>
        <w:t xml:space="preserve">Template Sub-Contract for use with </w:t>
      </w:r>
      <w:r w:rsidR="007D5DA9" w:rsidRPr="00F679EB">
        <w:rPr>
          <w:rFonts w:ascii="Arial" w:eastAsia="Times New Roman" w:hAnsi="Arial" w:cs="Times New Roman"/>
          <w:b/>
          <w:bCs/>
          <w:color w:val="0072C6"/>
          <w:spacing w:val="0"/>
          <w:kern w:val="0"/>
          <w:sz w:val="44"/>
          <w:szCs w:val="44"/>
          <w:lang w:val="en-GB" w:eastAsia="en-US"/>
        </w:rPr>
        <w:t>NHS Standard Contract 2017/18 and 2018/19</w:t>
      </w:r>
    </w:p>
    <w:p w:rsidR="007D5DA9" w:rsidRPr="00840B54" w:rsidRDefault="007D5DA9" w:rsidP="007D5DA9">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F679EB">
        <w:rPr>
          <w:rFonts w:ascii="Arial" w:eastAsia="Times New Roman" w:hAnsi="Arial" w:cs="Times New Roman"/>
          <w:b/>
          <w:bCs/>
          <w:color w:val="0072C6"/>
          <w:spacing w:val="0"/>
          <w:kern w:val="0"/>
          <w:sz w:val="44"/>
          <w:szCs w:val="44"/>
          <w:lang w:val="en-GB" w:eastAsia="en-US"/>
        </w:rPr>
        <w:t>(Shorter Form)</w:t>
      </w:r>
    </w:p>
    <w:p w:rsidR="00840B54" w:rsidRDefault="00840B54" w:rsidP="007D5DA9">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D5DA9" w:rsidRPr="00840B54" w:rsidRDefault="007D5DA9" w:rsidP="007D5DA9">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840B54">
        <w:rPr>
          <w:rFonts w:ascii="Arial" w:eastAsia="Times New Roman" w:hAnsi="Arial" w:cs="Times New Roman"/>
          <w:b/>
          <w:bCs/>
          <w:color w:val="0072C6"/>
          <w:spacing w:val="0"/>
          <w:kern w:val="0"/>
          <w:sz w:val="44"/>
          <w:szCs w:val="44"/>
          <w:lang w:val="en-GB" w:eastAsia="en-US"/>
        </w:rPr>
        <w:t>Schedule 6F</w:t>
      </w:r>
      <w:r w:rsidR="00840B54" w:rsidRPr="00840B54">
        <w:rPr>
          <w:rFonts w:ascii="Arial" w:eastAsia="Times New Roman" w:hAnsi="Arial" w:cs="Times New Roman"/>
          <w:b/>
          <w:bCs/>
          <w:color w:val="0072C6"/>
          <w:spacing w:val="0"/>
          <w:kern w:val="0"/>
          <w:sz w:val="44"/>
          <w:szCs w:val="44"/>
          <w:lang w:val="en-GB" w:eastAsia="en-US"/>
        </w:rPr>
        <w:t xml:space="preserve"> </w:t>
      </w:r>
      <w:r w:rsidR="000151FA">
        <w:rPr>
          <w:rFonts w:ascii="Arial" w:eastAsia="Times New Roman" w:hAnsi="Arial" w:cs="Times New Roman"/>
          <w:b/>
          <w:bCs/>
          <w:color w:val="0072C6"/>
          <w:spacing w:val="0"/>
          <w:kern w:val="0"/>
          <w:sz w:val="44"/>
          <w:szCs w:val="44"/>
          <w:lang w:val="en-GB" w:eastAsia="en-US"/>
        </w:rPr>
        <w:t>Sub-Contractor</w:t>
      </w:r>
      <w:r w:rsidR="00840B54" w:rsidRPr="00840B54">
        <w:rPr>
          <w:rFonts w:ascii="Arial" w:eastAsia="Times New Roman" w:hAnsi="Arial" w:cs="Times New Roman"/>
          <w:b/>
          <w:bCs/>
          <w:color w:val="0072C6"/>
          <w:spacing w:val="0"/>
          <w:kern w:val="0"/>
          <w:sz w:val="44"/>
          <w:szCs w:val="44"/>
          <w:lang w:val="en-GB" w:eastAsia="en-US"/>
        </w:rPr>
        <w:t xml:space="preserve"> Data Processing Agreement</w:t>
      </w:r>
    </w:p>
    <w:p w:rsidR="007D5DA9" w:rsidRDefault="008D21AB" w:rsidP="00840B54">
      <w:pPr>
        <w:pStyle w:val="Title"/>
        <w:pBdr>
          <w:bottom w:val="none" w:sz="0" w:space="0" w:color="auto"/>
        </w:pBdr>
        <w:spacing w:after="0"/>
        <w:contextualSpacing w:val="0"/>
        <w:rPr>
          <w:rFonts w:ascii="Arial" w:hAnsi="Arial" w:cs="Arial"/>
          <w:b/>
          <w:sz w:val="32"/>
          <w:szCs w:val="32"/>
        </w:rPr>
      </w:pPr>
      <w:r>
        <w:rPr>
          <w:rFonts w:ascii="Arial" w:eastAsia="Times New Roman" w:hAnsi="Arial" w:cs="Times New Roman"/>
          <w:b/>
          <w:bCs/>
          <w:color w:val="0072C6"/>
          <w:spacing w:val="0"/>
          <w:kern w:val="0"/>
          <w:sz w:val="44"/>
          <w:szCs w:val="44"/>
          <w:lang w:val="en-GB" w:eastAsia="en-US"/>
        </w:rPr>
        <w:t>July</w:t>
      </w:r>
      <w:r w:rsidR="007D5DA9" w:rsidRPr="00840B54">
        <w:rPr>
          <w:rFonts w:ascii="Arial" w:eastAsia="Times New Roman" w:hAnsi="Arial" w:cs="Times New Roman"/>
          <w:b/>
          <w:bCs/>
          <w:color w:val="0072C6"/>
          <w:spacing w:val="0"/>
          <w:kern w:val="0"/>
          <w:sz w:val="44"/>
          <w:szCs w:val="44"/>
          <w:lang w:val="en-GB" w:eastAsia="en-US"/>
        </w:rPr>
        <w:t xml:space="preserve"> 2018</w:t>
      </w:r>
      <w:r w:rsidR="007D5DA9">
        <w:rPr>
          <w:rFonts w:ascii="Arial" w:hAnsi="Arial" w:cs="Arial"/>
          <w:b/>
          <w:sz w:val="32"/>
          <w:szCs w:val="32"/>
        </w:rPr>
        <w:br w:type="page"/>
      </w:r>
    </w:p>
    <w:p w:rsidR="007D5DA9" w:rsidRDefault="007D5DA9">
      <w:pPr>
        <w:rPr>
          <w:rFonts w:ascii="Arial" w:hAnsi="Arial" w:cs="Arial"/>
          <w:b/>
          <w:sz w:val="32"/>
          <w:szCs w:val="32"/>
        </w:rPr>
      </w:pPr>
    </w:p>
    <w:p w:rsidR="007D5DA9" w:rsidRPr="00082F82" w:rsidRDefault="007D5DA9">
      <w:pPr>
        <w:rPr>
          <w:rFonts w:ascii="Arial" w:hAnsi="Arial" w:cs="Arial"/>
          <w:b/>
          <w:sz w:val="32"/>
          <w:szCs w:val="32"/>
        </w:rPr>
      </w:pPr>
    </w:p>
    <w:p w:rsidR="007158E0" w:rsidRPr="00082F82" w:rsidRDefault="000151FA" w:rsidP="007158E0">
      <w:pPr>
        <w:rPr>
          <w:rFonts w:ascii="Arial" w:hAnsi="Arial" w:cs="Arial"/>
          <w:b/>
          <w:sz w:val="32"/>
          <w:szCs w:val="32"/>
        </w:rPr>
      </w:pPr>
      <w:r>
        <w:rPr>
          <w:rFonts w:ascii="Arial" w:hAnsi="Arial" w:cs="Arial"/>
          <w:b/>
          <w:sz w:val="32"/>
          <w:szCs w:val="32"/>
        </w:rPr>
        <w:t xml:space="preserve">Template Sub-Contract for use with </w:t>
      </w:r>
      <w:r w:rsidR="007158E0" w:rsidRPr="00082F82">
        <w:rPr>
          <w:rFonts w:ascii="Arial" w:hAnsi="Arial" w:cs="Arial"/>
          <w:b/>
          <w:sz w:val="32"/>
          <w:szCs w:val="32"/>
        </w:rPr>
        <w:t>NHS Standard Contract</w:t>
      </w:r>
      <w:r w:rsidR="00B143B7" w:rsidRPr="00082F82">
        <w:rPr>
          <w:rFonts w:ascii="Arial" w:hAnsi="Arial" w:cs="Arial"/>
          <w:b/>
          <w:sz w:val="32"/>
          <w:szCs w:val="32"/>
        </w:rPr>
        <w:t xml:space="preserve"> </w:t>
      </w:r>
      <w:r w:rsidR="00071F03" w:rsidRPr="00082F82">
        <w:rPr>
          <w:rFonts w:ascii="Arial" w:hAnsi="Arial" w:cs="Arial"/>
          <w:b/>
          <w:sz w:val="32"/>
          <w:szCs w:val="32"/>
        </w:rPr>
        <w:t>2017/18</w:t>
      </w:r>
      <w:r w:rsidR="005E479F" w:rsidRPr="00082F82">
        <w:rPr>
          <w:rFonts w:ascii="Arial" w:hAnsi="Arial" w:cs="Arial"/>
          <w:b/>
          <w:sz w:val="32"/>
          <w:szCs w:val="32"/>
        </w:rPr>
        <w:t xml:space="preserve"> and 2018/19</w:t>
      </w:r>
      <w:r w:rsidR="007158E0" w:rsidRPr="00082F82">
        <w:rPr>
          <w:rFonts w:ascii="Arial" w:hAnsi="Arial" w:cs="Arial"/>
          <w:b/>
          <w:sz w:val="32"/>
          <w:szCs w:val="32"/>
        </w:rPr>
        <w:t xml:space="preserve"> (</w:t>
      </w:r>
      <w:r w:rsidR="00EE616F" w:rsidRPr="00082F82">
        <w:rPr>
          <w:rFonts w:ascii="Arial" w:hAnsi="Arial" w:cs="Arial"/>
          <w:b/>
          <w:sz w:val="32"/>
          <w:szCs w:val="32"/>
        </w:rPr>
        <w:t>Shorter F</w:t>
      </w:r>
      <w:r w:rsidR="007158E0" w:rsidRPr="00082F82">
        <w:rPr>
          <w:rFonts w:ascii="Arial" w:hAnsi="Arial" w:cs="Arial"/>
          <w:b/>
          <w:sz w:val="32"/>
          <w:szCs w:val="32"/>
        </w:rPr>
        <w:t>orm)</w:t>
      </w:r>
    </w:p>
    <w:p w:rsidR="00B143B7" w:rsidRPr="00082F82" w:rsidRDefault="00B143B7" w:rsidP="007158E0">
      <w:pPr>
        <w:rPr>
          <w:rFonts w:ascii="Arial" w:hAnsi="Arial" w:cs="Arial"/>
          <w:b/>
          <w:sz w:val="32"/>
          <w:szCs w:val="32"/>
        </w:rPr>
      </w:pPr>
      <w:r w:rsidRPr="00082F82">
        <w:rPr>
          <w:rFonts w:ascii="Arial" w:hAnsi="Arial" w:cs="Arial"/>
          <w:b/>
          <w:sz w:val="32"/>
          <w:szCs w:val="32"/>
        </w:rPr>
        <w:t>Schedule 6F</w:t>
      </w:r>
      <w:r w:rsidR="00840B54">
        <w:rPr>
          <w:rFonts w:ascii="Arial" w:hAnsi="Arial" w:cs="Arial"/>
          <w:b/>
          <w:sz w:val="32"/>
          <w:szCs w:val="32"/>
        </w:rPr>
        <w:t xml:space="preserve"> </w:t>
      </w:r>
      <w:r w:rsidR="000151FA">
        <w:rPr>
          <w:rFonts w:ascii="Arial" w:hAnsi="Arial" w:cs="Arial"/>
          <w:b/>
          <w:sz w:val="32"/>
          <w:szCs w:val="32"/>
        </w:rPr>
        <w:t>Sub-Contractor</w:t>
      </w:r>
      <w:r w:rsidR="00840B54">
        <w:rPr>
          <w:rFonts w:ascii="Arial" w:hAnsi="Arial" w:cs="Arial"/>
          <w:b/>
          <w:sz w:val="32"/>
          <w:szCs w:val="32"/>
        </w:rPr>
        <w:t xml:space="preserve"> Data </w:t>
      </w:r>
      <w:r w:rsidR="000151FA">
        <w:rPr>
          <w:rFonts w:ascii="Arial" w:hAnsi="Arial" w:cs="Arial"/>
          <w:b/>
          <w:sz w:val="32"/>
          <w:szCs w:val="32"/>
        </w:rPr>
        <w:t>P</w:t>
      </w:r>
      <w:r w:rsidR="00840B54">
        <w:rPr>
          <w:rFonts w:ascii="Arial" w:hAnsi="Arial" w:cs="Arial"/>
          <w:b/>
          <w:sz w:val="32"/>
          <w:szCs w:val="32"/>
        </w:rPr>
        <w:t>rocessing Agreement</w:t>
      </w:r>
    </w:p>
    <w:p w:rsidR="007D5DA9" w:rsidRPr="00AA6ADF" w:rsidRDefault="008D21AB" w:rsidP="007D5DA9">
      <w:pPr>
        <w:rPr>
          <w:rFonts w:ascii="Arial" w:hAnsi="Arial" w:cs="Arial"/>
          <w:b/>
          <w:i/>
          <w:sz w:val="28"/>
          <w:szCs w:val="28"/>
        </w:rPr>
      </w:pPr>
      <w:r>
        <w:rPr>
          <w:rFonts w:ascii="Arial" w:hAnsi="Arial" w:cs="Arial"/>
          <w:b/>
          <w:sz w:val="28"/>
          <w:szCs w:val="28"/>
        </w:rPr>
        <w:t>July</w:t>
      </w:r>
      <w:r w:rsidR="007D5DA9" w:rsidRPr="002E5FC9">
        <w:rPr>
          <w:rFonts w:ascii="Arial" w:hAnsi="Arial" w:cs="Arial"/>
          <w:b/>
          <w:sz w:val="28"/>
          <w:szCs w:val="28"/>
        </w:rPr>
        <w:t xml:space="preserve"> 2018 edition</w:t>
      </w:r>
    </w:p>
    <w:p w:rsidR="007D5DA9" w:rsidRDefault="007D5DA9" w:rsidP="007158E0">
      <w:pPr>
        <w:rPr>
          <w:rFonts w:ascii="Arial" w:hAnsi="Arial" w:cs="Arial"/>
          <w:b/>
        </w:rPr>
      </w:pPr>
    </w:p>
    <w:p w:rsidR="007D5DA9" w:rsidRPr="00082F82" w:rsidRDefault="007D5DA9" w:rsidP="007158E0">
      <w:pPr>
        <w:rPr>
          <w:rFonts w:ascii="Arial" w:hAnsi="Arial" w:cs="Arial"/>
          <w:b/>
        </w:rPr>
      </w:pPr>
    </w:p>
    <w:p w:rsidR="007158E0" w:rsidRPr="00082F82" w:rsidRDefault="007158E0" w:rsidP="007158E0">
      <w:pPr>
        <w:rPr>
          <w:rFonts w:ascii="Arial" w:hAnsi="Arial" w:cs="Arial"/>
        </w:rPr>
      </w:pPr>
      <w:r w:rsidRPr="00082F82">
        <w:rPr>
          <w:rFonts w:ascii="Arial" w:hAnsi="Arial" w:cs="Arial"/>
        </w:rPr>
        <w:t>First published:</w:t>
      </w:r>
      <w:r w:rsidRPr="00082F82">
        <w:rPr>
          <w:rFonts w:ascii="Arial" w:hAnsi="Arial" w:cs="Arial"/>
        </w:rPr>
        <w:tab/>
      </w:r>
      <w:r w:rsidR="008D21AB">
        <w:rPr>
          <w:rFonts w:ascii="Arial" w:hAnsi="Arial" w:cs="Arial"/>
        </w:rPr>
        <w:t>July</w:t>
      </w:r>
      <w:r w:rsidR="000D1D87">
        <w:rPr>
          <w:rFonts w:ascii="Arial" w:hAnsi="Arial" w:cs="Arial"/>
        </w:rPr>
        <w:t xml:space="preserve"> 2018</w:t>
      </w:r>
    </w:p>
    <w:p w:rsidR="007158E0" w:rsidRPr="00082F82" w:rsidRDefault="007158E0" w:rsidP="007158E0">
      <w:pPr>
        <w:rPr>
          <w:rFonts w:ascii="Arial" w:hAnsi="Arial" w:cs="Arial"/>
        </w:rPr>
      </w:pPr>
      <w:r w:rsidRPr="00082F82">
        <w:rPr>
          <w:rFonts w:ascii="Arial" w:hAnsi="Arial" w:cs="Arial"/>
        </w:rPr>
        <w:t>Prepared by:</w:t>
      </w:r>
      <w:r w:rsidRPr="00082F82">
        <w:rPr>
          <w:rFonts w:ascii="Arial" w:hAnsi="Arial" w:cs="Arial"/>
        </w:rPr>
        <w:tab/>
      </w:r>
      <w:r w:rsidRPr="00082F82">
        <w:rPr>
          <w:rFonts w:ascii="Arial" w:hAnsi="Arial" w:cs="Arial"/>
        </w:rPr>
        <w:tab/>
        <w:t>NHS Standard Contract Team</w:t>
      </w:r>
    </w:p>
    <w:p w:rsidR="007158E0" w:rsidRPr="00082F82" w:rsidRDefault="007158E0" w:rsidP="007158E0">
      <w:pPr>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nhscb.contractshelp@nhs.net</w:t>
      </w:r>
    </w:p>
    <w:p w:rsidR="007158E0" w:rsidRPr="00082F82" w:rsidRDefault="007158E0" w:rsidP="007158E0">
      <w:pPr>
        <w:rPr>
          <w:rFonts w:ascii="Arial" w:eastAsia="Times New Roman" w:hAnsi="Arial" w:cs="Arial"/>
          <w:bCs/>
          <w:szCs w:val="26"/>
          <w:lang w:val="en-GB" w:eastAsia="en-US"/>
        </w:rPr>
      </w:pPr>
    </w:p>
    <w:p w:rsidR="007158E0" w:rsidRPr="00082F82" w:rsidRDefault="007158E0"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7158E0" w:rsidRPr="00082F82" w:rsidRDefault="007158E0" w:rsidP="007158E0">
      <w:pPr>
        <w:rPr>
          <w:rFonts w:ascii="Arial" w:eastAsia="Times New Roman" w:hAnsi="Arial" w:cs="Times New Roman"/>
          <w:bCs/>
          <w:szCs w:val="26"/>
          <w:lang w:val="en-GB" w:eastAsia="en-US"/>
        </w:rPr>
      </w:pPr>
    </w:p>
    <w:p w:rsidR="00631E33" w:rsidRPr="00082F82" w:rsidRDefault="00631E33" w:rsidP="007158E0">
      <w:pPr>
        <w:rPr>
          <w:rFonts w:ascii="Arial" w:eastAsia="Times New Roman" w:hAnsi="Arial" w:cs="Times New Roman"/>
          <w:bCs/>
          <w:szCs w:val="26"/>
          <w:lang w:val="en-GB" w:eastAsia="en-US"/>
        </w:rPr>
      </w:pPr>
    </w:p>
    <w:p w:rsidR="007158E0" w:rsidRPr="00082F82" w:rsidRDefault="007158E0" w:rsidP="007158E0">
      <w:pPr>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Publications Gateway Reference:</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00DD37CF" w:rsidRPr="00DD37CF">
        <w:rPr>
          <w:rFonts w:ascii="Arial" w:eastAsia="Times New Roman" w:hAnsi="Arial" w:cs="Times New Roman"/>
          <w:bCs/>
          <w:szCs w:val="26"/>
          <w:lang w:val="en-GB" w:eastAsia="en-US"/>
        </w:rPr>
        <w:t>08283</w:t>
      </w:r>
    </w:p>
    <w:p w:rsidR="007158E0" w:rsidRPr="00082F82" w:rsidRDefault="007158E0" w:rsidP="007158E0">
      <w:r w:rsidRPr="00082F82">
        <w:rPr>
          <w:rFonts w:ascii="Arial" w:eastAsia="Times New Roman" w:hAnsi="Arial" w:cs="Times New Roman"/>
          <w:bCs/>
          <w:szCs w:val="26"/>
          <w:lang w:val="en-GB" w:eastAsia="en-US"/>
        </w:rPr>
        <w:t>Document Classification:</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Official</w:t>
      </w:r>
      <w:r w:rsidRPr="00082F82">
        <w:br w:type="page"/>
      </w:r>
    </w:p>
    <w:p w:rsidR="0080603A" w:rsidRPr="0080603A" w:rsidRDefault="0080603A" w:rsidP="0080603A">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rsidR="0080603A" w:rsidRPr="0080603A" w:rsidRDefault="0080603A" w:rsidP="0080603A">
      <w:pPr>
        <w:spacing w:after="0"/>
        <w:rPr>
          <w:rFonts w:ascii="Arial" w:eastAsia="Times New Roman" w:hAnsi="Arial" w:cs="Arial"/>
          <w:b/>
          <w:sz w:val="20"/>
          <w:lang w:val="en-GB" w:eastAsia="en-GB"/>
        </w:rPr>
      </w:pPr>
    </w:p>
    <w:p w:rsidR="0080603A" w:rsidRDefault="008B1DBF" w:rsidP="008B1DBF">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rsidR="00306CAC" w:rsidRDefault="00306CAC" w:rsidP="008B1DBF">
      <w:pPr>
        <w:spacing w:after="0"/>
        <w:contextualSpacing/>
        <w:jc w:val="center"/>
        <w:rPr>
          <w:rFonts w:ascii="Arial" w:eastAsia="Times New Roman" w:hAnsi="Arial" w:cs="Arial"/>
          <w:b/>
          <w:szCs w:val="24"/>
          <w:lang w:val="en-GB" w:eastAsia="en-GB"/>
        </w:rPr>
      </w:pPr>
    </w:p>
    <w:p w:rsidR="00306CAC" w:rsidRPr="00F679EB" w:rsidRDefault="00306CAC" w:rsidP="00F679EB">
      <w:pPr>
        <w:jc w:val="both"/>
        <w:rPr>
          <w:rFonts w:ascii="Arial" w:hAnsi="Arial" w:cs="Arial"/>
          <w:i/>
          <w:szCs w:val="24"/>
        </w:rPr>
      </w:pPr>
      <w:r w:rsidRPr="00F679EB">
        <w:rPr>
          <w:rFonts w:ascii="Arial" w:hAnsi="Arial" w:cs="Arial"/>
          <w:i/>
        </w:rPr>
        <w:t>NOTE: This Schedule 6F applies only where the Sub-Contractor is appointed to act as a Data Processor or Sub-processor under this Sub-Contract.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rsidR="00306CAC" w:rsidRPr="00064830" w:rsidRDefault="00306CAC" w:rsidP="00306CAC">
      <w:pPr>
        <w:shd w:val="clear" w:color="auto" w:fill="FFFFFF"/>
        <w:rPr>
          <w:rFonts w:cs="Arial"/>
          <w:sz w:val="20"/>
        </w:rPr>
      </w:pPr>
    </w:p>
    <w:p w:rsidR="00306CAC" w:rsidRPr="00064830" w:rsidRDefault="00306CAC" w:rsidP="00306CAC">
      <w:pPr>
        <w:pStyle w:val="ListParagraph"/>
        <w:numPr>
          <w:ilvl w:val="0"/>
          <w:numId w:val="43"/>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SCOPE</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Contract, comply with the provisions of this Schedule 6F.</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Contract.</w:t>
      </w:r>
    </w:p>
    <w:p w:rsidR="00306CAC" w:rsidRPr="00064830" w:rsidRDefault="00306CAC" w:rsidP="00306CAC">
      <w:pPr>
        <w:pStyle w:val="ListParagraph"/>
        <w:numPr>
          <w:ilvl w:val="0"/>
          <w:numId w:val="43"/>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DATA PROTECTION</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EU 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r w:rsidRPr="00064830">
        <w:rPr>
          <w:rFonts w:ascii="Arial" w:eastAsia="ArialMT" w:hAnsi="Arial" w:cs="Arial"/>
          <w:sz w:val="20"/>
          <w:szCs w:val="20"/>
        </w:rPr>
        <w:t xml:space="preserve"> </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proofErr w:type="gramStart"/>
      <w:r>
        <w:rPr>
          <w:rFonts w:ascii="Arial" w:eastAsia="ArialMT" w:hAnsi="Arial" w:cs="Arial"/>
          <w:sz w:val="20"/>
          <w:szCs w:val="20"/>
        </w:rPr>
        <w:t xml:space="preserve">] </w:t>
      </w:r>
      <w:r w:rsidRPr="00064830">
        <w:rPr>
          <w:rFonts w:ascii="Arial" w:eastAsia="ArialMT" w:hAnsi="Arial" w:cs="Arial"/>
          <w:sz w:val="20"/>
          <w:szCs w:val="20"/>
        </w:rPr>
        <w:t xml:space="preserve"> immediately</w:t>
      </w:r>
      <w:proofErr w:type="gramEnd"/>
      <w:r w:rsidRPr="00064830">
        <w:rPr>
          <w:rFonts w:ascii="Arial" w:eastAsia="ArialMT" w:hAnsi="Arial" w:cs="Arial"/>
          <w:sz w:val="20"/>
          <w:szCs w:val="20"/>
        </w:rPr>
        <w:t xml:space="preserve">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Head Provider [and/or the Co-ordinating Commissioner</w:t>
      </w:r>
      <w:proofErr w:type="gramStart"/>
      <w:r>
        <w:rPr>
          <w:rFonts w:ascii="Arial" w:eastAsia="ArialMT" w:hAnsi="Arial" w:cs="Arial"/>
          <w:sz w:val="20"/>
          <w:szCs w:val="20"/>
        </w:rPr>
        <w:t xml:space="preserve">] </w:t>
      </w:r>
      <w:r w:rsidRPr="00064830">
        <w:rPr>
          <w:rFonts w:ascii="Arial" w:eastAsia="ArialMT" w:hAnsi="Arial" w:cs="Arial"/>
          <w:sz w:val="20"/>
          <w:szCs w:val="20"/>
        </w:rPr>
        <w:t xml:space="preserve"> in</w:t>
      </w:r>
      <w:proofErr w:type="gramEnd"/>
      <w:r w:rsidRPr="00064830">
        <w:rPr>
          <w:rFonts w:ascii="Arial" w:eastAsia="ArialMT" w:hAnsi="Arial" w:cs="Arial"/>
          <w:sz w:val="20"/>
          <w:szCs w:val="20"/>
        </w:rPr>
        <w:t xml:space="preserve"> the preparation of any Data Protection Impact Assessment prior to commencing any processing. 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the</w:t>
      </w:r>
      <w:proofErr w:type="gramEnd"/>
      <w:r w:rsidRPr="00064830">
        <w:rPr>
          <w:rFonts w:ascii="Arial" w:eastAsia="ArialMT" w:hAnsi="Arial" w:cs="Arial"/>
          <w:sz w:val="20"/>
          <w:szCs w:val="20"/>
        </w:rPr>
        <w:t xml:space="preserve"> measures envisaged to address the risks, including safeguards, security measures and mechanisms to ensure the protection of Personal Data. </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process</w:t>
      </w:r>
      <w:proofErr w:type="gramEnd"/>
      <w:r w:rsidRPr="00064830">
        <w:rPr>
          <w:rFonts w:ascii="Arial" w:eastAsia="ArialMT" w:hAnsi="Arial" w:cs="Arial"/>
          <w:sz w:val="20"/>
          <w:szCs w:val="20"/>
        </w:rPr>
        <w:t xml:space="preserve">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required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nature of the data to be protected;</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harm that might result from a Data Loss Event;</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ensure that:</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rsidR="00306CAC" w:rsidRPr="00064830" w:rsidRDefault="00306CAC" w:rsidP="00306CAC">
      <w:pPr>
        <w:pStyle w:val="ListParagraph"/>
        <w:numPr>
          <w:ilvl w:val="4"/>
          <w:numId w:val="43"/>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rsidR="00306CAC" w:rsidRPr="00064830" w:rsidRDefault="00306CAC" w:rsidP="00306CAC">
      <w:pPr>
        <w:pStyle w:val="ListParagraph"/>
        <w:numPr>
          <w:ilvl w:val="4"/>
          <w:numId w:val="43"/>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rsidR="00306CAC" w:rsidRPr="00064830" w:rsidRDefault="00306CAC" w:rsidP="00306CAC">
      <w:pPr>
        <w:pStyle w:val="ListParagraph"/>
        <w:numPr>
          <w:ilvl w:val="4"/>
          <w:numId w:val="43"/>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rsidR="00306CAC" w:rsidRPr="00064830" w:rsidRDefault="00306CAC" w:rsidP="00306CAC">
      <w:pPr>
        <w:pStyle w:val="ListParagraph"/>
        <w:numPr>
          <w:ilvl w:val="4"/>
          <w:numId w:val="43"/>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rsidR="00306CAC" w:rsidRPr="00064830" w:rsidRDefault="00306CAC" w:rsidP="00306CAC">
      <w:pPr>
        <w:pStyle w:val="ListParagraph"/>
        <w:numPr>
          <w:ilvl w:val="4"/>
          <w:numId w:val="43"/>
        </w:numPr>
        <w:autoSpaceDE w:val="0"/>
        <w:autoSpaceDN w:val="0"/>
        <w:adjustRightInd w:val="0"/>
        <w:spacing w:after="120" w:line="312" w:lineRule="auto"/>
        <w:ind w:left="2552" w:hanging="567"/>
        <w:jc w:val="both"/>
        <w:rPr>
          <w:rFonts w:ascii="Arial" w:eastAsia="ArialMT" w:hAnsi="Arial" w:cs="Arial"/>
          <w:sz w:val="20"/>
          <w:szCs w:val="20"/>
        </w:rPr>
      </w:pPr>
      <w:proofErr w:type="gramStart"/>
      <w:r w:rsidRPr="00064830">
        <w:rPr>
          <w:rFonts w:ascii="Arial" w:eastAsia="ArialMT" w:hAnsi="Arial" w:cs="Arial"/>
          <w:sz w:val="20"/>
          <w:szCs w:val="20"/>
        </w:rPr>
        <w:t>are</w:t>
      </w:r>
      <w:proofErr w:type="gramEnd"/>
      <w:r w:rsidRPr="00064830">
        <w:rPr>
          <w:rFonts w:ascii="Arial" w:eastAsia="ArialMT" w:hAnsi="Arial" w:cs="Arial"/>
          <w:sz w:val="20"/>
          <w:szCs w:val="20"/>
        </w:rPr>
        <w:t xml:space="preserv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NHS Standard Contract</w:t>
      </w:r>
      <w:r w:rsidRPr="00064830">
        <w:rPr>
          <w:rFonts w:ascii="Arial" w:eastAsia="ArialMT" w:hAnsi="Arial" w:cs="Arial"/>
          <w:sz w:val="20"/>
          <w:szCs w:val="20"/>
        </w:rPr>
        <w: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EU 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rsidR="00306CAC" w:rsidRPr="00064830" w:rsidRDefault="00306CAC" w:rsidP="00306CAC">
      <w:pPr>
        <w:pStyle w:val="ListParagraph"/>
        <w:numPr>
          <w:ilvl w:val="3"/>
          <w:numId w:val="43"/>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rsidR="00306CAC" w:rsidRPr="000B7A9F"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 6F,</w:t>
      </w:r>
      <w:r w:rsidRPr="00064830">
        <w:rPr>
          <w:rFonts w:ascii="Arial" w:eastAsia="ArialMT" w:hAnsi="Arial" w:cs="Arial"/>
          <w:sz w:val="20"/>
          <w:szCs w:val="20"/>
        </w:rPr>
        <w:t xml:space="preserve"> it: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purported Data Subject Access Request);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Pr="00064830">
        <w:rPr>
          <w:rFonts w:ascii="Arial" w:eastAsia="ArialMT" w:hAnsi="Arial" w:cs="Arial"/>
          <w:sz w:val="20"/>
          <w:szCs w:val="20"/>
        </w:rPr>
        <w: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becomes</w:t>
      </w:r>
      <w:proofErr w:type="gramEnd"/>
      <w:r w:rsidRPr="00064830">
        <w:rPr>
          <w:rFonts w:ascii="Arial" w:eastAsia="ArialMT" w:hAnsi="Arial" w:cs="Arial"/>
          <w:sz w:val="20"/>
          <w:szCs w:val="20"/>
        </w:rPr>
        <w:t xml:space="preserve">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 in Data Protection Legislation;</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assistance</w:t>
      </w:r>
      <w:proofErr w:type="gramEnd"/>
      <w:r w:rsidRPr="00064830">
        <w:rPr>
          <w:rFonts w:ascii="Arial" w:eastAsia="ArialMT" w:hAnsi="Arial" w:cs="Arial"/>
          <w:sz w:val="20"/>
          <w:szCs w:val="20"/>
        </w:rPr>
        <w:t xml:space="preserv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i/>
          <w:sz w:val="20"/>
          <w:szCs w:val="22"/>
        </w:rPr>
        <w:t xml:space="preserve"> </w:t>
      </w:r>
      <w:r w:rsidRPr="00E009AC">
        <w:rPr>
          <w:rFonts w:ascii="Arial" w:eastAsiaTheme="majorEastAsia" w:hAnsi="Arial" w:cs="Arial"/>
          <w:sz w:val="20"/>
          <w:szCs w:val="22"/>
        </w:rPr>
        <w:t>of the NHS Standard Contract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w:t>
      </w:r>
      <w:r>
        <w:rPr>
          <w:rFonts w:ascii="Arial" w:eastAsia="ArialMT" w:hAnsi="Arial" w:cs="Arial"/>
          <w:sz w:val="20"/>
          <w:szCs w:val="20"/>
        </w:rPr>
        <w:t xml:space="preserve">of the NHS Standard Contract </w:t>
      </w:r>
      <w:r>
        <w:rPr>
          <w:rFonts w:ascii="Arial" w:eastAsiaTheme="majorEastAsia" w:hAnsi="Arial" w:cs="Arial"/>
          <w:sz w:val="20"/>
          <w:szCs w:val="22"/>
        </w:rPr>
        <w:t xml:space="preserve">and Sub-Contract General Conditions 3.20 – 3.22 </w:t>
      </w:r>
      <w:r w:rsidRPr="00064830">
        <w:rPr>
          <w:rFonts w:ascii="Arial" w:eastAsia="ArialMT" w:hAnsi="Arial" w:cs="Arial"/>
          <w:sz w:val="20"/>
          <w:szCs w:val="20"/>
        </w:rPr>
        <w:t>apply to the delivery of any Data Processing Services.</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Pr>
          <w:rFonts w:ascii="Arial" w:eastAsia="ArialMT" w:hAnsi="Arial" w:cs="Arial"/>
          <w:sz w:val="20"/>
          <w:szCs w:val="20"/>
        </w:rPr>
        <w:t>Sub-Contractor</w:t>
      </w:r>
      <w:r w:rsidRPr="00064830">
        <w:rPr>
          <w:rFonts w:ascii="Arial" w:eastAsia="ArialMT" w:hAnsi="Arial" w:cs="Arial"/>
          <w:sz w:val="20"/>
          <w:szCs w:val="20"/>
        </w:rPr>
        <w:t xml:space="preserve"> must: </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rPr>
        <w:t xml:space="preserve"> in writing of the intended Sub-processor and processing;</w:t>
      </w:r>
    </w:p>
    <w:p w:rsidR="00306CAC" w:rsidRPr="003C7F73"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 21.1</w:t>
      </w:r>
      <w:r>
        <w:rPr>
          <w:rFonts w:ascii="Arial" w:eastAsia="ArialMT" w:hAnsi="Arial" w:cs="Arial"/>
          <w:sz w:val="20"/>
          <w:szCs w:val="20"/>
        </w:rPr>
        <w:t>5</w:t>
      </w:r>
      <w:r w:rsidRPr="00064830">
        <w:rPr>
          <w:rFonts w:ascii="Arial" w:eastAsia="ArialMT" w:hAnsi="Arial" w:cs="Arial"/>
          <w:sz w:val="20"/>
          <w:szCs w:val="20"/>
        </w:rPr>
        <w:t>.2</w:t>
      </w:r>
      <w:r>
        <w:rPr>
          <w:rFonts w:ascii="Arial" w:eastAsia="ArialMT" w:hAnsi="Arial" w:cs="Arial"/>
          <w:sz w:val="20"/>
          <w:szCs w:val="20"/>
        </w:rPr>
        <w:t xml:space="preserve"> of the NHS Standard Contract</w:t>
      </w:r>
      <w:r w:rsidRPr="00064830">
        <w:rPr>
          <w:rFonts w:ascii="Arial" w:eastAsia="ArialMT" w:hAnsi="Arial" w:cs="Arial"/>
          <w:sz w:val="20"/>
          <w:szCs w:val="20"/>
        </w:rPr>
        <w:t>; and</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rsidR="00306CAC" w:rsidRPr="00064830" w:rsidRDefault="00306CAC" w:rsidP="00306CAC">
      <w:pPr>
        <w:pStyle w:val="ListParagraph"/>
        <w:numPr>
          <w:ilvl w:val="2"/>
          <w:numId w:val="43"/>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rsidR="00306CAC" w:rsidRPr="009770D5"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comply at all times with obligations equivalent to those imposed on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E009AC">
        <w:rPr>
          <w:rFonts w:ascii="Arial" w:eastAsia="ArialMT" w:hAnsi="Arial" w:cs="Arial"/>
          <w:sz w:val="20"/>
          <w:szCs w:val="20"/>
        </w:rPr>
        <w:t>and</w:t>
      </w:r>
      <w:r>
        <w:rPr>
          <w:rFonts w:ascii="Arial" w:eastAsia="ArialMT" w:hAnsi="Arial" w:cs="Arial"/>
          <w:sz w:val="20"/>
          <w:szCs w:val="20"/>
        </w:rPr>
        <w:t>/</w:t>
      </w:r>
      <w:r w:rsidRPr="00255A89">
        <w:rPr>
          <w:rFonts w:ascii="Arial" w:eastAsia="ArialMT" w:hAnsi="Arial" w:cs="Arial"/>
          <w:sz w:val="20"/>
          <w:szCs w:val="20"/>
        </w:rPr>
        <w:t xml:space="preserve">or if the Head Provider is </w:t>
      </w:r>
      <w:r w:rsidRPr="00E009AC">
        <w:rPr>
          <w:rFonts w:ascii="Arial" w:eastAsia="ArialMT" w:hAnsi="Arial" w:cs="Arial"/>
          <w:sz w:val="20"/>
          <w:szCs w:val="20"/>
        </w:rPr>
        <w:t>a</w:t>
      </w:r>
      <w:r w:rsidRPr="00255A89">
        <w:rPr>
          <w:rFonts w:ascii="Arial" w:eastAsia="ArialMT" w:hAnsi="Arial" w:cs="Arial"/>
          <w:sz w:val="20"/>
          <w:szCs w:val="20"/>
        </w:rPr>
        <w:t xml:space="preserve"> Data Processor regarding the </w:t>
      </w:r>
      <w:r w:rsidRPr="00E009AC">
        <w:rPr>
          <w:rFonts w:ascii="Arial" w:eastAsia="ArialMT" w:hAnsi="Arial" w:cs="Arial"/>
          <w:sz w:val="20"/>
          <w:szCs w:val="20"/>
        </w:rPr>
        <w:t xml:space="preserve">Data Processing Services </w:t>
      </w:r>
      <w:r w:rsidRPr="00255A89">
        <w:rPr>
          <w:rFonts w:ascii="Arial" w:eastAsia="ArialMT" w:hAnsi="Arial" w:cs="Arial"/>
          <w:sz w:val="20"/>
          <w:szCs w:val="20"/>
        </w:rPr>
        <w:t xml:space="preserve">those obligations imposed on the </w:t>
      </w:r>
      <w:r w:rsidRPr="00E009AC">
        <w:rPr>
          <w:rFonts w:ascii="Arial" w:eastAsia="ArialMT" w:hAnsi="Arial" w:cs="Arial"/>
          <w:sz w:val="20"/>
          <w:szCs w:val="20"/>
        </w:rPr>
        <w:t>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 xml:space="preserve">by virtue of Seventh Data Protection Principle for so long as the DPA 1998 remains in force and after that time with those set out at Article 32 of the GDPR and </w:t>
      </w:r>
      <w:r w:rsidRPr="009770D5">
        <w:rPr>
          <w:rFonts w:ascii="Arial" w:eastAsia="ArialMT" w:hAnsi="Arial" w:cs="Arial"/>
          <w:sz w:val="20"/>
          <w:szCs w:val="20"/>
        </w:rPr>
        <w:t>equivalent provisions implemented into Law.</w:t>
      </w:r>
    </w:p>
    <w:p w:rsidR="00306CAC" w:rsidRPr="009770D5"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in ensuring compliance with the obligations set out at Article 32 to 36 of the GDPR and equivalent provisions implemented into Law, taking into account the nature of processing and the information available to the Sub-Contractor.</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rsidR="00306CAC" w:rsidRPr="00064830" w:rsidRDefault="00306CAC" w:rsidP="00306CAC">
      <w:pPr>
        <w:pStyle w:val="ListParagraph"/>
        <w:numPr>
          <w:ilvl w:val="1"/>
          <w:numId w:val="43"/>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rsidR="00306CAC" w:rsidRPr="00064830" w:rsidRDefault="00306CAC" w:rsidP="00306CAC">
      <w:pPr>
        <w:rPr>
          <w:rFonts w:cs="Arial"/>
        </w:rPr>
      </w:pPr>
      <w:r w:rsidRPr="00064830">
        <w:rPr>
          <w:rFonts w:cs="Arial"/>
        </w:rPr>
        <w:br w:type="page"/>
      </w:r>
    </w:p>
    <w:p w:rsidR="00306CAC" w:rsidRPr="00F679EB" w:rsidRDefault="00306CAC" w:rsidP="00306CAC">
      <w:pPr>
        <w:autoSpaceDE w:val="0"/>
        <w:autoSpaceDN w:val="0"/>
        <w:adjustRightInd w:val="0"/>
        <w:spacing w:after="120" w:line="312" w:lineRule="auto"/>
        <w:jc w:val="center"/>
        <w:rPr>
          <w:rFonts w:ascii="Arial" w:hAnsi="Arial" w:cs="Arial"/>
          <w:b/>
          <w:bCs/>
          <w:color w:val="000000"/>
          <w:szCs w:val="24"/>
        </w:rPr>
      </w:pPr>
      <w:r w:rsidRPr="00F679EB">
        <w:rPr>
          <w:rFonts w:ascii="Arial" w:hAnsi="Arial" w:cs="Arial"/>
          <w:b/>
          <w:bCs/>
          <w:color w:val="000000"/>
          <w:szCs w:val="24"/>
        </w:rPr>
        <w:t>Annex A</w:t>
      </w:r>
    </w:p>
    <w:p w:rsidR="00306CAC" w:rsidRPr="00F679EB" w:rsidRDefault="00306CAC" w:rsidP="00306CAC">
      <w:pPr>
        <w:autoSpaceDE w:val="0"/>
        <w:autoSpaceDN w:val="0"/>
        <w:adjustRightInd w:val="0"/>
        <w:spacing w:after="120" w:line="312" w:lineRule="auto"/>
        <w:jc w:val="center"/>
        <w:rPr>
          <w:rFonts w:ascii="Arial" w:hAnsi="Arial" w:cs="Arial"/>
          <w:b/>
          <w:bCs/>
          <w:color w:val="000000"/>
          <w:szCs w:val="24"/>
        </w:rPr>
      </w:pPr>
      <w:r w:rsidRPr="00F679EB">
        <w:rPr>
          <w:rFonts w:ascii="Arial" w:hAnsi="Arial" w:cs="Arial"/>
          <w:b/>
          <w:bCs/>
          <w:color w:val="000000"/>
          <w:szCs w:val="24"/>
        </w:rPr>
        <w:t>Data Processing Services</w:t>
      </w:r>
    </w:p>
    <w:p w:rsidR="00306CAC" w:rsidRPr="00F679EB" w:rsidRDefault="00306CAC" w:rsidP="00306CAC">
      <w:pPr>
        <w:autoSpaceDE w:val="0"/>
        <w:autoSpaceDN w:val="0"/>
        <w:adjustRightInd w:val="0"/>
        <w:spacing w:after="120" w:line="312" w:lineRule="auto"/>
        <w:rPr>
          <w:rFonts w:ascii="Arial" w:hAnsi="Arial" w:cs="Arial"/>
          <w:b/>
          <w:bCs/>
          <w:color w:val="000000"/>
          <w:sz w:val="20"/>
        </w:rPr>
      </w:pPr>
      <w:r w:rsidRPr="00F679EB">
        <w:rPr>
          <w:rFonts w:ascii="Arial" w:hAnsi="Arial" w:cs="Arial"/>
          <w:b/>
          <w:bCs/>
          <w:color w:val="000000"/>
          <w:sz w:val="20"/>
        </w:rPr>
        <w:t>Processing, Personal Data and Data Subjects</w:t>
      </w:r>
    </w:p>
    <w:p w:rsidR="00306CAC" w:rsidRPr="00064830" w:rsidRDefault="00306CAC" w:rsidP="00306CAC">
      <w:pPr>
        <w:pStyle w:val="ListParagraph"/>
        <w:numPr>
          <w:ilvl w:val="0"/>
          <w:numId w:val="44"/>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[sub-</w:t>
      </w:r>
      <w:proofErr w:type="gramStart"/>
      <w:r>
        <w:rPr>
          <w:rFonts w:ascii="Arial" w:eastAsia="ArialMT" w:hAnsi="Arial" w:cs="Arial"/>
          <w:color w:val="000000"/>
          <w:sz w:val="20"/>
          <w:szCs w:val="20"/>
        </w:rPr>
        <w:t>]</w:t>
      </w:r>
      <w:r w:rsidRPr="00064830">
        <w:rPr>
          <w:rFonts w:ascii="Arial" w:eastAsia="ArialMT" w:hAnsi="Arial" w:cs="Arial"/>
          <w:color w:val="000000"/>
          <w:sz w:val="20"/>
          <w:szCs w:val="20"/>
        </w:rPr>
        <w:t>processing</w:t>
      </w:r>
      <w:proofErr w:type="gramEnd"/>
      <w:r w:rsidRPr="00064830">
        <w:rPr>
          <w:rFonts w:ascii="Arial" w:eastAsia="ArialMT" w:hAnsi="Arial" w:cs="Arial"/>
          <w:color w:val="000000"/>
          <w:sz w:val="20"/>
          <w:szCs w:val="20"/>
        </w:rPr>
        <w:t xml:space="preserve">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rsidR="00306CAC" w:rsidRPr="00064830" w:rsidRDefault="00306CAC" w:rsidP="00306CAC">
      <w:pPr>
        <w:pStyle w:val="ListParagraph"/>
        <w:numPr>
          <w:ilvl w:val="0"/>
          <w:numId w:val="44"/>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Any such further instructions shall be incorporated into this Annex.</w:t>
      </w:r>
    </w:p>
    <w:tbl>
      <w:tblPr>
        <w:tblStyle w:val="TableGrid"/>
        <w:tblW w:w="0" w:type="auto"/>
        <w:tblLook w:val="04A0" w:firstRow="1" w:lastRow="0" w:firstColumn="1" w:lastColumn="0" w:noHBand="0" w:noVBand="1"/>
        <w:tblCaption w:val="Annex A"/>
        <w:tblDescription w:val="Annex A"/>
      </w:tblPr>
      <w:tblGrid>
        <w:gridCol w:w="3859"/>
        <w:gridCol w:w="4997"/>
      </w:tblGrid>
      <w:tr w:rsidR="00306CAC" w:rsidRPr="00064830" w:rsidTr="00E009AC">
        <w:trPr>
          <w:tblHeader/>
        </w:trPr>
        <w:tc>
          <w:tcPr>
            <w:tcW w:w="4428" w:type="dxa"/>
            <w:shd w:val="clear" w:color="auto" w:fill="C6D9F1" w:themeFill="text2" w:themeFillTint="33"/>
          </w:tcPr>
          <w:p w:rsidR="00306CAC" w:rsidRPr="00F679EB" w:rsidRDefault="00306CAC" w:rsidP="00E009AC">
            <w:pPr>
              <w:autoSpaceDE w:val="0"/>
              <w:autoSpaceDN w:val="0"/>
              <w:adjustRightInd w:val="0"/>
              <w:spacing w:before="60" w:after="60"/>
              <w:rPr>
                <w:rFonts w:ascii="Arial" w:hAnsi="Arial" w:cs="Arial"/>
                <w:b/>
                <w:bCs/>
                <w:color w:val="000000"/>
                <w:sz w:val="20"/>
              </w:rPr>
            </w:pPr>
            <w:r w:rsidRPr="00F679EB">
              <w:rPr>
                <w:rFonts w:ascii="Arial" w:hAnsi="Arial" w:cs="Arial"/>
                <w:b/>
                <w:bCs/>
                <w:color w:val="000000"/>
                <w:sz w:val="20"/>
              </w:rPr>
              <w:t xml:space="preserve">Description </w:t>
            </w:r>
          </w:p>
        </w:tc>
        <w:tc>
          <w:tcPr>
            <w:tcW w:w="5745" w:type="dxa"/>
            <w:shd w:val="clear" w:color="auto" w:fill="C6D9F1" w:themeFill="text2" w:themeFillTint="33"/>
          </w:tcPr>
          <w:p w:rsidR="00306CAC" w:rsidRPr="00F679EB" w:rsidRDefault="00306CAC" w:rsidP="00E009AC">
            <w:pPr>
              <w:autoSpaceDE w:val="0"/>
              <w:autoSpaceDN w:val="0"/>
              <w:adjustRightInd w:val="0"/>
              <w:spacing w:before="60" w:after="60"/>
              <w:rPr>
                <w:rFonts w:ascii="Arial" w:hAnsi="Arial" w:cs="Arial"/>
                <w:b/>
                <w:bCs/>
                <w:color w:val="000000"/>
                <w:sz w:val="20"/>
              </w:rPr>
            </w:pPr>
            <w:r w:rsidRPr="00F679EB">
              <w:rPr>
                <w:rFonts w:ascii="Arial" w:hAnsi="Arial" w:cs="Arial"/>
                <w:b/>
                <w:bCs/>
                <w:color w:val="000000"/>
                <w:sz w:val="20"/>
              </w:rPr>
              <w:t>Details</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Subject matter of the [sub-]processing</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[This should be a high level, short description of what the processing is about i.e. its subject matter]</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Duration of the [sub-]processing</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Nature and purposes of the [sub-]processing</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The nature of the processing means any operation such as collection, recording, </w:t>
            </w:r>
            <w:proofErr w:type="spellStart"/>
            <w:r w:rsidRPr="00F679EB">
              <w:rPr>
                <w:rFonts w:ascii="Arial" w:hAnsi="Arial" w:cs="Arial"/>
                <w:i/>
                <w:iCs/>
                <w:color w:val="000000"/>
                <w:sz w:val="20"/>
                <w:lang w:bidi="he-IL"/>
              </w:rPr>
              <w:t>organisation</w:t>
            </w:r>
            <w:proofErr w:type="spellEnd"/>
            <w:r w:rsidRPr="00F679EB">
              <w:rPr>
                <w:rFonts w:ascii="Arial" w:hAnsi="Arial" w:cs="Arial"/>
                <w:i/>
                <w:iCs/>
                <w:color w:val="000000"/>
                <w:sz w:val="20"/>
                <w:lang w:bidi="he-IL"/>
              </w:rPr>
              <w:t xml:space="preserve">,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proofErr w:type="spellStart"/>
            <w:r w:rsidRPr="00F679EB">
              <w:rPr>
                <w:rFonts w:ascii="Arial" w:hAnsi="Arial" w:cs="Arial"/>
                <w:i/>
                <w:iCs/>
                <w:color w:val="000000"/>
                <w:sz w:val="20"/>
                <w:lang w:bidi="he-IL"/>
              </w:rPr>
              <w:t>etc</w:t>
            </w:r>
            <w:proofErr w:type="spellEnd"/>
            <w:r w:rsidRPr="00F679EB">
              <w:rPr>
                <w:rFonts w:ascii="Arial" w:hAnsi="Arial" w:cs="Arial"/>
                <w:i/>
                <w:iCs/>
                <w:color w:val="000000"/>
                <w:sz w:val="20"/>
                <w:lang w:bidi="he-IL"/>
              </w:rPr>
              <w:t>]</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 xml:space="preserve">[Examples here include: name, address, date of birth, NI number, telephone number, pay, images, biometric data </w:t>
            </w:r>
            <w:proofErr w:type="spellStart"/>
            <w:r w:rsidRPr="00F679EB">
              <w:rPr>
                <w:rFonts w:ascii="Arial" w:hAnsi="Arial" w:cs="Arial"/>
                <w:i/>
                <w:iCs/>
                <w:color w:val="000000"/>
                <w:sz w:val="20"/>
                <w:lang w:bidi="he-IL"/>
              </w:rPr>
              <w:t>etc</w:t>
            </w:r>
            <w:proofErr w:type="spellEnd"/>
            <w:r w:rsidRPr="00F679EB">
              <w:rPr>
                <w:rFonts w:ascii="Arial" w:hAnsi="Arial" w:cs="Arial"/>
                <w:i/>
                <w:iCs/>
                <w:color w:val="000000"/>
                <w:sz w:val="20"/>
                <w:lang w:bidi="he-IL"/>
              </w:rPr>
              <w:t>]</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Categories of Data Subject</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 xml:space="preserve">[Examples include: Staff (including volunteers, agents, and temporary workers), Commissioners/ clients, suppliers, patients, students / pupils, members of the public, users of a particular website </w:t>
            </w:r>
            <w:proofErr w:type="spellStart"/>
            <w:r w:rsidRPr="00F679EB">
              <w:rPr>
                <w:rFonts w:ascii="Arial" w:hAnsi="Arial" w:cs="Arial"/>
                <w:i/>
                <w:iCs/>
                <w:color w:val="000000"/>
                <w:sz w:val="20"/>
                <w:lang w:bidi="he-IL"/>
              </w:rPr>
              <w:t>etc</w:t>
            </w:r>
            <w:proofErr w:type="spellEnd"/>
            <w:r w:rsidRPr="00F679EB">
              <w:rPr>
                <w:rFonts w:ascii="Arial" w:hAnsi="Arial" w:cs="Arial"/>
                <w:i/>
                <w:iCs/>
                <w:color w:val="000000"/>
                <w:sz w:val="20"/>
                <w:lang w:bidi="he-IL"/>
              </w:rPr>
              <w:t>]</w:t>
            </w:r>
          </w:p>
        </w:tc>
      </w:tr>
      <w:tr w:rsidR="00306CAC" w:rsidRPr="00064830" w:rsidTr="00E009AC">
        <w:tc>
          <w:tcPr>
            <w:tcW w:w="4428" w:type="dxa"/>
          </w:tcPr>
          <w:p w:rsidR="00306CAC" w:rsidRPr="00F679EB" w:rsidRDefault="00306CAC" w:rsidP="00E009AC">
            <w:pPr>
              <w:autoSpaceDE w:val="0"/>
              <w:autoSpaceDN w:val="0"/>
              <w:adjustRightInd w:val="0"/>
              <w:spacing w:before="60" w:after="60"/>
              <w:rPr>
                <w:rFonts w:ascii="Arial" w:eastAsia="ArialMT" w:hAnsi="Arial" w:cs="Arial"/>
                <w:color w:val="000000"/>
                <w:sz w:val="20"/>
              </w:rPr>
            </w:pPr>
            <w:r w:rsidRPr="00F679EB">
              <w:rPr>
                <w:rFonts w:ascii="Arial" w:eastAsia="ArialMT" w:hAnsi="Arial" w:cs="Arial"/>
                <w:color w:val="000000"/>
                <w:sz w:val="20"/>
              </w:rPr>
              <w:t>Plan for return and destruction of the data once the [sub-]processing is complete UNLESS requirement under union or member state law to preserve that type of data</w:t>
            </w:r>
          </w:p>
        </w:tc>
        <w:tc>
          <w:tcPr>
            <w:tcW w:w="5745" w:type="dxa"/>
          </w:tcPr>
          <w:p w:rsidR="00306CAC" w:rsidRPr="00F679EB" w:rsidRDefault="00306CAC" w:rsidP="00E009AC">
            <w:pPr>
              <w:autoSpaceDE w:val="0"/>
              <w:autoSpaceDN w:val="0"/>
              <w:adjustRightInd w:val="0"/>
              <w:spacing w:before="60" w:after="6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rsidR="00F679EB" w:rsidRDefault="00F679EB">
      <w:pPr>
        <w:rPr>
          <w:rFonts w:ascii="Arial" w:eastAsia="Times New Roman" w:hAnsi="Arial" w:cs="Arial"/>
          <w:b/>
          <w:szCs w:val="24"/>
          <w:lang w:val="en-GB" w:eastAsia="en-GB"/>
        </w:rPr>
      </w:pPr>
      <w:r>
        <w:rPr>
          <w:rFonts w:ascii="Arial" w:eastAsia="Times New Roman" w:hAnsi="Arial" w:cs="Arial"/>
          <w:b/>
          <w:szCs w:val="24"/>
          <w:lang w:val="en-GB" w:eastAsia="en-GB"/>
        </w:rPr>
        <w:br w:type="page"/>
      </w:r>
    </w:p>
    <w:p w:rsidR="00FD3602" w:rsidRPr="00FD3602" w:rsidRDefault="00FD3602" w:rsidP="00FD3602">
      <w:pPr>
        <w:spacing w:after="0"/>
        <w:jc w:val="center"/>
        <w:rPr>
          <w:rFonts w:ascii="Arial" w:eastAsia="Times New Roman" w:hAnsi="Arial" w:cs="Arial"/>
          <w:bCs/>
          <w:sz w:val="28"/>
          <w:szCs w:val="28"/>
          <w:lang w:val="en-GB" w:eastAsia="en-US"/>
        </w:rPr>
      </w:pPr>
      <w:r w:rsidRPr="00FD3602">
        <w:rPr>
          <w:rFonts w:ascii="Arial" w:eastAsia="Times New Roman" w:hAnsi="Arial" w:cs="Arial"/>
          <w:b/>
          <w:bCs/>
          <w:sz w:val="20"/>
          <w:szCs w:val="26"/>
          <w:lang w:val="en-GB" w:eastAsia="en-US"/>
        </w:rPr>
        <w:t xml:space="preserve">Annex </w:t>
      </w:r>
      <w:r w:rsidR="008B1DBF">
        <w:rPr>
          <w:rFonts w:ascii="Arial" w:eastAsia="Times New Roman" w:hAnsi="Arial" w:cs="Arial"/>
          <w:b/>
          <w:bCs/>
          <w:sz w:val="20"/>
          <w:szCs w:val="26"/>
          <w:lang w:val="en-GB" w:eastAsia="en-US"/>
        </w:rPr>
        <w:t>B</w:t>
      </w:r>
      <w:r w:rsidRPr="00FD3602">
        <w:rPr>
          <w:rFonts w:ascii="Arial" w:eastAsia="Times New Roman" w:hAnsi="Arial" w:cs="Arial"/>
          <w:b/>
          <w:bCs/>
          <w:sz w:val="20"/>
          <w:szCs w:val="26"/>
          <w:lang w:val="en-GB" w:eastAsia="en-US"/>
        </w:rPr>
        <w:t xml:space="preserve"> - Definitions</w:t>
      </w:r>
    </w:p>
    <w:p w:rsidR="00FD3602" w:rsidRPr="00F679EB" w:rsidRDefault="00FD3602" w:rsidP="00FD3602">
      <w:pPr>
        <w:spacing w:after="0"/>
        <w:jc w:val="center"/>
        <w:rPr>
          <w:rFonts w:ascii="Arial" w:eastAsia="Times New Roman" w:hAnsi="Arial" w:cs="Arial"/>
          <w:bCs/>
          <w:sz w:val="20"/>
          <w:lang w:val="en-GB" w:eastAsia="en-US"/>
        </w:rPr>
      </w:pPr>
    </w:p>
    <w:p w:rsidR="00FD3602" w:rsidRPr="00FD3602" w:rsidRDefault="00FD3602" w:rsidP="00FD3602">
      <w:pPr>
        <w:spacing w:after="0"/>
        <w:jc w:val="both"/>
        <w:rPr>
          <w:rFonts w:ascii="Arial" w:eastAsia="Times New Roman" w:hAnsi="Arial" w:cs="Arial"/>
          <w:bCs/>
          <w:sz w:val="20"/>
          <w:lang w:val="en-GB" w:eastAsia="en-US"/>
        </w:rPr>
      </w:pPr>
      <w:r w:rsidRPr="00FD3602">
        <w:rPr>
          <w:rFonts w:ascii="Arial" w:eastAsia="Times New Roman" w:hAnsi="Arial" w:cs="Arial"/>
          <w:bCs/>
          <w:sz w:val="20"/>
          <w:lang w:val="en-GB" w:eastAsia="en-US"/>
        </w:rPr>
        <w:t>In this Schedule</w:t>
      </w:r>
      <w:r w:rsidR="00FE1F37">
        <w:rPr>
          <w:rFonts w:ascii="Arial" w:eastAsia="Times New Roman" w:hAnsi="Arial" w:cs="Arial"/>
          <w:bCs/>
          <w:sz w:val="20"/>
          <w:lang w:val="en-GB" w:eastAsia="en-US"/>
        </w:rPr>
        <w:t xml:space="preserve"> 6F</w:t>
      </w:r>
      <w:r w:rsidRPr="00FD3602">
        <w:rPr>
          <w:rFonts w:ascii="Arial" w:eastAsia="Times New Roman" w:hAnsi="Arial" w:cs="Arial"/>
          <w:bCs/>
          <w:sz w:val="20"/>
          <w:lang w:val="en-GB" w:eastAsia="en-US"/>
        </w:rPr>
        <w:t xml:space="preserve"> the following words and phrases have the following meanings:</w:t>
      </w:r>
    </w:p>
    <w:p w:rsidR="005A5163" w:rsidRPr="000A494B" w:rsidRDefault="005A5163" w:rsidP="002A3B6B">
      <w:pPr>
        <w:pStyle w:val="DHBodycopy"/>
        <w:spacing w:line="240" w:lineRule="auto"/>
        <w:rPr>
          <w:rFonts w:cs="Arial"/>
          <w:sz w:val="20"/>
        </w:rPr>
      </w:pPr>
    </w:p>
    <w:p w:rsidR="000A494B" w:rsidRDefault="000A494B" w:rsidP="003D0EF0">
      <w:pPr>
        <w:spacing w:after="0"/>
        <w:jc w:val="both"/>
        <w:rPr>
          <w:rFonts w:ascii="Arial" w:hAnsi="Arial" w:cs="Arial"/>
          <w:sz w:val="20"/>
        </w:rPr>
      </w:pPr>
      <w:r w:rsidRPr="000A494B">
        <w:rPr>
          <w:rFonts w:ascii="Arial" w:hAnsi="Arial" w:cs="Arial"/>
          <w:b/>
          <w:sz w:val="20"/>
        </w:rPr>
        <w:t xml:space="preserve">Data Processing Services </w:t>
      </w:r>
      <w:r w:rsidRPr="000A494B">
        <w:rPr>
          <w:rFonts w:ascii="Arial" w:hAnsi="Arial" w:cs="Arial"/>
          <w:sz w:val="20"/>
        </w:rPr>
        <w:t xml:space="preserve">the data processing services described in Annex A to </w:t>
      </w:r>
      <w:r w:rsidR="00FE1F37">
        <w:rPr>
          <w:rFonts w:ascii="Arial" w:hAnsi="Arial" w:cs="Arial"/>
          <w:sz w:val="20"/>
        </w:rPr>
        <w:t xml:space="preserve">this </w:t>
      </w:r>
      <w:r w:rsidRPr="000A494B">
        <w:rPr>
          <w:rFonts w:ascii="Arial" w:hAnsi="Arial" w:cs="Arial"/>
          <w:sz w:val="20"/>
        </w:rPr>
        <w:t>Schedule 6F</w:t>
      </w:r>
    </w:p>
    <w:p w:rsidR="004047FF" w:rsidRPr="000A494B" w:rsidRDefault="004047FF" w:rsidP="003D0EF0">
      <w:pPr>
        <w:spacing w:after="0"/>
        <w:jc w:val="both"/>
        <w:rPr>
          <w:rFonts w:ascii="Arial" w:hAnsi="Arial" w:cs="Arial"/>
          <w:sz w:val="20"/>
        </w:rPr>
      </w:pPr>
    </w:p>
    <w:p w:rsidR="000A494B" w:rsidRPr="000A494B" w:rsidRDefault="000A494B" w:rsidP="003D0EF0">
      <w:pPr>
        <w:autoSpaceDE w:val="0"/>
        <w:autoSpaceDN w:val="0"/>
        <w:adjustRightInd w:val="0"/>
        <w:spacing w:after="0"/>
        <w:jc w:val="both"/>
        <w:rPr>
          <w:rFonts w:ascii="Arial" w:eastAsia="ArialMT" w:hAnsi="Arial" w:cs="Arial"/>
          <w:sz w:val="20"/>
          <w:lang w:val="en-GB"/>
        </w:rPr>
      </w:pPr>
      <w:r w:rsidRPr="000A494B">
        <w:rPr>
          <w:rFonts w:ascii="Arial" w:hAnsi="Arial" w:cs="Arial"/>
          <w:b/>
          <w:bCs/>
          <w:sz w:val="20"/>
          <w:lang w:val="en-GB"/>
        </w:rPr>
        <w:t>Data Protection Impact Assessment</w:t>
      </w:r>
      <w:r w:rsidRPr="000A494B">
        <w:rPr>
          <w:rFonts w:ascii="Arial" w:eastAsia="ArialMT" w:hAnsi="Arial" w:cs="Arial"/>
          <w:sz w:val="20"/>
          <w:lang w:val="en-GB"/>
        </w:rPr>
        <w:t xml:space="preserve"> an assessment by the Controller of the impact of the envisaged processing on the protection of Personal Data</w:t>
      </w:r>
    </w:p>
    <w:p w:rsidR="000A494B" w:rsidRPr="000A494B" w:rsidRDefault="000A494B" w:rsidP="003D0EF0">
      <w:pPr>
        <w:autoSpaceDE w:val="0"/>
        <w:autoSpaceDN w:val="0"/>
        <w:adjustRightInd w:val="0"/>
        <w:spacing w:after="0"/>
        <w:jc w:val="both"/>
        <w:rPr>
          <w:rFonts w:ascii="Arial" w:hAnsi="Arial" w:cs="Arial"/>
          <w:b/>
          <w:bCs/>
          <w:sz w:val="20"/>
          <w:lang w:val="en-GB"/>
        </w:rPr>
      </w:pPr>
    </w:p>
    <w:p w:rsidR="000A494B" w:rsidRPr="000A494B" w:rsidRDefault="000A494B" w:rsidP="003D0EF0">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Data Loss Event </w:t>
      </w:r>
      <w:r w:rsidRPr="000A494B">
        <w:rPr>
          <w:rFonts w:ascii="Arial" w:eastAsia="ArialMT" w:hAnsi="Arial" w:cs="Arial"/>
          <w:sz w:val="20"/>
          <w:lang w:val="en-GB"/>
        </w:rPr>
        <w:t xml:space="preserve">any event that results, or may result, in unauthorised processing of Personal Data held by the </w:t>
      </w:r>
      <w:r w:rsidR="000151FA">
        <w:rPr>
          <w:rFonts w:ascii="Arial" w:eastAsia="ArialMT" w:hAnsi="Arial" w:cs="Arial"/>
          <w:sz w:val="20"/>
          <w:lang w:val="en-GB"/>
        </w:rPr>
        <w:t>Sub-Contractor</w:t>
      </w:r>
      <w:r w:rsidRPr="000A494B">
        <w:rPr>
          <w:rFonts w:ascii="Arial" w:eastAsia="ArialMT" w:hAnsi="Arial" w:cs="Arial"/>
          <w:sz w:val="20"/>
          <w:lang w:val="en-GB"/>
        </w:rPr>
        <w:t xml:space="preserve"> under this </w:t>
      </w:r>
      <w:r w:rsidR="00FE1F37">
        <w:rPr>
          <w:rFonts w:ascii="Arial" w:eastAsia="ArialMT" w:hAnsi="Arial" w:cs="Arial"/>
          <w:sz w:val="20"/>
          <w:lang w:val="en-GB"/>
        </w:rPr>
        <w:t>Sub-</w:t>
      </w:r>
      <w:r w:rsidRPr="000A494B">
        <w:rPr>
          <w:rFonts w:ascii="Arial" w:eastAsia="ArialMT" w:hAnsi="Arial" w:cs="Arial"/>
          <w:sz w:val="20"/>
          <w:lang w:val="en-GB"/>
        </w:rPr>
        <w:t xml:space="preserve">Contract or Personal Data for which the </w:t>
      </w:r>
      <w:r w:rsidR="000151FA">
        <w:rPr>
          <w:rFonts w:ascii="Arial" w:eastAsia="ArialMT" w:hAnsi="Arial" w:cs="Arial"/>
          <w:sz w:val="20"/>
          <w:lang w:val="en-GB"/>
        </w:rPr>
        <w:t>Sub-Contractor</w:t>
      </w:r>
      <w:r w:rsidRPr="000A494B">
        <w:rPr>
          <w:rFonts w:ascii="Arial" w:eastAsia="ArialMT" w:hAnsi="Arial" w:cs="Arial"/>
          <w:sz w:val="20"/>
          <w:lang w:val="en-GB"/>
        </w:rPr>
        <w:t xml:space="preserve"> has responsibility under this </w:t>
      </w:r>
      <w:r w:rsidR="00FE1F37">
        <w:rPr>
          <w:rFonts w:ascii="Arial" w:eastAsia="ArialMT" w:hAnsi="Arial" w:cs="Arial"/>
          <w:sz w:val="20"/>
          <w:lang w:val="en-GB"/>
        </w:rPr>
        <w:t>Sub-</w:t>
      </w:r>
      <w:r w:rsidRPr="000A494B">
        <w:rPr>
          <w:rFonts w:ascii="Arial" w:eastAsia="ArialMT" w:hAnsi="Arial" w:cs="Arial"/>
          <w:sz w:val="20"/>
          <w:lang w:val="en-GB"/>
        </w:rPr>
        <w:t>Contract including without limitation actual or potential loss, destruction, corruption or inaccessibility of Personal Data, including any Personal Data Breach</w:t>
      </w:r>
    </w:p>
    <w:p w:rsidR="000A494B" w:rsidRDefault="000A494B" w:rsidP="003D0EF0">
      <w:pPr>
        <w:pStyle w:val="DHBodycopy"/>
        <w:spacing w:line="240" w:lineRule="auto"/>
        <w:jc w:val="both"/>
        <w:rPr>
          <w:rFonts w:cs="Arial"/>
          <w:sz w:val="20"/>
        </w:rPr>
      </w:pPr>
    </w:p>
    <w:p w:rsidR="0020119B" w:rsidRPr="0010119F" w:rsidRDefault="0020119B" w:rsidP="003D0EF0">
      <w:pPr>
        <w:autoSpaceDE w:val="0"/>
        <w:autoSpaceDN w:val="0"/>
        <w:adjustRightInd w:val="0"/>
        <w:spacing w:after="0"/>
        <w:jc w:val="both"/>
        <w:rPr>
          <w:rFonts w:ascii="Arial" w:hAnsi="Arial" w:cs="Arial"/>
          <w:b/>
          <w:sz w:val="20"/>
        </w:rPr>
      </w:pPr>
      <w:r w:rsidRPr="0010119F">
        <w:rPr>
          <w:rFonts w:ascii="Arial" w:hAnsi="Arial" w:cs="Arial"/>
          <w:b/>
          <w:bCs/>
          <w:sz w:val="20"/>
          <w:lang w:val="en-GB"/>
        </w:rPr>
        <w:t>Data Subject Access Request</w:t>
      </w:r>
      <w:r w:rsidRPr="0010119F">
        <w:rPr>
          <w:rFonts w:ascii="Arial" w:eastAsia="ArialMT" w:hAnsi="Arial" w:cs="Arial"/>
          <w:sz w:val="20"/>
          <w:lang w:val="en-GB"/>
        </w:rPr>
        <w:t xml:space="preserve"> a request made by, or on behalf of, a Data Subject in accordance with rights granted pursuant to Data Protection Legislation to access their Personal Data</w:t>
      </w:r>
    </w:p>
    <w:p w:rsidR="0020119B" w:rsidRPr="000A494B" w:rsidRDefault="0020119B" w:rsidP="003D0EF0">
      <w:pPr>
        <w:pStyle w:val="DHBodycopy"/>
        <w:spacing w:line="240" w:lineRule="auto"/>
        <w:jc w:val="both"/>
        <w:rPr>
          <w:rFonts w:cs="Arial"/>
          <w:sz w:val="20"/>
        </w:rPr>
      </w:pPr>
    </w:p>
    <w:p w:rsidR="000A494B" w:rsidRPr="000A494B" w:rsidRDefault="000A494B" w:rsidP="003D0EF0">
      <w:pPr>
        <w:spacing w:after="0"/>
        <w:jc w:val="both"/>
        <w:rPr>
          <w:rFonts w:ascii="Arial" w:hAnsi="Arial" w:cs="Arial"/>
          <w:color w:val="000000" w:themeColor="text1"/>
          <w:sz w:val="20"/>
        </w:rPr>
      </w:pPr>
      <w:r w:rsidRPr="000A494B">
        <w:rPr>
          <w:rFonts w:ascii="Arial" w:hAnsi="Arial" w:cs="Arial"/>
          <w:b/>
          <w:color w:val="000000" w:themeColor="text1"/>
          <w:sz w:val="20"/>
        </w:rPr>
        <w:t>Processor Data</w:t>
      </w:r>
      <w:r w:rsidRPr="000A494B">
        <w:rPr>
          <w:rFonts w:ascii="Arial" w:hAnsi="Arial" w:cs="Arial"/>
          <w:color w:val="000000" w:themeColor="text1"/>
          <w:sz w:val="20"/>
        </w:rPr>
        <w:t xml:space="preserve"> is any data processed by the </w:t>
      </w:r>
      <w:r w:rsidR="000151FA">
        <w:rPr>
          <w:rFonts w:ascii="Arial" w:hAnsi="Arial" w:cs="Arial"/>
          <w:color w:val="000000" w:themeColor="text1"/>
          <w:sz w:val="20"/>
        </w:rPr>
        <w:t>Sub-Contractor</w:t>
      </w:r>
      <w:r w:rsidRPr="000A494B">
        <w:rPr>
          <w:rFonts w:ascii="Arial" w:hAnsi="Arial" w:cs="Arial"/>
          <w:color w:val="000000" w:themeColor="text1"/>
          <w:sz w:val="20"/>
        </w:rPr>
        <w:t xml:space="preserve"> in connection with the Data Processing Services</w:t>
      </w:r>
    </w:p>
    <w:p w:rsidR="000A494B" w:rsidRPr="000A494B" w:rsidRDefault="000A494B" w:rsidP="003D0EF0">
      <w:pPr>
        <w:spacing w:after="0"/>
        <w:jc w:val="both"/>
        <w:rPr>
          <w:rFonts w:ascii="Arial" w:hAnsi="Arial" w:cs="Arial"/>
          <w:color w:val="000000" w:themeColor="text1"/>
          <w:sz w:val="20"/>
        </w:rPr>
      </w:pPr>
    </w:p>
    <w:p w:rsidR="000A494B" w:rsidRPr="000A494B" w:rsidRDefault="000A494B" w:rsidP="003D0EF0">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Protective Measures </w:t>
      </w:r>
      <w:r w:rsidRPr="000A494B">
        <w:rPr>
          <w:rFonts w:ascii="Arial" w:eastAsia="ArialMT" w:hAnsi="Arial" w:cs="Arial"/>
          <w:sz w:val="20"/>
          <w:lang w:val="en-GB"/>
        </w:rPr>
        <w:t xml:space="preserve">appropriate technical and organisational measures which may include: </w:t>
      </w:r>
      <w:proofErr w:type="spellStart"/>
      <w:r w:rsidRPr="000A494B">
        <w:rPr>
          <w:rFonts w:ascii="Arial" w:eastAsia="ArialMT" w:hAnsi="Arial" w:cs="Arial"/>
          <w:sz w:val="20"/>
          <w:lang w:val="en-GB"/>
        </w:rPr>
        <w:t>pseudonymising</w:t>
      </w:r>
      <w:proofErr w:type="spellEnd"/>
      <w:r w:rsidRPr="000A494B">
        <w:rPr>
          <w:rFonts w:ascii="Arial" w:eastAsia="ArialMT" w:hAnsi="Arial" w:cs="Arial"/>
          <w:sz w:val="20"/>
          <w:lang w:val="en-GB"/>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0A494B" w:rsidRPr="000A494B" w:rsidRDefault="000A494B" w:rsidP="000A494B">
      <w:pPr>
        <w:spacing w:after="0"/>
        <w:jc w:val="both"/>
        <w:rPr>
          <w:rFonts w:ascii="Arial" w:hAnsi="Arial" w:cs="Arial"/>
          <w:b/>
          <w:sz w:val="20"/>
        </w:rPr>
      </w:pPr>
    </w:p>
    <w:p w:rsidR="00082F82" w:rsidRDefault="00082F82"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Default="00082F82" w:rsidP="002A3B6B">
      <w:pPr>
        <w:pStyle w:val="DHBodycopy"/>
        <w:spacing w:line="240" w:lineRule="auto"/>
        <w:rPr>
          <w:rFonts w:cs="Arial"/>
          <w:sz w:val="20"/>
        </w:rPr>
      </w:pPr>
    </w:p>
    <w:p w:rsidR="00082F82" w:rsidRDefault="00082F82" w:rsidP="002A3B6B">
      <w:pPr>
        <w:pStyle w:val="DHBodycopy"/>
        <w:spacing w:line="240" w:lineRule="auto"/>
        <w:rPr>
          <w:rFonts w:cs="Arial"/>
          <w:sz w:val="20"/>
        </w:rPr>
      </w:pPr>
    </w:p>
    <w:p w:rsidR="00E875B1" w:rsidRDefault="00E875B1" w:rsidP="002A3B6B">
      <w:pPr>
        <w:pStyle w:val="DHBodycopy"/>
        <w:spacing w:line="240" w:lineRule="auto"/>
        <w:rPr>
          <w:rFonts w:cs="Arial"/>
          <w:sz w:val="20"/>
        </w:rPr>
      </w:pPr>
    </w:p>
    <w:p w:rsidR="00E875B1" w:rsidRDefault="00E875B1"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bookmarkStart w:id="3" w:name="_GoBack"/>
      <w:bookmarkEnd w:id="3"/>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D756DE" w:rsidRPr="00082F82" w:rsidRDefault="00532F04" w:rsidP="00532F04">
      <w:pPr>
        <w:pStyle w:val="DHBodycopy"/>
        <w:rPr>
          <w:rFonts w:cs="Arial"/>
        </w:rPr>
      </w:pPr>
      <w:r w:rsidRPr="00082F82">
        <w:rPr>
          <w:rFonts w:cs="Arial"/>
        </w:rPr>
        <w:t xml:space="preserve">© Crown copyright </w:t>
      </w:r>
      <w:r w:rsidR="00C5158D" w:rsidRPr="00082F82">
        <w:rPr>
          <w:rFonts w:cs="Arial"/>
        </w:rPr>
        <w:t>201</w:t>
      </w:r>
      <w:r w:rsidR="009D4471" w:rsidRPr="00082F82">
        <w:rPr>
          <w:rFonts w:cs="Arial"/>
        </w:rPr>
        <w:t>8</w:t>
      </w:r>
    </w:p>
    <w:p w:rsidR="00532F04" w:rsidRPr="00082F82" w:rsidRDefault="00532F04" w:rsidP="00532F04">
      <w:pPr>
        <w:pStyle w:val="DHBodycopy"/>
        <w:rPr>
          <w:rFonts w:cs="Arial"/>
        </w:rPr>
      </w:pPr>
      <w:r w:rsidRPr="00082F82">
        <w:rPr>
          <w:rFonts w:cs="Arial"/>
        </w:rPr>
        <w:t>First published</w:t>
      </w:r>
      <w:r w:rsidR="002F0B28" w:rsidRPr="00082F82">
        <w:rPr>
          <w:rFonts w:cs="Arial"/>
        </w:rPr>
        <w:t>:</w:t>
      </w:r>
      <w:r w:rsidR="009C5CF5" w:rsidRPr="00082F82">
        <w:rPr>
          <w:rFonts w:cs="Arial"/>
        </w:rPr>
        <w:t xml:space="preserve"> </w:t>
      </w:r>
      <w:r w:rsidR="008D21AB">
        <w:rPr>
          <w:rFonts w:cs="Arial"/>
        </w:rPr>
        <w:t>July</w:t>
      </w:r>
      <w:r w:rsidR="000D1D87">
        <w:rPr>
          <w:rFonts w:cs="Arial"/>
        </w:rPr>
        <w:t xml:space="preserve"> 2018</w:t>
      </w:r>
    </w:p>
    <w:p w:rsidR="00532F04" w:rsidRPr="009F4EE1" w:rsidRDefault="00532F04" w:rsidP="00532F04">
      <w:pPr>
        <w:pStyle w:val="DHBodycopy"/>
        <w:rPr>
          <w:rFonts w:cs="Arial"/>
        </w:rPr>
      </w:pPr>
      <w:r w:rsidRPr="00082F82">
        <w:rPr>
          <w:rFonts w:cs="Arial"/>
        </w:rPr>
        <w:t>Published in electronic format only</w:t>
      </w:r>
    </w:p>
    <w:sectPr w:rsidR="00532F04" w:rsidRPr="009F4EE1" w:rsidSect="007B47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AA" w:rsidRDefault="007444AA" w:rsidP="00674BEC">
      <w:pPr>
        <w:spacing w:after="0"/>
      </w:pPr>
      <w:r>
        <w:separator/>
      </w:r>
    </w:p>
  </w:endnote>
  <w:endnote w:type="continuationSeparator" w:id="0">
    <w:p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B" w:rsidRDefault="008D2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B" w:rsidRDefault="008D2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B" w:rsidRDefault="008D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AA" w:rsidRDefault="007444AA" w:rsidP="00674BEC">
      <w:pPr>
        <w:spacing w:after="0"/>
      </w:pPr>
      <w:r>
        <w:separator/>
      </w:r>
    </w:p>
  </w:footnote>
  <w:footnote w:type="continuationSeparator" w:id="0">
    <w:p w:rsidR="007444AA" w:rsidRDefault="007444A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B" w:rsidRDefault="008D2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2017/18 and 2018/19 </w:t>
    </w:r>
    <w:r w:rsidR="000151FA">
      <w:rPr>
        <w:rFonts w:ascii="Arial" w:hAnsi="Arial" w:cs="Arial"/>
        <w:sz w:val="16"/>
        <w:szCs w:val="16"/>
      </w:rPr>
      <w:t>Sub-Contract</w:t>
    </w:r>
    <w:r w:rsidRPr="007116A6">
      <w:rPr>
        <w:rFonts w:ascii="Arial" w:hAnsi="Arial" w:cs="Arial"/>
        <w:sz w:val="16"/>
        <w:szCs w:val="16"/>
      </w:rPr>
      <w:t xml:space="preserve"> (Shorter Form)</w:t>
    </w:r>
  </w:p>
  <w:p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r w:rsidR="007D5DA9">
      <w:rPr>
        <w:rFonts w:ascii="Arial" w:hAnsi="Arial" w:cs="Arial"/>
        <w:sz w:val="16"/>
        <w:szCs w:val="16"/>
      </w:rPr>
      <w:t xml:space="preserve"> (</w:t>
    </w:r>
    <w:r w:rsidR="00306CAC">
      <w:rPr>
        <w:rFonts w:ascii="Arial" w:hAnsi="Arial" w:cs="Arial"/>
        <w:sz w:val="16"/>
        <w:szCs w:val="16"/>
      </w:rPr>
      <w:t>Ju</w:t>
    </w:r>
    <w:r w:rsidR="008D21AB">
      <w:rPr>
        <w:rFonts w:ascii="Arial" w:hAnsi="Arial" w:cs="Arial"/>
        <w:sz w:val="16"/>
        <w:szCs w:val="16"/>
      </w:rPr>
      <w:t>ly</w:t>
    </w:r>
    <w:r w:rsidR="000D1D87">
      <w:rPr>
        <w:rFonts w:ascii="Arial" w:hAnsi="Arial" w:cs="Arial"/>
        <w:sz w:val="16"/>
        <w:szCs w:val="16"/>
      </w:rPr>
      <w:t xml:space="preserve"> 2018 edition</w:t>
    </w:r>
    <w:r w:rsidR="007D5DA9">
      <w:rPr>
        <w:rFonts w:ascii="Arial" w:hAnsi="Arial" w:cs="Arial"/>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B" w:rsidRDefault="008D2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151FA"/>
    <w:rsid w:val="0002254A"/>
    <w:rsid w:val="00042282"/>
    <w:rsid w:val="0004407B"/>
    <w:rsid w:val="00046225"/>
    <w:rsid w:val="000541C6"/>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021B"/>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CAC"/>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B0CA0"/>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37CF"/>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875B1"/>
    <w:rsid w:val="00E93E38"/>
    <w:rsid w:val="00E97C04"/>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87D1-D31A-45AB-AF36-94A1F812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2018-06-04T14:21:00Z</dcterms:created>
  <dcterms:modified xsi:type="dcterms:W3CDTF">2018-07-16T15:19:00Z</dcterms:modified>
</cp:coreProperties>
</file>