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96" w:rsidRPr="00C12CD4" w:rsidRDefault="00581C96" w:rsidP="00581C96">
      <w:pPr>
        <w:spacing w:after="200"/>
        <w:rPr>
          <w:rFonts w:eastAsia="MS Mincho" w:cs="Arial"/>
          <w:b/>
          <w:bCs w:val="0"/>
          <w:sz w:val="32"/>
          <w:szCs w:val="32"/>
          <w:lang w:val="en-US" w:eastAsia="ja-JP"/>
        </w:rPr>
      </w:pPr>
      <w:r w:rsidRPr="00C12CD4">
        <w:rPr>
          <w:rFonts w:eastAsia="MS Mincho" w:cs="Arial"/>
          <w:b/>
          <w:bCs w:val="0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CD546EE" wp14:editId="0D0EE80A">
            <wp:simplePos x="0" y="0"/>
            <wp:positionH relativeFrom="column">
              <wp:posOffset>4869815</wp:posOffset>
            </wp:positionH>
            <wp:positionV relativeFrom="paragraph">
              <wp:posOffset>-238760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7" name="Picture 7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96" w:rsidRPr="00C12CD4" w:rsidRDefault="00581C96" w:rsidP="00581C96">
      <w:pPr>
        <w:spacing w:after="200"/>
        <w:rPr>
          <w:rFonts w:eastAsia="MS Mincho" w:cs="Arial"/>
          <w:b/>
          <w:bCs w:val="0"/>
          <w:sz w:val="32"/>
          <w:szCs w:val="32"/>
          <w:lang w:val="en-US" w:eastAsia="ja-JP"/>
        </w:rPr>
      </w:pPr>
    </w:p>
    <w:p w:rsidR="00581C96" w:rsidRPr="00C12CD4" w:rsidRDefault="00581C96" w:rsidP="00581C96">
      <w:pPr>
        <w:rPr>
          <w:rFonts w:eastAsia="MS Gothic" w:cs="Arial"/>
          <w:b/>
          <w:bCs w:val="0"/>
          <w:color w:val="17365D"/>
          <w:spacing w:val="5"/>
          <w:kern w:val="28"/>
          <w:sz w:val="32"/>
          <w:szCs w:val="32"/>
          <w:lang w:val="en-US" w:eastAsia="ja-JP"/>
        </w:rPr>
      </w:pPr>
    </w:p>
    <w:p w:rsidR="00581C96" w:rsidRDefault="00581C96" w:rsidP="00581C96">
      <w:pPr>
        <w:rPr>
          <w:rFonts w:cs="Arial"/>
          <w:b/>
        </w:rPr>
      </w:pPr>
      <w:r w:rsidRPr="00DA5F05">
        <w:rPr>
          <w:rFonts w:cs="Arial"/>
          <w:b/>
          <w:i/>
          <w:noProof/>
          <w:color w:val="FF000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775E" wp14:editId="6437F94F">
                <wp:simplePos x="0" y="0"/>
                <wp:positionH relativeFrom="page">
                  <wp:posOffset>632460</wp:posOffset>
                </wp:positionH>
                <wp:positionV relativeFrom="page">
                  <wp:posOffset>6667500</wp:posOffset>
                </wp:positionV>
                <wp:extent cx="6273800" cy="2834640"/>
                <wp:effectExtent l="0" t="0" r="0" b="3810"/>
                <wp:wrapThrough wrapText="bothSides">
                  <wp:wrapPolygon edited="0">
                    <wp:start x="131" y="0"/>
                    <wp:lineTo x="131" y="21484"/>
                    <wp:lineTo x="21381" y="21484"/>
                    <wp:lineTo x="21381" y="0"/>
                    <wp:lineTo x="131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380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C96" w:rsidRPr="00621FC4" w:rsidRDefault="00581C96" w:rsidP="00581C96">
                            <w:pPr>
                              <w:pStyle w:val="Title"/>
                              <w:rPr>
                                <w:color w:val="0070C0"/>
                              </w:rPr>
                            </w:pPr>
                            <w:r w:rsidRPr="00621FC4">
                              <w:rPr>
                                <w:color w:val="0070C0"/>
                              </w:rPr>
                              <w:t>NHS Standard Contract 2019/20</w:t>
                            </w:r>
                          </w:p>
                          <w:p w:rsidR="00621FC4" w:rsidRDefault="00621FC4" w:rsidP="00581C96">
                            <w:pPr>
                              <w:pStyle w:val="Title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</w:p>
                          <w:p w:rsidR="00581C96" w:rsidRPr="00621FC4" w:rsidRDefault="00581C96" w:rsidP="00581C96">
                            <w:pPr>
                              <w:pStyle w:val="Title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621FC4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Template SDIP for Provider Sustainability Fund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877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9.8pt;margin-top:525pt;width:494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MirAIAAK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" filled="f" stroked="f">
                <v:path arrowok="t"/>
                <v:textbox>
                  <w:txbxContent>
                    <w:p w:rsidR="00581C96" w:rsidRPr="00621FC4" w:rsidRDefault="00581C96" w:rsidP="00581C96">
                      <w:pPr>
                        <w:pStyle w:val="Title"/>
                        <w:rPr>
                          <w:color w:val="0070C0"/>
                        </w:rPr>
                      </w:pPr>
                      <w:r w:rsidRPr="00621FC4">
                        <w:rPr>
                          <w:color w:val="0070C0"/>
                        </w:rPr>
                        <w:t>NHS Standard Contract 2019/20</w:t>
                      </w:r>
                    </w:p>
                    <w:p w:rsidR="00621FC4" w:rsidRDefault="00621FC4" w:rsidP="00581C96">
                      <w:pPr>
                        <w:pStyle w:val="Title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</w:p>
                    <w:p w:rsidR="00581C96" w:rsidRPr="00621FC4" w:rsidRDefault="00581C96" w:rsidP="00581C96">
                      <w:pPr>
                        <w:pStyle w:val="Title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 w:rsidRPr="00621FC4">
                        <w:rPr>
                          <w:color w:val="4472C4" w:themeColor="accent1"/>
                          <w:sz w:val="56"/>
                          <w:szCs w:val="56"/>
                        </w:rPr>
                        <w:t>Template SDIP for Provider Sustainability Fund performance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643353" wp14:editId="6911D902">
            <wp:simplePos x="0" y="0"/>
            <wp:positionH relativeFrom="column">
              <wp:posOffset>-88900</wp:posOffset>
            </wp:positionH>
            <wp:positionV relativeFrom="paragraph">
              <wp:posOffset>105410</wp:posOffset>
            </wp:positionV>
            <wp:extent cx="6317615" cy="4455795"/>
            <wp:effectExtent l="0" t="0" r="6985" b="1905"/>
            <wp:wrapNone/>
            <wp:docPr id="11" name="Picture 11" title="Cov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NHS CB\Commissioning Strategy Directorate\Contracting &amp; Incentives\NHS Standard Contract\NHS Standard Contract 2019-20\Contract drafts FL\1 030518\NHSEng_BRI_1May18_0230 hosp 2.mc 050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F05">
        <w:rPr>
          <w:rFonts w:cs="Arial"/>
          <w:b/>
        </w:rPr>
        <w:br w:type="page"/>
      </w:r>
    </w:p>
    <w:p w:rsidR="00581C96" w:rsidRPr="00DA5F05" w:rsidRDefault="00581C96" w:rsidP="00581C96">
      <w:pPr>
        <w:rPr>
          <w:rFonts w:cs="Arial"/>
          <w:b/>
          <w:sz w:val="32"/>
          <w:szCs w:val="32"/>
        </w:rPr>
      </w:pPr>
      <w:r w:rsidRPr="00DA5F05">
        <w:rPr>
          <w:rFonts w:cs="Arial"/>
          <w:b/>
          <w:sz w:val="32"/>
          <w:szCs w:val="32"/>
        </w:rPr>
        <w:lastRenderedPageBreak/>
        <w:t xml:space="preserve">NHS Standard Contract </w:t>
      </w:r>
      <w:r>
        <w:rPr>
          <w:rFonts w:cs="Arial"/>
          <w:b/>
          <w:sz w:val="32"/>
          <w:szCs w:val="32"/>
        </w:rPr>
        <w:t>2019/20</w:t>
      </w:r>
    </w:p>
    <w:p w:rsidR="00581C96" w:rsidRPr="00EE374B" w:rsidRDefault="00581C96" w:rsidP="00581C96">
      <w:pPr>
        <w:rPr>
          <w:rFonts w:cs="Arial"/>
          <w:b/>
          <w:szCs w:val="24"/>
        </w:rPr>
      </w:pPr>
    </w:p>
    <w:p w:rsidR="00581C96" w:rsidRPr="00EE374B" w:rsidRDefault="00581C96" w:rsidP="00581C96">
      <w:pPr>
        <w:rPr>
          <w:rFonts w:cs="Arial"/>
          <w:b/>
          <w:sz w:val="28"/>
          <w:szCs w:val="28"/>
        </w:rPr>
      </w:pPr>
      <w:r w:rsidRPr="00581C96">
        <w:rPr>
          <w:rFonts w:cs="Arial"/>
          <w:b/>
          <w:sz w:val="28"/>
          <w:szCs w:val="28"/>
        </w:rPr>
        <w:t>Template Service Development and Improvement Plan in relation to provider performance against Provider Sustainability Fund performance trajectories and assurance statements</w:t>
      </w:r>
    </w:p>
    <w:p w:rsidR="00581C96" w:rsidRDefault="00581C96" w:rsidP="00581C96">
      <w:pPr>
        <w:rPr>
          <w:rFonts w:cs="Arial"/>
          <w:b/>
        </w:rPr>
      </w:pPr>
    </w:p>
    <w:p w:rsidR="00581C96" w:rsidRDefault="00581C96" w:rsidP="00581C96">
      <w:pPr>
        <w:rPr>
          <w:rFonts w:cs="Arial"/>
          <w:b/>
        </w:rPr>
      </w:pPr>
    </w:p>
    <w:p w:rsidR="00581C96" w:rsidRPr="00581C96" w:rsidRDefault="00581C96" w:rsidP="00581C96">
      <w:pPr>
        <w:rPr>
          <w:rFonts w:cs="Arial"/>
        </w:rPr>
      </w:pPr>
      <w:r w:rsidRPr="00581C96">
        <w:rPr>
          <w:rFonts w:cs="Arial"/>
        </w:rPr>
        <w:t>Version number:</w:t>
      </w:r>
      <w:r w:rsidRPr="00581C96">
        <w:rPr>
          <w:rFonts w:cs="Arial"/>
        </w:rPr>
        <w:tab/>
      </w:r>
      <w:r w:rsidRPr="00581C96">
        <w:rPr>
          <w:rFonts w:cs="Arial"/>
        </w:rPr>
        <w:tab/>
        <w:t>1</w:t>
      </w:r>
    </w:p>
    <w:p w:rsidR="00581C96" w:rsidRPr="00581C96" w:rsidRDefault="00581C96" w:rsidP="00581C96">
      <w:pPr>
        <w:rPr>
          <w:rFonts w:cs="Arial"/>
        </w:rPr>
      </w:pPr>
    </w:p>
    <w:p w:rsidR="00581C96" w:rsidRPr="00581C96" w:rsidRDefault="00581C96" w:rsidP="00581C96">
      <w:pPr>
        <w:rPr>
          <w:rFonts w:cs="Arial"/>
        </w:rPr>
      </w:pPr>
      <w:r w:rsidRPr="00581C96">
        <w:rPr>
          <w:rFonts w:cs="Arial"/>
        </w:rPr>
        <w:t>First published:</w:t>
      </w:r>
      <w:r w:rsidRPr="00581C96">
        <w:rPr>
          <w:rFonts w:cs="Arial"/>
        </w:rPr>
        <w:tab/>
      </w:r>
      <w:r w:rsidRPr="00581C96">
        <w:rPr>
          <w:rFonts w:cs="Arial"/>
        </w:rPr>
        <w:tab/>
        <w:t>March 2019</w:t>
      </w:r>
    </w:p>
    <w:p w:rsidR="00581C96" w:rsidRPr="00DA5F05" w:rsidRDefault="00581C96" w:rsidP="00581C96">
      <w:pPr>
        <w:rPr>
          <w:rFonts w:cs="Arial"/>
          <w:b/>
        </w:rPr>
      </w:pPr>
    </w:p>
    <w:p w:rsidR="00581C96" w:rsidRPr="00EE374B" w:rsidRDefault="00581C96" w:rsidP="00581C96">
      <w:pPr>
        <w:rPr>
          <w:rFonts w:eastAsia="MS Mincho" w:cs="Arial"/>
          <w:bCs w:val="0"/>
          <w:szCs w:val="20"/>
          <w:lang w:val="en-US" w:eastAsia="ja-JP"/>
        </w:rPr>
      </w:pPr>
      <w:r w:rsidRPr="00EE374B">
        <w:rPr>
          <w:rFonts w:eastAsia="MS Mincho" w:cs="Arial"/>
          <w:bCs w:val="0"/>
          <w:szCs w:val="20"/>
          <w:lang w:val="en-US" w:eastAsia="ja-JP"/>
        </w:rPr>
        <w:t>Prepared by:</w:t>
      </w:r>
      <w:r w:rsidRPr="00EE374B">
        <w:rPr>
          <w:rFonts w:eastAsia="MS Mincho" w:cs="Arial"/>
          <w:bCs w:val="0"/>
          <w:szCs w:val="20"/>
          <w:lang w:val="en-US" w:eastAsia="ja-JP"/>
        </w:rPr>
        <w:tab/>
      </w:r>
      <w:r w:rsidRPr="00EE374B">
        <w:rPr>
          <w:rFonts w:eastAsia="MS Mincho" w:cs="Arial"/>
          <w:bCs w:val="0"/>
          <w:szCs w:val="20"/>
          <w:lang w:val="en-US" w:eastAsia="ja-JP"/>
        </w:rPr>
        <w:tab/>
      </w:r>
      <w:r>
        <w:rPr>
          <w:rFonts w:eastAsia="MS Mincho" w:cs="Arial"/>
          <w:bCs w:val="0"/>
          <w:szCs w:val="20"/>
          <w:lang w:val="en-US" w:eastAsia="ja-JP"/>
        </w:rPr>
        <w:tab/>
      </w:r>
      <w:r w:rsidRPr="00EE374B">
        <w:rPr>
          <w:rFonts w:eastAsia="MS Mincho" w:cs="Arial"/>
          <w:bCs w:val="0"/>
          <w:szCs w:val="20"/>
          <w:lang w:val="en-US" w:eastAsia="ja-JP"/>
        </w:rPr>
        <w:t>NHS Standard Contract Team</w:t>
      </w:r>
    </w:p>
    <w:p w:rsidR="00581C96" w:rsidRDefault="00581C96" w:rsidP="00581C96">
      <w:r w:rsidRPr="00EE374B">
        <w:tab/>
      </w:r>
      <w:r w:rsidRPr="00EE374B">
        <w:tab/>
      </w:r>
      <w:r w:rsidRPr="00EE374B">
        <w:tab/>
      </w:r>
      <w:r>
        <w:tab/>
      </w:r>
      <w:hyperlink r:id="rId11" w:history="1">
        <w:r w:rsidRPr="003822C5">
          <w:rPr>
            <w:rStyle w:val="Hyperlink"/>
          </w:rPr>
          <w:t>nhscb.contractshelp@nhs.net</w:t>
        </w:r>
      </w:hyperlink>
    </w:p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Default="00581C96" w:rsidP="00581C96"/>
    <w:p w:rsidR="00581C96" w:rsidRPr="00EE374B" w:rsidRDefault="00581C96" w:rsidP="00581C96"/>
    <w:p w:rsidR="00581C96" w:rsidRPr="00EE374B" w:rsidRDefault="00581C96" w:rsidP="00581C96">
      <w:r w:rsidRPr="00EE374B">
        <w:t>Classification:</w:t>
      </w:r>
      <w:r w:rsidRPr="00EE374B">
        <w:tab/>
        <w:t>OFFICIAL</w:t>
      </w:r>
    </w:p>
    <w:p w:rsidR="00581C96" w:rsidRPr="00EE374B" w:rsidRDefault="00581C96" w:rsidP="00581C96"/>
    <w:p w:rsidR="00581C96" w:rsidRPr="004A08F1" w:rsidRDefault="006A4A95" w:rsidP="00581C96">
      <w:pPr>
        <w:sectPr w:rsidR="00581C96" w:rsidRPr="004A08F1" w:rsidSect="00AC3EE9"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Publication Approval Number</w:t>
      </w:r>
      <w:r w:rsidR="00581C96" w:rsidRPr="00EE374B">
        <w:t>:</w:t>
      </w:r>
      <w:r w:rsidR="00581C96" w:rsidRPr="00EE374B">
        <w:tab/>
      </w:r>
      <w:r w:rsidR="00581C96" w:rsidRPr="00EE374B">
        <w:tab/>
      </w:r>
      <w:r w:rsidR="00025A35">
        <w:t>000255</w:t>
      </w:r>
    </w:p>
    <w:p w:rsidR="00581C96" w:rsidRPr="006B1775" w:rsidRDefault="00581C96" w:rsidP="00581C96">
      <w:pPr>
        <w:rPr>
          <w:rFonts w:eastAsia="Calibri" w:cs="Arial"/>
          <w:bCs w:val="0"/>
          <w:i/>
          <w:sz w:val="20"/>
          <w:szCs w:val="20"/>
        </w:rPr>
      </w:pPr>
      <w:r w:rsidRPr="006B1775">
        <w:rPr>
          <w:rFonts w:eastAsia="Calibri" w:cs="Arial"/>
          <w:bCs w:val="0"/>
          <w:i/>
          <w:sz w:val="20"/>
          <w:szCs w:val="20"/>
        </w:rPr>
        <w:lastRenderedPageBreak/>
        <w:t>[This Service Development and Improvement Plan template should be completed to reflect th</w:t>
      </w:r>
      <w:r w:rsidR="004A08F1">
        <w:rPr>
          <w:rFonts w:eastAsia="Calibri" w:cs="Arial"/>
          <w:bCs w:val="0"/>
          <w:i/>
          <w:sz w:val="20"/>
          <w:szCs w:val="20"/>
        </w:rPr>
        <w:t>e final p</w:t>
      </w:r>
      <w:r w:rsidR="00384344">
        <w:rPr>
          <w:rFonts w:eastAsia="Calibri" w:cs="Arial"/>
          <w:bCs w:val="0"/>
          <w:i/>
          <w:sz w:val="20"/>
          <w:szCs w:val="20"/>
        </w:rPr>
        <w:t xml:space="preserve">erformance </w:t>
      </w:r>
      <w:r w:rsidR="004A08F1">
        <w:rPr>
          <w:rFonts w:eastAsia="Calibri" w:cs="Arial"/>
          <w:bCs w:val="0"/>
          <w:i/>
          <w:sz w:val="20"/>
          <w:szCs w:val="20"/>
        </w:rPr>
        <w:t>trajectories and assurance s</w:t>
      </w:r>
      <w:r w:rsidRPr="006B1775">
        <w:rPr>
          <w:rFonts w:eastAsia="Calibri" w:cs="Arial"/>
          <w:bCs w:val="0"/>
          <w:i/>
          <w:sz w:val="20"/>
          <w:szCs w:val="20"/>
        </w:rPr>
        <w:t>tatements relevant to the Provider, as signed off by</w:t>
      </w:r>
      <w:r w:rsidR="0012759F">
        <w:rPr>
          <w:rFonts w:eastAsia="Calibri" w:cs="Arial"/>
          <w:bCs w:val="0"/>
          <w:i/>
          <w:sz w:val="20"/>
          <w:szCs w:val="20"/>
        </w:rPr>
        <w:t xml:space="preserve"> NHS Improvement</w:t>
      </w:r>
      <w:r w:rsidRPr="006B1775">
        <w:rPr>
          <w:rFonts w:eastAsia="Calibri" w:cs="Arial"/>
          <w:bCs w:val="0"/>
          <w:i/>
          <w:sz w:val="20"/>
          <w:szCs w:val="20"/>
        </w:rPr>
        <w:t xml:space="preserve">. It should then be included at Schedule 6D in each NHS Standard Contract which the Provider </w:t>
      </w:r>
      <w:r>
        <w:rPr>
          <w:rFonts w:eastAsia="Calibri" w:cs="Arial"/>
          <w:bCs w:val="0"/>
          <w:i/>
          <w:sz w:val="20"/>
          <w:szCs w:val="20"/>
        </w:rPr>
        <w:t>holds</w:t>
      </w:r>
      <w:r w:rsidRPr="006B1775">
        <w:rPr>
          <w:rFonts w:eastAsia="Calibri" w:cs="Arial"/>
          <w:bCs w:val="0"/>
          <w:i/>
          <w:sz w:val="20"/>
          <w:szCs w:val="20"/>
        </w:rPr>
        <w:t xml:space="preserve"> with an NHS Commis</w:t>
      </w:r>
      <w:r>
        <w:rPr>
          <w:rFonts w:eastAsia="Calibri" w:cs="Arial"/>
          <w:bCs w:val="0"/>
          <w:i/>
          <w:sz w:val="20"/>
          <w:szCs w:val="20"/>
        </w:rPr>
        <w:t xml:space="preserve">sioner or Commissioners for </w:t>
      </w:r>
      <w:r w:rsidR="0012759F">
        <w:rPr>
          <w:rFonts w:eastAsia="Calibri" w:cs="Arial"/>
          <w:bCs w:val="0"/>
          <w:i/>
          <w:sz w:val="20"/>
          <w:szCs w:val="20"/>
        </w:rPr>
        <w:t>2019/20</w:t>
      </w:r>
      <w:r w:rsidRPr="006B1775">
        <w:rPr>
          <w:rFonts w:eastAsia="Calibri" w:cs="Arial"/>
          <w:bCs w:val="0"/>
          <w:i/>
          <w:sz w:val="20"/>
          <w:szCs w:val="20"/>
        </w:rPr>
        <w:t>.</w:t>
      </w:r>
      <w:r w:rsidR="004A08F1">
        <w:rPr>
          <w:rFonts w:eastAsia="Calibri" w:cs="Arial"/>
          <w:bCs w:val="0"/>
          <w:i/>
          <w:sz w:val="20"/>
          <w:szCs w:val="20"/>
        </w:rPr>
        <w:t xml:space="preserve"> Note that both the performance trajectories and the assurance s</w:t>
      </w:r>
      <w:r>
        <w:rPr>
          <w:rFonts w:eastAsia="Calibri" w:cs="Arial"/>
          <w:bCs w:val="0"/>
          <w:i/>
          <w:sz w:val="20"/>
          <w:szCs w:val="20"/>
        </w:rPr>
        <w:t>tatements relate to the Provider as a whole, covering its aggregate performance under all of its separate signed contracts and including any non-contract activity.</w:t>
      </w:r>
      <w:r w:rsidRPr="006B1775">
        <w:rPr>
          <w:rFonts w:eastAsia="Calibri" w:cs="Arial"/>
          <w:bCs w:val="0"/>
          <w:i/>
          <w:sz w:val="20"/>
          <w:szCs w:val="20"/>
        </w:rPr>
        <w:t>]</w:t>
      </w:r>
    </w:p>
    <w:p w:rsidR="00581C96" w:rsidRDefault="00581C96" w:rsidP="00581C96">
      <w:pPr>
        <w:rPr>
          <w:rFonts w:eastAsia="Calibri" w:cs="Arial"/>
          <w:bCs w:val="0"/>
          <w:sz w:val="20"/>
          <w:szCs w:val="20"/>
        </w:rPr>
      </w:pPr>
    </w:p>
    <w:p w:rsidR="0012759F" w:rsidRPr="006B1775" w:rsidRDefault="0012759F" w:rsidP="0012759F">
      <w:pPr>
        <w:rPr>
          <w:rFonts w:eastAsia="Calibri" w:cs="Arial"/>
          <w:bCs w:val="0"/>
          <w:sz w:val="20"/>
          <w:szCs w:val="20"/>
        </w:rPr>
      </w:pPr>
    </w:p>
    <w:p w:rsidR="0012759F" w:rsidRPr="006B1775" w:rsidRDefault="00384344" w:rsidP="0012759F">
      <w:pPr>
        <w:rPr>
          <w:rFonts w:eastAsia="Calibri" w:cs="Arial"/>
          <w:b/>
          <w:bCs w:val="0"/>
          <w:sz w:val="20"/>
          <w:szCs w:val="20"/>
        </w:rPr>
      </w:pPr>
      <w:r>
        <w:rPr>
          <w:rFonts w:eastAsia="Calibri" w:cs="Arial"/>
          <w:b/>
          <w:bCs w:val="0"/>
          <w:sz w:val="20"/>
          <w:szCs w:val="20"/>
        </w:rPr>
        <w:t xml:space="preserve">Performance </w:t>
      </w:r>
      <w:r w:rsidR="0012759F" w:rsidRPr="006B1775">
        <w:rPr>
          <w:rFonts w:eastAsia="Calibri" w:cs="Arial"/>
          <w:b/>
          <w:bCs w:val="0"/>
          <w:sz w:val="20"/>
          <w:szCs w:val="20"/>
        </w:rPr>
        <w:t>Trajectories</w:t>
      </w:r>
    </w:p>
    <w:p w:rsidR="0012759F" w:rsidRPr="006B1775" w:rsidRDefault="0012759F" w:rsidP="0012759F">
      <w:pPr>
        <w:rPr>
          <w:rFonts w:eastAsia="Calibri" w:cs="Arial"/>
          <w:bCs w:val="0"/>
          <w:sz w:val="20"/>
          <w:szCs w:val="20"/>
        </w:rPr>
      </w:pPr>
    </w:p>
    <w:p w:rsidR="0012759F" w:rsidRPr="006B1775" w:rsidRDefault="0012759F" w:rsidP="0012759F">
      <w:pPr>
        <w:rPr>
          <w:rFonts w:eastAsia="Calibri" w:cs="Arial"/>
          <w:bCs w:val="0"/>
          <w:sz w:val="20"/>
          <w:szCs w:val="20"/>
        </w:rPr>
      </w:pPr>
      <w:r w:rsidRPr="006B1775">
        <w:rPr>
          <w:rFonts w:eastAsia="Calibri" w:cs="Arial"/>
          <w:bCs w:val="0"/>
          <w:sz w:val="20"/>
          <w:szCs w:val="20"/>
        </w:rPr>
        <w:t xml:space="preserve">The Provider undertakes to achieve specific levels of performance, on a </w:t>
      </w:r>
      <w:r>
        <w:rPr>
          <w:rFonts w:eastAsia="Calibri" w:cs="Arial"/>
          <w:bCs w:val="0"/>
          <w:sz w:val="20"/>
          <w:szCs w:val="20"/>
        </w:rPr>
        <w:t>month-by-month basis during 2019/20</w:t>
      </w:r>
      <w:r w:rsidRPr="006B1775">
        <w:rPr>
          <w:rFonts w:eastAsia="Calibri" w:cs="Arial"/>
          <w:bCs w:val="0"/>
          <w:sz w:val="20"/>
          <w:szCs w:val="20"/>
        </w:rPr>
        <w:t xml:space="preserve">, against Operational Standards </w:t>
      </w:r>
      <w:r w:rsidR="00384344">
        <w:rPr>
          <w:rFonts w:eastAsia="Calibri" w:cs="Arial"/>
          <w:bCs w:val="0"/>
          <w:sz w:val="20"/>
          <w:szCs w:val="20"/>
        </w:rPr>
        <w:t xml:space="preserve">and National Quality Requirements </w:t>
      </w:r>
      <w:r w:rsidRPr="006B1775">
        <w:rPr>
          <w:rFonts w:eastAsia="Calibri" w:cs="Arial"/>
          <w:bCs w:val="0"/>
          <w:sz w:val="20"/>
          <w:szCs w:val="20"/>
        </w:rPr>
        <w:t>as set out in the table</w:t>
      </w:r>
      <w:r>
        <w:rPr>
          <w:rFonts w:eastAsia="Calibri" w:cs="Arial"/>
          <w:bCs w:val="0"/>
          <w:sz w:val="20"/>
          <w:szCs w:val="20"/>
        </w:rPr>
        <w:t>s</w:t>
      </w:r>
      <w:r w:rsidRPr="006B1775">
        <w:rPr>
          <w:rFonts w:eastAsia="Calibri" w:cs="Arial"/>
          <w:bCs w:val="0"/>
          <w:sz w:val="20"/>
          <w:szCs w:val="20"/>
        </w:rPr>
        <w:t xml:space="preserve"> below.</w:t>
      </w:r>
    </w:p>
    <w:p w:rsidR="0012759F" w:rsidRPr="006B1775" w:rsidRDefault="0012759F" w:rsidP="0012759F">
      <w:pPr>
        <w:rPr>
          <w:rFonts w:eastAsia="Calibri" w:cs="Arial"/>
          <w:bCs w:val="0"/>
          <w:sz w:val="20"/>
          <w:szCs w:val="20"/>
        </w:rPr>
      </w:pPr>
    </w:p>
    <w:p w:rsidR="0012759F" w:rsidRPr="006B1775" w:rsidRDefault="0012759F" w:rsidP="0012759F">
      <w:pPr>
        <w:rPr>
          <w:rFonts w:eastAsia="Calibri" w:cs="Arial"/>
          <w:bCs w:val="0"/>
          <w:i/>
          <w:sz w:val="20"/>
          <w:szCs w:val="20"/>
        </w:rPr>
      </w:pPr>
      <w:r w:rsidRPr="006B1775">
        <w:rPr>
          <w:rFonts w:eastAsia="Calibri" w:cs="Arial"/>
          <w:bCs w:val="0"/>
          <w:i/>
          <w:sz w:val="20"/>
          <w:szCs w:val="20"/>
        </w:rPr>
        <w:t xml:space="preserve">[Delete </w:t>
      </w:r>
      <w:r w:rsidR="0036239D">
        <w:rPr>
          <w:rFonts w:eastAsia="Calibri" w:cs="Arial"/>
          <w:bCs w:val="0"/>
          <w:i/>
          <w:sz w:val="20"/>
          <w:szCs w:val="20"/>
        </w:rPr>
        <w:t xml:space="preserve">rows </w:t>
      </w:r>
      <w:r w:rsidR="004A08F1">
        <w:rPr>
          <w:rFonts w:eastAsia="Calibri" w:cs="Arial"/>
          <w:bCs w:val="0"/>
          <w:i/>
          <w:sz w:val="20"/>
          <w:szCs w:val="20"/>
        </w:rPr>
        <w:t xml:space="preserve">where </w:t>
      </w:r>
      <w:r w:rsidR="004A08F1" w:rsidRPr="004A08F1">
        <w:rPr>
          <w:rFonts w:eastAsia="Calibri" w:cs="Arial"/>
          <w:bCs w:val="0"/>
          <w:i/>
          <w:sz w:val="20"/>
          <w:szCs w:val="20"/>
        </w:rPr>
        <w:t>not applicable to the Services provided by the Provider]</w:t>
      </w:r>
    </w:p>
    <w:p w:rsidR="0036239D" w:rsidRDefault="0036239D" w:rsidP="007A36E6">
      <w:pPr>
        <w:rPr>
          <w:rFonts w:eastAsia="Calibri" w:cs="Arial"/>
          <w:b/>
          <w:bCs w:val="0"/>
          <w:sz w:val="20"/>
          <w:szCs w:val="20"/>
        </w:rPr>
      </w:pPr>
    </w:p>
    <w:p w:rsidR="00384344" w:rsidRPr="00384344" w:rsidRDefault="00384344" w:rsidP="007A36E6">
      <w:pPr>
        <w:rPr>
          <w:rFonts w:eastAsia="Calibri" w:cs="Arial"/>
          <w:bCs w:val="0"/>
          <w:sz w:val="20"/>
          <w:szCs w:val="20"/>
          <w:u w:val="single"/>
        </w:rPr>
      </w:pPr>
      <w:r w:rsidRPr="00384344">
        <w:rPr>
          <w:rFonts w:eastAsia="Calibri" w:cs="Arial"/>
          <w:bCs w:val="0"/>
          <w:sz w:val="20"/>
          <w:szCs w:val="20"/>
          <w:u w:val="single"/>
        </w:rPr>
        <w:t>Operation</w:t>
      </w:r>
      <w:r>
        <w:rPr>
          <w:rFonts w:eastAsia="Calibri" w:cs="Arial"/>
          <w:bCs w:val="0"/>
          <w:sz w:val="20"/>
          <w:szCs w:val="20"/>
          <w:u w:val="single"/>
        </w:rPr>
        <w:t>al</w:t>
      </w:r>
      <w:r w:rsidRPr="00384344">
        <w:rPr>
          <w:rFonts w:eastAsia="Calibri" w:cs="Arial"/>
          <w:bCs w:val="0"/>
          <w:sz w:val="20"/>
          <w:szCs w:val="20"/>
          <w:u w:val="single"/>
        </w:rPr>
        <w:t xml:space="preserve"> Standards</w:t>
      </w:r>
    </w:p>
    <w:p w:rsidR="00384344" w:rsidRDefault="00384344" w:rsidP="007A36E6">
      <w:pPr>
        <w:rPr>
          <w:rFonts w:eastAsia="Calibri" w:cs="Arial"/>
          <w:b/>
          <w:bCs w:val="0"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Schedule 4B National Quality Requirements"/>
      </w:tblPr>
      <w:tblGrid>
        <w:gridCol w:w="7088"/>
        <w:gridCol w:w="567"/>
        <w:gridCol w:w="709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567"/>
      </w:tblGrid>
      <w:tr w:rsidR="0036239D" w:rsidRPr="00384344" w:rsidTr="0036239D">
        <w:tc>
          <w:tcPr>
            <w:tcW w:w="7088" w:type="dxa"/>
          </w:tcPr>
          <w:p w:rsidR="0036239D" w:rsidRPr="00384344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Standard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Apr</w:t>
            </w:r>
          </w:p>
        </w:tc>
        <w:tc>
          <w:tcPr>
            <w:tcW w:w="709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May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Jun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Jul</w:t>
            </w:r>
          </w:p>
        </w:tc>
        <w:tc>
          <w:tcPr>
            <w:tcW w:w="708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Aug</w:t>
            </w:r>
          </w:p>
        </w:tc>
        <w:tc>
          <w:tcPr>
            <w:tcW w:w="709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Sep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Oct</w:t>
            </w:r>
          </w:p>
        </w:tc>
        <w:tc>
          <w:tcPr>
            <w:tcW w:w="709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Nov</w:t>
            </w:r>
          </w:p>
        </w:tc>
        <w:tc>
          <w:tcPr>
            <w:tcW w:w="709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Dec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Jan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Feb</w:t>
            </w:r>
          </w:p>
        </w:tc>
        <w:tc>
          <w:tcPr>
            <w:tcW w:w="567" w:type="dxa"/>
          </w:tcPr>
          <w:p w:rsidR="0036239D" w:rsidRPr="00384344" w:rsidRDefault="0036239D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84344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Mar</w:t>
            </w: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2B7772">
              <w:rPr>
                <w:rFonts w:eastAsia="Calibri" w:cs="Arial"/>
                <w:bCs w:val="0"/>
                <w:sz w:val="20"/>
                <w:szCs w:val="20"/>
              </w:rPr>
              <w:t>Percentage of Service Users on incomplete</w:t>
            </w:r>
            <w:r>
              <w:rPr>
                <w:rFonts w:eastAsia="Calibri" w:cs="Arial"/>
                <w:bCs w:val="0"/>
                <w:sz w:val="20"/>
                <w:szCs w:val="20"/>
              </w:rPr>
              <w:t xml:space="preserve"> RTT pathways (yet to start trea</w:t>
            </w:r>
            <w:r w:rsidRPr="002B7772">
              <w:rPr>
                <w:rFonts w:eastAsia="Calibri" w:cs="Arial"/>
                <w:bCs w:val="0"/>
                <w:sz w:val="20"/>
                <w:szCs w:val="20"/>
              </w:rPr>
              <w:t>tment) waiting no more than 18 weeks from Referral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2B7772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Percentage of Service Users waiting more than 6 weeks from Referral for a diagnostic test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2B7772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Percentage of A &amp; E attendances where the Service User was admitted, transferred or discharged within 4 hours of their arrival at an A&amp;E department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referred urgently with suspected cancer by a GP waiting no more than two weeks for first outpatient appointment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referred urgently with breast symptoms (where cancer was not initially suspected) waiting no more than two weeks for first appointment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waiting no more than one month (31 days) from diagnosis to first defin</w:t>
            </w:r>
            <w:r>
              <w:rPr>
                <w:rFonts w:eastAsia="Calibri" w:cs="Arial"/>
                <w:bCs w:val="0"/>
                <w:sz w:val="20"/>
                <w:szCs w:val="20"/>
              </w:rPr>
              <w:t>itive treatment for all cancers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 xml:space="preserve">Percentage of Service Users waiting no more than 31 days for subsequent treatment </w:t>
            </w:r>
            <w:r>
              <w:rPr>
                <w:rFonts w:eastAsia="Calibri" w:cs="Arial"/>
                <w:bCs w:val="0"/>
                <w:sz w:val="20"/>
                <w:szCs w:val="20"/>
              </w:rPr>
              <w:t>where that treatment is surgery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waiting no more than 31 days for subsequent treatment where that treatment is an anti-cancer drug regimen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waiting no more than 31 days for subsequent treatment where the treatm</w:t>
            </w:r>
            <w:r>
              <w:rPr>
                <w:rFonts w:eastAsia="Calibri" w:cs="Arial"/>
                <w:bCs w:val="0"/>
                <w:sz w:val="20"/>
                <w:szCs w:val="20"/>
              </w:rPr>
              <w:t>ent is a course of radiotherapy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waiting no more than two months (62 days) from urgent GP referral to first definitive treatment for</w:t>
            </w:r>
            <w:r>
              <w:rPr>
                <w:rFonts w:eastAsia="Calibri" w:cs="Arial"/>
                <w:bCs w:val="0"/>
                <w:sz w:val="20"/>
                <w:szCs w:val="20"/>
              </w:rPr>
              <w:t xml:space="preserve"> cancer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>Percentage of Service Users waiting no more than 62 days from referral from an NHS screening service to first defin</w:t>
            </w:r>
            <w:r>
              <w:rPr>
                <w:rFonts w:eastAsia="Calibri" w:cs="Arial"/>
                <w:bCs w:val="0"/>
                <w:sz w:val="20"/>
                <w:szCs w:val="20"/>
              </w:rPr>
              <w:t>itive treatment for all cancers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6239D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Category 1 (life-threatening) incidents – proportion of incidents resulting in a response arriving within 15 minutes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6239D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Category 1 (life-threatening) incidents – mean time taken for a response to arrive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6239D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Category 2 (emerg</w:t>
            </w: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ency) incidents – proportion of</w:t>
            </w:r>
            <w:r w:rsidRPr="0036239D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 xml:space="preserve"> incidents resulting in an appropriate response arriving within 40 minutes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6239D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Category 2 (emergency) incidents – mean time taken for an appropriate response to arrive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36239D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Category 3 (urgent) incidents – proportion of incidents resulting in an appropriate response arriving within 120 minutes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36239D" w:rsidRPr="00492E53" w:rsidTr="0036239D">
        <w:tc>
          <w:tcPr>
            <w:tcW w:w="7088" w:type="dxa"/>
          </w:tcPr>
          <w:p w:rsidR="0036239D" w:rsidRPr="0036239D" w:rsidRDefault="0036239D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7A36E6">
              <w:rPr>
                <w:rFonts w:eastAsia="Calibri" w:cs="Arial"/>
                <w:bCs w:val="0"/>
                <w:sz w:val="20"/>
                <w:szCs w:val="20"/>
              </w:rPr>
              <w:t xml:space="preserve">Category 4 (less urgent “assess, treat, </w:t>
            </w:r>
            <w:r>
              <w:rPr>
                <w:rFonts w:eastAsia="Calibri" w:cs="Arial"/>
                <w:bCs w:val="0"/>
                <w:sz w:val="20"/>
                <w:szCs w:val="20"/>
              </w:rPr>
              <w:t>transport”</w:t>
            </w:r>
            <w:r w:rsidRPr="007A36E6">
              <w:rPr>
                <w:rFonts w:eastAsia="Calibri" w:cs="Arial"/>
                <w:bCs w:val="0"/>
                <w:sz w:val="20"/>
                <w:szCs w:val="20"/>
              </w:rPr>
              <w:t xml:space="preserve"> i</w:t>
            </w:r>
            <w:r>
              <w:rPr>
                <w:rFonts w:eastAsia="Calibri" w:cs="Arial"/>
                <w:bCs w:val="0"/>
                <w:sz w:val="20"/>
                <w:szCs w:val="20"/>
              </w:rPr>
              <w:t xml:space="preserve">ncidents only) – proportion of </w:t>
            </w:r>
            <w:r w:rsidRPr="007A36E6">
              <w:rPr>
                <w:rFonts w:eastAsia="Calibri" w:cs="Arial"/>
                <w:bCs w:val="0"/>
                <w:sz w:val="20"/>
                <w:szCs w:val="20"/>
              </w:rPr>
              <w:t>incidents resulting in an appropriate respo</w:t>
            </w:r>
            <w:r>
              <w:rPr>
                <w:rFonts w:eastAsia="Calibri" w:cs="Arial"/>
                <w:bCs w:val="0"/>
                <w:sz w:val="20"/>
                <w:szCs w:val="20"/>
              </w:rPr>
              <w:t>nse arriving within 180 minutes</w:t>
            </w: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6239D" w:rsidRPr="00492E53" w:rsidRDefault="0036239D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</w:tbl>
    <w:p w:rsidR="0036239D" w:rsidRDefault="0036239D" w:rsidP="007A36E6">
      <w:pPr>
        <w:rPr>
          <w:rFonts w:eastAsia="Calibri" w:cs="Arial"/>
          <w:b/>
          <w:bCs w:val="0"/>
          <w:sz w:val="20"/>
          <w:szCs w:val="20"/>
        </w:rPr>
      </w:pPr>
    </w:p>
    <w:p w:rsidR="00384344" w:rsidRDefault="00384344" w:rsidP="007A36E6">
      <w:pPr>
        <w:rPr>
          <w:rFonts w:eastAsia="Calibri" w:cs="Arial"/>
          <w:b/>
          <w:bCs w:val="0"/>
          <w:sz w:val="20"/>
          <w:szCs w:val="20"/>
        </w:rPr>
      </w:pPr>
    </w:p>
    <w:p w:rsidR="00384344" w:rsidRPr="00384344" w:rsidRDefault="00384344" w:rsidP="00384344">
      <w:pPr>
        <w:rPr>
          <w:rFonts w:eastAsia="Calibri" w:cs="Arial"/>
          <w:bCs w:val="0"/>
          <w:sz w:val="20"/>
          <w:szCs w:val="20"/>
          <w:u w:val="single"/>
        </w:rPr>
      </w:pPr>
      <w:r w:rsidRPr="00384344">
        <w:rPr>
          <w:rFonts w:eastAsia="Calibri" w:cs="Arial"/>
          <w:bCs w:val="0"/>
          <w:sz w:val="20"/>
          <w:szCs w:val="20"/>
          <w:u w:val="single"/>
        </w:rPr>
        <w:t>National Quality Requirements</w:t>
      </w:r>
    </w:p>
    <w:p w:rsidR="0036239D" w:rsidRDefault="0036239D" w:rsidP="007A36E6">
      <w:pPr>
        <w:rPr>
          <w:rFonts w:eastAsia="Calibri" w:cs="Arial"/>
          <w:b/>
          <w:bCs w:val="0"/>
          <w:sz w:val="20"/>
          <w:szCs w:val="20"/>
        </w:rPr>
      </w:pPr>
      <w:bookmarkStart w:id="0" w:name="_GoBack"/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Schedule 4B National Quality Requirements"/>
      </w:tblPr>
      <w:tblGrid>
        <w:gridCol w:w="7088"/>
        <w:gridCol w:w="567"/>
        <w:gridCol w:w="709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567"/>
      </w:tblGrid>
      <w:tr w:rsidR="00384344" w:rsidRPr="00492E53" w:rsidTr="0016017C">
        <w:tc>
          <w:tcPr>
            <w:tcW w:w="7088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Standard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Apr</w:t>
            </w: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May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Jun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Jul</w:t>
            </w:r>
          </w:p>
        </w:tc>
        <w:tc>
          <w:tcPr>
            <w:tcW w:w="708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Aug</w:t>
            </w: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Sep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Oct</w:t>
            </w: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Nov</w:t>
            </w: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Dec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Jan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 w:rsidRPr="00492E53"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Feb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jc w:val="center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  <w:t>Mar</w:t>
            </w:r>
          </w:p>
        </w:tc>
      </w:tr>
      <w:tr w:rsidR="00384344" w:rsidRPr="00492E53" w:rsidTr="0016017C">
        <w:tc>
          <w:tcPr>
            <w:tcW w:w="7088" w:type="dxa"/>
          </w:tcPr>
          <w:p w:rsidR="00384344" w:rsidRPr="0036239D" w:rsidRDefault="00704EEF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>
              <w:rPr>
                <w:rFonts w:eastAsia="Calibri" w:cs="Arial"/>
                <w:bCs w:val="0"/>
                <w:sz w:val="20"/>
                <w:szCs w:val="20"/>
              </w:rPr>
              <w:t>Percentage of h</w:t>
            </w:r>
            <w:r w:rsidR="00384344" w:rsidRPr="0036239D">
              <w:rPr>
                <w:rFonts w:eastAsia="Calibri" w:cs="Arial"/>
                <w:bCs w:val="0"/>
                <w:sz w:val="20"/>
                <w:szCs w:val="20"/>
              </w:rPr>
              <w:t xml:space="preserve">andovers between ambulance and A&amp;E </w:t>
            </w:r>
            <w:r w:rsidR="002A5D95">
              <w:rPr>
                <w:rFonts w:eastAsia="Calibri" w:cs="Arial"/>
                <w:bCs w:val="0"/>
                <w:sz w:val="20"/>
                <w:szCs w:val="20"/>
              </w:rPr>
              <w:t>which take place within 15 minutes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2A5D95" w:rsidRPr="00492E53" w:rsidTr="0016017C">
        <w:tc>
          <w:tcPr>
            <w:tcW w:w="7088" w:type="dxa"/>
          </w:tcPr>
          <w:p w:rsidR="002A5D95" w:rsidRPr="0036239D" w:rsidRDefault="002A5D95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2A5D95">
              <w:rPr>
                <w:rFonts w:eastAsia="Calibri" w:cs="Arial"/>
                <w:bCs w:val="0"/>
                <w:sz w:val="20"/>
                <w:szCs w:val="20"/>
              </w:rPr>
              <w:t>Percentage of handovers between ambulance an</w:t>
            </w:r>
            <w:r>
              <w:rPr>
                <w:rFonts w:eastAsia="Calibri" w:cs="Arial"/>
                <w:bCs w:val="0"/>
                <w:sz w:val="20"/>
                <w:szCs w:val="20"/>
              </w:rPr>
              <w:t>d A&amp;E which take place after 15 minutes but within 30</w:t>
            </w:r>
            <w:r w:rsidRPr="002A5D95">
              <w:rPr>
                <w:rFonts w:eastAsia="Calibri" w:cs="Arial"/>
                <w:bCs w:val="0"/>
                <w:sz w:val="20"/>
                <w:szCs w:val="20"/>
              </w:rPr>
              <w:t xml:space="preserve"> minutes</w:t>
            </w: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tr w:rsidR="002A5D95" w:rsidRPr="00492E53" w:rsidTr="0016017C">
        <w:tc>
          <w:tcPr>
            <w:tcW w:w="7088" w:type="dxa"/>
          </w:tcPr>
          <w:p w:rsidR="002A5D95" w:rsidRPr="0036239D" w:rsidRDefault="002A5D95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2A5D95">
              <w:rPr>
                <w:rFonts w:eastAsia="Calibri" w:cs="Arial"/>
                <w:bCs w:val="0"/>
                <w:sz w:val="20"/>
                <w:szCs w:val="20"/>
              </w:rPr>
              <w:t>Percentage of handovers between ambulance and A&amp;E wh</w:t>
            </w:r>
            <w:r>
              <w:rPr>
                <w:rFonts w:eastAsia="Calibri" w:cs="Arial"/>
                <w:bCs w:val="0"/>
                <w:sz w:val="20"/>
                <w:szCs w:val="20"/>
              </w:rPr>
              <w:t>ich take place after 30 minutes but within 60 minutes</w:t>
            </w: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2A5D95" w:rsidRPr="00492E53" w:rsidRDefault="002A5D95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  <w:bookmarkEnd w:id="0"/>
      <w:tr w:rsidR="00384344" w:rsidRPr="00492E53" w:rsidTr="002A5D95">
        <w:trPr>
          <w:trHeight w:val="349"/>
        </w:trPr>
        <w:tc>
          <w:tcPr>
            <w:tcW w:w="7088" w:type="dxa"/>
          </w:tcPr>
          <w:p w:rsidR="00384344" w:rsidRPr="0036239D" w:rsidRDefault="002A5D95" w:rsidP="00384344">
            <w:pPr>
              <w:spacing w:before="40" w:after="40"/>
              <w:rPr>
                <w:rFonts w:eastAsia="Calibri" w:cs="Arial"/>
                <w:bCs w:val="0"/>
                <w:sz w:val="20"/>
                <w:szCs w:val="20"/>
              </w:rPr>
            </w:pPr>
            <w:r w:rsidRPr="002A5D95">
              <w:rPr>
                <w:rFonts w:eastAsia="Calibri" w:cs="Arial"/>
                <w:bCs w:val="0"/>
                <w:sz w:val="20"/>
                <w:szCs w:val="20"/>
              </w:rPr>
              <w:t>Percentage of handovers between ambulance and A&amp;E which take p</w:t>
            </w:r>
            <w:r>
              <w:rPr>
                <w:rFonts w:eastAsia="Calibri" w:cs="Arial"/>
                <w:bCs w:val="0"/>
                <w:sz w:val="20"/>
                <w:szCs w:val="20"/>
              </w:rPr>
              <w:t>lace after</w:t>
            </w:r>
            <w:r w:rsidRPr="002A5D95">
              <w:rPr>
                <w:rFonts w:eastAsia="Calibri" w:cs="Arial"/>
                <w:bCs w:val="0"/>
                <w:sz w:val="20"/>
                <w:szCs w:val="20"/>
              </w:rPr>
              <w:t xml:space="preserve"> 60 minutes</w:t>
            </w: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8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67" w:type="dxa"/>
          </w:tcPr>
          <w:p w:rsidR="00384344" w:rsidRPr="00492E53" w:rsidRDefault="00384344" w:rsidP="00384344">
            <w:pPr>
              <w:spacing w:before="40" w:after="40"/>
              <w:rPr>
                <w:rFonts w:eastAsia="MS Mincho" w:cs="Arial"/>
                <w:bCs w:val="0"/>
                <w:sz w:val="20"/>
                <w:szCs w:val="20"/>
                <w:lang w:val="en-US" w:eastAsia="ja-JP"/>
              </w:rPr>
            </w:pPr>
          </w:p>
        </w:tc>
      </w:tr>
    </w:tbl>
    <w:p w:rsidR="00384344" w:rsidRDefault="00384344" w:rsidP="007A36E6">
      <w:pPr>
        <w:rPr>
          <w:rFonts w:eastAsia="Calibri" w:cs="Arial"/>
          <w:b/>
          <w:bCs w:val="0"/>
          <w:sz w:val="20"/>
          <w:szCs w:val="20"/>
        </w:rPr>
      </w:pPr>
    </w:p>
    <w:p w:rsidR="00384344" w:rsidRDefault="00384344" w:rsidP="007A36E6">
      <w:pPr>
        <w:rPr>
          <w:rFonts w:eastAsia="Calibri" w:cs="Arial"/>
          <w:b/>
          <w:bCs w:val="0"/>
          <w:sz w:val="20"/>
          <w:szCs w:val="20"/>
        </w:rPr>
      </w:pPr>
    </w:p>
    <w:p w:rsidR="00704EEF" w:rsidRDefault="00704EEF">
      <w:pPr>
        <w:spacing w:after="160" w:line="259" w:lineRule="auto"/>
        <w:rPr>
          <w:rFonts w:eastAsia="Calibri" w:cs="Arial"/>
          <w:b/>
          <w:bCs w:val="0"/>
          <w:sz w:val="20"/>
          <w:szCs w:val="20"/>
        </w:rPr>
      </w:pPr>
      <w:r>
        <w:rPr>
          <w:rFonts w:eastAsia="Calibri" w:cs="Arial"/>
          <w:b/>
          <w:bCs w:val="0"/>
          <w:sz w:val="20"/>
          <w:szCs w:val="20"/>
        </w:rPr>
        <w:br w:type="page"/>
      </w:r>
    </w:p>
    <w:p w:rsidR="00581C96" w:rsidRPr="006B1775" w:rsidRDefault="00581C96" w:rsidP="00581C96">
      <w:pPr>
        <w:rPr>
          <w:rFonts w:eastAsia="Calibri" w:cs="Arial"/>
          <w:b/>
          <w:bCs w:val="0"/>
          <w:sz w:val="20"/>
          <w:szCs w:val="20"/>
        </w:rPr>
      </w:pPr>
      <w:r>
        <w:rPr>
          <w:rFonts w:eastAsia="Calibri" w:cs="Arial"/>
          <w:b/>
          <w:bCs w:val="0"/>
          <w:sz w:val="20"/>
          <w:szCs w:val="20"/>
        </w:rPr>
        <w:t>Assurance S</w:t>
      </w:r>
      <w:r w:rsidRPr="006B1775">
        <w:rPr>
          <w:rFonts w:eastAsia="Calibri" w:cs="Arial"/>
          <w:b/>
          <w:bCs w:val="0"/>
          <w:sz w:val="20"/>
          <w:szCs w:val="20"/>
        </w:rPr>
        <w:t>tatements</w:t>
      </w:r>
    </w:p>
    <w:p w:rsidR="00581C96" w:rsidRDefault="00581C96" w:rsidP="00581C96">
      <w:pPr>
        <w:rPr>
          <w:rFonts w:eastAsia="Calibri" w:cs="Arial"/>
          <w:bCs w:val="0"/>
          <w:sz w:val="20"/>
          <w:szCs w:val="20"/>
        </w:rPr>
      </w:pPr>
    </w:p>
    <w:p w:rsidR="00581C96" w:rsidRPr="006B1775" w:rsidRDefault="00581C96" w:rsidP="00581C96">
      <w:pPr>
        <w:rPr>
          <w:rFonts w:eastAsia="Calibri" w:cs="Arial"/>
          <w:bCs w:val="0"/>
          <w:sz w:val="20"/>
          <w:szCs w:val="20"/>
        </w:rPr>
      </w:pPr>
      <w:r>
        <w:rPr>
          <w:rFonts w:eastAsia="Calibri" w:cs="Arial"/>
          <w:bCs w:val="0"/>
          <w:sz w:val="20"/>
          <w:szCs w:val="20"/>
        </w:rPr>
        <w:t>In line with the assurance statements</w:t>
      </w:r>
      <w:r w:rsidRPr="006B1775">
        <w:rPr>
          <w:rFonts w:eastAsia="Calibri" w:cs="Arial"/>
          <w:bCs w:val="0"/>
          <w:sz w:val="20"/>
          <w:szCs w:val="20"/>
        </w:rPr>
        <w:t xml:space="preserve"> </w:t>
      </w:r>
      <w:r>
        <w:rPr>
          <w:rFonts w:eastAsia="Calibri" w:cs="Arial"/>
          <w:bCs w:val="0"/>
          <w:sz w:val="20"/>
          <w:szCs w:val="20"/>
        </w:rPr>
        <w:t xml:space="preserve">it has given </w:t>
      </w:r>
      <w:r w:rsidRPr="006B1775">
        <w:rPr>
          <w:rFonts w:eastAsia="Calibri" w:cs="Arial"/>
          <w:bCs w:val="0"/>
          <w:sz w:val="20"/>
          <w:szCs w:val="20"/>
        </w:rPr>
        <w:t>to</w:t>
      </w:r>
      <w:r w:rsidR="00384344">
        <w:rPr>
          <w:rFonts w:eastAsia="Calibri" w:cs="Arial"/>
          <w:bCs w:val="0"/>
          <w:sz w:val="20"/>
          <w:szCs w:val="20"/>
        </w:rPr>
        <w:t xml:space="preserve"> NHS Improvement</w:t>
      </w:r>
      <w:r>
        <w:rPr>
          <w:rFonts w:eastAsia="Calibri" w:cs="Arial"/>
          <w:bCs w:val="0"/>
          <w:sz w:val="20"/>
          <w:szCs w:val="20"/>
        </w:rPr>
        <w:t>, the Provider undertakes</w:t>
      </w:r>
      <w:r w:rsidRPr="006B1775">
        <w:rPr>
          <w:rFonts w:eastAsia="Calibri" w:cs="Arial"/>
          <w:bCs w:val="0"/>
          <w:sz w:val="20"/>
          <w:szCs w:val="20"/>
        </w:rPr>
        <w:t xml:space="preserve"> </w:t>
      </w:r>
      <w:r>
        <w:rPr>
          <w:rFonts w:eastAsia="Calibri" w:cs="Arial"/>
          <w:bCs w:val="0"/>
          <w:sz w:val="20"/>
          <w:szCs w:val="20"/>
        </w:rPr>
        <w:t>that it will use all reasonable endeavours to achieve in full the following Operational Standards and National Quality Requirements</w:t>
      </w:r>
      <w:r w:rsidR="00384344">
        <w:rPr>
          <w:rFonts w:eastAsia="Calibri" w:cs="Arial"/>
          <w:bCs w:val="0"/>
          <w:sz w:val="20"/>
          <w:szCs w:val="20"/>
        </w:rPr>
        <w:t xml:space="preserve"> on an ongoing basis during 2019/20</w:t>
      </w:r>
      <w:r>
        <w:rPr>
          <w:rFonts w:eastAsia="Calibri" w:cs="Arial"/>
          <w:bCs w:val="0"/>
          <w:sz w:val="20"/>
          <w:szCs w:val="20"/>
        </w:rPr>
        <w:t>.</w:t>
      </w:r>
    </w:p>
    <w:p w:rsidR="00581C96" w:rsidRPr="006B1775" w:rsidRDefault="00581C96" w:rsidP="00581C96">
      <w:pPr>
        <w:rPr>
          <w:rFonts w:eastAsia="Calibri" w:cs="Arial"/>
          <w:bCs w:val="0"/>
          <w:sz w:val="20"/>
          <w:szCs w:val="20"/>
        </w:rPr>
      </w:pPr>
    </w:p>
    <w:p w:rsidR="00581C96" w:rsidRPr="006A5511" w:rsidRDefault="004A08F1" w:rsidP="00581C96">
      <w:pPr>
        <w:rPr>
          <w:rFonts w:eastAsia="Calibri" w:cs="Arial"/>
          <w:bCs w:val="0"/>
          <w:i/>
          <w:sz w:val="20"/>
          <w:szCs w:val="20"/>
        </w:rPr>
      </w:pPr>
      <w:r>
        <w:rPr>
          <w:rFonts w:eastAsia="Calibri" w:cs="Arial"/>
          <w:bCs w:val="0"/>
          <w:i/>
          <w:sz w:val="20"/>
          <w:szCs w:val="20"/>
        </w:rPr>
        <w:t>[Delete where not applicable</w:t>
      </w:r>
      <w:r w:rsidR="00581C96" w:rsidRPr="006A5511">
        <w:rPr>
          <w:rFonts w:eastAsia="Calibri" w:cs="Arial"/>
          <w:bCs w:val="0"/>
          <w:i/>
          <w:sz w:val="20"/>
          <w:szCs w:val="20"/>
        </w:rPr>
        <w:t xml:space="preserve"> to the Services provided by the Provider]</w:t>
      </w:r>
    </w:p>
    <w:p w:rsidR="00581C96" w:rsidRDefault="00581C96" w:rsidP="00581C96">
      <w:pPr>
        <w:rPr>
          <w:sz w:val="20"/>
          <w:szCs w:val="20"/>
        </w:rPr>
      </w:pPr>
    </w:p>
    <w:p w:rsidR="00581C96" w:rsidRPr="007546C2" w:rsidRDefault="00581C96" w:rsidP="00581C96">
      <w:pPr>
        <w:rPr>
          <w:sz w:val="20"/>
          <w:szCs w:val="20"/>
          <w:u w:val="single"/>
        </w:rPr>
      </w:pPr>
      <w:r w:rsidRPr="007546C2">
        <w:rPr>
          <w:sz w:val="20"/>
          <w:szCs w:val="20"/>
          <w:u w:val="single"/>
        </w:rPr>
        <w:t>Operational Standards</w:t>
      </w:r>
    </w:p>
    <w:p w:rsidR="00581C96" w:rsidRDefault="00581C96" w:rsidP="00581C96">
      <w:pPr>
        <w:rPr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01"/>
      </w:tblGrid>
      <w:tr w:rsidR="00384344" w:rsidRPr="007546C2" w:rsidDel="00364759" w:rsidTr="004A08F1">
        <w:tc>
          <w:tcPr>
            <w:tcW w:w="14601" w:type="dxa"/>
          </w:tcPr>
          <w:p w:rsidR="00384344" w:rsidRPr="007546C2" w:rsidDel="00364759" w:rsidRDefault="00384344" w:rsidP="0016017C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B90C5E">
              <w:rPr>
                <w:sz w:val="20"/>
                <w:szCs w:val="20"/>
                <w:lang w:val="en-US"/>
              </w:rPr>
              <w:t>Care Programme Approach (CPA): The percentage of Service Users under adult mental illness specialties on CPA who were followed up within 7 days of discharge from psychiatric in-patient care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90C5E">
              <w:rPr>
                <w:sz w:val="20"/>
                <w:szCs w:val="20"/>
                <w:lang w:val="en-US"/>
              </w:rPr>
              <w:t>*</w:t>
            </w:r>
          </w:p>
        </w:tc>
      </w:tr>
    </w:tbl>
    <w:p w:rsidR="004A08F1" w:rsidRDefault="004A08F1" w:rsidP="00581C96">
      <w:pPr>
        <w:rPr>
          <w:sz w:val="20"/>
          <w:szCs w:val="20"/>
        </w:rPr>
      </w:pPr>
    </w:p>
    <w:p w:rsidR="00581C96" w:rsidRPr="007546C2" w:rsidRDefault="00581C96" w:rsidP="00581C96">
      <w:pPr>
        <w:rPr>
          <w:sz w:val="20"/>
          <w:szCs w:val="20"/>
          <w:u w:val="single"/>
        </w:rPr>
      </w:pPr>
      <w:r w:rsidRPr="007546C2">
        <w:rPr>
          <w:sz w:val="20"/>
          <w:szCs w:val="20"/>
          <w:u w:val="single"/>
        </w:rPr>
        <w:t>National Quality Requirements</w:t>
      </w:r>
    </w:p>
    <w:p w:rsidR="00384344" w:rsidRDefault="00384344" w:rsidP="00581C96">
      <w:pPr>
        <w:rPr>
          <w:b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01"/>
      </w:tblGrid>
      <w:tr w:rsidR="00704EEF" w:rsidRPr="0036239D" w:rsidTr="0016017C">
        <w:tc>
          <w:tcPr>
            <w:tcW w:w="7088" w:type="dxa"/>
          </w:tcPr>
          <w:p w:rsidR="00704EEF" w:rsidRPr="0036239D" w:rsidRDefault="00704EEF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704EEF">
              <w:rPr>
                <w:rFonts w:eastAsia="Calibri" w:cs="Arial"/>
                <w:bCs w:val="0"/>
                <w:sz w:val="20"/>
                <w:szCs w:val="20"/>
              </w:rPr>
              <w:t>Following handover between ambulance and A &amp; E, ambulance crew should be ready to accept new calls within 15 minutes and no longer than 30 minutes</w:t>
            </w:r>
          </w:p>
        </w:tc>
      </w:tr>
      <w:tr w:rsidR="00704EEF" w:rsidRPr="0036239D" w:rsidTr="0016017C">
        <w:tc>
          <w:tcPr>
            <w:tcW w:w="7088" w:type="dxa"/>
          </w:tcPr>
          <w:p w:rsidR="00704EEF" w:rsidRPr="0036239D" w:rsidRDefault="00704EEF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704EEF">
              <w:rPr>
                <w:rFonts w:eastAsia="Calibri" w:cs="Arial"/>
                <w:bCs w:val="0"/>
                <w:sz w:val="20"/>
                <w:szCs w:val="20"/>
              </w:rPr>
              <w:t>Following handover between ambulance and A&amp;E, ambulance crew should be ready to accept new calls within 15 minutes and no longer than 60 minutes</w:t>
            </w:r>
          </w:p>
        </w:tc>
      </w:tr>
      <w:tr w:rsidR="004A08F1" w:rsidRPr="0036239D" w:rsidTr="0016017C">
        <w:tc>
          <w:tcPr>
            <w:tcW w:w="7088" w:type="dxa"/>
          </w:tcPr>
          <w:p w:rsidR="004A08F1" w:rsidRPr="0036239D" w:rsidRDefault="004A08F1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 xml:space="preserve">Waits </w:t>
            </w:r>
            <w:r>
              <w:rPr>
                <w:rFonts w:eastAsia="Calibri" w:cs="Arial"/>
                <w:bCs w:val="0"/>
                <w:sz w:val="20"/>
                <w:szCs w:val="20"/>
              </w:rPr>
              <w:t>in A&amp;E not longer than 12 hours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VTE risk assessment: all inpatient Service Users und</w:t>
            </w:r>
            <w:r>
              <w:rPr>
                <w:rFonts w:eastAsia="Calibri" w:cs="Arial"/>
                <w:bCs w:val="0"/>
                <w:sz w:val="20"/>
                <w:szCs w:val="20"/>
              </w:rPr>
              <w:t>ergoing risk assessment for VTE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Early Intervention in Psychosis programmes: the percentage of Service Users experiencing a first episode of psychosis or ARMS (at risk mental state) who wait less than two weeks to start a N</w:t>
            </w:r>
            <w:r>
              <w:rPr>
                <w:rFonts w:eastAsia="Calibri" w:cs="Arial"/>
                <w:bCs w:val="0"/>
                <w:sz w:val="20"/>
                <w:szCs w:val="20"/>
              </w:rPr>
              <w:t>ICE-recommended package of care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Improving Access to Psychological Therapies (IAPT) programmes: the percentage of Service Users referred to an IAPT programme who wait six weeks or less from referral to ente</w:t>
            </w:r>
            <w:r>
              <w:rPr>
                <w:rFonts w:eastAsia="Calibri" w:cs="Arial"/>
                <w:bCs w:val="0"/>
                <w:sz w:val="20"/>
                <w:szCs w:val="20"/>
              </w:rPr>
              <w:t>ring a course of IAPT treatment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Improving Access to Psychological Therapies (IAPT) programmes: the percentage of Service Users referred to an IAPT programme who wait 18 weeks or less from referral to ente</w:t>
            </w:r>
            <w:r>
              <w:rPr>
                <w:rFonts w:eastAsia="Calibri" w:cs="Arial"/>
                <w:bCs w:val="0"/>
                <w:sz w:val="20"/>
                <w:szCs w:val="20"/>
              </w:rPr>
              <w:t>ring a course of IAPT treatment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 xml:space="preserve">Full implementation of an effective e-Prescribing system for chemotherapy across all relevant clinical teams within the Provider (other than those dealing with children, teenagers and young </w:t>
            </w:r>
            <w:r>
              <w:rPr>
                <w:rFonts w:eastAsia="Calibri" w:cs="Arial"/>
                <w:bCs w:val="0"/>
                <w:sz w:val="20"/>
                <w:szCs w:val="20"/>
              </w:rPr>
              <w:t>adults) across all tumour sites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Full implementation of an effective e-Prescribing system for chemotherapy across all relevant clinical teams within the Provider dealing with children, teenagers and young</w:t>
            </w:r>
            <w:r>
              <w:rPr>
                <w:rFonts w:eastAsia="Calibri" w:cs="Arial"/>
                <w:bCs w:val="0"/>
                <w:sz w:val="20"/>
                <w:szCs w:val="20"/>
              </w:rPr>
              <w:t xml:space="preserve"> adults across all tumour sites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Proportion of Service Users presenting as emergencies who undergo sepsis screening and who, where screening is positive, receive IV antibiotic treatme</w:t>
            </w:r>
            <w:r>
              <w:rPr>
                <w:rFonts w:eastAsia="Calibri" w:cs="Arial"/>
                <w:bCs w:val="0"/>
                <w:sz w:val="20"/>
                <w:szCs w:val="20"/>
              </w:rPr>
              <w:t>nt within one hour of diagnosis</w:t>
            </w:r>
          </w:p>
        </w:tc>
      </w:tr>
      <w:tr w:rsidR="00384344" w:rsidRPr="0036239D" w:rsidTr="0016017C">
        <w:tc>
          <w:tcPr>
            <w:tcW w:w="7088" w:type="dxa"/>
          </w:tcPr>
          <w:p w:rsidR="00384344" w:rsidRPr="0036239D" w:rsidRDefault="00384344" w:rsidP="0016017C">
            <w:pPr>
              <w:rPr>
                <w:rFonts w:eastAsia="Calibri" w:cs="Arial"/>
                <w:bCs w:val="0"/>
                <w:sz w:val="20"/>
                <w:szCs w:val="20"/>
              </w:rPr>
            </w:pPr>
            <w:r w:rsidRPr="0036239D">
              <w:rPr>
                <w:rFonts w:eastAsia="Calibri" w:cs="Arial"/>
                <w:bCs w:val="0"/>
                <w:sz w:val="20"/>
                <w:szCs w:val="20"/>
              </w:rPr>
              <w:t>Proportion of Service User inpatients who undergo sepsis screening and who, where screening is positive, receive IV antibiotic treatment within one hour of diagnosis</w:t>
            </w:r>
          </w:p>
        </w:tc>
      </w:tr>
    </w:tbl>
    <w:p w:rsidR="00384344" w:rsidRDefault="00581C96" w:rsidP="00581C9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81C96" w:rsidRPr="00492E53" w:rsidRDefault="00581C96" w:rsidP="00581C96">
      <w:pPr>
        <w:rPr>
          <w:b/>
          <w:sz w:val="20"/>
          <w:szCs w:val="20"/>
        </w:rPr>
      </w:pPr>
      <w:r w:rsidRPr="00492E53">
        <w:rPr>
          <w:b/>
          <w:sz w:val="20"/>
          <w:szCs w:val="20"/>
        </w:rPr>
        <w:t>Assumptions under</w:t>
      </w:r>
      <w:r w:rsidR="004A08F1">
        <w:rPr>
          <w:b/>
          <w:sz w:val="20"/>
          <w:szCs w:val="20"/>
        </w:rPr>
        <w:t xml:space="preserve">pinning Performance </w:t>
      </w:r>
      <w:r w:rsidRPr="00492E53">
        <w:rPr>
          <w:b/>
          <w:sz w:val="20"/>
          <w:szCs w:val="20"/>
        </w:rPr>
        <w:t>Trajectories and Assurance Statements</w:t>
      </w:r>
    </w:p>
    <w:p w:rsidR="00581C96" w:rsidRPr="00492E53" w:rsidRDefault="00581C96" w:rsidP="00581C96">
      <w:pPr>
        <w:rPr>
          <w:sz w:val="20"/>
          <w:szCs w:val="20"/>
        </w:rPr>
      </w:pPr>
    </w:p>
    <w:p w:rsidR="00581C96" w:rsidRDefault="00581C96" w:rsidP="00581C96">
      <w:pPr>
        <w:rPr>
          <w:sz w:val="20"/>
          <w:szCs w:val="20"/>
        </w:rPr>
      </w:pPr>
      <w:r>
        <w:rPr>
          <w:sz w:val="20"/>
          <w:szCs w:val="20"/>
        </w:rPr>
        <w:t xml:space="preserve">Include below any assumptions, jointly agreed between the Provider and its Commissioners, which underpin the </w:t>
      </w:r>
      <w:r w:rsidR="004A08F1">
        <w:rPr>
          <w:sz w:val="20"/>
          <w:szCs w:val="20"/>
        </w:rPr>
        <w:t xml:space="preserve">Performance </w:t>
      </w:r>
      <w:r>
        <w:rPr>
          <w:sz w:val="20"/>
          <w:szCs w:val="20"/>
        </w:rPr>
        <w:t>Trajectories and Assurance Statements set out above.</w:t>
      </w:r>
    </w:p>
    <w:p w:rsidR="0066230E" w:rsidRDefault="0066230E" w:rsidP="00581C96">
      <w:pPr>
        <w:rPr>
          <w:sz w:val="20"/>
          <w:szCs w:val="20"/>
        </w:rPr>
      </w:pPr>
    </w:p>
    <w:p w:rsidR="0066230E" w:rsidRPr="00492E53" w:rsidRDefault="0066230E" w:rsidP="00581C96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Include below any assumptions, jointly agreed between the Provider and its Commissioners, which underpin the Trajectories and Assurance Statements set out above"/>
      </w:tblPr>
      <w:tblGrid>
        <w:gridCol w:w="13840"/>
      </w:tblGrid>
      <w:tr w:rsidR="00581C96" w:rsidRPr="00492E53" w:rsidTr="0066230E">
        <w:trPr>
          <w:tblHeader/>
        </w:trPr>
        <w:tc>
          <w:tcPr>
            <w:tcW w:w="13840" w:type="dxa"/>
          </w:tcPr>
          <w:p w:rsidR="00581C96" w:rsidRPr="00492E53" w:rsidRDefault="00581C96" w:rsidP="0016017C">
            <w:pPr>
              <w:rPr>
                <w:sz w:val="20"/>
                <w:szCs w:val="20"/>
              </w:rPr>
            </w:pPr>
          </w:p>
          <w:p w:rsidR="00581C96" w:rsidRPr="00492E53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66230E" w:rsidRDefault="0066230E" w:rsidP="0016017C">
            <w:pPr>
              <w:rPr>
                <w:sz w:val="20"/>
                <w:szCs w:val="20"/>
              </w:rPr>
            </w:pPr>
          </w:p>
          <w:p w:rsidR="0066230E" w:rsidRDefault="0066230E" w:rsidP="0016017C">
            <w:pPr>
              <w:rPr>
                <w:sz w:val="20"/>
                <w:szCs w:val="20"/>
              </w:rPr>
            </w:pPr>
          </w:p>
          <w:p w:rsidR="0066230E" w:rsidRDefault="0066230E" w:rsidP="0016017C">
            <w:pPr>
              <w:rPr>
                <w:sz w:val="20"/>
                <w:szCs w:val="20"/>
              </w:rPr>
            </w:pPr>
          </w:p>
          <w:p w:rsidR="00581C96" w:rsidRDefault="00581C96" w:rsidP="0016017C">
            <w:pPr>
              <w:rPr>
                <w:sz w:val="20"/>
                <w:szCs w:val="20"/>
              </w:rPr>
            </w:pPr>
          </w:p>
          <w:p w:rsidR="00581C96" w:rsidRPr="00492E53" w:rsidRDefault="00581C96" w:rsidP="0016017C">
            <w:pPr>
              <w:rPr>
                <w:sz w:val="20"/>
                <w:szCs w:val="20"/>
              </w:rPr>
            </w:pPr>
          </w:p>
        </w:tc>
      </w:tr>
    </w:tbl>
    <w:p w:rsidR="007136BE" w:rsidRDefault="007136BE" w:rsidP="005D4D55"/>
    <w:sectPr w:rsidR="007136BE" w:rsidSect="004A08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A1" w:rsidRDefault="00A778A1" w:rsidP="0066230E">
      <w:r>
        <w:separator/>
      </w:r>
    </w:p>
  </w:endnote>
  <w:endnote w:type="continuationSeparator" w:id="0">
    <w:p w:rsidR="00A778A1" w:rsidRDefault="00A778A1" w:rsidP="006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05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2A4" w:rsidRDefault="005518E4">
        <w:pPr>
          <w:pStyle w:val="Footer"/>
          <w:jc w:val="right"/>
        </w:pPr>
      </w:p>
      <w:sdt>
        <w:sdtPr>
          <w:id w:val="155381346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D12A4" w:rsidRDefault="0066230E" w:rsidP="00883290">
            <w:pPr>
              <w:pStyle w:val="Footer"/>
              <w:ind w:left="-426"/>
            </w:pPr>
            <w:r w:rsidRPr="00CA12CF">
              <w:rPr>
                <w:highlight w:val="yellow"/>
              </w:rPr>
              <w:t>Yellow highlighting</w:t>
            </w:r>
            <w:r>
              <w:t xml:space="preserve"> indicates that text has been significantly updated from 2015/16.</w:t>
            </w:r>
          </w:p>
          <w:p w:rsidR="00FD12A4" w:rsidRDefault="0066230E" w:rsidP="00883290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130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FD12A4" w:rsidRDefault="00551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A1" w:rsidRDefault="00A778A1" w:rsidP="0066230E">
      <w:r>
        <w:separator/>
      </w:r>
    </w:p>
  </w:footnote>
  <w:footnote w:type="continuationSeparator" w:id="0">
    <w:p w:rsidR="00A778A1" w:rsidRDefault="00A778A1" w:rsidP="0066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71D"/>
    <w:multiLevelType w:val="multilevel"/>
    <w:tmpl w:val="352640C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Gparagraphs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E706936"/>
    <w:multiLevelType w:val="hybridMultilevel"/>
    <w:tmpl w:val="0EBE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vlJc w:val="left"/>
        <w:pPr>
          <w:ind w:left="851" w:hanging="851"/>
        </w:pPr>
        <w:rPr>
          <w:rFonts w:hint="default"/>
          <w:color w:val="ED7D31" w:themeColor="accent2"/>
          <w:sz w:val="28"/>
          <w:szCs w:val="28"/>
        </w:rPr>
      </w:lvl>
    </w:lvlOverride>
    <w:lvlOverride w:ilvl="1">
      <w:lvl w:ilvl="1">
        <w:start w:val="1"/>
        <w:numFmt w:val="decimal"/>
        <w:pStyle w:val="TGparagraphs"/>
        <w:lvlText w:val="%1.%2"/>
        <w:lvlJc w:val="left"/>
        <w:pPr>
          <w:ind w:left="851" w:hanging="851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6"/>
    <w:rsid w:val="00025A35"/>
    <w:rsid w:val="000355AB"/>
    <w:rsid w:val="0012759F"/>
    <w:rsid w:val="002A5D95"/>
    <w:rsid w:val="0036239D"/>
    <w:rsid w:val="00384344"/>
    <w:rsid w:val="0046435B"/>
    <w:rsid w:val="004A08F1"/>
    <w:rsid w:val="005518E4"/>
    <w:rsid w:val="00581C96"/>
    <w:rsid w:val="005D4D55"/>
    <w:rsid w:val="00621FC4"/>
    <w:rsid w:val="0066230E"/>
    <w:rsid w:val="006A4A95"/>
    <w:rsid w:val="00704EEF"/>
    <w:rsid w:val="007136BE"/>
    <w:rsid w:val="007A36E6"/>
    <w:rsid w:val="00814D07"/>
    <w:rsid w:val="00A778A1"/>
    <w:rsid w:val="00CC1787"/>
    <w:rsid w:val="00E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E6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C96"/>
    <w:pPr>
      <w:outlineLvl w:val="0"/>
    </w:pPr>
    <w:rPr>
      <w:rFonts w:cs="Arial"/>
      <w:b/>
      <w:color w:val="0072C6"/>
      <w:kern w:val="3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C96"/>
    <w:rPr>
      <w:rFonts w:ascii="Arial" w:eastAsia="Times New Roman" w:hAnsi="Arial" w:cs="Arial"/>
      <w:b/>
      <w:bCs/>
      <w:color w:val="0072C6"/>
      <w:kern w:val="32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96"/>
    <w:rPr>
      <w:rFonts w:ascii="Arial" w:eastAsia="Times New Roman" w:hAnsi="Arial" w:cs="Times New Roman"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1C96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81C96"/>
    <w:rPr>
      <w:b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81C96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styleId="Hyperlink">
    <w:name w:val="Hyperlink"/>
    <w:uiPriority w:val="99"/>
    <w:unhideWhenUsed/>
    <w:rsid w:val="00581C96"/>
    <w:rPr>
      <w:color w:val="0000FF"/>
      <w:u w:val="single"/>
    </w:rPr>
  </w:style>
  <w:style w:type="table" w:styleId="TableGrid">
    <w:name w:val="Table Grid"/>
    <w:basedOn w:val="TableNormal"/>
    <w:uiPriority w:val="59"/>
    <w:rsid w:val="00581C9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81C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1C96"/>
    <w:rPr>
      <w:rFonts w:ascii="Arial" w:eastAsia="Times New Roman" w:hAnsi="Arial" w:cs="Times New Roman"/>
      <w:bCs/>
      <w:sz w:val="24"/>
      <w:szCs w:val="26"/>
    </w:rPr>
  </w:style>
  <w:style w:type="paragraph" w:customStyle="1" w:styleId="TGparagraphs">
    <w:name w:val="TG paragraphs"/>
    <w:basedOn w:val="ListParagraph"/>
    <w:qFormat/>
    <w:rsid w:val="00581C96"/>
    <w:pPr>
      <w:numPr>
        <w:ilvl w:val="1"/>
        <w:numId w:val="1"/>
      </w:numPr>
      <w:tabs>
        <w:tab w:val="num" w:pos="360"/>
      </w:tabs>
      <w:ind w:left="720" w:firstLine="0"/>
    </w:pPr>
    <w:rPr>
      <w:rFonts w:cs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C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0E"/>
    <w:rPr>
      <w:rFonts w:ascii="Arial" w:eastAsia="Times New Roman" w:hAnsi="Arial" w:cs="Times New Roman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E6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C96"/>
    <w:pPr>
      <w:outlineLvl w:val="0"/>
    </w:pPr>
    <w:rPr>
      <w:rFonts w:cs="Arial"/>
      <w:b/>
      <w:color w:val="0072C6"/>
      <w:kern w:val="3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C96"/>
    <w:rPr>
      <w:rFonts w:ascii="Arial" w:eastAsia="Times New Roman" w:hAnsi="Arial" w:cs="Arial"/>
      <w:b/>
      <w:bCs/>
      <w:color w:val="0072C6"/>
      <w:kern w:val="32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96"/>
    <w:rPr>
      <w:rFonts w:ascii="Arial" w:eastAsia="Times New Roman" w:hAnsi="Arial" w:cs="Times New Roman"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1C96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81C96"/>
    <w:rPr>
      <w:b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81C96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styleId="Hyperlink">
    <w:name w:val="Hyperlink"/>
    <w:uiPriority w:val="99"/>
    <w:unhideWhenUsed/>
    <w:rsid w:val="00581C96"/>
    <w:rPr>
      <w:color w:val="0000FF"/>
      <w:u w:val="single"/>
    </w:rPr>
  </w:style>
  <w:style w:type="table" w:styleId="TableGrid">
    <w:name w:val="Table Grid"/>
    <w:basedOn w:val="TableNormal"/>
    <w:uiPriority w:val="59"/>
    <w:rsid w:val="00581C9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81C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1C96"/>
    <w:rPr>
      <w:rFonts w:ascii="Arial" w:eastAsia="Times New Roman" w:hAnsi="Arial" w:cs="Times New Roman"/>
      <w:bCs/>
      <w:sz w:val="24"/>
      <w:szCs w:val="26"/>
    </w:rPr>
  </w:style>
  <w:style w:type="paragraph" w:customStyle="1" w:styleId="TGparagraphs">
    <w:name w:val="TG paragraphs"/>
    <w:basedOn w:val="ListParagraph"/>
    <w:qFormat/>
    <w:rsid w:val="00581C96"/>
    <w:pPr>
      <w:numPr>
        <w:ilvl w:val="1"/>
        <w:numId w:val="1"/>
      </w:numPr>
      <w:tabs>
        <w:tab w:val="num" w:pos="360"/>
      </w:tabs>
      <w:ind w:left="720" w:firstLine="0"/>
    </w:pPr>
    <w:rPr>
      <w:rFonts w:cs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C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0E"/>
    <w:rPr>
      <w:rFonts w:ascii="Arial" w:eastAsia="Times New Roman" w:hAnsi="Arial" w:cs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scb.contractshelp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3FC6-BF4E-4926-AD3A-26C44C04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2019-03-06T14:45:00Z</dcterms:created>
  <dcterms:modified xsi:type="dcterms:W3CDTF">2019-03-06T14:45:00Z</dcterms:modified>
</cp:coreProperties>
</file>