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E3C82" w:rsidRPr="00711A32" w:rsidRDefault="00711A32" w:rsidP="00775507">
      <w:pPr>
        <w:jc w:val="center"/>
        <w:rPr>
          <w:rFonts w:asciiTheme="majorHAnsi" w:eastAsiaTheme="majorEastAsia" w:hAnsiTheme="majorHAnsi" w:cstheme="majorBidi"/>
          <w:b/>
          <w:color w:val="2F5496" w:themeColor="accent1" w:themeShade="BF"/>
          <w:sz w:val="28"/>
          <w:szCs w:val="32"/>
        </w:rPr>
      </w:pPr>
      <w:r>
        <w:rPr>
          <w:noProof/>
          <w:sz w:val="20"/>
        </w:rPr>
        <mc:AlternateContent>
          <mc:Choice Requires="wps">
            <w:drawing>
              <wp:anchor distT="0" distB="0" distL="114300" distR="114300" simplePos="0" relativeHeight="251659264" behindDoc="0" locked="0" layoutInCell="1" allowOverlap="1" wp14:anchorId="5DC64DEE" wp14:editId="1BA88180">
                <wp:simplePos x="0" y="0"/>
                <wp:positionH relativeFrom="margin">
                  <wp:align>center</wp:align>
                </wp:positionH>
                <wp:positionV relativeFrom="paragraph">
                  <wp:posOffset>377190</wp:posOffset>
                </wp:positionV>
                <wp:extent cx="6164580" cy="15240"/>
                <wp:effectExtent l="57150" t="19050" r="83820" b="118110"/>
                <wp:wrapNone/>
                <wp:docPr id="19" name="Straight Connector 19"/>
                <wp:cNvGraphicFramePr/>
                <a:graphic xmlns:a="http://schemas.openxmlformats.org/drawingml/2006/main">
                  <a:graphicData uri="http://schemas.microsoft.com/office/word/2010/wordprocessingShape">
                    <wps:wsp>
                      <wps:cNvCnPr/>
                      <wps:spPr>
                        <a:xfrm flipV="1">
                          <a:off x="0" y="0"/>
                          <a:ext cx="6164580" cy="15240"/>
                        </a:xfrm>
                        <a:prstGeom prst="line">
                          <a:avLst/>
                        </a:prstGeom>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7F721" id="Straight Connector 19"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29.7pt" to="485.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" strokecolor="#4472c4 [3204]" strokeweight=".5pt">
                <v:stroke joinstyle="miter"/>
                <v:shadow on="t" color="black" opacity="26214f" origin=",-.5" offset="0,3pt"/>
                <w10:wrap anchorx="margin"/>
              </v:line>
            </w:pict>
          </mc:Fallback>
        </mc:AlternateContent>
      </w:r>
      <w:r w:rsidR="00CD5BC9">
        <w:rPr>
          <w:rFonts w:asciiTheme="majorHAnsi" w:eastAsiaTheme="majorEastAsia" w:hAnsiTheme="majorHAnsi" w:cstheme="majorBidi"/>
          <w:b/>
          <w:color w:val="2F5496" w:themeColor="accent1" w:themeShade="BF"/>
          <w:sz w:val="28"/>
          <w:szCs w:val="32"/>
        </w:rPr>
        <w:t>PSS15 Paediatric Movement Therapy</w:t>
      </w:r>
      <w:r w:rsidR="00775507" w:rsidRPr="00711A32">
        <w:rPr>
          <w:rFonts w:asciiTheme="majorHAnsi" w:eastAsiaTheme="majorEastAsia" w:hAnsiTheme="majorHAnsi" w:cstheme="majorBidi"/>
          <w:b/>
          <w:color w:val="2F5496" w:themeColor="accent1" w:themeShade="BF"/>
          <w:sz w:val="28"/>
          <w:szCs w:val="32"/>
        </w:rPr>
        <w:t xml:space="preserve"> CQUIN Reporting Template 2019-20</w:t>
      </w:r>
    </w:p>
    <w:p w:rsidR="00775507" w:rsidRDefault="00775507" w:rsidP="00775507">
      <w:pPr>
        <w:jc w:val="center"/>
        <w:rPr>
          <w:b/>
        </w:rPr>
      </w:pPr>
    </w:p>
    <w:tbl>
      <w:tblPr>
        <w:tblStyle w:val="TableGrid"/>
        <w:tblW w:w="0" w:type="auto"/>
        <w:tblLook w:val="04A0" w:firstRow="1" w:lastRow="0" w:firstColumn="1" w:lastColumn="0" w:noHBand="0" w:noVBand="1"/>
      </w:tblPr>
      <w:tblGrid>
        <w:gridCol w:w="4956"/>
        <w:gridCol w:w="4956"/>
      </w:tblGrid>
      <w:tr w:rsidR="00DB789D" w:rsidTr="00DB789D">
        <w:trPr>
          <w:trHeight w:val="454"/>
        </w:trPr>
        <w:tc>
          <w:tcPr>
            <w:tcW w:w="4956" w:type="dxa"/>
            <w:vAlign w:val="center"/>
          </w:tcPr>
          <w:p w:rsidR="00DB789D" w:rsidRPr="00DB789D" w:rsidRDefault="00DB789D" w:rsidP="00DB789D">
            <w:r>
              <w:t>Provider</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Name of lead in provider completing template</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3283C" w:rsidTr="00DB789D">
        <w:trPr>
          <w:trHeight w:val="454"/>
        </w:trPr>
        <w:tc>
          <w:tcPr>
            <w:tcW w:w="4956" w:type="dxa"/>
            <w:vAlign w:val="center"/>
          </w:tcPr>
          <w:p w:rsidR="00D3283C" w:rsidRDefault="00D3283C" w:rsidP="00DB789D">
            <w:r>
              <w:t>Providers in referral network</w:t>
            </w:r>
          </w:p>
        </w:tc>
        <w:tc>
          <w:tcPr>
            <w:tcW w:w="4956" w:type="dxa"/>
            <w:vAlign w:val="center"/>
          </w:tcPr>
          <w:p w:rsidR="00D3283C" w:rsidRPr="007C4617" w:rsidRDefault="00D3283C" w:rsidP="00DB789D">
            <w:pPr>
              <w:rPr>
                <w:i/>
                <w:color w:val="A6A6A6" w:themeColor="background1" w:themeShade="A6"/>
              </w:rPr>
            </w:pPr>
            <w:r>
              <w:rPr>
                <w:i/>
                <w:color w:val="A6A6A6" w:themeColor="background1" w:themeShade="A6"/>
              </w:rPr>
              <w:t>Enter text</w:t>
            </w:r>
          </w:p>
        </w:tc>
      </w:tr>
      <w:tr w:rsidR="00D3283C" w:rsidTr="00DB789D">
        <w:trPr>
          <w:trHeight w:val="454"/>
        </w:trPr>
        <w:tc>
          <w:tcPr>
            <w:tcW w:w="4956" w:type="dxa"/>
            <w:vAlign w:val="center"/>
          </w:tcPr>
          <w:p w:rsidR="00D3283C" w:rsidRDefault="00D3283C" w:rsidP="00DB789D">
            <w:r>
              <w:t>Regional network</w:t>
            </w:r>
          </w:p>
        </w:tc>
        <w:tc>
          <w:tcPr>
            <w:tcW w:w="4956" w:type="dxa"/>
            <w:vAlign w:val="center"/>
          </w:tcPr>
          <w:p w:rsidR="00D3283C" w:rsidRDefault="00D3283C" w:rsidP="00DB789D">
            <w:pPr>
              <w:rPr>
                <w:i/>
                <w:color w:val="A6A6A6" w:themeColor="background1" w:themeShade="A6"/>
              </w:rPr>
            </w:pPr>
            <w:r>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NHS E Commissioning Team managing contract</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r w:rsidR="00DB789D" w:rsidTr="00DB789D">
        <w:trPr>
          <w:trHeight w:val="454"/>
        </w:trPr>
        <w:tc>
          <w:tcPr>
            <w:tcW w:w="4956" w:type="dxa"/>
            <w:vAlign w:val="center"/>
          </w:tcPr>
          <w:p w:rsidR="00DB789D" w:rsidRPr="00DB789D" w:rsidRDefault="00DB789D" w:rsidP="00DB789D">
            <w:r>
              <w:t>Name of Lead for contract from NHS E Commissioning Team</w:t>
            </w:r>
          </w:p>
        </w:tc>
        <w:tc>
          <w:tcPr>
            <w:tcW w:w="4956" w:type="dxa"/>
            <w:vAlign w:val="center"/>
          </w:tcPr>
          <w:p w:rsidR="00DB789D" w:rsidRPr="00DB789D" w:rsidRDefault="00DB789D" w:rsidP="00DB789D">
            <w:pPr>
              <w:rPr>
                <w:i/>
                <w:color w:val="A6A6A6" w:themeColor="background1" w:themeShade="A6"/>
              </w:rPr>
            </w:pPr>
            <w:r w:rsidRPr="007C4617">
              <w:rPr>
                <w:i/>
                <w:color w:val="A6A6A6" w:themeColor="background1" w:themeShade="A6"/>
              </w:rPr>
              <w:t>Enter text</w:t>
            </w:r>
          </w:p>
        </w:tc>
      </w:tr>
    </w:tbl>
    <w:p w:rsidR="00DB789D" w:rsidRDefault="00DB789D" w:rsidP="00711A32">
      <w:pPr>
        <w:pStyle w:val="Heading2"/>
        <w:rPr>
          <w:b/>
        </w:rPr>
      </w:pPr>
    </w:p>
    <w:p w:rsidR="00711A32" w:rsidRPr="00711A32" w:rsidRDefault="00711A32" w:rsidP="00711A32">
      <w:pPr>
        <w:pStyle w:val="Heading2"/>
        <w:rPr>
          <w:b/>
        </w:rPr>
      </w:pPr>
      <w:r w:rsidRPr="00711A32">
        <w:rPr>
          <w:b/>
        </w:rPr>
        <w:t>Quarter 1</w:t>
      </w:r>
    </w:p>
    <w:tbl>
      <w:tblPr>
        <w:tblStyle w:val="TableGrid"/>
        <w:tblW w:w="10768" w:type="dxa"/>
        <w:tblLook w:val="04A0" w:firstRow="1" w:lastRow="0" w:firstColumn="1" w:lastColumn="0" w:noHBand="0" w:noVBand="1"/>
      </w:tblPr>
      <w:tblGrid>
        <w:gridCol w:w="973"/>
        <w:gridCol w:w="1415"/>
        <w:gridCol w:w="4411"/>
        <w:gridCol w:w="3969"/>
      </w:tblGrid>
      <w:tr w:rsidR="00D7784A" w:rsidTr="00102943">
        <w:tc>
          <w:tcPr>
            <w:tcW w:w="973" w:type="dxa"/>
          </w:tcPr>
          <w:p w:rsidR="00D7784A" w:rsidRDefault="00D7784A" w:rsidP="00C96A7D">
            <w:pPr>
              <w:pStyle w:val="ListParagraph"/>
              <w:ind w:left="0"/>
            </w:pPr>
          </w:p>
        </w:tc>
        <w:tc>
          <w:tcPr>
            <w:tcW w:w="1415" w:type="dxa"/>
          </w:tcPr>
          <w:p w:rsidR="00D7784A" w:rsidRDefault="00D7784A" w:rsidP="00C96A7D">
            <w:pPr>
              <w:pStyle w:val="ListParagraph"/>
              <w:ind w:left="0"/>
            </w:pPr>
          </w:p>
        </w:tc>
        <w:tc>
          <w:tcPr>
            <w:tcW w:w="4411" w:type="dxa"/>
          </w:tcPr>
          <w:p w:rsidR="00D7784A" w:rsidRPr="00C53094" w:rsidRDefault="00D7784A" w:rsidP="00D7784A"/>
        </w:tc>
        <w:tc>
          <w:tcPr>
            <w:tcW w:w="3969" w:type="dxa"/>
          </w:tcPr>
          <w:p w:rsidR="00D7784A" w:rsidRPr="00C53094" w:rsidRDefault="00D7784A" w:rsidP="00D7784A"/>
        </w:tc>
      </w:tr>
      <w:tr w:rsidR="00102943" w:rsidTr="00102943">
        <w:trPr>
          <w:trHeight w:val="450"/>
        </w:trPr>
        <w:tc>
          <w:tcPr>
            <w:tcW w:w="973" w:type="dxa"/>
            <w:vMerge w:val="restart"/>
          </w:tcPr>
          <w:p w:rsidR="00102943" w:rsidRDefault="00102943" w:rsidP="00C96A7D">
            <w:pPr>
              <w:pStyle w:val="ListParagraph"/>
              <w:ind w:left="0"/>
            </w:pPr>
            <w:r>
              <w:t>Trigger 1</w:t>
            </w:r>
          </w:p>
        </w:tc>
        <w:tc>
          <w:tcPr>
            <w:tcW w:w="1415" w:type="dxa"/>
            <w:vMerge w:val="restart"/>
          </w:tcPr>
          <w:p w:rsidR="00102943" w:rsidRDefault="00102943" w:rsidP="00C96A7D">
            <w:pPr>
              <w:pStyle w:val="ListParagraph"/>
              <w:ind w:left="0"/>
            </w:pPr>
            <w:r>
              <w:t>MDT assessment</w:t>
            </w:r>
          </w:p>
        </w:tc>
        <w:tc>
          <w:tcPr>
            <w:tcW w:w="4411" w:type="dxa"/>
            <w:vMerge w:val="restart"/>
          </w:tcPr>
          <w:p w:rsidR="00102943" w:rsidRPr="00C53094" w:rsidRDefault="00102943" w:rsidP="00D7784A">
            <w:r w:rsidRPr="00C53094">
              <w:t xml:space="preserve">Establish a virtual MDT within each network where all children who meet the agreed criteria are assessed within 18 weeks of referral. </w:t>
            </w:r>
          </w:p>
          <w:p w:rsidR="00102943" w:rsidRDefault="00102943" w:rsidP="00D3283C"/>
        </w:tc>
        <w:tc>
          <w:tcPr>
            <w:tcW w:w="3969" w:type="dxa"/>
          </w:tcPr>
          <w:p w:rsidR="00102943" w:rsidRPr="00C53094" w:rsidRDefault="00102943" w:rsidP="00D7784A">
            <w:r>
              <w:t>Describe MDT structure, members, roles &amp; responsibilities</w:t>
            </w:r>
          </w:p>
        </w:tc>
      </w:tr>
      <w:tr w:rsidR="00102943" w:rsidTr="00102943">
        <w:trPr>
          <w:trHeight w:val="2471"/>
        </w:trPr>
        <w:tc>
          <w:tcPr>
            <w:tcW w:w="973" w:type="dxa"/>
            <w:vMerge/>
          </w:tcPr>
          <w:p w:rsidR="00102943" w:rsidRDefault="00102943" w:rsidP="00C96A7D">
            <w:pPr>
              <w:pStyle w:val="ListParagraph"/>
              <w:ind w:left="0"/>
            </w:pPr>
          </w:p>
        </w:tc>
        <w:tc>
          <w:tcPr>
            <w:tcW w:w="1415" w:type="dxa"/>
            <w:vMerge/>
          </w:tcPr>
          <w:p w:rsidR="00102943" w:rsidRDefault="00102943" w:rsidP="00C96A7D">
            <w:pPr>
              <w:pStyle w:val="ListParagraph"/>
              <w:ind w:left="0"/>
            </w:pPr>
          </w:p>
        </w:tc>
        <w:tc>
          <w:tcPr>
            <w:tcW w:w="4411" w:type="dxa"/>
            <w:vMerge/>
          </w:tcPr>
          <w:p w:rsidR="00102943" w:rsidRPr="00C53094" w:rsidRDefault="00102943" w:rsidP="00D7784A"/>
        </w:tc>
        <w:tc>
          <w:tcPr>
            <w:tcW w:w="3969" w:type="dxa"/>
          </w:tcPr>
          <w:p w:rsidR="00102943" w:rsidRPr="00102943" w:rsidRDefault="00102943" w:rsidP="00D7784A">
            <w:pPr>
              <w:rPr>
                <w:i/>
              </w:rPr>
            </w:pPr>
            <w:r w:rsidRPr="00102943">
              <w:rPr>
                <w:i/>
                <w:color w:val="A6A6A6" w:themeColor="background1" w:themeShade="A6"/>
              </w:rPr>
              <w:t>Enter text</w:t>
            </w:r>
          </w:p>
        </w:tc>
      </w:tr>
      <w:tr w:rsidR="00102943" w:rsidTr="00102943">
        <w:trPr>
          <w:trHeight w:val="966"/>
        </w:trPr>
        <w:tc>
          <w:tcPr>
            <w:tcW w:w="973" w:type="dxa"/>
            <w:vMerge w:val="restart"/>
          </w:tcPr>
          <w:p w:rsidR="00102943" w:rsidRDefault="00102943" w:rsidP="00C96A7D">
            <w:pPr>
              <w:pStyle w:val="ListParagraph"/>
              <w:ind w:left="0"/>
            </w:pPr>
            <w:r>
              <w:t>Trigger 3</w:t>
            </w:r>
          </w:p>
        </w:tc>
        <w:tc>
          <w:tcPr>
            <w:tcW w:w="1415" w:type="dxa"/>
            <w:vMerge w:val="restart"/>
          </w:tcPr>
          <w:p w:rsidR="00102943" w:rsidRDefault="00102943" w:rsidP="00C96A7D">
            <w:pPr>
              <w:pStyle w:val="ListParagraph"/>
              <w:ind w:left="0"/>
            </w:pPr>
            <w:r>
              <w:t>Host &amp; Centre Network Model</w:t>
            </w:r>
          </w:p>
        </w:tc>
        <w:tc>
          <w:tcPr>
            <w:tcW w:w="4411" w:type="dxa"/>
            <w:vMerge w:val="restart"/>
          </w:tcPr>
          <w:p w:rsidR="00102943" w:rsidRPr="00B50290" w:rsidRDefault="00102943" w:rsidP="00D7784A">
            <w:r>
              <w:t>A local n</w:t>
            </w:r>
            <w:r w:rsidRPr="00B50290">
              <w:t>etwork to be established covering the Centre’s catchment areas by end of Q1 – Year One.  This means the centre:</w:t>
            </w:r>
          </w:p>
          <w:p w:rsidR="00102943" w:rsidRPr="00FE41F5" w:rsidRDefault="00102943" w:rsidP="00102943">
            <w:pPr>
              <w:pStyle w:val="ListParagraph"/>
              <w:numPr>
                <w:ilvl w:val="2"/>
                <w:numId w:val="9"/>
              </w:numPr>
              <w:ind w:left="619" w:hanging="142"/>
              <w:rPr>
                <w:bCs/>
              </w:rPr>
            </w:pPr>
            <w:r w:rsidRPr="00FE41F5">
              <w:rPr>
                <w:bCs/>
              </w:rPr>
              <w:t>to organise and confirm the start of the scheme</w:t>
            </w:r>
          </w:p>
          <w:p w:rsidR="00102943" w:rsidRPr="00FE41F5" w:rsidRDefault="00102943" w:rsidP="00102943">
            <w:pPr>
              <w:pStyle w:val="ListParagraph"/>
              <w:numPr>
                <w:ilvl w:val="2"/>
                <w:numId w:val="9"/>
              </w:numPr>
              <w:ind w:left="619" w:hanging="142"/>
              <w:rPr>
                <w:bCs/>
              </w:rPr>
            </w:pPr>
            <w:r w:rsidRPr="00FE41F5">
              <w:rPr>
                <w:bCs/>
              </w:rPr>
              <w:t xml:space="preserve">to start the initiation of pathway discussions </w:t>
            </w:r>
          </w:p>
          <w:p w:rsidR="00102943" w:rsidRPr="00FE41F5" w:rsidRDefault="00102943" w:rsidP="00102943">
            <w:pPr>
              <w:pStyle w:val="ListParagraph"/>
              <w:numPr>
                <w:ilvl w:val="2"/>
                <w:numId w:val="9"/>
              </w:numPr>
              <w:ind w:left="619" w:hanging="142"/>
              <w:rPr>
                <w:bCs/>
              </w:rPr>
            </w:pPr>
            <w:r w:rsidRPr="00FE41F5">
              <w:rPr>
                <w:bCs/>
              </w:rPr>
              <w:t xml:space="preserve">to agree of allocation </w:t>
            </w:r>
            <w:proofErr w:type="gramStart"/>
            <w:r w:rsidRPr="00FE41F5">
              <w:rPr>
                <w:bCs/>
              </w:rPr>
              <w:t>of  responsibilities</w:t>
            </w:r>
            <w:proofErr w:type="gramEnd"/>
            <w:r w:rsidRPr="00FE41F5">
              <w:rPr>
                <w:bCs/>
              </w:rPr>
              <w:t xml:space="preserve"> within the Region. </w:t>
            </w:r>
          </w:p>
          <w:p w:rsidR="00102943" w:rsidRDefault="00102943" w:rsidP="00102943">
            <w:pPr>
              <w:pStyle w:val="ListParagraph"/>
              <w:ind w:left="0"/>
            </w:pPr>
            <w:r>
              <w:t xml:space="preserve">B </w:t>
            </w:r>
            <w:r w:rsidRPr="00B50290">
              <w:t>To have agreed by:</w:t>
            </w:r>
            <w:r>
              <w:t xml:space="preserve"> </w:t>
            </w:r>
            <w:r w:rsidRPr="00FE41F5">
              <w:t>Year One - Q1 responsibilities and structure of Network and Regional teams;</w:t>
            </w:r>
          </w:p>
        </w:tc>
        <w:tc>
          <w:tcPr>
            <w:tcW w:w="3969" w:type="dxa"/>
          </w:tcPr>
          <w:p w:rsidR="00102943" w:rsidRDefault="00102943" w:rsidP="00C96A7D">
            <w:pPr>
              <w:pStyle w:val="ListParagraph"/>
              <w:ind w:left="0"/>
            </w:pPr>
            <w:r>
              <w:t>Describe network arrangement, including allocation of responsibilities &amp; pathway discussions</w:t>
            </w:r>
          </w:p>
        </w:tc>
      </w:tr>
      <w:tr w:rsidR="00102943" w:rsidTr="00102943">
        <w:trPr>
          <w:trHeight w:val="2421"/>
        </w:trPr>
        <w:tc>
          <w:tcPr>
            <w:tcW w:w="973" w:type="dxa"/>
            <w:vMerge/>
          </w:tcPr>
          <w:p w:rsidR="00102943" w:rsidRDefault="00102943" w:rsidP="00C96A7D">
            <w:pPr>
              <w:pStyle w:val="ListParagraph"/>
              <w:ind w:left="0"/>
            </w:pPr>
          </w:p>
        </w:tc>
        <w:tc>
          <w:tcPr>
            <w:tcW w:w="1415" w:type="dxa"/>
            <w:vMerge/>
          </w:tcPr>
          <w:p w:rsidR="00102943" w:rsidRDefault="00102943" w:rsidP="00C96A7D">
            <w:pPr>
              <w:pStyle w:val="ListParagraph"/>
              <w:ind w:left="0"/>
            </w:pPr>
          </w:p>
        </w:tc>
        <w:tc>
          <w:tcPr>
            <w:tcW w:w="4411" w:type="dxa"/>
            <w:vMerge/>
          </w:tcPr>
          <w:p w:rsidR="00102943" w:rsidRDefault="00102943" w:rsidP="00D7784A"/>
        </w:tc>
        <w:tc>
          <w:tcPr>
            <w:tcW w:w="3969" w:type="dxa"/>
          </w:tcPr>
          <w:p w:rsidR="00102943" w:rsidRPr="00102943" w:rsidRDefault="00102943" w:rsidP="00C96A7D">
            <w:pPr>
              <w:pStyle w:val="ListParagraph"/>
              <w:ind w:left="0"/>
              <w:rPr>
                <w:i/>
              </w:rPr>
            </w:pPr>
            <w:r w:rsidRPr="00102943">
              <w:rPr>
                <w:i/>
                <w:color w:val="A6A6A6" w:themeColor="background1" w:themeShade="A6"/>
              </w:rPr>
              <w:t>Enter text</w:t>
            </w:r>
          </w:p>
        </w:tc>
      </w:tr>
      <w:tr w:rsidR="00D7784A" w:rsidTr="00102943">
        <w:tc>
          <w:tcPr>
            <w:tcW w:w="973" w:type="dxa"/>
          </w:tcPr>
          <w:p w:rsidR="00D7784A" w:rsidRDefault="00D7784A" w:rsidP="00D7784A">
            <w:pPr>
              <w:pStyle w:val="ListParagraph"/>
              <w:ind w:left="0"/>
            </w:pPr>
          </w:p>
        </w:tc>
        <w:tc>
          <w:tcPr>
            <w:tcW w:w="1415" w:type="dxa"/>
          </w:tcPr>
          <w:p w:rsidR="00D7784A" w:rsidRDefault="00D7784A" w:rsidP="00D7784A">
            <w:pPr>
              <w:pStyle w:val="ListParagraph"/>
              <w:ind w:left="0"/>
            </w:pPr>
          </w:p>
        </w:tc>
        <w:tc>
          <w:tcPr>
            <w:tcW w:w="4411" w:type="dxa"/>
            <w:vAlign w:val="center"/>
          </w:tcPr>
          <w:p w:rsidR="00D7784A" w:rsidRPr="00F818CB" w:rsidRDefault="00D7784A" w:rsidP="00D7784A">
            <w:pPr>
              <w:rPr>
                <w:rFonts w:ascii="Calibri" w:eastAsia="Times New Roman" w:hAnsi="Calibri" w:cs="Calibri"/>
                <w:color w:val="000000"/>
                <w:lang w:eastAsia="en-GB"/>
              </w:rPr>
            </w:pPr>
          </w:p>
        </w:tc>
        <w:tc>
          <w:tcPr>
            <w:tcW w:w="3969" w:type="dxa"/>
          </w:tcPr>
          <w:p w:rsidR="00D7784A" w:rsidRDefault="00D7784A" w:rsidP="00D7784A">
            <w:pPr>
              <w:pStyle w:val="ListParagraph"/>
              <w:ind w:left="0"/>
            </w:pPr>
          </w:p>
        </w:tc>
      </w:tr>
    </w:tbl>
    <w:p w:rsidR="00775507" w:rsidRDefault="00775507" w:rsidP="00C96A7D">
      <w:pPr>
        <w:pStyle w:val="ListParagraph"/>
        <w:ind w:left="0"/>
      </w:pPr>
    </w:p>
    <w:p w:rsidR="00711A32" w:rsidRDefault="00711A32">
      <w:r>
        <w:br w:type="page"/>
      </w:r>
    </w:p>
    <w:p w:rsidR="00C96A7D" w:rsidRPr="00D7784A" w:rsidRDefault="00711A32" w:rsidP="00D7784A">
      <w:pPr>
        <w:pStyle w:val="Heading2"/>
        <w:rPr>
          <w:b/>
        </w:rPr>
      </w:pPr>
      <w:r w:rsidRPr="00C05CA4">
        <w:rPr>
          <w:b/>
        </w:rPr>
        <w:lastRenderedPageBreak/>
        <w:t>Quarter 2</w:t>
      </w:r>
    </w:p>
    <w:tbl>
      <w:tblPr>
        <w:tblStyle w:val="TableGrid"/>
        <w:tblW w:w="0" w:type="auto"/>
        <w:tblLook w:val="04A0" w:firstRow="1" w:lastRow="0" w:firstColumn="1" w:lastColumn="0" w:noHBand="0" w:noVBand="1"/>
      </w:tblPr>
      <w:tblGrid>
        <w:gridCol w:w="946"/>
        <w:gridCol w:w="1415"/>
        <w:gridCol w:w="3871"/>
        <w:gridCol w:w="4531"/>
      </w:tblGrid>
      <w:tr w:rsidR="00D7784A" w:rsidTr="00D3283C">
        <w:tc>
          <w:tcPr>
            <w:tcW w:w="946" w:type="dxa"/>
          </w:tcPr>
          <w:p w:rsidR="00D7784A" w:rsidRDefault="00D7784A" w:rsidP="00102943">
            <w:pPr>
              <w:pStyle w:val="ListParagraph"/>
              <w:ind w:left="0"/>
            </w:pPr>
            <w:bookmarkStart w:id="1" w:name="_Hlk7697632"/>
          </w:p>
        </w:tc>
        <w:tc>
          <w:tcPr>
            <w:tcW w:w="1415" w:type="dxa"/>
          </w:tcPr>
          <w:p w:rsidR="00D7784A" w:rsidRDefault="00D7784A" w:rsidP="00102943">
            <w:pPr>
              <w:pStyle w:val="ListParagraph"/>
              <w:ind w:left="0"/>
            </w:pPr>
          </w:p>
        </w:tc>
        <w:tc>
          <w:tcPr>
            <w:tcW w:w="3871" w:type="dxa"/>
          </w:tcPr>
          <w:p w:rsidR="00D7784A" w:rsidRPr="00C53094" w:rsidRDefault="00D7784A" w:rsidP="00102943"/>
        </w:tc>
        <w:tc>
          <w:tcPr>
            <w:tcW w:w="4531" w:type="dxa"/>
          </w:tcPr>
          <w:p w:rsidR="00D7784A" w:rsidRPr="00C53094" w:rsidRDefault="00D7784A" w:rsidP="00102943"/>
        </w:tc>
      </w:tr>
      <w:tr w:rsidR="00D3283C" w:rsidTr="00D3283C">
        <w:trPr>
          <w:trHeight w:val="450"/>
        </w:trPr>
        <w:tc>
          <w:tcPr>
            <w:tcW w:w="946" w:type="dxa"/>
            <w:vMerge w:val="restart"/>
          </w:tcPr>
          <w:p w:rsidR="00D3283C" w:rsidRPr="00F818CB" w:rsidRDefault="00D3283C" w:rsidP="00D7784A">
            <w:pPr>
              <w:rPr>
                <w:rFonts w:ascii="Calibri" w:eastAsia="Times New Roman" w:hAnsi="Calibri" w:cs="Calibri"/>
                <w:color w:val="000000"/>
                <w:lang w:eastAsia="en-GB"/>
              </w:rPr>
            </w:pPr>
            <w:r w:rsidRPr="00F818CB">
              <w:rPr>
                <w:rFonts w:ascii="Calibri" w:eastAsia="Times New Roman" w:hAnsi="Calibri" w:cs="Calibri"/>
                <w:color w:val="000000"/>
                <w:lang w:eastAsia="en-GB"/>
              </w:rPr>
              <w:t>Trigger 1</w:t>
            </w:r>
          </w:p>
        </w:tc>
        <w:tc>
          <w:tcPr>
            <w:tcW w:w="1415" w:type="dxa"/>
            <w:vMerge w:val="restart"/>
          </w:tcPr>
          <w:p w:rsidR="00D3283C" w:rsidRPr="00C53094" w:rsidRDefault="00D3283C" w:rsidP="00D7784A">
            <w:r>
              <w:t>MDT assessment</w:t>
            </w:r>
          </w:p>
        </w:tc>
        <w:tc>
          <w:tcPr>
            <w:tcW w:w="3871" w:type="dxa"/>
            <w:vMerge w:val="restart"/>
          </w:tcPr>
          <w:p w:rsidR="00D3283C" w:rsidRPr="00C53094" w:rsidRDefault="00D3283C" w:rsidP="00D3283C">
            <w:r w:rsidRPr="00C53094">
              <w:t xml:space="preserve">Establish a virtual MDT within each network where all children who meet the agreed criteria are assessed within 18 weeks of referral. </w:t>
            </w:r>
          </w:p>
          <w:p w:rsidR="00D3283C" w:rsidRPr="00F818CB" w:rsidRDefault="00D3283C" w:rsidP="00D3283C">
            <w:pPr>
              <w:rPr>
                <w:rFonts w:ascii="Calibri" w:eastAsia="Times New Roman" w:hAnsi="Calibri" w:cs="Calibri"/>
                <w:color w:val="000000"/>
                <w:lang w:eastAsia="en-GB"/>
              </w:rPr>
            </w:pPr>
          </w:p>
        </w:tc>
        <w:tc>
          <w:tcPr>
            <w:tcW w:w="4531" w:type="dxa"/>
          </w:tcPr>
          <w:p w:rsidR="00D3283C" w:rsidRPr="00C53094" w:rsidRDefault="00D3283C" w:rsidP="00D7784A">
            <w:r>
              <w:t>Describe MDT structure, members, roles &amp; responsibilities (if not completed in Q1</w:t>
            </w:r>
          </w:p>
        </w:tc>
      </w:tr>
      <w:tr w:rsidR="00D3283C" w:rsidTr="00D3283C">
        <w:trPr>
          <w:trHeight w:val="2101"/>
        </w:trPr>
        <w:tc>
          <w:tcPr>
            <w:tcW w:w="946" w:type="dxa"/>
            <w:vMerge/>
          </w:tcPr>
          <w:p w:rsidR="00D3283C" w:rsidRPr="00F818CB" w:rsidRDefault="00D3283C" w:rsidP="00D7784A">
            <w:pPr>
              <w:rPr>
                <w:rFonts w:ascii="Calibri" w:eastAsia="Times New Roman" w:hAnsi="Calibri" w:cs="Calibri"/>
                <w:color w:val="000000"/>
                <w:lang w:eastAsia="en-GB"/>
              </w:rPr>
            </w:pPr>
          </w:p>
        </w:tc>
        <w:tc>
          <w:tcPr>
            <w:tcW w:w="1415" w:type="dxa"/>
            <w:vMerge/>
          </w:tcPr>
          <w:p w:rsidR="00D3283C" w:rsidRDefault="00D3283C" w:rsidP="00D7784A"/>
        </w:tc>
        <w:tc>
          <w:tcPr>
            <w:tcW w:w="3871" w:type="dxa"/>
            <w:vMerge/>
            <w:vAlign w:val="center"/>
          </w:tcPr>
          <w:p w:rsidR="00D3283C" w:rsidRPr="00C53094" w:rsidRDefault="00D3283C" w:rsidP="00D7784A"/>
        </w:tc>
        <w:tc>
          <w:tcPr>
            <w:tcW w:w="4531" w:type="dxa"/>
          </w:tcPr>
          <w:p w:rsidR="00D3283C" w:rsidRPr="00D3283C" w:rsidRDefault="00D3283C" w:rsidP="00D7784A">
            <w:pPr>
              <w:rPr>
                <w:i/>
              </w:rPr>
            </w:pPr>
            <w:r w:rsidRPr="00D3283C">
              <w:rPr>
                <w:i/>
                <w:color w:val="A6A6A6" w:themeColor="background1" w:themeShade="A6"/>
              </w:rPr>
              <w:t>Enter text</w:t>
            </w:r>
          </w:p>
        </w:tc>
      </w:tr>
      <w:tr w:rsidR="002A4EBE" w:rsidTr="00102943">
        <w:trPr>
          <w:trHeight w:val="1900"/>
        </w:trPr>
        <w:tc>
          <w:tcPr>
            <w:tcW w:w="946" w:type="dxa"/>
            <w:vMerge w:val="restart"/>
            <w:vAlign w:val="center"/>
          </w:tcPr>
          <w:p w:rsidR="002A4EBE" w:rsidRPr="00F818CB" w:rsidRDefault="002A4EBE" w:rsidP="00D7784A">
            <w:pPr>
              <w:rPr>
                <w:rFonts w:ascii="Calibri" w:eastAsia="Times New Roman" w:hAnsi="Calibri" w:cs="Calibri"/>
                <w:color w:val="000000"/>
                <w:lang w:eastAsia="en-GB"/>
              </w:rPr>
            </w:pPr>
            <w:r w:rsidRPr="00F818CB">
              <w:rPr>
                <w:rFonts w:ascii="Calibri" w:eastAsia="Times New Roman" w:hAnsi="Calibri" w:cs="Calibri"/>
                <w:color w:val="000000"/>
                <w:lang w:eastAsia="en-GB"/>
              </w:rPr>
              <w:t>Trigger 2</w:t>
            </w:r>
          </w:p>
        </w:tc>
        <w:tc>
          <w:tcPr>
            <w:tcW w:w="1415" w:type="dxa"/>
            <w:vMerge w:val="restart"/>
            <w:vAlign w:val="center"/>
          </w:tcPr>
          <w:p w:rsidR="002A4EBE" w:rsidRDefault="002A4EBE" w:rsidP="00D7784A">
            <w:r>
              <w:t>Recording of CPIP assessment</w:t>
            </w:r>
          </w:p>
        </w:tc>
        <w:tc>
          <w:tcPr>
            <w:tcW w:w="3871" w:type="dxa"/>
            <w:vAlign w:val="center"/>
          </w:tcPr>
          <w:p w:rsidR="002A4EBE" w:rsidRPr="000A6B1A" w:rsidRDefault="002A4EBE" w:rsidP="00D7784A">
            <w:r>
              <w:t>CPIP centres will work with other centres to ensure that all data, as already set out by the APCP and BSCOS (Association of Paediatric Chartered Physiotherapists / British Society of Children’s Orthopaedic Surgeons) is available and can flow to the Dundee University database.</w:t>
            </w:r>
          </w:p>
        </w:tc>
        <w:tc>
          <w:tcPr>
            <w:tcW w:w="4531" w:type="dxa"/>
          </w:tcPr>
          <w:p w:rsidR="002A4EBE" w:rsidRDefault="002A4EBE" w:rsidP="00D3283C">
            <w:pPr>
              <w:rPr>
                <w:rFonts w:ascii="Calibri" w:eastAsia="Times New Roman" w:hAnsi="Calibri" w:cs="Calibri"/>
                <w:color w:val="000000"/>
                <w:lang w:eastAsia="en-GB"/>
              </w:rPr>
            </w:pPr>
            <w:r>
              <w:rPr>
                <w:rFonts w:ascii="Calibri" w:eastAsia="Times New Roman" w:hAnsi="Calibri" w:cs="Calibri"/>
                <w:color w:val="000000"/>
                <w:lang w:eastAsia="en-GB"/>
              </w:rPr>
              <w:t>Dundee University will confirm centrally where information is flowing.</w:t>
            </w:r>
          </w:p>
          <w:p w:rsidR="002A4EBE" w:rsidRDefault="002A4EBE" w:rsidP="00D3283C">
            <w:pPr>
              <w:rPr>
                <w:rFonts w:ascii="Calibri" w:eastAsia="Times New Roman" w:hAnsi="Calibri" w:cs="Calibri"/>
                <w:color w:val="000000"/>
                <w:lang w:eastAsia="en-GB"/>
              </w:rPr>
            </w:pPr>
          </w:p>
          <w:p w:rsidR="002A4EBE" w:rsidRPr="00F818CB" w:rsidRDefault="002A4EBE" w:rsidP="00D3283C">
            <w:pPr>
              <w:rPr>
                <w:rFonts w:ascii="Calibri" w:eastAsia="Times New Roman" w:hAnsi="Calibri" w:cs="Calibri"/>
                <w:color w:val="000000"/>
                <w:lang w:eastAsia="en-GB"/>
              </w:rPr>
            </w:pPr>
          </w:p>
        </w:tc>
      </w:tr>
      <w:tr w:rsidR="002A4EBE" w:rsidTr="002A4EBE">
        <w:trPr>
          <w:trHeight w:val="500"/>
        </w:trPr>
        <w:tc>
          <w:tcPr>
            <w:tcW w:w="946" w:type="dxa"/>
            <w:vMerge/>
            <w:vAlign w:val="center"/>
          </w:tcPr>
          <w:p w:rsidR="002A4EBE" w:rsidRPr="00F818CB" w:rsidRDefault="002A4EBE" w:rsidP="00D7784A">
            <w:pPr>
              <w:rPr>
                <w:rFonts w:ascii="Calibri" w:eastAsia="Times New Roman" w:hAnsi="Calibri" w:cs="Calibri"/>
                <w:color w:val="000000"/>
                <w:lang w:eastAsia="en-GB"/>
              </w:rPr>
            </w:pPr>
          </w:p>
        </w:tc>
        <w:tc>
          <w:tcPr>
            <w:tcW w:w="1415" w:type="dxa"/>
            <w:vMerge/>
            <w:vAlign w:val="center"/>
          </w:tcPr>
          <w:p w:rsidR="002A4EBE" w:rsidRDefault="002A4EBE" w:rsidP="00D7784A"/>
        </w:tc>
        <w:tc>
          <w:tcPr>
            <w:tcW w:w="3871" w:type="dxa"/>
            <w:vMerge w:val="restart"/>
            <w:vAlign w:val="center"/>
          </w:tcPr>
          <w:p w:rsidR="002A4EBE" w:rsidRDefault="002A4EBE" w:rsidP="00D7784A">
            <w:r w:rsidRPr="009D4F40">
              <w:t xml:space="preserve">CPIP: to have the </w:t>
            </w:r>
            <w:r w:rsidRPr="00C53094">
              <w:t>Protoco</w:t>
            </w:r>
            <w:r w:rsidRPr="009D4F40">
              <w:t xml:space="preserve">l of review and assessment agreed – as per National </w:t>
            </w:r>
            <w:r>
              <w:t xml:space="preserve">APCP/BSCOS </w:t>
            </w:r>
            <w:r w:rsidRPr="009D4F40">
              <w:t>guidelines</w:t>
            </w:r>
            <w:r>
              <w:t xml:space="preserve">, such that </w:t>
            </w:r>
            <w:r w:rsidRPr="009D4F40">
              <w:t xml:space="preserve">every child with CP </w:t>
            </w:r>
            <w:r>
              <w:t xml:space="preserve">may be </w:t>
            </w:r>
            <w:r w:rsidRPr="009D4F40">
              <w:t>assessed at specifi</w:t>
            </w:r>
            <w:r>
              <w:t>ed</w:t>
            </w:r>
            <w:r w:rsidRPr="009D4F40">
              <w:t xml:space="preserve"> intervals by a specialis</w:t>
            </w:r>
            <w:r>
              <w:t>t</w:t>
            </w:r>
            <w:r w:rsidRPr="009D4F40">
              <w:t xml:space="preserve"> trained </w:t>
            </w:r>
            <w:r>
              <w:t xml:space="preserve">in CPIP assessment </w:t>
            </w:r>
            <w:r w:rsidRPr="009D4F40">
              <w:t xml:space="preserve">by end of </w:t>
            </w:r>
            <w:r>
              <w:t xml:space="preserve">Q2 - </w:t>
            </w:r>
            <w:r w:rsidRPr="009D4F40">
              <w:t xml:space="preserve">Year One.  Data acquisition regarding CPIP uptake </w:t>
            </w:r>
            <w:r>
              <w:t>is</w:t>
            </w:r>
            <w:r w:rsidRPr="009D4F40">
              <w:t xml:space="preserve"> part of this process.</w:t>
            </w:r>
          </w:p>
        </w:tc>
        <w:tc>
          <w:tcPr>
            <w:tcW w:w="4531" w:type="dxa"/>
          </w:tcPr>
          <w:p w:rsidR="002A4EBE" w:rsidRPr="002A4EBE" w:rsidRDefault="002A4EBE" w:rsidP="00102943">
            <w:pPr>
              <w:rPr>
                <w:rFonts w:ascii="Calibri" w:eastAsia="Times New Roman" w:hAnsi="Calibri" w:cs="Calibri"/>
                <w:color w:val="000000"/>
                <w:lang w:eastAsia="en-GB"/>
              </w:rPr>
            </w:pPr>
            <w:r>
              <w:rPr>
                <w:rFonts w:ascii="Calibri" w:eastAsia="Times New Roman" w:hAnsi="Calibri" w:cs="Calibri"/>
                <w:color w:val="000000"/>
                <w:lang w:eastAsia="en-GB"/>
              </w:rPr>
              <w:t>Provide a copy of protocol including detail on data acquisition.</w:t>
            </w:r>
          </w:p>
          <w:p w:rsidR="002A4EBE" w:rsidRDefault="002A4EBE" w:rsidP="00102943">
            <w:pPr>
              <w:rPr>
                <w:rFonts w:ascii="Calibri" w:eastAsia="Times New Roman" w:hAnsi="Calibri" w:cs="Calibri"/>
                <w:color w:val="000000"/>
                <w:lang w:eastAsia="en-GB"/>
              </w:rPr>
            </w:pPr>
          </w:p>
        </w:tc>
      </w:tr>
      <w:tr w:rsidR="002A4EBE" w:rsidTr="00102943">
        <w:trPr>
          <w:trHeight w:val="1155"/>
        </w:trPr>
        <w:tc>
          <w:tcPr>
            <w:tcW w:w="946" w:type="dxa"/>
            <w:vMerge/>
            <w:vAlign w:val="center"/>
          </w:tcPr>
          <w:p w:rsidR="002A4EBE" w:rsidRPr="00F818CB" w:rsidRDefault="002A4EBE" w:rsidP="00D7784A">
            <w:pPr>
              <w:rPr>
                <w:rFonts w:ascii="Calibri" w:eastAsia="Times New Roman" w:hAnsi="Calibri" w:cs="Calibri"/>
                <w:color w:val="000000"/>
                <w:lang w:eastAsia="en-GB"/>
              </w:rPr>
            </w:pPr>
          </w:p>
        </w:tc>
        <w:tc>
          <w:tcPr>
            <w:tcW w:w="1415" w:type="dxa"/>
            <w:vMerge/>
            <w:vAlign w:val="center"/>
          </w:tcPr>
          <w:p w:rsidR="002A4EBE" w:rsidRDefault="002A4EBE" w:rsidP="00D7784A"/>
        </w:tc>
        <w:tc>
          <w:tcPr>
            <w:tcW w:w="3871" w:type="dxa"/>
            <w:vMerge/>
            <w:vAlign w:val="center"/>
          </w:tcPr>
          <w:p w:rsidR="002A4EBE" w:rsidRPr="009D4F40" w:rsidRDefault="002A4EBE" w:rsidP="00D7784A"/>
        </w:tc>
        <w:tc>
          <w:tcPr>
            <w:tcW w:w="4531" w:type="dxa"/>
          </w:tcPr>
          <w:p w:rsidR="002A4EBE" w:rsidRDefault="002A4EBE" w:rsidP="00D3283C">
            <w:pPr>
              <w:rPr>
                <w:rFonts w:ascii="Calibri" w:eastAsia="Times New Roman" w:hAnsi="Calibri" w:cs="Calibri"/>
                <w:color w:val="000000"/>
                <w:lang w:eastAsia="en-G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2pt;height:40.8pt" o:ole="">
                  <v:imagedata r:id="rId7" o:title=""/>
                </v:shape>
                <w:control r:id="rId8" w:name="CommandButton11" w:shapeid="_x0000_i1026"/>
              </w:object>
            </w:r>
          </w:p>
        </w:tc>
      </w:tr>
      <w:tr w:rsidR="002A4EBE" w:rsidTr="002A4EBE">
        <w:trPr>
          <w:trHeight w:val="855"/>
        </w:trPr>
        <w:tc>
          <w:tcPr>
            <w:tcW w:w="946" w:type="dxa"/>
            <w:vMerge w:val="restart"/>
            <w:vAlign w:val="center"/>
          </w:tcPr>
          <w:p w:rsidR="002A4EBE" w:rsidRDefault="002A4EBE" w:rsidP="008446CE">
            <w:pPr>
              <w:pStyle w:val="ListParagraph"/>
              <w:ind w:left="0"/>
            </w:pPr>
            <w:r>
              <w:t>Trigger 3</w:t>
            </w:r>
          </w:p>
        </w:tc>
        <w:tc>
          <w:tcPr>
            <w:tcW w:w="1415" w:type="dxa"/>
            <w:vMerge w:val="restart"/>
            <w:vAlign w:val="center"/>
          </w:tcPr>
          <w:p w:rsidR="002A4EBE" w:rsidRDefault="002A4EBE" w:rsidP="008446CE">
            <w:pPr>
              <w:pStyle w:val="ListParagraph"/>
              <w:ind w:left="0"/>
            </w:pPr>
            <w:r>
              <w:t>Network Model</w:t>
            </w:r>
          </w:p>
        </w:tc>
        <w:tc>
          <w:tcPr>
            <w:tcW w:w="3871" w:type="dxa"/>
            <w:vMerge w:val="restart"/>
          </w:tcPr>
          <w:p w:rsidR="002A4EBE" w:rsidRPr="00996A3B" w:rsidRDefault="002A4EBE" w:rsidP="00996A3B">
            <w:pPr>
              <w:spacing w:after="200" w:line="276" w:lineRule="auto"/>
              <w:rPr>
                <w:bCs/>
              </w:rPr>
            </w:pPr>
            <w:r w:rsidRPr="00B50290">
              <w:t>Network members to be meeting every quarter (first meeting by not later Q2 - Year One).  It is the responsibility of the centre to organise. We expect the co-ordinators between sites and PT reps to meet monthly.</w:t>
            </w:r>
            <w:r w:rsidRPr="00FE41F5">
              <w:rPr>
                <w:bCs/>
              </w:rPr>
              <w:t xml:space="preserve"> </w:t>
            </w:r>
          </w:p>
        </w:tc>
        <w:tc>
          <w:tcPr>
            <w:tcW w:w="4531" w:type="dxa"/>
          </w:tcPr>
          <w:p w:rsidR="002A4EBE" w:rsidRDefault="002A4EBE" w:rsidP="00D7784A">
            <w:pPr>
              <w:pStyle w:val="ListParagraph"/>
              <w:ind w:left="0"/>
            </w:pPr>
            <w:r>
              <w:t>Attach network minutes including review discussion</w:t>
            </w:r>
          </w:p>
          <w:p w:rsidR="002A4EBE" w:rsidRDefault="002A4EBE" w:rsidP="00D7784A">
            <w:pPr>
              <w:pStyle w:val="ListParagraph"/>
              <w:ind w:left="0"/>
            </w:pPr>
          </w:p>
        </w:tc>
      </w:tr>
      <w:tr w:rsidR="002A4EBE" w:rsidTr="002A4EBE">
        <w:trPr>
          <w:trHeight w:val="855"/>
        </w:trPr>
        <w:tc>
          <w:tcPr>
            <w:tcW w:w="946" w:type="dxa"/>
            <w:vMerge/>
            <w:vAlign w:val="center"/>
          </w:tcPr>
          <w:p w:rsidR="002A4EBE" w:rsidRDefault="002A4EBE" w:rsidP="008446CE">
            <w:pPr>
              <w:pStyle w:val="ListParagraph"/>
              <w:ind w:left="0"/>
            </w:pPr>
          </w:p>
        </w:tc>
        <w:tc>
          <w:tcPr>
            <w:tcW w:w="1415" w:type="dxa"/>
            <w:vMerge/>
            <w:vAlign w:val="center"/>
          </w:tcPr>
          <w:p w:rsidR="002A4EBE" w:rsidRDefault="002A4EBE" w:rsidP="008446CE">
            <w:pPr>
              <w:pStyle w:val="ListParagraph"/>
              <w:ind w:left="0"/>
            </w:pPr>
          </w:p>
        </w:tc>
        <w:tc>
          <w:tcPr>
            <w:tcW w:w="3871" w:type="dxa"/>
            <w:vMerge/>
          </w:tcPr>
          <w:p w:rsidR="002A4EBE" w:rsidRPr="00B50290" w:rsidRDefault="002A4EBE" w:rsidP="00996A3B">
            <w:pPr>
              <w:spacing w:after="200" w:line="276" w:lineRule="auto"/>
            </w:pPr>
          </w:p>
        </w:tc>
        <w:tc>
          <w:tcPr>
            <w:tcW w:w="4531" w:type="dxa"/>
            <w:vMerge w:val="restart"/>
          </w:tcPr>
          <w:p w:rsidR="002A4EBE" w:rsidRDefault="002A4EBE" w:rsidP="00D7784A">
            <w:pPr>
              <w:pStyle w:val="ListParagraph"/>
              <w:ind w:left="0"/>
            </w:pPr>
            <w:r>
              <w:object w:dxaOrig="1440" w:dyaOrig="1440" w14:anchorId="5BC0F249">
                <v:shape id="_x0000_i1028" type="#_x0000_t75" style="width:121.2pt;height:40.8pt" o:ole="">
                  <v:imagedata r:id="rId9" o:title=""/>
                </v:shape>
                <w:control r:id="rId10" w:name="CommandButton12" w:shapeid="_x0000_i1028"/>
              </w:object>
            </w:r>
          </w:p>
        </w:tc>
      </w:tr>
      <w:tr w:rsidR="002A4EBE" w:rsidTr="00996A3B">
        <w:trPr>
          <w:trHeight w:val="1283"/>
        </w:trPr>
        <w:tc>
          <w:tcPr>
            <w:tcW w:w="946" w:type="dxa"/>
            <w:vMerge/>
          </w:tcPr>
          <w:p w:rsidR="002A4EBE" w:rsidRDefault="002A4EBE" w:rsidP="00D7784A">
            <w:pPr>
              <w:pStyle w:val="ListParagraph"/>
              <w:ind w:left="0"/>
            </w:pPr>
          </w:p>
        </w:tc>
        <w:tc>
          <w:tcPr>
            <w:tcW w:w="1415" w:type="dxa"/>
            <w:vMerge/>
          </w:tcPr>
          <w:p w:rsidR="002A4EBE" w:rsidRDefault="002A4EBE" w:rsidP="00D7784A">
            <w:pPr>
              <w:pStyle w:val="ListParagraph"/>
              <w:ind w:left="0"/>
            </w:pPr>
          </w:p>
        </w:tc>
        <w:tc>
          <w:tcPr>
            <w:tcW w:w="3871" w:type="dxa"/>
          </w:tcPr>
          <w:p w:rsidR="002A4EBE" w:rsidRDefault="002A4EBE" w:rsidP="00996A3B">
            <w:pPr>
              <w:spacing w:after="200" w:line="276" w:lineRule="auto"/>
            </w:pPr>
            <w:r w:rsidRPr="00FE41F5">
              <w:rPr>
                <w:bCs/>
              </w:rPr>
              <w:t>Each network to review the range of interventions and data collection within network meeting</w:t>
            </w:r>
          </w:p>
        </w:tc>
        <w:tc>
          <w:tcPr>
            <w:tcW w:w="4531" w:type="dxa"/>
            <w:vMerge/>
          </w:tcPr>
          <w:p w:rsidR="002A4EBE" w:rsidRDefault="002A4EBE" w:rsidP="00D7784A">
            <w:pPr>
              <w:pStyle w:val="ListParagraph"/>
              <w:ind w:left="0"/>
            </w:pPr>
          </w:p>
        </w:tc>
      </w:tr>
      <w:tr w:rsidR="002A4EBE" w:rsidTr="00996A3B">
        <w:trPr>
          <w:trHeight w:val="535"/>
        </w:trPr>
        <w:tc>
          <w:tcPr>
            <w:tcW w:w="946" w:type="dxa"/>
            <w:vMerge/>
          </w:tcPr>
          <w:p w:rsidR="002A4EBE" w:rsidRDefault="002A4EBE" w:rsidP="00D7784A">
            <w:pPr>
              <w:pStyle w:val="ListParagraph"/>
              <w:ind w:left="0"/>
            </w:pPr>
          </w:p>
        </w:tc>
        <w:tc>
          <w:tcPr>
            <w:tcW w:w="1415" w:type="dxa"/>
            <w:vMerge/>
          </w:tcPr>
          <w:p w:rsidR="002A4EBE" w:rsidRDefault="002A4EBE" w:rsidP="00D7784A">
            <w:pPr>
              <w:pStyle w:val="ListParagraph"/>
              <w:ind w:left="0"/>
            </w:pPr>
          </w:p>
        </w:tc>
        <w:tc>
          <w:tcPr>
            <w:tcW w:w="3871" w:type="dxa"/>
            <w:vMerge w:val="restart"/>
          </w:tcPr>
          <w:p w:rsidR="002A4EBE" w:rsidRDefault="002A4EBE" w:rsidP="00996A3B">
            <w:pPr>
              <w:spacing w:after="200" w:line="276" w:lineRule="auto"/>
            </w:pPr>
            <w:r>
              <w:t>Agree</w:t>
            </w:r>
            <w:r w:rsidRPr="00FE41F5">
              <w:t xml:space="preserve"> development and implementation of clear </w:t>
            </w:r>
            <w:r>
              <w:t>local n</w:t>
            </w:r>
            <w:r w:rsidRPr="00FE41F5">
              <w:t xml:space="preserve">etwork and </w:t>
            </w:r>
            <w:r>
              <w:t>r</w:t>
            </w:r>
            <w:r w:rsidRPr="00FE41F5">
              <w:t>egional pathways;</w:t>
            </w:r>
          </w:p>
        </w:tc>
        <w:tc>
          <w:tcPr>
            <w:tcW w:w="4531" w:type="dxa"/>
          </w:tcPr>
          <w:p w:rsidR="002A4EBE" w:rsidRDefault="002A4EBE" w:rsidP="00996A3B">
            <w:pPr>
              <w:pStyle w:val="ListParagraph"/>
              <w:ind w:left="0"/>
            </w:pPr>
            <w:r>
              <w:t>Description of pathways and how these will be developed &amp; implemented</w:t>
            </w:r>
          </w:p>
          <w:p w:rsidR="002A4EBE" w:rsidRDefault="002A4EBE" w:rsidP="00D7784A">
            <w:pPr>
              <w:pStyle w:val="ListParagraph"/>
              <w:ind w:left="0"/>
            </w:pPr>
          </w:p>
        </w:tc>
      </w:tr>
      <w:tr w:rsidR="002A4EBE" w:rsidTr="00996A3B">
        <w:trPr>
          <w:trHeight w:val="2060"/>
        </w:trPr>
        <w:tc>
          <w:tcPr>
            <w:tcW w:w="946" w:type="dxa"/>
            <w:vMerge/>
          </w:tcPr>
          <w:p w:rsidR="002A4EBE" w:rsidRDefault="002A4EBE" w:rsidP="00D7784A">
            <w:pPr>
              <w:pStyle w:val="ListParagraph"/>
              <w:ind w:left="0"/>
            </w:pPr>
          </w:p>
        </w:tc>
        <w:tc>
          <w:tcPr>
            <w:tcW w:w="1415" w:type="dxa"/>
            <w:vMerge/>
          </w:tcPr>
          <w:p w:rsidR="002A4EBE" w:rsidRDefault="002A4EBE" w:rsidP="00D7784A">
            <w:pPr>
              <w:pStyle w:val="ListParagraph"/>
              <w:ind w:left="0"/>
            </w:pPr>
          </w:p>
        </w:tc>
        <w:tc>
          <w:tcPr>
            <w:tcW w:w="3871" w:type="dxa"/>
            <w:vMerge/>
            <w:vAlign w:val="center"/>
          </w:tcPr>
          <w:p w:rsidR="002A4EBE" w:rsidRDefault="002A4EBE" w:rsidP="00D7784A">
            <w:pPr>
              <w:spacing w:after="200" w:line="276" w:lineRule="auto"/>
            </w:pPr>
          </w:p>
        </w:tc>
        <w:tc>
          <w:tcPr>
            <w:tcW w:w="4531" w:type="dxa"/>
          </w:tcPr>
          <w:p w:rsidR="002A4EBE" w:rsidRPr="00996A3B" w:rsidRDefault="002A4EBE" w:rsidP="00996A3B">
            <w:pPr>
              <w:pStyle w:val="ListParagraph"/>
              <w:ind w:left="0"/>
              <w:rPr>
                <w:i/>
              </w:rPr>
            </w:pPr>
            <w:r w:rsidRPr="00996A3B">
              <w:rPr>
                <w:i/>
                <w:color w:val="A6A6A6" w:themeColor="background1" w:themeShade="A6"/>
              </w:rPr>
              <w:t>Enter text</w:t>
            </w:r>
          </w:p>
        </w:tc>
      </w:tr>
      <w:tr w:rsidR="002A4EBE" w:rsidTr="002A4EBE">
        <w:trPr>
          <w:trHeight w:val="977"/>
        </w:trPr>
        <w:tc>
          <w:tcPr>
            <w:tcW w:w="946" w:type="dxa"/>
            <w:vMerge w:val="restart"/>
          </w:tcPr>
          <w:p w:rsidR="002A4EBE" w:rsidRDefault="002A4EBE" w:rsidP="00D7784A">
            <w:pPr>
              <w:pStyle w:val="ListParagraph"/>
              <w:ind w:left="0"/>
            </w:pPr>
            <w:r>
              <w:t>Trigger 4</w:t>
            </w:r>
          </w:p>
        </w:tc>
        <w:tc>
          <w:tcPr>
            <w:tcW w:w="1415" w:type="dxa"/>
            <w:vMerge w:val="restart"/>
          </w:tcPr>
          <w:p w:rsidR="002A4EBE" w:rsidRDefault="002A4EBE" w:rsidP="00D7784A">
            <w:pPr>
              <w:pStyle w:val="ListParagraph"/>
              <w:ind w:left="0"/>
            </w:pPr>
            <w:r>
              <w:t>Data</w:t>
            </w:r>
          </w:p>
        </w:tc>
        <w:tc>
          <w:tcPr>
            <w:tcW w:w="3871" w:type="dxa"/>
            <w:vMerge w:val="restart"/>
            <w:vAlign w:val="center"/>
          </w:tcPr>
          <w:p w:rsidR="002A4EBE" w:rsidRPr="00E332DE" w:rsidRDefault="002A4EBE" w:rsidP="008446CE">
            <w:pPr>
              <w:rPr>
                <w:rFonts w:ascii="Calibri" w:eastAsia="Times New Roman" w:hAnsi="Calibri" w:cs="Calibri"/>
                <w:color w:val="000000"/>
                <w:lang w:eastAsia="en-GB"/>
              </w:rPr>
            </w:pPr>
            <w:r w:rsidRPr="00E332DE">
              <w:rPr>
                <w:rFonts w:ascii="Calibri" w:eastAsia="Times New Roman" w:hAnsi="Calibri" w:cs="Calibri"/>
                <w:color w:val="000000"/>
                <w:lang w:eastAsia="en-GB"/>
              </w:rPr>
              <w:t xml:space="preserve"> Local audit to be completed by end of Q2 - Year One and used as comparative </w:t>
            </w:r>
            <w:r w:rsidRPr="00E332DE">
              <w:rPr>
                <w:rFonts w:ascii="Calibri" w:eastAsia="Times New Roman" w:hAnsi="Calibri" w:cs="Calibri"/>
                <w:color w:val="000000"/>
                <w:lang w:eastAsia="en-GB"/>
              </w:rPr>
              <w:lastRenderedPageBreak/>
              <w:t xml:space="preserve">data for improvement in </w:t>
            </w:r>
            <w:proofErr w:type="gramStart"/>
            <w:r w:rsidRPr="00E332DE">
              <w:rPr>
                <w:rFonts w:ascii="Calibri" w:eastAsia="Times New Roman" w:hAnsi="Calibri" w:cs="Calibri"/>
                <w:color w:val="000000"/>
                <w:lang w:eastAsia="en-GB"/>
              </w:rPr>
              <w:t>a number of</w:t>
            </w:r>
            <w:proofErr w:type="gramEnd"/>
            <w:r w:rsidRPr="00E332DE">
              <w:rPr>
                <w:rFonts w:ascii="Calibri" w:eastAsia="Times New Roman" w:hAnsi="Calibri" w:cs="Calibri"/>
                <w:color w:val="000000"/>
                <w:lang w:eastAsia="en-GB"/>
              </w:rPr>
              <w:t xml:space="preserve"> areas including: </w:t>
            </w:r>
          </w:p>
          <w:p w:rsidR="002A4EBE" w:rsidRPr="00E332DE" w:rsidRDefault="002A4EBE" w:rsidP="008446CE">
            <w:pPr>
              <w:rPr>
                <w:rFonts w:ascii="Calibri" w:eastAsia="Times New Roman" w:hAnsi="Calibri" w:cs="Calibri"/>
                <w:color w:val="000000"/>
                <w:lang w:eastAsia="en-GB"/>
              </w:rPr>
            </w:pPr>
            <w:r w:rsidRPr="00E332DE">
              <w:rPr>
                <w:rFonts w:ascii="Calibri" w:eastAsia="Times New Roman" w:hAnsi="Calibri" w:cs="Calibri"/>
                <w:color w:val="000000"/>
                <w:lang w:eastAsia="en-GB"/>
              </w:rPr>
              <w:t>a)</w:t>
            </w:r>
            <w:r>
              <w:rPr>
                <w:rFonts w:ascii="Calibri" w:eastAsia="Times New Roman" w:hAnsi="Calibri" w:cs="Calibri"/>
                <w:color w:val="000000"/>
                <w:lang w:eastAsia="en-GB"/>
              </w:rPr>
              <w:t xml:space="preserve"> </w:t>
            </w:r>
            <w:r w:rsidRPr="00E332DE">
              <w:rPr>
                <w:rFonts w:ascii="Calibri" w:eastAsia="Times New Roman" w:hAnsi="Calibri" w:cs="Calibri"/>
                <w:color w:val="000000"/>
                <w:lang w:eastAsia="en-GB"/>
              </w:rPr>
              <w:t>minimise the numbers of X-Rays performed over the young person's childhood (also see Trigger 4)</w:t>
            </w:r>
          </w:p>
          <w:p w:rsidR="002A4EBE" w:rsidRPr="00E332DE" w:rsidRDefault="002A4EBE" w:rsidP="008446CE">
            <w:pPr>
              <w:rPr>
                <w:rFonts w:ascii="Calibri" w:eastAsia="Times New Roman" w:hAnsi="Calibri" w:cs="Calibri"/>
                <w:color w:val="000000"/>
                <w:lang w:eastAsia="en-GB"/>
              </w:rPr>
            </w:pPr>
            <w:r w:rsidRPr="00E332DE">
              <w:rPr>
                <w:rFonts w:ascii="Calibri" w:eastAsia="Times New Roman" w:hAnsi="Calibri" w:cs="Calibri"/>
                <w:color w:val="000000"/>
                <w:lang w:eastAsia="en-GB"/>
              </w:rPr>
              <w:t>b)</w:t>
            </w:r>
            <w:r>
              <w:rPr>
                <w:rFonts w:ascii="Calibri" w:eastAsia="Times New Roman" w:hAnsi="Calibri" w:cs="Calibri"/>
                <w:color w:val="000000"/>
                <w:lang w:eastAsia="en-GB"/>
              </w:rPr>
              <w:t xml:space="preserve"> </w:t>
            </w:r>
            <w:r w:rsidRPr="00E332DE">
              <w:rPr>
                <w:rFonts w:ascii="Calibri" w:eastAsia="Times New Roman" w:hAnsi="Calibri" w:cs="Calibri"/>
                <w:color w:val="000000"/>
                <w:lang w:eastAsia="en-GB"/>
              </w:rPr>
              <w:t>To monitor and then reduce the number of children suffering a dislocated hip or needing major reconstructive hip surgery</w:t>
            </w:r>
          </w:p>
          <w:p w:rsidR="002A4EBE" w:rsidRPr="00F818CB" w:rsidRDefault="002A4EBE" w:rsidP="00D7784A">
            <w:pPr>
              <w:rPr>
                <w:rFonts w:ascii="Calibri" w:eastAsia="Times New Roman" w:hAnsi="Calibri" w:cs="Calibri"/>
                <w:color w:val="000000"/>
                <w:lang w:eastAsia="en-GB"/>
              </w:rPr>
            </w:pPr>
            <w:r w:rsidRPr="00E332DE">
              <w:rPr>
                <w:rFonts w:ascii="Calibri" w:eastAsia="Times New Roman" w:hAnsi="Calibri" w:cs="Calibri"/>
                <w:color w:val="000000"/>
                <w:lang w:eastAsia="en-GB"/>
              </w:rPr>
              <w:t>c)</w:t>
            </w:r>
            <w:r>
              <w:rPr>
                <w:rFonts w:ascii="Calibri" w:eastAsia="Times New Roman" w:hAnsi="Calibri" w:cs="Calibri"/>
                <w:color w:val="000000"/>
                <w:lang w:eastAsia="en-GB"/>
              </w:rPr>
              <w:t xml:space="preserve"> </w:t>
            </w:r>
            <w:r w:rsidRPr="00E332DE">
              <w:rPr>
                <w:rFonts w:ascii="Calibri" w:eastAsia="Times New Roman" w:hAnsi="Calibri" w:cs="Calibri"/>
                <w:color w:val="000000"/>
                <w:lang w:eastAsia="en-GB"/>
              </w:rPr>
              <w:t>Any other areas the clinical team sees necessary.</w:t>
            </w:r>
          </w:p>
        </w:tc>
        <w:tc>
          <w:tcPr>
            <w:tcW w:w="4531" w:type="dxa"/>
          </w:tcPr>
          <w:p w:rsidR="002A4EBE" w:rsidRDefault="002A4EBE" w:rsidP="00D7784A">
            <w:pPr>
              <w:pStyle w:val="ListParagraph"/>
              <w:ind w:left="0"/>
            </w:pPr>
            <w:r>
              <w:lastRenderedPageBreak/>
              <w:t>Include copy of audit (without Patient Identifiable data)</w:t>
            </w:r>
          </w:p>
        </w:tc>
      </w:tr>
      <w:tr w:rsidR="002A4EBE" w:rsidTr="008446CE">
        <w:trPr>
          <w:trHeight w:val="1455"/>
        </w:trPr>
        <w:tc>
          <w:tcPr>
            <w:tcW w:w="946" w:type="dxa"/>
            <w:vMerge/>
          </w:tcPr>
          <w:p w:rsidR="002A4EBE" w:rsidRDefault="002A4EBE" w:rsidP="00D7784A">
            <w:pPr>
              <w:pStyle w:val="ListParagraph"/>
              <w:ind w:left="0"/>
            </w:pPr>
          </w:p>
        </w:tc>
        <w:tc>
          <w:tcPr>
            <w:tcW w:w="1415" w:type="dxa"/>
            <w:vMerge/>
          </w:tcPr>
          <w:p w:rsidR="002A4EBE" w:rsidRDefault="002A4EBE" w:rsidP="00D7784A">
            <w:pPr>
              <w:pStyle w:val="ListParagraph"/>
              <w:ind w:left="0"/>
            </w:pPr>
          </w:p>
        </w:tc>
        <w:tc>
          <w:tcPr>
            <w:tcW w:w="3871" w:type="dxa"/>
            <w:vMerge/>
            <w:vAlign w:val="center"/>
          </w:tcPr>
          <w:p w:rsidR="002A4EBE" w:rsidRPr="00E332DE" w:rsidRDefault="002A4EBE" w:rsidP="008446CE">
            <w:pPr>
              <w:rPr>
                <w:rFonts w:ascii="Calibri" w:eastAsia="Times New Roman" w:hAnsi="Calibri" w:cs="Calibri"/>
                <w:color w:val="000000"/>
                <w:lang w:eastAsia="en-GB"/>
              </w:rPr>
            </w:pPr>
          </w:p>
        </w:tc>
        <w:tc>
          <w:tcPr>
            <w:tcW w:w="4531" w:type="dxa"/>
          </w:tcPr>
          <w:p w:rsidR="002A4EBE" w:rsidRDefault="002A4EBE" w:rsidP="00D7784A">
            <w:pPr>
              <w:pStyle w:val="ListParagraph"/>
              <w:ind w:left="0"/>
            </w:pPr>
            <w:r>
              <w:object w:dxaOrig="1440" w:dyaOrig="1440">
                <v:shape id="_x0000_i1030" type="#_x0000_t75" style="width:121.2pt;height:40.8pt" o:ole="">
                  <v:imagedata r:id="rId11" o:title=""/>
                </v:shape>
                <w:control r:id="rId12" w:name="CommandButton1" w:shapeid="_x0000_i1030"/>
              </w:object>
            </w:r>
          </w:p>
        </w:tc>
      </w:tr>
      <w:tr w:rsidR="008446CE" w:rsidTr="00102943">
        <w:trPr>
          <w:trHeight w:val="1070"/>
        </w:trPr>
        <w:tc>
          <w:tcPr>
            <w:tcW w:w="946" w:type="dxa"/>
            <w:vMerge w:val="restart"/>
          </w:tcPr>
          <w:p w:rsidR="008446CE" w:rsidRDefault="008446CE" w:rsidP="00102943">
            <w:pPr>
              <w:pStyle w:val="ListParagraph"/>
              <w:ind w:left="0"/>
            </w:pPr>
            <w:r>
              <w:t>Trigger 5</w:t>
            </w:r>
          </w:p>
        </w:tc>
        <w:tc>
          <w:tcPr>
            <w:tcW w:w="1415" w:type="dxa"/>
            <w:vMerge w:val="restart"/>
          </w:tcPr>
          <w:p w:rsidR="008446CE" w:rsidRDefault="008446CE" w:rsidP="00102943">
            <w:pPr>
              <w:pStyle w:val="ListParagraph"/>
              <w:ind w:left="0"/>
            </w:pPr>
            <w:r w:rsidRPr="008079D2">
              <w:rPr>
                <w:rFonts w:ascii="Calibri" w:eastAsia="Times New Roman" w:hAnsi="Calibri" w:cs="Calibri"/>
                <w:color w:val="000000"/>
                <w:lang w:eastAsia="en-GB"/>
              </w:rPr>
              <w:t>Centre contributions and cooperation towards national CPIP</w:t>
            </w:r>
          </w:p>
          <w:p w:rsidR="008446CE" w:rsidRDefault="008446CE" w:rsidP="00102943">
            <w:pPr>
              <w:pStyle w:val="ListParagraph"/>
              <w:ind w:left="0"/>
            </w:pPr>
          </w:p>
        </w:tc>
        <w:tc>
          <w:tcPr>
            <w:tcW w:w="3871" w:type="dxa"/>
            <w:vAlign w:val="center"/>
          </w:tcPr>
          <w:p w:rsidR="008446CE" w:rsidRPr="00102943" w:rsidRDefault="008446CE" w:rsidP="00102943">
            <w:pPr>
              <w:rPr>
                <w:rFonts w:ascii="Calibri" w:eastAsia="Times New Roman" w:hAnsi="Calibri" w:cs="Calibri"/>
                <w:color w:val="000000"/>
                <w:lang w:eastAsia="en-GB"/>
              </w:rPr>
            </w:pPr>
            <w:r w:rsidRPr="00102943">
              <w:rPr>
                <w:rFonts w:cs="Arial"/>
                <w:szCs w:val="24"/>
              </w:rPr>
              <w:t>Contributions towards the costs of achieving CPIP data flows, to be paid to Dundee University</w:t>
            </w:r>
            <w:r>
              <w:rPr>
                <w:rFonts w:cs="Arial"/>
                <w:szCs w:val="24"/>
              </w:rPr>
              <w:t>.</w:t>
            </w:r>
          </w:p>
        </w:tc>
        <w:tc>
          <w:tcPr>
            <w:tcW w:w="4531" w:type="dxa"/>
          </w:tcPr>
          <w:p w:rsidR="008446CE" w:rsidRDefault="008446CE" w:rsidP="00102943">
            <w:pPr>
              <w:pStyle w:val="ListParagraph"/>
              <w:ind w:left="0"/>
            </w:pPr>
            <w:r>
              <w:t>Contributions will be confirmed centrally by Dundee University</w:t>
            </w:r>
          </w:p>
        </w:tc>
      </w:tr>
      <w:tr w:rsidR="008446CE" w:rsidTr="008446CE">
        <w:trPr>
          <w:trHeight w:val="502"/>
        </w:trPr>
        <w:tc>
          <w:tcPr>
            <w:tcW w:w="946" w:type="dxa"/>
            <w:vMerge/>
          </w:tcPr>
          <w:p w:rsidR="008446CE" w:rsidRDefault="008446CE" w:rsidP="00102943">
            <w:pPr>
              <w:pStyle w:val="ListParagraph"/>
              <w:ind w:left="0"/>
            </w:pPr>
          </w:p>
        </w:tc>
        <w:tc>
          <w:tcPr>
            <w:tcW w:w="1415" w:type="dxa"/>
            <w:vMerge/>
          </w:tcPr>
          <w:p w:rsidR="008446CE" w:rsidRDefault="008446CE" w:rsidP="00102943">
            <w:pPr>
              <w:pStyle w:val="ListParagraph"/>
              <w:ind w:left="0"/>
            </w:pPr>
          </w:p>
        </w:tc>
        <w:tc>
          <w:tcPr>
            <w:tcW w:w="3871" w:type="dxa"/>
            <w:vMerge w:val="restart"/>
            <w:vAlign w:val="center"/>
          </w:tcPr>
          <w:p w:rsidR="008446CE" w:rsidRPr="00F818CB" w:rsidRDefault="008446CE" w:rsidP="00102943">
            <w:pPr>
              <w:rPr>
                <w:rFonts w:ascii="Calibri" w:eastAsia="Times New Roman" w:hAnsi="Calibri" w:cs="Calibri"/>
                <w:color w:val="000000"/>
                <w:lang w:eastAsia="en-GB"/>
              </w:rPr>
            </w:pPr>
            <w:r w:rsidRPr="00753C3A">
              <w:rPr>
                <w:rFonts w:ascii="Calibri" w:eastAsia="Times New Roman" w:hAnsi="Calibri" w:cs="Calibri"/>
                <w:color w:val="000000"/>
                <w:lang w:eastAsia="en-GB"/>
              </w:rPr>
              <w:t>Every centre to adopt the international protocol for CPIPs as outlined by APCP and BSCOS by end of Q2 - Year One.  CRG to confirm that data is flowing showing participation in CPIP.</w:t>
            </w:r>
          </w:p>
        </w:tc>
        <w:tc>
          <w:tcPr>
            <w:tcW w:w="4531" w:type="dxa"/>
          </w:tcPr>
          <w:p w:rsidR="008446CE" w:rsidRDefault="008446CE" w:rsidP="00102943">
            <w:pPr>
              <w:pStyle w:val="ListParagraph"/>
              <w:ind w:left="0"/>
            </w:pPr>
            <w:r>
              <w:t>Confirm adoption of international protocol</w:t>
            </w:r>
          </w:p>
        </w:tc>
      </w:tr>
      <w:tr w:rsidR="008446CE" w:rsidTr="00996A3B">
        <w:trPr>
          <w:trHeight w:val="1135"/>
        </w:trPr>
        <w:tc>
          <w:tcPr>
            <w:tcW w:w="946" w:type="dxa"/>
            <w:vMerge/>
          </w:tcPr>
          <w:p w:rsidR="008446CE" w:rsidRDefault="008446CE" w:rsidP="00102943">
            <w:pPr>
              <w:pStyle w:val="ListParagraph"/>
              <w:ind w:left="0"/>
            </w:pPr>
          </w:p>
        </w:tc>
        <w:tc>
          <w:tcPr>
            <w:tcW w:w="1415" w:type="dxa"/>
            <w:vMerge/>
          </w:tcPr>
          <w:p w:rsidR="008446CE" w:rsidRDefault="008446CE" w:rsidP="00102943">
            <w:pPr>
              <w:pStyle w:val="ListParagraph"/>
              <w:ind w:left="0"/>
            </w:pPr>
          </w:p>
        </w:tc>
        <w:tc>
          <w:tcPr>
            <w:tcW w:w="3871" w:type="dxa"/>
            <w:vMerge/>
            <w:vAlign w:val="center"/>
          </w:tcPr>
          <w:p w:rsidR="008446CE" w:rsidRPr="00753C3A" w:rsidRDefault="008446CE" w:rsidP="00102943">
            <w:pPr>
              <w:rPr>
                <w:rFonts w:ascii="Calibri" w:eastAsia="Times New Roman" w:hAnsi="Calibri" w:cs="Calibri"/>
                <w:color w:val="000000"/>
                <w:lang w:eastAsia="en-GB"/>
              </w:rPr>
            </w:pPr>
          </w:p>
        </w:tc>
        <w:tc>
          <w:tcPr>
            <w:tcW w:w="4531" w:type="dxa"/>
          </w:tcPr>
          <w:p w:rsidR="008446CE" w:rsidRPr="008446CE" w:rsidRDefault="008446CE" w:rsidP="00102943">
            <w:pPr>
              <w:pStyle w:val="ListParagraph"/>
              <w:ind w:left="0"/>
              <w:rPr>
                <w:i/>
              </w:rPr>
            </w:pPr>
            <w:r w:rsidRPr="008446CE">
              <w:rPr>
                <w:i/>
                <w:color w:val="A6A6A6" w:themeColor="background1" w:themeShade="A6"/>
              </w:rPr>
              <w:t>Enter text</w:t>
            </w:r>
          </w:p>
        </w:tc>
      </w:tr>
    </w:tbl>
    <w:p w:rsidR="00D7784A" w:rsidRDefault="00D7784A" w:rsidP="00C96A7D">
      <w:pPr>
        <w:pStyle w:val="ListParagraph"/>
        <w:ind w:left="284"/>
      </w:pPr>
    </w:p>
    <w:bookmarkEnd w:id="1"/>
    <w:p w:rsidR="009B1641" w:rsidRDefault="009B1641">
      <w:pPr>
        <w:rPr>
          <w:b/>
        </w:rPr>
      </w:pPr>
      <w:r>
        <w:rPr>
          <w:b/>
        </w:rPr>
        <w:br w:type="page"/>
      </w:r>
    </w:p>
    <w:p w:rsidR="00D7784A" w:rsidRDefault="00D7784A" w:rsidP="00D7784A">
      <w:pPr>
        <w:pStyle w:val="Heading2"/>
        <w:rPr>
          <w:b/>
        </w:rPr>
      </w:pPr>
      <w:r w:rsidRPr="009B1641">
        <w:rPr>
          <w:b/>
        </w:rPr>
        <w:lastRenderedPageBreak/>
        <w:t xml:space="preserve">Quarter </w:t>
      </w:r>
      <w:r>
        <w:rPr>
          <w:b/>
        </w:rPr>
        <w:t>3</w:t>
      </w:r>
    </w:p>
    <w:tbl>
      <w:tblPr>
        <w:tblStyle w:val="TableGrid"/>
        <w:tblW w:w="0" w:type="auto"/>
        <w:tblLook w:val="04A0" w:firstRow="1" w:lastRow="0" w:firstColumn="1" w:lastColumn="0" w:noHBand="0" w:noVBand="1"/>
      </w:tblPr>
      <w:tblGrid>
        <w:gridCol w:w="846"/>
        <w:gridCol w:w="1556"/>
        <w:gridCol w:w="4681"/>
        <w:gridCol w:w="3680"/>
      </w:tblGrid>
      <w:tr w:rsidR="00D7784A" w:rsidTr="00C21714">
        <w:tc>
          <w:tcPr>
            <w:tcW w:w="846" w:type="dxa"/>
          </w:tcPr>
          <w:p w:rsidR="00D7784A" w:rsidRDefault="00D7784A" w:rsidP="00D7784A"/>
        </w:tc>
        <w:tc>
          <w:tcPr>
            <w:tcW w:w="1556" w:type="dxa"/>
          </w:tcPr>
          <w:p w:rsidR="00D7784A" w:rsidRDefault="00D7784A" w:rsidP="00D7784A"/>
        </w:tc>
        <w:tc>
          <w:tcPr>
            <w:tcW w:w="4681" w:type="dxa"/>
          </w:tcPr>
          <w:p w:rsidR="00D7784A" w:rsidRDefault="00D7784A" w:rsidP="00D7784A"/>
        </w:tc>
        <w:tc>
          <w:tcPr>
            <w:tcW w:w="3680" w:type="dxa"/>
          </w:tcPr>
          <w:p w:rsidR="00D7784A" w:rsidRDefault="00D7784A" w:rsidP="00D7784A"/>
        </w:tc>
      </w:tr>
      <w:tr w:rsidR="008446CE" w:rsidTr="00C21714">
        <w:trPr>
          <w:trHeight w:val="928"/>
        </w:trPr>
        <w:tc>
          <w:tcPr>
            <w:tcW w:w="846" w:type="dxa"/>
            <w:vMerge w:val="restart"/>
            <w:vAlign w:val="center"/>
          </w:tcPr>
          <w:p w:rsidR="008446CE" w:rsidRPr="00F818CB" w:rsidRDefault="008446CE" w:rsidP="00D7784A">
            <w:pPr>
              <w:rPr>
                <w:rFonts w:ascii="Calibri" w:eastAsia="Times New Roman" w:hAnsi="Calibri" w:cs="Calibri"/>
                <w:color w:val="000000"/>
                <w:lang w:eastAsia="en-GB"/>
              </w:rPr>
            </w:pPr>
            <w:r w:rsidRPr="00F818CB">
              <w:rPr>
                <w:rFonts w:ascii="Calibri" w:eastAsia="Times New Roman" w:hAnsi="Calibri" w:cs="Calibri"/>
                <w:color w:val="000000"/>
                <w:lang w:eastAsia="en-GB"/>
              </w:rPr>
              <w:t>Trigger 1</w:t>
            </w:r>
          </w:p>
        </w:tc>
        <w:tc>
          <w:tcPr>
            <w:tcW w:w="1556" w:type="dxa"/>
            <w:vMerge w:val="restart"/>
            <w:vAlign w:val="center"/>
          </w:tcPr>
          <w:p w:rsidR="008446CE" w:rsidRPr="00C53094" w:rsidRDefault="008446CE" w:rsidP="00D7784A">
            <w:r>
              <w:t>MDT assessment</w:t>
            </w:r>
          </w:p>
        </w:tc>
        <w:tc>
          <w:tcPr>
            <w:tcW w:w="4681" w:type="dxa"/>
            <w:vMerge w:val="restart"/>
            <w:vAlign w:val="center"/>
          </w:tcPr>
          <w:p w:rsidR="008446CE" w:rsidRDefault="008446CE" w:rsidP="00D7784A">
            <w:r w:rsidRPr="00C53094">
              <w:t xml:space="preserve">At least 66% in Year 1 (from July to March only) of newly referred patients (the denominator) to undergo virtual MDT: </w:t>
            </w:r>
          </w:p>
          <w:p w:rsidR="008446CE" w:rsidRPr="00C53094" w:rsidRDefault="008446CE" w:rsidP="00D7784A">
            <w:pPr>
              <w:rPr>
                <w:bCs/>
              </w:rPr>
            </w:pPr>
          </w:p>
          <w:p w:rsidR="008446CE" w:rsidRPr="00C53094" w:rsidRDefault="008446CE" w:rsidP="00D7784A">
            <w:r w:rsidRPr="00C53094">
              <w:t xml:space="preserve">Numerator: Number of patients who are referred to movement therapy services who undergo a virtual MDT review within 18 weeks of referral carried out by an interdisciplinary and multidisciplinary panel. </w:t>
            </w:r>
          </w:p>
          <w:p w:rsidR="008446CE" w:rsidRPr="00C53094" w:rsidRDefault="008446CE" w:rsidP="00D7784A">
            <w:r w:rsidRPr="00C53094">
              <w:t xml:space="preserve">Denominator: Number of children referred for consideration of movement therapy within centre catchment area (defined in section B4) </w:t>
            </w:r>
          </w:p>
          <w:p w:rsidR="008446CE" w:rsidRPr="00F818CB" w:rsidRDefault="008446CE" w:rsidP="00D7784A">
            <w:pPr>
              <w:rPr>
                <w:rFonts w:ascii="Calibri" w:eastAsia="Times New Roman" w:hAnsi="Calibri" w:cs="Calibri"/>
                <w:color w:val="000000"/>
                <w:lang w:eastAsia="en-GB"/>
              </w:rPr>
            </w:pPr>
          </w:p>
        </w:tc>
        <w:tc>
          <w:tcPr>
            <w:tcW w:w="3680" w:type="dxa"/>
          </w:tcPr>
          <w:p w:rsidR="008446CE" w:rsidRDefault="008446CE" w:rsidP="00D7784A">
            <w:r>
              <w:t>Include detail of no. patients assessed, treatment pathway &amp; dates of virtual review.</w:t>
            </w:r>
          </w:p>
        </w:tc>
      </w:tr>
      <w:tr w:rsidR="008446CE" w:rsidTr="00C21714">
        <w:trPr>
          <w:trHeight w:val="3535"/>
        </w:trPr>
        <w:tc>
          <w:tcPr>
            <w:tcW w:w="846" w:type="dxa"/>
            <w:vMerge/>
            <w:vAlign w:val="center"/>
          </w:tcPr>
          <w:p w:rsidR="008446CE" w:rsidRPr="00F818CB" w:rsidRDefault="008446CE" w:rsidP="00D7784A">
            <w:pPr>
              <w:rPr>
                <w:rFonts w:ascii="Calibri" w:eastAsia="Times New Roman" w:hAnsi="Calibri" w:cs="Calibri"/>
                <w:color w:val="000000"/>
                <w:lang w:eastAsia="en-GB"/>
              </w:rPr>
            </w:pPr>
          </w:p>
        </w:tc>
        <w:tc>
          <w:tcPr>
            <w:tcW w:w="1556" w:type="dxa"/>
            <w:vMerge/>
            <w:vAlign w:val="center"/>
          </w:tcPr>
          <w:p w:rsidR="008446CE" w:rsidRDefault="008446CE" w:rsidP="00D7784A"/>
        </w:tc>
        <w:tc>
          <w:tcPr>
            <w:tcW w:w="4681" w:type="dxa"/>
            <w:vMerge/>
            <w:vAlign w:val="center"/>
          </w:tcPr>
          <w:p w:rsidR="008446CE" w:rsidRPr="00C53094" w:rsidRDefault="008446CE" w:rsidP="00D7784A"/>
        </w:tc>
        <w:tc>
          <w:tcPr>
            <w:tcW w:w="3680" w:type="dxa"/>
          </w:tcPr>
          <w:p w:rsidR="008446CE" w:rsidRPr="008446CE" w:rsidRDefault="008446CE" w:rsidP="00D7784A">
            <w:pPr>
              <w:rPr>
                <w:i/>
              </w:rPr>
            </w:pPr>
            <w:r w:rsidRPr="008446CE">
              <w:rPr>
                <w:i/>
                <w:color w:val="A6A6A6" w:themeColor="background1" w:themeShade="A6"/>
              </w:rPr>
              <w:t>Enter text</w:t>
            </w:r>
          </w:p>
        </w:tc>
      </w:tr>
      <w:tr w:rsidR="003931D1" w:rsidTr="00C21714">
        <w:trPr>
          <w:trHeight w:val="552"/>
        </w:trPr>
        <w:tc>
          <w:tcPr>
            <w:tcW w:w="846" w:type="dxa"/>
            <w:vMerge w:val="restart"/>
            <w:vAlign w:val="center"/>
          </w:tcPr>
          <w:p w:rsidR="003931D1" w:rsidRPr="00F818CB" w:rsidRDefault="003931D1" w:rsidP="00D7784A">
            <w:pPr>
              <w:rPr>
                <w:rFonts w:ascii="Calibri" w:eastAsia="Times New Roman" w:hAnsi="Calibri" w:cs="Calibri"/>
                <w:color w:val="000000"/>
                <w:lang w:eastAsia="en-GB"/>
              </w:rPr>
            </w:pPr>
            <w:r>
              <w:rPr>
                <w:rFonts w:ascii="Calibri" w:eastAsia="Times New Roman" w:hAnsi="Calibri" w:cs="Calibri"/>
                <w:color w:val="000000"/>
                <w:lang w:eastAsia="en-GB"/>
              </w:rPr>
              <w:t>Trigger 2</w:t>
            </w:r>
          </w:p>
        </w:tc>
        <w:tc>
          <w:tcPr>
            <w:tcW w:w="1556" w:type="dxa"/>
            <w:vMerge w:val="restart"/>
          </w:tcPr>
          <w:p w:rsidR="003931D1" w:rsidRPr="00F818CB" w:rsidRDefault="003931D1" w:rsidP="00D7784A">
            <w:pPr>
              <w:rPr>
                <w:rFonts w:ascii="Calibri" w:eastAsia="Times New Roman" w:hAnsi="Calibri" w:cs="Calibri"/>
                <w:color w:val="000000"/>
                <w:lang w:eastAsia="en-GB"/>
              </w:rPr>
            </w:pPr>
            <w:r>
              <w:rPr>
                <w:rFonts w:ascii="Calibri" w:eastAsia="Times New Roman" w:hAnsi="Calibri" w:cs="Calibri"/>
                <w:color w:val="000000"/>
                <w:lang w:eastAsia="en-GB"/>
              </w:rPr>
              <w:t xml:space="preserve">Recording of CPIP </w:t>
            </w:r>
          </w:p>
        </w:tc>
        <w:tc>
          <w:tcPr>
            <w:tcW w:w="4681" w:type="dxa"/>
            <w:vMerge w:val="restart"/>
            <w:vAlign w:val="center"/>
          </w:tcPr>
          <w:p w:rsidR="003931D1" w:rsidRDefault="003931D1" w:rsidP="00D7784A">
            <w:r>
              <w:t xml:space="preserve">50%-66% (full payment) of CP patients requiring CPIP assessment in the second half of the year across England to </w:t>
            </w:r>
            <w:r w:rsidRPr="00B37864">
              <w:t xml:space="preserve">have </w:t>
            </w:r>
            <w:r>
              <w:t xml:space="preserve">had CPIP </w:t>
            </w:r>
            <w:r w:rsidRPr="00B37864">
              <w:t xml:space="preserve">assessments entered onto the </w:t>
            </w:r>
            <w:r>
              <w:t>CPIP</w:t>
            </w:r>
            <w:r w:rsidRPr="00951577">
              <w:t xml:space="preserve"> Database</w:t>
            </w:r>
            <w:r w:rsidRPr="00B37864">
              <w:t xml:space="preserve">. </w:t>
            </w:r>
          </w:p>
          <w:p w:rsidR="003931D1" w:rsidRPr="000A6B1A" w:rsidRDefault="003931D1" w:rsidP="00D7784A">
            <w:pPr>
              <w:spacing w:after="160" w:line="259" w:lineRule="auto"/>
            </w:pPr>
            <w:r>
              <w:t xml:space="preserve">Denominator. The </w:t>
            </w:r>
            <w:r w:rsidRPr="007D269C">
              <w:t>CRG</w:t>
            </w:r>
            <w:r>
              <w:t xml:space="preserve"> will estimate the number of patients for whom a CPIP assessment would be expected in each period.</w:t>
            </w:r>
          </w:p>
        </w:tc>
        <w:tc>
          <w:tcPr>
            <w:tcW w:w="3680" w:type="dxa"/>
          </w:tcPr>
          <w:p w:rsidR="003931D1" w:rsidRDefault="003931D1" w:rsidP="00D7784A">
            <w:r>
              <w:t>Include detail of no. patients entered onto CPIP database</w:t>
            </w:r>
          </w:p>
        </w:tc>
      </w:tr>
      <w:tr w:rsidR="003931D1" w:rsidTr="00C21714">
        <w:trPr>
          <w:trHeight w:val="2403"/>
        </w:trPr>
        <w:tc>
          <w:tcPr>
            <w:tcW w:w="846" w:type="dxa"/>
            <w:vMerge/>
            <w:vAlign w:val="center"/>
          </w:tcPr>
          <w:p w:rsidR="003931D1" w:rsidRDefault="003931D1" w:rsidP="00D7784A">
            <w:pPr>
              <w:rPr>
                <w:rFonts w:ascii="Calibri" w:eastAsia="Times New Roman" w:hAnsi="Calibri" w:cs="Calibri"/>
                <w:color w:val="000000"/>
                <w:lang w:eastAsia="en-GB"/>
              </w:rPr>
            </w:pPr>
          </w:p>
        </w:tc>
        <w:tc>
          <w:tcPr>
            <w:tcW w:w="1556" w:type="dxa"/>
            <w:vMerge/>
          </w:tcPr>
          <w:p w:rsidR="003931D1" w:rsidRDefault="003931D1" w:rsidP="00D7784A">
            <w:pPr>
              <w:rPr>
                <w:rFonts w:ascii="Calibri" w:eastAsia="Times New Roman" w:hAnsi="Calibri" w:cs="Calibri"/>
                <w:color w:val="000000"/>
                <w:lang w:eastAsia="en-GB"/>
              </w:rPr>
            </w:pPr>
          </w:p>
        </w:tc>
        <w:tc>
          <w:tcPr>
            <w:tcW w:w="4681" w:type="dxa"/>
            <w:vMerge/>
            <w:vAlign w:val="center"/>
          </w:tcPr>
          <w:p w:rsidR="003931D1" w:rsidRDefault="003931D1" w:rsidP="00D7784A"/>
        </w:tc>
        <w:tc>
          <w:tcPr>
            <w:tcW w:w="3680" w:type="dxa"/>
          </w:tcPr>
          <w:p w:rsidR="003931D1" w:rsidRDefault="003931D1" w:rsidP="00D7784A">
            <w:r w:rsidRPr="008446CE">
              <w:rPr>
                <w:i/>
                <w:color w:val="A6A6A6" w:themeColor="background1" w:themeShade="A6"/>
              </w:rPr>
              <w:t>Enter text</w:t>
            </w:r>
          </w:p>
        </w:tc>
      </w:tr>
      <w:tr w:rsidR="003931D1" w:rsidTr="00C21714">
        <w:trPr>
          <w:trHeight w:val="410"/>
        </w:trPr>
        <w:tc>
          <w:tcPr>
            <w:tcW w:w="846" w:type="dxa"/>
            <w:vMerge w:val="restart"/>
            <w:vAlign w:val="center"/>
          </w:tcPr>
          <w:p w:rsidR="003931D1" w:rsidRPr="00F818CB" w:rsidRDefault="003931D1" w:rsidP="00D7784A">
            <w:pPr>
              <w:rPr>
                <w:rFonts w:ascii="Calibri" w:eastAsia="Times New Roman" w:hAnsi="Calibri" w:cs="Calibri"/>
                <w:color w:val="000000"/>
                <w:lang w:eastAsia="en-GB"/>
              </w:rPr>
            </w:pPr>
            <w:r>
              <w:rPr>
                <w:rFonts w:ascii="Calibri" w:eastAsia="Times New Roman" w:hAnsi="Calibri" w:cs="Calibri"/>
                <w:color w:val="000000"/>
                <w:lang w:eastAsia="en-GB"/>
              </w:rPr>
              <w:t>Trigger 3</w:t>
            </w:r>
          </w:p>
        </w:tc>
        <w:tc>
          <w:tcPr>
            <w:tcW w:w="1556" w:type="dxa"/>
            <w:vMerge w:val="restart"/>
          </w:tcPr>
          <w:p w:rsidR="003931D1" w:rsidRPr="00F818CB" w:rsidRDefault="003931D1" w:rsidP="00D7784A">
            <w:pPr>
              <w:rPr>
                <w:rFonts w:ascii="Calibri" w:eastAsia="Times New Roman" w:hAnsi="Calibri" w:cs="Calibri"/>
                <w:color w:val="000000"/>
                <w:lang w:eastAsia="en-GB"/>
              </w:rPr>
            </w:pPr>
            <w:r>
              <w:rPr>
                <w:rFonts w:ascii="Calibri" w:eastAsia="Times New Roman" w:hAnsi="Calibri" w:cs="Calibri"/>
                <w:color w:val="000000"/>
                <w:lang w:eastAsia="en-GB"/>
              </w:rPr>
              <w:t>Host &amp; Network Model</w:t>
            </w:r>
          </w:p>
        </w:tc>
        <w:tc>
          <w:tcPr>
            <w:tcW w:w="4681" w:type="dxa"/>
            <w:vMerge w:val="restart"/>
            <w:vAlign w:val="center"/>
          </w:tcPr>
          <w:p w:rsidR="003931D1" w:rsidRPr="003931D1" w:rsidRDefault="003931D1" w:rsidP="003931D1">
            <w:pPr>
              <w:spacing w:after="200" w:line="276" w:lineRule="auto"/>
            </w:pPr>
            <w:r w:rsidRPr="00B50290">
              <w:t>Network members to be meeting every quarter (first meeting by not later Q2 - Year One).  It is the responsibility of the centre to organise. We expect the co-ordinators between sites and PT reps to meet monthly.</w:t>
            </w:r>
          </w:p>
        </w:tc>
        <w:tc>
          <w:tcPr>
            <w:tcW w:w="3680" w:type="dxa"/>
          </w:tcPr>
          <w:p w:rsidR="003931D1" w:rsidRDefault="003931D1" w:rsidP="00D7784A">
            <w:r>
              <w:t>Attach network minutes</w:t>
            </w:r>
          </w:p>
        </w:tc>
      </w:tr>
      <w:tr w:rsidR="003931D1" w:rsidTr="00C21714">
        <w:trPr>
          <w:trHeight w:val="725"/>
        </w:trPr>
        <w:tc>
          <w:tcPr>
            <w:tcW w:w="846" w:type="dxa"/>
            <w:vMerge/>
            <w:vAlign w:val="center"/>
          </w:tcPr>
          <w:p w:rsidR="003931D1" w:rsidRDefault="003931D1" w:rsidP="00D7784A">
            <w:pPr>
              <w:rPr>
                <w:rFonts w:ascii="Calibri" w:eastAsia="Times New Roman" w:hAnsi="Calibri" w:cs="Calibri"/>
                <w:color w:val="000000"/>
                <w:lang w:eastAsia="en-GB"/>
              </w:rPr>
            </w:pPr>
          </w:p>
        </w:tc>
        <w:tc>
          <w:tcPr>
            <w:tcW w:w="1556" w:type="dxa"/>
            <w:vMerge/>
          </w:tcPr>
          <w:p w:rsidR="003931D1" w:rsidRDefault="003931D1" w:rsidP="00D7784A">
            <w:pPr>
              <w:rPr>
                <w:rFonts w:ascii="Calibri" w:eastAsia="Times New Roman" w:hAnsi="Calibri" w:cs="Calibri"/>
                <w:color w:val="000000"/>
                <w:lang w:eastAsia="en-GB"/>
              </w:rPr>
            </w:pPr>
          </w:p>
        </w:tc>
        <w:tc>
          <w:tcPr>
            <w:tcW w:w="4681" w:type="dxa"/>
            <w:vMerge/>
            <w:vAlign w:val="center"/>
          </w:tcPr>
          <w:p w:rsidR="003931D1" w:rsidRPr="00B50290" w:rsidRDefault="003931D1" w:rsidP="003931D1">
            <w:pPr>
              <w:spacing w:after="200" w:line="276" w:lineRule="auto"/>
            </w:pPr>
          </w:p>
        </w:tc>
        <w:tc>
          <w:tcPr>
            <w:tcW w:w="3680" w:type="dxa"/>
          </w:tcPr>
          <w:p w:rsidR="003931D1" w:rsidRDefault="003931D1" w:rsidP="00D7784A">
            <w:r>
              <w:object w:dxaOrig="1440" w:dyaOrig="1440">
                <v:shape id="_x0000_i1032" type="#_x0000_t75" style="width:121.2pt;height:40.8pt" o:ole="">
                  <v:imagedata r:id="rId13" o:title=""/>
                </v:shape>
                <w:control r:id="rId14" w:name="CommandButton13" w:shapeid="_x0000_i1032"/>
              </w:object>
            </w:r>
          </w:p>
        </w:tc>
      </w:tr>
      <w:tr w:rsidR="003931D1" w:rsidTr="00C21714">
        <w:trPr>
          <w:trHeight w:val="635"/>
        </w:trPr>
        <w:tc>
          <w:tcPr>
            <w:tcW w:w="846" w:type="dxa"/>
            <w:vMerge/>
            <w:vAlign w:val="center"/>
          </w:tcPr>
          <w:p w:rsidR="003931D1" w:rsidRDefault="003931D1" w:rsidP="00D7784A">
            <w:pPr>
              <w:rPr>
                <w:rFonts w:ascii="Calibri" w:eastAsia="Times New Roman" w:hAnsi="Calibri" w:cs="Calibri"/>
                <w:color w:val="000000"/>
                <w:lang w:eastAsia="en-GB"/>
              </w:rPr>
            </w:pPr>
          </w:p>
        </w:tc>
        <w:tc>
          <w:tcPr>
            <w:tcW w:w="1556" w:type="dxa"/>
            <w:vMerge/>
          </w:tcPr>
          <w:p w:rsidR="003931D1" w:rsidRDefault="003931D1" w:rsidP="00D7784A">
            <w:pPr>
              <w:rPr>
                <w:rFonts w:ascii="Calibri" w:eastAsia="Times New Roman" w:hAnsi="Calibri" w:cs="Calibri"/>
                <w:color w:val="000000"/>
                <w:lang w:eastAsia="en-GB"/>
              </w:rPr>
            </w:pPr>
          </w:p>
        </w:tc>
        <w:tc>
          <w:tcPr>
            <w:tcW w:w="4681" w:type="dxa"/>
            <w:vMerge w:val="restart"/>
            <w:vAlign w:val="center"/>
          </w:tcPr>
          <w:p w:rsidR="003931D1" w:rsidRDefault="003931D1" w:rsidP="002A29B5">
            <w:pPr>
              <w:spacing w:after="200" w:line="276" w:lineRule="auto"/>
            </w:pPr>
            <w:r w:rsidRPr="00B50290">
              <w:t xml:space="preserve">To have </w:t>
            </w:r>
            <w:r w:rsidRPr="00FE41F5">
              <w:t>pathways agreed and MD teams operat</w:t>
            </w:r>
            <w:r>
              <w:t>ing</w:t>
            </w:r>
            <w:r w:rsidRPr="00FE41F5">
              <w:t xml:space="preserve"> in line with </w:t>
            </w:r>
            <w:r>
              <w:t>these.</w:t>
            </w:r>
          </w:p>
        </w:tc>
        <w:tc>
          <w:tcPr>
            <w:tcW w:w="3680" w:type="dxa"/>
          </w:tcPr>
          <w:p w:rsidR="003931D1" w:rsidRDefault="003931D1" w:rsidP="00D7784A">
            <w:r>
              <w:t>Provide an update on the implementation of pathways &amp; operation of MD teams.</w:t>
            </w:r>
          </w:p>
        </w:tc>
      </w:tr>
      <w:tr w:rsidR="003931D1" w:rsidTr="00C21714">
        <w:trPr>
          <w:trHeight w:val="3651"/>
        </w:trPr>
        <w:tc>
          <w:tcPr>
            <w:tcW w:w="846" w:type="dxa"/>
            <w:vMerge/>
            <w:vAlign w:val="center"/>
          </w:tcPr>
          <w:p w:rsidR="003931D1" w:rsidRDefault="003931D1" w:rsidP="00D7784A">
            <w:pPr>
              <w:rPr>
                <w:rFonts w:ascii="Calibri" w:eastAsia="Times New Roman" w:hAnsi="Calibri" w:cs="Calibri"/>
                <w:color w:val="000000"/>
                <w:lang w:eastAsia="en-GB"/>
              </w:rPr>
            </w:pPr>
          </w:p>
        </w:tc>
        <w:tc>
          <w:tcPr>
            <w:tcW w:w="1556" w:type="dxa"/>
            <w:vMerge/>
          </w:tcPr>
          <w:p w:rsidR="003931D1" w:rsidRDefault="003931D1" w:rsidP="00D7784A">
            <w:pPr>
              <w:rPr>
                <w:rFonts w:ascii="Calibri" w:eastAsia="Times New Roman" w:hAnsi="Calibri" w:cs="Calibri"/>
                <w:color w:val="000000"/>
                <w:lang w:eastAsia="en-GB"/>
              </w:rPr>
            </w:pPr>
          </w:p>
        </w:tc>
        <w:tc>
          <w:tcPr>
            <w:tcW w:w="4681" w:type="dxa"/>
            <w:vMerge/>
            <w:vAlign w:val="center"/>
          </w:tcPr>
          <w:p w:rsidR="003931D1" w:rsidRPr="00B50290" w:rsidRDefault="003931D1" w:rsidP="002A29B5">
            <w:pPr>
              <w:spacing w:after="200" w:line="276" w:lineRule="auto"/>
            </w:pPr>
          </w:p>
        </w:tc>
        <w:tc>
          <w:tcPr>
            <w:tcW w:w="3680" w:type="dxa"/>
          </w:tcPr>
          <w:p w:rsidR="003931D1" w:rsidRPr="003931D1" w:rsidRDefault="003931D1" w:rsidP="00D7784A">
            <w:pPr>
              <w:rPr>
                <w:i/>
              </w:rPr>
            </w:pPr>
            <w:r w:rsidRPr="003931D1">
              <w:rPr>
                <w:i/>
                <w:color w:val="A6A6A6" w:themeColor="background1" w:themeShade="A6"/>
              </w:rPr>
              <w:t>Enter text</w:t>
            </w:r>
          </w:p>
        </w:tc>
      </w:tr>
      <w:tr w:rsidR="003931D1" w:rsidTr="00C21714">
        <w:trPr>
          <w:trHeight w:val="1024"/>
        </w:trPr>
        <w:tc>
          <w:tcPr>
            <w:tcW w:w="846" w:type="dxa"/>
            <w:vMerge/>
            <w:vAlign w:val="center"/>
          </w:tcPr>
          <w:p w:rsidR="003931D1" w:rsidRDefault="003931D1" w:rsidP="00D7784A">
            <w:pPr>
              <w:rPr>
                <w:rFonts w:ascii="Calibri" w:eastAsia="Times New Roman" w:hAnsi="Calibri" w:cs="Calibri"/>
                <w:color w:val="000000"/>
                <w:lang w:eastAsia="en-GB"/>
              </w:rPr>
            </w:pPr>
          </w:p>
        </w:tc>
        <w:tc>
          <w:tcPr>
            <w:tcW w:w="1556" w:type="dxa"/>
            <w:vMerge/>
          </w:tcPr>
          <w:p w:rsidR="003931D1" w:rsidRDefault="003931D1" w:rsidP="00D7784A">
            <w:pPr>
              <w:rPr>
                <w:rFonts w:ascii="Calibri" w:eastAsia="Times New Roman" w:hAnsi="Calibri" w:cs="Calibri"/>
                <w:color w:val="000000"/>
                <w:lang w:eastAsia="en-GB"/>
              </w:rPr>
            </w:pPr>
          </w:p>
        </w:tc>
        <w:tc>
          <w:tcPr>
            <w:tcW w:w="4681" w:type="dxa"/>
            <w:vMerge w:val="restart"/>
            <w:vAlign w:val="center"/>
          </w:tcPr>
          <w:p w:rsidR="003931D1" w:rsidRDefault="003931D1" w:rsidP="002A29B5">
            <w:pPr>
              <w:spacing w:after="200" w:line="276" w:lineRule="auto"/>
            </w:pPr>
            <w:r w:rsidRPr="00FE41F5">
              <w:rPr>
                <w:bCs/>
              </w:rPr>
              <w:t>Patient Questionnaire to run once a year by end of Q3 -Year One and to compare with the second year’s questionnaire at end of Q3 - Year 2. Outcome - Increase in satisfaction as positive measure, co-ordinated by centre and referral CDCs (Child Development Centres). CRG to recommend appropriate Questionnaire and administration protocol.</w:t>
            </w:r>
          </w:p>
        </w:tc>
        <w:tc>
          <w:tcPr>
            <w:tcW w:w="3680" w:type="dxa"/>
          </w:tcPr>
          <w:p w:rsidR="003931D1" w:rsidRDefault="003931D1" w:rsidP="00D7784A">
            <w:r>
              <w:t>Include detail of range &amp; average of satisfaction scores (trust to retain data for comparison in Y2)</w:t>
            </w:r>
          </w:p>
        </w:tc>
      </w:tr>
      <w:tr w:rsidR="003931D1" w:rsidTr="00C21714">
        <w:trPr>
          <w:trHeight w:val="3202"/>
        </w:trPr>
        <w:tc>
          <w:tcPr>
            <w:tcW w:w="846" w:type="dxa"/>
            <w:vMerge/>
            <w:vAlign w:val="center"/>
          </w:tcPr>
          <w:p w:rsidR="003931D1" w:rsidRDefault="003931D1" w:rsidP="00D7784A">
            <w:pPr>
              <w:rPr>
                <w:rFonts w:ascii="Calibri" w:eastAsia="Times New Roman" w:hAnsi="Calibri" w:cs="Calibri"/>
                <w:color w:val="000000"/>
                <w:lang w:eastAsia="en-GB"/>
              </w:rPr>
            </w:pPr>
          </w:p>
        </w:tc>
        <w:tc>
          <w:tcPr>
            <w:tcW w:w="1556" w:type="dxa"/>
            <w:vMerge/>
          </w:tcPr>
          <w:p w:rsidR="003931D1" w:rsidRDefault="003931D1" w:rsidP="00D7784A">
            <w:pPr>
              <w:rPr>
                <w:rFonts w:ascii="Calibri" w:eastAsia="Times New Roman" w:hAnsi="Calibri" w:cs="Calibri"/>
                <w:color w:val="000000"/>
                <w:lang w:eastAsia="en-GB"/>
              </w:rPr>
            </w:pPr>
          </w:p>
        </w:tc>
        <w:tc>
          <w:tcPr>
            <w:tcW w:w="4681" w:type="dxa"/>
            <w:vMerge/>
            <w:vAlign w:val="center"/>
          </w:tcPr>
          <w:p w:rsidR="003931D1" w:rsidRPr="00FE41F5" w:rsidRDefault="003931D1" w:rsidP="002A29B5">
            <w:pPr>
              <w:spacing w:after="200" w:line="276" w:lineRule="auto"/>
              <w:rPr>
                <w:bCs/>
              </w:rPr>
            </w:pPr>
          </w:p>
        </w:tc>
        <w:tc>
          <w:tcPr>
            <w:tcW w:w="3680" w:type="dxa"/>
          </w:tcPr>
          <w:p w:rsidR="003931D1" w:rsidRPr="003931D1" w:rsidRDefault="003931D1" w:rsidP="00D7784A">
            <w:pPr>
              <w:rPr>
                <w:i/>
              </w:rPr>
            </w:pPr>
            <w:r w:rsidRPr="003931D1">
              <w:rPr>
                <w:i/>
                <w:color w:val="A6A6A6" w:themeColor="background1" w:themeShade="A6"/>
              </w:rPr>
              <w:t>Enter text</w:t>
            </w:r>
          </w:p>
        </w:tc>
      </w:tr>
      <w:tr w:rsidR="003931D1" w:rsidTr="00C21714">
        <w:trPr>
          <w:trHeight w:val="838"/>
        </w:trPr>
        <w:tc>
          <w:tcPr>
            <w:tcW w:w="846" w:type="dxa"/>
            <w:vMerge w:val="restart"/>
            <w:vAlign w:val="center"/>
          </w:tcPr>
          <w:p w:rsidR="003931D1" w:rsidRPr="00F818CB" w:rsidRDefault="003931D1" w:rsidP="00D7784A">
            <w:pPr>
              <w:rPr>
                <w:rFonts w:ascii="Calibri" w:eastAsia="Times New Roman" w:hAnsi="Calibri" w:cs="Calibri"/>
                <w:color w:val="000000"/>
                <w:lang w:eastAsia="en-GB"/>
              </w:rPr>
            </w:pPr>
            <w:r>
              <w:rPr>
                <w:rFonts w:ascii="Calibri" w:eastAsia="Times New Roman" w:hAnsi="Calibri" w:cs="Calibri"/>
                <w:color w:val="000000"/>
                <w:lang w:eastAsia="en-GB"/>
              </w:rPr>
              <w:t>Trigger 4</w:t>
            </w:r>
          </w:p>
        </w:tc>
        <w:tc>
          <w:tcPr>
            <w:tcW w:w="1556" w:type="dxa"/>
            <w:vMerge w:val="restart"/>
          </w:tcPr>
          <w:p w:rsidR="003931D1" w:rsidRPr="00F818CB" w:rsidRDefault="003931D1" w:rsidP="00D7784A">
            <w:pPr>
              <w:rPr>
                <w:rFonts w:ascii="Calibri" w:eastAsia="Times New Roman" w:hAnsi="Calibri" w:cs="Calibri"/>
                <w:color w:val="000000"/>
                <w:lang w:eastAsia="en-GB"/>
              </w:rPr>
            </w:pPr>
            <w:r>
              <w:rPr>
                <w:rFonts w:ascii="Calibri" w:eastAsia="Times New Roman" w:hAnsi="Calibri" w:cs="Calibri"/>
                <w:color w:val="000000"/>
                <w:lang w:eastAsia="en-GB"/>
              </w:rPr>
              <w:t>Data</w:t>
            </w:r>
          </w:p>
        </w:tc>
        <w:tc>
          <w:tcPr>
            <w:tcW w:w="4681" w:type="dxa"/>
            <w:vMerge w:val="restart"/>
            <w:vAlign w:val="center"/>
          </w:tcPr>
          <w:p w:rsidR="003931D1" w:rsidRPr="00E332DE" w:rsidRDefault="003931D1" w:rsidP="002A29B5">
            <w:pPr>
              <w:rPr>
                <w:rFonts w:ascii="Calibri" w:eastAsia="Times New Roman" w:hAnsi="Calibri" w:cs="Calibri"/>
                <w:color w:val="000000"/>
                <w:lang w:eastAsia="en-GB"/>
              </w:rPr>
            </w:pPr>
            <w:r>
              <w:rPr>
                <w:rFonts w:ascii="Calibri" w:eastAsia="Times New Roman" w:hAnsi="Calibri" w:cs="Calibri"/>
                <w:color w:val="000000"/>
                <w:lang w:eastAsia="en-GB"/>
              </w:rPr>
              <w:t xml:space="preserve">In </w:t>
            </w:r>
            <w:r w:rsidRPr="00E332DE">
              <w:rPr>
                <w:rFonts w:ascii="Calibri" w:eastAsia="Times New Roman" w:hAnsi="Calibri" w:cs="Calibri"/>
                <w:color w:val="000000"/>
                <w:lang w:eastAsia="en-GB"/>
              </w:rPr>
              <w:t xml:space="preserve">line with the protocols already agreed by APCP / BSCOS / BACD – the specialist centres will establish a simple data set of intervention outcomes for their own referrals </w:t>
            </w:r>
            <w:proofErr w:type="gramStart"/>
            <w:r w:rsidRPr="00E332DE">
              <w:rPr>
                <w:rFonts w:ascii="Calibri" w:eastAsia="Times New Roman" w:hAnsi="Calibri" w:cs="Calibri"/>
                <w:color w:val="000000"/>
                <w:lang w:eastAsia="en-GB"/>
              </w:rPr>
              <w:t>and also</w:t>
            </w:r>
            <w:proofErr w:type="gramEnd"/>
            <w:r w:rsidRPr="00E332DE">
              <w:rPr>
                <w:rFonts w:ascii="Calibri" w:eastAsia="Times New Roman" w:hAnsi="Calibri" w:cs="Calibri"/>
                <w:color w:val="000000"/>
                <w:lang w:eastAsia="en-GB"/>
              </w:rPr>
              <w:t xml:space="preserve"> facilitate collection of CPIP data within their own regional clinical network.  </w:t>
            </w:r>
          </w:p>
          <w:p w:rsidR="003931D1" w:rsidRPr="00E332DE" w:rsidRDefault="003931D1" w:rsidP="002A29B5">
            <w:pPr>
              <w:rPr>
                <w:rFonts w:ascii="Calibri" w:eastAsia="Times New Roman" w:hAnsi="Calibri" w:cs="Calibri"/>
                <w:color w:val="000000"/>
                <w:lang w:eastAsia="en-GB"/>
              </w:rPr>
            </w:pPr>
          </w:p>
          <w:p w:rsidR="003931D1" w:rsidRDefault="003931D1" w:rsidP="002A29B5">
            <w:pPr>
              <w:rPr>
                <w:rFonts w:ascii="Calibri" w:eastAsia="Times New Roman" w:hAnsi="Calibri" w:cs="Calibri"/>
                <w:color w:val="000000"/>
                <w:lang w:eastAsia="en-GB"/>
              </w:rPr>
            </w:pPr>
            <w:r w:rsidRPr="00E332DE">
              <w:rPr>
                <w:rFonts w:ascii="Calibri" w:eastAsia="Times New Roman" w:hAnsi="Calibri" w:cs="Calibri"/>
                <w:color w:val="000000"/>
                <w:lang w:eastAsia="en-GB"/>
              </w:rPr>
              <w:t xml:space="preserve">The CRG will advise which data to be collected with a nationally agreed template for submission.  </w:t>
            </w:r>
          </w:p>
          <w:p w:rsidR="003931D1" w:rsidRDefault="003931D1" w:rsidP="002A29B5">
            <w:pPr>
              <w:rPr>
                <w:rFonts w:ascii="Calibri" w:eastAsia="Times New Roman" w:hAnsi="Calibri" w:cs="Calibri"/>
                <w:color w:val="000000"/>
                <w:lang w:eastAsia="en-GB"/>
              </w:rPr>
            </w:pPr>
          </w:p>
          <w:p w:rsidR="003931D1" w:rsidRPr="00E332DE" w:rsidRDefault="003931D1" w:rsidP="002A29B5">
            <w:pPr>
              <w:rPr>
                <w:rFonts w:ascii="Calibri" w:eastAsia="Times New Roman" w:hAnsi="Calibri" w:cs="Calibri"/>
                <w:color w:val="000000"/>
                <w:lang w:eastAsia="en-GB"/>
              </w:rPr>
            </w:pPr>
            <w:r w:rsidRPr="00E332DE">
              <w:rPr>
                <w:rFonts w:ascii="Calibri" w:eastAsia="Times New Roman" w:hAnsi="Calibri" w:cs="Calibri"/>
                <w:color w:val="000000"/>
                <w:lang w:eastAsia="en-GB"/>
              </w:rPr>
              <w:t xml:space="preserve">Collection of data and reporting to the CRG, potentially the SSQD and to local commissioners is expected from Q3 of Year One.  Data from the initial assessment to be entered. </w:t>
            </w:r>
          </w:p>
          <w:p w:rsidR="003931D1" w:rsidRPr="00E332DE" w:rsidRDefault="003931D1" w:rsidP="002A29B5">
            <w:pPr>
              <w:rPr>
                <w:rFonts w:ascii="Calibri" w:eastAsia="Times New Roman" w:hAnsi="Calibri" w:cs="Calibri"/>
                <w:color w:val="000000"/>
                <w:lang w:eastAsia="en-GB"/>
              </w:rPr>
            </w:pPr>
          </w:p>
          <w:p w:rsidR="003931D1" w:rsidRPr="00E332DE" w:rsidRDefault="003931D1" w:rsidP="002A29B5">
            <w:pPr>
              <w:rPr>
                <w:rFonts w:ascii="Calibri" w:eastAsia="Times New Roman" w:hAnsi="Calibri" w:cs="Calibri"/>
                <w:color w:val="000000"/>
                <w:lang w:eastAsia="en-GB"/>
              </w:rPr>
            </w:pPr>
            <w:r w:rsidRPr="00E332DE">
              <w:rPr>
                <w:rFonts w:ascii="Calibri" w:eastAsia="Times New Roman" w:hAnsi="Calibri" w:cs="Calibri"/>
                <w:color w:val="000000"/>
                <w:lang w:eastAsia="en-GB"/>
              </w:rPr>
              <w:t>Data acquisition should be in line with NCEPOD recs and NICE guideline NG62 4-5 Q &amp; S data sets.</w:t>
            </w:r>
          </w:p>
          <w:p w:rsidR="003931D1" w:rsidRPr="00F818CB" w:rsidRDefault="003931D1" w:rsidP="00D7784A">
            <w:pPr>
              <w:rPr>
                <w:rFonts w:ascii="Calibri" w:eastAsia="Times New Roman" w:hAnsi="Calibri" w:cs="Calibri"/>
                <w:color w:val="000000"/>
                <w:lang w:eastAsia="en-GB"/>
              </w:rPr>
            </w:pPr>
          </w:p>
        </w:tc>
        <w:tc>
          <w:tcPr>
            <w:tcW w:w="3680" w:type="dxa"/>
          </w:tcPr>
          <w:p w:rsidR="003931D1" w:rsidRDefault="003931D1" w:rsidP="003931D1">
            <w:pPr>
              <w:pStyle w:val="ListParagraph"/>
              <w:ind w:left="0"/>
            </w:pPr>
            <w:r>
              <w:t>Attach completed template</w:t>
            </w:r>
          </w:p>
        </w:tc>
      </w:tr>
      <w:tr w:rsidR="003931D1" w:rsidTr="00C21714">
        <w:trPr>
          <w:trHeight w:val="1900"/>
        </w:trPr>
        <w:tc>
          <w:tcPr>
            <w:tcW w:w="846" w:type="dxa"/>
            <w:vMerge/>
            <w:vAlign w:val="center"/>
          </w:tcPr>
          <w:p w:rsidR="003931D1" w:rsidRDefault="003931D1" w:rsidP="00D7784A">
            <w:pPr>
              <w:rPr>
                <w:rFonts w:ascii="Calibri" w:eastAsia="Times New Roman" w:hAnsi="Calibri" w:cs="Calibri"/>
                <w:color w:val="000000"/>
                <w:lang w:eastAsia="en-GB"/>
              </w:rPr>
            </w:pPr>
          </w:p>
        </w:tc>
        <w:tc>
          <w:tcPr>
            <w:tcW w:w="1556" w:type="dxa"/>
            <w:vMerge/>
          </w:tcPr>
          <w:p w:rsidR="003931D1" w:rsidRDefault="003931D1" w:rsidP="00D7784A">
            <w:pPr>
              <w:rPr>
                <w:rFonts w:ascii="Calibri" w:eastAsia="Times New Roman" w:hAnsi="Calibri" w:cs="Calibri"/>
                <w:color w:val="000000"/>
                <w:lang w:eastAsia="en-GB"/>
              </w:rPr>
            </w:pPr>
          </w:p>
        </w:tc>
        <w:tc>
          <w:tcPr>
            <w:tcW w:w="4681" w:type="dxa"/>
            <w:vMerge/>
            <w:vAlign w:val="center"/>
          </w:tcPr>
          <w:p w:rsidR="003931D1" w:rsidRDefault="003931D1" w:rsidP="002A29B5">
            <w:pPr>
              <w:rPr>
                <w:rFonts w:ascii="Calibri" w:eastAsia="Times New Roman" w:hAnsi="Calibri" w:cs="Calibri"/>
                <w:color w:val="000000"/>
                <w:lang w:eastAsia="en-GB"/>
              </w:rPr>
            </w:pPr>
          </w:p>
        </w:tc>
        <w:tc>
          <w:tcPr>
            <w:tcW w:w="3680" w:type="dxa"/>
          </w:tcPr>
          <w:p w:rsidR="003931D1" w:rsidRDefault="003931D1" w:rsidP="003931D1">
            <w:pPr>
              <w:pStyle w:val="ListParagraph"/>
              <w:ind w:left="0"/>
            </w:pPr>
            <w:r>
              <w:object w:dxaOrig="1440" w:dyaOrig="1440">
                <v:shape id="_x0000_i1034" type="#_x0000_t75" style="width:121.2pt;height:40.8pt" o:ole="">
                  <v:imagedata r:id="rId15" o:title=""/>
                </v:shape>
                <w:control r:id="rId16" w:name="CommandButton14" w:shapeid="_x0000_i1034"/>
              </w:object>
            </w:r>
          </w:p>
        </w:tc>
      </w:tr>
      <w:tr w:rsidR="00C21714" w:rsidTr="00C21714">
        <w:trPr>
          <w:trHeight w:val="670"/>
        </w:trPr>
        <w:tc>
          <w:tcPr>
            <w:tcW w:w="846" w:type="dxa"/>
            <w:vMerge w:val="restart"/>
          </w:tcPr>
          <w:p w:rsidR="00C21714" w:rsidRDefault="00C21714" w:rsidP="00D7784A">
            <w:r>
              <w:t>Trigger 5</w:t>
            </w:r>
          </w:p>
        </w:tc>
        <w:tc>
          <w:tcPr>
            <w:tcW w:w="1556" w:type="dxa"/>
            <w:vMerge w:val="restart"/>
          </w:tcPr>
          <w:p w:rsidR="00C21714" w:rsidRDefault="00C21714" w:rsidP="00D7784A">
            <w:r w:rsidRPr="008079D2">
              <w:rPr>
                <w:rFonts w:ascii="Calibri" w:eastAsia="Times New Roman" w:hAnsi="Calibri" w:cs="Calibri"/>
                <w:color w:val="000000"/>
                <w:lang w:eastAsia="en-GB"/>
              </w:rPr>
              <w:t>Centre contributions and cooperation towards national CPIP</w:t>
            </w:r>
          </w:p>
        </w:tc>
        <w:tc>
          <w:tcPr>
            <w:tcW w:w="4681" w:type="dxa"/>
            <w:vMerge w:val="restart"/>
          </w:tcPr>
          <w:p w:rsidR="00C21714" w:rsidRPr="003931D1" w:rsidRDefault="00C21714" w:rsidP="00D7784A">
            <w:pPr>
              <w:rPr>
                <w:rFonts w:ascii="Calibri" w:eastAsia="Times New Roman" w:hAnsi="Calibri" w:cs="Calibri"/>
                <w:color w:val="000000"/>
                <w:lang w:eastAsia="en-GB"/>
              </w:rPr>
            </w:pPr>
            <w:r>
              <w:rPr>
                <w:rFonts w:ascii="Calibri" w:eastAsia="Times New Roman" w:hAnsi="Calibri" w:cs="Calibri"/>
                <w:color w:val="000000"/>
                <w:lang w:eastAsia="en-GB"/>
              </w:rPr>
              <w:t>Education</w:t>
            </w:r>
            <w:r w:rsidRPr="00753C3A">
              <w:rPr>
                <w:rFonts w:ascii="Calibri" w:eastAsia="Times New Roman" w:hAnsi="Calibri" w:cs="Calibri"/>
                <w:color w:val="000000"/>
                <w:lang w:eastAsia="en-GB"/>
              </w:rPr>
              <w:t xml:space="preserve"> of community paediatric teams (esp</w:t>
            </w:r>
            <w:r>
              <w:rPr>
                <w:rFonts w:ascii="Calibri" w:eastAsia="Times New Roman" w:hAnsi="Calibri" w:cs="Calibri"/>
                <w:color w:val="000000"/>
                <w:lang w:eastAsia="en-GB"/>
              </w:rPr>
              <w:t>ecially</w:t>
            </w:r>
            <w:r w:rsidRPr="00753C3A">
              <w:rPr>
                <w:rFonts w:ascii="Calibri" w:eastAsia="Times New Roman" w:hAnsi="Calibri" w:cs="Calibri"/>
                <w:color w:val="000000"/>
                <w:lang w:eastAsia="en-GB"/>
              </w:rPr>
              <w:t xml:space="preserve"> physiotherapy) of appropriate pathways</w:t>
            </w:r>
          </w:p>
        </w:tc>
        <w:tc>
          <w:tcPr>
            <w:tcW w:w="3680" w:type="dxa"/>
          </w:tcPr>
          <w:p w:rsidR="00C21714" w:rsidRDefault="00C21714" w:rsidP="00D7784A">
            <w:r>
              <w:t>Provide a description of education activities</w:t>
            </w:r>
          </w:p>
        </w:tc>
      </w:tr>
      <w:tr w:rsidR="00C21714" w:rsidTr="00C21714">
        <w:trPr>
          <w:trHeight w:val="4372"/>
        </w:trPr>
        <w:tc>
          <w:tcPr>
            <w:tcW w:w="846" w:type="dxa"/>
            <w:vMerge/>
          </w:tcPr>
          <w:p w:rsidR="00C21714" w:rsidRDefault="00C21714" w:rsidP="00D7784A"/>
        </w:tc>
        <w:tc>
          <w:tcPr>
            <w:tcW w:w="1556" w:type="dxa"/>
            <w:vMerge/>
          </w:tcPr>
          <w:p w:rsidR="00C21714" w:rsidRPr="008079D2" w:rsidRDefault="00C21714" w:rsidP="00D7784A">
            <w:pPr>
              <w:rPr>
                <w:rFonts w:ascii="Calibri" w:eastAsia="Times New Roman" w:hAnsi="Calibri" w:cs="Calibri"/>
                <w:color w:val="000000"/>
                <w:lang w:eastAsia="en-GB"/>
              </w:rPr>
            </w:pPr>
          </w:p>
        </w:tc>
        <w:tc>
          <w:tcPr>
            <w:tcW w:w="4681" w:type="dxa"/>
            <w:vMerge/>
          </w:tcPr>
          <w:p w:rsidR="00C21714" w:rsidRDefault="00C21714" w:rsidP="00D7784A">
            <w:pPr>
              <w:rPr>
                <w:rFonts w:ascii="Calibri" w:eastAsia="Times New Roman" w:hAnsi="Calibri" w:cs="Calibri"/>
                <w:color w:val="000000"/>
                <w:lang w:eastAsia="en-GB"/>
              </w:rPr>
            </w:pPr>
          </w:p>
        </w:tc>
        <w:tc>
          <w:tcPr>
            <w:tcW w:w="3680" w:type="dxa"/>
          </w:tcPr>
          <w:p w:rsidR="00C21714" w:rsidRPr="00C21714" w:rsidRDefault="00C21714" w:rsidP="00D7784A">
            <w:pPr>
              <w:rPr>
                <w:i/>
              </w:rPr>
            </w:pPr>
            <w:r w:rsidRPr="00C21714">
              <w:rPr>
                <w:i/>
                <w:color w:val="A6A6A6" w:themeColor="background1" w:themeShade="A6"/>
              </w:rPr>
              <w:t>Enter text</w:t>
            </w:r>
          </w:p>
        </w:tc>
      </w:tr>
    </w:tbl>
    <w:p w:rsidR="00D7784A" w:rsidRPr="00D7784A" w:rsidRDefault="00D7784A" w:rsidP="00D7784A"/>
    <w:p w:rsidR="00D7784A" w:rsidRDefault="00D7784A">
      <w:r>
        <w:br w:type="page"/>
      </w:r>
    </w:p>
    <w:p w:rsidR="00D7784A" w:rsidRPr="00D7784A" w:rsidRDefault="00D7784A" w:rsidP="00D7784A"/>
    <w:p w:rsidR="00775507" w:rsidRPr="009B1641" w:rsidRDefault="00C05CA4" w:rsidP="009B1641">
      <w:pPr>
        <w:pStyle w:val="Heading2"/>
        <w:rPr>
          <w:b/>
        </w:rPr>
      </w:pPr>
      <w:r w:rsidRPr="009B1641">
        <w:rPr>
          <w:b/>
        </w:rPr>
        <w:t>Quarter 4</w:t>
      </w:r>
    </w:p>
    <w:tbl>
      <w:tblPr>
        <w:tblStyle w:val="TableGrid"/>
        <w:tblW w:w="10768" w:type="dxa"/>
        <w:tblLook w:val="04A0" w:firstRow="1" w:lastRow="0" w:firstColumn="1" w:lastColumn="0" w:noHBand="0" w:noVBand="1"/>
      </w:tblPr>
      <w:tblGrid>
        <w:gridCol w:w="846"/>
        <w:gridCol w:w="1559"/>
        <w:gridCol w:w="4394"/>
        <w:gridCol w:w="3969"/>
      </w:tblGrid>
      <w:tr w:rsidR="00D7784A" w:rsidTr="00C21714">
        <w:tc>
          <w:tcPr>
            <w:tcW w:w="846" w:type="dxa"/>
          </w:tcPr>
          <w:p w:rsidR="00D7784A" w:rsidRDefault="00D7784A" w:rsidP="00D7784A"/>
        </w:tc>
        <w:tc>
          <w:tcPr>
            <w:tcW w:w="1559" w:type="dxa"/>
          </w:tcPr>
          <w:p w:rsidR="00D7784A" w:rsidRDefault="00D7784A" w:rsidP="00D7784A"/>
        </w:tc>
        <w:tc>
          <w:tcPr>
            <w:tcW w:w="4394" w:type="dxa"/>
          </w:tcPr>
          <w:p w:rsidR="00D7784A" w:rsidRDefault="00D7784A" w:rsidP="00D7784A"/>
        </w:tc>
        <w:tc>
          <w:tcPr>
            <w:tcW w:w="3969" w:type="dxa"/>
          </w:tcPr>
          <w:p w:rsidR="00D7784A" w:rsidRDefault="00D7784A" w:rsidP="00D7784A"/>
        </w:tc>
      </w:tr>
      <w:tr w:rsidR="00C21714" w:rsidTr="00C21714">
        <w:trPr>
          <w:trHeight w:val="1189"/>
        </w:trPr>
        <w:tc>
          <w:tcPr>
            <w:tcW w:w="846" w:type="dxa"/>
            <w:vMerge w:val="restart"/>
            <w:vAlign w:val="center"/>
          </w:tcPr>
          <w:p w:rsidR="00C21714" w:rsidRPr="00F818CB" w:rsidRDefault="00C21714" w:rsidP="00C21714">
            <w:pPr>
              <w:rPr>
                <w:rFonts w:ascii="Calibri" w:eastAsia="Times New Roman" w:hAnsi="Calibri" w:cs="Calibri"/>
                <w:color w:val="000000"/>
                <w:lang w:eastAsia="en-GB"/>
              </w:rPr>
            </w:pPr>
            <w:r w:rsidRPr="00F818CB">
              <w:rPr>
                <w:rFonts w:ascii="Calibri" w:eastAsia="Times New Roman" w:hAnsi="Calibri" w:cs="Calibri"/>
                <w:color w:val="000000"/>
                <w:lang w:eastAsia="en-GB"/>
              </w:rPr>
              <w:t>Trigger 1</w:t>
            </w:r>
          </w:p>
        </w:tc>
        <w:tc>
          <w:tcPr>
            <w:tcW w:w="1559" w:type="dxa"/>
            <w:vMerge w:val="restart"/>
            <w:vAlign w:val="center"/>
          </w:tcPr>
          <w:p w:rsidR="00C21714" w:rsidRPr="00C53094" w:rsidRDefault="00C21714" w:rsidP="00C21714">
            <w:r>
              <w:t>MDT assessment</w:t>
            </w:r>
          </w:p>
        </w:tc>
        <w:tc>
          <w:tcPr>
            <w:tcW w:w="4394" w:type="dxa"/>
            <w:vMerge w:val="restart"/>
            <w:vAlign w:val="center"/>
          </w:tcPr>
          <w:p w:rsidR="00C21714" w:rsidRDefault="00C21714" w:rsidP="00C21714">
            <w:r w:rsidRPr="00C53094">
              <w:t>At least 66% in Year 1 (from July to March only) of newly referred patients (the denominator) to undergo virtual MDT:</w:t>
            </w:r>
          </w:p>
          <w:p w:rsidR="00C21714" w:rsidRPr="00C53094" w:rsidRDefault="00C21714" w:rsidP="00C21714">
            <w:pPr>
              <w:rPr>
                <w:bCs/>
              </w:rPr>
            </w:pPr>
            <w:r w:rsidRPr="00C53094">
              <w:t xml:space="preserve"> </w:t>
            </w:r>
          </w:p>
          <w:p w:rsidR="00C21714" w:rsidRPr="00C53094" w:rsidRDefault="00C21714" w:rsidP="00C21714">
            <w:r w:rsidRPr="00C53094">
              <w:t xml:space="preserve">Numerator: Number of patients who are referred to movement therapy services who undergo a virtual MDT review within 18 weeks of referral carried out by an interdisciplinary and multidisciplinary panel. </w:t>
            </w:r>
          </w:p>
          <w:p w:rsidR="00C21714" w:rsidRPr="00C53094" w:rsidRDefault="00C21714" w:rsidP="00C21714">
            <w:r w:rsidRPr="00C53094">
              <w:t xml:space="preserve">Denominator: Number of children referred for consideration of movement therapy within centre catchment area (defined in section B4) </w:t>
            </w:r>
          </w:p>
          <w:p w:rsidR="00C21714" w:rsidRPr="00F818CB" w:rsidRDefault="00C21714" w:rsidP="00C21714">
            <w:pPr>
              <w:rPr>
                <w:rFonts w:ascii="Calibri" w:eastAsia="Times New Roman" w:hAnsi="Calibri" w:cs="Calibri"/>
                <w:color w:val="000000"/>
                <w:lang w:eastAsia="en-GB"/>
              </w:rPr>
            </w:pPr>
          </w:p>
        </w:tc>
        <w:tc>
          <w:tcPr>
            <w:tcW w:w="3969" w:type="dxa"/>
          </w:tcPr>
          <w:p w:rsidR="00C21714" w:rsidRDefault="00C21714" w:rsidP="00C21714">
            <w:r>
              <w:t>Include detail of no. patients assessed, treatment pathway &amp; dates of virtual review.</w:t>
            </w:r>
          </w:p>
        </w:tc>
      </w:tr>
      <w:tr w:rsidR="00C21714" w:rsidTr="00C21714">
        <w:trPr>
          <w:trHeight w:val="1680"/>
        </w:trPr>
        <w:tc>
          <w:tcPr>
            <w:tcW w:w="846" w:type="dxa"/>
            <w:vMerge/>
            <w:vAlign w:val="center"/>
          </w:tcPr>
          <w:p w:rsidR="00C21714" w:rsidRPr="00F818CB" w:rsidRDefault="00C21714" w:rsidP="00C21714">
            <w:pPr>
              <w:rPr>
                <w:rFonts w:ascii="Calibri" w:eastAsia="Times New Roman" w:hAnsi="Calibri" w:cs="Calibri"/>
                <w:color w:val="000000"/>
                <w:lang w:eastAsia="en-GB"/>
              </w:rPr>
            </w:pPr>
          </w:p>
        </w:tc>
        <w:tc>
          <w:tcPr>
            <w:tcW w:w="1559" w:type="dxa"/>
            <w:vMerge/>
            <w:vAlign w:val="center"/>
          </w:tcPr>
          <w:p w:rsidR="00C21714" w:rsidRDefault="00C21714" w:rsidP="00C21714"/>
        </w:tc>
        <w:tc>
          <w:tcPr>
            <w:tcW w:w="4394" w:type="dxa"/>
            <w:vMerge/>
            <w:vAlign w:val="center"/>
          </w:tcPr>
          <w:p w:rsidR="00C21714" w:rsidRPr="00C53094" w:rsidRDefault="00C21714" w:rsidP="00C21714"/>
        </w:tc>
        <w:tc>
          <w:tcPr>
            <w:tcW w:w="3969" w:type="dxa"/>
          </w:tcPr>
          <w:p w:rsidR="00C21714" w:rsidRDefault="00C21714" w:rsidP="00C21714">
            <w:r w:rsidRPr="008446CE">
              <w:rPr>
                <w:i/>
                <w:color w:val="A6A6A6" w:themeColor="background1" w:themeShade="A6"/>
              </w:rPr>
              <w:t>Enter text</w:t>
            </w:r>
          </w:p>
        </w:tc>
      </w:tr>
      <w:tr w:rsidR="00C21714" w:rsidTr="00C21714">
        <w:trPr>
          <w:trHeight w:val="785"/>
        </w:trPr>
        <w:tc>
          <w:tcPr>
            <w:tcW w:w="846" w:type="dxa"/>
            <w:vMerge w:val="restart"/>
          </w:tcPr>
          <w:p w:rsidR="00C21714" w:rsidRDefault="00C21714" w:rsidP="00C21714">
            <w:r>
              <w:t>Trigger 2</w:t>
            </w:r>
          </w:p>
        </w:tc>
        <w:tc>
          <w:tcPr>
            <w:tcW w:w="1559" w:type="dxa"/>
            <w:vMerge w:val="restart"/>
          </w:tcPr>
          <w:p w:rsidR="00C21714" w:rsidRDefault="00C21714" w:rsidP="00C21714">
            <w:r>
              <w:t>Recording of CPIP assessment</w:t>
            </w:r>
          </w:p>
        </w:tc>
        <w:tc>
          <w:tcPr>
            <w:tcW w:w="4394" w:type="dxa"/>
            <w:vMerge w:val="restart"/>
          </w:tcPr>
          <w:p w:rsidR="00C21714" w:rsidRDefault="00C21714" w:rsidP="00C21714">
            <w:r>
              <w:t xml:space="preserve">50%-66% (full payment) of CP patients requiring CPIP assessment in the second half of the year across England to </w:t>
            </w:r>
            <w:r w:rsidRPr="00B37864">
              <w:t xml:space="preserve">have </w:t>
            </w:r>
            <w:r>
              <w:t xml:space="preserve">had CPIP </w:t>
            </w:r>
            <w:r w:rsidRPr="00B37864">
              <w:t xml:space="preserve">assessments entered onto the </w:t>
            </w:r>
            <w:r>
              <w:t>CPIP</w:t>
            </w:r>
            <w:r w:rsidRPr="00951577">
              <w:t xml:space="preserve"> Database</w:t>
            </w:r>
            <w:r w:rsidRPr="00B37864">
              <w:t xml:space="preserve">. </w:t>
            </w:r>
          </w:p>
          <w:p w:rsidR="00C21714" w:rsidRDefault="00C21714" w:rsidP="00C21714">
            <w:pPr>
              <w:tabs>
                <w:tab w:val="left" w:pos="1536"/>
              </w:tabs>
            </w:pPr>
            <w:r>
              <w:t xml:space="preserve">Denominator. The </w:t>
            </w:r>
            <w:r w:rsidRPr="007D269C">
              <w:t>CRG</w:t>
            </w:r>
            <w:r>
              <w:t xml:space="preserve"> will estimate the number of patients for whom a CPIP assessment would be expected in each period.</w:t>
            </w:r>
            <w:r>
              <w:tab/>
            </w:r>
          </w:p>
        </w:tc>
        <w:tc>
          <w:tcPr>
            <w:tcW w:w="3969" w:type="dxa"/>
          </w:tcPr>
          <w:p w:rsidR="00C21714" w:rsidRPr="008446CE" w:rsidRDefault="00C21714" w:rsidP="00C21714">
            <w:pPr>
              <w:rPr>
                <w:i/>
              </w:rPr>
            </w:pPr>
            <w:r>
              <w:t>Include detail of no. patients entered onto CPIP database</w:t>
            </w:r>
          </w:p>
        </w:tc>
      </w:tr>
      <w:tr w:rsidR="00C21714" w:rsidTr="00C21714">
        <w:trPr>
          <w:trHeight w:val="785"/>
        </w:trPr>
        <w:tc>
          <w:tcPr>
            <w:tcW w:w="846" w:type="dxa"/>
            <w:vMerge/>
          </w:tcPr>
          <w:p w:rsidR="00C21714" w:rsidRDefault="00C21714" w:rsidP="00C21714"/>
        </w:tc>
        <w:tc>
          <w:tcPr>
            <w:tcW w:w="1559" w:type="dxa"/>
            <w:vMerge/>
          </w:tcPr>
          <w:p w:rsidR="00C21714" w:rsidRDefault="00C21714" w:rsidP="00C21714"/>
        </w:tc>
        <w:tc>
          <w:tcPr>
            <w:tcW w:w="4394" w:type="dxa"/>
            <w:vMerge/>
          </w:tcPr>
          <w:p w:rsidR="00C21714" w:rsidRDefault="00C21714" w:rsidP="00C21714"/>
        </w:tc>
        <w:tc>
          <w:tcPr>
            <w:tcW w:w="3969" w:type="dxa"/>
          </w:tcPr>
          <w:p w:rsidR="00C21714" w:rsidRPr="00C21714" w:rsidRDefault="00C21714" w:rsidP="00C21714">
            <w:pPr>
              <w:rPr>
                <w:i/>
              </w:rPr>
            </w:pPr>
            <w:r w:rsidRPr="00C21714">
              <w:rPr>
                <w:i/>
                <w:color w:val="A6A6A6" w:themeColor="background1" w:themeShade="A6"/>
              </w:rPr>
              <w:t>Enter text</w:t>
            </w:r>
          </w:p>
        </w:tc>
      </w:tr>
      <w:tr w:rsidR="00C21714" w:rsidTr="00C21714">
        <w:trPr>
          <w:trHeight w:val="455"/>
        </w:trPr>
        <w:tc>
          <w:tcPr>
            <w:tcW w:w="846" w:type="dxa"/>
            <w:vMerge w:val="restart"/>
          </w:tcPr>
          <w:p w:rsidR="00C21714" w:rsidRDefault="00C21714" w:rsidP="00C21714">
            <w:r>
              <w:t>Trigger 3</w:t>
            </w:r>
          </w:p>
        </w:tc>
        <w:tc>
          <w:tcPr>
            <w:tcW w:w="1559" w:type="dxa"/>
            <w:vMerge w:val="restart"/>
          </w:tcPr>
          <w:p w:rsidR="00C21714" w:rsidRDefault="00C21714" w:rsidP="00C21714">
            <w:r>
              <w:t>Host Centre &amp; Network Model</w:t>
            </w:r>
          </w:p>
        </w:tc>
        <w:tc>
          <w:tcPr>
            <w:tcW w:w="4394" w:type="dxa"/>
            <w:vMerge w:val="restart"/>
            <w:vAlign w:val="center"/>
          </w:tcPr>
          <w:p w:rsidR="00C21714" w:rsidRDefault="00C21714" w:rsidP="00C21714">
            <w:pPr>
              <w:spacing w:after="200" w:line="276" w:lineRule="auto"/>
            </w:pPr>
            <w:r w:rsidRPr="00B50290">
              <w:t>Network members to be meeting every quarter (first meeting by not later Q2 - Year One).  It is the responsibility of the centre to organise. We expect the co-ordinators between sites and PT</w:t>
            </w:r>
            <w:r>
              <w:t xml:space="preserve"> (Physiotherapy)</w:t>
            </w:r>
            <w:r w:rsidRPr="00B50290">
              <w:t xml:space="preserve"> reps to meet monthly.</w:t>
            </w:r>
          </w:p>
        </w:tc>
        <w:tc>
          <w:tcPr>
            <w:tcW w:w="3969" w:type="dxa"/>
          </w:tcPr>
          <w:p w:rsidR="00C21714" w:rsidRDefault="00C21714" w:rsidP="00C21714">
            <w:r>
              <w:t>Attach network minutes</w:t>
            </w:r>
          </w:p>
        </w:tc>
      </w:tr>
      <w:tr w:rsidR="00C21714" w:rsidTr="00C21714">
        <w:trPr>
          <w:trHeight w:val="940"/>
        </w:trPr>
        <w:tc>
          <w:tcPr>
            <w:tcW w:w="846" w:type="dxa"/>
            <w:vMerge/>
          </w:tcPr>
          <w:p w:rsidR="00C21714" w:rsidRDefault="00C21714" w:rsidP="00C21714"/>
        </w:tc>
        <w:tc>
          <w:tcPr>
            <w:tcW w:w="1559" w:type="dxa"/>
            <w:vMerge/>
          </w:tcPr>
          <w:p w:rsidR="00C21714" w:rsidRDefault="00C21714" w:rsidP="00C21714"/>
        </w:tc>
        <w:tc>
          <w:tcPr>
            <w:tcW w:w="4394" w:type="dxa"/>
            <w:vMerge/>
            <w:vAlign w:val="center"/>
          </w:tcPr>
          <w:p w:rsidR="00C21714" w:rsidRPr="00B50290" w:rsidRDefault="00C21714" w:rsidP="00C21714">
            <w:pPr>
              <w:spacing w:after="200" w:line="276" w:lineRule="auto"/>
            </w:pPr>
          </w:p>
        </w:tc>
        <w:tc>
          <w:tcPr>
            <w:tcW w:w="3969" w:type="dxa"/>
          </w:tcPr>
          <w:p w:rsidR="00C21714" w:rsidRDefault="00C21714" w:rsidP="00C21714">
            <w:r>
              <w:object w:dxaOrig="1440" w:dyaOrig="1440">
                <v:shape id="_x0000_i1036" type="#_x0000_t75" style="width:121.2pt;height:40.8pt" o:ole="">
                  <v:imagedata r:id="rId17" o:title=""/>
                </v:shape>
                <w:control r:id="rId18" w:name="CommandButton141" w:shapeid="_x0000_i1036"/>
              </w:object>
            </w:r>
          </w:p>
        </w:tc>
      </w:tr>
      <w:tr w:rsidR="00C21714" w:rsidTr="00C21714">
        <w:trPr>
          <w:trHeight w:val="187"/>
        </w:trPr>
        <w:tc>
          <w:tcPr>
            <w:tcW w:w="846" w:type="dxa"/>
            <w:vMerge w:val="restart"/>
          </w:tcPr>
          <w:p w:rsidR="00C21714" w:rsidRDefault="00C21714" w:rsidP="00C21714">
            <w:r>
              <w:t>Trigger 4</w:t>
            </w:r>
          </w:p>
        </w:tc>
        <w:tc>
          <w:tcPr>
            <w:tcW w:w="1559" w:type="dxa"/>
            <w:vMerge w:val="restart"/>
          </w:tcPr>
          <w:p w:rsidR="00C21714" w:rsidRDefault="00C21714" w:rsidP="00C21714">
            <w:r>
              <w:t>Data</w:t>
            </w:r>
          </w:p>
        </w:tc>
        <w:tc>
          <w:tcPr>
            <w:tcW w:w="4394" w:type="dxa"/>
            <w:vMerge w:val="restart"/>
          </w:tcPr>
          <w:p w:rsidR="00C21714" w:rsidRDefault="00C21714" w:rsidP="00C21714">
            <w:pPr>
              <w:rPr>
                <w:rFonts w:ascii="Calibri" w:eastAsia="Times New Roman" w:hAnsi="Calibri" w:cs="Calibri"/>
                <w:color w:val="000000"/>
                <w:lang w:eastAsia="en-GB"/>
              </w:rPr>
            </w:pPr>
            <w:r w:rsidRPr="00E332DE">
              <w:rPr>
                <w:rFonts w:ascii="Calibri" w:eastAsia="Times New Roman" w:hAnsi="Calibri" w:cs="Calibri"/>
                <w:color w:val="000000"/>
                <w:lang w:eastAsia="en-GB"/>
              </w:rPr>
              <w:t>Centres are required to produce an end of year CQUIN report for each centre, standardised across all centres, drawing from the dataset specified by the CRG. This will incorporate assessment and outcomes, based on international guidance. This will be co-ordinated by the CRG and will include information to support improved outcomes such as Quality of Life, reduced DNAs, reduced hospital admissions etc. and / or improved clinical outcomes.</w:t>
            </w:r>
          </w:p>
          <w:p w:rsidR="00C21714" w:rsidRDefault="00C21714" w:rsidP="00C21714"/>
        </w:tc>
        <w:tc>
          <w:tcPr>
            <w:tcW w:w="3969" w:type="dxa"/>
          </w:tcPr>
          <w:p w:rsidR="00C21714" w:rsidRDefault="00C21714" w:rsidP="00C21714">
            <w:r>
              <w:t>Attach end of year report</w:t>
            </w:r>
          </w:p>
          <w:p w:rsidR="00C21714" w:rsidRDefault="00C21714" w:rsidP="00C21714"/>
        </w:tc>
      </w:tr>
      <w:tr w:rsidR="00C21714" w:rsidTr="00C21714">
        <w:trPr>
          <w:trHeight w:val="1345"/>
        </w:trPr>
        <w:tc>
          <w:tcPr>
            <w:tcW w:w="846" w:type="dxa"/>
            <w:vMerge/>
          </w:tcPr>
          <w:p w:rsidR="00C21714" w:rsidRDefault="00C21714" w:rsidP="00C21714"/>
        </w:tc>
        <w:tc>
          <w:tcPr>
            <w:tcW w:w="1559" w:type="dxa"/>
            <w:vMerge/>
          </w:tcPr>
          <w:p w:rsidR="00C21714" w:rsidRDefault="00C21714" w:rsidP="00C21714"/>
        </w:tc>
        <w:tc>
          <w:tcPr>
            <w:tcW w:w="4394" w:type="dxa"/>
            <w:vMerge/>
          </w:tcPr>
          <w:p w:rsidR="00C21714" w:rsidRPr="00E332DE" w:rsidRDefault="00C21714" w:rsidP="00C21714">
            <w:pPr>
              <w:rPr>
                <w:rFonts w:ascii="Calibri" w:eastAsia="Times New Roman" w:hAnsi="Calibri" w:cs="Calibri"/>
                <w:color w:val="000000"/>
                <w:lang w:eastAsia="en-GB"/>
              </w:rPr>
            </w:pPr>
          </w:p>
        </w:tc>
        <w:tc>
          <w:tcPr>
            <w:tcW w:w="3969" w:type="dxa"/>
          </w:tcPr>
          <w:p w:rsidR="00C21714" w:rsidRDefault="00C21714" w:rsidP="00C21714">
            <w:r>
              <w:object w:dxaOrig="1440" w:dyaOrig="1440">
                <v:shape id="_x0000_i1038" type="#_x0000_t75" style="width:121.2pt;height:40.8pt" o:ole="">
                  <v:imagedata r:id="rId19" o:title=""/>
                </v:shape>
                <w:control r:id="rId20" w:name="CommandButton142" w:shapeid="_x0000_i1038"/>
              </w:object>
            </w:r>
          </w:p>
        </w:tc>
      </w:tr>
    </w:tbl>
    <w:p w:rsidR="006A190E" w:rsidRDefault="006A190E" w:rsidP="00D7784A"/>
    <w:p w:rsidR="009B1641" w:rsidRDefault="009B1641" w:rsidP="009B1641">
      <w:pPr>
        <w:pStyle w:val="ListParagraph"/>
        <w:ind w:left="284"/>
      </w:pPr>
    </w:p>
    <w:p w:rsidR="00C92099" w:rsidRPr="006A190E" w:rsidRDefault="00CC33D6" w:rsidP="009B1641">
      <w:pPr>
        <w:pStyle w:val="ListParagraph"/>
        <w:ind w:left="284"/>
      </w:pPr>
      <w:r>
        <w:tab/>
      </w:r>
    </w:p>
    <w:sectPr w:rsidR="00C92099" w:rsidRPr="006A190E" w:rsidSect="00D3283C">
      <w:footerReference w:type="default" r:id="rId21"/>
      <w:pgSz w:w="11906" w:h="16838"/>
      <w:pgMar w:top="426" w:right="56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1D1" w:rsidRDefault="003931D1" w:rsidP="002B740C">
      <w:pPr>
        <w:spacing w:after="0" w:line="240" w:lineRule="auto"/>
      </w:pPr>
      <w:r>
        <w:separator/>
      </w:r>
    </w:p>
  </w:endnote>
  <w:endnote w:type="continuationSeparator" w:id="0">
    <w:p w:rsidR="003931D1" w:rsidRDefault="003931D1" w:rsidP="002B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658730"/>
      <w:docPartObj>
        <w:docPartGallery w:val="Page Numbers (Bottom of Page)"/>
        <w:docPartUnique/>
      </w:docPartObj>
    </w:sdtPr>
    <w:sdtEndPr>
      <w:rPr>
        <w:noProof/>
      </w:rPr>
    </w:sdtEndPr>
    <w:sdtContent>
      <w:p w:rsidR="003931D1" w:rsidRDefault="003931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931D1" w:rsidRDefault="00393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1D1" w:rsidRDefault="003931D1" w:rsidP="002B740C">
      <w:pPr>
        <w:spacing w:after="0" w:line="240" w:lineRule="auto"/>
      </w:pPr>
      <w:r>
        <w:separator/>
      </w:r>
    </w:p>
  </w:footnote>
  <w:footnote w:type="continuationSeparator" w:id="0">
    <w:p w:rsidR="003931D1" w:rsidRDefault="003931D1" w:rsidP="002B7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D0C1F"/>
    <w:multiLevelType w:val="hybridMultilevel"/>
    <w:tmpl w:val="869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C2BAD"/>
    <w:multiLevelType w:val="hybridMultilevel"/>
    <w:tmpl w:val="9D72AD64"/>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 w15:restartNumberingAfterBreak="0">
    <w:nsid w:val="27C60249"/>
    <w:multiLevelType w:val="hybridMultilevel"/>
    <w:tmpl w:val="CB9481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F421F"/>
    <w:multiLevelType w:val="hybridMultilevel"/>
    <w:tmpl w:val="B9E2B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55527"/>
    <w:multiLevelType w:val="hybridMultilevel"/>
    <w:tmpl w:val="F620D2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063D3"/>
    <w:multiLevelType w:val="hybridMultilevel"/>
    <w:tmpl w:val="61627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3313B3"/>
    <w:multiLevelType w:val="hybridMultilevel"/>
    <w:tmpl w:val="5B6221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621B6"/>
    <w:multiLevelType w:val="hybridMultilevel"/>
    <w:tmpl w:val="C452EE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3C28D2"/>
    <w:multiLevelType w:val="hybridMultilevel"/>
    <w:tmpl w:val="56C8D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EA6D51"/>
    <w:multiLevelType w:val="hybridMultilevel"/>
    <w:tmpl w:val="2CB8F5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9"/>
  </w:num>
  <w:num w:numId="5">
    <w:abstractNumId w:val="4"/>
  </w:num>
  <w:num w:numId="6">
    <w:abstractNumId w:val="6"/>
  </w:num>
  <w:num w:numId="7">
    <w:abstractNumId w:val="5"/>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07"/>
    <w:rsid w:val="000A7C9A"/>
    <w:rsid w:val="00102943"/>
    <w:rsid w:val="001747AA"/>
    <w:rsid w:val="001F07B0"/>
    <w:rsid w:val="002A29B5"/>
    <w:rsid w:val="002A4EBE"/>
    <w:rsid w:val="002B740C"/>
    <w:rsid w:val="003931D1"/>
    <w:rsid w:val="00396C99"/>
    <w:rsid w:val="003D3952"/>
    <w:rsid w:val="00494085"/>
    <w:rsid w:val="00531253"/>
    <w:rsid w:val="0055133C"/>
    <w:rsid w:val="006836D8"/>
    <w:rsid w:val="006A190E"/>
    <w:rsid w:val="006E6243"/>
    <w:rsid w:val="00711A32"/>
    <w:rsid w:val="00716212"/>
    <w:rsid w:val="00765548"/>
    <w:rsid w:val="00775507"/>
    <w:rsid w:val="007E3C82"/>
    <w:rsid w:val="0082042F"/>
    <w:rsid w:val="008446CE"/>
    <w:rsid w:val="00863262"/>
    <w:rsid w:val="00877906"/>
    <w:rsid w:val="009317EB"/>
    <w:rsid w:val="00936939"/>
    <w:rsid w:val="00957692"/>
    <w:rsid w:val="009810AB"/>
    <w:rsid w:val="00983094"/>
    <w:rsid w:val="009872CA"/>
    <w:rsid w:val="00994D07"/>
    <w:rsid w:val="00996A3B"/>
    <w:rsid w:val="009B1641"/>
    <w:rsid w:val="009B7B55"/>
    <w:rsid w:val="00A12B7A"/>
    <w:rsid w:val="00A42180"/>
    <w:rsid w:val="00B106B8"/>
    <w:rsid w:val="00B52899"/>
    <w:rsid w:val="00C05CA4"/>
    <w:rsid w:val="00C21714"/>
    <w:rsid w:val="00C92099"/>
    <w:rsid w:val="00C96A7D"/>
    <w:rsid w:val="00CC33D6"/>
    <w:rsid w:val="00CD5BC9"/>
    <w:rsid w:val="00D3283C"/>
    <w:rsid w:val="00D37854"/>
    <w:rsid w:val="00D56A02"/>
    <w:rsid w:val="00D7784A"/>
    <w:rsid w:val="00DA49E3"/>
    <w:rsid w:val="00DB789D"/>
    <w:rsid w:val="00E377B6"/>
    <w:rsid w:val="00F00727"/>
    <w:rsid w:val="00F852BB"/>
    <w:rsid w:val="00FB587E"/>
    <w:rsid w:val="00FE4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079E377F-DFA5-4AAD-B9C9-1E2234D6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11A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1A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5507"/>
    <w:pPr>
      <w:ind w:left="720"/>
      <w:contextualSpacing/>
    </w:pPr>
  </w:style>
  <w:style w:type="paragraph" w:styleId="Header">
    <w:name w:val="header"/>
    <w:basedOn w:val="Normal"/>
    <w:link w:val="HeaderChar"/>
    <w:uiPriority w:val="99"/>
    <w:unhideWhenUsed/>
    <w:rsid w:val="002B7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40C"/>
  </w:style>
  <w:style w:type="paragraph" w:styleId="Footer">
    <w:name w:val="footer"/>
    <w:basedOn w:val="Normal"/>
    <w:link w:val="FooterChar"/>
    <w:uiPriority w:val="99"/>
    <w:unhideWhenUsed/>
    <w:rsid w:val="002B7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40C"/>
  </w:style>
  <w:style w:type="character" w:customStyle="1" w:styleId="Heading2Char">
    <w:name w:val="Heading 2 Char"/>
    <w:basedOn w:val="DefaultParagraphFont"/>
    <w:link w:val="Heading2"/>
    <w:uiPriority w:val="9"/>
    <w:rsid w:val="00711A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1A3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B7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7784A"/>
  </w:style>
  <w:style w:type="character" w:styleId="Hyperlink">
    <w:name w:val="Hyperlink"/>
    <w:basedOn w:val="DefaultParagraphFont"/>
    <w:uiPriority w:val="99"/>
    <w:unhideWhenUsed/>
    <w:rsid w:val="009872CA"/>
    <w:rPr>
      <w:color w:val="0563C1" w:themeColor="hyperlink"/>
      <w:u w:val="single"/>
    </w:rPr>
  </w:style>
  <w:style w:type="character" w:styleId="UnresolvedMention">
    <w:name w:val="Unresolved Mention"/>
    <w:basedOn w:val="DefaultParagraphFont"/>
    <w:uiPriority w:val="99"/>
    <w:semiHidden/>
    <w:unhideWhenUsed/>
    <w:rsid w:val="009872CA"/>
    <w:rPr>
      <w:color w:val="605E5C"/>
      <w:shd w:val="clear" w:color="auto" w:fill="E1DFDD"/>
    </w:rPr>
  </w:style>
  <w:style w:type="paragraph" w:styleId="BalloonText">
    <w:name w:val="Balloon Text"/>
    <w:basedOn w:val="Normal"/>
    <w:link w:val="BalloonTextChar"/>
    <w:uiPriority w:val="99"/>
    <w:semiHidden/>
    <w:unhideWhenUsed/>
    <w:rsid w:val="00D32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8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D7053240-CE69-11CD-A777-00DD01143C57}" ax:persistence="persistStorage" r:id="rId1"/>
</file>

<file path=word/activeX/activeX3.xml><?xml version="1.0" encoding="utf-8"?>
<ax:ocx xmlns:ax="http://schemas.microsoft.com/office/2006/activeX" xmlns:r="http://schemas.openxmlformats.org/officeDocument/2006/relationships" ax:classid="{D7053240-CE69-11CD-A777-00DD01143C57}" ax:persistence="persistStorage" r:id="rId1"/>
</file>

<file path=word/activeX/activeX4.xml><?xml version="1.0" encoding="utf-8"?>
<ax:ocx xmlns:ax="http://schemas.microsoft.com/office/2006/activeX" xmlns:r="http://schemas.openxmlformats.org/officeDocument/2006/relationships" ax:classid="{D7053240-CE69-11CD-A777-00DD01143C57}" ax:persistence="persistStorage" r:id="rId1"/>
</file>

<file path=word/activeX/activeX5.xml><?xml version="1.0" encoding="utf-8"?>
<ax:ocx xmlns:ax="http://schemas.microsoft.com/office/2006/activeX" xmlns:r="http://schemas.openxmlformats.org/officeDocument/2006/relationships" ax:classid="{D7053240-CE69-11CD-A777-00DD01143C57}" ax:persistence="persistStorage" r:id="rId1"/>
</file>

<file path=word/activeX/activeX6.xml><?xml version="1.0" encoding="utf-8"?>
<ax:ocx xmlns:ax="http://schemas.microsoft.com/office/2006/activeX" xmlns:r="http://schemas.openxmlformats.org/officeDocument/2006/relationships" ax:classid="{D7053240-CE69-11CD-A777-00DD01143C57}" ax:persistence="persistStorage" r:id="rId1"/>
</file>

<file path=word/activeX/activeX7.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Man</dc:creator>
  <cp:keywords/>
  <dc:description/>
  <cp:lastModifiedBy>Towers, Jennifer</cp:lastModifiedBy>
  <cp:revision>2</cp:revision>
  <dcterms:created xsi:type="dcterms:W3CDTF">2019-07-23T09:58:00Z</dcterms:created>
  <dcterms:modified xsi:type="dcterms:W3CDTF">2019-07-23T09:58:00Z</dcterms:modified>
</cp:coreProperties>
</file>