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1C40D" w14:textId="77777777" w:rsidR="00CA40CD" w:rsidRDefault="00CA40CD" w:rsidP="00AD55CE">
      <w:pPr>
        <w:pStyle w:val="Heading2"/>
        <w:numPr>
          <w:ilvl w:val="0"/>
          <w:numId w:val="0"/>
        </w:numPr>
        <w:rPr>
          <w:rFonts w:cs="Arial"/>
          <w:color w:val="auto"/>
        </w:rPr>
      </w:pPr>
      <w:bookmarkStart w:id="0" w:name="_Toc444592572"/>
      <w:bookmarkStart w:id="1" w:name="_GoBack"/>
      <w:bookmarkEnd w:id="1"/>
      <w:r w:rsidRPr="00CA40CD">
        <w:rPr>
          <w:rFonts w:cs="Arial"/>
          <w:color w:val="auto"/>
        </w:rPr>
        <w:t>201</w:t>
      </w:r>
      <w:r w:rsidR="001F421F">
        <w:rPr>
          <w:rFonts w:cs="Arial"/>
          <w:color w:val="auto"/>
        </w:rPr>
        <w:t>9</w:t>
      </w:r>
      <w:r w:rsidRPr="00CA40CD">
        <w:rPr>
          <w:rFonts w:cs="Arial"/>
          <w:color w:val="auto"/>
        </w:rPr>
        <w:t>/</w:t>
      </w:r>
      <w:r w:rsidR="001F421F">
        <w:rPr>
          <w:rFonts w:cs="Arial"/>
          <w:color w:val="auto"/>
        </w:rPr>
        <w:t>20</w:t>
      </w:r>
      <w:r w:rsidRPr="00CA40CD">
        <w:rPr>
          <w:rFonts w:cs="Arial"/>
          <w:color w:val="auto"/>
        </w:rPr>
        <w:t xml:space="preserve"> </w:t>
      </w:r>
      <w:r w:rsidR="001F6AA3" w:rsidRPr="00CA40CD">
        <w:rPr>
          <w:rFonts w:cs="Arial"/>
          <w:color w:val="auto"/>
        </w:rPr>
        <w:t xml:space="preserve">PSS </w:t>
      </w:r>
      <w:r w:rsidRPr="00CA40CD">
        <w:rPr>
          <w:rFonts w:cs="Arial"/>
          <w:color w:val="auto"/>
        </w:rPr>
        <w:t>CQUIN Scheme</w:t>
      </w:r>
    </w:p>
    <w:p w14:paraId="675ADA1F" w14:textId="77777777" w:rsidR="001F421F" w:rsidRPr="001F421F" w:rsidRDefault="001F421F" w:rsidP="001F421F">
      <w:pPr>
        <w:pStyle w:val="Heading2"/>
        <w:numPr>
          <w:ilvl w:val="0"/>
          <w:numId w:val="0"/>
        </w:numPr>
        <w:rPr>
          <w:rFonts w:cs="Arial"/>
          <w:color w:val="auto"/>
        </w:rPr>
      </w:pPr>
      <w:r w:rsidRPr="001F421F">
        <w:rPr>
          <w:rFonts w:cs="Arial"/>
          <w:color w:val="auto"/>
        </w:rPr>
        <w:t>Indicator Template</w:t>
      </w:r>
    </w:p>
    <w:p w14:paraId="236EC855" w14:textId="77777777" w:rsidR="00CA40CD" w:rsidRDefault="00CA40CD" w:rsidP="00AD55CE">
      <w:pPr>
        <w:pStyle w:val="Heading2"/>
        <w:numPr>
          <w:ilvl w:val="0"/>
          <w:numId w:val="0"/>
        </w:numPr>
        <w:rPr>
          <w:rFonts w:cs="Arial"/>
          <w:i/>
        </w:rPr>
      </w:pPr>
      <w:r>
        <w:rPr>
          <w:rFonts w:cs="Arial"/>
          <w:i/>
        </w:rPr>
        <w:t>[</w:t>
      </w:r>
      <w:r w:rsidR="00970018">
        <w:rPr>
          <w:rFonts w:cs="Arial"/>
          <w:i/>
        </w:rPr>
        <w:t>Section B to be completed before insertion in contracts.</w:t>
      </w:r>
      <w:r>
        <w:rPr>
          <w:rFonts w:cs="Arial"/>
          <w:i/>
        </w:rPr>
        <w:t>]</w:t>
      </w:r>
    </w:p>
    <w:p w14:paraId="6C083307" w14:textId="751E6EC0" w:rsidR="00154269" w:rsidRPr="00BE5167" w:rsidRDefault="00AA1E2D" w:rsidP="00AD55CE">
      <w:pPr>
        <w:pStyle w:val="Heading2"/>
        <w:numPr>
          <w:ilvl w:val="0"/>
          <w:numId w:val="0"/>
        </w:numPr>
        <w:rPr>
          <w:rFonts w:cs="Arial"/>
          <w:color w:val="auto"/>
        </w:rPr>
      </w:pPr>
      <w:r>
        <w:rPr>
          <w:rFonts w:cs="Arial"/>
          <w:color w:val="auto"/>
        </w:rPr>
        <w:t xml:space="preserve">PSS2 </w:t>
      </w:r>
      <w:r w:rsidR="00C54BC4">
        <w:rPr>
          <w:rFonts w:cs="Arial"/>
          <w:color w:val="auto"/>
        </w:rPr>
        <w:t xml:space="preserve">Supporting </w:t>
      </w:r>
      <w:r w:rsidR="00471AD7">
        <w:rPr>
          <w:rFonts w:cs="Arial"/>
          <w:color w:val="auto"/>
        </w:rPr>
        <w:t>Hepatitis C Virus (HCV) Elimination</w:t>
      </w:r>
      <w:r w:rsidR="00CA40CD" w:rsidRPr="00BE5167">
        <w:rPr>
          <w:rFonts w:cs="Arial"/>
          <w:color w:val="auto"/>
        </w:rPr>
        <w:t xml:space="preserve"> </w:t>
      </w:r>
      <w:bookmarkEnd w:id="0"/>
    </w:p>
    <w:tbl>
      <w:tblPr>
        <w:tblStyle w:val="TableGrid"/>
        <w:tblW w:w="5349" w:type="pct"/>
        <w:tblLook w:val="04A0" w:firstRow="1" w:lastRow="0" w:firstColumn="1" w:lastColumn="0" w:noHBand="0" w:noVBand="1"/>
      </w:tblPr>
      <w:tblGrid>
        <w:gridCol w:w="2319"/>
        <w:gridCol w:w="1103"/>
        <w:gridCol w:w="6090"/>
        <w:gridCol w:w="133"/>
      </w:tblGrid>
      <w:tr w:rsidR="00154269" w:rsidRPr="000412A1" w14:paraId="3283154E" w14:textId="77777777">
        <w:trPr>
          <w:gridAfter w:val="1"/>
          <w:wAfter w:w="70" w:type="pct"/>
        </w:trPr>
        <w:tc>
          <w:tcPr>
            <w:tcW w:w="1202" w:type="pct"/>
            <w:shd w:val="clear" w:color="auto" w:fill="4F81BD" w:themeFill="accent1"/>
          </w:tcPr>
          <w:p w14:paraId="119A7EB2" w14:textId="77777777" w:rsidR="00154269" w:rsidRPr="000412A1" w:rsidRDefault="001F421F" w:rsidP="0084461B">
            <w:pPr>
              <w:rPr>
                <w:rFonts w:cs="Arial"/>
                <w:color w:val="FFFFFF" w:themeColor="background1"/>
                <w:szCs w:val="24"/>
              </w:rPr>
            </w:pPr>
            <w:r>
              <w:rPr>
                <w:rFonts w:cs="Arial"/>
                <w:color w:val="FFFFFF" w:themeColor="background1"/>
                <w:szCs w:val="24"/>
              </w:rPr>
              <w:t>Indicator</w:t>
            </w:r>
            <w:r w:rsidR="00154269" w:rsidRPr="000412A1">
              <w:rPr>
                <w:rFonts w:cs="Arial"/>
                <w:color w:val="FFFFFF" w:themeColor="background1"/>
                <w:szCs w:val="24"/>
              </w:rPr>
              <w:t xml:space="preserve"> Name</w:t>
            </w:r>
          </w:p>
        </w:tc>
        <w:tc>
          <w:tcPr>
            <w:tcW w:w="3729" w:type="pct"/>
            <w:gridSpan w:val="2"/>
            <w:shd w:val="clear" w:color="auto" w:fill="4F81BD" w:themeFill="accent1"/>
          </w:tcPr>
          <w:p w14:paraId="6EFB1C8C" w14:textId="70EA6101" w:rsidR="00154269" w:rsidRPr="00CA40CD" w:rsidRDefault="00AA1E2D" w:rsidP="001F421F">
            <w:pPr>
              <w:rPr>
                <w:rFonts w:cs="Arial"/>
                <w:b/>
                <w:i/>
                <w:color w:val="FFFFFF" w:themeColor="background1"/>
                <w:szCs w:val="24"/>
              </w:rPr>
            </w:pPr>
            <w:r>
              <w:rPr>
                <w:rFonts w:cs="Arial"/>
                <w:b/>
                <w:i/>
                <w:color w:val="FFFFFF" w:themeColor="background1"/>
                <w:szCs w:val="24"/>
              </w:rPr>
              <w:t>Towards</w:t>
            </w:r>
            <w:r w:rsidR="004A05B1">
              <w:rPr>
                <w:rFonts w:cs="Arial"/>
                <w:b/>
                <w:i/>
                <w:color w:val="FFFFFF" w:themeColor="background1"/>
                <w:szCs w:val="24"/>
              </w:rPr>
              <w:t xml:space="preserve"> </w:t>
            </w:r>
            <w:r w:rsidR="004A05B1" w:rsidRPr="004A05B1">
              <w:rPr>
                <w:rFonts w:cs="Arial"/>
                <w:b/>
                <w:i/>
                <w:color w:val="FFFFFF" w:themeColor="background1"/>
                <w:szCs w:val="24"/>
              </w:rPr>
              <w:t xml:space="preserve">Hepatitis C Virus (HCV) </w:t>
            </w:r>
            <w:r>
              <w:rPr>
                <w:rFonts w:cs="Arial"/>
                <w:b/>
                <w:i/>
                <w:color w:val="FFFFFF" w:themeColor="background1"/>
                <w:szCs w:val="24"/>
              </w:rPr>
              <w:t>Elimination</w:t>
            </w:r>
            <w:r w:rsidR="004A05B1" w:rsidRPr="004A05B1">
              <w:rPr>
                <w:rFonts w:cs="Arial"/>
                <w:b/>
                <w:i/>
                <w:color w:val="FFFFFF" w:themeColor="background1"/>
                <w:szCs w:val="24"/>
              </w:rPr>
              <w:t xml:space="preserve"> </w:t>
            </w:r>
          </w:p>
        </w:tc>
      </w:tr>
      <w:tr w:rsidR="00326B23" w:rsidRPr="000412A1" w14:paraId="306AC017" w14:textId="77777777">
        <w:trPr>
          <w:gridAfter w:val="1"/>
          <w:wAfter w:w="70" w:type="pct"/>
        </w:trPr>
        <w:tc>
          <w:tcPr>
            <w:tcW w:w="4930" w:type="pct"/>
            <w:gridSpan w:val="3"/>
            <w:shd w:val="clear" w:color="auto" w:fill="BFBFBF" w:themeFill="background1" w:themeFillShade="BF"/>
          </w:tcPr>
          <w:p w14:paraId="69D52148" w14:textId="77777777" w:rsidR="00326B23" w:rsidRPr="00C042DA" w:rsidRDefault="00326B23" w:rsidP="003A6D3B">
            <w:pPr>
              <w:pStyle w:val="ListParagraph"/>
              <w:numPr>
                <w:ilvl w:val="0"/>
                <w:numId w:val="3"/>
              </w:numPr>
              <w:rPr>
                <w:rFonts w:cs="Arial"/>
                <w:b/>
                <w:szCs w:val="24"/>
              </w:rPr>
            </w:pPr>
            <w:r>
              <w:rPr>
                <w:rFonts w:cs="Arial"/>
                <w:b/>
                <w:szCs w:val="24"/>
              </w:rPr>
              <w:t xml:space="preserve">SUMMARY of </w:t>
            </w:r>
            <w:r w:rsidR="001F421F">
              <w:rPr>
                <w:rFonts w:cs="Arial"/>
                <w:b/>
                <w:szCs w:val="24"/>
              </w:rPr>
              <w:t>Indicator</w:t>
            </w:r>
            <w:r>
              <w:rPr>
                <w:rFonts w:cs="Arial"/>
                <w:b/>
                <w:szCs w:val="24"/>
              </w:rPr>
              <w:t xml:space="preserve"> </w:t>
            </w:r>
          </w:p>
        </w:tc>
      </w:tr>
      <w:tr w:rsidR="00023708" w:rsidRPr="000412A1" w14:paraId="56EB6A21" w14:textId="77777777">
        <w:trPr>
          <w:gridAfter w:val="1"/>
          <w:wAfter w:w="70" w:type="pct"/>
        </w:trPr>
        <w:tc>
          <w:tcPr>
            <w:tcW w:w="1202" w:type="pct"/>
            <w:shd w:val="clear" w:color="auto" w:fill="D9D9D9" w:themeFill="background1" w:themeFillShade="D9"/>
          </w:tcPr>
          <w:p w14:paraId="0A5812A4" w14:textId="77777777" w:rsidR="00023708" w:rsidRDefault="00023708" w:rsidP="0084461B">
            <w:pPr>
              <w:rPr>
                <w:rFonts w:cs="Arial"/>
                <w:szCs w:val="24"/>
              </w:rPr>
            </w:pPr>
            <w:r>
              <w:rPr>
                <w:rFonts w:cs="Arial"/>
                <w:szCs w:val="24"/>
              </w:rPr>
              <w:t>Indicator Sponsor (with email address)</w:t>
            </w:r>
          </w:p>
        </w:tc>
        <w:tc>
          <w:tcPr>
            <w:tcW w:w="3729" w:type="pct"/>
            <w:gridSpan w:val="2"/>
          </w:tcPr>
          <w:p w14:paraId="54457A17" w14:textId="77777777" w:rsidR="00DE033B" w:rsidRDefault="00DE033B" w:rsidP="0084461B">
            <w:pPr>
              <w:rPr>
                <w:rFonts w:cs="Arial"/>
                <w:i/>
                <w:szCs w:val="24"/>
              </w:rPr>
            </w:pPr>
            <w:r>
              <w:rPr>
                <w:rFonts w:cs="Arial"/>
                <w:i/>
                <w:szCs w:val="24"/>
              </w:rPr>
              <w:t xml:space="preserve">Helen </w:t>
            </w:r>
            <w:r w:rsidR="00D75919" w:rsidRPr="00D75919">
              <w:rPr>
                <w:rFonts w:cs="Arial"/>
                <w:i/>
                <w:szCs w:val="24"/>
              </w:rPr>
              <w:t>B</w:t>
            </w:r>
            <w:r>
              <w:rPr>
                <w:rFonts w:cs="Arial"/>
                <w:i/>
                <w:szCs w:val="24"/>
              </w:rPr>
              <w:t xml:space="preserve">ennett, HCV Programme Manager </w:t>
            </w:r>
          </w:p>
          <w:p w14:paraId="08699B20" w14:textId="77777777" w:rsidR="00517B50" w:rsidRDefault="00D75919" w:rsidP="0084461B">
            <w:pPr>
              <w:rPr>
                <w:rFonts w:cs="Arial"/>
                <w:i/>
                <w:szCs w:val="24"/>
              </w:rPr>
            </w:pPr>
            <w:r w:rsidRPr="00D75919">
              <w:rPr>
                <w:rFonts w:cs="Arial"/>
                <w:i/>
                <w:szCs w:val="24"/>
              </w:rPr>
              <w:t>helen.bennett18@nhs.net</w:t>
            </w:r>
            <w:r w:rsidR="00735C2F">
              <w:rPr>
                <w:rFonts w:cs="Arial"/>
                <w:i/>
                <w:szCs w:val="24"/>
              </w:rPr>
              <w:t>;</w:t>
            </w:r>
            <w:r w:rsidRPr="00D75919">
              <w:rPr>
                <w:rFonts w:cs="Arial"/>
                <w:i/>
                <w:szCs w:val="24"/>
              </w:rPr>
              <w:t xml:space="preserve"> </w:t>
            </w:r>
          </w:p>
          <w:p w14:paraId="5670DB23" w14:textId="77777777" w:rsidR="00962744" w:rsidRDefault="00962744" w:rsidP="0084461B">
            <w:pPr>
              <w:rPr>
                <w:rFonts w:cs="Arial"/>
                <w:i/>
                <w:szCs w:val="24"/>
              </w:rPr>
            </w:pPr>
            <w:r>
              <w:rPr>
                <w:rFonts w:cs="Arial"/>
                <w:i/>
                <w:szCs w:val="24"/>
              </w:rPr>
              <w:t>Professor Graham Foster, National Clinical Lead</w:t>
            </w:r>
          </w:p>
          <w:p w14:paraId="4293B69D" w14:textId="77777777" w:rsidR="00023708" w:rsidRDefault="00F12081" w:rsidP="0084461B">
            <w:pPr>
              <w:rPr>
                <w:rFonts w:cs="Arial"/>
                <w:i/>
                <w:szCs w:val="24"/>
              </w:rPr>
            </w:pPr>
            <w:hyperlink r:id="rId7" w:history="1">
              <w:r w:rsidR="00735C2F" w:rsidRPr="00417149">
                <w:rPr>
                  <w:rStyle w:val="Hyperlink"/>
                  <w:rFonts w:cs="Arial"/>
                  <w:szCs w:val="24"/>
                </w:rPr>
                <w:t>g.r.foster@qmul.ac.uk</w:t>
              </w:r>
            </w:hyperlink>
            <w:r w:rsidR="00735C2F">
              <w:rPr>
                <w:rFonts w:cs="Arial"/>
                <w:i/>
                <w:szCs w:val="24"/>
              </w:rPr>
              <w:t>;</w:t>
            </w:r>
          </w:p>
          <w:p w14:paraId="37D18A44" w14:textId="77777777" w:rsidR="00735C2F" w:rsidRDefault="00735C2F" w:rsidP="0084461B">
            <w:pPr>
              <w:rPr>
                <w:rFonts w:cs="Arial"/>
                <w:i/>
                <w:szCs w:val="24"/>
              </w:rPr>
            </w:pPr>
          </w:p>
          <w:p w14:paraId="7CB21563" w14:textId="77777777" w:rsidR="005C7CD6" w:rsidRDefault="005C7CD6" w:rsidP="0084461B">
            <w:pPr>
              <w:rPr>
                <w:rFonts w:cs="Arial"/>
                <w:i/>
                <w:szCs w:val="24"/>
              </w:rPr>
            </w:pPr>
            <w:r>
              <w:rPr>
                <w:rFonts w:cs="Arial"/>
                <w:i/>
                <w:szCs w:val="24"/>
              </w:rPr>
              <w:t>All queries to: England.hepc-enquiries@nhs.net;</w:t>
            </w:r>
          </w:p>
        </w:tc>
      </w:tr>
      <w:tr w:rsidR="00822294" w:rsidRPr="000412A1" w14:paraId="6AB90E0C" w14:textId="77777777">
        <w:trPr>
          <w:gridAfter w:val="1"/>
          <w:wAfter w:w="70" w:type="pct"/>
        </w:trPr>
        <w:tc>
          <w:tcPr>
            <w:tcW w:w="1202" w:type="pct"/>
            <w:shd w:val="clear" w:color="auto" w:fill="D9D9D9" w:themeFill="background1" w:themeFillShade="D9"/>
          </w:tcPr>
          <w:p w14:paraId="205354DF" w14:textId="77777777" w:rsidR="00822294" w:rsidRPr="000412A1" w:rsidRDefault="007E6202" w:rsidP="0084461B">
            <w:pPr>
              <w:rPr>
                <w:rFonts w:cs="Arial"/>
                <w:szCs w:val="24"/>
              </w:rPr>
            </w:pPr>
            <w:r>
              <w:rPr>
                <w:rFonts w:cs="Arial"/>
                <w:szCs w:val="24"/>
              </w:rPr>
              <w:t>Improving Value</w:t>
            </w:r>
            <w:r w:rsidR="00822294">
              <w:rPr>
                <w:rFonts w:cs="Arial"/>
                <w:szCs w:val="24"/>
              </w:rPr>
              <w:t xml:space="preserve"> Reference</w:t>
            </w:r>
          </w:p>
        </w:tc>
        <w:tc>
          <w:tcPr>
            <w:tcW w:w="3729" w:type="pct"/>
            <w:gridSpan w:val="2"/>
          </w:tcPr>
          <w:p w14:paraId="37EBC388" w14:textId="77777777" w:rsidR="00822294" w:rsidRPr="00CA40CD" w:rsidRDefault="00822294" w:rsidP="0084461B">
            <w:pPr>
              <w:rPr>
                <w:rFonts w:cs="Arial"/>
                <w:i/>
                <w:szCs w:val="24"/>
              </w:rPr>
            </w:pPr>
            <w:r w:rsidRPr="00143B76">
              <w:rPr>
                <w:rFonts w:cs="Arial"/>
                <w:i/>
                <w:color w:val="FF0000"/>
                <w:szCs w:val="24"/>
              </w:rPr>
              <w:t>[</w:t>
            </w:r>
            <w:r w:rsidR="00143B76" w:rsidRPr="00143B76">
              <w:rPr>
                <w:rFonts w:cs="Arial"/>
                <w:i/>
                <w:color w:val="FF0000"/>
                <w:szCs w:val="24"/>
              </w:rPr>
              <w:t>Improving Value</w:t>
            </w:r>
            <w:r w:rsidRPr="00143B76">
              <w:rPr>
                <w:rFonts w:cs="Arial"/>
                <w:i/>
                <w:color w:val="FF0000"/>
                <w:szCs w:val="24"/>
              </w:rPr>
              <w:t xml:space="preserve"> reference if any]</w:t>
            </w:r>
          </w:p>
        </w:tc>
      </w:tr>
      <w:tr w:rsidR="00822294" w:rsidRPr="000412A1" w14:paraId="4747437A" w14:textId="77777777">
        <w:trPr>
          <w:gridAfter w:val="1"/>
          <w:wAfter w:w="70" w:type="pct"/>
        </w:trPr>
        <w:tc>
          <w:tcPr>
            <w:tcW w:w="1202" w:type="pct"/>
            <w:shd w:val="clear" w:color="auto" w:fill="D9D9D9" w:themeFill="background1" w:themeFillShade="D9"/>
          </w:tcPr>
          <w:p w14:paraId="585CD3CD" w14:textId="77777777" w:rsidR="00822294" w:rsidRPr="000412A1" w:rsidRDefault="00822294" w:rsidP="0084461B">
            <w:pPr>
              <w:rPr>
                <w:rFonts w:cs="Arial"/>
                <w:szCs w:val="24"/>
              </w:rPr>
            </w:pPr>
            <w:r w:rsidRPr="000412A1">
              <w:rPr>
                <w:rFonts w:cs="Arial"/>
                <w:szCs w:val="24"/>
              </w:rPr>
              <w:t>Duration</w:t>
            </w:r>
          </w:p>
        </w:tc>
        <w:tc>
          <w:tcPr>
            <w:tcW w:w="3729" w:type="pct"/>
            <w:gridSpan w:val="2"/>
          </w:tcPr>
          <w:p w14:paraId="7C363975" w14:textId="77777777" w:rsidR="00822294" w:rsidRPr="00CA40CD" w:rsidRDefault="00822294" w:rsidP="001F421F">
            <w:pPr>
              <w:rPr>
                <w:rFonts w:cs="Arial"/>
                <w:i/>
                <w:szCs w:val="24"/>
              </w:rPr>
            </w:pPr>
            <w:r w:rsidRPr="00C0263E">
              <w:rPr>
                <w:rFonts w:cs="Arial"/>
                <w:szCs w:val="24"/>
              </w:rPr>
              <w:t xml:space="preserve"> </w:t>
            </w:r>
            <w:r w:rsidRPr="00BE5167">
              <w:rPr>
                <w:rFonts w:cs="Arial"/>
                <w:i/>
                <w:color w:val="FF0000"/>
                <w:szCs w:val="24"/>
              </w:rPr>
              <w:t>[</w:t>
            </w:r>
            <w:r w:rsidR="00052447" w:rsidRPr="00BE5167">
              <w:rPr>
                <w:rFonts w:cs="Arial"/>
                <w:i/>
                <w:color w:val="FF0000"/>
                <w:szCs w:val="24"/>
              </w:rPr>
              <w:t xml:space="preserve">Specify full duration of </w:t>
            </w:r>
            <w:r w:rsidR="001F421F" w:rsidRPr="00BE5167">
              <w:rPr>
                <w:rFonts w:cs="Arial"/>
                <w:i/>
                <w:color w:val="FF0000"/>
                <w:szCs w:val="24"/>
              </w:rPr>
              <w:t>indicator</w:t>
            </w:r>
            <w:r w:rsidR="00052447" w:rsidRPr="00BE5167">
              <w:rPr>
                <w:rFonts w:cs="Arial"/>
                <w:i/>
                <w:color w:val="FF0000"/>
                <w:szCs w:val="24"/>
              </w:rPr>
              <w:t>, in years]</w:t>
            </w:r>
            <w:r w:rsidR="00BE5167">
              <w:rPr>
                <w:rFonts w:cs="Arial"/>
                <w:szCs w:val="24"/>
              </w:rPr>
              <w:t xml:space="preserve"> One</w:t>
            </w:r>
            <w:r w:rsidR="00BE5167" w:rsidRPr="009B60A2">
              <w:rPr>
                <w:rFonts w:cs="Arial"/>
                <w:szCs w:val="24"/>
              </w:rPr>
              <w:t>.</w:t>
            </w:r>
          </w:p>
        </w:tc>
      </w:tr>
      <w:tr w:rsidR="00B77154" w:rsidRPr="000412A1" w14:paraId="38E9F7C0" w14:textId="77777777">
        <w:trPr>
          <w:gridAfter w:val="1"/>
          <w:wAfter w:w="70" w:type="pct"/>
        </w:trPr>
        <w:tc>
          <w:tcPr>
            <w:tcW w:w="1202" w:type="pct"/>
            <w:shd w:val="clear" w:color="auto" w:fill="D9D9D9" w:themeFill="background1" w:themeFillShade="D9"/>
          </w:tcPr>
          <w:p w14:paraId="13F47078" w14:textId="77777777" w:rsidR="00B77154" w:rsidRPr="000412A1" w:rsidRDefault="00B77154" w:rsidP="0084461B">
            <w:pPr>
              <w:rPr>
                <w:rFonts w:cs="Arial"/>
                <w:szCs w:val="24"/>
              </w:rPr>
            </w:pPr>
            <w:r>
              <w:rPr>
                <w:rFonts w:cs="Arial"/>
                <w:szCs w:val="24"/>
              </w:rPr>
              <w:t>CCG Complementarity</w:t>
            </w:r>
          </w:p>
        </w:tc>
        <w:tc>
          <w:tcPr>
            <w:tcW w:w="3729" w:type="pct"/>
            <w:gridSpan w:val="2"/>
          </w:tcPr>
          <w:p w14:paraId="238B7A92" w14:textId="77777777" w:rsidR="00B77154" w:rsidRPr="00BE5167" w:rsidRDefault="00B77154" w:rsidP="00052447">
            <w:pPr>
              <w:rPr>
                <w:rFonts w:cs="Arial"/>
                <w:i/>
                <w:color w:val="FF0000"/>
                <w:szCs w:val="24"/>
              </w:rPr>
            </w:pPr>
            <w:r w:rsidRPr="00BE5167">
              <w:rPr>
                <w:rFonts w:cs="Arial"/>
                <w:i/>
                <w:color w:val="FF0000"/>
                <w:szCs w:val="24"/>
              </w:rPr>
              <w:t xml:space="preserve">[Reference any related CCG </w:t>
            </w:r>
            <w:r w:rsidR="001F421F" w:rsidRPr="00BE5167">
              <w:rPr>
                <w:rFonts w:cs="Arial"/>
                <w:i/>
                <w:color w:val="FF0000"/>
                <w:szCs w:val="24"/>
              </w:rPr>
              <w:t>indicator</w:t>
            </w:r>
            <w:r w:rsidRPr="00BE5167">
              <w:rPr>
                <w:rFonts w:cs="Arial"/>
                <w:i/>
                <w:color w:val="FF0000"/>
                <w:szCs w:val="24"/>
              </w:rPr>
              <w:t>s]</w:t>
            </w:r>
          </w:p>
        </w:tc>
      </w:tr>
      <w:tr w:rsidR="00C042DA" w:rsidRPr="000412A1" w14:paraId="0B9F6B19" w14:textId="77777777">
        <w:trPr>
          <w:gridAfter w:val="1"/>
          <w:wAfter w:w="70" w:type="pct"/>
          <w:trHeight w:val="1365"/>
        </w:trPr>
        <w:tc>
          <w:tcPr>
            <w:tcW w:w="4930" w:type="pct"/>
            <w:gridSpan w:val="3"/>
          </w:tcPr>
          <w:p w14:paraId="02D249E2" w14:textId="77777777" w:rsidR="00C042DA" w:rsidRDefault="00C042DA" w:rsidP="0084461B">
            <w:pPr>
              <w:rPr>
                <w:rFonts w:cs="Arial"/>
                <w:b/>
                <w:szCs w:val="24"/>
              </w:rPr>
            </w:pPr>
            <w:r w:rsidRPr="00326B23">
              <w:rPr>
                <w:rFonts w:cs="Arial"/>
                <w:b/>
                <w:szCs w:val="24"/>
                <w:u w:val="single"/>
              </w:rPr>
              <w:t>Problem to be addressed</w:t>
            </w:r>
            <w:r w:rsidR="000F3C6A">
              <w:rPr>
                <w:rFonts w:cs="Arial"/>
                <w:b/>
                <w:szCs w:val="24"/>
                <w:u w:val="single"/>
              </w:rPr>
              <w:t xml:space="preserve"> (maximum 1</w:t>
            </w:r>
            <w:r w:rsidR="003A0C63">
              <w:rPr>
                <w:rFonts w:cs="Arial"/>
                <w:b/>
                <w:szCs w:val="24"/>
                <w:u w:val="single"/>
              </w:rPr>
              <w:t>5</w:t>
            </w:r>
            <w:r w:rsidR="000F3C6A">
              <w:rPr>
                <w:rFonts w:cs="Arial"/>
                <w:b/>
                <w:szCs w:val="24"/>
                <w:u w:val="single"/>
              </w:rPr>
              <w:t>0 words)</w:t>
            </w:r>
            <w:r w:rsidRPr="00A95BE1">
              <w:rPr>
                <w:rFonts w:cs="Arial"/>
                <w:b/>
                <w:szCs w:val="24"/>
              </w:rPr>
              <w:t>:</w:t>
            </w:r>
          </w:p>
          <w:p w14:paraId="5869215E" w14:textId="77777777" w:rsidR="000F3C6A" w:rsidRPr="00D46AE5" w:rsidRDefault="000F3C6A" w:rsidP="000F3C6A">
            <w:pPr>
              <w:rPr>
                <w:rFonts w:cs="Arial"/>
                <w:b/>
                <w:color w:val="FF0000"/>
                <w:szCs w:val="24"/>
              </w:rPr>
            </w:pPr>
            <w:r w:rsidRPr="00D46AE5">
              <w:rPr>
                <w:rFonts w:cs="Arial"/>
                <w:b/>
                <w:i/>
                <w:color w:val="FF0000"/>
                <w:szCs w:val="24"/>
              </w:rPr>
              <w:t>[</w:t>
            </w:r>
            <w:r w:rsidRPr="00D46AE5">
              <w:rPr>
                <w:rFonts w:cs="Arial"/>
                <w:i/>
                <w:color w:val="FF0000"/>
                <w:szCs w:val="24"/>
              </w:rPr>
              <w:t xml:space="preserve">Briefly characterise the shortfall in quality or efficiency that the </w:t>
            </w:r>
            <w:r w:rsidR="001F421F" w:rsidRPr="00D46AE5">
              <w:rPr>
                <w:rFonts w:cs="Arial"/>
                <w:i/>
                <w:color w:val="FF0000"/>
                <w:szCs w:val="24"/>
              </w:rPr>
              <w:t>indicator</w:t>
            </w:r>
            <w:r w:rsidRPr="00D46AE5">
              <w:rPr>
                <w:rFonts w:cs="Arial"/>
                <w:i/>
                <w:color w:val="FF0000"/>
                <w:szCs w:val="24"/>
              </w:rPr>
              <w:t xml:space="preserve"> is designed to address; detailed evidence should be placed in section</w:t>
            </w:r>
            <w:r w:rsidR="004E377A" w:rsidRPr="00D46AE5">
              <w:rPr>
                <w:rFonts w:cs="Arial"/>
                <w:i/>
                <w:color w:val="FF0000"/>
                <w:szCs w:val="24"/>
              </w:rPr>
              <w:t xml:space="preserve"> D1</w:t>
            </w:r>
            <w:r w:rsidRPr="00D46AE5">
              <w:rPr>
                <w:rFonts w:cs="Arial"/>
                <w:b/>
                <w:i/>
                <w:color w:val="FF0000"/>
                <w:szCs w:val="24"/>
              </w:rPr>
              <w:t>]</w:t>
            </w:r>
            <w:r w:rsidRPr="00D46AE5">
              <w:rPr>
                <w:rFonts w:cs="Arial"/>
                <w:b/>
                <w:color w:val="FF0000"/>
                <w:szCs w:val="24"/>
              </w:rPr>
              <w:t xml:space="preserve"> </w:t>
            </w:r>
          </w:p>
          <w:p w14:paraId="5431EAD1" w14:textId="77777777" w:rsidR="000F3C6A" w:rsidRDefault="000F3C6A" w:rsidP="0084461B">
            <w:pPr>
              <w:rPr>
                <w:rFonts w:cs="Arial"/>
                <w:b/>
                <w:szCs w:val="24"/>
              </w:rPr>
            </w:pPr>
          </w:p>
          <w:p w14:paraId="1A0A3257" w14:textId="72245064" w:rsidR="002712B3" w:rsidRPr="002712B3" w:rsidRDefault="002712B3" w:rsidP="002712B3">
            <w:pPr>
              <w:rPr>
                <w:rFonts w:cs="Arial"/>
                <w:szCs w:val="24"/>
              </w:rPr>
            </w:pPr>
            <w:r w:rsidRPr="002712B3">
              <w:rPr>
                <w:rFonts w:cs="Arial"/>
                <w:szCs w:val="24"/>
              </w:rPr>
              <w:t xml:space="preserve">Clinical advice has highlighted that </w:t>
            </w:r>
            <w:proofErr w:type="gramStart"/>
            <w:r w:rsidR="005D7195">
              <w:rPr>
                <w:rFonts w:cs="Arial"/>
                <w:szCs w:val="24"/>
              </w:rPr>
              <w:t xml:space="preserve">in order </w:t>
            </w:r>
            <w:r w:rsidR="00C54BC4">
              <w:rPr>
                <w:rFonts w:cs="Arial"/>
                <w:szCs w:val="24"/>
              </w:rPr>
              <w:t>to</w:t>
            </w:r>
            <w:proofErr w:type="gramEnd"/>
            <w:r w:rsidR="00C54BC4">
              <w:rPr>
                <w:rFonts w:cs="Arial"/>
                <w:szCs w:val="24"/>
              </w:rPr>
              <w:t xml:space="preserve"> respond to the</w:t>
            </w:r>
            <w:r w:rsidR="005D7195">
              <w:rPr>
                <w:rFonts w:cs="Arial"/>
                <w:szCs w:val="24"/>
              </w:rPr>
              <w:t xml:space="preserve"> </w:t>
            </w:r>
            <w:r w:rsidRPr="002712B3">
              <w:rPr>
                <w:rFonts w:cs="Arial"/>
                <w:szCs w:val="24"/>
              </w:rPr>
              <w:t xml:space="preserve">WHO strategy for elimination by 2030 </w:t>
            </w:r>
            <w:r w:rsidR="00C54BC4">
              <w:rPr>
                <w:rFonts w:cs="Arial"/>
                <w:szCs w:val="24"/>
              </w:rPr>
              <w:t xml:space="preserve">and NHS England’s ambition to accelerate this to 2025, increased </w:t>
            </w:r>
            <w:r w:rsidRPr="002712B3">
              <w:rPr>
                <w:rFonts w:cs="Arial"/>
                <w:szCs w:val="24"/>
              </w:rPr>
              <w:t xml:space="preserve">focus on improving </w:t>
            </w:r>
            <w:r w:rsidR="00E366FA">
              <w:rPr>
                <w:rFonts w:cs="Arial"/>
                <w:szCs w:val="24"/>
              </w:rPr>
              <w:t xml:space="preserve">treatment </w:t>
            </w:r>
            <w:r w:rsidRPr="002712B3">
              <w:rPr>
                <w:rFonts w:cs="Arial"/>
                <w:szCs w:val="24"/>
              </w:rPr>
              <w:t>of diagnosed patients and increasing rates of testing and diagnosis</w:t>
            </w:r>
            <w:r w:rsidR="00C54BC4">
              <w:rPr>
                <w:rFonts w:cs="Arial"/>
                <w:szCs w:val="24"/>
              </w:rPr>
              <w:t xml:space="preserve"> is required</w:t>
            </w:r>
            <w:r w:rsidRPr="002712B3">
              <w:rPr>
                <w:rFonts w:cs="Arial"/>
                <w:szCs w:val="24"/>
              </w:rPr>
              <w:t>. Whilst the wider health and social care system has a role to play, ODNs</w:t>
            </w:r>
            <w:r w:rsidR="00B8154A">
              <w:rPr>
                <w:rFonts w:cs="Arial"/>
                <w:szCs w:val="24"/>
              </w:rPr>
              <w:t>,</w:t>
            </w:r>
            <w:r w:rsidRPr="002712B3">
              <w:rPr>
                <w:rFonts w:cs="Arial"/>
                <w:szCs w:val="24"/>
              </w:rPr>
              <w:t xml:space="preserve"> as expressed in the service specification</w:t>
            </w:r>
            <w:r w:rsidR="00B8154A">
              <w:rPr>
                <w:rFonts w:cs="Arial"/>
                <w:szCs w:val="24"/>
              </w:rPr>
              <w:t>,</w:t>
            </w:r>
            <w:r w:rsidRPr="002712B3">
              <w:rPr>
                <w:rFonts w:cs="Arial"/>
                <w:szCs w:val="24"/>
              </w:rPr>
              <w:t xml:space="preserve"> ha</w:t>
            </w:r>
            <w:r w:rsidR="00B8154A">
              <w:rPr>
                <w:rFonts w:cs="Arial"/>
                <w:szCs w:val="24"/>
              </w:rPr>
              <w:t>ve</w:t>
            </w:r>
            <w:r w:rsidRPr="002712B3">
              <w:rPr>
                <w:rFonts w:cs="Arial"/>
                <w:szCs w:val="24"/>
              </w:rPr>
              <w:t xml:space="preserve"> a leadership role to play in supporting these actions.</w:t>
            </w:r>
          </w:p>
          <w:p w14:paraId="1439E1FD" w14:textId="77777777" w:rsidR="00C042DA" w:rsidRPr="000412A1" w:rsidRDefault="00C042DA" w:rsidP="000F3C6A">
            <w:pPr>
              <w:rPr>
                <w:rFonts w:cs="Arial"/>
                <w:szCs w:val="24"/>
              </w:rPr>
            </w:pPr>
          </w:p>
        </w:tc>
      </w:tr>
      <w:tr w:rsidR="00326B23" w:rsidRPr="000412A1" w14:paraId="75E0183E" w14:textId="77777777">
        <w:trPr>
          <w:gridAfter w:val="1"/>
          <w:wAfter w:w="70" w:type="pct"/>
        </w:trPr>
        <w:tc>
          <w:tcPr>
            <w:tcW w:w="4930" w:type="pct"/>
            <w:gridSpan w:val="3"/>
          </w:tcPr>
          <w:p w14:paraId="7DDC5CCB" w14:textId="77777777" w:rsidR="00326B23" w:rsidRPr="00326B23" w:rsidRDefault="00326B23" w:rsidP="00326B23">
            <w:pPr>
              <w:rPr>
                <w:rFonts w:cs="Arial"/>
                <w:b/>
                <w:szCs w:val="24"/>
                <w:u w:val="single"/>
              </w:rPr>
            </w:pPr>
            <w:r w:rsidRPr="00326B23">
              <w:rPr>
                <w:rFonts w:cs="Arial"/>
                <w:b/>
                <w:szCs w:val="24"/>
                <w:u w:val="single"/>
              </w:rPr>
              <w:t>Change sought:</w:t>
            </w:r>
          </w:p>
          <w:p w14:paraId="09E0D93A" w14:textId="77777777" w:rsidR="00326B23" w:rsidRPr="00A95BE1" w:rsidRDefault="00326B23" w:rsidP="00326B23">
            <w:pPr>
              <w:rPr>
                <w:rFonts w:cs="Arial"/>
                <w:b/>
                <w:i/>
                <w:szCs w:val="24"/>
              </w:rPr>
            </w:pPr>
            <w:r w:rsidRPr="004E377A">
              <w:rPr>
                <w:rFonts w:cs="Arial"/>
                <w:i/>
                <w:color w:val="FF0000"/>
                <w:szCs w:val="24"/>
              </w:rPr>
              <w:t>[Specify what change in behaviour is sought in general terms</w:t>
            </w:r>
            <w:r w:rsidR="004E377A">
              <w:rPr>
                <w:rFonts w:cs="Arial"/>
                <w:i/>
                <w:color w:val="FF0000"/>
                <w:szCs w:val="24"/>
              </w:rPr>
              <w:t>, with detailed specification set out in section C</w:t>
            </w:r>
            <w:r w:rsidR="004E377A" w:rsidRPr="00D46AE5">
              <w:rPr>
                <w:rFonts w:cs="Arial"/>
                <w:i/>
                <w:color w:val="FF0000"/>
                <w:szCs w:val="24"/>
              </w:rPr>
              <w:t>4</w:t>
            </w:r>
            <w:r w:rsidRPr="00D46AE5">
              <w:rPr>
                <w:rFonts w:cs="Arial"/>
                <w:b/>
                <w:i/>
                <w:color w:val="FF0000"/>
                <w:szCs w:val="24"/>
              </w:rPr>
              <w:t xml:space="preserve">.] </w:t>
            </w:r>
          </w:p>
          <w:p w14:paraId="11FA34C1" w14:textId="7A3E768C" w:rsidR="000D47B0" w:rsidRPr="008C3ECB" w:rsidRDefault="000D47B0" w:rsidP="000D47B0">
            <w:pPr>
              <w:keepNext/>
              <w:contextualSpacing/>
              <w:rPr>
                <w:rFonts w:cs="Arial"/>
                <w:szCs w:val="24"/>
              </w:rPr>
            </w:pPr>
            <w:r w:rsidRPr="008C3ECB">
              <w:rPr>
                <w:rFonts w:cs="Arial"/>
                <w:szCs w:val="24"/>
              </w:rPr>
              <w:t xml:space="preserve">This CQUIN supports the </w:t>
            </w:r>
            <w:r>
              <w:rPr>
                <w:rFonts w:cs="Arial"/>
                <w:szCs w:val="24"/>
              </w:rPr>
              <w:t xml:space="preserve">continued evolution of </w:t>
            </w:r>
            <w:r w:rsidRPr="008C3ECB">
              <w:rPr>
                <w:rFonts w:cs="Arial"/>
                <w:szCs w:val="24"/>
              </w:rPr>
              <w:t>infrastructure, governance and partnership-working across health and care providers working in HCV networks in their fourth year of operation</w:t>
            </w:r>
            <w:r>
              <w:rPr>
                <w:rFonts w:cs="Arial"/>
                <w:szCs w:val="24"/>
              </w:rPr>
              <w:t>, rolling out new HCV treatments and now</w:t>
            </w:r>
            <w:r w:rsidRPr="008C3ECB">
              <w:rPr>
                <w:rFonts w:cs="Arial"/>
                <w:szCs w:val="24"/>
              </w:rPr>
              <w:t xml:space="preserve"> </w:t>
            </w:r>
            <w:r>
              <w:rPr>
                <w:rFonts w:cs="Arial"/>
                <w:szCs w:val="24"/>
              </w:rPr>
              <w:t xml:space="preserve">working towards HCV elimination. </w:t>
            </w:r>
            <w:r w:rsidR="00E366FA">
              <w:rPr>
                <w:rFonts w:cs="Arial"/>
                <w:szCs w:val="24"/>
              </w:rPr>
              <w:t xml:space="preserve">Treatment </w:t>
            </w:r>
            <w:r w:rsidR="00816069">
              <w:rPr>
                <w:rFonts w:cs="Arial"/>
                <w:szCs w:val="24"/>
              </w:rPr>
              <w:t xml:space="preserve">is </w:t>
            </w:r>
            <w:r w:rsidR="008E03B8">
              <w:rPr>
                <w:rFonts w:cs="Arial"/>
                <w:szCs w:val="24"/>
              </w:rPr>
              <w:t xml:space="preserve">becoming more challenging at the same time as new support </w:t>
            </w:r>
            <w:r w:rsidR="008E03B8">
              <w:rPr>
                <w:rFonts w:cs="Arial"/>
                <w:szCs w:val="24"/>
              </w:rPr>
              <w:lastRenderedPageBreak/>
              <w:t xml:space="preserve">is becoming available. The CQUIN therefore recognises the stretch in maintaining treatment levels at ODN level.   </w:t>
            </w:r>
          </w:p>
          <w:p w14:paraId="46C689CF" w14:textId="77777777" w:rsidR="00EC7E62" w:rsidRDefault="00EC7E62" w:rsidP="00EC7E62">
            <w:pPr>
              <w:keepNext/>
              <w:rPr>
                <w:rFonts w:cs="Arial"/>
                <w:color w:val="000000"/>
                <w:szCs w:val="24"/>
              </w:rPr>
            </w:pPr>
          </w:p>
          <w:p w14:paraId="49A19ECB" w14:textId="77777777" w:rsidR="00EC7E62" w:rsidRPr="008C3ECB" w:rsidRDefault="00EC7E62" w:rsidP="00EC7E62">
            <w:pPr>
              <w:keepNext/>
              <w:rPr>
                <w:rFonts w:cs="Arial"/>
                <w:color w:val="000000"/>
                <w:szCs w:val="24"/>
              </w:rPr>
            </w:pPr>
            <w:r w:rsidRPr="008C3ECB">
              <w:rPr>
                <w:rFonts w:cs="Arial"/>
                <w:color w:val="000000"/>
                <w:szCs w:val="24"/>
              </w:rPr>
              <w:t xml:space="preserve">This CQUIN aims to support </w:t>
            </w:r>
          </w:p>
          <w:p w14:paraId="6A0EC660" w14:textId="61041ED7" w:rsidR="000D47B0" w:rsidRPr="008C3ECB" w:rsidRDefault="000D47B0" w:rsidP="003A6D3B">
            <w:pPr>
              <w:pStyle w:val="ListParagraph"/>
              <w:keepNext/>
              <w:numPr>
                <w:ilvl w:val="0"/>
                <w:numId w:val="6"/>
              </w:numPr>
              <w:rPr>
                <w:rFonts w:cs="Arial"/>
                <w:color w:val="000000"/>
                <w:szCs w:val="24"/>
              </w:rPr>
            </w:pPr>
            <w:r>
              <w:rPr>
                <w:rFonts w:cs="Arial"/>
                <w:color w:val="000000"/>
                <w:szCs w:val="24"/>
              </w:rPr>
              <w:t xml:space="preserve">Alignment to the outcomes and ambitions of the </w:t>
            </w:r>
            <w:r w:rsidR="00C54BC4">
              <w:rPr>
                <w:rFonts w:cs="Arial"/>
                <w:color w:val="000000"/>
                <w:szCs w:val="24"/>
              </w:rPr>
              <w:t xml:space="preserve">strategic </w:t>
            </w:r>
            <w:r>
              <w:rPr>
                <w:rFonts w:cs="Arial"/>
                <w:color w:val="000000"/>
                <w:szCs w:val="24"/>
              </w:rPr>
              <w:t>procurement for drugs / elimination initiatives</w:t>
            </w:r>
          </w:p>
          <w:p w14:paraId="53DD519A" w14:textId="77777777" w:rsidR="00EC7E62" w:rsidRDefault="00EC7E62" w:rsidP="003A6D3B">
            <w:pPr>
              <w:pStyle w:val="ListParagraph"/>
              <w:keepNext/>
              <w:numPr>
                <w:ilvl w:val="0"/>
                <w:numId w:val="6"/>
              </w:numPr>
              <w:rPr>
                <w:rFonts w:cs="Arial"/>
                <w:color w:val="000000"/>
                <w:szCs w:val="24"/>
              </w:rPr>
            </w:pPr>
            <w:r w:rsidRPr="008C3ECB">
              <w:rPr>
                <w:rFonts w:cs="Arial"/>
                <w:color w:val="000000"/>
                <w:szCs w:val="24"/>
              </w:rPr>
              <w:t xml:space="preserve">Increased case finding rates </w:t>
            </w:r>
          </w:p>
          <w:p w14:paraId="6C905D08" w14:textId="54930350" w:rsidR="000D47B0" w:rsidRPr="008C3ECB" w:rsidRDefault="00D8470D" w:rsidP="003A6D3B">
            <w:pPr>
              <w:pStyle w:val="ListParagraph"/>
              <w:keepNext/>
              <w:numPr>
                <w:ilvl w:val="0"/>
                <w:numId w:val="6"/>
              </w:numPr>
              <w:rPr>
                <w:rFonts w:cs="Arial"/>
                <w:color w:val="000000"/>
                <w:szCs w:val="24"/>
              </w:rPr>
            </w:pPr>
            <w:r>
              <w:rPr>
                <w:rFonts w:cs="Arial"/>
                <w:color w:val="000000"/>
                <w:szCs w:val="24"/>
              </w:rPr>
              <w:t xml:space="preserve">Sustained and improved </w:t>
            </w:r>
            <w:r w:rsidR="00C73A72">
              <w:rPr>
                <w:rFonts w:cs="Arial"/>
                <w:color w:val="000000"/>
                <w:szCs w:val="24"/>
              </w:rPr>
              <w:t xml:space="preserve">activity rates to achieve </w:t>
            </w:r>
            <w:r>
              <w:rPr>
                <w:rFonts w:cs="Arial"/>
                <w:color w:val="000000"/>
                <w:szCs w:val="24"/>
              </w:rPr>
              <w:t xml:space="preserve">the ambition of </w:t>
            </w:r>
            <w:r w:rsidR="000D47B0">
              <w:rPr>
                <w:rFonts w:cs="Arial"/>
                <w:color w:val="000000"/>
                <w:szCs w:val="24"/>
              </w:rPr>
              <w:t xml:space="preserve">accelerated </w:t>
            </w:r>
            <w:r w:rsidR="000D47B0" w:rsidRPr="008C3ECB">
              <w:rPr>
                <w:rFonts w:cs="Arial"/>
                <w:color w:val="000000"/>
                <w:szCs w:val="24"/>
              </w:rPr>
              <w:t xml:space="preserve">elimination </w:t>
            </w:r>
            <w:r>
              <w:rPr>
                <w:rFonts w:cs="Arial"/>
                <w:color w:val="000000"/>
                <w:szCs w:val="24"/>
              </w:rPr>
              <w:t>by 2025</w:t>
            </w:r>
          </w:p>
          <w:p w14:paraId="794DDECF" w14:textId="77777777" w:rsidR="00EC7E62" w:rsidRPr="008C3ECB" w:rsidRDefault="00EC7E62" w:rsidP="003A6D3B">
            <w:pPr>
              <w:pStyle w:val="ListParagraph"/>
              <w:keepNext/>
              <w:numPr>
                <w:ilvl w:val="0"/>
                <w:numId w:val="6"/>
              </w:numPr>
              <w:rPr>
                <w:rFonts w:cs="Arial"/>
                <w:color w:val="000000"/>
                <w:szCs w:val="24"/>
              </w:rPr>
            </w:pPr>
            <w:r w:rsidRPr="008C3ECB">
              <w:rPr>
                <w:rFonts w:cs="Arial"/>
                <w:color w:val="000000"/>
                <w:szCs w:val="24"/>
              </w:rPr>
              <w:t xml:space="preserve">ODN coordination - by incentivising actions to act as the system leader in coordinating treatment rollout </w:t>
            </w:r>
          </w:p>
          <w:p w14:paraId="3B69A269" w14:textId="77777777" w:rsidR="00EC7E62" w:rsidRPr="008C3ECB" w:rsidRDefault="00EC7E62" w:rsidP="003A6D3B">
            <w:pPr>
              <w:pStyle w:val="ListParagraph"/>
              <w:keepNext/>
              <w:numPr>
                <w:ilvl w:val="0"/>
                <w:numId w:val="6"/>
              </w:numPr>
              <w:rPr>
                <w:rFonts w:cs="Arial"/>
                <w:color w:val="000000"/>
                <w:szCs w:val="24"/>
              </w:rPr>
            </w:pPr>
            <w:r w:rsidRPr="008C3ECB">
              <w:rPr>
                <w:rFonts w:cs="Arial"/>
                <w:color w:val="000000"/>
                <w:szCs w:val="24"/>
              </w:rPr>
              <w:t>ODN case-finding initiatives - by incentivising partnership working on testing and treating in high prevalence or high transmission settings to assist elimination plans</w:t>
            </w:r>
          </w:p>
          <w:p w14:paraId="5E886FAF" w14:textId="77777777" w:rsidR="00EC7E62" w:rsidRDefault="00EC7E62" w:rsidP="003A6D3B">
            <w:pPr>
              <w:pStyle w:val="ListParagraph"/>
              <w:keepNext/>
              <w:numPr>
                <w:ilvl w:val="0"/>
                <w:numId w:val="6"/>
              </w:numPr>
              <w:rPr>
                <w:rFonts w:cs="Arial"/>
                <w:color w:val="000000"/>
                <w:szCs w:val="24"/>
              </w:rPr>
            </w:pPr>
            <w:r w:rsidRPr="008C3ECB">
              <w:rPr>
                <w:rFonts w:cs="Arial"/>
                <w:color w:val="000000"/>
                <w:szCs w:val="24"/>
              </w:rPr>
              <w:t xml:space="preserve">ODN care cascade improvements - by incentivising actions to link with laboratories to act on new and historic positive tests </w:t>
            </w:r>
          </w:p>
          <w:p w14:paraId="738F24A6" w14:textId="72A1423E" w:rsidR="00C73A72" w:rsidRDefault="000D47B0" w:rsidP="003A6D3B">
            <w:pPr>
              <w:pStyle w:val="ListParagraph"/>
              <w:keepNext/>
              <w:numPr>
                <w:ilvl w:val="0"/>
                <w:numId w:val="6"/>
              </w:numPr>
              <w:rPr>
                <w:rFonts w:cs="Arial"/>
                <w:color w:val="000000"/>
                <w:szCs w:val="24"/>
              </w:rPr>
            </w:pPr>
            <w:r>
              <w:rPr>
                <w:rFonts w:cs="Arial"/>
                <w:color w:val="000000"/>
                <w:szCs w:val="24"/>
              </w:rPr>
              <w:t>ODN engagement with pharma –</w:t>
            </w:r>
            <w:r w:rsidR="00583F9D">
              <w:rPr>
                <w:rFonts w:cs="Arial"/>
                <w:color w:val="000000"/>
                <w:szCs w:val="24"/>
              </w:rPr>
              <w:t xml:space="preserve"> ODNs are required to </w:t>
            </w:r>
            <w:r w:rsidR="00583F9D">
              <w:t>pro-actively engage and play a leadership role</w:t>
            </w:r>
            <w:r w:rsidR="00583F9D">
              <w:rPr>
                <w:rFonts w:cs="Arial"/>
                <w:color w:val="000000"/>
                <w:szCs w:val="24"/>
              </w:rPr>
              <w:t xml:space="preserve"> with the HCV treatment suppliers in the deployment of relevant supplier funded case finding schemes (offered either through existing or subsequent procurements) to support progress towards </w:t>
            </w:r>
            <w:r w:rsidR="00C73A72">
              <w:rPr>
                <w:rFonts w:cs="Arial"/>
                <w:color w:val="000000"/>
                <w:szCs w:val="24"/>
              </w:rPr>
              <w:t>elimination in their local area</w:t>
            </w:r>
          </w:p>
          <w:p w14:paraId="098BDE2D" w14:textId="23EAFC6E" w:rsidR="000D47B0" w:rsidRPr="00C54BC4" w:rsidRDefault="000D47B0" w:rsidP="003A6D3B">
            <w:pPr>
              <w:pStyle w:val="ListParagraph"/>
              <w:keepNext/>
              <w:numPr>
                <w:ilvl w:val="0"/>
                <w:numId w:val="6"/>
              </w:numPr>
              <w:rPr>
                <w:rFonts w:cs="Arial"/>
                <w:color w:val="000000"/>
                <w:szCs w:val="24"/>
              </w:rPr>
            </w:pPr>
            <w:r w:rsidRPr="008C3ECB">
              <w:rPr>
                <w:rFonts w:cs="Arial"/>
                <w:szCs w:val="24"/>
              </w:rPr>
              <w:t xml:space="preserve">Enhanced data collection to demonstrate the effectiveness and equity of this way of working and the </w:t>
            </w:r>
            <w:r w:rsidR="00C73A72">
              <w:rPr>
                <w:rFonts w:cs="Arial"/>
                <w:szCs w:val="24"/>
              </w:rPr>
              <w:t>availability of new treatments</w:t>
            </w:r>
          </w:p>
          <w:p w14:paraId="08E2C1FF" w14:textId="6D367CC8" w:rsidR="00C54BC4" w:rsidRPr="000D63C8" w:rsidRDefault="00C54BC4" w:rsidP="000D63C8">
            <w:pPr>
              <w:pStyle w:val="ListParagraph"/>
              <w:keepNext/>
              <w:numPr>
                <w:ilvl w:val="0"/>
                <w:numId w:val="6"/>
              </w:numPr>
              <w:rPr>
                <w:rFonts w:cs="Arial"/>
                <w:color w:val="000000"/>
                <w:szCs w:val="24"/>
              </w:rPr>
            </w:pPr>
            <w:r w:rsidRPr="008C3ECB">
              <w:rPr>
                <w:rFonts w:cs="Arial"/>
                <w:color w:val="000000"/>
                <w:szCs w:val="24"/>
              </w:rPr>
              <w:t>Alignment with the goals of the ODN service specification</w:t>
            </w:r>
          </w:p>
          <w:p w14:paraId="55D70AB6" w14:textId="77777777" w:rsidR="000D47B0" w:rsidRDefault="000D47B0" w:rsidP="000D47B0">
            <w:pPr>
              <w:pStyle w:val="ListParagraph"/>
              <w:keepNext/>
              <w:rPr>
                <w:rFonts w:cs="Arial"/>
                <w:color w:val="000000"/>
                <w:szCs w:val="24"/>
              </w:rPr>
            </w:pPr>
          </w:p>
          <w:p w14:paraId="35C2C1F5" w14:textId="652328CA" w:rsidR="00E36FA4" w:rsidRDefault="00E36FA4" w:rsidP="00E36FA4">
            <w:pPr>
              <w:keepNext/>
              <w:rPr>
                <w:rFonts w:cs="Arial"/>
                <w:bCs w:val="0"/>
                <w:color w:val="000000"/>
                <w:szCs w:val="24"/>
              </w:rPr>
            </w:pPr>
            <w:r w:rsidRPr="00553643">
              <w:rPr>
                <w:rFonts w:cs="Arial"/>
                <w:color w:val="000000"/>
                <w:szCs w:val="24"/>
              </w:rPr>
              <w:t xml:space="preserve">As there is a requirement for this CQUIN indicator to align and facilitate the outcomes of the </w:t>
            </w:r>
            <w:r w:rsidR="00D8470D">
              <w:rPr>
                <w:rFonts w:cs="Arial"/>
                <w:color w:val="000000"/>
                <w:szCs w:val="24"/>
              </w:rPr>
              <w:t xml:space="preserve">strategic </w:t>
            </w:r>
            <w:r w:rsidRPr="00553643">
              <w:rPr>
                <w:rFonts w:cs="Arial"/>
                <w:color w:val="000000"/>
                <w:szCs w:val="24"/>
              </w:rPr>
              <w:t xml:space="preserve">procurement for drugs / elimination initiatives, NHS England gives notice that it may seek to adjust the terms of this CQUIN indicator by normal contract variation. </w:t>
            </w:r>
          </w:p>
          <w:p w14:paraId="0B97A5AE" w14:textId="77777777" w:rsidR="00736AD0" w:rsidRDefault="00736AD0" w:rsidP="00736AD0">
            <w:pPr>
              <w:keepNext/>
              <w:rPr>
                <w:rFonts w:cs="Arial"/>
                <w:color w:val="000000"/>
                <w:szCs w:val="24"/>
              </w:rPr>
            </w:pPr>
          </w:p>
          <w:p w14:paraId="53BBB73C" w14:textId="6B9F8201" w:rsidR="00736AD0" w:rsidRDefault="00736AD0" w:rsidP="00736AD0">
            <w:pPr>
              <w:keepNext/>
              <w:rPr>
                <w:rFonts w:cs="Arial"/>
                <w:color w:val="000000"/>
                <w:szCs w:val="24"/>
              </w:rPr>
            </w:pPr>
            <w:r w:rsidRPr="008C3ECB">
              <w:rPr>
                <w:rFonts w:cs="Arial"/>
                <w:color w:val="000000"/>
                <w:szCs w:val="24"/>
              </w:rPr>
              <w:t xml:space="preserve">Providers leading networks are responsible for </w:t>
            </w:r>
            <w:r>
              <w:rPr>
                <w:rFonts w:cs="Arial"/>
                <w:color w:val="000000"/>
                <w:szCs w:val="24"/>
              </w:rPr>
              <w:t xml:space="preserve">facilitating </w:t>
            </w:r>
            <w:r w:rsidRPr="008C3ECB">
              <w:rPr>
                <w:rFonts w:cs="Arial"/>
                <w:color w:val="000000"/>
                <w:szCs w:val="24"/>
              </w:rPr>
              <w:t xml:space="preserve">a working group for this CQUIN scheme, mapping patient pathways and </w:t>
            </w:r>
            <w:r>
              <w:rPr>
                <w:rFonts w:cs="Arial"/>
                <w:color w:val="000000"/>
                <w:szCs w:val="24"/>
              </w:rPr>
              <w:t xml:space="preserve">further evolving </w:t>
            </w:r>
            <w:r w:rsidRPr="008C3ECB">
              <w:rPr>
                <w:rFonts w:cs="Arial"/>
                <w:color w:val="000000"/>
                <w:szCs w:val="24"/>
              </w:rPr>
              <w:t>plan</w:t>
            </w:r>
            <w:r>
              <w:rPr>
                <w:rFonts w:cs="Arial"/>
                <w:color w:val="000000"/>
                <w:szCs w:val="24"/>
              </w:rPr>
              <w:t>s</w:t>
            </w:r>
            <w:r w:rsidRPr="008C3ECB">
              <w:rPr>
                <w:rFonts w:cs="Arial"/>
                <w:color w:val="000000"/>
                <w:szCs w:val="24"/>
              </w:rPr>
              <w:t xml:space="preserve"> to improve partnership working in collaboration with their ODN treatment partners and whole systems stakeholders</w:t>
            </w:r>
            <w:r>
              <w:rPr>
                <w:rFonts w:cs="Arial"/>
                <w:color w:val="000000"/>
                <w:szCs w:val="24"/>
              </w:rPr>
              <w:t>, this includes pharma (after the conclusion of the procurement process)</w:t>
            </w:r>
            <w:r w:rsidRPr="008C3ECB">
              <w:rPr>
                <w:rFonts w:cs="Arial"/>
                <w:color w:val="000000"/>
                <w:szCs w:val="24"/>
              </w:rPr>
              <w:t xml:space="preserve">. </w:t>
            </w:r>
            <w:r>
              <w:rPr>
                <w:rFonts w:cs="Arial"/>
                <w:color w:val="000000"/>
                <w:szCs w:val="24"/>
              </w:rPr>
              <w:t xml:space="preserve"> </w:t>
            </w:r>
            <w:r w:rsidRPr="008C3ECB">
              <w:rPr>
                <w:rFonts w:cs="Arial"/>
                <w:color w:val="000000"/>
                <w:szCs w:val="24"/>
              </w:rPr>
              <w:t xml:space="preserve">The CQUIN focuses on achievable actions which can be taken by the clinical team and / or Trust. </w:t>
            </w:r>
            <w:r w:rsidR="00D8470D">
              <w:rPr>
                <w:rFonts w:cs="Arial"/>
                <w:color w:val="000000"/>
                <w:szCs w:val="24"/>
              </w:rPr>
              <w:t xml:space="preserve">This CQUIN assumes Trusts will uses CQUIN funds to make the necessary investments in the ODN clinical team to </w:t>
            </w:r>
            <w:r w:rsidRPr="008C3ECB">
              <w:rPr>
                <w:rFonts w:cs="Arial"/>
                <w:color w:val="000000"/>
                <w:szCs w:val="24"/>
              </w:rPr>
              <w:t>undertake leadership, coordination, treatment, and data tasks</w:t>
            </w:r>
            <w:r w:rsidR="00D8470D">
              <w:rPr>
                <w:rFonts w:cs="Arial"/>
                <w:color w:val="000000"/>
                <w:szCs w:val="24"/>
              </w:rPr>
              <w:t xml:space="preserve"> across the ODN and its partners. </w:t>
            </w:r>
            <w:r w:rsidRPr="008C3ECB">
              <w:rPr>
                <w:rFonts w:cs="Arial"/>
                <w:color w:val="000000"/>
                <w:szCs w:val="24"/>
              </w:rPr>
              <w:t>Trusts will maximise their opportunity for CQUIN achievement</w:t>
            </w:r>
            <w:r w:rsidR="00D8470D">
              <w:rPr>
                <w:rFonts w:cs="Arial"/>
                <w:color w:val="000000"/>
                <w:szCs w:val="24"/>
              </w:rPr>
              <w:t xml:space="preserve"> by doing this</w:t>
            </w:r>
            <w:r w:rsidRPr="008C3ECB">
              <w:rPr>
                <w:rFonts w:cs="Arial"/>
                <w:color w:val="000000"/>
                <w:szCs w:val="24"/>
              </w:rPr>
              <w:t xml:space="preserve">. </w:t>
            </w:r>
          </w:p>
          <w:p w14:paraId="63716D62" w14:textId="77777777" w:rsidR="00661B6B" w:rsidRDefault="00661B6B" w:rsidP="00736AD0">
            <w:pPr>
              <w:keepNext/>
              <w:rPr>
                <w:rFonts w:cs="Arial"/>
                <w:color w:val="000000"/>
                <w:szCs w:val="24"/>
              </w:rPr>
            </w:pPr>
          </w:p>
          <w:p w14:paraId="117E3AB8" w14:textId="0C8DF3A4" w:rsidR="00661B6B" w:rsidRDefault="00E36FA4" w:rsidP="00736AD0">
            <w:pPr>
              <w:keepNext/>
              <w:rPr>
                <w:rFonts w:cs="Arial"/>
                <w:lang w:eastAsia="en-US"/>
              </w:rPr>
            </w:pPr>
            <w:bookmarkStart w:id="2" w:name="_Hlk532460607"/>
            <w:r w:rsidRPr="00553643">
              <w:rPr>
                <w:rFonts w:cs="Arial"/>
                <w:lang w:eastAsia="en-US"/>
              </w:rPr>
              <w:t xml:space="preserve">Each ODN host </w:t>
            </w:r>
            <w:r w:rsidR="00C73A72">
              <w:rPr>
                <w:rFonts w:cs="Arial"/>
                <w:lang w:eastAsia="en-US"/>
              </w:rPr>
              <w:t xml:space="preserve">may </w:t>
            </w:r>
            <w:r w:rsidRPr="00553643">
              <w:rPr>
                <w:rFonts w:cs="Arial"/>
                <w:lang w:eastAsia="en-US"/>
              </w:rPr>
              <w:t>make payments out of its CQUIN funding to other providers within the network, should they wish, to s</w:t>
            </w:r>
            <w:r w:rsidR="00583F9D">
              <w:rPr>
                <w:rFonts w:cs="Arial"/>
                <w:lang w:eastAsia="en-US"/>
              </w:rPr>
              <w:t xml:space="preserve">upport </w:t>
            </w:r>
            <w:r w:rsidRPr="00553643">
              <w:rPr>
                <w:rFonts w:cs="Arial"/>
                <w:lang w:eastAsia="en-US"/>
              </w:rPr>
              <w:t xml:space="preserve">successful achievement of the </w:t>
            </w:r>
            <w:r w:rsidR="00583F9D">
              <w:rPr>
                <w:rFonts w:cs="Arial"/>
                <w:lang w:eastAsia="en-US"/>
              </w:rPr>
              <w:t>CQUIN</w:t>
            </w:r>
            <w:r w:rsidRPr="00553643">
              <w:rPr>
                <w:rFonts w:cs="Arial"/>
                <w:lang w:eastAsia="en-US"/>
              </w:rPr>
              <w:t>.  This is for ODN providers to arrange between themselves.</w:t>
            </w:r>
          </w:p>
          <w:bookmarkEnd w:id="2"/>
          <w:p w14:paraId="329F70D2" w14:textId="77777777" w:rsidR="00E36FA4" w:rsidRDefault="00E36FA4" w:rsidP="00736AD0">
            <w:pPr>
              <w:keepNext/>
              <w:rPr>
                <w:rFonts w:cs="Arial"/>
                <w:color w:val="000000"/>
                <w:szCs w:val="24"/>
              </w:rPr>
            </w:pPr>
          </w:p>
          <w:p w14:paraId="29B8092C" w14:textId="77777777" w:rsidR="00661B6B" w:rsidRPr="008C3ECB" w:rsidRDefault="00661B6B" w:rsidP="00661B6B">
            <w:pPr>
              <w:keepNext/>
              <w:rPr>
                <w:rFonts w:cs="Arial"/>
                <w:color w:val="000000"/>
                <w:szCs w:val="24"/>
              </w:rPr>
            </w:pPr>
            <w:r w:rsidRPr="008C3ECB">
              <w:rPr>
                <w:rFonts w:cs="Arial"/>
                <w:color w:val="000000"/>
                <w:szCs w:val="24"/>
              </w:rPr>
              <w:t>By the end of the CQUIN scheme, ODNs will:</w:t>
            </w:r>
          </w:p>
          <w:p w14:paraId="1444B182" w14:textId="77777777" w:rsidR="00661B6B" w:rsidRPr="008C3ECB" w:rsidRDefault="00661B6B" w:rsidP="003A6D3B">
            <w:pPr>
              <w:pStyle w:val="ListParagraph"/>
              <w:keepNext/>
              <w:numPr>
                <w:ilvl w:val="0"/>
                <w:numId w:val="6"/>
              </w:numPr>
              <w:rPr>
                <w:rFonts w:cs="Arial"/>
                <w:color w:val="000000"/>
                <w:szCs w:val="24"/>
              </w:rPr>
            </w:pPr>
            <w:r w:rsidRPr="008C3ECB">
              <w:rPr>
                <w:rFonts w:cs="Arial"/>
                <w:color w:val="000000"/>
                <w:szCs w:val="24"/>
              </w:rPr>
              <w:t>Be part of ongoing HCV clinical care</w:t>
            </w:r>
            <w:r w:rsidRPr="008C3ECB">
              <w:rPr>
                <w:rFonts w:cs="Arial"/>
                <w:szCs w:val="24"/>
              </w:rPr>
              <w:t xml:space="preserve"> </w:t>
            </w:r>
            <w:r w:rsidRPr="008C3ECB">
              <w:rPr>
                <w:rFonts w:cs="Arial"/>
                <w:color w:val="000000"/>
                <w:szCs w:val="24"/>
              </w:rPr>
              <w:t xml:space="preserve">as set out by NICE in published and </w:t>
            </w:r>
            <w:r>
              <w:rPr>
                <w:rFonts w:cs="Arial"/>
                <w:color w:val="000000"/>
                <w:szCs w:val="24"/>
              </w:rPr>
              <w:t xml:space="preserve">any </w:t>
            </w:r>
            <w:r w:rsidRPr="008C3ECB">
              <w:rPr>
                <w:rFonts w:cs="Arial"/>
                <w:color w:val="000000"/>
                <w:szCs w:val="24"/>
              </w:rPr>
              <w:t>forthcoming technology appraisal guidance, with all patients receiving Hepatitis C care benefiting from ODN policy-compliant care approved by an MDT</w:t>
            </w:r>
          </w:p>
          <w:p w14:paraId="2A5A7782" w14:textId="77777777" w:rsidR="00661B6B" w:rsidRPr="008C3ECB" w:rsidRDefault="00661B6B" w:rsidP="003A6D3B">
            <w:pPr>
              <w:pStyle w:val="ListParagraph"/>
              <w:keepNext/>
              <w:numPr>
                <w:ilvl w:val="0"/>
                <w:numId w:val="6"/>
              </w:numPr>
              <w:rPr>
                <w:rFonts w:cs="Arial"/>
                <w:color w:val="000000"/>
                <w:szCs w:val="24"/>
              </w:rPr>
            </w:pPr>
            <w:r w:rsidRPr="008C3ECB">
              <w:rPr>
                <w:rFonts w:cs="Arial"/>
                <w:color w:val="000000"/>
                <w:szCs w:val="24"/>
              </w:rPr>
              <w:lastRenderedPageBreak/>
              <w:t xml:space="preserve">Have clear and fully understood arrangements for partnership working inclusive of local patient groups and providers. There should be a clear </w:t>
            </w:r>
            <w:r>
              <w:rPr>
                <w:rFonts w:cs="Arial"/>
                <w:color w:val="000000"/>
                <w:szCs w:val="24"/>
              </w:rPr>
              <w:t xml:space="preserve">updated </w:t>
            </w:r>
            <w:r w:rsidRPr="008C3ECB">
              <w:rPr>
                <w:rFonts w:cs="Arial"/>
                <w:color w:val="000000"/>
                <w:szCs w:val="24"/>
              </w:rPr>
              <w:t>written plan for partnership working with clarity about the responsibility of each ODN partner in relation to elimination plans</w:t>
            </w:r>
            <w:r>
              <w:rPr>
                <w:rFonts w:cs="Arial"/>
                <w:color w:val="000000"/>
                <w:szCs w:val="24"/>
              </w:rPr>
              <w:t xml:space="preserve"> and progress towards the goal of accelerated elimination</w:t>
            </w:r>
            <w:r w:rsidRPr="008C3ECB">
              <w:rPr>
                <w:rFonts w:cs="Arial"/>
                <w:color w:val="000000"/>
                <w:szCs w:val="24"/>
              </w:rPr>
              <w:t xml:space="preserve">, patient treatment run rates, treatment selection, </w:t>
            </w:r>
            <w:r>
              <w:rPr>
                <w:rFonts w:cs="Arial"/>
                <w:color w:val="000000"/>
                <w:szCs w:val="24"/>
              </w:rPr>
              <w:t>and data input</w:t>
            </w:r>
            <w:r w:rsidRPr="00F32A2F">
              <w:rPr>
                <w:rFonts w:cs="Arial"/>
                <w:color w:val="000000"/>
                <w:szCs w:val="24"/>
              </w:rPr>
              <w:t xml:space="preserve"> on</w:t>
            </w:r>
            <w:r>
              <w:rPr>
                <w:rFonts w:cs="Arial"/>
                <w:color w:val="000000"/>
                <w:szCs w:val="24"/>
              </w:rPr>
              <w:t>to</w:t>
            </w:r>
            <w:r w:rsidRPr="00F32A2F">
              <w:rPr>
                <w:rFonts w:cs="Arial"/>
                <w:color w:val="000000"/>
                <w:szCs w:val="24"/>
              </w:rPr>
              <w:t xml:space="preserve"> </w:t>
            </w:r>
            <w:r>
              <w:rPr>
                <w:rFonts w:cs="Arial"/>
                <w:color w:val="000000"/>
                <w:szCs w:val="24"/>
              </w:rPr>
              <w:t>the Registry</w:t>
            </w:r>
            <w:r w:rsidR="00331EA7">
              <w:rPr>
                <w:rFonts w:cs="Arial"/>
                <w:color w:val="000000"/>
                <w:szCs w:val="24"/>
              </w:rPr>
              <w:t xml:space="preserve"> and/or </w:t>
            </w:r>
            <w:proofErr w:type="spellStart"/>
            <w:r w:rsidRPr="008C3ECB">
              <w:rPr>
                <w:rFonts w:cs="Arial"/>
                <w:color w:val="000000"/>
                <w:szCs w:val="24"/>
              </w:rPr>
              <w:t>Blueteq</w:t>
            </w:r>
            <w:proofErr w:type="spellEnd"/>
            <w:r w:rsidRPr="008C3ECB">
              <w:rPr>
                <w:rFonts w:cs="Arial"/>
                <w:color w:val="000000"/>
                <w:szCs w:val="24"/>
              </w:rPr>
              <w:t xml:space="preserve">. </w:t>
            </w:r>
            <w:r>
              <w:rPr>
                <w:rFonts w:cs="Arial"/>
                <w:color w:val="000000"/>
                <w:szCs w:val="24"/>
              </w:rPr>
              <w:t xml:space="preserve"> </w:t>
            </w:r>
            <w:r w:rsidRPr="008C3ECB">
              <w:rPr>
                <w:rFonts w:cs="Arial"/>
                <w:color w:val="000000"/>
                <w:szCs w:val="24"/>
              </w:rPr>
              <w:t>There should be agreed communications about the ODN which allow professionals and patients alike to understand how the ODN operates and how to contact it</w:t>
            </w:r>
            <w:r w:rsidR="00E36FA4">
              <w:rPr>
                <w:rFonts w:cs="Arial"/>
                <w:color w:val="000000"/>
                <w:szCs w:val="24"/>
              </w:rPr>
              <w:t>.</w:t>
            </w:r>
          </w:p>
          <w:p w14:paraId="6BA7814D" w14:textId="41959B59" w:rsidR="00661B6B" w:rsidRDefault="00661B6B" w:rsidP="003A6D3B">
            <w:pPr>
              <w:pStyle w:val="ListParagraph"/>
              <w:keepNext/>
              <w:numPr>
                <w:ilvl w:val="0"/>
                <w:numId w:val="6"/>
              </w:numPr>
              <w:rPr>
                <w:rFonts w:cs="Arial"/>
                <w:color w:val="000000"/>
                <w:szCs w:val="24"/>
              </w:rPr>
            </w:pPr>
            <w:r w:rsidRPr="008C3ECB">
              <w:rPr>
                <w:rFonts w:cs="Arial"/>
                <w:color w:val="000000"/>
                <w:szCs w:val="24"/>
              </w:rPr>
              <w:t>Have developed partnerships which involve providers, commissioners, voluntary organisations and patients. Evidence of formal agreements and arrangements to support activity to facilitate the effective operation of the ODN must be available</w:t>
            </w:r>
            <w:r>
              <w:rPr>
                <w:rFonts w:cs="Arial"/>
                <w:color w:val="000000"/>
                <w:szCs w:val="24"/>
              </w:rPr>
              <w:t xml:space="preserve"> including </w:t>
            </w:r>
            <w:r w:rsidRPr="008C3ECB">
              <w:rPr>
                <w:rFonts w:cs="Arial"/>
                <w:color w:val="000000"/>
                <w:szCs w:val="24"/>
              </w:rPr>
              <w:t>examples of:</w:t>
            </w:r>
          </w:p>
          <w:p w14:paraId="237578A8" w14:textId="6E078682" w:rsidR="000B092D" w:rsidRDefault="000B092D" w:rsidP="000B092D">
            <w:pPr>
              <w:keepNext/>
              <w:rPr>
                <w:rFonts w:cs="Arial"/>
                <w:color w:val="000000"/>
                <w:szCs w:val="24"/>
              </w:rPr>
            </w:pPr>
          </w:p>
          <w:p w14:paraId="14186754" w14:textId="400C66FC" w:rsidR="00661B6B" w:rsidRDefault="00661B6B" w:rsidP="003A6D3B">
            <w:pPr>
              <w:pStyle w:val="ListParagraph"/>
              <w:keepNext/>
              <w:numPr>
                <w:ilvl w:val="0"/>
                <w:numId w:val="18"/>
              </w:numPr>
              <w:rPr>
                <w:rFonts w:cs="Arial"/>
                <w:color w:val="000000"/>
                <w:szCs w:val="24"/>
              </w:rPr>
            </w:pPr>
            <w:r w:rsidRPr="000B092D">
              <w:rPr>
                <w:rFonts w:cs="Arial"/>
                <w:color w:val="000000"/>
                <w:szCs w:val="24"/>
              </w:rPr>
              <w:t>Memorand</w:t>
            </w:r>
            <w:r w:rsidR="00E36FA4" w:rsidRPr="000B092D">
              <w:rPr>
                <w:rFonts w:cs="Arial"/>
                <w:color w:val="000000"/>
                <w:szCs w:val="24"/>
              </w:rPr>
              <w:t>a</w:t>
            </w:r>
            <w:r w:rsidRPr="000B092D">
              <w:rPr>
                <w:rFonts w:cs="Arial"/>
                <w:color w:val="000000"/>
                <w:szCs w:val="24"/>
              </w:rPr>
              <w:t xml:space="preserve"> of understanding (or equivalent) between the Hubs and spokes within the ODN.</w:t>
            </w:r>
          </w:p>
          <w:p w14:paraId="70627E30" w14:textId="614B4EBB" w:rsidR="000B092D" w:rsidRDefault="00D8470D" w:rsidP="003A6D3B">
            <w:pPr>
              <w:pStyle w:val="ListParagraph"/>
              <w:keepNext/>
              <w:numPr>
                <w:ilvl w:val="0"/>
                <w:numId w:val="18"/>
              </w:numPr>
              <w:rPr>
                <w:rFonts w:cs="Arial"/>
                <w:color w:val="000000"/>
                <w:szCs w:val="24"/>
              </w:rPr>
            </w:pPr>
            <w:r>
              <w:rPr>
                <w:rFonts w:cs="Arial"/>
                <w:color w:val="000000"/>
                <w:szCs w:val="24"/>
              </w:rPr>
              <w:t xml:space="preserve">Report </w:t>
            </w:r>
            <w:r w:rsidR="005D7195">
              <w:rPr>
                <w:rFonts w:cs="Arial"/>
                <w:color w:val="000000"/>
                <w:szCs w:val="24"/>
              </w:rPr>
              <w:t>e</w:t>
            </w:r>
            <w:r w:rsidR="000B092D" w:rsidRPr="00484516">
              <w:rPr>
                <w:rFonts w:cs="Arial"/>
                <w:color w:val="000000"/>
                <w:szCs w:val="24"/>
              </w:rPr>
              <w:t>vidence of how resources have been invested in the work of the entire network wide HCV teams to support the work of all partners in the ODN who have a role in delivery.</w:t>
            </w:r>
          </w:p>
          <w:p w14:paraId="218E65BF" w14:textId="3CC88FC7" w:rsidR="000B092D" w:rsidRDefault="000B092D" w:rsidP="003A6D3B">
            <w:pPr>
              <w:pStyle w:val="ListParagraph"/>
              <w:keepNext/>
              <w:numPr>
                <w:ilvl w:val="0"/>
                <w:numId w:val="18"/>
              </w:numPr>
              <w:rPr>
                <w:rFonts w:cs="Arial"/>
                <w:color w:val="000000"/>
                <w:szCs w:val="24"/>
              </w:rPr>
            </w:pPr>
            <w:r w:rsidRPr="00484516">
              <w:rPr>
                <w:rFonts w:cs="Arial"/>
                <w:color w:val="000000"/>
                <w:szCs w:val="24"/>
              </w:rPr>
              <w:t xml:space="preserve">Provide clear monitoring data on ODN operation and outcomes for patients, including the impact of the ODN model for improving access and real-life effectiveness of new treatments as evidenced through data input onto the Registry and/or </w:t>
            </w:r>
            <w:proofErr w:type="spellStart"/>
            <w:r w:rsidRPr="00484516">
              <w:rPr>
                <w:rFonts w:cs="Arial"/>
                <w:color w:val="000000"/>
                <w:szCs w:val="24"/>
              </w:rPr>
              <w:t>Blueteq</w:t>
            </w:r>
            <w:proofErr w:type="spellEnd"/>
            <w:r w:rsidRPr="00484516">
              <w:rPr>
                <w:rFonts w:cs="Arial"/>
                <w:color w:val="000000"/>
                <w:szCs w:val="24"/>
              </w:rPr>
              <w:t>.  This should contribute to public health, activity, outcomes and experience monitoring needs</w:t>
            </w:r>
            <w:r w:rsidR="00C73A72">
              <w:rPr>
                <w:rFonts w:cs="Arial"/>
                <w:color w:val="000000"/>
                <w:szCs w:val="24"/>
              </w:rPr>
              <w:t>.</w:t>
            </w:r>
          </w:p>
          <w:p w14:paraId="220FDAE1" w14:textId="11F3B9D4" w:rsidR="000B092D" w:rsidRDefault="000B092D" w:rsidP="003A6D3B">
            <w:pPr>
              <w:pStyle w:val="ListParagraph"/>
              <w:keepNext/>
              <w:numPr>
                <w:ilvl w:val="0"/>
                <w:numId w:val="18"/>
              </w:numPr>
              <w:rPr>
                <w:rFonts w:cs="Arial"/>
                <w:color w:val="000000"/>
                <w:szCs w:val="24"/>
              </w:rPr>
            </w:pPr>
            <w:r w:rsidRPr="00E518DD">
              <w:rPr>
                <w:rFonts w:cs="Arial"/>
                <w:color w:val="000000"/>
                <w:szCs w:val="24"/>
              </w:rPr>
              <w:t>Be actively involved in opportunities to share learning and develop solutions within and across ODNs at regional and national level, to build the ODN collaboration model, support sustainable roll-out and goals of accelerated elimination.</w:t>
            </w:r>
          </w:p>
          <w:p w14:paraId="4E2CB9A1" w14:textId="09A9D7B9" w:rsidR="000B092D" w:rsidRPr="000B092D" w:rsidRDefault="000B092D" w:rsidP="003A6D3B">
            <w:pPr>
              <w:pStyle w:val="ListParagraph"/>
              <w:keepNext/>
              <w:numPr>
                <w:ilvl w:val="0"/>
                <w:numId w:val="18"/>
              </w:numPr>
              <w:rPr>
                <w:rFonts w:cs="Arial"/>
                <w:color w:val="000000"/>
                <w:szCs w:val="24"/>
              </w:rPr>
            </w:pPr>
            <w:r w:rsidRPr="000B092D">
              <w:rPr>
                <w:rFonts w:cs="Arial"/>
                <w:color w:val="000000"/>
                <w:szCs w:val="24"/>
              </w:rPr>
              <w:t xml:space="preserve">Be actively involved with </w:t>
            </w:r>
            <w:r w:rsidR="00C73A72">
              <w:rPr>
                <w:rFonts w:cs="Arial"/>
                <w:color w:val="000000"/>
                <w:szCs w:val="24"/>
              </w:rPr>
              <w:t xml:space="preserve">any </w:t>
            </w:r>
            <w:r w:rsidRPr="000B092D">
              <w:rPr>
                <w:rFonts w:cs="Arial"/>
                <w:color w:val="000000"/>
                <w:szCs w:val="24"/>
              </w:rPr>
              <w:t xml:space="preserve">pharma elimination initiatives which are relevant to their local ODN and available </w:t>
            </w:r>
            <w:r w:rsidR="00C73A72" w:rsidRPr="000B092D">
              <w:rPr>
                <w:rFonts w:cs="Arial"/>
                <w:color w:val="000000"/>
                <w:szCs w:val="24"/>
              </w:rPr>
              <w:t>because of</w:t>
            </w:r>
            <w:r w:rsidRPr="000B092D">
              <w:rPr>
                <w:rFonts w:cs="Arial"/>
                <w:color w:val="000000"/>
                <w:szCs w:val="24"/>
              </w:rPr>
              <w:t xml:space="preserve"> NHS England procurement exercises</w:t>
            </w:r>
            <w:r>
              <w:rPr>
                <w:rFonts w:cs="Arial"/>
                <w:color w:val="000000"/>
                <w:szCs w:val="24"/>
              </w:rPr>
              <w:t xml:space="preserve"> </w:t>
            </w:r>
            <w:r>
              <w:t>or as offered by suppliers and accepted by the ODN</w:t>
            </w:r>
            <w:r w:rsidRPr="000B092D">
              <w:rPr>
                <w:rFonts w:cs="Arial"/>
                <w:color w:val="000000"/>
                <w:szCs w:val="24"/>
              </w:rPr>
              <w:t>.</w:t>
            </w:r>
          </w:p>
          <w:p w14:paraId="64E8AD76" w14:textId="5A10BFD9" w:rsidR="00E518DD" w:rsidRPr="000B092D" w:rsidRDefault="00E518DD" w:rsidP="000B092D">
            <w:pPr>
              <w:keepNext/>
              <w:rPr>
                <w:rFonts w:cs="Arial"/>
                <w:color w:val="000000"/>
                <w:szCs w:val="24"/>
              </w:rPr>
            </w:pPr>
          </w:p>
          <w:p w14:paraId="647BA119" w14:textId="36D7AED5" w:rsidR="00EC7E62" w:rsidRPr="00326B23" w:rsidRDefault="00EC7E62" w:rsidP="0084461B">
            <w:pPr>
              <w:rPr>
                <w:rFonts w:cs="Arial"/>
                <w:b/>
                <w:szCs w:val="24"/>
                <w:u w:val="single"/>
              </w:rPr>
            </w:pPr>
          </w:p>
        </w:tc>
      </w:tr>
      <w:tr w:rsidR="00822294" w:rsidRPr="000412A1" w14:paraId="248FD1DC" w14:textId="77777777">
        <w:trPr>
          <w:gridAfter w:val="1"/>
          <w:wAfter w:w="70" w:type="pct"/>
        </w:trPr>
        <w:tc>
          <w:tcPr>
            <w:tcW w:w="4930" w:type="pct"/>
            <w:gridSpan w:val="3"/>
            <w:shd w:val="clear" w:color="auto" w:fill="FFC000"/>
          </w:tcPr>
          <w:p w14:paraId="310EEC66" w14:textId="2B12B526" w:rsidR="00822294" w:rsidRPr="001A4BBB" w:rsidRDefault="00822294" w:rsidP="003A6D3B">
            <w:pPr>
              <w:pStyle w:val="ListParagraph"/>
              <w:numPr>
                <w:ilvl w:val="0"/>
                <w:numId w:val="3"/>
              </w:numPr>
              <w:rPr>
                <w:rFonts w:cs="Arial"/>
                <w:i/>
                <w:szCs w:val="24"/>
              </w:rPr>
            </w:pPr>
            <w:r w:rsidRPr="001A4BBB">
              <w:rPr>
                <w:rFonts w:cs="Arial"/>
                <w:b/>
                <w:szCs w:val="24"/>
              </w:rPr>
              <w:lastRenderedPageBreak/>
              <w:t>CONTRACT SPECIFIC INFORMATION</w:t>
            </w:r>
            <w:r w:rsidRPr="001A4BBB">
              <w:rPr>
                <w:rFonts w:cs="Arial"/>
                <w:i/>
                <w:szCs w:val="24"/>
              </w:rPr>
              <w:t xml:space="preserve"> (for</w:t>
            </w:r>
            <w:r w:rsidR="00F506AC" w:rsidRPr="001A4BBB">
              <w:rPr>
                <w:rFonts w:cs="Arial"/>
                <w:i/>
                <w:szCs w:val="24"/>
              </w:rPr>
              <w:t xml:space="preserve"> completion locally, using </w:t>
            </w:r>
            <w:r w:rsidR="00970BD6" w:rsidRPr="001A4BBB">
              <w:rPr>
                <w:rFonts w:cs="Arial"/>
                <w:i/>
                <w:szCs w:val="24"/>
              </w:rPr>
              <w:t xml:space="preserve">guidance in </w:t>
            </w:r>
            <w:r w:rsidRPr="001A4BBB">
              <w:rPr>
                <w:rFonts w:cs="Arial"/>
                <w:i/>
                <w:szCs w:val="24"/>
              </w:rPr>
              <w:t>sections C below)</w:t>
            </w:r>
          </w:p>
        </w:tc>
      </w:tr>
      <w:tr w:rsidR="004B2DC0" w:rsidRPr="000412A1" w14:paraId="27FFFACB" w14:textId="77777777">
        <w:trPr>
          <w:gridAfter w:val="1"/>
          <w:wAfter w:w="70" w:type="pct"/>
        </w:trPr>
        <w:tc>
          <w:tcPr>
            <w:tcW w:w="1202" w:type="pct"/>
            <w:shd w:val="clear" w:color="auto" w:fill="D9D9D9" w:themeFill="background1" w:themeFillShade="D9"/>
          </w:tcPr>
          <w:p w14:paraId="3C729F5E" w14:textId="77777777" w:rsidR="004B2DC0" w:rsidRDefault="00970BD6" w:rsidP="00E81AE2">
            <w:pPr>
              <w:rPr>
                <w:rFonts w:cs="Arial"/>
                <w:szCs w:val="24"/>
              </w:rPr>
            </w:pPr>
            <w:r w:rsidRPr="00D95C75">
              <w:rPr>
                <w:rFonts w:cs="Arial"/>
                <w:b/>
                <w:szCs w:val="24"/>
                <w:u w:val="single"/>
              </w:rPr>
              <w:t>B</w:t>
            </w:r>
            <w:proofErr w:type="gramStart"/>
            <w:r w:rsidRPr="00D95C75">
              <w:rPr>
                <w:rFonts w:cs="Arial"/>
                <w:b/>
                <w:szCs w:val="24"/>
                <w:u w:val="single"/>
              </w:rPr>
              <w:t>1.</w:t>
            </w:r>
            <w:r w:rsidR="004B2DC0" w:rsidRPr="00D95C75">
              <w:rPr>
                <w:rFonts w:cs="Arial"/>
                <w:b/>
                <w:szCs w:val="24"/>
                <w:u w:val="single"/>
              </w:rPr>
              <w:t>Provider</w:t>
            </w:r>
            <w:proofErr w:type="gramEnd"/>
            <w:r w:rsidR="004B2DC0">
              <w:rPr>
                <w:rFonts w:cs="Arial"/>
                <w:szCs w:val="24"/>
              </w:rPr>
              <w:t xml:space="preserve"> (see Section </w:t>
            </w:r>
            <w:r w:rsidR="00E81AE2">
              <w:rPr>
                <w:rFonts w:cs="Arial"/>
                <w:szCs w:val="24"/>
              </w:rPr>
              <w:t>C1</w:t>
            </w:r>
            <w:r w:rsidR="00822294">
              <w:rPr>
                <w:rFonts w:cs="Arial"/>
                <w:szCs w:val="24"/>
              </w:rPr>
              <w:t xml:space="preserve"> </w:t>
            </w:r>
            <w:r w:rsidR="004B2DC0">
              <w:rPr>
                <w:rFonts w:cs="Arial"/>
                <w:szCs w:val="24"/>
              </w:rPr>
              <w:t>for applicability rules)</w:t>
            </w:r>
          </w:p>
        </w:tc>
        <w:tc>
          <w:tcPr>
            <w:tcW w:w="3729" w:type="pct"/>
            <w:gridSpan w:val="2"/>
            <w:shd w:val="clear" w:color="auto" w:fill="FFFF00"/>
          </w:tcPr>
          <w:p w14:paraId="1458A6B4" w14:textId="77777777" w:rsidR="004B2DC0" w:rsidRPr="004B2DC0" w:rsidRDefault="00F506AC" w:rsidP="00F506AC">
            <w:pPr>
              <w:rPr>
                <w:rFonts w:cs="Arial"/>
                <w:i/>
                <w:szCs w:val="24"/>
              </w:rPr>
            </w:pPr>
            <w:r w:rsidRPr="004E377A">
              <w:rPr>
                <w:rFonts w:cs="Arial"/>
                <w:i/>
                <w:color w:val="FF0000"/>
                <w:szCs w:val="24"/>
              </w:rPr>
              <w:t>[</w:t>
            </w:r>
            <w:r w:rsidR="004B2DC0" w:rsidRPr="004E377A">
              <w:rPr>
                <w:rFonts w:cs="Arial"/>
                <w:i/>
                <w:color w:val="FF0000"/>
                <w:szCs w:val="24"/>
              </w:rPr>
              <w:t xml:space="preserve">Insert name of </w:t>
            </w:r>
            <w:proofErr w:type="gramStart"/>
            <w:r w:rsidR="004B2DC0" w:rsidRPr="004E377A">
              <w:rPr>
                <w:rFonts w:cs="Arial"/>
                <w:i/>
                <w:color w:val="FF0000"/>
                <w:szCs w:val="24"/>
              </w:rPr>
              <w:t xml:space="preserve">provider </w:t>
            </w:r>
            <w:r w:rsidRPr="004E377A">
              <w:rPr>
                <w:rFonts w:cs="Arial"/>
                <w:i/>
                <w:color w:val="FF0000"/>
                <w:szCs w:val="24"/>
              </w:rPr>
              <w:t>]</w:t>
            </w:r>
            <w:proofErr w:type="gramEnd"/>
          </w:p>
        </w:tc>
      </w:tr>
      <w:tr w:rsidR="001350E0" w:rsidRPr="000412A1" w14:paraId="1283F43F" w14:textId="77777777">
        <w:trPr>
          <w:gridAfter w:val="1"/>
          <w:wAfter w:w="70" w:type="pct"/>
        </w:trPr>
        <w:tc>
          <w:tcPr>
            <w:tcW w:w="1202" w:type="pct"/>
            <w:shd w:val="clear" w:color="auto" w:fill="D9D9D9" w:themeFill="background1" w:themeFillShade="D9"/>
          </w:tcPr>
          <w:p w14:paraId="22450874" w14:textId="77777777" w:rsidR="00C00C64" w:rsidRDefault="00C00C64" w:rsidP="00C00C64">
            <w:pPr>
              <w:rPr>
                <w:rFonts w:cs="Arial"/>
                <w:b/>
                <w:szCs w:val="24"/>
                <w:u w:val="single"/>
              </w:rPr>
            </w:pPr>
            <w:r>
              <w:rPr>
                <w:rFonts w:cs="Arial"/>
                <w:b/>
                <w:szCs w:val="24"/>
                <w:u w:val="single"/>
              </w:rPr>
              <w:t xml:space="preserve">B2. Provider Specific </w:t>
            </w:r>
            <w:r w:rsidR="00F506AC">
              <w:rPr>
                <w:rFonts w:cs="Arial"/>
                <w:b/>
                <w:szCs w:val="24"/>
                <w:u w:val="single"/>
              </w:rPr>
              <w:t>Duration</w:t>
            </w:r>
            <w:r>
              <w:rPr>
                <w:rFonts w:cs="Arial"/>
                <w:b/>
                <w:szCs w:val="24"/>
                <w:u w:val="single"/>
              </w:rPr>
              <w:t xml:space="preserve">. </w:t>
            </w:r>
          </w:p>
          <w:p w14:paraId="4D62014A" w14:textId="77777777" w:rsidR="00C00C64" w:rsidRDefault="00C00C64" w:rsidP="00C00C64">
            <w:pPr>
              <w:rPr>
                <w:rFonts w:cs="Arial"/>
                <w:b/>
                <w:szCs w:val="24"/>
                <w:u w:val="single"/>
              </w:rPr>
            </w:pPr>
            <w:r>
              <w:rPr>
                <w:rFonts w:cs="Arial"/>
                <w:szCs w:val="24"/>
              </w:rPr>
              <w:t xml:space="preserve">What will be the first Year of </w:t>
            </w:r>
            <w:r w:rsidR="001F421F">
              <w:rPr>
                <w:rFonts w:cs="Arial"/>
                <w:szCs w:val="24"/>
              </w:rPr>
              <w:t>Indicator</w:t>
            </w:r>
            <w:r>
              <w:rPr>
                <w:rFonts w:cs="Arial"/>
                <w:szCs w:val="24"/>
              </w:rPr>
              <w:t xml:space="preserve"> for this provider, and how many years are covered by this contract?</w:t>
            </w:r>
            <w:r>
              <w:rPr>
                <w:rFonts w:cs="Arial"/>
                <w:b/>
                <w:szCs w:val="24"/>
                <w:u w:val="single"/>
              </w:rPr>
              <w:t xml:space="preserve"> </w:t>
            </w:r>
          </w:p>
          <w:p w14:paraId="43D841BC" w14:textId="77777777" w:rsidR="001350E0" w:rsidRPr="00D95C75" w:rsidRDefault="001350E0" w:rsidP="00F506AC">
            <w:pPr>
              <w:rPr>
                <w:rFonts w:cs="Arial"/>
                <w:b/>
                <w:szCs w:val="24"/>
                <w:u w:val="single"/>
              </w:rPr>
            </w:pPr>
          </w:p>
        </w:tc>
        <w:tc>
          <w:tcPr>
            <w:tcW w:w="3729" w:type="pct"/>
            <w:gridSpan w:val="2"/>
            <w:shd w:val="clear" w:color="auto" w:fill="FFFF00"/>
          </w:tcPr>
          <w:p w14:paraId="5A5E9892" w14:textId="77777777" w:rsidR="001350E0" w:rsidRDefault="00822294" w:rsidP="00822294">
            <w:pPr>
              <w:rPr>
                <w:rFonts w:cs="Arial"/>
                <w:i/>
                <w:color w:val="FF0000"/>
                <w:szCs w:val="24"/>
              </w:rPr>
            </w:pPr>
            <w:r>
              <w:rPr>
                <w:rFonts w:cs="Arial"/>
                <w:szCs w:val="24"/>
              </w:rPr>
              <w:t>201</w:t>
            </w:r>
            <w:r w:rsidR="00F506AC">
              <w:rPr>
                <w:rFonts w:cs="Arial"/>
                <w:szCs w:val="24"/>
              </w:rPr>
              <w:t xml:space="preserve">9/20 </w:t>
            </w:r>
            <w:r w:rsidR="001350E0" w:rsidRPr="001350E0">
              <w:rPr>
                <w:rFonts w:cs="Arial"/>
                <w:i/>
                <w:szCs w:val="24"/>
              </w:rPr>
              <w:t>[</w:t>
            </w:r>
            <w:r w:rsidR="001350E0" w:rsidRPr="001350E0">
              <w:rPr>
                <w:rFonts w:cs="Arial"/>
                <w:i/>
                <w:color w:val="FF0000"/>
                <w:szCs w:val="24"/>
              </w:rPr>
              <w:t>Adjust locally</w:t>
            </w:r>
            <w:r w:rsidR="001350E0">
              <w:rPr>
                <w:rFonts w:cs="Arial"/>
                <w:i/>
                <w:color w:val="FF0000"/>
                <w:szCs w:val="24"/>
              </w:rPr>
              <w:t>]</w:t>
            </w:r>
          </w:p>
          <w:p w14:paraId="7A0FF99E" w14:textId="77777777" w:rsidR="00970BD6" w:rsidRDefault="00970BD6" w:rsidP="00822294">
            <w:pPr>
              <w:rPr>
                <w:rFonts w:cs="Arial"/>
                <w:i/>
                <w:color w:val="FF0000"/>
                <w:szCs w:val="24"/>
              </w:rPr>
            </w:pPr>
            <w:r w:rsidRPr="00970BD6">
              <w:rPr>
                <w:rFonts w:cs="Arial"/>
                <w:szCs w:val="24"/>
              </w:rPr>
              <w:t>One</w:t>
            </w:r>
            <w:r w:rsidRPr="00970BD6">
              <w:rPr>
                <w:rFonts w:cs="Arial"/>
                <w:i/>
                <w:szCs w:val="24"/>
              </w:rPr>
              <w:t xml:space="preserve"> </w:t>
            </w:r>
            <w:r w:rsidR="00D95C75" w:rsidRPr="00D95C75">
              <w:rPr>
                <w:rFonts w:cs="Arial"/>
                <w:szCs w:val="24"/>
              </w:rPr>
              <w:t>year</w:t>
            </w:r>
            <w:r>
              <w:rPr>
                <w:rFonts w:cs="Arial"/>
                <w:i/>
                <w:color w:val="FF0000"/>
                <w:szCs w:val="24"/>
              </w:rPr>
              <w:t xml:space="preserve"> (Adjust locally)</w:t>
            </w:r>
          </w:p>
          <w:p w14:paraId="51E827C5" w14:textId="77777777" w:rsidR="00C00C64" w:rsidRDefault="00C00C64" w:rsidP="00822294">
            <w:pPr>
              <w:rPr>
                <w:rFonts w:cs="Arial"/>
                <w:i/>
                <w:color w:val="FF0000"/>
                <w:szCs w:val="24"/>
              </w:rPr>
            </w:pPr>
          </w:p>
          <w:p w14:paraId="524A96B1" w14:textId="77777777" w:rsidR="00C00C64" w:rsidRPr="000412A1" w:rsidRDefault="00C00C64" w:rsidP="00822294">
            <w:pPr>
              <w:rPr>
                <w:rFonts w:cs="Arial"/>
                <w:szCs w:val="24"/>
              </w:rPr>
            </w:pPr>
          </w:p>
        </w:tc>
      </w:tr>
      <w:tr w:rsidR="00154269" w:rsidRPr="000412A1" w14:paraId="66E225BB" w14:textId="77777777">
        <w:trPr>
          <w:gridAfter w:val="1"/>
          <w:wAfter w:w="70" w:type="pct"/>
        </w:trPr>
        <w:tc>
          <w:tcPr>
            <w:tcW w:w="1202" w:type="pct"/>
            <w:shd w:val="clear" w:color="auto" w:fill="D9D9D9" w:themeFill="background1" w:themeFillShade="D9"/>
          </w:tcPr>
          <w:p w14:paraId="6B3DD699" w14:textId="77777777" w:rsidR="00154269" w:rsidRPr="000412A1" w:rsidRDefault="00970BD6" w:rsidP="00326B23">
            <w:pPr>
              <w:rPr>
                <w:rFonts w:cs="Arial"/>
                <w:szCs w:val="24"/>
                <w:u w:val="single"/>
              </w:rPr>
            </w:pPr>
            <w:r w:rsidRPr="00D95C75">
              <w:rPr>
                <w:rFonts w:cs="Arial"/>
                <w:b/>
                <w:szCs w:val="24"/>
                <w:u w:val="single"/>
              </w:rPr>
              <w:t>B</w:t>
            </w:r>
            <w:proofErr w:type="gramStart"/>
            <w:r w:rsidRPr="00D95C75">
              <w:rPr>
                <w:rFonts w:cs="Arial"/>
                <w:b/>
                <w:szCs w:val="24"/>
                <w:u w:val="single"/>
              </w:rPr>
              <w:t>3.</w:t>
            </w:r>
            <w:r w:rsidR="001F421F">
              <w:rPr>
                <w:rFonts w:cs="Arial"/>
                <w:b/>
                <w:szCs w:val="24"/>
                <w:u w:val="single"/>
              </w:rPr>
              <w:t>Indicator</w:t>
            </w:r>
            <w:proofErr w:type="gramEnd"/>
            <w:r w:rsidR="00154269" w:rsidRPr="00D95C75">
              <w:rPr>
                <w:rFonts w:cs="Arial"/>
                <w:b/>
                <w:szCs w:val="24"/>
                <w:u w:val="single"/>
              </w:rPr>
              <w:t xml:space="preserve"> </w:t>
            </w:r>
            <w:r w:rsidR="00CA40CD" w:rsidRPr="00D95C75">
              <w:rPr>
                <w:rFonts w:cs="Arial"/>
                <w:b/>
                <w:szCs w:val="24"/>
                <w:u w:val="single"/>
              </w:rPr>
              <w:t xml:space="preserve">Target </w:t>
            </w:r>
            <w:r w:rsidR="00154269" w:rsidRPr="00D95C75">
              <w:rPr>
                <w:rFonts w:cs="Arial"/>
                <w:b/>
                <w:szCs w:val="24"/>
                <w:u w:val="single"/>
              </w:rPr>
              <w:t>Payment</w:t>
            </w:r>
            <w:r w:rsidR="00154269" w:rsidRPr="000412A1">
              <w:rPr>
                <w:rFonts w:cs="Arial"/>
                <w:szCs w:val="24"/>
              </w:rPr>
              <w:t xml:space="preserve"> </w:t>
            </w:r>
            <w:r w:rsidR="003759F0">
              <w:rPr>
                <w:rFonts w:cs="Arial"/>
                <w:szCs w:val="24"/>
              </w:rPr>
              <w:lastRenderedPageBreak/>
              <w:t xml:space="preserve">(see Section </w:t>
            </w:r>
            <w:r w:rsidR="00326B23">
              <w:rPr>
                <w:rFonts w:cs="Arial"/>
                <w:szCs w:val="24"/>
              </w:rPr>
              <w:t>C</w:t>
            </w:r>
            <w:r>
              <w:rPr>
                <w:rFonts w:cs="Arial"/>
                <w:szCs w:val="24"/>
              </w:rPr>
              <w:t>3</w:t>
            </w:r>
            <w:r w:rsidR="003759F0">
              <w:rPr>
                <w:rFonts w:cs="Arial"/>
                <w:szCs w:val="24"/>
              </w:rPr>
              <w:t xml:space="preserve"> for rules to determine target payment)</w:t>
            </w:r>
            <w:r w:rsidR="00154269" w:rsidRPr="000412A1">
              <w:rPr>
                <w:rFonts w:cs="Arial"/>
                <w:szCs w:val="24"/>
              </w:rPr>
              <w:br/>
            </w:r>
          </w:p>
        </w:tc>
        <w:tc>
          <w:tcPr>
            <w:tcW w:w="3729" w:type="pct"/>
            <w:gridSpan w:val="2"/>
            <w:shd w:val="clear" w:color="auto" w:fill="FFFF00"/>
          </w:tcPr>
          <w:p w14:paraId="3E5E90E3" w14:textId="77777777" w:rsidR="00CA40CD" w:rsidRDefault="00CA40CD" w:rsidP="0084461B">
            <w:pPr>
              <w:rPr>
                <w:rFonts w:cs="Arial"/>
                <w:szCs w:val="24"/>
              </w:rPr>
            </w:pPr>
            <w:r>
              <w:rPr>
                <w:rFonts w:cs="Arial"/>
                <w:szCs w:val="24"/>
              </w:rPr>
              <w:lastRenderedPageBreak/>
              <w:t xml:space="preserve">Full compliance with this </w:t>
            </w:r>
            <w:r w:rsidR="00154269" w:rsidRPr="000412A1">
              <w:rPr>
                <w:rFonts w:cs="Arial"/>
                <w:szCs w:val="24"/>
              </w:rPr>
              <w:t xml:space="preserve">CQUIN </w:t>
            </w:r>
            <w:r w:rsidR="001F421F">
              <w:rPr>
                <w:rFonts w:cs="Arial"/>
                <w:szCs w:val="24"/>
              </w:rPr>
              <w:t>indicator</w:t>
            </w:r>
            <w:r>
              <w:rPr>
                <w:rFonts w:cs="Arial"/>
                <w:szCs w:val="24"/>
              </w:rPr>
              <w:t xml:space="preserve"> </w:t>
            </w:r>
            <w:r w:rsidR="00154269" w:rsidRPr="000412A1">
              <w:rPr>
                <w:rFonts w:cs="Arial"/>
                <w:szCs w:val="24"/>
              </w:rPr>
              <w:t>should achieve payment of</w:t>
            </w:r>
            <w:r w:rsidR="00970BD6">
              <w:rPr>
                <w:rFonts w:cs="Arial"/>
                <w:szCs w:val="24"/>
              </w:rPr>
              <w:t>:</w:t>
            </w:r>
            <w:r w:rsidR="00154269" w:rsidRPr="000412A1">
              <w:rPr>
                <w:rFonts w:cs="Arial"/>
                <w:szCs w:val="24"/>
              </w:rPr>
              <w:t xml:space="preserve"> </w:t>
            </w:r>
          </w:p>
          <w:p w14:paraId="4CE91E1E" w14:textId="7B97AF3F" w:rsidR="00154269" w:rsidRPr="000412A1" w:rsidRDefault="00154269" w:rsidP="0084461B">
            <w:pPr>
              <w:keepNext/>
              <w:rPr>
                <w:rFonts w:cs="Arial"/>
                <w:color w:val="000000"/>
                <w:szCs w:val="24"/>
              </w:rPr>
            </w:pPr>
            <w:r w:rsidRPr="000412A1">
              <w:rPr>
                <w:rFonts w:cs="Arial"/>
                <w:color w:val="000000"/>
                <w:szCs w:val="24"/>
              </w:rPr>
              <w:lastRenderedPageBreak/>
              <w:t>Target Value</w:t>
            </w:r>
            <w:r w:rsidRPr="000412A1">
              <w:rPr>
                <w:rFonts w:cs="Arial"/>
                <w:szCs w:val="24"/>
              </w:rPr>
              <w:t xml:space="preserve">: </w:t>
            </w:r>
            <w:r w:rsidR="003759F0" w:rsidRPr="003759F0">
              <w:rPr>
                <w:rFonts w:cs="Arial"/>
                <w:i/>
                <w:szCs w:val="24"/>
              </w:rPr>
              <w:t>[</w:t>
            </w:r>
            <w:r w:rsidRPr="003759F0">
              <w:rPr>
                <w:rFonts w:cs="Arial"/>
                <w:i/>
                <w:color w:val="FF0000"/>
                <w:szCs w:val="24"/>
              </w:rPr>
              <w:t>Add locally</w:t>
            </w:r>
            <w:r w:rsidR="003759F0" w:rsidRPr="003759F0">
              <w:rPr>
                <w:rFonts w:cs="Arial"/>
                <w:i/>
                <w:color w:val="FF0000"/>
                <w:szCs w:val="24"/>
              </w:rPr>
              <w:t xml:space="preserve"> ££s]</w:t>
            </w:r>
          </w:p>
          <w:p w14:paraId="263553F2" w14:textId="77777777" w:rsidR="000E33C9" w:rsidRPr="00EE0EE9" w:rsidRDefault="000E33C9" w:rsidP="003759F0">
            <w:pPr>
              <w:keepNext/>
              <w:rPr>
                <w:rFonts w:cs="Arial"/>
                <w:color w:val="FF0000"/>
                <w:szCs w:val="24"/>
              </w:rPr>
            </w:pPr>
          </w:p>
        </w:tc>
      </w:tr>
      <w:tr w:rsidR="00D54163" w:rsidRPr="000412A1" w14:paraId="33565C66" w14:textId="77777777">
        <w:trPr>
          <w:gridAfter w:val="1"/>
          <w:wAfter w:w="70" w:type="pct"/>
        </w:trPr>
        <w:tc>
          <w:tcPr>
            <w:tcW w:w="4930" w:type="pct"/>
            <w:gridSpan w:val="3"/>
            <w:shd w:val="clear" w:color="auto" w:fill="FFFF00"/>
          </w:tcPr>
          <w:p w14:paraId="0CCE6754" w14:textId="77777777" w:rsidR="00D54163" w:rsidRPr="00D95C75" w:rsidRDefault="00D54163" w:rsidP="0084461B">
            <w:pPr>
              <w:rPr>
                <w:rFonts w:cs="Arial"/>
                <w:b/>
                <w:szCs w:val="24"/>
                <w:u w:val="single"/>
              </w:rPr>
            </w:pPr>
            <w:r w:rsidRPr="00D95C75">
              <w:rPr>
                <w:rFonts w:cs="Arial"/>
                <w:b/>
                <w:szCs w:val="24"/>
                <w:u w:val="single"/>
              </w:rPr>
              <w:lastRenderedPageBreak/>
              <w:t>B4. Payment Triggers.</w:t>
            </w:r>
          </w:p>
          <w:p w14:paraId="655EC6AC" w14:textId="77777777" w:rsidR="00650494" w:rsidRDefault="00EC3C9D" w:rsidP="0084461B">
            <w:pPr>
              <w:rPr>
                <w:rFonts w:cs="Arial"/>
                <w:szCs w:val="24"/>
              </w:rPr>
            </w:pPr>
            <w:r>
              <w:rPr>
                <w:rFonts w:cs="Arial"/>
                <w:szCs w:val="24"/>
              </w:rPr>
              <w:t xml:space="preserve">The </w:t>
            </w:r>
            <w:r w:rsidR="003A0C63">
              <w:rPr>
                <w:rFonts w:cs="Arial"/>
                <w:szCs w:val="24"/>
              </w:rPr>
              <w:t>t</w:t>
            </w:r>
            <w:r w:rsidR="00650494">
              <w:rPr>
                <w:rFonts w:cs="Arial"/>
                <w:szCs w:val="24"/>
              </w:rPr>
              <w:t>riggers</w:t>
            </w:r>
            <w:r>
              <w:rPr>
                <w:rFonts w:cs="Arial"/>
                <w:szCs w:val="24"/>
              </w:rPr>
              <w:t xml:space="preserve">, and the proportion of the target payment that each trigger determines, and any partial payment rules, for each year of the </w:t>
            </w:r>
            <w:r w:rsidR="001F421F">
              <w:rPr>
                <w:rFonts w:cs="Arial"/>
                <w:szCs w:val="24"/>
              </w:rPr>
              <w:t>indicator</w:t>
            </w:r>
            <w:r w:rsidR="003A0C63">
              <w:rPr>
                <w:rFonts w:cs="Arial"/>
                <w:szCs w:val="24"/>
              </w:rPr>
              <w:t>,</w:t>
            </w:r>
            <w:r>
              <w:rPr>
                <w:rFonts w:cs="Arial"/>
                <w:szCs w:val="24"/>
              </w:rPr>
              <w:t xml:space="preserve"> are set out in Section C4.</w:t>
            </w:r>
          </w:p>
          <w:p w14:paraId="7FF8A76C" w14:textId="77777777" w:rsidR="00EC3C9D" w:rsidRDefault="00EC3C9D" w:rsidP="0084461B">
            <w:pPr>
              <w:rPr>
                <w:rFonts w:cs="Arial"/>
                <w:szCs w:val="24"/>
              </w:rPr>
            </w:pPr>
          </w:p>
          <w:p w14:paraId="013BCC81" w14:textId="77777777" w:rsidR="00EC3C9D" w:rsidRDefault="00EC3C9D" w:rsidP="0084461B">
            <w:pPr>
              <w:rPr>
                <w:rFonts w:cs="Arial"/>
                <w:szCs w:val="24"/>
              </w:rPr>
            </w:pPr>
            <w:r>
              <w:rPr>
                <w:rFonts w:cs="Arial"/>
                <w:szCs w:val="24"/>
              </w:rPr>
              <w:t xml:space="preserve">Relevant provider-specific </w:t>
            </w:r>
            <w:r w:rsidR="00F506AC">
              <w:rPr>
                <w:rFonts w:cs="Arial"/>
                <w:szCs w:val="24"/>
              </w:rPr>
              <w:t>variation, if any,</w:t>
            </w:r>
            <w:r>
              <w:rPr>
                <w:rFonts w:cs="Arial"/>
                <w:szCs w:val="24"/>
              </w:rPr>
              <w:t xml:space="preserve"> is set out in this table.</w:t>
            </w:r>
          </w:p>
          <w:p w14:paraId="6E21247D" w14:textId="77777777" w:rsidR="00EC3C9D" w:rsidRDefault="00EC3C9D" w:rsidP="0084461B">
            <w:pPr>
              <w:rPr>
                <w:rFonts w:cs="Arial"/>
                <w:szCs w:val="24"/>
              </w:rPr>
            </w:pPr>
          </w:p>
          <w:p w14:paraId="0881AF06" w14:textId="77777777" w:rsidR="00650494" w:rsidRPr="00C60578" w:rsidRDefault="00C60578" w:rsidP="0084461B">
            <w:pPr>
              <w:rPr>
                <w:rFonts w:cs="Arial"/>
                <w:b/>
                <w:i/>
                <w:szCs w:val="24"/>
              </w:rPr>
            </w:pPr>
            <w:r w:rsidRPr="003A0C63">
              <w:rPr>
                <w:rFonts w:cs="Arial"/>
                <w:i/>
                <w:color w:val="FF0000"/>
                <w:szCs w:val="24"/>
              </w:rPr>
              <w:t xml:space="preserve">[Adjust table as required for this </w:t>
            </w:r>
            <w:r w:rsidR="001F421F" w:rsidRPr="003A0C63">
              <w:rPr>
                <w:rFonts w:cs="Arial"/>
                <w:i/>
                <w:color w:val="FF0000"/>
                <w:szCs w:val="24"/>
              </w:rPr>
              <w:t>indicator</w:t>
            </w:r>
            <w:r w:rsidRPr="003A0C63">
              <w:rPr>
                <w:rFonts w:cs="Arial"/>
                <w:i/>
                <w:color w:val="FF0000"/>
                <w:szCs w:val="24"/>
              </w:rPr>
              <w:t xml:space="preserve"> – or delete if no provider-specific information is required.]</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421"/>
            </w:tblGrid>
            <w:tr w:rsidR="001A4BBB" w:rsidRPr="00C0263E" w14:paraId="7F9142A8" w14:textId="77777777" w:rsidTr="001A4BBB">
              <w:tc>
                <w:tcPr>
                  <w:tcW w:w="1577" w:type="dxa"/>
                  <w:tcBorders>
                    <w:top w:val="single" w:sz="4" w:space="0" w:color="auto"/>
                    <w:left w:val="single" w:sz="4" w:space="0" w:color="auto"/>
                    <w:bottom w:val="single" w:sz="4" w:space="0" w:color="auto"/>
                    <w:right w:val="single" w:sz="4" w:space="0" w:color="auto"/>
                  </w:tcBorders>
                  <w:shd w:val="clear" w:color="auto" w:fill="F2F2F2"/>
                </w:tcPr>
                <w:p w14:paraId="72242F80" w14:textId="77777777" w:rsidR="001A4BBB" w:rsidRPr="00C0263E" w:rsidRDefault="001A4BBB" w:rsidP="0084461B">
                  <w:pPr>
                    <w:spacing w:before="40" w:after="40"/>
                    <w:rPr>
                      <w:rFonts w:cs="Arial"/>
                      <w:b/>
                      <w:szCs w:val="24"/>
                    </w:rPr>
                  </w:pPr>
                  <w:r>
                    <w:rPr>
                      <w:rFonts w:cs="Arial"/>
                      <w:b/>
                      <w:szCs w:val="24"/>
                    </w:rPr>
                    <w:t>Provider specific triggers</w:t>
                  </w:r>
                </w:p>
              </w:tc>
              <w:tc>
                <w:tcPr>
                  <w:tcW w:w="742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3F35C9" w14:textId="77777777" w:rsidR="001A4BBB" w:rsidRPr="00EC3C9D" w:rsidRDefault="001A4BBB" w:rsidP="00F506AC">
                  <w:pPr>
                    <w:spacing w:before="40" w:after="40"/>
                    <w:rPr>
                      <w:rFonts w:cs="Arial"/>
                      <w:b/>
                      <w:szCs w:val="24"/>
                    </w:rPr>
                  </w:pPr>
                  <w:r w:rsidRPr="00EC3C9D">
                    <w:rPr>
                      <w:rFonts w:cs="Arial"/>
                      <w:b/>
                      <w:szCs w:val="24"/>
                    </w:rPr>
                    <w:t>201</w:t>
                  </w:r>
                  <w:r>
                    <w:rPr>
                      <w:rFonts w:cs="Arial"/>
                      <w:b/>
                      <w:szCs w:val="24"/>
                    </w:rPr>
                    <w:t>9</w:t>
                  </w:r>
                  <w:r w:rsidRPr="00EC3C9D">
                    <w:rPr>
                      <w:rFonts w:cs="Arial"/>
                      <w:b/>
                      <w:szCs w:val="24"/>
                    </w:rPr>
                    <w:t>/</w:t>
                  </w:r>
                  <w:r>
                    <w:rPr>
                      <w:rFonts w:cs="Arial"/>
                      <w:b/>
                      <w:szCs w:val="24"/>
                    </w:rPr>
                    <w:t>20</w:t>
                  </w:r>
                </w:p>
              </w:tc>
            </w:tr>
            <w:tr w:rsidR="001A4BBB" w:rsidRPr="00C0263E" w14:paraId="0B1C1203" w14:textId="77777777" w:rsidTr="001A4BBB">
              <w:tc>
                <w:tcPr>
                  <w:tcW w:w="1577" w:type="dxa"/>
                  <w:tcBorders>
                    <w:top w:val="single" w:sz="4" w:space="0" w:color="auto"/>
                    <w:left w:val="single" w:sz="4" w:space="0" w:color="auto"/>
                    <w:bottom w:val="single" w:sz="4" w:space="0" w:color="auto"/>
                    <w:right w:val="single" w:sz="4" w:space="0" w:color="auto"/>
                  </w:tcBorders>
                  <w:shd w:val="clear" w:color="auto" w:fill="F2F2F2"/>
                </w:tcPr>
                <w:p w14:paraId="02B733C0" w14:textId="3A2FA1B7" w:rsidR="001A4BBB" w:rsidRDefault="001A4BBB" w:rsidP="0084461B">
                  <w:pPr>
                    <w:spacing w:before="40" w:after="40"/>
                    <w:rPr>
                      <w:rFonts w:cs="Arial"/>
                      <w:b/>
                      <w:szCs w:val="24"/>
                    </w:rPr>
                  </w:pPr>
                  <w:r>
                    <w:rPr>
                      <w:rFonts w:cs="Arial"/>
                      <w:b/>
                      <w:szCs w:val="24"/>
                    </w:rPr>
                    <w:t>Trigger 1:</w:t>
                  </w:r>
                </w:p>
                <w:p w14:paraId="49490505" w14:textId="1A4ADEB0" w:rsidR="001A4BBB" w:rsidRPr="00C0263E" w:rsidRDefault="001A4BBB" w:rsidP="0084461B">
                  <w:pPr>
                    <w:spacing w:before="40" w:after="40"/>
                    <w:rPr>
                      <w:rFonts w:cs="Arial"/>
                      <w:b/>
                      <w:szCs w:val="24"/>
                    </w:rPr>
                  </w:pPr>
                </w:p>
              </w:tc>
              <w:tc>
                <w:tcPr>
                  <w:tcW w:w="7421" w:type="dxa"/>
                  <w:tcBorders>
                    <w:top w:val="single" w:sz="4" w:space="0" w:color="auto"/>
                    <w:left w:val="single" w:sz="4" w:space="0" w:color="auto"/>
                    <w:bottom w:val="single" w:sz="4" w:space="0" w:color="auto"/>
                    <w:right w:val="single" w:sz="4" w:space="0" w:color="auto"/>
                  </w:tcBorders>
                </w:tcPr>
                <w:p w14:paraId="11527A79" w14:textId="77777777" w:rsidR="001A4BBB" w:rsidRPr="00C0263E" w:rsidRDefault="001A4BBB" w:rsidP="0084461B">
                  <w:pPr>
                    <w:spacing w:before="40" w:after="40"/>
                    <w:rPr>
                      <w:rFonts w:cs="Arial"/>
                      <w:szCs w:val="24"/>
                    </w:rPr>
                  </w:pPr>
                </w:p>
              </w:tc>
            </w:tr>
            <w:tr w:rsidR="001A4BBB" w:rsidRPr="00C0263E" w14:paraId="235BCF5C" w14:textId="77777777" w:rsidTr="001A4BBB">
              <w:trPr>
                <w:trHeight w:val="812"/>
              </w:trPr>
              <w:tc>
                <w:tcPr>
                  <w:tcW w:w="1577" w:type="dxa"/>
                  <w:tcBorders>
                    <w:top w:val="single" w:sz="4" w:space="0" w:color="auto"/>
                    <w:left w:val="single" w:sz="4" w:space="0" w:color="auto"/>
                    <w:bottom w:val="single" w:sz="4" w:space="0" w:color="auto"/>
                    <w:right w:val="single" w:sz="4" w:space="0" w:color="auto"/>
                  </w:tcBorders>
                  <w:shd w:val="clear" w:color="auto" w:fill="F2F2F2"/>
                </w:tcPr>
                <w:p w14:paraId="61A35ED0" w14:textId="77777777" w:rsidR="001A4BBB" w:rsidRDefault="001A4BBB" w:rsidP="0084461B">
                  <w:pPr>
                    <w:spacing w:before="40" w:after="40"/>
                    <w:rPr>
                      <w:rFonts w:cs="Arial"/>
                      <w:b/>
                      <w:szCs w:val="24"/>
                    </w:rPr>
                  </w:pPr>
                  <w:r>
                    <w:rPr>
                      <w:rFonts w:cs="Arial"/>
                      <w:b/>
                      <w:szCs w:val="24"/>
                    </w:rPr>
                    <w:t>Trigger 2:</w:t>
                  </w:r>
                </w:p>
                <w:p w14:paraId="6E5713FD" w14:textId="77777777" w:rsidR="001A4BBB" w:rsidRDefault="001A4BBB" w:rsidP="00AA1E2D">
                  <w:pPr>
                    <w:spacing w:before="40" w:after="40"/>
                    <w:rPr>
                      <w:rFonts w:cs="Arial"/>
                      <w:b/>
                      <w:szCs w:val="24"/>
                    </w:rPr>
                  </w:pPr>
                </w:p>
              </w:tc>
              <w:tc>
                <w:tcPr>
                  <w:tcW w:w="7421" w:type="dxa"/>
                  <w:tcBorders>
                    <w:top w:val="single" w:sz="4" w:space="0" w:color="auto"/>
                    <w:left w:val="single" w:sz="4" w:space="0" w:color="auto"/>
                    <w:bottom w:val="single" w:sz="4" w:space="0" w:color="auto"/>
                    <w:right w:val="single" w:sz="4" w:space="0" w:color="auto"/>
                  </w:tcBorders>
                </w:tcPr>
                <w:p w14:paraId="1DA6B877" w14:textId="77777777" w:rsidR="001A4BBB" w:rsidRPr="00C0263E" w:rsidRDefault="001A4BBB" w:rsidP="0084461B">
                  <w:pPr>
                    <w:spacing w:before="40" w:after="40"/>
                    <w:rPr>
                      <w:rFonts w:cs="Arial"/>
                      <w:szCs w:val="24"/>
                    </w:rPr>
                  </w:pPr>
                </w:p>
              </w:tc>
            </w:tr>
            <w:tr w:rsidR="001A4BBB" w:rsidRPr="00C0263E" w14:paraId="297FCCAA" w14:textId="77777777" w:rsidTr="001A4BBB">
              <w:trPr>
                <w:trHeight w:val="619"/>
              </w:trPr>
              <w:tc>
                <w:tcPr>
                  <w:tcW w:w="1577" w:type="dxa"/>
                  <w:tcBorders>
                    <w:top w:val="single" w:sz="4" w:space="0" w:color="auto"/>
                    <w:left w:val="single" w:sz="4" w:space="0" w:color="auto"/>
                    <w:bottom w:val="single" w:sz="4" w:space="0" w:color="auto"/>
                    <w:right w:val="single" w:sz="4" w:space="0" w:color="auto"/>
                  </w:tcBorders>
                  <w:shd w:val="clear" w:color="auto" w:fill="F2F2F2"/>
                </w:tcPr>
                <w:p w14:paraId="75AB8C64" w14:textId="77777777" w:rsidR="001A4BBB" w:rsidRDefault="001A4BBB" w:rsidP="0084461B">
                  <w:pPr>
                    <w:spacing w:before="40" w:after="40"/>
                    <w:rPr>
                      <w:rFonts w:cs="Arial"/>
                      <w:b/>
                      <w:szCs w:val="24"/>
                    </w:rPr>
                  </w:pPr>
                  <w:r>
                    <w:rPr>
                      <w:rFonts w:cs="Arial"/>
                      <w:b/>
                      <w:szCs w:val="24"/>
                    </w:rPr>
                    <w:t>Trigger 3</w:t>
                  </w:r>
                </w:p>
              </w:tc>
              <w:tc>
                <w:tcPr>
                  <w:tcW w:w="7421" w:type="dxa"/>
                  <w:tcBorders>
                    <w:top w:val="single" w:sz="4" w:space="0" w:color="auto"/>
                    <w:left w:val="single" w:sz="4" w:space="0" w:color="auto"/>
                    <w:bottom w:val="single" w:sz="4" w:space="0" w:color="auto"/>
                    <w:right w:val="single" w:sz="4" w:space="0" w:color="auto"/>
                  </w:tcBorders>
                </w:tcPr>
                <w:p w14:paraId="5135C606" w14:textId="77777777" w:rsidR="001A4BBB" w:rsidRPr="00C0263E" w:rsidRDefault="001A4BBB" w:rsidP="0084461B">
                  <w:pPr>
                    <w:spacing w:before="40" w:after="40"/>
                    <w:rPr>
                      <w:rFonts w:cs="Arial"/>
                      <w:szCs w:val="24"/>
                    </w:rPr>
                  </w:pPr>
                </w:p>
              </w:tc>
            </w:tr>
          </w:tbl>
          <w:p w14:paraId="410D10B5" w14:textId="77777777" w:rsidR="00D54163" w:rsidRDefault="00D54163" w:rsidP="0084461B">
            <w:pPr>
              <w:rPr>
                <w:rFonts w:cs="Arial"/>
                <w:szCs w:val="24"/>
              </w:rPr>
            </w:pPr>
          </w:p>
          <w:p w14:paraId="2D46B9B6" w14:textId="77777777" w:rsidR="00D54163" w:rsidRDefault="00D54163" w:rsidP="0084461B">
            <w:pPr>
              <w:rPr>
                <w:rFonts w:cs="Arial"/>
                <w:szCs w:val="24"/>
              </w:rPr>
            </w:pPr>
          </w:p>
          <w:p w14:paraId="0D4F3950" w14:textId="77777777" w:rsidR="00D54163" w:rsidRDefault="00D54163" w:rsidP="0084461B">
            <w:pPr>
              <w:rPr>
                <w:rFonts w:cs="Arial"/>
                <w:szCs w:val="24"/>
              </w:rPr>
            </w:pPr>
          </w:p>
        </w:tc>
      </w:tr>
      <w:tr w:rsidR="00D95C75" w:rsidRPr="000412A1" w14:paraId="5408B190" w14:textId="77777777">
        <w:tc>
          <w:tcPr>
            <w:tcW w:w="5000" w:type="pct"/>
            <w:gridSpan w:val="4"/>
            <w:shd w:val="clear" w:color="auto" w:fill="BFBFBF" w:themeFill="background1" w:themeFillShade="BF"/>
          </w:tcPr>
          <w:p w14:paraId="13238096" w14:textId="77777777" w:rsidR="00D95C75" w:rsidRPr="00C0263E" w:rsidRDefault="00D95C75" w:rsidP="00A536ED">
            <w:pPr>
              <w:rPr>
                <w:rFonts w:cs="Arial"/>
                <w:szCs w:val="24"/>
              </w:rPr>
            </w:pPr>
            <w:r>
              <w:rPr>
                <w:rFonts w:cs="Arial"/>
                <w:b/>
                <w:color w:val="000000"/>
                <w:szCs w:val="24"/>
              </w:rPr>
              <w:t xml:space="preserve">B5. </w:t>
            </w:r>
            <w:r w:rsidR="00A536ED">
              <w:rPr>
                <w:rFonts w:cs="Arial"/>
                <w:b/>
                <w:color w:val="000000"/>
                <w:szCs w:val="24"/>
              </w:rPr>
              <w:t xml:space="preserve">Information </w:t>
            </w:r>
            <w:r w:rsidR="00CF3963">
              <w:rPr>
                <w:rFonts w:cs="Arial"/>
                <w:b/>
                <w:color w:val="000000"/>
                <w:szCs w:val="24"/>
              </w:rPr>
              <w:t>Requirements</w:t>
            </w:r>
          </w:p>
        </w:tc>
      </w:tr>
      <w:tr w:rsidR="00D95C75" w:rsidRPr="000412A1" w14:paraId="0A511759" w14:textId="77777777">
        <w:tc>
          <w:tcPr>
            <w:tcW w:w="5000" w:type="pct"/>
            <w:gridSpan w:val="4"/>
            <w:shd w:val="clear" w:color="auto" w:fill="D9D9D9" w:themeFill="background1" w:themeFillShade="D9"/>
          </w:tcPr>
          <w:p w14:paraId="6C90CE8E" w14:textId="77777777" w:rsidR="00D95C75" w:rsidRPr="000412A1" w:rsidRDefault="00A536ED" w:rsidP="00A536ED">
            <w:pPr>
              <w:rPr>
                <w:rFonts w:cs="Arial"/>
                <w:b/>
                <w:color w:val="000000"/>
                <w:szCs w:val="24"/>
              </w:rPr>
            </w:pPr>
            <w:r>
              <w:rPr>
                <w:rFonts w:cs="Arial"/>
                <w:b/>
                <w:color w:val="000000"/>
                <w:szCs w:val="24"/>
              </w:rPr>
              <w:t xml:space="preserve">Obligations under the </w:t>
            </w:r>
            <w:r w:rsidR="001F421F">
              <w:rPr>
                <w:rFonts w:cs="Arial"/>
                <w:b/>
                <w:color w:val="000000"/>
                <w:szCs w:val="24"/>
              </w:rPr>
              <w:t>indicator</w:t>
            </w:r>
            <w:r>
              <w:rPr>
                <w:rFonts w:cs="Arial"/>
                <w:b/>
                <w:color w:val="000000"/>
                <w:szCs w:val="24"/>
              </w:rPr>
              <w:t xml:space="preserve"> to report against achievement of the Triggers, to enable benchmarking, and to facilitate evaluation, are as set out in Section C5.</w:t>
            </w:r>
          </w:p>
        </w:tc>
      </w:tr>
      <w:tr w:rsidR="00CF3963" w:rsidRPr="000412A1" w14:paraId="412A1900" w14:textId="77777777">
        <w:tc>
          <w:tcPr>
            <w:tcW w:w="1774" w:type="pct"/>
            <w:gridSpan w:val="2"/>
            <w:shd w:val="clear" w:color="auto" w:fill="D9D9D9" w:themeFill="background1" w:themeFillShade="D9"/>
          </w:tcPr>
          <w:p w14:paraId="63F96B40" w14:textId="77777777" w:rsidR="00CF3963" w:rsidRDefault="00CF3963" w:rsidP="00CA40CD">
            <w:pPr>
              <w:rPr>
                <w:rFonts w:cs="Arial"/>
                <w:color w:val="000000"/>
                <w:szCs w:val="24"/>
              </w:rPr>
            </w:pPr>
            <w:r w:rsidRPr="000412A1">
              <w:rPr>
                <w:rFonts w:cs="Arial"/>
                <w:color w:val="000000"/>
                <w:szCs w:val="24"/>
              </w:rPr>
              <w:t>Final indicator reporting date</w:t>
            </w:r>
            <w:r>
              <w:rPr>
                <w:rFonts w:cs="Arial"/>
                <w:color w:val="000000"/>
                <w:szCs w:val="24"/>
              </w:rPr>
              <w:t xml:space="preserve"> for each year.</w:t>
            </w:r>
          </w:p>
        </w:tc>
        <w:tc>
          <w:tcPr>
            <w:tcW w:w="3226" w:type="pct"/>
            <w:gridSpan w:val="2"/>
            <w:shd w:val="clear" w:color="auto" w:fill="FFFF00"/>
          </w:tcPr>
          <w:p w14:paraId="72945FBF" w14:textId="77777777" w:rsidR="00CF3963" w:rsidRDefault="00CF3963" w:rsidP="0084461B">
            <w:pPr>
              <w:rPr>
                <w:rFonts w:cs="Arial"/>
                <w:szCs w:val="24"/>
              </w:rPr>
            </w:pPr>
            <w:r w:rsidRPr="000412A1">
              <w:rPr>
                <w:rFonts w:cs="Arial"/>
                <w:szCs w:val="24"/>
              </w:rPr>
              <w:t>Month 12 Contract Flex reporting date as per contract</w:t>
            </w:r>
            <w:r>
              <w:rPr>
                <w:rFonts w:cs="Arial"/>
                <w:szCs w:val="24"/>
              </w:rPr>
              <w:t xml:space="preserve">. </w:t>
            </w:r>
            <w:r w:rsidRPr="004E377A">
              <w:rPr>
                <w:rFonts w:cs="Arial"/>
                <w:i/>
                <w:color w:val="FF0000"/>
                <w:szCs w:val="24"/>
              </w:rPr>
              <w:t>[Vary if necessary.]</w:t>
            </w:r>
          </w:p>
        </w:tc>
      </w:tr>
      <w:tr w:rsidR="006B2327" w:rsidRPr="000412A1" w14:paraId="39EA1E4D" w14:textId="77777777">
        <w:tc>
          <w:tcPr>
            <w:tcW w:w="5000" w:type="pct"/>
            <w:gridSpan w:val="4"/>
            <w:shd w:val="clear" w:color="auto" w:fill="BFBFBF" w:themeFill="background1" w:themeFillShade="BF"/>
          </w:tcPr>
          <w:p w14:paraId="070DDD29" w14:textId="77777777" w:rsidR="006B2327" w:rsidRDefault="00CF3963" w:rsidP="00CF3963">
            <w:pPr>
              <w:spacing w:before="40" w:after="40"/>
              <w:rPr>
                <w:rFonts w:cs="Arial"/>
                <w:b/>
                <w:color w:val="000000"/>
                <w:szCs w:val="24"/>
              </w:rPr>
            </w:pPr>
            <w:r>
              <w:rPr>
                <w:rFonts w:cs="Arial"/>
                <w:b/>
                <w:color w:val="000000"/>
                <w:szCs w:val="24"/>
              </w:rPr>
              <w:t xml:space="preserve">B6. </w:t>
            </w:r>
            <w:r w:rsidRPr="000412A1">
              <w:rPr>
                <w:rFonts w:cs="Arial"/>
                <w:b/>
                <w:color w:val="000000"/>
                <w:szCs w:val="24"/>
              </w:rPr>
              <w:t>In Year Payment Phasing &amp; Profiling</w:t>
            </w:r>
          </w:p>
        </w:tc>
      </w:tr>
      <w:tr w:rsidR="006B2327" w:rsidRPr="000412A1" w14:paraId="20CFE6CB" w14:textId="77777777">
        <w:tc>
          <w:tcPr>
            <w:tcW w:w="5000" w:type="pct"/>
            <w:gridSpan w:val="4"/>
            <w:shd w:val="clear" w:color="auto" w:fill="FFFF00"/>
          </w:tcPr>
          <w:p w14:paraId="6599307C" w14:textId="77777777" w:rsidR="00CF3963" w:rsidRDefault="00CF3963" w:rsidP="00CF3963">
            <w:r>
              <w:t xml:space="preserve">Default arrangement: half payment of target CQUIN payment each month, reconciliation end of each year depending upon achievement. </w:t>
            </w:r>
          </w:p>
          <w:p w14:paraId="40E5EDF2" w14:textId="77777777" w:rsidR="00CF3963" w:rsidRDefault="00CF3963" w:rsidP="00CF3963">
            <w:pPr>
              <w:rPr>
                <w:i/>
              </w:rPr>
            </w:pPr>
          </w:p>
          <w:p w14:paraId="4FE64224" w14:textId="77777777" w:rsidR="00CF3963" w:rsidRPr="004E377A" w:rsidRDefault="00CF3963" w:rsidP="00CF3963">
            <w:pPr>
              <w:rPr>
                <w:i/>
                <w:color w:val="FF0000"/>
              </w:rPr>
            </w:pPr>
            <w:r w:rsidRPr="004E377A">
              <w:rPr>
                <w:i/>
                <w:color w:val="FF0000"/>
              </w:rPr>
              <w:t>[Specify variation of this approach if required]</w:t>
            </w:r>
          </w:p>
          <w:p w14:paraId="4F844821" w14:textId="77777777" w:rsidR="006B2327" w:rsidRDefault="006B2327" w:rsidP="0084461B">
            <w:pPr>
              <w:spacing w:before="40" w:after="40"/>
              <w:rPr>
                <w:rFonts w:cs="Arial"/>
                <w:b/>
                <w:color w:val="000000"/>
                <w:szCs w:val="24"/>
              </w:rPr>
            </w:pPr>
          </w:p>
        </w:tc>
      </w:tr>
    </w:tbl>
    <w:p w14:paraId="62D5B430" w14:textId="77777777" w:rsidR="006B2327" w:rsidRDefault="006B2327" w:rsidP="00154269">
      <w:pPr>
        <w:rPr>
          <w:rFonts w:cs="Arial"/>
          <w:b/>
          <w:szCs w:val="24"/>
        </w:rPr>
      </w:pPr>
    </w:p>
    <w:p w14:paraId="3B6E895A" w14:textId="77777777" w:rsidR="00154269" w:rsidRDefault="00154269" w:rsidP="00154269">
      <w:pPr>
        <w:rPr>
          <w:rFonts w:cs="Arial"/>
          <w:b/>
          <w:szCs w:val="24"/>
        </w:rPr>
      </w:pPr>
    </w:p>
    <w:tbl>
      <w:tblPr>
        <w:tblStyle w:val="TableGrid"/>
        <w:tblW w:w="5385" w:type="pct"/>
        <w:tblLook w:val="04A0" w:firstRow="1" w:lastRow="0" w:firstColumn="1" w:lastColumn="0" w:noHBand="0" w:noVBand="1"/>
      </w:tblPr>
      <w:tblGrid>
        <w:gridCol w:w="4049"/>
        <w:gridCol w:w="200"/>
        <w:gridCol w:w="5461"/>
      </w:tblGrid>
      <w:tr w:rsidR="00CF3963" w:rsidRPr="000412A1" w14:paraId="58624892" w14:textId="77777777">
        <w:tc>
          <w:tcPr>
            <w:tcW w:w="5000" w:type="pct"/>
            <w:gridSpan w:val="3"/>
            <w:shd w:val="clear" w:color="auto" w:fill="BFBFBF" w:themeFill="background1" w:themeFillShade="BF"/>
          </w:tcPr>
          <w:p w14:paraId="1A981B76" w14:textId="77777777" w:rsidR="00CF3963" w:rsidRPr="004B2DC0" w:rsidRDefault="00CF3963" w:rsidP="0084461B">
            <w:pPr>
              <w:spacing w:before="40" w:after="40"/>
              <w:rPr>
                <w:rFonts w:cs="Arial"/>
                <w:b/>
                <w:szCs w:val="24"/>
              </w:rPr>
            </w:pPr>
            <w:r>
              <w:rPr>
                <w:rFonts w:cs="Arial"/>
                <w:b/>
                <w:szCs w:val="24"/>
              </w:rPr>
              <w:t xml:space="preserve">C. </w:t>
            </w:r>
            <w:r w:rsidR="001F421F">
              <w:rPr>
                <w:rFonts w:cs="Arial"/>
                <w:b/>
                <w:szCs w:val="24"/>
              </w:rPr>
              <w:t>INDICATOR</w:t>
            </w:r>
            <w:r>
              <w:rPr>
                <w:rFonts w:cs="Arial"/>
                <w:b/>
                <w:szCs w:val="24"/>
              </w:rPr>
              <w:t xml:space="preserve"> SPECIFICATION GUIDE</w:t>
            </w:r>
            <w:r w:rsidR="00F506AC">
              <w:rPr>
                <w:rFonts w:cs="Arial"/>
                <w:b/>
                <w:szCs w:val="24"/>
              </w:rPr>
              <w:t>: STEP CHANGE INDICATORS</w:t>
            </w:r>
          </w:p>
        </w:tc>
      </w:tr>
      <w:tr w:rsidR="00CF3963" w:rsidRPr="000412A1" w14:paraId="4B477D13" w14:textId="77777777">
        <w:tc>
          <w:tcPr>
            <w:tcW w:w="5000" w:type="pct"/>
            <w:gridSpan w:val="3"/>
            <w:shd w:val="clear" w:color="auto" w:fill="BFBFBF" w:themeFill="background1" w:themeFillShade="BF"/>
          </w:tcPr>
          <w:p w14:paraId="4D86E68D" w14:textId="77777777" w:rsidR="00CF3963" w:rsidRPr="004B2DC0" w:rsidRDefault="00CF3963" w:rsidP="004E377A">
            <w:pPr>
              <w:spacing w:before="40" w:after="40"/>
              <w:rPr>
                <w:rFonts w:cs="Arial"/>
                <w:b/>
                <w:color w:val="000000"/>
                <w:szCs w:val="24"/>
              </w:rPr>
            </w:pPr>
            <w:r>
              <w:rPr>
                <w:rFonts w:cs="Arial"/>
                <w:b/>
                <w:szCs w:val="24"/>
              </w:rPr>
              <w:t xml:space="preserve">C1. </w:t>
            </w:r>
            <w:r w:rsidRPr="004B2DC0">
              <w:rPr>
                <w:rFonts w:cs="Arial"/>
                <w:b/>
                <w:szCs w:val="24"/>
              </w:rPr>
              <w:t>Providers</w:t>
            </w:r>
            <w:r w:rsidR="004E377A">
              <w:rPr>
                <w:rFonts w:cs="Arial"/>
                <w:b/>
                <w:szCs w:val="24"/>
              </w:rPr>
              <w:t xml:space="preserve"> to whom Applicable</w:t>
            </w:r>
          </w:p>
        </w:tc>
      </w:tr>
      <w:tr w:rsidR="00F506AC" w:rsidRPr="000412A1" w14:paraId="635A09B8" w14:textId="77777777">
        <w:tc>
          <w:tcPr>
            <w:tcW w:w="2085" w:type="pct"/>
            <w:shd w:val="clear" w:color="auto" w:fill="D9D9D9" w:themeFill="background1" w:themeFillShade="D9"/>
          </w:tcPr>
          <w:p w14:paraId="1096112E" w14:textId="77777777" w:rsidR="00F506AC" w:rsidRDefault="00F506AC" w:rsidP="0084461B">
            <w:pPr>
              <w:rPr>
                <w:rFonts w:cs="Arial"/>
                <w:b/>
                <w:i/>
                <w:szCs w:val="24"/>
              </w:rPr>
            </w:pPr>
            <w:r w:rsidRPr="00F506AC">
              <w:rPr>
                <w:rFonts w:cs="Arial"/>
                <w:b/>
                <w:szCs w:val="24"/>
              </w:rPr>
              <w:t>Nature of Adoption Ambition</w:t>
            </w:r>
            <w:r>
              <w:rPr>
                <w:rFonts w:cs="Arial"/>
                <w:b/>
                <w:i/>
                <w:szCs w:val="24"/>
              </w:rPr>
              <w:t xml:space="preserve">: </w:t>
            </w:r>
          </w:p>
          <w:p w14:paraId="681DCBEE" w14:textId="77777777" w:rsidR="00F506AC" w:rsidRDefault="00F506AC" w:rsidP="001F6AA3">
            <w:pPr>
              <w:rPr>
                <w:rFonts w:cs="Arial"/>
                <w:szCs w:val="24"/>
              </w:rPr>
            </w:pPr>
          </w:p>
        </w:tc>
        <w:tc>
          <w:tcPr>
            <w:tcW w:w="2915" w:type="pct"/>
            <w:gridSpan w:val="2"/>
          </w:tcPr>
          <w:p w14:paraId="5A254878" w14:textId="77777777" w:rsidR="00F506AC" w:rsidRPr="004E377A" w:rsidRDefault="001F6AA3" w:rsidP="0084461B">
            <w:pPr>
              <w:rPr>
                <w:rFonts w:cs="Arial"/>
                <w:color w:val="FF0000"/>
                <w:szCs w:val="24"/>
              </w:rPr>
            </w:pPr>
            <w:r w:rsidRPr="004E377A">
              <w:rPr>
                <w:rFonts w:cs="Arial"/>
                <w:i/>
                <w:color w:val="FF0000"/>
                <w:szCs w:val="24"/>
              </w:rPr>
              <w:t xml:space="preserve">[characterise the providers for whom this indicator is applicable: </w:t>
            </w:r>
            <w:proofErr w:type="spellStart"/>
            <w:r w:rsidRPr="004E377A">
              <w:rPr>
                <w:rFonts w:cs="Arial"/>
                <w:i/>
                <w:color w:val="FF0000"/>
                <w:szCs w:val="24"/>
              </w:rPr>
              <w:t>eg</w:t>
            </w:r>
            <w:proofErr w:type="spellEnd"/>
            <w:r w:rsidRPr="004E377A">
              <w:rPr>
                <w:rFonts w:cs="Arial"/>
                <w:i/>
                <w:color w:val="FF0000"/>
                <w:szCs w:val="24"/>
              </w:rPr>
              <w:t xml:space="preserve"> all providers of service XYZ]</w:t>
            </w:r>
          </w:p>
        </w:tc>
      </w:tr>
      <w:tr w:rsidR="00CF3963" w:rsidRPr="000412A1" w14:paraId="13158621" w14:textId="77777777">
        <w:tc>
          <w:tcPr>
            <w:tcW w:w="2085" w:type="pct"/>
            <w:shd w:val="clear" w:color="auto" w:fill="D9D9D9" w:themeFill="background1" w:themeFillShade="D9"/>
          </w:tcPr>
          <w:p w14:paraId="1033C7CA" w14:textId="77777777" w:rsidR="00CF3963" w:rsidRDefault="002C4571" w:rsidP="0084461B">
            <w:pPr>
              <w:rPr>
                <w:rFonts w:cs="Arial"/>
                <w:szCs w:val="24"/>
              </w:rPr>
            </w:pPr>
            <w:r w:rsidRPr="002C4571">
              <w:rPr>
                <w:rFonts w:cs="Arial"/>
                <w:b/>
                <w:szCs w:val="24"/>
              </w:rPr>
              <w:t xml:space="preserve">List of </w:t>
            </w:r>
            <w:r w:rsidR="004E377A">
              <w:rPr>
                <w:rFonts w:cs="Arial"/>
                <w:b/>
                <w:szCs w:val="24"/>
              </w:rPr>
              <w:t xml:space="preserve">Providers for whom Indicator is </w:t>
            </w:r>
            <w:r w:rsidR="004E377A" w:rsidRPr="002C4571">
              <w:rPr>
                <w:rFonts w:cs="Arial"/>
                <w:b/>
                <w:szCs w:val="24"/>
              </w:rPr>
              <w:t>Applicable</w:t>
            </w:r>
          </w:p>
          <w:p w14:paraId="2D845219" w14:textId="77777777" w:rsidR="00CF3963" w:rsidRPr="000412A1" w:rsidRDefault="00CF3963" w:rsidP="001F6AA3">
            <w:pPr>
              <w:rPr>
                <w:rFonts w:cs="Arial"/>
                <w:szCs w:val="24"/>
              </w:rPr>
            </w:pPr>
          </w:p>
        </w:tc>
        <w:tc>
          <w:tcPr>
            <w:tcW w:w="2915" w:type="pct"/>
            <w:gridSpan w:val="2"/>
          </w:tcPr>
          <w:p w14:paraId="484E4806" w14:textId="77777777" w:rsidR="001F6AA3" w:rsidRPr="004E377A" w:rsidRDefault="001F6AA3" w:rsidP="001F6AA3">
            <w:pPr>
              <w:rPr>
                <w:rFonts w:cs="Arial"/>
                <w:i/>
                <w:color w:val="FF0000"/>
                <w:szCs w:val="24"/>
              </w:rPr>
            </w:pPr>
            <w:r w:rsidRPr="004E377A">
              <w:rPr>
                <w:rFonts w:cs="Arial"/>
                <w:i/>
                <w:color w:val="FF0000"/>
                <w:szCs w:val="24"/>
              </w:rPr>
              <w:t>[List all providers to whom the indicator should be offered.]</w:t>
            </w:r>
          </w:p>
          <w:p w14:paraId="7E2DD7D5" w14:textId="77777777" w:rsidR="00517B50" w:rsidRPr="00517B50" w:rsidRDefault="00517B50" w:rsidP="00517B50">
            <w:pPr>
              <w:spacing w:after="200" w:line="276" w:lineRule="auto"/>
              <w:rPr>
                <w:rFonts w:eastAsiaTheme="minorHAnsi" w:cs="Arial"/>
                <w:bCs w:val="0"/>
                <w:szCs w:val="24"/>
              </w:rPr>
            </w:pPr>
            <w:r w:rsidRPr="00517B50">
              <w:rPr>
                <w:rFonts w:eastAsiaTheme="minorHAnsi" w:cs="Arial"/>
                <w:bCs w:val="0"/>
                <w:szCs w:val="24"/>
              </w:rPr>
              <w:t xml:space="preserve">The list of eligible providers (to be confirmed by Regions) is  </w:t>
            </w:r>
          </w:p>
          <w:p w14:paraId="3FBDF56C" w14:textId="77777777" w:rsidR="00517B50" w:rsidRPr="00517B50" w:rsidRDefault="00517B50" w:rsidP="00517B50">
            <w:pPr>
              <w:spacing w:after="200" w:line="276" w:lineRule="auto"/>
              <w:rPr>
                <w:rFonts w:eastAsiaTheme="minorHAnsi" w:cs="Arial"/>
                <w:bCs w:val="0"/>
                <w:szCs w:val="24"/>
              </w:rPr>
            </w:pPr>
            <w:r w:rsidRPr="00517B50">
              <w:rPr>
                <w:rFonts w:eastAsiaTheme="minorHAnsi" w:cs="Arial"/>
                <w:bCs w:val="0"/>
                <w:szCs w:val="24"/>
              </w:rPr>
              <w:lastRenderedPageBreak/>
              <w:t>LEAD PROVIDER</w:t>
            </w:r>
          </w:p>
          <w:p w14:paraId="757D1190"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The Newcastle Upon Tyne Hospitals NHS Foundation Trust</w:t>
            </w:r>
          </w:p>
          <w:p w14:paraId="5A17BFA4"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 xml:space="preserve">Pennine Acute Hospitals NHS Trust </w:t>
            </w:r>
            <w:r w:rsidRPr="004D18B2">
              <w:rPr>
                <w:rFonts w:cs="Arial"/>
                <w:szCs w:val="24"/>
              </w:rPr>
              <w:t xml:space="preserve">&amp; </w:t>
            </w:r>
            <w:r w:rsidRPr="00517B50">
              <w:rPr>
                <w:rFonts w:cs="Arial"/>
                <w:szCs w:val="24"/>
              </w:rPr>
              <w:t>Central Manchester University Hospital Trust</w:t>
            </w:r>
          </w:p>
          <w:p w14:paraId="5C1FDA02"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Royal Liverpool &amp; Broad Green University Hospital NHS Trust</w:t>
            </w:r>
          </w:p>
          <w:p w14:paraId="4CFB59FD"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Sheffield Teaching Hospitals NHS Foundation Trust</w:t>
            </w:r>
          </w:p>
          <w:p w14:paraId="61B821E4"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Hull &amp; East Yorkshire NHS Trust</w:t>
            </w:r>
          </w:p>
          <w:p w14:paraId="6FF8FFA4"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Leeds Teaching Hospitals</w:t>
            </w:r>
          </w:p>
          <w:p w14:paraId="3E743249"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East Lancashire Hospital NHS Trust</w:t>
            </w:r>
          </w:p>
          <w:p w14:paraId="0AB9F02B"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University Hospitals of Leicester</w:t>
            </w:r>
          </w:p>
          <w:p w14:paraId="1A3F4657"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University Hospitals Birmingham NHS Foundation</w:t>
            </w:r>
          </w:p>
          <w:p w14:paraId="087A2B3C"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Nottingham University Hospitals NHS Trust</w:t>
            </w:r>
          </w:p>
          <w:p w14:paraId="51D9560B"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Cambridge University Hospitals NHS Foundation Trust</w:t>
            </w:r>
          </w:p>
          <w:p w14:paraId="19C6B525"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Imperial College Healthcare Trust</w:t>
            </w:r>
          </w:p>
          <w:p w14:paraId="77201B6A"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Royal Free London NHS Foundation Trust</w:t>
            </w:r>
          </w:p>
          <w:p w14:paraId="25C89C95" w14:textId="77777777" w:rsidR="00517B50" w:rsidRPr="00517B50" w:rsidRDefault="00517B50" w:rsidP="003A6D3B">
            <w:pPr>
              <w:numPr>
                <w:ilvl w:val="0"/>
                <w:numId w:val="4"/>
              </w:numPr>
              <w:spacing w:after="200" w:line="276" w:lineRule="auto"/>
              <w:contextualSpacing/>
              <w:rPr>
                <w:rFonts w:cs="Arial"/>
                <w:szCs w:val="24"/>
              </w:rPr>
            </w:pPr>
            <w:proofErr w:type="spellStart"/>
            <w:r w:rsidRPr="00517B50">
              <w:rPr>
                <w:rFonts w:cs="Arial"/>
                <w:szCs w:val="24"/>
              </w:rPr>
              <w:t>Barts</w:t>
            </w:r>
            <w:proofErr w:type="spellEnd"/>
            <w:r w:rsidRPr="00517B50">
              <w:rPr>
                <w:rFonts w:cs="Arial"/>
                <w:szCs w:val="24"/>
              </w:rPr>
              <w:t xml:space="preserve"> Health</w:t>
            </w:r>
          </w:p>
          <w:p w14:paraId="1C2BC956"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 xml:space="preserve">Kings College Hospital NHS Foundation Trust </w:t>
            </w:r>
            <w:r w:rsidRPr="00661B6B">
              <w:rPr>
                <w:rFonts w:cs="Arial"/>
                <w:szCs w:val="24"/>
              </w:rPr>
              <w:t>&amp;</w:t>
            </w:r>
            <w:r w:rsidRPr="00517B50">
              <w:rPr>
                <w:rFonts w:cs="Arial"/>
                <w:szCs w:val="24"/>
              </w:rPr>
              <w:t xml:space="preserve"> St George’s University Hospitals NHS Foundation Trust</w:t>
            </w:r>
          </w:p>
          <w:p w14:paraId="56D7AD7A"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Royal Surrey County Hospital NHS Foundation Trust</w:t>
            </w:r>
          </w:p>
          <w:p w14:paraId="2B26F4DE"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Brighton &amp; Sussex University Hospitals</w:t>
            </w:r>
          </w:p>
          <w:p w14:paraId="108CB06F"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 xml:space="preserve">Oxford University Hospitals NHS Foundation Trust  </w:t>
            </w:r>
          </w:p>
          <w:p w14:paraId="00594641"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University Hospital Southampton NHS Foundation Trust</w:t>
            </w:r>
          </w:p>
          <w:p w14:paraId="7BE8DA5D"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University Hospitals Bristol NHS Foundation Trust</w:t>
            </w:r>
          </w:p>
          <w:p w14:paraId="2F0E2F2D"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Plymouth Hospitals NHS Trust</w:t>
            </w:r>
          </w:p>
          <w:p w14:paraId="4E34B048" w14:textId="77777777" w:rsidR="00517B50" w:rsidRPr="00517B50" w:rsidRDefault="00517B50" w:rsidP="003A6D3B">
            <w:pPr>
              <w:numPr>
                <w:ilvl w:val="0"/>
                <w:numId w:val="4"/>
              </w:numPr>
              <w:spacing w:after="200" w:line="276" w:lineRule="auto"/>
              <w:contextualSpacing/>
              <w:rPr>
                <w:rFonts w:cs="Arial"/>
                <w:szCs w:val="24"/>
              </w:rPr>
            </w:pPr>
            <w:r w:rsidRPr="00517B50">
              <w:rPr>
                <w:rFonts w:cs="Arial"/>
                <w:szCs w:val="24"/>
              </w:rPr>
              <w:t>Kings College Hospital NHS Foundation Trust</w:t>
            </w:r>
          </w:p>
          <w:p w14:paraId="565B9950" w14:textId="77777777" w:rsidR="00CF3963" w:rsidRPr="00CA40CD" w:rsidRDefault="00CF3963" w:rsidP="0084461B">
            <w:pPr>
              <w:rPr>
                <w:rFonts w:cs="Arial"/>
                <w:i/>
                <w:szCs w:val="24"/>
              </w:rPr>
            </w:pPr>
          </w:p>
        </w:tc>
      </w:tr>
      <w:tr w:rsidR="00CF3963" w:rsidRPr="000412A1" w14:paraId="6AED95FA" w14:textId="77777777">
        <w:tc>
          <w:tcPr>
            <w:tcW w:w="5000" w:type="pct"/>
            <w:gridSpan w:val="3"/>
            <w:shd w:val="clear" w:color="auto" w:fill="BFBFBF" w:themeFill="background1" w:themeFillShade="BF"/>
          </w:tcPr>
          <w:p w14:paraId="3BC76154" w14:textId="77777777" w:rsidR="00CF3963" w:rsidRPr="004B2DC0" w:rsidRDefault="00CF3963" w:rsidP="00C25612">
            <w:pPr>
              <w:spacing w:before="40" w:after="40"/>
              <w:rPr>
                <w:rFonts w:cs="Arial"/>
                <w:b/>
                <w:color w:val="000000"/>
                <w:szCs w:val="24"/>
              </w:rPr>
            </w:pPr>
            <w:r>
              <w:rPr>
                <w:rFonts w:cs="Arial"/>
                <w:b/>
                <w:szCs w:val="24"/>
              </w:rPr>
              <w:lastRenderedPageBreak/>
              <w:t xml:space="preserve">C2. </w:t>
            </w:r>
            <w:r w:rsidR="00C25612">
              <w:rPr>
                <w:rFonts w:cs="Arial"/>
                <w:b/>
                <w:szCs w:val="24"/>
              </w:rPr>
              <w:t>Provider Specific Parameters</w:t>
            </w:r>
          </w:p>
        </w:tc>
      </w:tr>
      <w:tr w:rsidR="00C25612" w:rsidRPr="000412A1" w14:paraId="1F8B1B97" w14:textId="77777777">
        <w:trPr>
          <w:trHeight w:val="2153"/>
        </w:trPr>
        <w:tc>
          <w:tcPr>
            <w:tcW w:w="2188" w:type="pct"/>
            <w:gridSpan w:val="2"/>
            <w:shd w:val="clear" w:color="auto" w:fill="D9D9D9" w:themeFill="background1" w:themeFillShade="D9"/>
          </w:tcPr>
          <w:p w14:paraId="379F7615" w14:textId="77777777" w:rsidR="00C25612" w:rsidRPr="001F6AA3" w:rsidRDefault="00C25612" w:rsidP="00C25612">
            <w:pPr>
              <w:rPr>
                <w:rFonts w:cs="Arial"/>
                <w:b/>
                <w:i/>
                <w:szCs w:val="24"/>
              </w:rPr>
            </w:pPr>
            <w:r w:rsidRPr="001F6AA3">
              <w:rPr>
                <w:rFonts w:cs="Arial"/>
                <w:b/>
                <w:szCs w:val="24"/>
              </w:rPr>
              <w:lastRenderedPageBreak/>
              <w:t xml:space="preserve">The </w:t>
            </w:r>
            <w:r w:rsidR="001F421F" w:rsidRPr="001F6AA3">
              <w:rPr>
                <w:rFonts w:cs="Arial"/>
                <w:b/>
                <w:szCs w:val="24"/>
              </w:rPr>
              <w:t>indicator</w:t>
            </w:r>
            <w:r w:rsidRPr="001F6AA3">
              <w:rPr>
                <w:rFonts w:cs="Arial"/>
                <w:b/>
                <w:szCs w:val="24"/>
              </w:rPr>
              <w:t xml:space="preserve"> requires the following parameters to be set for each provider in advance of contract, </w:t>
            </w:r>
            <w:proofErr w:type="gramStart"/>
            <w:r w:rsidRPr="001F6AA3">
              <w:rPr>
                <w:rFonts w:cs="Arial"/>
                <w:b/>
                <w:szCs w:val="24"/>
              </w:rPr>
              <w:t>in order to</w:t>
            </w:r>
            <w:proofErr w:type="gramEnd"/>
            <w:r w:rsidRPr="001F6AA3">
              <w:rPr>
                <w:rFonts w:cs="Arial"/>
                <w:b/>
                <w:szCs w:val="24"/>
              </w:rPr>
              <w:t xml:space="preserve"> determine precisely what is required of each provider, and/or to determine appropriate target payment (as per C3.)</w:t>
            </w:r>
            <w:r w:rsidRPr="001F6AA3">
              <w:rPr>
                <w:rFonts w:cs="Arial"/>
                <w:b/>
                <w:szCs w:val="24"/>
              </w:rPr>
              <w:br/>
            </w:r>
          </w:p>
          <w:p w14:paraId="7B81CA95" w14:textId="77777777" w:rsidR="00C25612" w:rsidRDefault="00C25612" w:rsidP="00C25612">
            <w:pPr>
              <w:rPr>
                <w:rFonts w:cs="Arial"/>
                <w:szCs w:val="24"/>
                <w:u w:val="single"/>
              </w:rPr>
            </w:pPr>
          </w:p>
        </w:tc>
        <w:tc>
          <w:tcPr>
            <w:tcW w:w="2812" w:type="pct"/>
          </w:tcPr>
          <w:p w14:paraId="3D45B6DB" w14:textId="77777777" w:rsidR="00C25612" w:rsidRPr="004E377A" w:rsidRDefault="00C25612" w:rsidP="00C25612">
            <w:pPr>
              <w:rPr>
                <w:rFonts w:cs="Arial"/>
                <w:color w:val="FF0000"/>
                <w:szCs w:val="24"/>
              </w:rPr>
            </w:pPr>
            <w:r w:rsidRPr="004E377A">
              <w:rPr>
                <w:rFonts w:cs="Arial"/>
                <w:i/>
                <w:color w:val="FF0000"/>
                <w:szCs w:val="24"/>
              </w:rPr>
              <w:t xml:space="preserve">[Specify for this </w:t>
            </w:r>
            <w:r w:rsidR="001F421F" w:rsidRPr="004E377A">
              <w:rPr>
                <w:rFonts w:cs="Arial"/>
                <w:i/>
                <w:color w:val="FF0000"/>
                <w:szCs w:val="24"/>
              </w:rPr>
              <w:t>indicator</w:t>
            </w:r>
            <w:r w:rsidRPr="004E377A">
              <w:rPr>
                <w:rFonts w:cs="Arial"/>
                <w:i/>
                <w:color w:val="FF0000"/>
                <w:szCs w:val="24"/>
              </w:rPr>
              <w:t xml:space="preserve"> the parameters, including duration, that need to be set to determine the </w:t>
            </w:r>
            <w:r w:rsidR="001F421F" w:rsidRPr="004E377A">
              <w:rPr>
                <w:rFonts w:cs="Arial"/>
                <w:i/>
                <w:color w:val="FF0000"/>
                <w:szCs w:val="24"/>
              </w:rPr>
              <w:t>indicator</w:t>
            </w:r>
            <w:r w:rsidRPr="004E377A">
              <w:rPr>
                <w:rFonts w:cs="Arial"/>
                <w:i/>
                <w:color w:val="FF0000"/>
                <w:szCs w:val="24"/>
              </w:rPr>
              <w:t xml:space="preserve"> requirements precisely, for example the patient group to be covered, the baseline level of performance, the required stretch, etc.]</w:t>
            </w:r>
          </w:p>
          <w:p w14:paraId="3684CBCC" w14:textId="77777777" w:rsidR="00C25612" w:rsidRDefault="00C25612" w:rsidP="00C25612">
            <w:pPr>
              <w:rPr>
                <w:rFonts w:cs="Arial"/>
                <w:i/>
                <w:szCs w:val="24"/>
              </w:rPr>
            </w:pPr>
          </w:p>
        </w:tc>
      </w:tr>
      <w:tr w:rsidR="00CF3963" w:rsidRPr="000412A1" w14:paraId="54B8E114" w14:textId="77777777">
        <w:tc>
          <w:tcPr>
            <w:tcW w:w="5000" w:type="pct"/>
            <w:gridSpan w:val="3"/>
            <w:shd w:val="clear" w:color="auto" w:fill="BFBFBF" w:themeFill="background1" w:themeFillShade="BF"/>
          </w:tcPr>
          <w:p w14:paraId="36AE3876" w14:textId="77777777" w:rsidR="00CF3963" w:rsidRPr="000412A1" w:rsidRDefault="00CF3963" w:rsidP="0084461B">
            <w:pPr>
              <w:rPr>
                <w:rFonts w:eastAsiaTheme="minorEastAsia" w:cs="Arial"/>
                <w:b/>
                <w:szCs w:val="24"/>
              </w:rPr>
            </w:pPr>
            <w:r>
              <w:rPr>
                <w:rFonts w:eastAsiaTheme="minorEastAsia" w:cs="Arial"/>
                <w:b/>
                <w:szCs w:val="24"/>
              </w:rPr>
              <w:t xml:space="preserve">C3. Calculating the Target </w:t>
            </w:r>
            <w:r w:rsidRPr="00C0210F">
              <w:rPr>
                <w:rFonts w:eastAsiaTheme="minorEastAsia" w:cs="Arial"/>
                <w:b/>
                <w:szCs w:val="24"/>
              </w:rPr>
              <w:t xml:space="preserve">Payment </w:t>
            </w:r>
            <w:r>
              <w:rPr>
                <w:rFonts w:eastAsiaTheme="minorEastAsia" w:cs="Arial"/>
                <w:b/>
                <w:szCs w:val="24"/>
              </w:rPr>
              <w:t>for a Provider</w:t>
            </w:r>
            <w:r w:rsidRPr="000412A1">
              <w:rPr>
                <w:rFonts w:eastAsiaTheme="minorEastAsia" w:cs="Arial"/>
                <w:b/>
                <w:szCs w:val="24"/>
              </w:rPr>
              <w:t xml:space="preserve"> </w:t>
            </w:r>
          </w:p>
        </w:tc>
      </w:tr>
      <w:tr w:rsidR="00CF3963" w:rsidRPr="000412A1" w14:paraId="3931F6B4" w14:textId="77777777">
        <w:tc>
          <w:tcPr>
            <w:tcW w:w="5000" w:type="pct"/>
            <w:gridSpan w:val="3"/>
          </w:tcPr>
          <w:p w14:paraId="539FB0C7" w14:textId="77777777" w:rsidR="00CF3963" w:rsidRPr="001F6AA3" w:rsidRDefault="00CF3963" w:rsidP="0084461B">
            <w:pPr>
              <w:rPr>
                <w:rFonts w:eastAsiaTheme="minorEastAsia" w:cs="Arial"/>
                <w:b/>
                <w:szCs w:val="24"/>
              </w:rPr>
            </w:pPr>
            <w:r w:rsidRPr="001F6AA3">
              <w:rPr>
                <w:rFonts w:eastAsiaTheme="minorEastAsia" w:cs="Arial"/>
                <w:b/>
                <w:szCs w:val="24"/>
              </w:rPr>
              <w:t xml:space="preserve">The target overall payment for this </w:t>
            </w:r>
            <w:r w:rsidR="001F421F" w:rsidRPr="001F6AA3">
              <w:rPr>
                <w:rFonts w:eastAsiaTheme="minorEastAsia" w:cs="Arial"/>
                <w:b/>
                <w:szCs w:val="24"/>
              </w:rPr>
              <w:t>indicator</w:t>
            </w:r>
            <w:r w:rsidRPr="001F6AA3">
              <w:rPr>
                <w:rFonts w:eastAsiaTheme="minorEastAsia" w:cs="Arial"/>
                <w:b/>
                <w:szCs w:val="24"/>
              </w:rPr>
              <w:t xml:space="preserve"> (the payment if the requirements of the </w:t>
            </w:r>
            <w:r w:rsidR="001F421F" w:rsidRPr="001F6AA3">
              <w:rPr>
                <w:rFonts w:eastAsiaTheme="minorEastAsia" w:cs="Arial"/>
                <w:b/>
                <w:szCs w:val="24"/>
              </w:rPr>
              <w:t>indicator</w:t>
            </w:r>
            <w:r w:rsidRPr="001F6AA3">
              <w:rPr>
                <w:rFonts w:eastAsiaTheme="minorEastAsia" w:cs="Arial"/>
                <w:b/>
                <w:szCs w:val="24"/>
              </w:rPr>
              <w:t xml:space="preserve"> are fully met, to be set in Section B3 above) should be calculated for each provider, according to the following algorithm: </w:t>
            </w:r>
          </w:p>
          <w:p w14:paraId="304DAD71" w14:textId="77777777" w:rsidR="00CF3963" w:rsidRPr="003A0C63" w:rsidRDefault="00CF3963" w:rsidP="0084461B">
            <w:pPr>
              <w:rPr>
                <w:rFonts w:eastAsiaTheme="minorEastAsia" w:cs="Arial"/>
                <w:i/>
                <w:color w:val="FF0000"/>
                <w:szCs w:val="24"/>
              </w:rPr>
            </w:pPr>
            <w:r w:rsidRPr="003A0C63">
              <w:rPr>
                <w:rFonts w:eastAsiaTheme="minorEastAsia" w:cs="Arial"/>
                <w:color w:val="FF0000"/>
                <w:szCs w:val="24"/>
              </w:rPr>
              <w:t>[</w:t>
            </w:r>
            <w:r w:rsidRPr="003A0C63">
              <w:rPr>
                <w:rFonts w:eastAsiaTheme="minorEastAsia" w:cs="Arial"/>
                <w:i/>
                <w:color w:val="FF0000"/>
                <w:szCs w:val="24"/>
              </w:rPr>
              <w:t xml:space="preserve">Specify in detail how the target payment should be set for each year of the </w:t>
            </w:r>
            <w:r w:rsidR="001F421F" w:rsidRPr="003A0C63">
              <w:rPr>
                <w:rFonts w:eastAsiaTheme="minorEastAsia" w:cs="Arial"/>
                <w:i/>
                <w:color w:val="FF0000"/>
                <w:szCs w:val="24"/>
              </w:rPr>
              <w:t>indicator</w:t>
            </w:r>
            <w:r w:rsidRPr="003A0C63">
              <w:rPr>
                <w:rFonts w:eastAsiaTheme="minorEastAsia" w:cs="Arial"/>
                <w:i/>
                <w:color w:val="FF0000"/>
                <w:szCs w:val="24"/>
              </w:rPr>
              <w:t xml:space="preserve"> – whether a standard payment per provider, or whether it is dependent upon scale and stretch (e.g. number of patients served, or increase in number of patients to receive a specific service enhancement).</w:t>
            </w:r>
            <w:r w:rsidRPr="003A0C63">
              <w:rPr>
                <w:rFonts w:cs="Arial"/>
                <w:i/>
                <w:color w:val="FF0000"/>
                <w:szCs w:val="24"/>
              </w:rPr>
              <w:t>]</w:t>
            </w:r>
          </w:p>
          <w:p w14:paraId="2F039827" w14:textId="77777777" w:rsidR="00CF3963" w:rsidRPr="003A0C63" w:rsidRDefault="00F97E78" w:rsidP="0084461B">
            <w:pPr>
              <w:rPr>
                <w:rFonts w:eastAsiaTheme="minorEastAsia" w:cs="Arial"/>
                <w:i/>
                <w:color w:val="FF0000"/>
                <w:szCs w:val="24"/>
              </w:rPr>
            </w:pPr>
            <w:r w:rsidRPr="003A0C63">
              <w:rPr>
                <w:rFonts w:eastAsiaTheme="minorEastAsia" w:cs="Arial"/>
                <w:i/>
                <w:color w:val="FF0000"/>
                <w:szCs w:val="24"/>
              </w:rPr>
              <w:t xml:space="preserve"> </w:t>
            </w:r>
            <w:r w:rsidR="00CF3963" w:rsidRPr="003A0C63">
              <w:rPr>
                <w:rFonts w:eastAsiaTheme="minorEastAsia" w:cs="Arial"/>
                <w:i/>
                <w:color w:val="FF0000"/>
                <w:szCs w:val="24"/>
              </w:rPr>
              <w:t xml:space="preserve">[Given an example of the calculation. </w:t>
            </w:r>
          </w:p>
          <w:p w14:paraId="37F0CA50" w14:textId="77777777" w:rsidR="00CF3963" w:rsidRDefault="00CF3963" w:rsidP="0084461B">
            <w:pPr>
              <w:rPr>
                <w:rFonts w:eastAsiaTheme="minorEastAsia" w:cs="Arial"/>
                <w:szCs w:val="24"/>
                <w:u w:val="single"/>
              </w:rPr>
            </w:pPr>
          </w:p>
          <w:p w14:paraId="2B8E371B" w14:textId="77777777" w:rsidR="00517B50" w:rsidRPr="006C35DF" w:rsidRDefault="00517B50" w:rsidP="003A6D3B">
            <w:pPr>
              <w:pStyle w:val="ListParagraph"/>
              <w:keepNext/>
              <w:numPr>
                <w:ilvl w:val="0"/>
                <w:numId w:val="5"/>
              </w:numPr>
              <w:tabs>
                <w:tab w:val="left" w:pos="3570"/>
              </w:tabs>
              <w:rPr>
                <w:rFonts w:cs="Arial"/>
                <w:szCs w:val="24"/>
              </w:rPr>
            </w:pPr>
            <w:r w:rsidRPr="006C35DF">
              <w:rPr>
                <w:rFonts w:cs="Arial"/>
                <w:b/>
                <w:szCs w:val="24"/>
              </w:rPr>
              <w:t>Governance and Partnership Working</w:t>
            </w:r>
            <w:r w:rsidRPr="006C35DF">
              <w:rPr>
                <w:rFonts w:cs="Arial"/>
                <w:szCs w:val="24"/>
              </w:rPr>
              <w:t>: £150,000 per network. Where 2 providers share lead status the split of this funding to be agreed with commissioner and the 2 providers.</w:t>
            </w:r>
          </w:p>
          <w:p w14:paraId="09E4CAB2" w14:textId="77777777" w:rsidR="0057733C" w:rsidRPr="006C35DF" w:rsidRDefault="00517B50" w:rsidP="003A6D3B">
            <w:pPr>
              <w:pStyle w:val="ListParagraph"/>
              <w:keepNext/>
              <w:numPr>
                <w:ilvl w:val="0"/>
                <w:numId w:val="5"/>
              </w:numPr>
              <w:tabs>
                <w:tab w:val="left" w:pos="3570"/>
              </w:tabs>
              <w:rPr>
                <w:rFonts w:cs="Arial"/>
                <w:szCs w:val="24"/>
              </w:rPr>
            </w:pPr>
            <w:r w:rsidRPr="006C35DF">
              <w:rPr>
                <w:rFonts w:cs="Arial"/>
                <w:b/>
                <w:szCs w:val="24"/>
              </w:rPr>
              <w:t xml:space="preserve">Stewardship and NICE compliance </w:t>
            </w:r>
            <w:r w:rsidRPr="006C35DF">
              <w:rPr>
                <w:rFonts w:cs="Arial"/>
                <w:szCs w:val="24"/>
              </w:rPr>
              <w:t xml:space="preserve">0.6% </w:t>
            </w:r>
            <w:r w:rsidR="006C35DF" w:rsidRPr="006C35DF">
              <w:rPr>
                <w:rFonts w:cs="Arial"/>
                <w:szCs w:val="24"/>
              </w:rPr>
              <w:t>CQUIN</w:t>
            </w:r>
            <w:r w:rsidRPr="006C35DF">
              <w:rPr>
                <w:rFonts w:cs="Arial"/>
                <w:szCs w:val="24"/>
              </w:rPr>
              <w:t>-applic</w:t>
            </w:r>
            <w:r w:rsidR="0057733C" w:rsidRPr="006C35DF">
              <w:rPr>
                <w:rFonts w:cs="Arial"/>
                <w:szCs w:val="24"/>
              </w:rPr>
              <w:t>able</w:t>
            </w:r>
            <w:r w:rsidRPr="006C35DF">
              <w:rPr>
                <w:rFonts w:cs="Arial"/>
                <w:szCs w:val="24"/>
              </w:rPr>
              <w:t xml:space="preserve"> contract value</w:t>
            </w:r>
            <w:r w:rsidR="0057733C" w:rsidRPr="006C35DF">
              <w:rPr>
                <w:rFonts w:cs="Arial"/>
                <w:szCs w:val="24"/>
              </w:rPr>
              <w:t>.</w:t>
            </w:r>
          </w:p>
          <w:p w14:paraId="2940D7DF" w14:textId="77777777" w:rsidR="0057733C" w:rsidRPr="006C35DF" w:rsidRDefault="0057733C" w:rsidP="0057733C">
            <w:pPr>
              <w:pStyle w:val="ListParagraph"/>
              <w:keepNext/>
              <w:tabs>
                <w:tab w:val="left" w:pos="3570"/>
              </w:tabs>
              <w:ind w:left="360"/>
              <w:rPr>
                <w:rFonts w:cs="Arial"/>
                <w:szCs w:val="24"/>
              </w:rPr>
            </w:pPr>
          </w:p>
          <w:p w14:paraId="37A64B3F" w14:textId="0DC84F9A" w:rsidR="00517B50" w:rsidRPr="006C35DF" w:rsidRDefault="0057733C" w:rsidP="0057733C">
            <w:pPr>
              <w:keepNext/>
              <w:tabs>
                <w:tab w:val="left" w:pos="3570"/>
              </w:tabs>
              <w:rPr>
                <w:rFonts w:cs="Arial"/>
                <w:szCs w:val="24"/>
              </w:rPr>
            </w:pPr>
            <w:r w:rsidRPr="006C35DF">
              <w:rPr>
                <w:rFonts w:cs="Arial"/>
                <w:szCs w:val="24"/>
              </w:rPr>
              <w:t xml:space="preserve">The combined value is subject to a </w:t>
            </w:r>
            <w:r w:rsidR="00517B50" w:rsidRPr="006C35DF">
              <w:rPr>
                <w:rFonts w:cs="Arial"/>
                <w:szCs w:val="24"/>
              </w:rPr>
              <w:t xml:space="preserve">floor </w:t>
            </w:r>
            <w:r w:rsidRPr="006C35DF">
              <w:rPr>
                <w:rFonts w:cs="Arial"/>
                <w:szCs w:val="24"/>
              </w:rPr>
              <w:t xml:space="preserve">of £500,000. </w:t>
            </w:r>
          </w:p>
          <w:p w14:paraId="01A18370" w14:textId="77777777" w:rsidR="00CF3963" w:rsidRDefault="00CF3963" w:rsidP="0084461B">
            <w:pPr>
              <w:rPr>
                <w:rFonts w:eastAsiaTheme="minorEastAsia" w:cs="Arial"/>
                <w:i/>
                <w:szCs w:val="24"/>
              </w:rPr>
            </w:pPr>
          </w:p>
          <w:p w14:paraId="2C3C011B" w14:textId="77777777" w:rsidR="00CF3963" w:rsidRPr="00512E30" w:rsidRDefault="00CF3963" w:rsidP="0084461B">
            <w:pPr>
              <w:rPr>
                <w:rFonts w:eastAsiaTheme="minorEastAsia" w:cs="Arial"/>
                <w:b/>
                <w:szCs w:val="24"/>
              </w:rPr>
            </w:pPr>
            <w:r w:rsidRPr="00512E30">
              <w:rPr>
                <w:rFonts w:eastAsiaTheme="minorEastAsia" w:cs="Arial"/>
                <w:b/>
                <w:szCs w:val="24"/>
              </w:rPr>
              <w:t>See Section D3 for the justification of the targeted payment</w:t>
            </w:r>
            <w:r w:rsidR="00512E30" w:rsidRPr="00512E30">
              <w:rPr>
                <w:rFonts w:eastAsiaTheme="minorEastAsia" w:cs="Arial"/>
                <w:b/>
                <w:szCs w:val="24"/>
              </w:rPr>
              <w:t xml:space="preserve">, including justification of </w:t>
            </w:r>
            <w:r w:rsidRPr="00512E30">
              <w:rPr>
                <w:rFonts w:eastAsiaTheme="minorEastAsia" w:cs="Arial"/>
                <w:b/>
                <w:szCs w:val="24"/>
              </w:rPr>
              <w:t xml:space="preserve">the costing of the </w:t>
            </w:r>
            <w:r w:rsidR="001F421F">
              <w:rPr>
                <w:rFonts w:eastAsiaTheme="minorEastAsia" w:cs="Arial"/>
                <w:b/>
                <w:szCs w:val="24"/>
              </w:rPr>
              <w:t>indicator</w:t>
            </w:r>
            <w:r w:rsidRPr="00512E30">
              <w:rPr>
                <w:rFonts w:eastAsiaTheme="minorEastAsia" w:cs="Arial"/>
                <w:b/>
                <w:szCs w:val="24"/>
              </w:rPr>
              <w:t>, which will underpin the payment</w:t>
            </w:r>
            <w:r w:rsidR="00512E30" w:rsidRPr="00512E30">
              <w:rPr>
                <w:rFonts w:eastAsiaTheme="minorEastAsia" w:cs="Arial"/>
                <w:b/>
                <w:szCs w:val="24"/>
              </w:rPr>
              <w:t>.</w:t>
            </w:r>
          </w:p>
          <w:p w14:paraId="1503431A" w14:textId="77777777" w:rsidR="00CF3963" w:rsidRPr="001350E0" w:rsidRDefault="00CF3963" w:rsidP="0084461B">
            <w:pPr>
              <w:rPr>
                <w:rFonts w:cs="Arial"/>
                <w:szCs w:val="24"/>
              </w:rPr>
            </w:pPr>
          </w:p>
        </w:tc>
      </w:tr>
      <w:tr w:rsidR="00CF3963" w:rsidRPr="00C0210F" w14:paraId="35239850" w14:textId="77777777">
        <w:tc>
          <w:tcPr>
            <w:tcW w:w="5000" w:type="pct"/>
            <w:gridSpan w:val="3"/>
            <w:shd w:val="clear" w:color="auto" w:fill="D9D9D9" w:themeFill="background1" w:themeFillShade="D9"/>
          </w:tcPr>
          <w:p w14:paraId="4CD226B4" w14:textId="77777777" w:rsidR="00CF3963" w:rsidRPr="00292053" w:rsidRDefault="00CF3963" w:rsidP="005931C4">
            <w:pPr>
              <w:rPr>
                <w:rFonts w:eastAsiaTheme="minorEastAsia" w:cs="Arial"/>
                <w:b/>
                <w:szCs w:val="24"/>
              </w:rPr>
            </w:pPr>
            <w:r>
              <w:rPr>
                <w:rFonts w:eastAsiaTheme="minorEastAsia" w:cs="Arial"/>
                <w:b/>
                <w:szCs w:val="24"/>
              </w:rPr>
              <w:t xml:space="preserve">C4. </w:t>
            </w:r>
            <w:r w:rsidRPr="00292053">
              <w:rPr>
                <w:rFonts w:eastAsiaTheme="minorEastAsia" w:cs="Arial"/>
                <w:b/>
                <w:szCs w:val="24"/>
              </w:rPr>
              <w:t>Payment Triggers and Partial Achievement Rules</w:t>
            </w:r>
          </w:p>
        </w:tc>
      </w:tr>
      <w:tr w:rsidR="00CF3963" w:rsidRPr="000412A1" w14:paraId="62D48027" w14:textId="77777777">
        <w:tc>
          <w:tcPr>
            <w:tcW w:w="5000" w:type="pct"/>
            <w:gridSpan w:val="3"/>
            <w:shd w:val="clear" w:color="auto" w:fill="auto"/>
          </w:tcPr>
          <w:p w14:paraId="3197157F" w14:textId="77777777" w:rsidR="00CF3963" w:rsidRPr="005931C4" w:rsidRDefault="00CF3963" w:rsidP="0084461B">
            <w:pPr>
              <w:rPr>
                <w:rFonts w:eastAsiaTheme="minorEastAsia" w:cs="Arial"/>
                <w:b/>
                <w:szCs w:val="24"/>
                <w:u w:val="single"/>
              </w:rPr>
            </w:pPr>
            <w:r w:rsidRPr="005931C4">
              <w:rPr>
                <w:rFonts w:eastAsiaTheme="minorEastAsia" w:cs="Arial"/>
                <w:b/>
                <w:szCs w:val="24"/>
                <w:u w:val="single"/>
              </w:rPr>
              <w:t>Payment Triggers</w:t>
            </w:r>
          </w:p>
          <w:p w14:paraId="0C207A36" w14:textId="77777777" w:rsidR="00CF3963" w:rsidRPr="001F6AA3" w:rsidRDefault="00CF3963" w:rsidP="0084461B">
            <w:pPr>
              <w:rPr>
                <w:rFonts w:eastAsiaTheme="minorEastAsia" w:cs="Arial"/>
                <w:b/>
                <w:szCs w:val="24"/>
              </w:rPr>
            </w:pPr>
            <w:r w:rsidRPr="001F6AA3">
              <w:rPr>
                <w:rFonts w:eastAsiaTheme="minorEastAsia" w:cs="Arial"/>
                <w:b/>
                <w:szCs w:val="24"/>
              </w:rPr>
              <w:t xml:space="preserve">The interventions or achievements required for payment under this CQUIN </w:t>
            </w:r>
            <w:r w:rsidR="001F421F" w:rsidRPr="001F6AA3">
              <w:rPr>
                <w:rFonts w:eastAsiaTheme="minorEastAsia" w:cs="Arial"/>
                <w:b/>
                <w:szCs w:val="24"/>
              </w:rPr>
              <w:t>indicator</w:t>
            </w:r>
            <w:r w:rsidRPr="001F6AA3">
              <w:rPr>
                <w:rFonts w:eastAsiaTheme="minorEastAsia" w:cs="Arial"/>
                <w:b/>
                <w:szCs w:val="24"/>
              </w:rPr>
              <w:t xml:space="preserve"> are as follows:</w:t>
            </w:r>
          </w:p>
          <w:p w14:paraId="54FD319F" w14:textId="77777777" w:rsidR="00CF3963" w:rsidRDefault="00CF3963" w:rsidP="0084461B">
            <w:pPr>
              <w:rPr>
                <w:rFonts w:eastAsiaTheme="minorEastAsia" w:cs="Arial"/>
                <w:i/>
                <w:color w:val="FF0000"/>
                <w:szCs w:val="24"/>
              </w:rPr>
            </w:pPr>
            <w:r w:rsidRPr="003A0C63">
              <w:rPr>
                <w:rFonts w:eastAsiaTheme="minorEastAsia" w:cs="Arial"/>
                <w:i/>
                <w:color w:val="FF0000"/>
                <w:szCs w:val="24"/>
              </w:rPr>
              <w:t xml:space="preserve">[Set out the </w:t>
            </w:r>
            <w:r w:rsidR="00E17A0D" w:rsidRPr="003A0C63">
              <w:rPr>
                <w:rFonts w:eastAsiaTheme="minorEastAsia" w:cs="Arial"/>
                <w:i/>
                <w:color w:val="FF0000"/>
                <w:szCs w:val="24"/>
              </w:rPr>
              <w:t xml:space="preserve">processes, </w:t>
            </w:r>
            <w:r w:rsidRPr="003A0C63">
              <w:rPr>
                <w:rFonts w:eastAsiaTheme="minorEastAsia" w:cs="Arial"/>
                <w:i/>
                <w:color w:val="FF0000"/>
                <w:szCs w:val="24"/>
              </w:rPr>
              <w:t xml:space="preserve">behavioural changes and outcomes against which some portion of the payment should be made, in terms of inputs or processes, information flows, and/or patient outcomes.] </w:t>
            </w:r>
          </w:p>
          <w:p w14:paraId="10658FF5" w14:textId="77777777" w:rsidR="00661B6B" w:rsidRDefault="00661B6B" w:rsidP="0084461B">
            <w:pPr>
              <w:rPr>
                <w:rFonts w:eastAsiaTheme="minorEastAsia" w:cs="Arial"/>
                <w:i/>
                <w:color w:val="FF0000"/>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230"/>
            </w:tblGrid>
            <w:tr w:rsidR="00EC7E62" w:rsidRPr="00C0263E" w14:paraId="60D43A65" w14:textId="77777777">
              <w:tc>
                <w:tcPr>
                  <w:tcW w:w="2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5072C3" w14:textId="77777777" w:rsidR="00EC7E62" w:rsidRPr="00C0263E" w:rsidRDefault="00EC7E62" w:rsidP="0084461B">
                  <w:pPr>
                    <w:spacing w:before="40" w:after="40"/>
                    <w:rPr>
                      <w:rFonts w:cs="Arial"/>
                      <w:b/>
                      <w:szCs w:val="24"/>
                    </w:rPr>
                  </w:pPr>
                  <w:r>
                    <w:rPr>
                      <w:rFonts w:cs="Arial"/>
                      <w:b/>
                      <w:szCs w:val="24"/>
                    </w:rPr>
                    <w:t>Descriptions</w:t>
                  </w:r>
                </w:p>
              </w:tc>
              <w:tc>
                <w:tcPr>
                  <w:tcW w:w="72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4F64A0" w14:textId="77777777" w:rsidR="00EC7E62" w:rsidRPr="00EC3C9D" w:rsidRDefault="00EC7E62" w:rsidP="0084461B">
                  <w:pPr>
                    <w:spacing w:before="40" w:after="40"/>
                    <w:rPr>
                      <w:rFonts w:cs="Arial"/>
                      <w:b/>
                      <w:szCs w:val="24"/>
                    </w:rPr>
                  </w:pPr>
                  <w:r>
                    <w:rPr>
                      <w:rFonts w:cs="Arial"/>
                      <w:b/>
                      <w:szCs w:val="24"/>
                    </w:rPr>
                    <w:t>First Year of indicator</w:t>
                  </w:r>
                </w:p>
              </w:tc>
            </w:tr>
            <w:tr w:rsidR="00EC7E62" w:rsidRPr="00C0263E" w14:paraId="334FA2BF" w14:textId="77777777">
              <w:tc>
                <w:tcPr>
                  <w:tcW w:w="2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D12097" w14:textId="21184B34" w:rsidR="00EC7E62" w:rsidRDefault="00EC7E62" w:rsidP="0084461B">
                  <w:pPr>
                    <w:spacing w:before="40" w:after="40"/>
                    <w:rPr>
                      <w:rFonts w:cs="Arial"/>
                      <w:b/>
                      <w:szCs w:val="24"/>
                    </w:rPr>
                  </w:pPr>
                  <w:r>
                    <w:rPr>
                      <w:rFonts w:cs="Arial"/>
                      <w:b/>
                      <w:szCs w:val="24"/>
                    </w:rPr>
                    <w:t>Trigger 1</w:t>
                  </w:r>
                  <w:r w:rsidR="00D8470D">
                    <w:rPr>
                      <w:rFonts w:cs="Arial"/>
                      <w:b/>
                      <w:szCs w:val="24"/>
                    </w:rPr>
                    <w:t>-</w:t>
                  </w:r>
                  <w:r>
                    <w:rPr>
                      <w:rFonts w:cs="Arial"/>
                      <w:b/>
                      <w:szCs w:val="24"/>
                    </w:rPr>
                    <w:t>:</w:t>
                  </w:r>
                </w:p>
                <w:p w14:paraId="19DC09EA" w14:textId="02158A39" w:rsidR="00EC7E62" w:rsidRPr="00C0263E" w:rsidRDefault="00CD2A04" w:rsidP="0084461B">
                  <w:pPr>
                    <w:spacing w:before="40" w:after="40"/>
                    <w:rPr>
                      <w:rFonts w:cs="Arial"/>
                      <w:b/>
                      <w:szCs w:val="24"/>
                    </w:rPr>
                  </w:pPr>
                  <w:r>
                    <w:rPr>
                      <w:rFonts w:cs="Arial"/>
                      <w:b/>
                      <w:szCs w:val="24"/>
                    </w:rPr>
                    <w:t xml:space="preserve">Minimum </w:t>
                  </w:r>
                  <w:r w:rsidR="00EC7E62">
                    <w:rPr>
                      <w:rFonts w:cs="Arial"/>
                      <w:b/>
                      <w:szCs w:val="24"/>
                    </w:rPr>
                    <w:t>Activity</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9750D4E" w14:textId="77777777" w:rsidR="00661B6B" w:rsidRPr="00BE0F18" w:rsidRDefault="00661B6B" w:rsidP="003A6D3B">
                  <w:pPr>
                    <w:pStyle w:val="ListParagraph"/>
                    <w:numPr>
                      <w:ilvl w:val="0"/>
                      <w:numId w:val="15"/>
                    </w:numPr>
                  </w:pPr>
                  <w:r w:rsidRPr="00BE0F18">
                    <w:t>Patient cohort: patients with a treatment start date between 1</w:t>
                  </w:r>
                  <w:r w:rsidRPr="00BE0F18">
                    <w:rPr>
                      <w:vertAlign w:val="superscript"/>
                    </w:rPr>
                    <w:t>st</w:t>
                  </w:r>
                  <w:r w:rsidRPr="00BE0F18">
                    <w:t xml:space="preserve"> April to 31</w:t>
                  </w:r>
                  <w:r w:rsidRPr="00BE0F18">
                    <w:rPr>
                      <w:vertAlign w:val="superscript"/>
                    </w:rPr>
                    <w:t>st</w:t>
                  </w:r>
                  <w:r w:rsidRPr="00BE0F18">
                    <w:t xml:space="preserve"> March of the CQUIN year</w:t>
                  </w:r>
                </w:p>
                <w:p w14:paraId="0A8C4520" w14:textId="3C09D99D" w:rsidR="00661B6B" w:rsidRPr="0021228A" w:rsidRDefault="00661B6B" w:rsidP="003A6D3B">
                  <w:pPr>
                    <w:pStyle w:val="ListParagraph"/>
                    <w:numPr>
                      <w:ilvl w:val="0"/>
                      <w:numId w:val="15"/>
                    </w:numPr>
                    <w:rPr>
                      <w:rFonts w:cs="Arial"/>
                      <w:szCs w:val="24"/>
                    </w:rPr>
                  </w:pPr>
                  <w:r w:rsidRPr="0021228A">
                    <w:t>Value: e</w:t>
                  </w:r>
                  <w:r w:rsidRPr="0021228A">
                    <w:rPr>
                      <w:rFonts w:cs="Arial"/>
                      <w:szCs w:val="24"/>
                    </w:rPr>
                    <w:t xml:space="preserve">ach quarter is worth </w:t>
                  </w:r>
                  <w:r w:rsidR="003A7C21" w:rsidRPr="0021228A">
                    <w:rPr>
                      <w:rFonts w:cs="Arial"/>
                      <w:szCs w:val="24"/>
                    </w:rPr>
                    <w:t>1</w:t>
                  </w:r>
                  <w:r w:rsidR="00D8470D">
                    <w:rPr>
                      <w:rFonts w:cs="Arial"/>
                      <w:szCs w:val="24"/>
                    </w:rPr>
                    <w:t>7.</w:t>
                  </w:r>
                  <w:r w:rsidR="003A7C21" w:rsidRPr="0021228A">
                    <w:rPr>
                      <w:rFonts w:cs="Arial"/>
                      <w:szCs w:val="24"/>
                    </w:rPr>
                    <w:t>5</w:t>
                  </w:r>
                  <w:r w:rsidRPr="0021228A">
                    <w:rPr>
                      <w:rFonts w:cs="Arial"/>
                      <w:szCs w:val="24"/>
                    </w:rPr>
                    <w:t xml:space="preserve">% of the available </w:t>
                  </w:r>
                  <w:r w:rsidR="00D8470D">
                    <w:rPr>
                      <w:rFonts w:cs="Arial"/>
                      <w:szCs w:val="24"/>
                    </w:rPr>
                    <w:t>7</w:t>
                  </w:r>
                  <w:r w:rsidRPr="0021228A">
                    <w:rPr>
                      <w:rFonts w:cs="Arial"/>
                      <w:szCs w:val="24"/>
                    </w:rPr>
                    <w:t xml:space="preserve">0%. </w:t>
                  </w:r>
                </w:p>
                <w:p w14:paraId="5E47455D" w14:textId="2F1C9276" w:rsidR="00661B6B" w:rsidRPr="005D7195" w:rsidRDefault="008666C0" w:rsidP="005D7195">
                  <w:pPr>
                    <w:pStyle w:val="ListParagraph"/>
                    <w:numPr>
                      <w:ilvl w:val="0"/>
                      <w:numId w:val="14"/>
                    </w:numPr>
                    <w:rPr>
                      <w:rFonts w:cs="Arial"/>
                      <w:szCs w:val="24"/>
                    </w:rPr>
                  </w:pPr>
                  <w:r>
                    <w:t xml:space="preserve">Assessment </w:t>
                  </w:r>
                  <w:r w:rsidR="00661B6B" w:rsidRPr="00BE0F18">
                    <w:t xml:space="preserve">frequency: </w:t>
                  </w:r>
                  <w:r w:rsidR="00661B6B" w:rsidRPr="005D7195">
                    <w:rPr>
                      <w:rFonts w:cs="Arial"/>
                      <w:szCs w:val="24"/>
                    </w:rPr>
                    <w:t xml:space="preserve">twice per year, after the end of Q2 and Q4.  </w:t>
                  </w:r>
                  <w:r w:rsidR="00661B6B" w:rsidRPr="00BE0F18">
                    <w:t>Data Source:</w:t>
                  </w:r>
                  <w:r w:rsidR="00331EA7" w:rsidRPr="005D7195">
                    <w:rPr>
                      <w:rFonts w:cs="Arial"/>
                      <w:color w:val="000000"/>
                      <w:szCs w:val="24"/>
                    </w:rPr>
                    <w:t xml:space="preserve"> </w:t>
                  </w:r>
                  <w:proofErr w:type="spellStart"/>
                  <w:r w:rsidR="00331EA7" w:rsidRPr="005D7195">
                    <w:rPr>
                      <w:rFonts w:cs="Arial"/>
                      <w:color w:val="000000"/>
                      <w:szCs w:val="24"/>
                    </w:rPr>
                    <w:t>Blueteq</w:t>
                  </w:r>
                  <w:proofErr w:type="spellEnd"/>
                  <w:r w:rsidR="00661B6B" w:rsidRPr="005D7195">
                    <w:rPr>
                      <w:rFonts w:cs="Arial"/>
                      <w:szCs w:val="24"/>
                    </w:rPr>
                    <w:t xml:space="preserve"> </w:t>
                  </w:r>
                </w:p>
                <w:p w14:paraId="6F3CD8C0" w14:textId="25E3A5EF" w:rsidR="00661B6B" w:rsidRPr="00BE0F18" w:rsidRDefault="00661B6B" w:rsidP="003A6D3B">
                  <w:pPr>
                    <w:pStyle w:val="ListParagraph"/>
                    <w:numPr>
                      <w:ilvl w:val="0"/>
                      <w:numId w:val="13"/>
                    </w:numPr>
                    <w:rPr>
                      <w:rFonts w:cs="Arial"/>
                      <w:szCs w:val="24"/>
                    </w:rPr>
                  </w:pPr>
                  <w:r w:rsidRPr="00BE0F18">
                    <w:t xml:space="preserve">Assessing compliancy: </w:t>
                  </w:r>
                  <w:r w:rsidRPr="00BE0F18">
                    <w:rPr>
                      <w:rFonts w:cs="Arial"/>
                      <w:szCs w:val="24"/>
                    </w:rPr>
                    <w:t xml:space="preserve">NHS England’s national Finance Team will assess compliance based on </w:t>
                  </w:r>
                  <w:proofErr w:type="spellStart"/>
                  <w:r w:rsidR="00331EA7" w:rsidRPr="00BE0F18">
                    <w:rPr>
                      <w:rFonts w:cs="Arial"/>
                      <w:color w:val="000000"/>
                      <w:szCs w:val="24"/>
                    </w:rPr>
                    <w:t>Blueteq</w:t>
                  </w:r>
                  <w:proofErr w:type="spellEnd"/>
                  <w:r w:rsidR="00331EA7" w:rsidRPr="00BE0F18">
                    <w:rPr>
                      <w:rFonts w:cs="Arial"/>
                      <w:szCs w:val="24"/>
                    </w:rPr>
                    <w:t xml:space="preserve"> </w:t>
                  </w:r>
                  <w:r w:rsidRPr="00BE0F18">
                    <w:rPr>
                      <w:rFonts w:cs="Arial"/>
                      <w:szCs w:val="24"/>
                    </w:rPr>
                    <w:t>activity data</w:t>
                  </w:r>
                </w:p>
                <w:p w14:paraId="0C542109" w14:textId="092B6E4F" w:rsidR="00661B6B" w:rsidRPr="00BE0F18" w:rsidRDefault="00661B6B" w:rsidP="003A6D3B">
                  <w:pPr>
                    <w:pStyle w:val="ListParagraph"/>
                    <w:numPr>
                      <w:ilvl w:val="0"/>
                      <w:numId w:val="12"/>
                    </w:numPr>
                    <w:rPr>
                      <w:rFonts w:cs="Arial"/>
                      <w:szCs w:val="24"/>
                    </w:rPr>
                  </w:pPr>
                  <w:r w:rsidRPr="00BE0F18">
                    <w:rPr>
                      <w:rFonts w:cs="Arial"/>
                      <w:szCs w:val="24"/>
                    </w:rPr>
                    <w:t xml:space="preserve">Notes: If an ODN does not meet </w:t>
                  </w:r>
                  <w:r w:rsidR="0021228A">
                    <w:rPr>
                      <w:rFonts w:cs="Arial"/>
                      <w:szCs w:val="24"/>
                    </w:rPr>
                    <w:t xml:space="preserve">the </w:t>
                  </w:r>
                  <w:r w:rsidRPr="00BE0F18">
                    <w:rPr>
                      <w:rFonts w:cs="Arial"/>
                      <w:szCs w:val="24"/>
                    </w:rPr>
                    <w:t xml:space="preserve">quarterly activity targets, however meets or exceeds the annual </w:t>
                  </w:r>
                  <w:r w:rsidR="0064276E">
                    <w:rPr>
                      <w:rFonts w:cs="Arial"/>
                      <w:szCs w:val="24"/>
                    </w:rPr>
                    <w:t xml:space="preserve">minimum </w:t>
                  </w:r>
                  <w:r w:rsidRPr="00BE0F18">
                    <w:rPr>
                      <w:rFonts w:cs="Arial"/>
                      <w:szCs w:val="24"/>
                    </w:rPr>
                    <w:t xml:space="preserve">target by year </w:t>
                  </w:r>
                  <w:r w:rsidRPr="00BE0F18">
                    <w:rPr>
                      <w:rFonts w:cs="Arial"/>
                      <w:szCs w:val="24"/>
                    </w:rPr>
                    <w:lastRenderedPageBreak/>
                    <w:t xml:space="preserve">end, a retrospective payment will be made for the full value of this Trigger i.e. the ODN can fully achieve this CQUIN if the activity is met by year end.  </w:t>
                  </w:r>
                </w:p>
                <w:p w14:paraId="6C998B86" w14:textId="762B7AE0" w:rsidR="00EC7E62" w:rsidRDefault="00BE0F18" w:rsidP="003A6D3B">
                  <w:pPr>
                    <w:pStyle w:val="ListParagraph"/>
                    <w:numPr>
                      <w:ilvl w:val="0"/>
                      <w:numId w:val="7"/>
                    </w:numPr>
                    <w:rPr>
                      <w:rFonts w:cs="Arial"/>
                      <w:szCs w:val="24"/>
                    </w:rPr>
                  </w:pPr>
                  <w:r>
                    <w:rPr>
                      <w:rFonts w:cs="Arial"/>
                      <w:szCs w:val="24"/>
                    </w:rPr>
                    <w:t xml:space="preserve">ODNs must achieve </w:t>
                  </w:r>
                  <w:r w:rsidR="00685619">
                    <w:rPr>
                      <w:rFonts w:cs="Arial"/>
                      <w:szCs w:val="24"/>
                    </w:rPr>
                    <w:t>2</w:t>
                  </w:r>
                  <w:r>
                    <w:rPr>
                      <w:rFonts w:cs="Arial"/>
                      <w:szCs w:val="24"/>
                    </w:rPr>
                    <w:t xml:space="preserve">0% </w:t>
                  </w:r>
                  <w:r w:rsidR="004E7FAE">
                    <w:rPr>
                      <w:rFonts w:cs="Arial"/>
                      <w:szCs w:val="24"/>
                    </w:rPr>
                    <w:t xml:space="preserve">or more </w:t>
                  </w:r>
                  <w:r>
                    <w:rPr>
                      <w:rFonts w:cs="Arial"/>
                      <w:szCs w:val="24"/>
                    </w:rPr>
                    <w:t xml:space="preserve">of the Trigger 1 </w:t>
                  </w:r>
                  <w:r w:rsidR="004E7FAE">
                    <w:rPr>
                      <w:rFonts w:cs="Arial"/>
                      <w:szCs w:val="24"/>
                    </w:rPr>
                    <w:t xml:space="preserve">minimum </w:t>
                  </w:r>
                  <w:r>
                    <w:rPr>
                      <w:rFonts w:cs="Arial"/>
                      <w:szCs w:val="24"/>
                    </w:rPr>
                    <w:t>activity target</w:t>
                  </w:r>
                  <w:r w:rsidR="004E77D5">
                    <w:rPr>
                      <w:rFonts w:cs="Arial"/>
                      <w:szCs w:val="24"/>
                    </w:rPr>
                    <w:t xml:space="preserve"> at </w:t>
                  </w:r>
                  <w:r w:rsidR="004E77D5" w:rsidRPr="0021228A">
                    <w:rPr>
                      <w:rFonts w:cs="Arial"/>
                      <w:b/>
                      <w:szCs w:val="24"/>
                    </w:rPr>
                    <w:t>year end</w:t>
                  </w:r>
                  <w:r w:rsidR="00685619">
                    <w:rPr>
                      <w:rFonts w:cs="Arial"/>
                      <w:szCs w:val="24"/>
                    </w:rPr>
                    <w:t>, below this threshold there is no payment</w:t>
                  </w:r>
                  <w:r w:rsidR="004E77D5">
                    <w:rPr>
                      <w:rFonts w:cs="Arial"/>
                      <w:szCs w:val="24"/>
                    </w:rPr>
                    <w:t xml:space="preserve"> and any quarterly monies paid will be ‘clawed back’</w:t>
                  </w:r>
                </w:p>
                <w:p w14:paraId="598A8CFD" w14:textId="77777777" w:rsidR="004E77D5" w:rsidRPr="00C0263E" w:rsidRDefault="004E77D5" w:rsidP="008B5D93">
                  <w:pPr>
                    <w:pStyle w:val="ListParagraph"/>
                    <w:ind w:left="360"/>
                    <w:rPr>
                      <w:rFonts w:cs="Arial"/>
                      <w:szCs w:val="24"/>
                    </w:rPr>
                  </w:pPr>
                </w:p>
              </w:tc>
            </w:tr>
            <w:tr w:rsidR="00EC7E62" w:rsidRPr="00C0263E" w14:paraId="74464A2E" w14:textId="77777777">
              <w:trPr>
                <w:trHeight w:val="619"/>
              </w:trPr>
              <w:tc>
                <w:tcPr>
                  <w:tcW w:w="2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FFFA9" w14:textId="77777777" w:rsidR="00EC7E62" w:rsidRDefault="00EC7E62" w:rsidP="0084461B">
                  <w:pPr>
                    <w:spacing w:before="40" w:after="40"/>
                    <w:rPr>
                      <w:rFonts w:cs="Arial"/>
                      <w:b/>
                      <w:szCs w:val="24"/>
                    </w:rPr>
                  </w:pPr>
                  <w:r>
                    <w:rPr>
                      <w:rFonts w:cs="Arial"/>
                      <w:b/>
                      <w:szCs w:val="24"/>
                    </w:rPr>
                    <w:lastRenderedPageBreak/>
                    <w:t xml:space="preserve">Trigger 2: </w:t>
                  </w:r>
                </w:p>
                <w:p w14:paraId="59AFE211" w14:textId="77777777" w:rsidR="00B979FD" w:rsidRPr="00C0263E" w:rsidRDefault="00B979FD" w:rsidP="0084461B">
                  <w:pPr>
                    <w:spacing w:before="40" w:after="40"/>
                    <w:rPr>
                      <w:rFonts w:cs="Arial"/>
                      <w:b/>
                      <w:szCs w:val="24"/>
                    </w:rPr>
                  </w:pPr>
                  <w:r w:rsidRPr="003A7C21">
                    <w:rPr>
                      <w:rFonts w:cs="Arial"/>
                      <w:color w:val="000000"/>
                      <w:szCs w:val="24"/>
                    </w:rPr>
                    <w:t>ODN average expected treatment cost per patient</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4B8080C4" w14:textId="77777777" w:rsidR="00661B6B" w:rsidRPr="003A7C21" w:rsidRDefault="00661B6B" w:rsidP="003A6D3B">
                  <w:pPr>
                    <w:pStyle w:val="ListParagraph"/>
                    <w:numPr>
                      <w:ilvl w:val="0"/>
                      <w:numId w:val="15"/>
                    </w:numPr>
                  </w:pPr>
                  <w:r w:rsidRPr="003A7C21">
                    <w:t>Patient cohort: patients with a treatment start date between 1</w:t>
                  </w:r>
                  <w:r w:rsidRPr="003A7C21">
                    <w:rPr>
                      <w:vertAlign w:val="superscript"/>
                    </w:rPr>
                    <w:t>st</w:t>
                  </w:r>
                  <w:r w:rsidRPr="003A7C21">
                    <w:t xml:space="preserve"> April to 31</w:t>
                  </w:r>
                  <w:r w:rsidRPr="003A7C21">
                    <w:rPr>
                      <w:vertAlign w:val="superscript"/>
                    </w:rPr>
                    <w:t>st</w:t>
                  </w:r>
                  <w:r w:rsidRPr="003A7C21">
                    <w:t xml:space="preserve"> March of the CQUIN year</w:t>
                  </w:r>
                </w:p>
                <w:p w14:paraId="1BD8A9D6" w14:textId="025181FC" w:rsidR="00661B6B" w:rsidRPr="003A7C21" w:rsidRDefault="00661B6B" w:rsidP="003A6D3B">
                  <w:pPr>
                    <w:pStyle w:val="ListParagraph"/>
                    <w:numPr>
                      <w:ilvl w:val="0"/>
                      <w:numId w:val="15"/>
                    </w:numPr>
                    <w:rPr>
                      <w:rFonts w:cs="Arial"/>
                      <w:szCs w:val="24"/>
                    </w:rPr>
                  </w:pPr>
                  <w:r w:rsidRPr="003A7C21">
                    <w:t>Value: e</w:t>
                  </w:r>
                  <w:r w:rsidRPr="003A7C21">
                    <w:rPr>
                      <w:rFonts w:cs="Arial"/>
                      <w:szCs w:val="24"/>
                    </w:rPr>
                    <w:t xml:space="preserve">ach quarter is worth </w:t>
                  </w:r>
                  <w:r w:rsidR="003A7C21" w:rsidRPr="003A7C21">
                    <w:rPr>
                      <w:rFonts w:cs="Arial"/>
                      <w:szCs w:val="24"/>
                    </w:rPr>
                    <w:t>2.</w:t>
                  </w:r>
                  <w:r w:rsidRPr="003A7C21">
                    <w:rPr>
                      <w:rFonts w:cs="Arial"/>
                      <w:szCs w:val="24"/>
                    </w:rPr>
                    <w:t xml:space="preserve">5% of the available </w:t>
                  </w:r>
                  <w:r w:rsidR="003A7C21" w:rsidRPr="003A7C21">
                    <w:rPr>
                      <w:rFonts w:cs="Arial"/>
                      <w:szCs w:val="24"/>
                    </w:rPr>
                    <w:t>1</w:t>
                  </w:r>
                  <w:r w:rsidRPr="003A7C21">
                    <w:rPr>
                      <w:rFonts w:cs="Arial"/>
                      <w:szCs w:val="24"/>
                    </w:rPr>
                    <w:t xml:space="preserve">0%. </w:t>
                  </w:r>
                </w:p>
                <w:p w14:paraId="61F826EB" w14:textId="77777777" w:rsidR="00661B6B" w:rsidRPr="003A7C21" w:rsidRDefault="00872652" w:rsidP="003A6D3B">
                  <w:pPr>
                    <w:pStyle w:val="ListParagraph"/>
                    <w:numPr>
                      <w:ilvl w:val="0"/>
                      <w:numId w:val="16"/>
                    </w:numPr>
                  </w:pPr>
                  <w:r>
                    <w:t xml:space="preserve">Assessment </w:t>
                  </w:r>
                  <w:r w:rsidR="00661B6B" w:rsidRPr="003A7C21">
                    <w:t xml:space="preserve">frequency: </w:t>
                  </w:r>
                  <w:r w:rsidR="00661B6B" w:rsidRPr="003A7C21">
                    <w:rPr>
                      <w:rFonts w:cs="Arial"/>
                      <w:szCs w:val="24"/>
                    </w:rPr>
                    <w:t>twice per year, after the end of Q2 and Q4.</w:t>
                  </w:r>
                </w:p>
                <w:p w14:paraId="07F9FDB6" w14:textId="77777777" w:rsidR="00661B6B" w:rsidRPr="003A7C21" w:rsidRDefault="00661B6B" w:rsidP="003A6D3B">
                  <w:pPr>
                    <w:pStyle w:val="ListParagraph"/>
                    <w:numPr>
                      <w:ilvl w:val="0"/>
                      <w:numId w:val="16"/>
                    </w:numPr>
                  </w:pPr>
                  <w:r w:rsidRPr="003A7C21">
                    <w:t xml:space="preserve">Data Source: </w:t>
                  </w:r>
                  <w:proofErr w:type="spellStart"/>
                  <w:r w:rsidRPr="003A7C21">
                    <w:rPr>
                      <w:rFonts w:cs="Arial"/>
                      <w:color w:val="000000"/>
                      <w:szCs w:val="24"/>
                    </w:rPr>
                    <w:t>Blueteq</w:t>
                  </w:r>
                  <w:proofErr w:type="spellEnd"/>
                </w:p>
                <w:p w14:paraId="1C86D7A8" w14:textId="77777777" w:rsidR="00EC7E62" w:rsidRPr="003A7C21" w:rsidRDefault="00661B6B" w:rsidP="003A6D3B">
                  <w:pPr>
                    <w:pStyle w:val="ListParagraph"/>
                    <w:numPr>
                      <w:ilvl w:val="0"/>
                      <w:numId w:val="16"/>
                    </w:numPr>
                    <w:rPr>
                      <w:rFonts w:cs="Arial"/>
                      <w:szCs w:val="24"/>
                    </w:rPr>
                  </w:pPr>
                  <w:r w:rsidRPr="003A7C21">
                    <w:t xml:space="preserve">Assessing compliance: </w:t>
                  </w:r>
                  <w:r w:rsidRPr="003A7C21">
                    <w:rPr>
                      <w:rFonts w:cs="Arial"/>
                      <w:szCs w:val="24"/>
                    </w:rPr>
                    <w:t>NHS England’s national Finance Team will assess compliance based on</w:t>
                  </w:r>
                  <w:r w:rsidR="00B979FD" w:rsidRPr="003A7C21">
                    <w:rPr>
                      <w:rFonts w:cs="Arial"/>
                      <w:szCs w:val="24"/>
                    </w:rPr>
                    <w:t xml:space="preserve"> </w:t>
                  </w:r>
                  <w:proofErr w:type="spellStart"/>
                  <w:r w:rsidR="00B979FD" w:rsidRPr="003A7C21">
                    <w:rPr>
                      <w:rFonts w:cs="Arial"/>
                      <w:szCs w:val="24"/>
                    </w:rPr>
                    <w:t>Blueteq</w:t>
                  </w:r>
                  <w:proofErr w:type="spellEnd"/>
                  <w:r w:rsidR="00B979FD" w:rsidRPr="003A7C21">
                    <w:rPr>
                      <w:rFonts w:cs="Arial"/>
                      <w:szCs w:val="24"/>
                    </w:rPr>
                    <w:t xml:space="preserve"> </w:t>
                  </w:r>
                  <w:r w:rsidRPr="003A7C21">
                    <w:rPr>
                      <w:rFonts w:cs="Arial"/>
                      <w:szCs w:val="24"/>
                    </w:rPr>
                    <w:t xml:space="preserve">activity data </w:t>
                  </w:r>
                </w:p>
                <w:p w14:paraId="7C0C05C5" w14:textId="77777777" w:rsidR="00B979FD" w:rsidRPr="00C0263E" w:rsidRDefault="00B979FD" w:rsidP="00B979FD">
                  <w:pPr>
                    <w:pStyle w:val="ListParagraph"/>
                    <w:ind w:left="360"/>
                    <w:rPr>
                      <w:rFonts w:cs="Arial"/>
                      <w:szCs w:val="24"/>
                    </w:rPr>
                  </w:pPr>
                </w:p>
              </w:tc>
            </w:tr>
            <w:tr w:rsidR="008B5D93" w:rsidRPr="00C0263E" w14:paraId="7AB320DE" w14:textId="77777777">
              <w:trPr>
                <w:trHeight w:val="619"/>
              </w:trPr>
              <w:tc>
                <w:tcPr>
                  <w:tcW w:w="2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641FC" w14:textId="605A60B9" w:rsidR="008B5D93" w:rsidRDefault="008B5D93" w:rsidP="008B5D93">
                  <w:pPr>
                    <w:spacing w:before="40" w:after="40"/>
                    <w:rPr>
                      <w:rFonts w:cs="Arial"/>
                      <w:szCs w:val="24"/>
                    </w:rPr>
                  </w:pPr>
                  <w:r>
                    <w:rPr>
                      <w:rFonts w:cs="Arial"/>
                      <w:b/>
                      <w:szCs w:val="24"/>
                    </w:rPr>
                    <w:t xml:space="preserve">Trigger </w:t>
                  </w:r>
                  <w:r w:rsidR="00055057">
                    <w:rPr>
                      <w:rFonts w:cs="Arial"/>
                      <w:b/>
                      <w:szCs w:val="24"/>
                    </w:rPr>
                    <w:t>3</w:t>
                  </w:r>
                  <w:r>
                    <w:rPr>
                      <w:rFonts w:cs="Arial"/>
                      <w:b/>
                      <w:szCs w:val="24"/>
                    </w:rPr>
                    <w:t>:</w:t>
                  </w:r>
                  <w:r>
                    <w:rPr>
                      <w:rFonts w:cs="Arial"/>
                      <w:szCs w:val="24"/>
                    </w:rPr>
                    <w:t xml:space="preserve"> </w:t>
                  </w:r>
                </w:p>
                <w:p w14:paraId="1C41A154" w14:textId="4D3E5F7A" w:rsidR="008B5D93" w:rsidRDefault="008B5D93" w:rsidP="008B5D93">
                  <w:pPr>
                    <w:spacing w:before="40" w:after="40"/>
                    <w:rPr>
                      <w:rFonts w:cs="Arial"/>
                      <w:b/>
                      <w:szCs w:val="24"/>
                    </w:rPr>
                  </w:pPr>
                  <w:r w:rsidRPr="000A237A">
                    <w:rPr>
                      <w:rFonts w:cs="Arial"/>
                      <w:color w:val="000000"/>
                      <w:szCs w:val="24"/>
                    </w:rPr>
                    <w:t>Completeness and Data Quality</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903FF0D" w14:textId="77777777" w:rsidR="008B5D93" w:rsidRPr="00630923" w:rsidRDefault="008B5D93" w:rsidP="003A6D3B">
                  <w:pPr>
                    <w:pStyle w:val="ListParagraph"/>
                    <w:numPr>
                      <w:ilvl w:val="0"/>
                      <w:numId w:val="7"/>
                    </w:numPr>
                    <w:rPr>
                      <w:rFonts w:cs="Arial"/>
                      <w:szCs w:val="24"/>
                    </w:rPr>
                  </w:pPr>
                  <w:r>
                    <w:rPr>
                      <w:rFonts w:cs="Arial"/>
                      <w:color w:val="000000"/>
                      <w:szCs w:val="24"/>
                    </w:rPr>
                    <w:t xml:space="preserve">Patient cohort: </w:t>
                  </w:r>
                  <w:r w:rsidRPr="008C3ECB">
                    <w:rPr>
                      <w:rFonts w:cs="Arial"/>
                      <w:color w:val="000000"/>
                      <w:szCs w:val="24"/>
                    </w:rPr>
                    <w:t xml:space="preserve">patients who </w:t>
                  </w:r>
                  <w:r>
                    <w:rPr>
                      <w:rFonts w:cs="Arial"/>
                      <w:color w:val="000000"/>
                      <w:szCs w:val="24"/>
                    </w:rPr>
                    <w:t xml:space="preserve">commenced treatment </w:t>
                  </w:r>
                  <w:r w:rsidRPr="008C3ECB">
                    <w:rPr>
                      <w:rFonts w:cs="Arial"/>
                      <w:color w:val="000000"/>
                      <w:szCs w:val="24"/>
                    </w:rPr>
                    <w:t xml:space="preserve">or were expected to </w:t>
                  </w:r>
                  <w:r>
                    <w:rPr>
                      <w:rFonts w:cs="Arial"/>
                      <w:color w:val="000000"/>
                      <w:szCs w:val="24"/>
                    </w:rPr>
                    <w:t xml:space="preserve">commence </w:t>
                  </w:r>
                  <w:r w:rsidRPr="008C3ECB">
                    <w:rPr>
                      <w:rFonts w:cs="Arial"/>
                      <w:color w:val="000000"/>
                      <w:szCs w:val="24"/>
                    </w:rPr>
                    <w:t>treatment between 1</w:t>
                  </w:r>
                  <w:r w:rsidRPr="008C3ECB">
                    <w:rPr>
                      <w:rFonts w:cs="Arial"/>
                      <w:color w:val="000000"/>
                      <w:szCs w:val="24"/>
                      <w:vertAlign w:val="superscript"/>
                    </w:rPr>
                    <w:t>st</w:t>
                  </w:r>
                  <w:r w:rsidRPr="008C3ECB">
                    <w:rPr>
                      <w:rFonts w:cs="Arial"/>
                      <w:color w:val="000000"/>
                      <w:szCs w:val="24"/>
                    </w:rPr>
                    <w:t xml:space="preserve"> </w:t>
                  </w:r>
                  <w:r>
                    <w:rPr>
                      <w:rFonts w:cs="Arial"/>
                      <w:color w:val="000000"/>
                      <w:szCs w:val="24"/>
                    </w:rPr>
                    <w:t>April</w:t>
                  </w:r>
                  <w:r w:rsidRPr="008C3ECB">
                    <w:rPr>
                      <w:rFonts w:cs="Arial"/>
                      <w:color w:val="000000"/>
                      <w:szCs w:val="24"/>
                    </w:rPr>
                    <w:t xml:space="preserve"> 2019 and 31</w:t>
                  </w:r>
                  <w:r w:rsidRPr="008C3ECB">
                    <w:rPr>
                      <w:rFonts w:cs="Arial"/>
                      <w:color w:val="000000"/>
                      <w:szCs w:val="24"/>
                      <w:vertAlign w:val="superscript"/>
                    </w:rPr>
                    <w:t>st</w:t>
                  </w:r>
                  <w:r w:rsidRPr="008C3ECB">
                    <w:rPr>
                      <w:rFonts w:cs="Arial"/>
                      <w:color w:val="000000"/>
                      <w:szCs w:val="24"/>
                    </w:rPr>
                    <w:t xml:space="preserve"> </w:t>
                  </w:r>
                  <w:r>
                    <w:rPr>
                      <w:rFonts w:cs="Arial"/>
                      <w:color w:val="000000"/>
                      <w:szCs w:val="24"/>
                    </w:rPr>
                    <w:t>March</w:t>
                  </w:r>
                  <w:r w:rsidRPr="008C3ECB">
                    <w:rPr>
                      <w:rFonts w:cs="Arial"/>
                      <w:color w:val="000000"/>
                      <w:szCs w:val="24"/>
                    </w:rPr>
                    <w:t xml:space="preserve"> 2020</w:t>
                  </w:r>
                  <w:r>
                    <w:rPr>
                      <w:rFonts w:cs="Arial"/>
                      <w:color w:val="000000"/>
                      <w:szCs w:val="24"/>
                    </w:rPr>
                    <w:t xml:space="preserve">.  </w:t>
                  </w:r>
                </w:p>
                <w:p w14:paraId="73AD549C" w14:textId="42496D8E" w:rsidR="004F24FF" w:rsidRDefault="004F24FF" w:rsidP="003A6D3B">
                  <w:pPr>
                    <w:pStyle w:val="ListParagraph"/>
                    <w:numPr>
                      <w:ilvl w:val="0"/>
                      <w:numId w:val="7"/>
                    </w:numPr>
                    <w:rPr>
                      <w:rFonts w:cs="Arial"/>
                      <w:szCs w:val="24"/>
                    </w:rPr>
                  </w:pPr>
                  <w:r w:rsidRPr="003A7C21">
                    <w:t>Value: e</w:t>
                  </w:r>
                  <w:r w:rsidRPr="003A7C21">
                    <w:rPr>
                      <w:rFonts w:cs="Arial"/>
                      <w:szCs w:val="24"/>
                    </w:rPr>
                    <w:t xml:space="preserve">ach quarter is worth 5% of the available </w:t>
                  </w:r>
                  <w:r w:rsidR="00D8470D">
                    <w:rPr>
                      <w:rFonts w:cs="Arial"/>
                      <w:szCs w:val="24"/>
                    </w:rPr>
                    <w:t>2</w:t>
                  </w:r>
                  <w:r w:rsidR="00055057">
                    <w:rPr>
                      <w:rFonts w:cs="Arial"/>
                      <w:szCs w:val="24"/>
                    </w:rPr>
                    <w:t>0</w:t>
                  </w:r>
                  <w:r w:rsidRPr="003A7C21">
                    <w:rPr>
                      <w:rFonts w:cs="Arial"/>
                      <w:szCs w:val="24"/>
                    </w:rPr>
                    <w:t>%</w:t>
                  </w:r>
                </w:p>
                <w:p w14:paraId="1C2E0E11" w14:textId="51D09CBE" w:rsidR="004C3399" w:rsidRPr="00550FF2" w:rsidRDefault="004C3399" w:rsidP="003A6D3B">
                  <w:pPr>
                    <w:pStyle w:val="ListParagraph"/>
                    <w:numPr>
                      <w:ilvl w:val="0"/>
                      <w:numId w:val="7"/>
                    </w:numPr>
                    <w:rPr>
                      <w:rFonts w:cs="Arial"/>
                      <w:szCs w:val="24"/>
                    </w:rPr>
                  </w:pPr>
                  <w:r w:rsidRPr="004C3399">
                    <w:rPr>
                      <w:rFonts w:eastAsiaTheme="minorEastAsia"/>
                    </w:rPr>
                    <w:t>Should data entry into the Registry drop below 60% no CQUIN payment will be made.</w:t>
                  </w:r>
                </w:p>
                <w:p w14:paraId="3C58A028" w14:textId="166DE902" w:rsidR="008B5D93" w:rsidRPr="00630923" w:rsidRDefault="008B5D93" w:rsidP="003A6D3B">
                  <w:pPr>
                    <w:pStyle w:val="ListParagraph"/>
                    <w:numPr>
                      <w:ilvl w:val="0"/>
                      <w:numId w:val="7"/>
                    </w:numPr>
                    <w:rPr>
                      <w:rFonts w:cs="Arial"/>
                      <w:szCs w:val="24"/>
                    </w:rPr>
                  </w:pPr>
                  <w:r>
                    <w:t xml:space="preserve">Assessment frequency: assessed </w:t>
                  </w:r>
                  <w:r>
                    <w:rPr>
                      <w:rFonts w:cs="Arial"/>
                      <w:szCs w:val="24"/>
                    </w:rPr>
                    <w:t>annually at the end of Q4</w:t>
                  </w:r>
                  <w:r w:rsidR="004E7FAE">
                    <w:rPr>
                      <w:rFonts w:cs="Arial"/>
                      <w:szCs w:val="24"/>
                    </w:rPr>
                    <w:t>.</w:t>
                  </w:r>
                </w:p>
                <w:p w14:paraId="2F04DFF2" w14:textId="77777777" w:rsidR="008B5D93" w:rsidRDefault="008B5D93" w:rsidP="003A6D3B">
                  <w:pPr>
                    <w:pStyle w:val="ListParagraph"/>
                    <w:numPr>
                      <w:ilvl w:val="0"/>
                      <w:numId w:val="7"/>
                    </w:numPr>
                    <w:rPr>
                      <w:rFonts w:cs="Arial"/>
                      <w:szCs w:val="24"/>
                    </w:rPr>
                  </w:pPr>
                  <w:r>
                    <w:rPr>
                      <w:rFonts w:cs="Arial"/>
                      <w:szCs w:val="24"/>
                    </w:rPr>
                    <w:t xml:space="preserve">Data source: </w:t>
                  </w:r>
                  <w:proofErr w:type="gramStart"/>
                  <w:r>
                    <w:rPr>
                      <w:rFonts w:cs="Arial"/>
                      <w:color w:val="000000"/>
                      <w:szCs w:val="24"/>
                    </w:rPr>
                    <w:t>the</w:t>
                  </w:r>
                  <w:proofErr w:type="gramEnd"/>
                  <w:r>
                    <w:rPr>
                      <w:rFonts w:cs="Arial"/>
                      <w:color w:val="000000"/>
                      <w:szCs w:val="24"/>
                    </w:rPr>
                    <w:t xml:space="preserve"> Registry</w:t>
                  </w:r>
                </w:p>
                <w:p w14:paraId="69101057" w14:textId="77777777" w:rsidR="008B5D93" w:rsidRDefault="008B5D93" w:rsidP="003A6D3B">
                  <w:pPr>
                    <w:pStyle w:val="ListParagraph"/>
                    <w:numPr>
                      <w:ilvl w:val="0"/>
                      <w:numId w:val="7"/>
                    </w:numPr>
                    <w:rPr>
                      <w:sz w:val="23"/>
                      <w:szCs w:val="23"/>
                    </w:rPr>
                  </w:pPr>
                  <w:r>
                    <w:t xml:space="preserve">Assessing compliance: </w:t>
                  </w:r>
                  <w:r w:rsidRPr="00CA4C23">
                    <w:rPr>
                      <w:sz w:val="23"/>
                      <w:szCs w:val="23"/>
                    </w:rPr>
                    <w:t>performance will be assessed by NHS England’s Head of Information and Intelligence in the Specialised Se</w:t>
                  </w:r>
                  <w:r>
                    <w:rPr>
                      <w:sz w:val="23"/>
                      <w:szCs w:val="23"/>
                    </w:rPr>
                    <w:t xml:space="preserve">rvices National Support Team during April based </w:t>
                  </w:r>
                  <w:r w:rsidRPr="008C3ECB">
                    <w:rPr>
                      <w:rFonts w:cs="Arial"/>
                      <w:color w:val="000000"/>
                      <w:szCs w:val="24"/>
                    </w:rPr>
                    <w:t xml:space="preserve">on </w:t>
                  </w:r>
                  <w:r>
                    <w:rPr>
                      <w:rFonts w:cs="Arial"/>
                      <w:color w:val="000000"/>
                      <w:szCs w:val="24"/>
                    </w:rPr>
                    <w:t>the information in the Registry</w:t>
                  </w:r>
                  <w:r w:rsidRPr="008C3ECB">
                    <w:rPr>
                      <w:rFonts w:cs="Arial"/>
                      <w:color w:val="000000"/>
                      <w:szCs w:val="24"/>
                    </w:rPr>
                    <w:t>.</w:t>
                  </w:r>
                  <w:r w:rsidRPr="00CA4C23">
                    <w:rPr>
                      <w:sz w:val="23"/>
                      <w:szCs w:val="23"/>
                    </w:rPr>
                    <w:t xml:space="preserve"> </w:t>
                  </w:r>
                </w:p>
                <w:p w14:paraId="1CD6E245" w14:textId="77777777" w:rsidR="008B5D93" w:rsidRDefault="008B5D93" w:rsidP="008B5D93">
                  <w:pPr>
                    <w:pStyle w:val="ListParagraph"/>
                    <w:ind w:left="360"/>
                    <w:rPr>
                      <w:rFonts w:cs="Arial"/>
                      <w:color w:val="000000"/>
                      <w:szCs w:val="24"/>
                    </w:rPr>
                  </w:pPr>
                </w:p>
              </w:tc>
            </w:tr>
          </w:tbl>
          <w:p w14:paraId="2C5829E1" w14:textId="77777777" w:rsidR="00CF3963" w:rsidRDefault="00CF3963" w:rsidP="0084461B">
            <w:pPr>
              <w:rPr>
                <w:rFonts w:cs="Arial"/>
                <w:szCs w:val="24"/>
              </w:rPr>
            </w:pPr>
          </w:p>
          <w:p w14:paraId="4D4B7501" w14:textId="77777777" w:rsidR="00CF3963" w:rsidRPr="00C0210F" w:rsidRDefault="00CF3963" w:rsidP="005931C4">
            <w:pPr>
              <w:rPr>
                <w:rFonts w:eastAsiaTheme="minorEastAsia" w:cs="Arial"/>
                <w:szCs w:val="24"/>
              </w:rPr>
            </w:pPr>
          </w:p>
        </w:tc>
      </w:tr>
      <w:tr w:rsidR="00CF3963" w:rsidRPr="000412A1" w14:paraId="50546422" w14:textId="77777777">
        <w:tc>
          <w:tcPr>
            <w:tcW w:w="5000" w:type="pct"/>
            <w:gridSpan w:val="3"/>
          </w:tcPr>
          <w:p w14:paraId="0D453B60" w14:textId="77777777" w:rsidR="00CF3963" w:rsidRPr="005931C4" w:rsidRDefault="00CF3963" w:rsidP="005931C4">
            <w:pPr>
              <w:rPr>
                <w:rFonts w:eastAsiaTheme="minorEastAsia" w:cs="Arial"/>
                <w:szCs w:val="24"/>
                <w:u w:val="single"/>
              </w:rPr>
            </w:pPr>
            <w:r w:rsidRPr="005931C4">
              <w:rPr>
                <w:rFonts w:cs="Arial"/>
                <w:b/>
                <w:szCs w:val="24"/>
                <w:u w:val="single"/>
              </w:rPr>
              <w:lastRenderedPageBreak/>
              <w:t>Percentages of Target Payment per Payment Trigger</w:t>
            </w:r>
          </w:p>
          <w:p w14:paraId="3403983C" w14:textId="77777777" w:rsidR="00CF3963" w:rsidRPr="001F6AA3" w:rsidRDefault="00CF3963" w:rsidP="005931C4">
            <w:pPr>
              <w:rPr>
                <w:rFonts w:cs="Arial"/>
                <w:b/>
                <w:szCs w:val="24"/>
              </w:rPr>
            </w:pPr>
            <w:r w:rsidRPr="001F6AA3">
              <w:rPr>
                <w:rFonts w:eastAsiaTheme="minorEastAsia" w:cs="Arial"/>
                <w:b/>
                <w:szCs w:val="24"/>
              </w:rPr>
              <w:t xml:space="preserve">The following table sets out the proportion of the Target payment that is payable on achievement of each of the Payment Triggers.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3234"/>
            </w:tblGrid>
            <w:tr w:rsidR="00EC7E62" w:rsidRPr="00C0263E" w14:paraId="7ABA1974" w14:textId="77777777">
              <w:tc>
                <w:tcPr>
                  <w:tcW w:w="1937" w:type="dxa"/>
                  <w:tcBorders>
                    <w:top w:val="single" w:sz="4" w:space="0" w:color="auto"/>
                    <w:left w:val="single" w:sz="4" w:space="0" w:color="auto"/>
                    <w:bottom w:val="single" w:sz="4" w:space="0" w:color="auto"/>
                    <w:right w:val="single" w:sz="4" w:space="0" w:color="auto"/>
                  </w:tcBorders>
                  <w:shd w:val="clear" w:color="auto" w:fill="F2F2F2"/>
                </w:tcPr>
                <w:p w14:paraId="08F3FEC8" w14:textId="77777777" w:rsidR="00EC7E62" w:rsidRPr="00C0263E" w:rsidRDefault="00EC7E62" w:rsidP="00E17A0D">
                  <w:pPr>
                    <w:spacing w:before="40" w:after="40"/>
                    <w:rPr>
                      <w:rFonts w:cs="Arial"/>
                      <w:b/>
                      <w:szCs w:val="24"/>
                    </w:rPr>
                  </w:pPr>
                  <w:r>
                    <w:rPr>
                      <w:rFonts w:cs="Arial"/>
                      <w:b/>
                      <w:szCs w:val="24"/>
                    </w:rPr>
                    <w:t>Percentages of Target Payment per Trigger</w:t>
                  </w:r>
                </w:p>
              </w:tc>
              <w:tc>
                <w:tcPr>
                  <w:tcW w:w="32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81EEFD" w14:textId="77777777" w:rsidR="00EC7E62" w:rsidRPr="00EC3C9D" w:rsidRDefault="00EC7E62" w:rsidP="00E17A0D">
                  <w:pPr>
                    <w:spacing w:before="40" w:after="40"/>
                    <w:rPr>
                      <w:rFonts w:cs="Arial"/>
                      <w:b/>
                      <w:szCs w:val="24"/>
                    </w:rPr>
                  </w:pPr>
                  <w:r>
                    <w:rPr>
                      <w:rFonts w:cs="Arial"/>
                      <w:b/>
                      <w:szCs w:val="24"/>
                    </w:rPr>
                    <w:t>First Year of indicator</w:t>
                  </w:r>
                </w:p>
              </w:tc>
            </w:tr>
            <w:tr w:rsidR="00EC7E62" w:rsidRPr="00C0263E" w14:paraId="1D15864E" w14:textId="77777777">
              <w:tc>
                <w:tcPr>
                  <w:tcW w:w="1937" w:type="dxa"/>
                  <w:tcBorders>
                    <w:top w:val="single" w:sz="4" w:space="0" w:color="auto"/>
                    <w:left w:val="single" w:sz="4" w:space="0" w:color="auto"/>
                    <w:bottom w:val="single" w:sz="4" w:space="0" w:color="auto"/>
                    <w:right w:val="single" w:sz="4" w:space="0" w:color="auto"/>
                  </w:tcBorders>
                  <w:shd w:val="clear" w:color="auto" w:fill="F2F2F2"/>
                </w:tcPr>
                <w:p w14:paraId="506F6429" w14:textId="77777777" w:rsidR="00EC7E62" w:rsidRDefault="00EC7E62" w:rsidP="00E17A0D">
                  <w:pPr>
                    <w:spacing w:before="40" w:after="40"/>
                    <w:rPr>
                      <w:rFonts w:cs="Arial"/>
                      <w:b/>
                      <w:szCs w:val="24"/>
                    </w:rPr>
                  </w:pPr>
                  <w:r>
                    <w:rPr>
                      <w:rFonts w:cs="Arial"/>
                      <w:b/>
                      <w:szCs w:val="24"/>
                    </w:rPr>
                    <w:t>Trigger 1</w:t>
                  </w:r>
                  <w:r w:rsidR="00685619">
                    <w:rPr>
                      <w:rFonts w:cs="Arial"/>
                      <w:b/>
                      <w:szCs w:val="24"/>
                    </w:rPr>
                    <w:t>A</w:t>
                  </w:r>
                </w:p>
                <w:p w14:paraId="5C625DD2" w14:textId="77777777" w:rsidR="00EC7E62" w:rsidRPr="00C0263E" w:rsidRDefault="00EC7E62" w:rsidP="00E17A0D">
                  <w:pPr>
                    <w:spacing w:before="40" w:after="40"/>
                    <w:rPr>
                      <w:rFonts w:cs="Arial"/>
                      <w:b/>
                      <w:szCs w:val="24"/>
                    </w:rPr>
                  </w:pPr>
                </w:p>
              </w:tc>
              <w:tc>
                <w:tcPr>
                  <w:tcW w:w="3234" w:type="dxa"/>
                  <w:tcBorders>
                    <w:top w:val="single" w:sz="4" w:space="0" w:color="auto"/>
                    <w:left w:val="single" w:sz="4" w:space="0" w:color="auto"/>
                    <w:bottom w:val="single" w:sz="4" w:space="0" w:color="auto"/>
                    <w:right w:val="single" w:sz="4" w:space="0" w:color="auto"/>
                  </w:tcBorders>
                </w:tcPr>
                <w:p w14:paraId="44B634D4" w14:textId="15FCA64F" w:rsidR="00EC7E62" w:rsidRPr="00C0263E" w:rsidRDefault="00D8470D" w:rsidP="00E17A0D">
                  <w:pPr>
                    <w:spacing w:before="40" w:after="40"/>
                    <w:rPr>
                      <w:rFonts w:cs="Arial"/>
                      <w:szCs w:val="24"/>
                    </w:rPr>
                  </w:pPr>
                  <w:r>
                    <w:rPr>
                      <w:rFonts w:cs="Arial"/>
                      <w:szCs w:val="24"/>
                    </w:rPr>
                    <w:t>7</w:t>
                  </w:r>
                  <w:r w:rsidR="00EC7E62">
                    <w:rPr>
                      <w:rFonts w:cs="Arial"/>
                      <w:szCs w:val="24"/>
                    </w:rPr>
                    <w:t>0%</w:t>
                  </w:r>
                </w:p>
              </w:tc>
            </w:tr>
            <w:tr w:rsidR="00EC7E62" w:rsidRPr="00C0263E" w14:paraId="4BACFAB9" w14:textId="77777777">
              <w:trPr>
                <w:trHeight w:val="619"/>
              </w:trPr>
              <w:tc>
                <w:tcPr>
                  <w:tcW w:w="1937" w:type="dxa"/>
                  <w:tcBorders>
                    <w:top w:val="single" w:sz="4" w:space="0" w:color="auto"/>
                    <w:left w:val="single" w:sz="4" w:space="0" w:color="auto"/>
                    <w:bottom w:val="single" w:sz="4" w:space="0" w:color="auto"/>
                    <w:right w:val="single" w:sz="4" w:space="0" w:color="auto"/>
                  </w:tcBorders>
                  <w:shd w:val="clear" w:color="auto" w:fill="F2F2F2"/>
                </w:tcPr>
                <w:p w14:paraId="2498F386" w14:textId="77777777" w:rsidR="00EC7E62" w:rsidRPr="00C0263E" w:rsidRDefault="00EC7E62" w:rsidP="00E17A0D">
                  <w:pPr>
                    <w:spacing w:before="40" w:after="40"/>
                    <w:rPr>
                      <w:rFonts w:cs="Arial"/>
                      <w:b/>
                      <w:szCs w:val="24"/>
                    </w:rPr>
                  </w:pPr>
                  <w:r>
                    <w:rPr>
                      <w:rFonts w:cs="Arial"/>
                      <w:b/>
                      <w:szCs w:val="24"/>
                    </w:rPr>
                    <w:t>Trigger 2</w:t>
                  </w:r>
                </w:p>
              </w:tc>
              <w:tc>
                <w:tcPr>
                  <w:tcW w:w="3234" w:type="dxa"/>
                  <w:tcBorders>
                    <w:top w:val="single" w:sz="4" w:space="0" w:color="auto"/>
                    <w:left w:val="single" w:sz="4" w:space="0" w:color="auto"/>
                    <w:bottom w:val="single" w:sz="4" w:space="0" w:color="auto"/>
                    <w:right w:val="single" w:sz="4" w:space="0" w:color="auto"/>
                  </w:tcBorders>
                </w:tcPr>
                <w:p w14:paraId="1AC3269C" w14:textId="77777777" w:rsidR="00EC7E62" w:rsidRPr="00C0263E" w:rsidRDefault="00D40561" w:rsidP="00E17A0D">
                  <w:pPr>
                    <w:spacing w:before="40" w:after="40"/>
                    <w:rPr>
                      <w:rFonts w:cs="Arial"/>
                      <w:szCs w:val="24"/>
                    </w:rPr>
                  </w:pPr>
                  <w:r>
                    <w:rPr>
                      <w:rFonts w:cs="Arial"/>
                      <w:szCs w:val="24"/>
                    </w:rPr>
                    <w:t>1</w:t>
                  </w:r>
                  <w:r w:rsidR="00EC7E62">
                    <w:rPr>
                      <w:rFonts w:cs="Arial"/>
                      <w:szCs w:val="24"/>
                    </w:rPr>
                    <w:t>0%</w:t>
                  </w:r>
                </w:p>
              </w:tc>
            </w:tr>
            <w:tr w:rsidR="00B248FB" w:rsidRPr="00C0263E" w14:paraId="5698DB57" w14:textId="77777777">
              <w:trPr>
                <w:trHeight w:val="619"/>
              </w:trPr>
              <w:tc>
                <w:tcPr>
                  <w:tcW w:w="1937" w:type="dxa"/>
                  <w:tcBorders>
                    <w:top w:val="single" w:sz="4" w:space="0" w:color="auto"/>
                    <w:left w:val="single" w:sz="4" w:space="0" w:color="auto"/>
                    <w:bottom w:val="single" w:sz="4" w:space="0" w:color="auto"/>
                    <w:right w:val="single" w:sz="4" w:space="0" w:color="auto"/>
                  </w:tcBorders>
                  <w:shd w:val="clear" w:color="auto" w:fill="F2F2F2"/>
                </w:tcPr>
                <w:p w14:paraId="0C204098" w14:textId="7E2C1723" w:rsidR="00B248FB" w:rsidRDefault="00B248FB" w:rsidP="00B248FB">
                  <w:pPr>
                    <w:spacing w:before="40" w:after="40"/>
                    <w:rPr>
                      <w:rFonts w:cs="Arial"/>
                      <w:b/>
                      <w:szCs w:val="24"/>
                    </w:rPr>
                  </w:pPr>
                  <w:r>
                    <w:rPr>
                      <w:rFonts w:cs="Arial"/>
                      <w:b/>
                      <w:szCs w:val="24"/>
                    </w:rPr>
                    <w:t>Trigger 3</w:t>
                  </w:r>
                </w:p>
                <w:p w14:paraId="4C4FA908" w14:textId="77777777" w:rsidR="00B248FB" w:rsidRDefault="00B248FB" w:rsidP="00E17A0D">
                  <w:pPr>
                    <w:spacing w:before="40" w:after="40"/>
                    <w:rPr>
                      <w:rFonts w:cs="Arial"/>
                      <w:b/>
                      <w:szCs w:val="24"/>
                    </w:rPr>
                  </w:pPr>
                </w:p>
              </w:tc>
              <w:tc>
                <w:tcPr>
                  <w:tcW w:w="3234" w:type="dxa"/>
                  <w:tcBorders>
                    <w:top w:val="single" w:sz="4" w:space="0" w:color="auto"/>
                    <w:left w:val="single" w:sz="4" w:space="0" w:color="auto"/>
                    <w:bottom w:val="single" w:sz="4" w:space="0" w:color="auto"/>
                    <w:right w:val="single" w:sz="4" w:space="0" w:color="auto"/>
                  </w:tcBorders>
                </w:tcPr>
                <w:p w14:paraId="27147352" w14:textId="7B321E3A" w:rsidR="00B248FB" w:rsidRDefault="00D8470D" w:rsidP="00E17A0D">
                  <w:pPr>
                    <w:spacing w:before="40" w:after="40"/>
                    <w:rPr>
                      <w:rFonts w:cs="Arial"/>
                      <w:szCs w:val="24"/>
                    </w:rPr>
                  </w:pPr>
                  <w:r>
                    <w:rPr>
                      <w:rFonts w:cs="Arial"/>
                      <w:szCs w:val="24"/>
                    </w:rPr>
                    <w:t>2</w:t>
                  </w:r>
                  <w:r w:rsidR="00055057">
                    <w:rPr>
                      <w:rFonts w:cs="Arial"/>
                      <w:szCs w:val="24"/>
                    </w:rPr>
                    <w:t>0</w:t>
                  </w:r>
                  <w:r w:rsidR="00B248FB">
                    <w:rPr>
                      <w:rFonts w:cs="Arial"/>
                      <w:szCs w:val="24"/>
                    </w:rPr>
                    <w:t>%</w:t>
                  </w:r>
                </w:p>
              </w:tc>
            </w:tr>
            <w:tr w:rsidR="00B979FD" w:rsidRPr="00C0263E" w14:paraId="3DFE034D" w14:textId="77777777">
              <w:trPr>
                <w:trHeight w:val="619"/>
              </w:trPr>
              <w:tc>
                <w:tcPr>
                  <w:tcW w:w="1937" w:type="dxa"/>
                  <w:tcBorders>
                    <w:top w:val="single" w:sz="4" w:space="0" w:color="auto"/>
                    <w:left w:val="single" w:sz="4" w:space="0" w:color="auto"/>
                    <w:right w:val="single" w:sz="4" w:space="0" w:color="auto"/>
                  </w:tcBorders>
                  <w:shd w:val="clear" w:color="auto" w:fill="F2F2F2"/>
                </w:tcPr>
                <w:p w14:paraId="0156F380" w14:textId="77777777" w:rsidR="00B979FD" w:rsidRDefault="00B979FD" w:rsidP="00B979FD">
                  <w:pPr>
                    <w:spacing w:before="40" w:after="40"/>
                    <w:rPr>
                      <w:rFonts w:cs="Arial"/>
                      <w:b/>
                      <w:szCs w:val="24"/>
                    </w:rPr>
                  </w:pPr>
                  <w:r>
                    <w:rPr>
                      <w:rFonts w:cs="Arial"/>
                      <w:b/>
                      <w:szCs w:val="24"/>
                    </w:rPr>
                    <w:t>TOTAL</w:t>
                  </w:r>
                </w:p>
              </w:tc>
              <w:tc>
                <w:tcPr>
                  <w:tcW w:w="3234" w:type="dxa"/>
                  <w:tcBorders>
                    <w:top w:val="single" w:sz="4" w:space="0" w:color="auto"/>
                    <w:left w:val="single" w:sz="4" w:space="0" w:color="auto"/>
                    <w:right w:val="single" w:sz="4" w:space="0" w:color="auto"/>
                  </w:tcBorders>
                </w:tcPr>
                <w:p w14:paraId="7FC8309D" w14:textId="77777777" w:rsidR="00B979FD" w:rsidRPr="00C0263E" w:rsidRDefault="00B979FD" w:rsidP="00B979FD">
                  <w:pPr>
                    <w:spacing w:before="40" w:after="40"/>
                    <w:rPr>
                      <w:rFonts w:cs="Arial"/>
                      <w:szCs w:val="24"/>
                    </w:rPr>
                  </w:pPr>
                  <w:r>
                    <w:rPr>
                      <w:rFonts w:cs="Arial"/>
                      <w:szCs w:val="24"/>
                    </w:rPr>
                    <w:t>100%</w:t>
                  </w:r>
                </w:p>
              </w:tc>
            </w:tr>
          </w:tbl>
          <w:p w14:paraId="54D1878C" w14:textId="77777777" w:rsidR="00CF3963" w:rsidRDefault="00CF3963" w:rsidP="005931C4">
            <w:pPr>
              <w:rPr>
                <w:rFonts w:cs="Arial"/>
                <w:szCs w:val="24"/>
              </w:rPr>
            </w:pPr>
          </w:p>
          <w:p w14:paraId="01EBDB9A" w14:textId="77777777" w:rsidR="00CF3963" w:rsidRDefault="00CF3963" w:rsidP="005931C4">
            <w:pPr>
              <w:rPr>
                <w:rFonts w:eastAsiaTheme="minorEastAsia" w:cs="Arial"/>
                <w:szCs w:val="24"/>
              </w:rPr>
            </w:pPr>
          </w:p>
        </w:tc>
      </w:tr>
      <w:tr w:rsidR="00CF3963" w:rsidRPr="000412A1" w14:paraId="06108364" w14:textId="77777777">
        <w:tc>
          <w:tcPr>
            <w:tcW w:w="5000" w:type="pct"/>
            <w:gridSpan w:val="3"/>
          </w:tcPr>
          <w:p w14:paraId="5092473E" w14:textId="77777777" w:rsidR="00CF3963" w:rsidRDefault="00CF3963" w:rsidP="005931C4">
            <w:pPr>
              <w:rPr>
                <w:rFonts w:eastAsiaTheme="minorEastAsia" w:cs="Arial"/>
                <w:szCs w:val="24"/>
              </w:rPr>
            </w:pPr>
          </w:p>
          <w:p w14:paraId="16C3ECAB" w14:textId="77777777" w:rsidR="00CF3963" w:rsidRPr="004B784D" w:rsidRDefault="00CF3963" w:rsidP="005931C4">
            <w:pPr>
              <w:rPr>
                <w:rFonts w:cs="Arial"/>
                <w:b/>
                <w:color w:val="000000"/>
                <w:szCs w:val="24"/>
                <w:u w:val="single"/>
              </w:rPr>
            </w:pPr>
            <w:r w:rsidRPr="004B784D">
              <w:rPr>
                <w:rFonts w:cs="Arial"/>
                <w:b/>
                <w:color w:val="000000"/>
                <w:szCs w:val="24"/>
                <w:u w:val="single"/>
              </w:rPr>
              <w:t>Partial achievement rules</w:t>
            </w:r>
          </w:p>
          <w:p w14:paraId="42DF41D4" w14:textId="77777777" w:rsidR="00CF3963" w:rsidRDefault="00CF3963" w:rsidP="005931C4">
            <w:pPr>
              <w:rPr>
                <w:rFonts w:eastAsiaTheme="minorEastAsia" w:cs="Arial"/>
                <w:szCs w:val="24"/>
                <w:u w:val="single"/>
              </w:rPr>
            </w:pPr>
          </w:p>
          <w:p w14:paraId="6F1DBB35" w14:textId="4CBEA236" w:rsidR="00EC7E62" w:rsidRDefault="00CF3963" w:rsidP="005931C4">
            <w:pPr>
              <w:rPr>
                <w:rFonts w:eastAsiaTheme="minorEastAsia" w:cs="Arial"/>
                <w:b/>
                <w:szCs w:val="24"/>
                <w:u w:val="single"/>
              </w:rPr>
            </w:pPr>
            <w:r w:rsidRPr="001F6AA3">
              <w:rPr>
                <w:rFonts w:eastAsiaTheme="minorEastAsia" w:cs="Arial"/>
                <w:b/>
                <w:szCs w:val="24"/>
                <w:u w:val="single"/>
              </w:rPr>
              <w:t>Trigger 1</w:t>
            </w:r>
            <w:r w:rsidR="00691BA3">
              <w:rPr>
                <w:rFonts w:eastAsiaTheme="minorEastAsia" w:cs="Arial"/>
                <w:b/>
                <w:szCs w:val="24"/>
                <w:u w:val="single"/>
              </w:rPr>
              <w:t>,</w:t>
            </w:r>
            <w:r w:rsidR="00512E30" w:rsidRPr="001F6AA3">
              <w:rPr>
                <w:rFonts w:eastAsiaTheme="minorEastAsia" w:cs="Arial"/>
                <w:b/>
                <w:szCs w:val="24"/>
                <w:u w:val="single"/>
              </w:rPr>
              <w:t xml:space="preserve"> </w:t>
            </w:r>
            <w:r w:rsidR="00CD2A04">
              <w:rPr>
                <w:rFonts w:eastAsiaTheme="minorEastAsia" w:cs="Arial"/>
                <w:b/>
                <w:szCs w:val="24"/>
                <w:u w:val="single"/>
              </w:rPr>
              <w:t xml:space="preserve">Minimum </w:t>
            </w:r>
            <w:r w:rsidR="00EC7E62">
              <w:rPr>
                <w:rFonts w:eastAsiaTheme="minorEastAsia" w:cs="Arial"/>
                <w:b/>
                <w:szCs w:val="24"/>
                <w:u w:val="single"/>
              </w:rPr>
              <w:t>Activity</w:t>
            </w:r>
          </w:p>
          <w:p w14:paraId="62A3DB5C" w14:textId="77777777" w:rsidR="00EC7E62" w:rsidRDefault="00EC7E62" w:rsidP="003A6D3B">
            <w:pPr>
              <w:pStyle w:val="ListParagraph"/>
              <w:numPr>
                <w:ilvl w:val="0"/>
                <w:numId w:val="7"/>
              </w:numPr>
              <w:rPr>
                <w:rFonts w:cs="Arial"/>
                <w:szCs w:val="24"/>
              </w:rPr>
            </w:pPr>
            <w:r w:rsidRPr="006B3459">
              <w:rPr>
                <w:rFonts w:cs="Arial"/>
                <w:szCs w:val="24"/>
              </w:rPr>
              <w:t xml:space="preserve">Where activity targets are </w:t>
            </w:r>
            <w:r>
              <w:rPr>
                <w:rFonts w:cs="Arial"/>
                <w:szCs w:val="24"/>
              </w:rPr>
              <w:t xml:space="preserve">only </w:t>
            </w:r>
            <w:r w:rsidRPr="006B3459">
              <w:rPr>
                <w:rFonts w:cs="Arial"/>
                <w:szCs w:val="24"/>
              </w:rPr>
              <w:t>partially met in e</w:t>
            </w:r>
            <w:r>
              <w:rPr>
                <w:rFonts w:cs="Arial"/>
                <w:szCs w:val="24"/>
              </w:rPr>
              <w:t xml:space="preserve">very </w:t>
            </w:r>
            <w:r w:rsidRPr="006B3459">
              <w:rPr>
                <w:rFonts w:cs="Arial"/>
                <w:szCs w:val="24"/>
              </w:rPr>
              <w:t>quarter the payment is pro-rated</w:t>
            </w:r>
            <w:r>
              <w:rPr>
                <w:rFonts w:cs="Arial"/>
                <w:szCs w:val="24"/>
              </w:rPr>
              <w:t xml:space="preserve"> on a quarterly basis</w:t>
            </w:r>
            <w:r w:rsidRPr="006B3459">
              <w:rPr>
                <w:rFonts w:cs="Arial"/>
                <w:szCs w:val="24"/>
              </w:rPr>
              <w:t xml:space="preserve">.  </w:t>
            </w:r>
          </w:p>
          <w:p w14:paraId="4323430C" w14:textId="2E25069A" w:rsidR="00EC7E62" w:rsidRDefault="00D40561" w:rsidP="003A6D3B">
            <w:pPr>
              <w:pStyle w:val="ListParagraph"/>
              <w:numPr>
                <w:ilvl w:val="0"/>
                <w:numId w:val="7"/>
              </w:numPr>
              <w:rPr>
                <w:rFonts w:cs="Arial"/>
                <w:szCs w:val="24"/>
              </w:rPr>
            </w:pPr>
            <w:r>
              <w:rPr>
                <w:rFonts w:cs="Arial"/>
                <w:szCs w:val="24"/>
              </w:rPr>
              <w:t>If activity is less than 2</w:t>
            </w:r>
            <w:r w:rsidR="00EC7E62">
              <w:rPr>
                <w:rFonts w:cs="Arial"/>
                <w:szCs w:val="24"/>
              </w:rPr>
              <w:t>0% of the plan</w:t>
            </w:r>
            <w:r w:rsidR="007730DE">
              <w:rPr>
                <w:rFonts w:cs="Arial"/>
                <w:szCs w:val="24"/>
              </w:rPr>
              <w:t xml:space="preserve"> by year end</w:t>
            </w:r>
            <w:r w:rsidR="00EC7E62">
              <w:rPr>
                <w:rFonts w:cs="Arial"/>
                <w:szCs w:val="24"/>
              </w:rPr>
              <w:t>, no payment will be made</w:t>
            </w:r>
          </w:p>
          <w:p w14:paraId="3ACFE90B" w14:textId="77777777" w:rsidR="00D40561" w:rsidRDefault="00D40561" w:rsidP="00D40561">
            <w:pPr>
              <w:rPr>
                <w:rFonts w:cs="Arial"/>
                <w:szCs w:val="24"/>
              </w:rPr>
            </w:pPr>
          </w:p>
          <w:p w14:paraId="1920BC55" w14:textId="3DE2C477" w:rsidR="00CF3963" w:rsidRPr="001F6AA3" w:rsidRDefault="00CF3963" w:rsidP="005931C4">
            <w:pPr>
              <w:rPr>
                <w:rFonts w:eastAsiaTheme="minorEastAsia" w:cs="Arial"/>
                <w:b/>
                <w:szCs w:val="24"/>
                <w:u w:val="single"/>
              </w:rPr>
            </w:pPr>
            <w:r w:rsidRPr="001F6AA3">
              <w:rPr>
                <w:rFonts w:eastAsiaTheme="minorEastAsia" w:cs="Arial"/>
                <w:b/>
                <w:szCs w:val="24"/>
                <w:u w:val="single"/>
              </w:rPr>
              <w:t>Trigger 2:</w:t>
            </w:r>
            <w:r w:rsidR="005A014A">
              <w:rPr>
                <w:rFonts w:eastAsiaTheme="minorEastAsia" w:cs="Arial"/>
                <w:b/>
                <w:szCs w:val="24"/>
                <w:u w:val="single"/>
              </w:rPr>
              <w:t xml:space="preserve"> </w:t>
            </w:r>
            <w:r w:rsidR="004E7FAE">
              <w:rPr>
                <w:rFonts w:eastAsiaTheme="minorEastAsia" w:cs="Arial"/>
                <w:b/>
                <w:szCs w:val="24"/>
                <w:u w:val="single"/>
              </w:rPr>
              <w:t>pro r</w:t>
            </w:r>
            <w:r w:rsidR="005A014A">
              <w:rPr>
                <w:rFonts w:eastAsiaTheme="minorEastAsia" w:cs="Arial"/>
                <w:b/>
                <w:szCs w:val="24"/>
                <w:u w:val="single"/>
              </w:rPr>
              <w:t>ata</w:t>
            </w:r>
          </w:p>
          <w:p w14:paraId="17E5BF0E" w14:textId="39E8FD60" w:rsidR="00CF3963" w:rsidRDefault="00D40561" w:rsidP="005931C4">
            <w:pPr>
              <w:rPr>
                <w:rFonts w:eastAsiaTheme="minorEastAsia" w:cs="Arial"/>
                <w:b/>
                <w:szCs w:val="24"/>
                <w:u w:val="single"/>
              </w:rPr>
            </w:pPr>
            <w:r>
              <w:rPr>
                <w:rFonts w:eastAsiaTheme="minorEastAsia" w:cs="Arial"/>
                <w:b/>
                <w:szCs w:val="24"/>
                <w:u w:val="single"/>
              </w:rPr>
              <w:t>Trigger 3</w:t>
            </w:r>
            <w:r w:rsidR="00CF3963" w:rsidRPr="001F6AA3">
              <w:rPr>
                <w:rFonts w:eastAsiaTheme="minorEastAsia" w:cs="Arial"/>
                <w:b/>
                <w:szCs w:val="24"/>
                <w:u w:val="single"/>
              </w:rPr>
              <w:t xml:space="preserve">: </w:t>
            </w:r>
            <w:r w:rsidR="00B248FB" w:rsidRPr="00B248FB">
              <w:rPr>
                <w:rFonts w:eastAsiaTheme="minorEastAsia" w:cs="Arial"/>
                <w:szCs w:val="24"/>
              </w:rPr>
              <w:t xml:space="preserve">if completion is less than </w:t>
            </w:r>
            <w:r w:rsidR="00E968C3">
              <w:rPr>
                <w:rFonts w:eastAsiaTheme="minorEastAsia" w:cs="Arial"/>
                <w:szCs w:val="24"/>
              </w:rPr>
              <w:t>60</w:t>
            </w:r>
            <w:r w:rsidR="00B248FB" w:rsidRPr="00B248FB">
              <w:rPr>
                <w:rFonts w:cs="Arial"/>
                <w:szCs w:val="24"/>
              </w:rPr>
              <w:t>%</w:t>
            </w:r>
            <w:r w:rsidR="00B248FB">
              <w:rPr>
                <w:rFonts w:cs="Arial"/>
                <w:szCs w:val="24"/>
              </w:rPr>
              <w:t xml:space="preserve"> of the total number of eligible patients, no payment will be made, otherwis</w:t>
            </w:r>
            <w:r w:rsidR="001B5DE1">
              <w:rPr>
                <w:rFonts w:cs="Arial"/>
                <w:szCs w:val="24"/>
              </w:rPr>
              <w:t>e pro-rata</w:t>
            </w:r>
          </w:p>
          <w:p w14:paraId="63DF3C13" w14:textId="77777777" w:rsidR="00CF3963" w:rsidRPr="000412A1" w:rsidRDefault="00CF3963" w:rsidP="0084461B">
            <w:pPr>
              <w:rPr>
                <w:rFonts w:cs="Arial"/>
                <w:b/>
                <w:color w:val="000000"/>
                <w:szCs w:val="24"/>
              </w:rPr>
            </w:pPr>
          </w:p>
        </w:tc>
      </w:tr>
      <w:tr w:rsidR="00CF3963" w:rsidRPr="000412A1" w14:paraId="566866AE" w14:textId="77777777">
        <w:tc>
          <w:tcPr>
            <w:tcW w:w="5000" w:type="pct"/>
            <w:gridSpan w:val="3"/>
            <w:shd w:val="clear" w:color="auto" w:fill="auto"/>
          </w:tcPr>
          <w:p w14:paraId="428D48AD" w14:textId="77777777" w:rsidR="00CF3963" w:rsidRPr="005A014A" w:rsidRDefault="00CF3963" w:rsidP="0084461B">
            <w:pPr>
              <w:rPr>
                <w:rFonts w:cs="Arial"/>
                <w:b/>
                <w:color w:val="000000"/>
                <w:sz w:val="20"/>
                <w:szCs w:val="20"/>
                <w:u w:val="single"/>
              </w:rPr>
            </w:pPr>
            <w:r w:rsidRPr="005A014A">
              <w:rPr>
                <w:rFonts w:cs="Arial"/>
                <w:b/>
                <w:color w:val="000000"/>
                <w:sz w:val="20"/>
                <w:szCs w:val="20"/>
                <w:u w:val="single"/>
              </w:rPr>
              <w:t>Definitions</w:t>
            </w:r>
          </w:p>
          <w:p w14:paraId="4129FB46" w14:textId="77777777" w:rsidR="00CF3963" w:rsidRDefault="00CF3963" w:rsidP="0084461B">
            <w:pPr>
              <w:rPr>
                <w:rFonts w:eastAsiaTheme="minorEastAsia" w:cs="Arial"/>
                <w:i/>
                <w:color w:val="FF0000"/>
                <w:sz w:val="20"/>
                <w:szCs w:val="20"/>
              </w:rPr>
            </w:pPr>
            <w:r w:rsidRPr="005A014A">
              <w:rPr>
                <w:rFonts w:eastAsiaTheme="minorEastAsia" w:cs="Arial"/>
                <w:i/>
                <w:color w:val="FF0000"/>
                <w:sz w:val="20"/>
                <w:szCs w:val="20"/>
              </w:rPr>
              <w:t>[Provide detailed technical definitions for the Payment Triggers and associated measures set out above, as required.]</w:t>
            </w:r>
          </w:p>
          <w:p w14:paraId="039D071C" w14:textId="77777777" w:rsidR="005365A7" w:rsidRDefault="005365A7" w:rsidP="005365A7">
            <w:pPr>
              <w:rPr>
                <w:rFonts w:cs="Arial"/>
                <w:szCs w:val="24"/>
              </w:rPr>
            </w:pPr>
            <w:r>
              <w:rPr>
                <w:rFonts w:cs="Arial"/>
                <w:szCs w:val="24"/>
              </w:rPr>
              <w:t>I</w:t>
            </w:r>
            <w:r w:rsidRPr="00C77B07">
              <w:rPr>
                <w:rFonts w:cs="Arial"/>
                <w:szCs w:val="24"/>
              </w:rPr>
              <w:t>n each Contract Year, each ODN is required to utilise the preferred treatment options for each patient genotype</w:t>
            </w:r>
            <w:r>
              <w:rPr>
                <w:rFonts w:cs="Arial"/>
                <w:szCs w:val="24"/>
              </w:rPr>
              <w:t>,</w:t>
            </w:r>
            <w:r w:rsidRPr="00C77B07">
              <w:rPr>
                <w:rFonts w:cs="Arial"/>
                <w:szCs w:val="24"/>
              </w:rPr>
              <w:t xml:space="preserve"> </w:t>
            </w:r>
            <w:r>
              <w:rPr>
                <w:rFonts w:cs="Arial"/>
                <w:szCs w:val="24"/>
              </w:rPr>
              <w:t>as specified on the rate card.</w:t>
            </w:r>
          </w:p>
          <w:p w14:paraId="3DDD5EB0" w14:textId="77777777" w:rsidR="00152656" w:rsidRDefault="00152656" w:rsidP="005365A7">
            <w:pPr>
              <w:rPr>
                <w:rFonts w:cs="Arial"/>
                <w:szCs w:val="24"/>
              </w:rPr>
            </w:pPr>
          </w:p>
          <w:p w14:paraId="60596DD0" w14:textId="00119713" w:rsidR="005365A7" w:rsidRDefault="002A4243" w:rsidP="005365A7">
            <w:pPr>
              <w:rPr>
                <w:rFonts w:cs="Arial"/>
                <w:szCs w:val="24"/>
              </w:rPr>
            </w:pPr>
            <w:r w:rsidRPr="00E56864">
              <w:rPr>
                <w:rFonts w:cs="Arial"/>
                <w:szCs w:val="24"/>
              </w:rPr>
              <w:t>Considering</w:t>
            </w:r>
            <w:r w:rsidR="005365A7" w:rsidRPr="00E56864">
              <w:rPr>
                <w:rFonts w:cs="Arial"/>
                <w:szCs w:val="24"/>
              </w:rPr>
              <w:t xml:space="preserve"> the recently completed strategic procurement process, ODNs now have increased flexibility to test and treat patients</w:t>
            </w:r>
            <w:r w:rsidR="005365A7" w:rsidRPr="00275C5E">
              <w:rPr>
                <w:rFonts w:cs="Arial"/>
                <w:szCs w:val="24"/>
              </w:rPr>
              <w:t xml:space="preserve"> and the </w:t>
            </w:r>
            <w:r w:rsidR="005365A7" w:rsidRPr="00AD7E44">
              <w:rPr>
                <w:rFonts w:cs="Arial"/>
                <w:szCs w:val="24"/>
              </w:rPr>
              <w:t>maximum ODN run rates have been removed</w:t>
            </w:r>
            <w:r w:rsidR="005365A7">
              <w:rPr>
                <w:rFonts w:cs="Arial"/>
                <w:szCs w:val="24"/>
              </w:rPr>
              <w:t xml:space="preserve">. </w:t>
            </w:r>
            <w:r w:rsidR="00A61581" w:rsidRPr="00A61581">
              <w:rPr>
                <w:rFonts w:cs="Arial"/>
                <w:szCs w:val="24"/>
              </w:rPr>
              <w:t>The rates of treatment envisaged by NICE are now seen as minimums.</w:t>
            </w:r>
            <w:r w:rsidR="005365A7" w:rsidRPr="00A61581">
              <w:rPr>
                <w:rFonts w:cs="Arial"/>
                <w:szCs w:val="24"/>
              </w:rPr>
              <w:t xml:space="preserve"> </w:t>
            </w:r>
          </w:p>
          <w:p w14:paraId="48ADD983" w14:textId="77777777" w:rsidR="00152656" w:rsidRDefault="00152656" w:rsidP="005365A7">
            <w:pPr>
              <w:rPr>
                <w:rFonts w:cs="Arial"/>
                <w:szCs w:val="24"/>
              </w:rPr>
            </w:pPr>
          </w:p>
          <w:p w14:paraId="05D7756F" w14:textId="6C74675A" w:rsidR="005365A7" w:rsidRDefault="005365A7" w:rsidP="005365A7">
            <w:pPr>
              <w:rPr>
                <w:rFonts w:cs="Arial"/>
                <w:szCs w:val="24"/>
              </w:rPr>
            </w:pPr>
            <w:r w:rsidRPr="00C77B07">
              <w:rPr>
                <w:rFonts w:cs="Arial"/>
                <w:szCs w:val="24"/>
              </w:rPr>
              <w:t xml:space="preserve">Initially in each Contract Year, each ODN is required to utilise the preferred treatment options for each patient genotype </w:t>
            </w:r>
            <w:r>
              <w:rPr>
                <w:rFonts w:cs="Arial"/>
                <w:szCs w:val="24"/>
              </w:rPr>
              <w:t xml:space="preserve">(as specified on the rate card) </w:t>
            </w:r>
            <w:r w:rsidRPr="00C77B07">
              <w:rPr>
                <w:rFonts w:cs="Arial"/>
                <w:szCs w:val="24"/>
              </w:rPr>
              <w:t>until collectively the ODNs have treated a specified number of patients. NHS England will notify ODNs when the specified number of patients has been reached.</w:t>
            </w:r>
            <w:r>
              <w:rPr>
                <w:rFonts w:cs="Arial"/>
                <w:szCs w:val="24"/>
              </w:rPr>
              <w:t xml:space="preserve"> Once the specified number of patients is reached, the rate card no longer applies and ODNs are free to prescribe any of the treatments available under the contract.</w:t>
            </w:r>
          </w:p>
          <w:p w14:paraId="1861E353" w14:textId="77777777" w:rsidR="00152656" w:rsidRDefault="00152656">
            <w:pPr>
              <w:rPr>
                <w:rFonts w:cs="Arial"/>
                <w:szCs w:val="24"/>
              </w:rPr>
            </w:pPr>
          </w:p>
          <w:p w14:paraId="74DB1926" w14:textId="7E5AB60C" w:rsidR="00214FD3" w:rsidRDefault="008139F0">
            <w:pPr>
              <w:rPr>
                <w:rFonts w:cs="Arial"/>
                <w:szCs w:val="24"/>
              </w:rPr>
            </w:pPr>
            <w:r w:rsidRPr="00845A91">
              <w:rPr>
                <w:rFonts w:cs="Arial"/>
                <w:szCs w:val="24"/>
              </w:rPr>
              <w:t xml:space="preserve">The emphasis of the programme is </w:t>
            </w:r>
            <w:r>
              <w:rPr>
                <w:rFonts w:cs="Arial"/>
                <w:szCs w:val="24"/>
              </w:rPr>
              <w:t>now</w:t>
            </w:r>
            <w:r w:rsidRPr="00845A91">
              <w:rPr>
                <w:rFonts w:cs="Arial"/>
                <w:szCs w:val="24"/>
              </w:rPr>
              <w:t xml:space="preserve"> </w:t>
            </w:r>
            <w:r>
              <w:rPr>
                <w:rFonts w:cs="Arial"/>
                <w:szCs w:val="24"/>
              </w:rPr>
              <w:t xml:space="preserve">accelerated </w:t>
            </w:r>
            <w:r w:rsidRPr="00845A91">
              <w:rPr>
                <w:rFonts w:cs="Arial"/>
                <w:szCs w:val="24"/>
              </w:rPr>
              <w:t xml:space="preserve">elimination and ODNs are encouraged to find and treat </w:t>
            </w:r>
            <w:r w:rsidR="001E58C7">
              <w:rPr>
                <w:rFonts w:cs="Arial"/>
                <w:szCs w:val="24"/>
              </w:rPr>
              <w:t>significantly more patients than in previous years of the CQUIN.  T</w:t>
            </w:r>
            <w:r>
              <w:rPr>
                <w:rFonts w:cs="Arial"/>
                <w:szCs w:val="24"/>
              </w:rPr>
              <w:t>o support this the</w:t>
            </w:r>
            <w:r w:rsidR="002A4243">
              <w:rPr>
                <w:rFonts w:cs="Arial"/>
                <w:szCs w:val="24"/>
              </w:rPr>
              <w:t xml:space="preserve"> Activity Trigger</w:t>
            </w:r>
            <w:r w:rsidR="00D8470D">
              <w:rPr>
                <w:rFonts w:cs="Arial"/>
                <w:szCs w:val="24"/>
              </w:rPr>
              <w:t xml:space="preserve"> (1)</w:t>
            </w:r>
            <w:r w:rsidR="002A4243">
              <w:rPr>
                <w:rFonts w:cs="Arial"/>
                <w:szCs w:val="24"/>
              </w:rPr>
              <w:t xml:space="preserve"> </w:t>
            </w:r>
            <w:r>
              <w:rPr>
                <w:rFonts w:cs="Arial"/>
                <w:szCs w:val="24"/>
              </w:rPr>
              <w:t xml:space="preserve">focuses on </w:t>
            </w:r>
            <w:r w:rsidR="008E03B8">
              <w:rPr>
                <w:rFonts w:cs="Arial"/>
                <w:szCs w:val="24"/>
              </w:rPr>
              <w:t>maintaining current ODN activity levels</w:t>
            </w:r>
            <w:r w:rsidR="00D8470D">
              <w:rPr>
                <w:rFonts w:cs="Arial"/>
                <w:szCs w:val="24"/>
              </w:rPr>
              <w:t>.</w:t>
            </w:r>
            <w:r>
              <w:rPr>
                <w:rFonts w:cs="Arial"/>
                <w:szCs w:val="24"/>
              </w:rPr>
              <w:t xml:space="preserve"> </w:t>
            </w:r>
          </w:p>
          <w:p w14:paraId="5C6B2531" w14:textId="157EB53A" w:rsidR="00214FD3" w:rsidRDefault="00214FD3" w:rsidP="0084461B">
            <w:pPr>
              <w:rPr>
                <w:rFonts w:cs="Arial"/>
                <w:szCs w:val="24"/>
              </w:rPr>
            </w:pPr>
          </w:p>
          <w:p w14:paraId="2B3595D3" w14:textId="77777777" w:rsidR="008139F0" w:rsidRDefault="008139F0" w:rsidP="0084461B">
            <w:pPr>
              <w:rPr>
                <w:rFonts w:cs="Arial"/>
                <w:szCs w:val="24"/>
              </w:rPr>
            </w:pPr>
          </w:p>
          <w:p w14:paraId="41C18975" w14:textId="14B9E4C0" w:rsidR="00B979FD" w:rsidRPr="008C3ECB" w:rsidRDefault="00B979FD" w:rsidP="00B979FD">
            <w:pPr>
              <w:rPr>
                <w:rFonts w:cs="Arial"/>
                <w:b/>
                <w:szCs w:val="24"/>
              </w:rPr>
            </w:pPr>
            <w:r>
              <w:rPr>
                <w:rFonts w:cs="Arial"/>
                <w:b/>
                <w:szCs w:val="24"/>
              </w:rPr>
              <w:t xml:space="preserve">Trigger 1, Minimum </w:t>
            </w:r>
            <w:r w:rsidRPr="008C3ECB">
              <w:rPr>
                <w:rFonts w:cs="Arial"/>
                <w:b/>
                <w:szCs w:val="24"/>
              </w:rPr>
              <w:t>Activity</w:t>
            </w:r>
          </w:p>
          <w:p w14:paraId="38C3241F" w14:textId="569003D7" w:rsidR="00B979FD" w:rsidRDefault="00691BA3" w:rsidP="00B979FD">
            <w:pPr>
              <w:rPr>
                <w:rFonts w:cs="Arial"/>
                <w:b/>
                <w:color w:val="000000"/>
                <w:szCs w:val="24"/>
                <w:u w:val="single"/>
              </w:rPr>
            </w:pPr>
            <w:r w:rsidRPr="00450E40">
              <w:rPr>
                <w:rFonts w:cs="Arial"/>
                <w:b/>
                <w:color w:val="000000"/>
                <w:szCs w:val="24"/>
                <w:u w:val="single"/>
              </w:rPr>
              <w:t>Activity targets</w:t>
            </w:r>
            <w:r w:rsidR="00B979FD" w:rsidRPr="00450E40">
              <w:rPr>
                <w:rFonts w:cs="Arial"/>
                <w:b/>
                <w:color w:val="000000"/>
                <w:szCs w:val="24"/>
                <w:u w:val="single"/>
              </w:rPr>
              <w:t xml:space="preserve">: </w:t>
            </w:r>
            <w:r w:rsidR="007870EE" w:rsidRPr="00450E40">
              <w:rPr>
                <w:rFonts w:cs="Arial"/>
                <w:b/>
                <w:color w:val="000000"/>
                <w:szCs w:val="24"/>
                <w:u w:val="single"/>
              </w:rPr>
              <w:t>11,202</w:t>
            </w:r>
          </w:p>
          <w:p w14:paraId="314D9234" w14:textId="77777777" w:rsidR="00691BA3" w:rsidRPr="00967EF9" w:rsidRDefault="00691BA3" w:rsidP="00B979FD">
            <w:pPr>
              <w:rPr>
                <w:rFonts w:cs="Arial"/>
                <w:b/>
                <w:color w:val="000000"/>
                <w:szCs w:val="24"/>
                <w:u w:val="single"/>
              </w:rPr>
            </w:pPr>
            <w:r w:rsidRPr="008C3ECB">
              <w:rPr>
                <w:rFonts w:cs="Arial"/>
                <w:b/>
                <w:color w:val="000000"/>
                <w:szCs w:val="24"/>
                <w:u w:val="single"/>
              </w:rPr>
              <w:t>Value</w:t>
            </w:r>
            <w:r>
              <w:rPr>
                <w:rFonts w:cs="Arial"/>
                <w:b/>
                <w:color w:val="000000"/>
                <w:szCs w:val="24"/>
                <w:u w:val="single"/>
              </w:rPr>
              <w:t>:</w:t>
            </w:r>
          </w:p>
          <w:p w14:paraId="2B151933" w14:textId="7B4A3171" w:rsidR="00527E4B" w:rsidRPr="008C3ECB" w:rsidRDefault="00841251" w:rsidP="005D7195">
            <w:pPr>
              <w:rPr>
                <w:rFonts w:cs="Arial"/>
                <w:szCs w:val="24"/>
              </w:rPr>
            </w:pPr>
            <w:r w:rsidRPr="00841251">
              <w:rPr>
                <w:rFonts w:cs="Arial"/>
                <w:color w:val="000000"/>
                <w:szCs w:val="24"/>
              </w:rPr>
              <w:t xml:space="preserve">Up to </w:t>
            </w:r>
            <w:r w:rsidR="00532195">
              <w:rPr>
                <w:rFonts w:cs="Arial"/>
                <w:color w:val="000000"/>
                <w:szCs w:val="24"/>
              </w:rPr>
              <w:t>7</w:t>
            </w:r>
            <w:r w:rsidRPr="00841251">
              <w:rPr>
                <w:rFonts w:cs="Arial"/>
                <w:color w:val="000000"/>
                <w:szCs w:val="24"/>
              </w:rPr>
              <w:t xml:space="preserve">0% of the CQUIN is available to ODNs </w:t>
            </w:r>
            <w:r w:rsidR="00450E40">
              <w:rPr>
                <w:rFonts w:cs="Arial"/>
                <w:color w:val="000000"/>
                <w:szCs w:val="24"/>
              </w:rPr>
              <w:t xml:space="preserve">who </w:t>
            </w:r>
            <w:r w:rsidR="008E03B8">
              <w:rPr>
                <w:rFonts w:cs="Arial"/>
                <w:color w:val="000000"/>
                <w:szCs w:val="24"/>
              </w:rPr>
              <w:t xml:space="preserve">continue to </w:t>
            </w:r>
            <w:r w:rsidRPr="00841251">
              <w:rPr>
                <w:rFonts w:cs="Arial"/>
                <w:color w:val="000000"/>
                <w:szCs w:val="24"/>
              </w:rPr>
              <w:t xml:space="preserve">achieve the </w:t>
            </w:r>
            <w:r w:rsidR="008E03B8">
              <w:rPr>
                <w:rFonts w:cs="Arial"/>
                <w:color w:val="000000"/>
                <w:szCs w:val="24"/>
              </w:rPr>
              <w:t>activity level</w:t>
            </w:r>
            <w:r w:rsidR="00450E40">
              <w:rPr>
                <w:rFonts w:cs="Arial"/>
                <w:color w:val="000000"/>
                <w:szCs w:val="24"/>
              </w:rPr>
              <w:t>s</w:t>
            </w:r>
            <w:r w:rsidR="008E03B8">
              <w:rPr>
                <w:rFonts w:cs="Arial"/>
                <w:color w:val="000000"/>
                <w:szCs w:val="24"/>
              </w:rPr>
              <w:t xml:space="preserve"> set at 2018/19 actual treatment levels at month 10 projected to year end. </w:t>
            </w:r>
          </w:p>
          <w:p w14:paraId="637483EE" w14:textId="77777777" w:rsidR="00527E4B" w:rsidRDefault="00527E4B" w:rsidP="00527E4B">
            <w:pPr>
              <w:rPr>
                <w:rFonts w:cs="Arial"/>
                <w:szCs w:val="24"/>
              </w:rPr>
            </w:pPr>
          </w:p>
          <w:p w14:paraId="07F62977" w14:textId="0057C5F5" w:rsidR="00527E4B" w:rsidRPr="00845A91" w:rsidRDefault="008E03B8" w:rsidP="00527E4B">
            <w:pPr>
              <w:rPr>
                <w:rFonts w:cs="Arial"/>
                <w:szCs w:val="24"/>
              </w:rPr>
            </w:pPr>
            <w:r>
              <w:rPr>
                <w:rFonts w:cs="Arial"/>
                <w:szCs w:val="24"/>
              </w:rPr>
              <w:t xml:space="preserve">Run rates have been historically linked to PHE </w:t>
            </w:r>
            <w:proofErr w:type="spellStart"/>
            <w:r>
              <w:rPr>
                <w:rFonts w:cs="Arial"/>
                <w:szCs w:val="24"/>
              </w:rPr>
              <w:t>prevelance</w:t>
            </w:r>
            <w:proofErr w:type="spellEnd"/>
            <w:r>
              <w:rPr>
                <w:rFonts w:cs="Arial"/>
                <w:szCs w:val="24"/>
              </w:rPr>
              <w:t xml:space="preserve"> data which can be found here</w:t>
            </w:r>
            <w:r w:rsidR="00527E4B">
              <w:rPr>
                <w:rFonts w:cs="Arial"/>
                <w:szCs w:val="24"/>
              </w:rPr>
              <w:t xml:space="preserve">: </w:t>
            </w:r>
            <w:hyperlink r:id="rId8" w:tgtFrame="_blank" w:history="1">
              <w:r w:rsidR="00527E4B" w:rsidRPr="00845A91">
                <w:rPr>
                  <w:rStyle w:val="Hyperlink"/>
                </w:rPr>
                <w:t>https://www.gov.uk/government/publications/hepatitis-c-commissioning-template-for-estimating-disease-prevalence</w:t>
              </w:r>
            </w:hyperlink>
          </w:p>
          <w:p w14:paraId="09A17235" w14:textId="77777777" w:rsidR="00527E4B" w:rsidRDefault="00527E4B" w:rsidP="00527E4B">
            <w:pPr>
              <w:rPr>
                <w:rFonts w:cs="Arial"/>
                <w:szCs w:val="24"/>
              </w:rPr>
            </w:pPr>
          </w:p>
          <w:p w14:paraId="521B944D" w14:textId="3B233275" w:rsidR="00527E4B" w:rsidRPr="00845A91" w:rsidRDefault="00DF73E5" w:rsidP="00450E40">
            <w:pPr>
              <w:shd w:val="clear" w:color="auto" w:fill="FFFFFF"/>
              <w:rPr>
                <w:rFonts w:cs="Arial"/>
                <w:szCs w:val="24"/>
              </w:rPr>
            </w:pPr>
            <w:r w:rsidRPr="007C1A8C">
              <w:rPr>
                <w:rFonts w:ascii="Calibri" w:hAnsi="Calibri" w:cs="Calibri"/>
                <w:color w:val="212121"/>
              </w:rPr>
              <w:t> </w:t>
            </w:r>
            <w:r w:rsidR="00527E4B" w:rsidRPr="00845A91">
              <w:rPr>
                <w:rFonts w:cs="Arial"/>
                <w:szCs w:val="24"/>
              </w:rPr>
              <w:t>The quarterly activity targets will be released twice per year:</w:t>
            </w:r>
          </w:p>
          <w:p w14:paraId="07152C9C" w14:textId="5D53FD28" w:rsidR="00527E4B" w:rsidRPr="00845A91" w:rsidRDefault="00527E4B" w:rsidP="003A6D3B">
            <w:pPr>
              <w:pStyle w:val="ListParagraph"/>
              <w:numPr>
                <w:ilvl w:val="0"/>
                <w:numId w:val="8"/>
              </w:numPr>
              <w:rPr>
                <w:rFonts w:cs="Arial"/>
                <w:szCs w:val="24"/>
              </w:rPr>
            </w:pPr>
            <w:r w:rsidRPr="00845A91">
              <w:rPr>
                <w:rFonts w:cs="Arial"/>
                <w:szCs w:val="24"/>
              </w:rPr>
              <w:t xml:space="preserve">Q1 and Q2 </w:t>
            </w:r>
            <w:r w:rsidR="001E58C7">
              <w:rPr>
                <w:rFonts w:cs="Arial"/>
                <w:szCs w:val="24"/>
              </w:rPr>
              <w:t xml:space="preserve">ODN level </w:t>
            </w:r>
            <w:r w:rsidRPr="00845A91">
              <w:rPr>
                <w:rFonts w:cs="Arial"/>
                <w:szCs w:val="24"/>
              </w:rPr>
              <w:t>activity targets will be released on 1</w:t>
            </w:r>
            <w:r w:rsidRPr="00845A91">
              <w:rPr>
                <w:rFonts w:cs="Arial"/>
                <w:szCs w:val="24"/>
                <w:vertAlign w:val="superscript"/>
              </w:rPr>
              <w:t>st</w:t>
            </w:r>
            <w:r w:rsidRPr="00845A91">
              <w:rPr>
                <w:rFonts w:cs="Arial"/>
                <w:szCs w:val="24"/>
              </w:rPr>
              <w:t xml:space="preserve"> </w:t>
            </w:r>
            <w:r w:rsidR="008E03B8">
              <w:rPr>
                <w:rFonts w:cs="Arial"/>
                <w:szCs w:val="24"/>
              </w:rPr>
              <w:t xml:space="preserve">March </w:t>
            </w:r>
            <w:r w:rsidRPr="00845A91">
              <w:rPr>
                <w:rFonts w:cs="Arial"/>
                <w:szCs w:val="24"/>
              </w:rPr>
              <w:t>2019</w:t>
            </w:r>
          </w:p>
          <w:p w14:paraId="525D1FF5" w14:textId="77777777" w:rsidR="00527E4B" w:rsidRPr="00845A91" w:rsidRDefault="00527E4B" w:rsidP="003A6D3B">
            <w:pPr>
              <w:pStyle w:val="ListParagraph"/>
              <w:numPr>
                <w:ilvl w:val="0"/>
                <w:numId w:val="8"/>
              </w:numPr>
              <w:rPr>
                <w:rFonts w:cs="Arial"/>
                <w:szCs w:val="24"/>
              </w:rPr>
            </w:pPr>
            <w:r w:rsidRPr="00845A91">
              <w:rPr>
                <w:rFonts w:cs="Arial"/>
                <w:szCs w:val="24"/>
              </w:rPr>
              <w:lastRenderedPageBreak/>
              <w:t xml:space="preserve">Q3 and Q4 </w:t>
            </w:r>
            <w:r w:rsidR="001E58C7">
              <w:rPr>
                <w:rFonts w:cs="Arial"/>
                <w:szCs w:val="24"/>
              </w:rPr>
              <w:t>ODN level</w:t>
            </w:r>
            <w:r w:rsidR="001E58C7" w:rsidRPr="00845A91">
              <w:rPr>
                <w:rFonts w:cs="Arial"/>
                <w:szCs w:val="24"/>
              </w:rPr>
              <w:t xml:space="preserve"> </w:t>
            </w:r>
            <w:r w:rsidRPr="00845A91">
              <w:rPr>
                <w:rFonts w:cs="Arial"/>
                <w:szCs w:val="24"/>
              </w:rPr>
              <w:t>activity targets will be released on or before 1</w:t>
            </w:r>
            <w:r w:rsidRPr="00845A91">
              <w:rPr>
                <w:rFonts w:cs="Arial"/>
                <w:szCs w:val="24"/>
                <w:vertAlign w:val="superscript"/>
              </w:rPr>
              <w:t>st</w:t>
            </w:r>
            <w:r w:rsidRPr="00845A91">
              <w:rPr>
                <w:rFonts w:cs="Arial"/>
                <w:szCs w:val="24"/>
              </w:rPr>
              <w:t xml:space="preserve"> October 2019</w:t>
            </w:r>
          </w:p>
          <w:p w14:paraId="599FD830" w14:textId="77777777" w:rsidR="001E58C7" w:rsidRPr="008C3ECB" w:rsidRDefault="001E58C7" w:rsidP="00527E4B">
            <w:pPr>
              <w:rPr>
                <w:rFonts w:cs="Arial"/>
                <w:szCs w:val="24"/>
              </w:rPr>
            </w:pPr>
          </w:p>
          <w:tbl>
            <w:tblPr>
              <w:tblStyle w:val="TableGrid"/>
              <w:tblW w:w="0" w:type="auto"/>
              <w:tblLook w:val="04A0" w:firstRow="1" w:lastRow="0" w:firstColumn="1" w:lastColumn="0" w:noHBand="0" w:noVBand="1"/>
            </w:tblPr>
            <w:tblGrid>
              <w:gridCol w:w="2749"/>
              <w:gridCol w:w="6262"/>
            </w:tblGrid>
            <w:tr w:rsidR="00527E4B" w:rsidRPr="008C3ECB" w14:paraId="6E1F4A94" w14:textId="77777777">
              <w:tc>
                <w:tcPr>
                  <w:tcW w:w="2749" w:type="dxa"/>
                </w:tcPr>
                <w:p w14:paraId="64358FA3" w14:textId="77777777" w:rsidR="00527E4B" w:rsidRPr="008C3ECB" w:rsidRDefault="00527E4B" w:rsidP="00527E4B">
                  <w:pPr>
                    <w:rPr>
                      <w:rFonts w:cs="Arial"/>
                      <w:szCs w:val="24"/>
                    </w:rPr>
                  </w:pPr>
                  <w:r>
                    <w:rPr>
                      <w:rFonts w:cs="Arial"/>
                      <w:szCs w:val="24"/>
                    </w:rPr>
                    <w:t>Minimum Activity level</w:t>
                  </w:r>
                </w:p>
              </w:tc>
              <w:tc>
                <w:tcPr>
                  <w:tcW w:w="6262" w:type="dxa"/>
                </w:tcPr>
                <w:p w14:paraId="75D45720" w14:textId="77777777" w:rsidR="00527E4B" w:rsidRPr="008C3ECB" w:rsidRDefault="00527E4B" w:rsidP="00527E4B">
                  <w:pPr>
                    <w:rPr>
                      <w:rFonts w:cs="Arial"/>
                      <w:szCs w:val="24"/>
                    </w:rPr>
                  </w:pPr>
                  <w:r>
                    <w:rPr>
                      <w:rFonts w:cs="Arial"/>
                      <w:szCs w:val="24"/>
                    </w:rPr>
                    <w:t>Payment level</w:t>
                  </w:r>
                </w:p>
              </w:tc>
            </w:tr>
            <w:tr w:rsidR="00527E4B" w:rsidRPr="008C3ECB" w14:paraId="370974F3" w14:textId="77777777">
              <w:tc>
                <w:tcPr>
                  <w:tcW w:w="2749" w:type="dxa"/>
                </w:tcPr>
                <w:p w14:paraId="417CF598" w14:textId="77777777" w:rsidR="00527E4B" w:rsidRDefault="00527E4B" w:rsidP="00527E4B">
                  <w:pPr>
                    <w:rPr>
                      <w:rFonts w:cs="Arial"/>
                      <w:szCs w:val="24"/>
                    </w:rPr>
                  </w:pPr>
                  <w:r>
                    <w:rPr>
                      <w:rFonts w:cs="Arial"/>
                      <w:szCs w:val="24"/>
                    </w:rPr>
                    <w:t xml:space="preserve">100% </w:t>
                  </w:r>
                </w:p>
              </w:tc>
              <w:tc>
                <w:tcPr>
                  <w:tcW w:w="6262" w:type="dxa"/>
                </w:tcPr>
                <w:p w14:paraId="71E69C5C" w14:textId="77777777" w:rsidR="00527E4B" w:rsidRDefault="00527E4B" w:rsidP="00527E4B">
                  <w:pPr>
                    <w:rPr>
                      <w:rFonts w:cs="Arial"/>
                      <w:szCs w:val="24"/>
                    </w:rPr>
                  </w:pPr>
                  <w:r>
                    <w:rPr>
                      <w:rFonts w:cs="Arial"/>
                      <w:szCs w:val="24"/>
                    </w:rPr>
                    <w:t>Full payment</w:t>
                  </w:r>
                </w:p>
              </w:tc>
            </w:tr>
            <w:tr w:rsidR="00527E4B" w:rsidRPr="008C3ECB" w14:paraId="7EFF89AE" w14:textId="77777777">
              <w:tc>
                <w:tcPr>
                  <w:tcW w:w="2749" w:type="dxa"/>
                </w:tcPr>
                <w:p w14:paraId="00D86E1D" w14:textId="77777777" w:rsidR="00527E4B" w:rsidRPr="008C3ECB" w:rsidRDefault="00527E4B" w:rsidP="00527E4B">
                  <w:pPr>
                    <w:rPr>
                      <w:rFonts w:cs="Arial"/>
                      <w:szCs w:val="24"/>
                    </w:rPr>
                  </w:pPr>
                  <w:r>
                    <w:rPr>
                      <w:rFonts w:cs="Arial"/>
                      <w:szCs w:val="24"/>
                    </w:rPr>
                    <w:t xml:space="preserve">Between 99% - 20% </w:t>
                  </w:r>
                </w:p>
              </w:tc>
              <w:tc>
                <w:tcPr>
                  <w:tcW w:w="6262" w:type="dxa"/>
                </w:tcPr>
                <w:p w14:paraId="0A050E3A" w14:textId="77777777" w:rsidR="00527E4B" w:rsidRPr="008C3ECB" w:rsidRDefault="00527E4B" w:rsidP="00527E4B">
                  <w:pPr>
                    <w:rPr>
                      <w:rFonts w:cs="Arial"/>
                      <w:szCs w:val="24"/>
                    </w:rPr>
                  </w:pPr>
                  <w:r>
                    <w:rPr>
                      <w:rFonts w:cs="Arial"/>
                      <w:szCs w:val="24"/>
                    </w:rPr>
                    <w:t xml:space="preserve">Payment is pro- rated and rounded up to the nearest whole number. </w:t>
                  </w:r>
                </w:p>
              </w:tc>
            </w:tr>
            <w:tr w:rsidR="00527E4B" w:rsidRPr="008C3ECB" w14:paraId="33BD3772" w14:textId="77777777">
              <w:trPr>
                <w:trHeight w:val="363"/>
              </w:trPr>
              <w:tc>
                <w:tcPr>
                  <w:tcW w:w="2749" w:type="dxa"/>
                </w:tcPr>
                <w:p w14:paraId="2C51CFE9" w14:textId="77777777" w:rsidR="00527E4B" w:rsidRDefault="00527E4B" w:rsidP="00527E4B">
                  <w:pPr>
                    <w:rPr>
                      <w:rFonts w:cs="Arial"/>
                      <w:szCs w:val="24"/>
                    </w:rPr>
                  </w:pPr>
                  <w:r>
                    <w:rPr>
                      <w:rFonts w:cs="Arial"/>
                      <w:szCs w:val="24"/>
                    </w:rPr>
                    <w:t>Less than 20%</w:t>
                  </w:r>
                </w:p>
              </w:tc>
              <w:tc>
                <w:tcPr>
                  <w:tcW w:w="6262" w:type="dxa"/>
                </w:tcPr>
                <w:p w14:paraId="59A1EAE5" w14:textId="77777777" w:rsidR="00527E4B" w:rsidRDefault="00527E4B" w:rsidP="00527E4B">
                  <w:pPr>
                    <w:rPr>
                      <w:rFonts w:cs="Arial"/>
                      <w:szCs w:val="24"/>
                    </w:rPr>
                  </w:pPr>
                  <w:r w:rsidRPr="008C3ECB">
                    <w:rPr>
                      <w:rFonts w:cs="Arial"/>
                      <w:szCs w:val="24"/>
                    </w:rPr>
                    <w:t>No payment</w:t>
                  </w:r>
                </w:p>
              </w:tc>
            </w:tr>
          </w:tbl>
          <w:p w14:paraId="7D04EB99" w14:textId="77777777" w:rsidR="00527E4B" w:rsidRDefault="00527E4B" w:rsidP="00527E4B">
            <w:pPr>
              <w:rPr>
                <w:rFonts w:cs="Arial"/>
                <w:szCs w:val="24"/>
              </w:rPr>
            </w:pPr>
          </w:p>
          <w:p w14:paraId="40CF4EF5" w14:textId="77777777" w:rsidR="00527E4B" w:rsidRDefault="00527E4B" w:rsidP="00B979FD">
            <w:pPr>
              <w:rPr>
                <w:rFonts w:cs="Arial"/>
                <w:b/>
                <w:szCs w:val="24"/>
              </w:rPr>
            </w:pPr>
          </w:p>
          <w:p w14:paraId="6C14E8F0" w14:textId="4C6F2EB4" w:rsidR="00527E4B" w:rsidRDefault="00527E4B" w:rsidP="00BD4FBC">
            <w:pPr>
              <w:rPr>
                <w:rFonts w:cs="Arial"/>
                <w:color w:val="000000"/>
                <w:szCs w:val="24"/>
              </w:rPr>
            </w:pPr>
            <w:r w:rsidRPr="00BD4FBC">
              <w:rPr>
                <w:rFonts w:cs="Arial"/>
                <w:color w:val="000000"/>
                <w:szCs w:val="24"/>
              </w:rPr>
              <w:t xml:space="preserve">Performance will be measured by the NHS England Finance Team based on </w:t>
            </w:r>
            <w:proofErr w:type="spellStart"/>
            <w:r w:rsidRPr="00BD4FBC">
              <w:rPr>
                <w:rFonts w:cs="Arial"/>
                <w:color w:val="000000"/>
                <w:szCs w:val="24"/>
              </w:rPr>
              <w:t>Blueteq</w:t>
            </w:r>
            <w:proofErr w:type="spellEnd"/>
            <w:r w:rsidRPr="00BD4FBC">
              <w:rPr>
                <w:rFonts w:cs="Arial"/>
                <w:color w:val="000000"/>
                <w:szCs w:val="24"/>
              </w:rPr>
              <w:t xml:space="preserve"> activity data.  </w:t>
            </w:r>
            <w:r w:rsidR="008666C0">
              <w:rPr>
                <w:rFonts w:cs="Arial"/>
                <w:color w:val="000000"/>
                <w:szCs w:val="24"/>
              </w:rPr>
              <w:t xml:space="preserve">Assessment </w:t>
            </w:r>
            <w:r w:rsidR="00BD4FBC">
              <w:t xml:space="preserve">will be made </w:t>
            </w:r>
            <w:r w:rsidR="00BD4FBC" w:rsidRPr="00BE0F18">
              <w:rPr>
                <w:rFonts w:cs="Arial"/>
                <w:szCs w:val="24"/>
              </w:rPr>
              <w:t>twice per year, after the end of Q2 and Q4</w:t>
            </w:r>
            <w:r w:rsidR="006E1BC5">
              <w:rPr>
                <w:rFonts w:cs="Arial"/>
                <w:szCs w:val="24"/>
              </w:rPr>
              <w:t xml:space="preserve"> supported by quarterly reporting</w:t>
            </w:r>
            <w:r w:rsidR="00BD4FBC" w:rsidRPr="00BE0F18">
              <w:rPr>
                <w:rFonts w:cs="Arial"/>
                <w:szCs w:val="24"/>
              </w:rPr>
              <w:t xml:space="preserve">.  </w:t>
            </w:r>
            <w:r w:rsidR="00BD4FBC" w:rsidRPr="00BD4FBC">
              <w:rPr>
                <w:rFonts w:cs="Arial"/>
                <w:szCs w:val="24"/>
              </w:rPr>
              <w:t xml:space="preserve">If an ODN does not meet the quarterly activity targets, however meets or exceeds the annual target by year end, a retrospective payment will be made for the full value of this Trigger i.e. the ODN can fully achieve this CQUIN if the activity </w:t>
            </w:r>
            <w:r w:rsidR="00BD4FBC">
              <w:rPr>
                <w:rFonts w:cs="Arial"/>
                <w:szCs w:val="24"/>
              </w:rPr>
              <w:t xml:space="preserve">target </w:t>
            </w:r>
            <w:r w:rsidR="00BD4FBC" w:rsidRPr="00BD4FBC">
              <w:rPr>
                <w:rFonts w:cs="Arial"/>
                <w:szCs w:val="24"/>
              </w:rPr>
              <w:t xml:space="preserve">is met by year end.  </w:t>
            </w:r>
          </w:p>
          <w:p w14:paraId="79393A84" w14:textId="77777777" w:rsidR="00527E4B" w:rsidRDefault="00527E4B" w:rsidP="00B979FD">
            <w:pPr>
              <w:rPr>
                <w:rFonts w:cs="Arial"/>
                <w:b/>
                <w:szCs w:val="24"/>
              </w:rPr>
            </w:pPr>
          </w:p>
          <w:p w14:paraId="2386D98F" w14:textId="0579DEDC" w:rsidR="00872652" w:rsidRPr="003238BB" w:rsidRDefault="00872652" w:rsidP="003A6D3B">
            <w:pPr>
              <w:pStyle w:val="ListParagraph"/>
              <w:numPr>
                <w:ilvl w:val="0"/>
                <w:numId w:val="8"/>
              </w:numPr>
              <w:rPr>
                <w:rFonts w:cs="Arial"/>
                <w:szCs w:val="24"/>
              </w:rPr>
            </w:pPr>
            <w:r w:rsidRPr="003238BB">
              <w:rPr>
                <w:rFonts w:cs="Arial"/>
                <w:color w:val="000000"/>
                <w:szCs w:val="24"/>
              </w:rPr>
              <w:t>E</w:t>
            </w:r>
            <w:r w:rsidRPr="003238BB">
              <w:rPr>
                <w:rFonts w:cs="Arial"/>
                <w:szCs w:val="24"/>
              </w:rPr>
              <w:t>ach quarter is worth 1</w:t>
            </w:r>
            <w:r w:rsidR="00E63565">
              <w:rPr>
                <w:rFonts w:cs="Arial"/>
                <w:szCs w:val="24"/>
              </w:rPr>
              <w:t>7.</w:t>
            </w:r>
            <w:r w:rsidRPr="003238BB">
              <w:rPr>
                <w:rFonts w:cs="Arial"/>
                <w:szCs w:val="24"/>
              </w:rPr>
              <w:t xml:space="preserve">5% of the available </w:t>
            </w:r>
            <w:r w:rsidR="00E63565">
              <w:rPr>
                <w:rFonts w:cs="Arial"/>
                <w:szCs w:val="24"/>
              </w:rPr>
              <w:t>7</w:t>
            </w:r>
            <w:r w:rsidRPr="003238BB">
              <w:rPr>
                <w:rFonts w:cs="Arial"/>
                <w:szCs w:val="24"/>
              </w:rPr>
              <w:t>0%.</w:t>
            </w:r>
          </w:p>
          <w:p w14:paraId="07550351" w14:textId="2F674EB4" w:rsidR="002C0C64" w:rsidRPr="002C0C64" w:rsidRDefault="00E63565" w:rsidP="003A6D3B">
            <w:pPr>
              <w:pStyle w:val="ListParagraph"/>
              <w:numPr>
                <w:ilvl w:val="0"/>
                <w:numId w:val="8"/>
              </w:numPr>
              <w:rPr>
                <w:rFonts w:cs="Arial"/>
                <w:szCs w:val="24"/>
              </w:rPr>
            </w:pPr>
            <w:r>
              <w:rPr>
                <w:rFonts w:cs="Arial"/>
                <w:szCs w:val="24"/>
              </w:rPr>
              <w:t>7</w:t>
            </w:r>
            <w:r w:rsidR="002C0C64" w:rsidRPr="002C0C64">
              <w:rPr>
                <w:rFonts w:cs="Arial"/>
                <w:szCs w:val="24"/>
              </w:rPr>
              <w:t>0% of the</w:t>
            </w:r>
            <w:r w:rsidR="00872652">
              <w:rPr>
                <w:rFonts w:cs="Arial"/>
                <w:szCs w:val="24"/>
              </w:rPr>
              <w:t xml:space="preserve"> CQUIN monies are available to </w:t>
            </w:r>
            <w:r w:rsidR="002C0C64" w:rsidRPr="002C0C64">
              <w:rPr>
                <w:rFonts w:cs="Arial"/>
                <w:szCs w:val="24"/>
              </w:rPr>
              <w:t xml:space="preserve">ODNs achieving 100% of the minimum quarterly activity target.  </w:t>
            </w:r>
          </w:p>
          <w:p w14:paraId="636CEF06" w14:textId="77777777" w:rsidR="002C0C64" w:rsidRPr="002C0C64" w:rsidRDefault="002C0C64" w:rsidP="003A6D3B">
            <w:pPr>
              <w:pStyle w:val="ListParagraph"/>
              <w:numPr>
                <w:ilvl w:val="0"/>
                <w:numId w:val="8"/>
              </w:numPr>
              <w:rPr>
                <w:rFonts w:cs="Arial"/>
                <w:szCs w:val="24"/>
              </w:rPr>
            </w:pPr>
            <w:r w:rsidRPr="002C0C64">
              <w:rPr>
                <w:rFonts w:cs="Arial"/>
                <w:szCs w:val="24"/>
              </w:rPr>
              <w:t>Where quarterly activity levels are between 99% and 20% payment is pro-rated and rounded up to the nearest whole number.</w:t>
            </w:r>
          </w:p>
          <w:p w14:paraId="651AA6A6" w14:textId="6BC07A29" w:rsidR="002C0C64" w:rsidRDefault="002C0C64" w:rsidP="003A6D3B">
            <w:pPr>
              <w:pStyle w:val="ListParagraph"/>
              <w:numPr>
                <w:ilvl w:val="0"/>
                <w:numId w:val="8"/>
              </w:numPr>
              <w:rPr>
                <w:rFonts w:cs="Arial"/>
                <w:szCs w:val="24"/>
              </w:rPr>
            </w:pPr>
            <w:r w:rsidRPr="002C0C64">
              <w:rPr>
                <w:rFonts w:cs="Arial"/>
                <w:szCs w:val="24"/>
              </w:rPr>
              <w:t xml:space="preserve">Should activity fall below 20% of the </w:t>
            </w:r>
            <w:r w:rsidR="00D0432B">
              <w:rPr>
                <w:rFonts w:cs="Arial"/>
                <w:szCs w:val="24"/>
              </w:rPr>
              <w:t xml:space="preserve">annual </w:t>
            </w:r>
            <w:r w:rsidRPr="002C0C64">
              <w:rPr>
                <w:rFonts w:cs="Arial"/>
                <w:szCs w:val="24"/>
              </w:rPr>
              <w:t xml:space="preserve">activity target, no payment will be made.  </w:t>
            </w:r>
          </w:p>
          <w:p w14:paraId="7C080C26" w14:textId="0C3EDFE6" w:rsidR="002B37D3" w:rsidRPr="002B37D3" w:rsidRDefault="002B37D3" w:rsidP="003A6D3B">
            <w:pPr>
              <w:pStyle w:val="ListParagraph"/>
              <w:numPr>
                <w:ilvl w:val="0"/>
                <w:numId w:val="8"/>
              </w:numPr>
              <w:rPr>
                <w:rFonts w:cs="Arial"/>
                <w:szCs w:val="24"/>
              </w:rPr>
            </w:pPr>
            <w:r>
              <w:rPr>
                <w:rFonts w:cs="Arial"/>
                <w:szCs w:val="24"/>
              </w:rPr>
              <w:t xml:space="preserve">ODNs must achieve a minimum of 20% of the Trigger 1 activity target at </w:t>
            </w:r>
            <w:r w:rsidRPr="00872652">
              <w:rPr>
                <w:rFonts w:cs="Arial"/>
                <w:b/>
                <w:szCs w:val="24"/>
              </w:rPr>
              <w:t>year end</w:t>
            </w:r>
            <w:r>
              <w:rPr>
                <w:rFonts w:cs="Arial"/>
                <w:szCs w:val="24"/>
              </w:rPr>
              <w:t>, below this threshold there is no payment and any quarterly monies paid will be ‘clawed back’</w:t>
            </w:r>
          </w:p>
          <w:p w14:paraId="5BC717D2" w14:textId="63203B4A" w:rsidR="002C0C64" w:rsidRPr="002C0C64" w:rsidRDefault="002C0C64" w:rsidP="003A6D3B">
            <w:pPr>
              <w:pStyle w:val="ListParagraph"/>
              <w:numPr>
                <w:ilvl w:val="0"/>
                <w:numId w:val="8"/>
              </w:numPr>
              <w:rPr>
                <w:rFonts w:cs="Arial"/>
                <w:szCs w:val="24"/>
              </w:rPr>
            </w:pPr>
            <w:r w:rsidRPr="002C0C64">
              <w:rPr>
                <w:rFonts w:cs="Arial"/>
                <w:szCs w:val="24"/>
              </w:rPr>
              <w:t xml:space="preserve">ODNs can achieve full payment if the yearend activity figure, meets or exceeds the annual target, irrespective of the quarterly performance.  A retrospective payment will be made after Q4 for the full </w:t>
            </w:r>
            <w:r w:rsidR="00264976">
              <w:rPr>
                <w:rFonts w:cs="Arial"/>
                <w:szCs w:val="24"/>
              </w:rPr>
              <w:t>7</w:t>
            </w:r>
            <w:r w:rsidRPr="002C0C64">
              <w:rPr>
                <w:rFonts w:cs="Arial"/>
                <w:szCs w:val="24"/>
              </w:rPr>
              <w:t xml:space="preserve">0%.  </w:t>
            </w:r>
          </w:p>
          <w:p w14:paraId="7FE9C39A" w14:textId="77777777" w:rsidR="002C0C64" w:rsidRPr="002C0C64" w:rsidRDefault="002C0C64" w:rsidP="003A6D3B">
            <w:pPr>
              <w:pStyle w:val="ListParagraph"/>
              <w:numPr>
                <w:ilvl w:val="0"/>
                <w:numId w:val="8"/>
              </w:numPr>
              <w:rPr>
                <w:rFonts w:cs="Arial"/>
                <w:szCs w:val="24"/>
              </w:rPr>
            </w:pPr>
            <w:r w:rsidRPr="002C0C64">
              <w:rPr>
                <w:rFonts w:cs="Arial"/>
                <w:szCs w:val="24"/>
              </w:rPr>
              <w:t xml:space="preserve">Worked examples are provided in Appendix 1. </w:t>
            </w:r>
          </w:p>
          <w:p w14:paraId="4601F5DD" w14:textId="77777777" w:rsidR="001202A9" w:rsidRDefault="001202A9" w:rsidP="00B979FD">
            <w:pPr>
              <w:rPr>
                <w:rFonts w:cs="Arial"/>
                <w:b/>
                <w:szCs w:val="24"/>
              </w:rPr>
            </w:pPr>
          </w:p>
          <w:p w14:paraId="59A5542B" w14:textId="70BFBB09" w:rsidR="00B979FD" w:rsidRPr="008C3ECB" w:rsidRDefault="00B979FD" w:rsidP="003A6D3B">
            <w:pPr>
              <w:pStyle w:val="ListParagraph"/>
              <w:numPr>
                <w:ilvl w:val="0"/>
                <w:numId w:val="8"/>
              </w:numPr>
              <w:rPr>
                <w:rFonts w:cs="Arial"/>
                <w:szCs w:val="24"/>
              </w:rPr>
            </w:pPr>
            <w:r w:rsidRPr="007D53E7">
              <w:rPr>
                <w:rFonts w:cs="Arial"/>
                <w:color w:val="000000"/>
                <w:szCs w:val="24"/>
              </w:rPr>
              <w:t xml:space="preserve">Activity rates are </w:t>
            </w:r>
            <w:r w:rsidR="00474216">
              <w:rPr>
                <w:rFonts w:cs="Arial"/>
                <w:color w:val="000000"/>
                <w:szCs w:val="24"/>
              </w:rPr>
              <w:t xml:space="preserve">counted </w:t>
            </w:r>
            <w:r w:rsidRPr="007D53E7">
              <w:rPr>
                <w:rFonts w:cs="Arial"/>
                <w:color w:val="000000"/>
                <w:szCs w:val="24"/>
              </w:rPr>
              <w:t xml:space="preserve">per patient not per treatment e.g. </w:t>
            </w:r>
            <w:r w:rsidRPr="007D53E7">
              <w:rPr>
                <w:rFonts w:cs="Arial"/>
                <w:szCs w:val="24"/>
              </w:rPr>
              <w:t xml:space="preserve">if a patient receives 2 courses of treatment 6 months apart </w:t>
            </w:r>
            <w:r w:rsidR="00331EA7" w:rsidRPr="007D53E7">
              <w:rPr>
                <w:rFonts w:cs="Arial"/>
                <w:szCs w:val="24"/>
              </w:rPr>
              <w:t xml:space="preserve">this </w:t>
            </w:r>
            <w:r w:rsidR="008139F0">
              <w:rPr>
                <w:rFonts w:cs="Arial"/>
                <w:szCs w:val="24"/>
              </w:rPr>
              <w:t xml:space="preserve">is </w:t>
            </w:r>
            <w:r w:rsidR="00331EA7" w:rsidRPr="007D53E7">
              <w:rPr>
                <w:rFonts w:cs="Arial"/>
                <w:szCs w:val="24"/>
              </w:rPr>
              <w:t>count</w:t>
            </w:r>
            <w:r w:rsidR="008139F0">
              <w:rPr>
                <w:rFonts w:cs="Arial"/>
                <w:szCs w:val="24"/>
              </w:rPr>
              <w:t xml:space="preserve">ed </w:t>
            </w:r>
            <w:r>
              <w:rPr>
                <w:rFonts w:cs="Arial"/>
                <w:szCs w:val="24"/>
              </w:rPr>
              <w:t>once</w:t>
            </w:r>
            <w:r w:rsidRPr="007D53E7">
              <w:rPr>
                <w:rFonts w:cs="Arial"/>
                <w:szCs w:val="24"/>
              </w:rPr>
              <w:t xml:space="preserve"> in the activity figures</w:t>
            </w:r>
            <w:r>
              <w:rPr>
                <w:rFonts w:cs="Arial"/>
                <w:szCs w:val="24"/>
              </w:rPr>
              <w:t xml:space="preserve">; when the </w:t>
            </w:r>
            <w:r w:rsidRPr="007D53E7">
              <w:rPr>
                <w:rFonts w:cs="Arial"/>
                <w:szCs w:val="24"/>
              </w:rPr>
              <w:t xml:space="preserve">first </w:t>
            </w:r>
            <w:r>
              <w:rPr>
                <w:rFonts w:cs="Arial"/>
                <w:szCs w:val="24"/>
              </w:rPr>
              <w:t>course of treatment commence</w:t>
            </w:r>
            <w:r w:rsidR="008139F0">
              <w:rPr>
                <w:rFonts w:cs="Arial"/>
                <w:szCs w:val="24"/>
              </w:rPr>
              <w:t>s</w:t>
            </w:r>
            <w:r>
              <w:rPr>
                <w:rFonts w:cs="Arial"/>
                <w:szCs w:val="24"/>
              </w:rPr>
              <w:t xml:space="preserve">. </w:t>
            </w:r>
          </w:p>
          <w:p w14:paraId="369ACCC3" w14:textId="77777777" w:rsidR="00B979FD" w:rsidRPr="00757444" w:rsidRDefault="00B979FD" w:rsidP="003A6D3B">
            <w:pPr>
              <w:pStyle w:val="ListParagraph"/>
              <w:keepNext/>
              <w:numPr>
                <w:ilvl w:val="0"/>
                <w:numId w:val="8"/>
              </w:numPr>
              <w:rPr>
                <w:rFonts w:cs="Arial"/>
                <w:color w:val="000000"/>
                <w:szCs w:val="24"/>
              </w:rPr>
            </w:pPr>
            <w:r w:rsidRPr="00757444">
              <w:rPr>
                <w:rFonts w:cs="Arial"/>
                <w:color w:val="000000"/>
                <w:szCs w:val="24"/>
              </w:rPr>
              <w:t xml:space="preserve">Patient treatment activity in trials will be counted as part of the activity target (patients treated in trials funded by a drug company are now included in this trigger). </w:t>
            </w:r>
          </w:p>
          <w:p w14:paraId="6BAE3831" w14:textId="77777777" w:rsidR="00B979FD" w:rsidRPr="00757444" w:rsidRDefault="00B979FD" w:rsidP="003A6D3B">
            <w:pPr>
              <w:pStyle w:val="ListParagraph"/>
              <w:numPr>
                <w:ilvl w:val="0"/>
                <w:numId w:val="8"/>
              </w:numPr>
              <w:rPr>
                <w:rFonts w:cs="Arial"/>
                <w:szCs w:val="24"/>
              </w:rPr>
            </w:pPr>
            <w:r w:rsidRPr="00757444">
              <w:rPr>
                <w:rFonts w:cs="Arial"/>
                <w:color w:val="000000" w:themeColor="text1"/>
                <w:szCs w:val="24"/>
              </w:rPr>
              <w:t>ODNs are encouraged to treat a</w:t>
            </w:r>
            <w:r w:rsidR="002C0C64" w:rsidRPr="00757444">
              <w:rPr>
                <w:rFonts w:cs="Arial"/>
                <w:color w:val="000000" w:themeColor="text1"/>
                <w:szCs w:val="24"/>
              </w:rPr>
              <w:t xml:space="preserve"> </w:t>
            </w:r>
            <w:r w:rsidRPr="00757444">
              <w:rPr>
                <w:rFonts w:cs="Arial"/>
                <w:color w:val="000000" w:themeColor="text1"/>
                <w:szCs w:val="24"/>
              </w:rPr>
              <w:t>s</w:t>
            </w:r>
            <w:r w:rsidR="002C0C64" w:rsidRPr="00757444">
              <w:rPr>
                <w:rFonts w:cs="Arial"/>
                <w:color w:val="000000" w:themeColor="text1"/>
                <w:szCs w:val="24"/>
              </w:rPr>
              <w:t xml:space="preserve">ignificant increase in </w:t>
            </w:r>
            <w:r w:rsidRPr="00757444">
              <w:rPr>
                <w:rFonts w:cs="Arial"/>
                <w:color w:val="000000" w:themeColor="text1"/>
                <w:szCs w:val="24"/>
              </w:rPr>
              <w:t>patients as the programme progres</w:t>
            </w:r>
            <w:r w:rsidR="002C0C64" w:rsidRPr="00757444">
              <w:rPr>
                <w:rFonts w:cs="Arial"/>
                <w:color w:val="000000" w:themeColor="text1"/>
                <w:szCs w:val="24"/>
              </w:rPr>
              <w:t>ses toward the elimination goal.</w:t>
            </w:r>
            <w:r w:rsidRPr="00757444">
              <w:rPr>
                <w:rFonts w:cs="Arial"/>
                <w:color w:val="000000" w:themeColor="text1"/>
                <w:szCs w:val="24"/>
              </w:rPr>
              <w:t xml:space="preserve"> </w:t>
            </w:r>
          </w:p>
          <w:p w14:paraId="15AEAA76" w14:textId="592F9154" w:rsidR="00B979FD" w:rsidRPr="00757444" w:rsidRDefault="00B979FD" w:rsidP="00B979FD">
            <w:pPr>
              <w:rPr>
                <w:rFonts w:cs="Arial"/>
                <w:szCs w:val="24"/>
              </w:rPr>
            </w:pPr>
          </w:p>
          <w:p w14:paraId="10E73902" w14:textId="38107F5B" w:rsidR="00AD63CC" w:rsidRDefault="006D16FE" w:rsidP="00B979FD">
            <w:pPr>
              <w:rPr>
                <w:rFonts w:cs="Arial"/>
                <w:szCs w:val="24"/>
              </w:rPr>
            </w:pPr>
            <w:r w:rsidRPr="00757444">
              <w:rPr>
                <w:rFonts w:cs="Arial"/>
                <w:szCs w:val="24"/>
              </w:rPr>
              <w:t>The following definitions apply:</w:t>
            </w:r>
            <w:r w:rsidR="00AD63CC">
              <w:rPr>
                <w:rFonts w:cs="Arial"/>
                <w:szCs w:val="24"/>
              </w:rPr>
              <w:t xml:space="preserve"> </w:t>
            </w:r>
          </w:p>
          <w:p w14:paraId="2D55A080" w14:textId="4CD4E9EE" w:rsidR="00AD63CC" w:rsidRDefault="00AD63CC" w:rsidP="00B979FD">
            <w:pPr>
              <w:rPr>
                <w:rFonts w:cs="Arial"/>
                <w:szCs w:val="24"/>
              </w:rPr>
            </w:pPr>
          </w:p>
          <w:p w14:paraId="1F1F1B37" w14:textId="7BE5015F" w:rsidR="00AD63CC" w:rsidRDefault="00AD63CC" w:rsidP="00B979FD">
            <w:pPr>
              <w:rPr>
                <w:rFonts w:cs="Arial"/>
                <w:szCs w:val="24"/>
              </w:rPr>
            </w:pPr>
            <w:r w:rsidRPr="00AD63CC">
              <w:rPr>
                <w:rFonts w:cs="Arial"/>
                <w:szCs w:val="24"/>
              </w:rPr>
              <w:t>Treatment Failure</w:t>
            </w:r>
            <w:r w:rsidR="006D16FE">
              <w:rPr>
                <w:rFonts w:cs="Arial"/>
                <w:szCs w:val="24"/>
              </w:rPr>
              <w:t xml:space="preserve"> leading to a re treatment: this </w:t>
            </w:r>
            <w:r w:rsidRPr="00AD63CC">
              <w:rPr>
                <w:rFonts w:cs="Arial"/>
                <w:szCs w:val="24"/>
              </w:rPr>
              <w:t>is the failure of a patient to achieve sustained virologic response at 12 weeks (SVR12) following completion of the intended duration of treatment (</w:t>
            </w:r>
            <w:r w:rsidR="00E6200B">
              <w:rPr>
                <w:rFonts w:cs="Arial"/>
                <w:szCs w:val="24"/>
              </w:rPr>
              <w:t>or following ea</w:t>
            </w:r>
            <w:r w:rsidR="00385A3C">
              <w:rPr>
                <w:rFonts w:cs="Arial"/>
                <w:szCs w:val="24"/>
              </w:rPr>
              <w:t>rly discontinuation on the advic</w:t>
            </w:r>
            <w:r w:rsidR="00E6200B">
              <w:rPr>
                <w:rFonts w:cs="Arial"/>
                <w:szCs w:val="24"/>
              </w:rPr>
              <w:t xml:space="preserve">e of a physician for failure to respond) </w:t>
            </w:r>
            <w:r w:rsidRPr="00AD63CC">
              <w:rPr>
                <w:rFonts w:cs="Arial"/>
                <w:szCs w:val="24"/>
              </w:rPr>
              <w:t>with the patient having complied with at least 80% of the treatment regimen as evidenced by a declaration from the relevant clinician.</w:t>
            </w:r>
          </w:p>
          <w:p w14:paraId="7DB16DC0" w14:textId="77777777" w:rsidR="00E6200B" w:rsidRDefault="00E6200B" w:rsidP="00B979FD">
            <w:pPr>
              <w:rPr>
                <w:rFonts w:cs="Arial"/>
                <w:szCs w:val="24"/>
              </w:rPr>
            </w:pPr>
          </w:p>
          <w:p w14:paraId="432F5B71" w14:textId="1ACC5A02" w:rsidR="00AD63CC" w:rsidRDefault="00AD63CC" w:rsidP="00B979FD">
            <w:pPr>
              <w:rPr>
                <w:rFonts w:cs="Arial"/>
                <w:szCs w:val="24"/>
              </w:rPr>
            </w:pPr>
            <w:r>
              <w:rPr>
                <w:rFonts w:cs="Arial"/>
                <w:szCs w:val="24"/>
              </w:rPr>
              <w:t xml:space="preserve">These retreatments should be checked for eligibility for a rebate from the drugs manufacturers. </w:t>
            </w:r>
          </w:p>
          <w:p w14:paraId="2CA5D0ED" w14:textId="77777777" w:rsidR="00E6200B" w:rsidRDefault="00E6200B" w:rsidP="00B979FD">
            <w:pPr>
              <w:rPr>
                <w:rFonts w:cs="Arial"/>
                <w:szCs w:val="24"/>
              </w:rPr>
            </w:pPr>
          </w:p>
          <w:p w14:paraId="7E331ECC" w14:textId="5C897C6C" w:rsidR="00AD63CC" w:rsidRDefault="006D16FE" w:rsidP="00B979FD">
            <w:pPr>
              <w:rPr>
                <w:rFonts w:cs="Arial"/>
                <w:szCs w:val="24"/>
              </w:rPr>
            </w:pPr>
            <w:r>
              <w:rPr>
                <w:rFonts w:cs="Arial"/>
                <w:szCs w:val="24"/>
              </w:rPr>
              <w:t xml:space="preserve">As activity </w:t>
            </w:r>
            <w:r w:rsidRPr="007D53E7">
              <w:rPr>
                <w:rFonts w:cs="Arial"/>
                <w:color w:val="000000"/>
                <w:szCs w:val="24"/>
              </w:rPr>
              <w:t xml:space="preserve">rates are </w:t>
            </w:r>
            <w:r>
              <w:rPr>
                <w:rFonts w:cs="Arial"/>
                <w:color w:val="000000"/>
                <w:szCs w:val="24"/>
              </w:rPr>
              <w:t xml:space="preserve">counted </w:t>
            </w:r>
            <w:r w:rsidRPr="007D53E7">
              <w:rPr>
                <w:rFonts w:cs="Arial"/>
                <w:color w:val="000000"/>
                <w:szCs w:val="24"/>
              </w:rPr>
              <w:t>per patient not per treatment</w:t>
            </w:r>
            <w:r>
              <w:rPr>
                <w:rFonts w:cs="Arial"/>
                <w:color w:val="000000"/>
                <w:szCs w:val="24"/>
              </w:rPr>
              <w:t xml:space="preserve">, retreatments are not counted in the activity figures.  E.g. </w:t>
            </w:r>
            <w:r>
              <w:rPr>
                <w:rFonts w:cs="Arial"/>
                <w:szCs w:val="24"/>
              </w:rPr>
              <w:t>patient commences first course of treatment in May, in August the</w:t>
            </w:r>
            <w:r w:rsidR="00385A3C">
              <w:rPr>
                <w:rFonts w:cs="Arial"/>
                <w:szCs w:val="24"/>
              </w:rPr>
              <w:t xml:space="preserve"> patient has not achieved an </w:t>
            </w:r>
            <w:r>
              <w:rPr>
                <w:rFonts w:cs="Arial"/>
                <w:szCs w:val="24"/>
              </w:rPr>
              <w:t xml:space="preserve">SVR, the patient is prescribed and takes a second course of DAAs – the patient is counted once in the activity figures during May. </w:t>
            </w:r>
          </w:p>
          <w:p w14:paraId="4E0F72E0" w14:textId="77777777" w:rsidR="00E6200B" w:rsidRDefault="00E6200B" w:rsidP="00B979FD">
            <w:pPr>
              <w:rPr>
                <w:rFonts w:cs="Arial"/>
                <w:szCs w:val="24"/>
              </w:rPr>
            </w:pPr>
          </w:p>
          <w:p w14:paraId="2213912C" w14:textId="77777777" w:rsidR="00AB24E0" w:rsidRDefault="00AB24E0" w:rsidP="00AB24E0">
            <w:pPr>
              <w:rPr>
                <w:rFonts w:cs="Arial"/>
                <w:szCs w:val="24"/>
              </w:rPr>
            </w:pPr>
            <w:r>
              <w:rPr>
                <w:rFonts w:cs="Arial"/>
                <w:szCs w:val="24"/>
              </w:rPr>
              <w:t xml:space="preserve">The link to the retreatment policy is </w:t>
            </w:r>
            <w:r w:rsidRPr="008C3ECB">
              <w:rPr>
                <w:rFonts w:cs="Arial"/>
                <w:szCs w:val="24"/>
              </w:rPr>
              <w:t>(</w:t>
            </w:r>
            <w:hyperlink r:id="rId9" w:history="1">
              <w:r w:rsidRPr="008C3ECB">
                <w:rPr>
                  <w:rStyle w:val="Hyperlink"/>
                  <w:rFonts w:cs="Arial"/>
                  <w:szCs w:val="24"/>
                </w:rPr>
                <w:t>https://www.england.nhs.uk/wp-content/uploads/2017/08/ccp-statement-retreatment-chronic-hepatitis-c-infection.pdf</w:t>
              </w:r>
            </w:hyperlink>
            <w:r>
              <w:rPr>
                <w:rFonts w:cs="Arial"/>
                <w:szCs w:val="24"/>
              </w:rPr>
              <w:t xml:space="preserve"> </w:t>
            </w:r>
          </w:p>
          <w:p w14:paraId="72F5AB5A" w14:textId="55BB8113" w:rsidR="006D16FE" w:rsidRDefault="006D16FE" w:rsidP="00B979FD">
            <w:pPr>
              <w:rPr>
                <w:rFonts w:cs="Arial"/>
                <w:szCs w:val="24"/>
              </w:rPr>
            </w:pPr>
          </w:p>
          <w:p w14:paraId="4954BE9F" w14:textId="77777777" w:rsidR="00B979FD" w:rsidRDefault="00B979FD" w:rsidP="00B979FD">
            <w:pPr>
              <w:rPr>
                <w:rFonts w:cs="Arial"/>
                <w:szCs w:val="24"/>
              </w:rPr>
            </w:pPr>
            <w:r>
              <w:rPr>
                <w:rFonts w:cs="Arial"/>
                <w:szCs w:val="24"/>
              </w:rPr>
              <w:t xml:space="preserve">Children and adolescents are included in the number of new patients treated but have their own rate card indicating preferred treatment options.  The link to the Medicines for Children and Adolescents Policy is: </w:t>
            </w:r>
            <w:hyperlink r:id="rId10" w:history="1">
              <w:r w:rsidRPr="00245FDB">
                <w:rPr>
                  <w:rStyle w:val="Hyperlink"/>
                  <w:rFonts w:cs="Arial"/>
                  <w:szCs w:val="24"/>
                </w:rPr>
                <w:t>https://www.england.nhs.uk/publication/commissioning-medicines-for-children-specialised-services</w:t>
              </w:r>
            </w:hyperlink>
            <w:r>
              <w:rPr>
                <w:rFonts w:cs="Arial"/>
                <w:szCs w:val="24"/>
              </w:rPr>
              <w:t xml:space="preserve">.  </w:t>
            </w:r>
          </w:p>
          <w:p w14:paraId="5321AE81" w14:textId="77777777" w:rsidR="002C0C64" w:rsidRDefault="002C0C64" w:rsidP="00B979FD">
            <w:pPr>
              <w:rPr>
                <w:rFonts w:cs="Arial"/>
                <w:szCs w:val="24"/>
              </w:rPr>
            </w:pPr>
          </w:p>
          <w:p w14:paraId="45A40A04" w14:textId="77777777" w:rsidR="00B979FD" w:rsidRPr="006133A3" w:rsidRDefault="006133A3" w:rsidP="0084461B">
            <w:pPr>
              <w:rPr>
                <w:rFonts w:cs="Arial"/>
                <w:b/>
                <w:szCs w:val="24"/>
                <w:u w:val="single"/>
              </w:rPr>
            </w:pPr>
            <w:r w:rsidRPr="006133A3">
              <w:rPr>
                <w:rFonts w:cs="Arial"/>
                <w:b/>
                <w:szCs w:val="24"/>
                <w:u w:val="single"/>
              </w:rPr>
              <w:t>Quarterly reporting</w:t>
            </w:r>
          </w:p>
          <w:p w14:paraId="41212387" w14:textId="77777777" w:rsidR="006133A3" w:rsidRDefault="006133A3" w:rsidP="006133A3">
            <w:pPr>
              <w:rPr>
                <w:rFonts w:cs="Arial"/>
                <w:szCs w:val="24"/>
              </w:rPr>
            </w:pPr>
            <w:r>
              <w:rPr>
                <w:rFonts w:cs="Arial"/>
                <w:szCs w:val="24"/>
              </w:rPr>
              <w:t xml:space="preserve">ODNs should provide 3 </w:t>
            </w:r>
            <w:r w:rsidRPr="008C3ECB">
              <w:rPr>
                <w:rFonts w:cs="Arial"/>
                <w:szCs w:val="24"/>
              </w:rPr>
              <w:t xml:space="preserve">quarterly </w:t>
            </w:r>
            <w:r>
              <w:rPr>
                <w:rFonts w:cs="Arial"/>
                <w:szCs w:val="24"/>
              </w:rPr>
              <w:t xml:space="preserve">reports (Q1, Q2 and Q3) and one annual report in Q4 to the </w:t>
            </w:r>
            <w:r w:rsidRPr="008C3ECB">
              <w:rPr>
                <w:rFonts w:cs="Arial"/>
                <w:szCs w:val="24"/>
              </w:rPr>
              <w:t>national team at</w:t>
            </w:r>
            <w:r>
              <w:rPr>
                <w:rFonts w:cs="Arial"/>
                <w:szCs w:val="24"/>
              </w:rPr>
              <w:t>:</w:t>
            </w:r>
            <w:r w:rsidRPr="008C3ECB">
              <w:rPr>
                <w:rFonts w:cs="Arial"/>
                <w:szCs w:val="24"/>
              </w:rPr>
              <w:t xml:space="preserve"> </w:t>
            </w:r>
            <w:hyperlink r:id="rId11" w:history="1">
              <w:r w:rsidRPr="00014054">
                <w:rPr>
                  <w:rStyle w:val="Hyperlink"/>
                  <w:rFonts w:cs="Arial"/>
                  <w:szCs w:val="24"/>
                </w:rPr>
                <w:t>England.hepc-enquiries@nhs.net</w:t>
              </w:r>
            </w:hyperlink>
            <w:r>
              <w:rPr>
                <w:rFonts w:cs="Arial"/>
                <w:szCs w:val="24"/>
              </w:rPr>
              <w:t xml:space="preserve">, with a courtesy copy to the </w:t>
            </w:r>
            <w:r w:rsidRPr="008C3ECB">
              <w:rPr>
                <w:rFonts w:cs="Arial"/>
                <w:szCs w:val="24"/>
              </w:rPr>
              <w:t>local NHS England teams</w:t>
            </w:r>
            <w:r>
              <w:rPr>
                <w:rFonts w:cs="Arial"/>
                <w:szCs w:val="24"/>
              </w:rPr>
              <w:t>.</w:t>
            </w:r>
            <w:r w:rsidRPr="008C3ECB">
              <w:rPr>
                <w:rFonts w:cs="Arial"/>
                <w:szCs w:val="24"/>
              </w:rPr>
              <w:t xml:space="preserve"> </w:t>
            </w:r>
            <w:r>
              <w:rPr>
                <w:rFonts w:cs="Arial"/>
                <w:szCs w:val="24"/>
              </w:rPr>
              <w:t xml:space="preserve"> Content must include:</w:t>
            </w:r>
          </w:p>
          <w:p w14:paraId="2F5CD759" w14:textId="77777777" w:rsidR="006133A3" w:rsidRPr="00C53092" w:rsidRDefault="006133A3" w:rsidP="006133A3">
            <w:pPr>
              <w:rPr>
                <w:rFonts w:cs="Arial"/>
                <w:szCs w:val="24"/>
                <w:u w:val="single"/>
              </w:rPr>
            </w:pPr>
            <w:r w:rsidRPr="00C53092">
              <w:rPr>
                <w:rFonts w:cs="Arial"/>
                <w:szCs w:val="24"/>
                <w:u w:val="single"/>
              </w:rPr>
              <w:t>Quarterly report (Q1, Q2, Q3)</w:t>
            </w:r>
          </w:p>
          <w:p w14:paraId="17BE3AFD" w14:textId="77777777" w:rsidR="006133A3" w:rsidRDefault="00E34FA3" w:rsidP="003A6D3B">
            <w:pPr>
              <w:pStyle w:val="ListParagraph"/>
              <w:numPr>
                <w:ilvl w:val="0"/>
                <w:numId w:val="8"/>
              </w:numPr>
              <w:rPr>
                <w:rFonts w:cs="Arial"/>
                <w:szCs w:val="24"/>
              </w:rPr>
            </w:pPr>
            <w:r>
              <w:rPr>
                <w:rFonts w:cs="Arial"/>
                <w:szCs w:val="24"/>
              </w:rPr>
              <w:t>N</w:t>
            </w:r>
            <w:r w:rsidR="006133A3" w:rsidRPr="00FA21A0">
              <w:rPr>
                <w:rFonts w:cs="Arial"/>
                <w:szCs w:val="24"/>
              </w:rPr>
              <w:t xml:space="preserve">umber of patients treated, lost to follow up, SVR12, </w:t>
            </w:r>
            <w:r>
              <w:rPr>
                <w:rFonts w:cs="Arial"/>
                <w:szCs w:val="24"/>
              </w:rPr>
              <w:t xml:space="preserve">DNA rates, </w:t>
            </w:r>
            <w:r w:rsidR="006133A3" w:rsidRPr="00FA21A0">
              <w:rPr>
                <w:rFonts w:cs="Arial"/>
                <w:szCs w:val="24"/>
              </w:rPr>
              <w:t xml:space="preserve">etc.  </w:t>
            </w:r>
          </w:p>
          <w:p w14:paraId="77E9C496" w14:textId="77777777" w:rsidR="006133A3" w:rsidRDefault="00E34FA3" w:rsidP="003A6D3B">
            <w:pPr>
              <w:pStyle w:val="ListParagraph"/>
              <w:numPr>
                <w:ilvl w:val="0"/>
                <w:numId w:val="8"/>
              </w:numPr>
              <w:rPr>
                <w:rFonts w:cs="Arial"/>
                <w:szCs w:val="24"/>
              </w:rPr>
            </w:pPr>
            <w:r>
              <w:rPr>
                <w:rFonts w:cs="Arial"/>
                <w:szCs w:val="24"/>
              </w:rPr>
              <w:t>C</w:t>
            </w:r>
            <w:r w:rsidR="006133A3">
              <w:rPr>
                <w:rFonts w:cs="Arial"/>
                <w:szCs w:val="24"/>
              </w:rPr>
              <w:t>ase finding</w:t>
            </w:r>
            <w:r w:rsidR="006133A3" w:rsidRPr="00FA21A0">
              <w:rPr>
                <w:rFonts w:cs="Arial"/>
                <w:szCs w:val="24"/>
              </w:rPr>
              <w:t xml:space="preserve"> activities completed</w:t>
            </w:r>
          </w:p>
          <w:p w14:paraId="5E27B609" w14:textId="77777777" w:rsidR="006133A3" w:rsidRDefault="001E7449" w:rsidP="003A6D3B">
            <w:pPr>
              <w:pStyle w:val="ListParagraph"/>
              <w:numPr>
                <w:ilvl w:val="0"/>
                <w:numId w:val="8"/>
              </w:numPr>
              <w:rPr>
                <w:rFonts w:cs="Arial"/>
                <w:szCs w:val="24"/>
              </w:rPr>
            </w:pPr>
            <w:r>
              <w:rPr>
                <w:rFonts w:cs="Arial"/>
                <w:szCs w:val="24"/>
              </w:rPr>
              <w:t>Case finding p</w:t>
            </w:r>
            <w:r w:rsidR="006133A3">
              <w:rPr>
                <w:rFonts w:cs="Arial"/>
                <w:szCs w:val="24"/>
              </w:rPr>
              <w:t xml:space="preserve">lans and </w:t>
            </w:r>
            <w:r w:rsidR="006133A3" w:rsidRPr="00FA21A0">
              <w:rPr>
                <w:rFonts w:cs="Arial"/>
                <w:szCs w:val="24"/>
              </w:rPr>
              <w:t xml:space="preserve">future actions for the next quarter </w:t>
            </w:r>
          </w:p>
          <w:p w14:paraId="347F67BD" w14:textId="77777777" w:rsidR="00E34FA3" w:rsidRPr="000C486A" w:rsidRDefault="00E34FA3" w:rsidP="003A6D3B">
            <w:pPr>
              <w:pStyle w:val="ListParagraph"/>
              <w:numPr>
                <w:ilvl w:val="0"/>
                <w:numId w:val="8"/>
              </w:numPr>
              <w:rPr>
                <w:rFonts w:cs="Arial"/>
                <w:szCs w:val="24"/>
              </w:rPr>
            </w:pPr>
            <w:r>
              <w:rPr>
                <w:rFonts w:cs="Arial"/>
                <w:szCs w:val="24"/>
              </w:rPr>
              <w:t xml:space="preserve">Plans to move services into the community </w:t>
            </w:r>
            <w:r w:rsidR="001E7449">
              <w:rPr>
                <w:rFonts w:cs="Arial"/>
                <w:szCs w:val="24"/>
              </w:rPr>
              <w:t xml:space="preserve">e.g. drug and alcohol treatment centres, hostels, etc. </w:t>
            </w:r>
            <w:r>
              <w:rPr>
                <w:rFonts w:cs="Arial"/>
                <w:szCs w:val="24"/>
              </w:rPr>
              <w:t xml:space="preserve">and a gap </w:t>
            </w:r>
            <w:r w:rsidRPr="000C486A">
              <w:rPr>
                <w:rFonts w:cs="Arial"/>
                <w:szCs w:val="24"/>
              </w:rPr>
              <w:t xml:space="preserve">analysis of the current </w:t>
            </w:r>
            <w:r>
              <w:rPr>
                <w:rFonts w:cs="Arial"/>
                <w:szCs w:val="24"/>
              </w:rPr>
              <w:t xml:space="preserve">services </w:t>
            </w:r>
            <w:r w:rsidRPr="000C486A">
              <w:rPr>
                <w:rFonts w:cs="Arial"/>
                <w:szCs w:val="24"/>
              </w:rPr>
              <w:t>across the ODN and the strategy to addre</w:t>
            </w:r>
            <w:r>
              <w:rPr>
                <w:rFonts w:cs="Arial"/>
                <w:szCs w:val="24"/>
              </w:rPr>
              <w:t>ss these needs</w:t>
            </w:r>
          </w:p>
          <w:p w14:paraId="16BB89CA" w14:textId="77777777" w:rsidR="00E34FA3" w:rsidRPr="003B7C5A" w:rsidRDefault="00E34FA3" w:rsidP="003A6D3B">
            <w:pPr>
              <w:pStyle w:val="ListParagraph"/>
              <w:numPr>
                <w:ilvl w:val="0"/>
                <w:numId w:val="8"/>
              </w:numPr>
              <w:rPr>
                <w:rFonts w:cs="Arial"/>
                <w:szCs w:val="24"/>
              </w:rPr>
            </w:pPr>
            <w:r>
              <w:rPr>
                <w:rFonts w:cs="Arial"/>
                <w:szCs w:val="24"/>
              </w:rPr>
              <w:t>Detail the monthly outreach activity in the quarterly and annual reports</w:t>
            </w:r>
            <w:r w:rsidRPr="003B7C5A">
              <w:rPr>
                <w:rFonts w:cs="Arial"/>
                <w:szCs w:val="24"/>
              </w:rPr>
              <w:t xml:space="preserve">                                                                                                                                                                                                                                                                                                                                                                                     </w:t>
            </w:r>
          </w:p>
          <w:p w14:paraId="33A1D2D7" w14:textId="77777777" w:rsidR="00E34FA3" w:rsidRDefault="00E34FA3" w:rsidP="003A6D3B">
            <w:pPr>
              <w:pStyle w:val="ListParagraph"/>
              <w:numPr>
                <w:ilvl w:val="0"/>
                <w:numId w:val="8"/>
              </w:numPr>
              <w:rPr>
                <w:rFonts w:cs="Arial"/>
                <w:szCs w:val="24"/>
              </w:rPr>
            </w:pPr>
            <w:r w:rsidRPr="00020323">
              <w:rPr>
                <w:rFonts w:cs="Arial"/>
                <w:szCs w:val="24"/>
              </w:rPr>
              <w:t>List the postcodes targeted and activity numbers in the outreach locale</w:t>
            </w:r>
            <w:r>
              <w:rPr>
                <w:rFonts w:cs="Arial"/>
                <w:szCs w:val="24"/>
              </w:rPr>
              <w:t>(s)</w:t>
            </w:r>
          </w:p>
          <w:p w14:paraId="62224E61" w14:textId="77777777" w:rsidR="00E34FA3" w:rsidRDefault="00E34FA3" w:rsidP="003A6D3B">
            <w:pPr>
              <w:pStyle w:val="ListParagraph"/>
              <w:numPr>
                <w:ilvl w:val="0"/>
                <w:numId w:val="8"/>
              </w:numPr>
              <w:rPr>
                <w:rFonts w:cs="Arial"/>
                <w:szCs w:val="24"/>
              </w:rPr>
            </w:pPr>
            <w:r w:rsidRPr="00020323">
              <w:rPr>
                <w:rFonts w:cs="Arial"/>
                <w:szCs w:val="24"/>
              </w:rPr>
              <w:t xml:space="preserve">List the </w:t>
            </w:r>
            <w:r>
              <w:rPr>
                <w:rFonts w:cs="Arial"/>
                <w:szCs w:val="24"/>
              </w:rPr>
              <w:t xml:space="preserve">community </w:t>
            </w:r>
            <w:r w:rsidRPr="00020323">
              <w:rPr>
                <w:rFonts w:cs="Arial"/>
                <w:szCs w:val="24"/>
              </w:rPr>
              <w:t xml:space="preserve">places </w:t>
            </w:r>
            <w:r>
              <w:rPr>
                <w:rFonts w:cs="Arial"/>
                <w:szCs w:val="24"/>
              </w:rPr>
              <w:t>where services are deployed</w:t>
            </w:r>
            <w:r w:rsidR="001E7449">
              <w:rPr>
                <w:rFonts w:cs="Arial"/>
                <w:szCs w:val="24"/>
              </w:rPr>
              <w:t xml:space="preserve"> and could be deployed</w:t>
            </w:r>
            <w:r>
              <w:rPr>
                <w:rFonts w:cs="Arial"/>
                <w:szCs w:val="24"/>
              </w:rPr>
              <w:t xml:space="preserve"> </w:t>
            </w:r>
            <w:r w:rsidRPr="00020323">
              <w:rPr>
                <w:rFonts w:cs="Arial"/>
                <w:szCs w:val="24"/>
              </w:rPr>
              <w:t>e.g. prisons, drug and alcohol services, GP practises with O</w:t>
            </w:r>
            <w:r>
              <w:rPr>
                <w:rFonts w:cs="Arial"/>
                <w:szCs w:val="24"/>
              </w:rPr>
              <w:t xml:space="preserve">pioid </w:t>
            </w:r>
            <w:r w:rsidRPr="00020323">
              <w:rPr>
                <w:rFonts w:cs="Arial"/>
                <w:szCs w:val="24"/>
              </w:rPr>
              <w:t>S</w:t>
            </w:r>
            <w:r>
              <w:rPr>
                <w:rFonts w:cs="Arial"/>
                <w:szCs w:val="24"/>
              </w:rPr>
              <w:t xml:space="preserve">ubstitution </w:t>
            </w:r>
            <w:r w:rsidRPr="00020323">
              <w:rPr>
                <w:rFonts w:cs="Arial"/>
                <w:szCs w:val="24"/>
              </w:rPr>
              <w:t>T</w:t>
            </w:r>
            <w:r>
              <w:rPr>
                <w:rFonts w:cs="Arial"/>
                <w:szCs w:val="24"/>
              </w:rPr>
              <w:t>herapy</w:t>
            </w:r>
            <w:r w:rsidRPr="00020323">
              <w:rPr>
                <w:rFonts w:cs="Arial"/>
                <w:szCs w:val="24"/>
              </w:rPr>
              <w:t>, pop up clinic</w:t>
            </w:r>
            <w:r>
              <w:rPr>
                <w:rFonts w:cs="Arial"/>
                <w:szCs w:val="24"/>
              </w:rPr>
              <w:t>s</w:t>
            </w:r>
            <w:r w:rsidRPr="00020323">
              <w:rPr>
                <w:rFonts w:cs="Arial"/>
                <w:szCs w:val="24"/>
              </w:rPr>
              <w:t xml:space="preserve">, mobile services, etc. and the </w:t>
            </w:r>
            <w:r w:rsidR="001E7449">
              <w:rPr>
                <w:rFonts w:cs="Arial"/>
                <w:szCs w:val="24"/>
              </w:rPr>
              <w:t xml:space="preserve">current </w:t>
            </w:r>
            <w:r w:rsidRPr="00020323">
              <w:rPr>
                <w:rFonts w:cs="Arial"/>
                <w:szCs w:val="24"/>
              </w:rPr>
              <w:t xml:space="preserve">staff time allocated </w:t>
            </w:r>
          </w:p>
          <w:p w14:paraId="5925DBFE" w14:textId="77777777" w:rsidR="005C7CD6" w:rsidRDefault="005C7CD6" w:rsidP="003A6D3B">
            <w:pPr>
              <w:pStyle w:val="ListParagraph"/>
              <w:keepNext/>
              <w:numPr>
                <w:ilvl w:val="0"/>
                <w:numId w:val="8"/>
              </w:numPr>
              <w:rPr>
                <w:rFonts w:cs="Arial"/>
                <w:color w:val="000000"/>
                <w:szCs w:val="24"/>
              </w:rPr>
            </w:pPr>
            <w:r>
              <w:rPr>
                <w:rFonts w:cs="Arial"/>
                <w:color w:val="000000"/>
                <w:szCs w:val="24"/>
              </w:rPr>
              <w:t>Provide a summary of and/or copies of the</w:t>
            </w:r>
            <w:r w:rsidRPr="008C3ECB">
              <w:rPr>
                <w:rFonts w:cs="Arial"/>
                <w:color w:val="000000"/>
                <w:szCs w:val="24"/>
              </w:rPr>
              <w:t xml:space="preserve"> agreed communications about the ODN which allow professionals and patients alike to understand how the ODN operates and how to contact it</w:t>
            </w:r>
          </w:p>
          <w:p w14:paraId="1C7589AD" w14:textId="77777777" w:rsidR="005C7CD6" w:rsidRPr="005C7CD6" w:rsidRDefault="005C7CD6" w:rsidP="003A6D3B">
            <w:pPr>
              <w:pStyle w:val="ListParagraph"/>
              <w:keepNext/>
              <w:numPr>
                <w:ilvl w:val="0"/>
                <w:numId w:val="8"/>
              </w:numPr>
              <w:rPr>
                <w:rFonts w:cs="Arial"/>
                <w:color w:val="000000"/>
                <w:szCs w:val="24"/>
              </w:rPr>
            </w:pPr>
            <w:r w:rsidRPr="008C3ECB">
              <w:rPr>
                <w:rFonts w:cs="Arial"/>
                <w:color w:val="000000"/>
                <w:szCs w:val="24"/>
              </w:rPr>
              <w:t>Evidence of how resources have been invested in the work of the entire network wide HCV teams to support the work of all partners in the ODN w</w:t>
            </w:r>
            <w:r>
              <w:rPr>
                <w:rFonts w:cs="Arial"/>
                <w:color w:val="000000"/>
                <w:szCs w:val="24"/>
              </w:rPr>
              <w:t>ho have a role in delivery</w:t>
            </w:r>
          </w:p>
          <w:p w14:paraId="642F62A0" w14:textId="77777777" w:rsidR="00E34FA3" w:rsidRDefault="00E34FA3" w:rsidP="003A6D3B">
            <w:pPr>
              <w:pStyle w:val="ListParagraph"/>
              <w:numPr>
                <w:ilvl w:val="0"/>
                <w:numId w:val="8"/>
              </w:numPr>
              <w:rPr>
                <w:rFonts w:cs="Arial"/>
                <w:szCs w:val="24"/>
              </w:rPr>
            </w:pPr>
            <w:r>
              <w:rPr>
                <w:rFonts w:cs="Arial"/>
                <w:szCs w:val="24"/>
              </w:rPr>
              <w:t>A</w:t>
            </w:r>
            <w:r w:rsidRPr="00FA21A0">
              <w:rPr>
                <w:rFonts w:cs="Arial"/>
                <w:szCs w:val="24"/>
              </w:rPr>
              <w:t>ny other pertinent information relevant to the ODN</w:t>
            </w:r>
          </w:p>
          <w:p w14:paraId="08E7777C" w14:textId="77777777" w:rsidR="00E34FA3" w:rsidRPr="00E34FA3" w:rsidRDefault="00E34FA3" w:rsidP="00E34FA3">
            <w:pPr>
              <w:pStyle w:val="ListParagraph"/>
              <w:rPr>
                <w:rFonts w:cs="Arial"/>
                <w:szCs w:val="24"/>
              </w:rPr>
            </w:pPr>
          </w:p>
          <w:p w14:paraId="32DF7DFB" w14:textId="77777777" w:rsidR="006133A3" w:rsidRPr="00C53092" w:rsidRDefault="006133A3" w:rsidP="006133A3">
            <w:pPr>
              <w:rPr>
                <w:rFonts w:cs="Arial"/>
                <w:szCs w:val="24"/>
                <w:u w:val="single"/>
              </w:rPr>
            </w:pPr>
            <w:r w:rsidRPr="00C53092">
              <w:rPr>
                <w:rFonts w:cs="Arial"/>
                <w:szCs w:val="24"/>
                <w:u w:val="single"/>
              </w:rPr>
              <w:t>Annual report, Q4</w:t>
            </w:r>
          </w:p>
          <w:p w14:paraId="42F0C6EC" w14:textId="6DE8D115" w:rsidR="006133A3" w:rsidRDefault="006133A3" w:rsidP="003A6D3B">
            <w:pPr>
              <w:pStyle w:val="ListParagraph"/>
              <w:numPr>
                <w:ilvl w:val="0"/>
                <w:numId w:val="8"/>
              </w:numPr>
              <w:rPr>
                <w:rFonts w:cs="Arial"/>
                <w:szCs w:val="24"/>
              </w:rPr>
            </w:pPr>
            <w:r>
              <w:rPr>
                <w:rFonts w:cs="Arial"/>
                <w:szCs w:val="24"/>
              </w:rPr>
              <w:t>N</w:t>
            </w:r>
            <w:r w:rsidRPr="000C486A">
              <w:rPr>
                <w:rFonts w:cs="Arial"/>
                <w:szCs w:val="24"/>
              </w:rPr>
              <w:t>arrative on the preceding year</w:t>
            </w:r>
            <w:r w:rsidR="00BC3495">
              <w:rPr>
                <w:rFonts w:cs="Arial"/>
                <w:szCs w:val="24"/>
              </w:rPr>
              <w:t>’</w:t>
            </w:r>
            <w:r w:rsidRPr="000C486A">
              <w:rPr>
                <w:rFonts w:cs="Arial"/>
                <w:szCs w:val="24"/>
              </w:rPr>
              <w:t>s activity</w:t>
            </w:r>
            <w:r>
              <w:rPr>
                <w:rFonts w:cs="Arial"/>
                <w:szCs w:val="24"/>
              </w:rPr>
              <w:t xml:space="preserve">, </w:t>
            </w:r>
            <w:r w:rsidRPr="000C486A">
              <w:rPr>
                <w:rFonts w:cs="Arial"/>
                <w:szCs w:val="24"/>
              </w:rPr>
              <w:t>targets</w:t>
            </w:r>
            <w:r>
              <w:rPr>
                <w:rFonts w:cs="Arial"/>
                <w:szCs w:val="24"/>
              </w:rPr>
              <w:t xml:space="preserve">, </w:t>
            </w:r>
            <w:r w:rsidRPr="000C486A">
              <w:rPr>
                <w:rFonts w:cs="Arial"/>
                <w:szCs w:val="24"/>
              </w:rPr>
              <w:t>and identification of any trends</w:t>
            </w:r>
          </w:p>
          <w:p w14:paraId="2A0C232D" w14:textId="77777777" w:rsidR="006133A3" w:rsidRPr="000C486A" w:rsidRDefault="006133A3" w:rsidP="003A6D3B">
            <w:pPr>
              <w:pStyle w:val="ListParagraph"/>
              <w:numPr>
                <w:ilvl w:val="0"/>
                <w:numId w:val="8"/>
              </w:numPr>
              <w:rPr>
                <w:rFonts w:cs="Arial"/>
                <w:szCs w:val="24"/>
              </w:rPr>
            </w:pPr>
            <w:r>
              <w:rPr>
                <w:rFonts w:cs="Arial"/>
                <w:szCs w:val="24"/>
              </w:rPr>
              <w:t>T</w:t>
            </w:r>
            <w:r w:rsidRPr="000C486A">
              <w:rPr>
                <w:rFonts w:cs="Arial"/>
                <w:szCs w:val="24"/>
              </w:rPr>
              <w:t>he local priorities for the ODN</w:t>
            </w:r>
          </w:p>
          <w:p w14:paraId="2EAE4E37" w14:textId="77777777" w:rsidR="006133A3" w:rsidRPr="009B6B8D" w:rsidRDefault="006133A3" w:rsidP="003A6D3B">
            <w:pPr>
              <w:pStyle w:val="ListParagraph"/>
              <w:numPr>
                <w:ilvl w:val="0"/>
                <w:numId w:val="8"/>
              </w:numPr>
              <w:rPr>
                <w:rFonts w:cs="Arial"/>
                <w:szCs w:val="24"/>
              </w:rPr>
            </w:pPr>
            <w:r>
              <w:rPr>
                <w:rFonts w:cs="Arial"/>
                <w:color w:val="000000"/>
                <w:szCs w:val="24"/>
              </w:rPr>
              <w:t>P</w:t>
            </w:r>
            <w:r w:rsidRPr="008C3ECB">
              <w:rPr>
                <w:rFonts w:cs="Arial"/>
                <w:color w:val="000000"/>
                <w:szCs w:val="24"/>
              </w:rPr>
              <w:t>rovide details of all the organisations within the ODN footprint where HCV test or HCV test and treat services occur</w:t>
            </w:r>
            <w:r>
              <w:rPr>
                <w:rFonts w:cs="Arial"/>
                <w:color w:val="000000"/>
                <w:szCs w:val="24"/>
              </w:rPr>
              <w:t>s</w:t>
            </w:r>
            <w:r w:rsidRPr="008C3ECB">
              <w:rPr>
                <w:rFonts w:cs="Arial"/>
                <w:color w:val="000000"/>
                <w:szCs w:val="24"/>
              </w:rPr>
              <w:t xml:space="preserve"> e.g. prisons, pharmacies, spoke hospitals, community services, and any other organisations as appropriate to local </w:t>
            </w:r>
            <w:r w:rsidRPr="008C3ECB">
              <w:rPr>
                <w:rFonts w:cs="Arial"/>
                <w:color w:val="000000"/>
                <w:szCs w:val="24"/>
              </w:rPr>
              <w:lastRenderedPageBreak/>
              <w:t xml:space="preserve">population/ disease prevalence. The list should state if test only or test and treat facilities are available and the progress made, highlight the successes, any issues, risks and concerns.   </w:t>
            </w:r>
          </w:p>
          <w:p w14:paraId="6FFB57CA" w14:textId="77777777" w:rsidR="006133A3" w:rsidRPr="008C3ECB" w:rsidRDefault="006133A3" w:rsidP="003A6D3B">
            <w:pPr>
              <w:pStyle w:val="ListParagraph"/>
              <w:numPr>
                <w:ilvl w:val="0"/>
                <w:numId w:val="8"/>
              </w:numPr>
              <w:rPr>
                <w:rFonts w:cs="Arial"/>
                <w:szCs w:val="24"/>
              </w:rPr>
            </w:pPr>
            <w:r>
              <w:rPr>
                <w:rFonts w:cs="Arial"/>
                <w:color w:val="000000"/>
                <w:szCs w:val="24"/>
              </w:rPr>
              <w:t>Provide a list of services (</w:t>
            </w:r>
            <w:bookmarkStart w:id="3" w:name="_Hlk528044588"/>
            <w:r>
              <w:rPr>
                <w:rFonts w:cs="Arial"/>
                <w:color w:val="000000"/>
                <w:szCs w:val="24"/>
              </w:rPr>
              <w:t>e.g. addiction services, needle exchange pharmacies</w:t>
            </w:r>
            <w:bookmarkEnd w:id="3"/>
            <w:r>
              <w:rPr>
                <w:rFonts w:cs="Arial"/>
                <w:color w:val="000000"/>
                <w:szCs w:val="24"/>
              </w:rPr>
              <w:t>) where testing is not provided and plans to engage with them</w:t>
            </w:r>
          </w:p>
          <w:p w14:paraId="1863C8FC" w14:textId="77777777" w:rsidR="006133A3" w:rsidRPr="00290E00" w:rsidRDefault="006133A3" w:rsidP="003A6D3B">
            <w:pPr>
              <w:pStyle w:val="ListParagraph"/>
              <w:numPr>
                <w:ilvl w:val="0"/>
                <w:numId w:val="8"/>
              </w:numPr>
              <w:rPr>
                <w:rFonts w:cs="Arial"/>
                <w:szCs w:val="24"/>
              </w:rPr>
            </w:pPr>
            <w:r w:rsidRPr="008C3ECB">
              <w:rPr>
                <w:rFonts w:cs="Arial"/>
                <w:color w:val="000000"/>
                <w:szCs w:val="24"/>
              </w:rPr>
              <w:t>Provide copies of the MOU/ SLA for 50% of the local laboratories and/ or with the field epidemiologist at Public Health England (PHE)</w:t>
            </w:r>
          </w:p>
          <w:p w14:paraId="472234E7" w14:textId="77777777" w:rsidR="00290E00" w:rsidRPr="00FB2299" w:rsidRDefault="00290E00" w:rsidP="003A6D3B">
            <w:pPr>
              <w:pStyle w:val="ListParagraph"/>
              <w:numPr>
                <w:ilvl w:val="0"/>
                <w:numId w:val="8"/>
              </w:numPr>
              <w:rPr>
                <w:rFonts w:cs="Arial"/>
                <w:szCs w:val="24"/>
              </w:rPr>
            </w:pPr>
            <w:r w:rsidRPr="00FB2299">
              <w:rPr>
                <w:rFonts w:cs="Arial"/>
                <w:szCs w:val="24"/>
              </w:rPr>
              <w:t>Provide a copy of the standard operating procedure in the quarterly/ annual report</w:t>
            </w:r>
          </w:p>
          <w:p w14:paraId="06545518" w14:textId="77777777" w:rsidR="00290E00" w:rsidRDefault="00290E00" w:rsidP="003A6D3B">
            <w:pPr>
              <w:pStyle w:val="ListParagraph"/>
              <w:numPr>
                <w:ilvl w:val="0"/>
                <w:numId w:val="8"/>
              </w:numPr>
              <w:rPr>
                <w:rFonts w:cs="Arial"/>
                <w:szCs w:val="24"/>
              </w:rPr>
            </w:pPr>
            <w:r>
              <w:rPr>
                <w:rFonts w:cs="Arial"/>
                <w:szCs w:val="24"/>
              </w:rPr>
              <w:t>D</w:t>
            </w:r>
            <w:r w:rsidRPr="00A16227">
              <w:rPr>
                <w:rFonts w:cs="Arial"/>
                <w:szCs w:val="24"/>
              </w:rPr>
              <w:t>escribe how data will be transferred from either the Laboratory or PHE</w:t>
            </w:r>
          </w:p>
          <w:p w14:paraId="6C511EA8" w14:textId="77777777" w:rsidR="00290E00" w:rsidRDefault="00290E00" w:rsidP="003A6D3B">
            <w:pPr>
              <w:pStyle w:val="ListParagraph"/>
              <w:numPr>
                <w:ilvl w:val="0"/>
                <w:numId w:val="8"/>
              </w:numPr>
              <w:rPr>
                <w:rFonts w:cs="Arial"/>
                <w:szCs w:val="24"/>
              </w:rPr>
            </w:pPr>
            <w:r>
              <w:rPr>
                <w:rFonts w:cs="Arial"/>
                <w:szCs w:val="24"/>
              </w:rPr>
              <w:t>T</w:t>
            </w:r>
            <w:r w:rsidRPr="00A16227">
              <w:rPr>
                <w:rFonts w:cs="Arial"/>
                <w:szCs w:val="24"/>
              </w:rPr>
              <w:t xml:space="preserve">he timescales for processing </w:t>
            </w:r>
            <w:r>
              <w:rPr>
                <w:rFonts w:cs="Arial"/>
                <w:szCs w:val="24"/>
              </w:rPr>
              <w:t xml:space="preserve">data </w:t>
            </w:r>
            <w:r w:rsidRPr="00A16227">
              <w:rPr>
                <w:rFonts w:cs="Arial"/>
                <w:szCs w:val="24"/>
              </w:rPr>
              <w:t>upon receipt by the ODN</w:t>
            </w:r>
          </w:p>
          <w:p w14:paraId="7F1201EC" w14:textId="77777777" w:rsidR="00290E00" w:rsidRPr="00290E00" w:rsidRDefault="00290E00" w:rsidP="003A6D3B">
            <w:pPr>
              <w:pStyle w:val="ListParagraph"/>
              <w:numPr>
                <w:ilvl w:val="0"/>
                <w:numId w:val="8"/>
              </w:numPr>
              <w:rPr>
                <w:rFonts w:cs="Arial"/>
                <w:szCs w:val="24"/>
              </w:rPr>
            </w:pPr>
            <w:r w:rsidRPr="00FA21A0">
              <w:rPr>
                <w:rFonts w:cs="Arial"/>
                <w:szCs w:val="24"/>
              </w:rPr>
              <w:t>Provide a copy of the</w:t>
            </w:r>
            <w:r>
              <w:rPr>
                <w:rFonts w:cs="Arial"/>
                <w:szCs w:val="24"/>
              </w:rPr>
              <w:t xml:space="preserve"> </w:t>
            </w:r>
            <w:r w:rsidRPr="00A16227">
              <w:rPr>
                <w:rFonts w:cs="Arial"/>
                <w:szCs w:val="24"/>
              </w:rPr>
              <w:t>patient pathways for contacting patients</w:t>
            </w:r>
            <w:r>
              <w:rPr>
                <w:rFonts w:cs="Arial"/>
                <w:szCs w:val="24"/>
              </w:rPr>
              <w:t xml:space="preserve"> and </w:t>
            </w:r>
            <w:r w:rsidRPr="00A16227">
              <w:rPr>
                <w:rFonts w:cs="Arial"/>
                <w:szCs w:val="24"/>
              </w:rPr>
              <w:t>notif</w:t>
            </w:r>
            <w:r>
              <w:rPr>
                <w:rFonts w:cs="Arial"/>
                <w:szCs w:val="24"/>
              </w:rPr>
              <w:t>y</w:t>
            </w:r>
            <w:r w:rsidRPr="00A16227">
              <w:rPr>
                <w:rFonts w:cs="Arial"/>
                <w:szCs w:val="24"/>
              </w:rPr>
              <w:t>ing referrers of positive results</w:t>
            </w:r>
          </w:p>
          <w:p w14:paraId="70E0B457" w14:textId="77777777" w:rsidR="006133A3" w:rsidRPr="00706CCB" w:rsidRDefault="006133A3" w:rsidP="003A6D3B">
            <w:pPr>
              <w:pStyle w:val="ListParagraph"/>
              <w:numPr>
                <w:ilvl w:val="0"/>
                <w:numId w:val="8"/>
              </w:numPr>
              <w:rPr>
                <w:rFonts w:cs="Arial"/>
                <w:szCs w:val="24"/>
              </w:rPr>
            </w:pPr>
            <w:r w:rsidRPr="008C3ECB">
              <w:rPr>
                <w:rFonts w:cs="Arial"/>
                <w:color w:val="000000"/>
                <w:szCs w:val="24"/>
              </w:rPr>
              <w:t>An overview of the system level performance of the ODN</w:t>
            </w:r>
          </w:p>
          <w:p w14:paraId="77736650" w14:textId="77777777" w:rsidR="006133A3" w:rsidRPr="00D41CF6" w:rsidRDefault="006133A3" w:rsidP="003A6D3B">
            <w:pPr>
              <w:pStyle w:val="ListParagraph"/>
              <w:numPr>
                <w:ilvl w:val="0"/>
                <w:numId w:val="8"/>
              </w:numPr>
              <w:shd w:val="clear" w:color="auto" w:fill="FFFFFF"/>
              <w:rPr>
                <w:rFonts w:cs="Arial"/>
                <w:szCs w:val="24"/>
              </w:rPr>
            </w:pPr>
            <w:r w:rsidRPr="00D41CF6">
              <w:rPr>
                <w:rFonts w:cs="Arial"/>
              </w:rPr>
              <w:t xml:space="preserve">ODNs should explore their lost to follow-up rates and document what action has been taken to reduce this volume. </w:t>
            </w:r>
          </w:p>
          <w:p w14:paraId="2128FCE1" w14:textId="77777777" w:rsidR="006133A3" w:rsidRPr="00D41CF6" w:rsidRDefault="006133A3" w:rsidP="003A6D3B">
            <w:pPr>
              <w:pStyle w:val="ListParagraph"/>
              <w:numPr>
                <w:ilvl w:val="0"/>
                <w:numId w:val="8"/>
              </w:numPr>
              <w:shd w:val="clear" w:color="auto" w:fill="FFFFFF"/>
              <w:rPr>
                <w:rFonts w:cs="Arial"/>
                <w:szCs w:val="24"/>
              </w:rPr>
            </w:pPr>
            <w:r w:rsidRPr="00D41CF6">
              <w:rPr>
                <w:rFonts w:cs="Arial"/>
              </w:rPr>
              <w:t>Demonstrate via a graph or waterfall diagram or narrative at what points in the pathway patients are being lost, and if changes in the pathway have occurred/ are planned and the impact of service model changes.</w:t>
            </w:r>
          </w:p>
          <w:p w14:paraId="3C7A1A48" w14:textId="77777777" w:rsidR="006133A3" w:rsidRPr="008C3ECB" w:rsidRDefault="006133A3" w:rsidP="003A6D3B">
            <w:pPr>
              <w:pStyle w:val="ListParagraph"/>
              <w:numPr>
                <w:ilvl w:val="0"/>
                <w:numId w:val="8"/>
              </w:numPr>
              <w:rPr>
                <w:rFonts w:cs="Arial"/>
                <w:szCs w:val="24"/>
              </w:rPr>
            </w:pPr>
            <w:r w:rsidRPr="008C3ECB">
              <w:rPr>
                <w:rFonts w:cs="Arial"/>
                <w:color w:val="000000"/>
                <w:szCs w:val="24"/>
              </w:rPr>
              <w:t>Clinical Lead to identify any areas of concern of either non- engagement or lack of service provision with an associated action plan</w:t>
            </w:r>
          </w:p>
          <w:p w14:paraId="334F0E21" w14:textId="77777777" w:rsidR="006133A3" w:rsidRPr="008C3ECB" w:rsidRDefault="006133A3" w:rsidP="003A6D3B">
            <w:pPr>
              <w:pStyle w:val="ListParagraph"/>
              <w:numPr>
                <w:ilvl w:val="0"/>
                <w:numId w:val="8"/>
              </w:numPr>
              <w:rPr>
                <w:rFonts w:cs="Arial"/>
                <w:szCs w:val="24"/>
              </w:rPr>
            </w:pPr>
            <w:r w:rsidRPr="008C3ECB">
              <w:rPr>
                <w:rFonts w:cs="Arial"/>
                <w:color w:val="000000"/>
                <w:szCs w:val="24"/>
              </w:rPr>
              <w:t xml:space="preserve">The ODNs </w:t>
            </w:r>
            <w:proofErr w:type="gramStart"/>
            <w:r w:rsidRPr="008C3ECB">
              <w:rPr>
                <w:rFonts w:cs="Arial"/>
                <w:color w:val="000000"/>
                <w:szCs w:val="24"/>
              </w:rPr>
              <w:t>future plans</w:t>
            </w:r>
            <w:proofErr w:type="gramEnd"/>
            <w:r w:rsidRPr="008C3ECB">
              <w:rPr>
                <w:rFonts w:cs="Arial"/>
                <w:color w:val="000000"/>
                <w:szCs w:val="24"/>
              </w:rPr>
              <w:t xml:space="preserve"> for the forthcoming year</w:t>
            </w:r>
          </w:p>
          <w:p w14:paraId="7ADDD6E2" w14:textId="77777777" w:rsidR="006133A3" w:rsidRPr="00E679F9" w:rsidRDefault="006133A3" w:rsidP="003A6D3B">
            <w:pPr>
              <w:pStyle w:val="ListParagraph"/>
              <w:numPr>
                <w:ilvl w:val="0"/>
                <w:numId w:val="8"/>
              </w:numPr>
              <w:rPr>
                <w:rFonts w:cs="Arial"/>
                <w:szCs w:val="24"/>
              </w:rPr>
            </w:pPr>
            <w:r w:rsidRPr="008C3ECB">
              <w:rPr>
                <w:rFonts w:cs="Arial"/>
                <w:color w:val="000000"/>
                <w:szCs w:val="24"/>
              </w:rPr>
              <w:t xml:space="preserve">An overview of the ODNs </w:t>
            </w:r>
            <w:r>
              <w:rPr>
                <w:rFonts w:cs="Arial"/>
                <w:color w:val="000000"/>
                <w:szCs w:val="24"/>
              </w:rPr>
              <w:t>three</w:t>
            </w:r>
            <w:r w:rsidRPr="008C3ECB">
              <w:rPr>
                <w:rFonts w:cs="Arial"/>
                <w:color w:val="000000"/>
                <w:szCs w:val="24"/>
              </w:rPr>
              <w:t>-year plan</w:t>
            </w:r>
          </w:p>
          <w:p w14:paraId="2B89A692" w14:textId="77777777" w:rsidR="006133A3" w:rsidRDefault="006133A3" w:rsidP="003A6D3B">
            <w:pPr>
              <w:pStyle w:val="ListParagraph"/>
              <w:numPr>
                <w:ilvl w:val="0"/>
                <w:numId w:val="8"/>
              </w:numPr>
              <w:rPr>
                <w:rFonts w:cs="Arial"/>
                <w:szCs w:val="24"/>
              </w:rPr>
            </w:pPr>
            <w:r>
              <w:rPr>
                <w:rFonts w:cs="Arial"/>
                <w:szCs w:val="24"/>
              </w:rPr>
              <w:t>Activity within other hospitals in the network and plans to address any shortfall</w:t>
            </w:r>
          </w:p>
          <w:p w14:paraId="5AC7FC4A" w14:textId="77777777" w:rsidR="006133A3" w:rsidRDefault="006133A3" w:rsidP="003A6D3B">
            <w:pPr>
              <w:pStyle w:val="ListParagraph"/>
              <w:numPr>
                <w:ilvl w:val="0"/>
                <w:numId w:val="8"/>
              </w:numPr>
              <w:rPr>
                <w:rFonts w:cs="Arial"/>
                <w:szCs w:val="24"/>
              </w:rPr>
            </w:pPr>
            <w:r>
              <w:rPr>
                <w:rFonts w:cs="Arial"/>
                <w:szCs w:val="24"/>
              </w:rPr>
              <w:t>Significant impediments to service expansion and their solutions</w:t>
            </w:r>
          </w:p>
          <w:p w14:paraId="45268723" w14:textId="77777777" w:rsidR="006133A3" w:rsidRDefault="006133A3" w:rsidP="003A6D3B">
            <w:pPr>
              <w:pStyle w:val="ListParagraph"/>
              <w:numPr>
                <w:ilvl w:val="0"/>
                <w:numId w:val="8"/>
              </w:numPr>
              <w:rPr>
                <w:rFonts w:cs="Arial"/>
                <w:szCs w:val="24"/>
              </w:rPr>
            </w:pPr>
            <w:r>
              <w:rPr>
                <w:rFonts w:cs="Arial"/>
                <w:szCs w:val="24"/>
              </w:rPr>
              <w:t>Patient engagement and feedback</w:t>
            </w:r>
          </w:p>
          <w:p w14:paraId="721B24E6" w14:textId="77777777" w:rsidR="006133A3" w:rsidRDefault="006133A3" w:rsidP="003A6D3B">
            <w:pPr>
              <w:pStyle w:val="ListParagraph"/>
              <w:numPr>
                <w:ilvl w:val="0"/>
                <w:numId w:val="8"/>
              </w:numPr>
              <w:rPr>
                <w:rFonts w:cs="Arial"/>
                <w:szCs w:val="24"/>
              </w:rPr>
            </w:pPr>
            <w:r>
              <w:rPr>
                <w:rFonts w:cs="Arial"/>
                <w:szCs w:val="24"/>
              </w:rPr>
              <w:t>Any other relevant information the ODN would like to include</w:t>
            </w:r>
          </w:p>
          <w:p w14:paraId="16638DEF" w14:textId="77777777" w:rsidR="006133A3" w:rsidRPr="001656EE" w:rsidRDefault="006133A3" w:rsidP="006133A3">
            <w:pPr>
              <w:ind w:left="-426"/>
              <w:rPr>
                <w:rFonts w:cs="Arial"/>
                <w:b/>
                <w:szCs w:val="24"/>
              </w:rPr>
            </w:pPr>
          </w:p>
          <w:p w14:paraId="0448BF67" w14:textId="77777777" w:rsidR="006133A3" w:rsidRDefault="006133A3" w:rsidP="0084461B">
            <w:pPr>
              <w:rPr>
                <w:rFonts w:cs="Arial"/>
                <w:b/>
                <w:color w:val="FF0000"/>
                <w:sz w:val="20"/>
                <w:szCs w:val="20"/>
                <w:u w:val="single"/>
              </w:rPr>
            </w:pPr>
          </w:p>
          <w:p w14:paraId="20E7D020" w14:textId="44B71844" w:rsidR="001B7A8B" w:rsidRDefault="001B7A8B" w:rsidP="001B7A8B">
            <w:pPr>
              <w:keepNext/>
              <w:contextualSpacing/>
              <w:rPr>
                <w:rFonts w:cs="Arial"/>
                <w:b/>
                <w:color w:val="000000"/>
                <w:szCs w:val="24"/>
              </w:rPr>
            </w:pPr>
            <w:r w:rsidRPr="00F6287A">
              <w:rPr>
                <w:rFonts w:cs="Arial"/>
                <w:b/>
                <w:szCs w:val="24"/>
              </w:rPr>
              <w:t xml:space="preserve">Trigger 2, </w:t>
            </w:r>
            <w:r w:rsidRPr="00F6287A">
              <w:rPr>
                <w:rFonts w:cs="Arial"/>
                <w:b/>
                <w:color w:val="000000"/>
                <w:szCs w:val="24"/>
              </w:rPr>
              <w:t xml:space="preserve">ODN </w:t>
            </w:r>
            <w:r>
              <w:rPr>
                <w:rFonts w:cs="Arial"/>
                <w:b/>
                <w:color w:val="000000"/>
                <w:szCs w:val="24"/>
              </w:rPr>
              <w:t>average expected t</w:t>
            </w:r>
            <w:r w:rsidRPr="00F6287A">
              <w:rPr>
                <w:rFonts w:cs="Arial"/>
                <w:b/>
                <w:color w:val="000000"/>
                <w:szCs w:val="24"/>
              </w:rPr>
              <w:t xml:space="preserve">reatment cost per patient </w:t>
            </w:r>
          </w:p>
          <w:p w14:paraId="78281372" w14:textId="77777777" w:rsidR="001B7A8B" w:rsidRDefault="001B7A8B" w:rsidP="001B7A8B">
            <w:pPr>
              <w:rPr>
                <w:rFonts w:cs="Arial"/>
                <w:szCs w:val="24"/>
                <w:highlight w:val="yellow"/>
              </w:rPr>
            </w:pPr>
          </w:p>
          <w:p w14:paraId="02C897F3" w14:textId="77777777" w:rsidR="001B7A8B" w:rsidRDefault="001B7A8B" w:rsidP="001B7A8B">
            <w:pPr>
              <w:rPr>
                <w:rFonts w:cs="Arial"/>
                <w:color w:val="000000"/>
                <w:szCs w:val="24"/>
              </w:rPr>
            </w:pPr>
            <w:r w:rsidRPr="008C3ECB">
              <w:rPr>
                <w:rFonts w:cs="Arial"/>
                <w:color w:val="000000"/>
                <w:szCs w:val="24"/>
              </w:rPr>
              <w:t>Metrics are described for 2019/2020</w:t>
            </w:r>
            <w:r>
              <w:rPr>
                <w:rFonts w:cs="Arial"/>
                <w:color w:val="000000"/>
                <w:szCs w:val="24"/>
              </w:rPr>
              <w:t xml:space="preserve">. </w:t>
            </w:r>
            <w:r w:rsidRPr="008C3ECB">
              <w:rPr>
                <w:rFonts w:cs="Arial"/>
                <w:color w:val="000000"/>
                <w:szCs w:val="24"/>
              </w:rPr>
              <w:t xml:space="preserve"> </w:t>
            </w:r>
            <w:r>
              <w:rPr>
                <w:rFonts w:cs="Arial"/>
                <w:color w:val="000000"/>
                <w:szCs w:val="24"/>
              </w:rPr>
              <w:t xml:space="preserve">Performance against the CQUIN will be measured by the NHS England Finance Team </w:t>
            </w:r>
            <w:r w:rsidRPr="008C3ECB">
              <w:rPr>
                <w:rFonts w:cs="Arial"/>
                <w:color w:val="000000"/>
                <w:szCs w:val="24"/>
              </w:rPr>
              <w:t xml:space="preserve">based on </w:t>
            </w:r>
            <w:proofErr w:type="spellStart"/>
            <w:r>
              <w:rPr>
                <w:rFonts w:cs="Arial"/>
                <w:color w:val="000000"/>
                <w:szCs w:val="24"/>
              </w:rPr>
              <w:t>Blueteq</w:t>
            </w:r>
            <w:proofErr w:type="spellEnd"/>
            <w:r>
              <w:rPr>
                <w:rFonts w:cs="Arial"/>
                <w:color w:val="000000"/>
                <w:szCs w:val="24"/>
              </w:rPr>
              <w:t xml:space="preserve"> </w:t>
            </w:r>
            <w:r w:rsidRPr="008C3ECB">
              <w:rPr>
                <w:rFonts w:cs="Arial"/>
                <w:color w:val="000000"/>
                <w:szCs w:val="24"/>
              </w:rPr>
              <w:t>data</w:t>
            </w:r>
            <w:r>
              <w:rPr>
                <w:rFonts w:cs="Arial"/>
                <w:color w:val="000000"/>
                <w:szCs w:val="24"/>
              </w:rPr>
              <w:t>.</w:t>
            </w:r>
            <w:r w:rsidRPr="008C3ECB">
              <w:rPr>
                <w:rFonts w:cs="Arial"/>
                <w:color w:val="000000"/>
                <w:szCs w:val="24"/>
              </w:rPr>
              <w:t xml:space="preserve"> </w:t>
            </w:r>
            <w:r>
              <w:rPr>
                <w:rFonts w:cs="Arial"/>
                <w:color w:val="000000"/>
                <w:szCs w:val="24"/>
              </w:rPr>
              <w:t xml:space="preserve"> Trigger 2, </w:t>
            </w:r>
            <w:r w:rsidRPr="008C3ECB">
              <w:rPr>
                <w:rFonts w:cs="Arial"/>
                <w:color w:val="000000"/>
                <w:szCs w:val="24"/>
              </w:rPr>
              <w:t xml:space="preserve">CQUIN </w:t>
            </w:r>
            <w:r>
              <w:rPr>
                <w:rFonts w:cs="Arial"/>
                <w:color w:val="000000"/>
                <w:szCs w:val="24"/>
              </w:rPr>
              <w:t xml:space="preserve">assessments are </w:t>
            </w:r>
            <w:r w:rsidRPr="008C3ECB">
              <w:rPr>
                <w:rFonts w:cs="Arial"/>
                <w:color w:val="000000"/>
                <w:szCs w:val="24"/>
              </w:rPr>
              <w:t xml:space="preserve">made </w:t>
            </w:r>
            <w:r w:rsidRPr="00D80949">
              <w:rPr>
                <w:rFonts w:cs="Arial"/>
                <w:color w:val="000000"/>
                <w:szCs w:val="24"/>
              </w:rPr>
              <w:t>twice per year,</w:t>
            </w:r>
            <w:r>
              <w:rPr>
                <w:rFonts w:cs="Arial"/>
                <w:color w:val="000000"/>
                <w:szCs w:val="24"/>
              </w:rPr>
              <w:t xml:space="preserve"> after Q2 and </w:t>
            </w:r>
            <w:r w:rsidRPr="001B7A8B">
              <w:rPr>
                <w:rFonts w:cs="Arial"/>
                <w:color w:val="000000"/>
                <w:szCs w:val="24"/>
              </w:rPr>
              <w:t>Q4.</w:t>
            </w:r>
            <w:r>
              <w:rPr>
                <w:rFonts w:cs="Arial"/>
                <w:color w:val="000000"/>
                <w:szCs w:val="24"/>
              </w:rPr>
              <w:t xml:space="preserve">  </w:t>
            </w:r>
          </w:p>
          <w:p w14:paraId="647A02DE" w14:textId="77777777" w:rsidR="001B7A8B" w:rsidRDefault="001B7A8B" w:rsidP="001B7A8B">
            <w:pPr>
              <w:rPr>
                <w:rFonts w:cs="Arial"/>
                <w:szCs w:val="24"/>
              </w:rPr>
            </w:pPr>
          </w:p>
          <w:p w14:paraId="37CCE454" w14:textId="77777777" w:rsidR="001B7A8B" w:rsidRDefault="001B7A8B" w:rsidP="001B7A8B">
            <w:pPr>
              <w:rPr>
                <w:rFonts w:cs="Arial"/>
                <w:color w:val="000000"/>
                <w:szCs w:val="24"/>
              </w:rPr>
            </w:pPr>
            <w:r w:rsidRPr="002C0C64">
              <w:rPr>
                <w:rFonts w:cs="Arial"/>
                <w:szCs w:val="24"/>
              </w:rPr>
              <w:t xml:space="preserve">ODNs can achieve </w:t>
            </w:r>
            <w:r>
              <w:rPr>
                <w:rFonts w:cs="Arial"/>
                <w:szCs w:val="24"/>
              </w:rPr>
              <w:t xml:space="preserve">half or </w:t>
            </w:r>
            <w:r w:rsidRPr="002C0C64">
              <w:rPr>
                <w:rFonts w:cs="Arial"/>
                <w:szCs w:val="24"/>
              </w:rPr>
              <w:t xml:space="preserve">full payment if the yearend </w:t>
            </w:r>
            <w:r>
              <w:rPr>
                <w:rFonts w:cs="Arial"/>
                <w:szCs w:val="24"/>
              </w:rPr>
              <w:t xml:space="preserve">aggregate </w:t>
            </w:r>
            <w:r w:rsidRPr="002C0C64">
              <w:rPr>
                <w:rFonts w:cs="Arial"/>
                <w:szCs w:val="24"/>
              </w:rPr>
              <w:t>activity f</w:t>
            </w:r>
            <w:r>
              <w:rPr>
                <w:rFonts w:cs="Arial"/>
                <w:szCs w:val="24"/>
              </w:rPr>
              <w:t>igure achieves the relevant metric thresholds</w:t>
            </w:r>
            <w:r w:rsidRPr="002C0C64">
              <w:rPr>
                <w:rFonts w:cs="Arial"/>
                <w:szCs w:val="24"/>
              </w:rPr>
              <w:t xml:space="preserve">, irrespective of the </w:t>
            </w:r>
            <w:r>
              <w:rPr>
                <w:rFonts w:cs="Arial"/>
                <w:szCs w:val="24"/>
              </w:rPr>
              <w:t>half yearly</w:t>
            </w:r>
            <w:r w:rsidRPr="002C0C64">
              <w:rPr>
                <w:rFonts w:cs="Arial"/>
                <w:szCs w:val="24"/>
              </w:rPr>
              <w:t xml:space="preserve"> performance.  A retrospective payment will be made after Q4 </w:t>
            </w:r>
            <w:r>
              <w:rPr>
                <w:rFonts w:cs="Arial"/>
                <w:szCs w:val="24"/>
              </w:rPr>
              <w:t>for any amounts due</w:t>
            </w:r>
            <w:r w:rsidRPr="002C0C64">
              <w:rPr>
                <w:rFonts w:cs="Arial"/>
                <w:szCs w:val="24"/>
              </w:rPr>
              <w:t>.</w:t>
            </w:r>
          </w:p>
          <w:p w14:paraId="4A6047A7" w14:textId="77777777" w:rsidR="001B7A8B" w:rsidRDefault="001B7A8B" w:rsidP="001B7A8B">
            <w:pPr>
              <w:rPr>
                <w:rFonts w:cs="Arial"/>
                <w:color w:val="000000"/>
                <w:szCs w:val="24"/>
              </w:rPr>
            </w:pPr>
          </w:p>
          <w:p w14:paraId="6AA9A30A" w14:textId="77777777" w:rsidR="001B7A8B" w:rsidRPr="00F723A9" w:rsidRDefault="001B7A8B" w:rsidP="001B7A8B">
            <w:pPr>
              <w:pStyle w:val="ListParagraph"/>
              <w:keepNext/>
              <w:numPr>
                <w:ilvl w:val="0"/>
                <w:numId w:val="8"/>
              </w:numPr>
              <w:rPr>
                <w:rFonts w:cs="Arial"/>
                <w:color w:val="000000"/>
                <w:szCs w:val="24"/>
              </w:rPr>
            </w:pPr>
            <w:r w:rsidRPr="00F723A9">
              <w:rPr>
                <w:rFonts w:cs="Arial"/>
                <w:color w:val="000000"/>
                <w:szCs w:val="24"/>
              </w:rPr>
              <w:t xml:space="preserve">This measure is based on the </w:t>
            </w:r>
            <w:r w:rsidRPr="00F723A9">
              <w:rPr>
                <w:rFonts w:cs="Arial"/>
                <w:szCs w:val="24"/>
              </w:rPr>
              <w:t xml:space="preserve">associated number of recorded treatments on </w:t>
            </w:r>
            <w:proofErr w:type="spellStart"/>
            <w:r w:rsidRPr="00F723A9">
              <w:rPr>
                <w:rFonts w:cs="Arial"/>
                <w:color w:val="000000"/>
                <w:szCs w:val="24"/>
              </w:rPr>
              <w:t>Blueteq</w:t>
            </w:r>
            <w:proofErr w:type="spellEnd"/>
            <w:r>
              <w:rPr>
                <w:rFonts w:cs="Arial"/>
                <w:color w:val="000000"/>
                <w:szCs w:val="24"/>
              </w:rPr>
              <w:t>.</w:t>
            </w:r>
          </w:p>
          <w:p w14:paraId="08E09A84" w14:textId="77777777" w:rsidR="001B7A8B" w:rsidRPr="00F723A9" w:rsidRDefault="001B7A8B" w:rsidP="001B7A8B">
            <w:pPr>
              <w:pStyle w:val="ListParagraph"/>
              <w:keepNext/>
              <w:numPr>
                <w:ilvl w:val="0"/>
                <w:numId w:val="8"/>
              </w:numPr>
              <w:rPr>
                <w:rFonts w:cs="Arial"/>
                <w:color w:val="000000"/>
                <w:szCs w:val="24"/>
              </w:rPr>
            </w:pPr>
            <w:r w:rsidRPr="00F723A9">
              <w:rPr>
                <w:rFonts w:cs="Arial"/>
                <w:color w:val="000000"/>
                <w:szCs w:val="24"/>
              </w:rPr>
              <w:t>Where the necessary information is supplied regarding patient treatment in trials, an adjustment is made to remove the impact of less efficient prescribing arrangements in order that participation in research is supported</w:t>
            </w:r>
            <w:r>
              <w:rPr>
                <w:rFonts w:cs="Arial"/>
                <w:color w:val="000000"/>
                <w:szCs w:val="24"/>
              </w:rPr>
              <w:t>.</w:t>
            </w:r>
            <w:r w:rsidRPr="00F723A9">
              <w:rPr>
                <w:rFonts w:cs="Arial"/>
                <w:color w:val="000000"/>
                <w:szCs w:val="24"/>
              </w:rPr>
              <w:t xml:space="preserve">   </w:t>
            </w:r>
          </w:p>
          <w:p w14:paraId="2B94724D" w14:textId="77777777" w:rsidR="001B7A8B" w:rsidRPr="001B7A8B" w:rsidRDefault="001B7A8B" w:rsidP="001B7A8B">
            <w:pPr>
              <w:pStyle w:val="ListParagraph"/>
              <w:keepNext/>
              <w:numPr>
                <w:ilvl w:val="0"/>
                <w:numId w:val="8"/>
              </w:numPr>
              <w:rPr>
                <w:rFonts w:cs="Arial"/>
                <w:color w:val="000000"/>
                <w:szCs w:val="24"/>
              </w:rPr>
            </w:pPr>
            <w:r w:rsidRPr="001B7A8B">
              <w:rPr>
                <w:rFonts w:cs="Arial"/>
                <w:color w:val="000000"/>
                <w:szCs w:val="24"/>
              </w:rPr>
              <w:t>Where trial activity is included in the activity figures, trial patients are included in this trigger.</w:t>
            </w:r>
          </w:p>
          <w:p w14:paraId="78F1BE39" w14:textId="77777777" w:rsidR="001B7A8B" w:rsidRDefault="001B7A8B" w:rsidP="001B7A8B">
            <w:pPr>
              <w:rPr>
                <w:rFonts w:cs="Arial"/>
                <w:szCs w:val="24"/>
                <w:highlight w:val="yellow"/>
                <w:u w:val="single"/>
              </w:rPr>
            </w:pPr>
            <w:r w:rsidRPr="00967EF9">
              <w:rPr>
                <w:rFonts w:cs="Arial"/>
                <w:color w:val="000000"/>
                <w:szCs w:val="24"/>
                <w:highlight w:val="yellow"/>
              </w:rPr>
              <w:t xml:space="preserve"> </w:t>
            </w:r>
            <w:r w:rsidRPr="007B1A19">
              <w:rPr>
                <w:rFonts w:cs="Arial"/>
                <w:szCs w:val="24"/>
                <w:highlight w:val="yellow"/>
                <w:u w:val="single"/>
              </w:rPr>
              <w:t xml:space="preserve"> </w:t>
            </w:r>
          </w:p>
          <w:p w14:paraId="40F14A5B" w14:textId="77777777" w:rsidR="001B7A8B" w:rsidRPr="001B7A8B" w:rsidRDefault="001B7A8B" w:rsidP="001B7A8B">
            <w:pPr>
              <w:shd w:val="clear" w:color="auto" w:fill="FFFFFF"/>
              <w:rPr>
                <w:rFonts w:ascii="Times New Roman" w:hAnsi="Times New Roman"/>
                <w:color w:val="212121"/>
                <w:szCs w:val="24"/>
              </w:rPr>
            </w:pPr>
            <w:r w:rsidRPr="001B7A8B">
              <w:rPr>
                <w:rFonts w:cs="Arial"/>
                <w:bCs w:val="0"/>
                <w:szCs w:val="24"/>
              </w:rPr>
              <w:t xml:space="preserve">Where a rate card applies, there will be no change to the metric calculation.  </w:t>
            </w:r>
          </w:p>
          <w:p w14:paraId="03BE4C65" w14:textId="77777777" w:rsidR="001B7A8B" w:rsidRPr="001B7A8B" w:rsidRDefault="001B7A8B" w:rsidP="001B7A8B">
            <w:pPr>
              <w:shd w:val="clear" w:color="auto" w:fill="FFFFFF"/>
              <w:rPr>
                <w:rFonts w:cs="Arial"/>
                <w:bCs w:val="0"/>
                <w:szCs w:val="24"/>
              </w:rPr>
            </w:pPr>
          </w:p>
          <w:p w14:paraId="36856F2C" w14:textId="77777777" w:rsidR="001B7A8B" w:rsidRPr="001B7A8B" w:rsidRDefault="001B7A8B" w:rsidP="001B7A8B">
            <w:pPr>
              <w:shd w:val="clear" w:color="auto" w:fill="FFFFFF"/>
              <w:rPr>
                <w:rFonts w:ascii="Times New Roman" w:hAnsi="Times New Roman"/>
                <w:color w:val="212121"/>
                <w:szCs w:val="24"/>
              </w:rPr>
            </w:pPr>
            <w:r w:rsidRPr="001B7A8B">
              <w:rPr>
                <w:rFonts w:cs="Arial"/>
                <w:bCs w:val="0"/>
                <w:szCs w:val="24"/>
              </w:rPr>
              <w:lastRenderedPageBreak/>
              <w:t xml:space="preserve">Where no rate card applies, there will be no FLTC and treatment costs will instead be measured against the expected treatment cost. This represents the planned treatment price plus an </w:t>
            </w:r>
            <w:r w:rsidRPr="001B7A8B">
              <w:rPr>
                <w:rFonts w:cs="Arial"/>
                <w:color w:val="000000"/>
                <w:szCs w:val="24"/>
              </w:rPr>
              <w:t>allowance of £100 fees and taxes.</w:t>
            </w:r>
          </w:p>
          <w:p w14:paraId="3806B277" w14:textId="77777777" w:rsidR="001B7A8B" w:rsidRPr="001B7A8B" w:rsidRDefault="001B7A8B" w:rsidP="001B7A8B">
            <w:pPr>
              <w:pStyle w:val="ListParagraph"/>
              <w:numPr>
                <w:ilvl w:val="0"/>
                <w:numId w:val="23"/>
              </w:numPr>
              <w:spacing w:after="100" w:afterAutospacing="1"/>
              <w:ind w:left="714" w:hanging="357"/>
              <w:rPr>
                <w:rFonts w:cs="Arial"/>
                <w:bCs w:val="0"/>
                <w:szCs w:val="24"/>
              </w:rPr>
            </w:pPr>
            <w:r w:rsidRPr="001B7A8B">
              <w:rPr>
                <w:rFonts w:cs="Arial"/>
                <w:bCs w:val="0"/>
                <w:szCs w:val="24"/>
              </w:rPr>
              <w:t>Where the ODN average treatment cost per patient is less than or equal to the ODN average expected treatment cost, this indicator will be paid in full.</w:t>
            </w:r>
          </w:p>
          <w:p w14:paraId="73F96402" w14:textId="77777777" w:rsidR="001B7A8B" w:rsidRPr="001B7A8B" w:rsidRDefault="001B7A8B" w:rsidP="001B7A8B">
            <w:pPr>
              <w:pStyle w:val="ListParagraph"/>
              <w:numPr>
                <w:ilvl w:val="0"/>
                <w:numId w:val="23"/>
              </w:numPr>
              <w:spacing w:before="100" w:beforeAutospacing="1" w:after="100" w:afterAutospacing="1"/>
              <w:rPr>
                <w:rFonts w:cs="Arial"/>
                <w:bCs w:val="0"/>
                <w:szCs w:val="24"/>
              </w:rPr>
            </w:pPr>
            <w:r w:rsidRPr="001B7A8B">
              <w:rPr>
                <w:rFonts w:cs="Arial"/>
                <w:bCs w:val="0"/>
                <w:szCs w:val="24"/>
              </w:rPr>
              <w:t>Where the ODN average treatment cost per patient is between 100% and 110% of the ODN average expected treatment cost, half payment will be made;</w:t>
            </w:r>
          </w:p>
          <w:p w14:paraId="417E8654" w14:textId="77777777" w:rsidR="001B7A8B" w:rsidRPr="001B7A8B" w:rsidRDefault="001B7A8B" w:rsidP="001B7A8B">
            <w:pPr>
              <w:pStyle w:val="ListParagraph"/>
              <w:numPr>
                <w:ilvl w:val="0"/>
                <w:numId w:val="23"/>
              </w:numPr>
              <w:spacing w:before="100" w:beforeAutospacing="1" w:after="100" w:afterAutospacing="1"/>
              <w:rPr>
                <w:rFonts w:cs="Arial"/>
                <w:bCs w:val="0"/>
                <w:szCs w:val="24"/>
              </w:rPr>
            </w:pPr>
            <w:r w:rsidRPr="001B7A8B">
              <w:rPr>
                <w:rFonts w:cs="Arial"/>
                <w:bCs w:val="0"/>
                <w:szCs w:val="24"/>
              </w:rPr>
              <w:t>Where the ODN average treatment cost per patient is more than 110% of the ODN average expected treatment cost, no payment will be made</w:t>
            </w:r>
          </w:p>
          <w:p w14:paraId="2DF42A0B" w14:textId="77777777" w:rsidR="001B7A8B" w:rsidRDefault="001B7A8B" w:rsidP="001B7A8B">
            <w:pPr>
              <w:pStyle w:val="ListParagraph"/>
              <w:rPr>
                <w:rFonts w:cs="Arial"/>
                <w:szCs w:val="24"/>
              </w:rPr>
            </w:pPr>
          </w:p>
          <w:p w14:paraId="0AFDC68F" w14:textId="77777777" w:rsidR="001B7A8B" w:rsidRDefault="001B7A8B" w:rsidP="001B7A8B"/>
          <w:p w14:paraId="5F38882C" w14:textId="77777777" w:rsidR="001B3678" w:rsidRDefault="00534E92" w:rsidP="00B979FD">
            <w:pPr>
              <w:rPr>
                <w:rFonts w:cs="Arial"/>
                <w:b/>
                <w:szCs w:val="24"/>
              </w:rPr>
            </w:pPr>
            <w:r>
              <w:rPr>
                <w:rFonts w:cs="Arial"/>
                <w:b/>
                <w:szCs w:val="24"/>
              </w:rPr>
              <w:t xml:space="preserve">Trigger 3, Completeness and Data Quality </w:t>
            </w:r>
          </w:p>
          <w:p w14:paraId="37D10894" w14:textId="55ACBF6C" w:rsidR="00B979FD" w:rsidRPr="008C3ECB" w:rsidRDefault="00B979FD" w:rsidP="00B979FD">
            <w:pPr>
              <w:rPr>
                <w:rFonts w:cs="Arial"/>
                <w:b/>
                <w:color w:val="000000"/>
                <w:szCs w:val="24"/>
                <w:u w:val="single"/>
              </w:rPr>
            </w:pPr>
            <w:r w:rsidRPr="008C3ECB">
              <w:rPr>
                <w:rFonts w:cs="Arial"/>
                <w:b/>
                <w:color w:val="000000"/>
                <w:szCs w:val="24"/>
                <w:u w:val="single"/>
              </w:rPr>
              <w:t>Value:</w:t>
            </w:r>
            <w:r>
              <w:rPr>
                <w:rFonts w:cs="Arial"/>
                <w:b/>
                <w:color w:val="000000"/>
                <w:szCs w:val="24"/>
                <w:u w:val="single"/>
              </w:rPr>
              <w:t xml:space="preserve"> </w:t>
            </w:r>
            <w:r w:rsidRPr="001B214D">
              <w:rPr>
                <w:rFonts w:cs="Arial"/>
                <w:b/>
                <w:color w:val="000000"/>
                <w:szCs w:val="24"/>
                <w:highlight w:val="yellow"/>
                <w:u w:val="single"/>
              </w:rPr>
              <w:t>insert here</w:t>
            </w:r>
          </w:p>
          <w:p w14:paraId="6942E0EB" w14:textId="2A27C3C9" w:rsidR="00B979FD" w:rsidRDefault="00B979FD" w:rsidP="00B979FD">
            <w:pPr>
              <w:keepNext/>
              <w:rPr>
                <w:rFonts w:cs="Arial"/>
                <w:color w:val="000000"/>
                <w:szCs w:val="24"/>
              </w:rPr>
            </w:pPr>
            <w:r w:rsidRPr="008C3ECB">
              <w:rPr>
                <w:rFonts w:cs="Arial"/>
                <w:color w:val="000000"/>
                <w:szCs w:val="24"/>
              </w:rPr>
              <w:t xml:space="preserve">The objective of this trigger is to create an active </w:t>
            </w:r>
            <w:r>
              <w:rPr>
                <w:rFonts w:cs="Arial"/>
                <w:color w:val="000000"/>
                <w:szCs w:val="24"/>
              </w:rPr>
              <w:t xml:space="preserve">database of </w:t>
            </w:r>
            <w:r w:rsidRPr="008C3ECB">
              <w:rPr>
                <w:rFonts w:cs="Arial"/>
                <w:color w:val="000000"/>
                <w:szCs w:val="24"/>
              </w:rPr>
              <w:t>all patients with a confirmed HCV diagnosis and to track the patient through from initial diagnosis to provision of treatment and outcome.  This includes all patients i.e. those who are treated in industry funded trials, self-funding patients</w:t>
            </w:r>
            <w:r>
              <w:rPr>
                <w:rFonts w:cs="Arial"/>
                <w:color w:val="000000"/>
                <w:szCs w:val="24"/>
              </w:rPr>
              <w:t xml:space="preserve">, </w:t>
            </w:r>
            <w:r w:rsidRPr="008C3ECB">
              <w:rPr>
                <w:rFonts w:cs="Arial"/>
                <w:color w:val="000000"/>
                <w:szCs w:val="24"/>
              </w:rPr>
              <w:t>those who are re-infected</w:t>
            </w:r>
            <w:r>
              <w:rPr>
                <w:rFonts w:cs="Arial"/>
                <w:color w:val="000000"/>
                <w:szCs w:val="24"/>
              </w:rPr>
              <w:t xml:space="preserve">, </w:t>
            </w:r>
            <w:r w:rsidR="00F60A3E">
              <w:rPr>
                <w:rFonts w:cs="Arial"/>
                <w:color w:val="000000"/>
                <w:szCs w:val="24"/>
              </w:rPr>
              <w:t xml:space="preserve">those whose initial treatment fails and are retreated, </w:t>
            </w:r>
            <w:r>
              <w:rPr>
                <w:rFonts w:cs="Arial"/>
                <w:color w:val="000000"/>
                <w:szCs w:val="24"/>
              </w:rPr>
              <w:t xml:space="preserve">and those </w:t>
            </w:r>
            <w:r w:rsidRPr="00EA29C0">
              <w:rPr>
                <w:rFonts w:cs="Arial"/>
                <w:szCs w:val="24"/>
              </w:rPr>
              <w:t>who commence treatment then cease ahead of the expected duration</w:t>
            </w:r>
            <w:r w:rsidRPr="00EA29C0">
              <w:rPr>
                <w:rFonts w:cs="Arial"/>
                <w:color w:val="000000"/>
                <w:szCs w:val="24"/>
              </w:rPr>
              <w:t>.</w:t>
            </w:r>
            <w:r w:rsidRPr="008C3ECB">
              <w:rPr>
                <w:rFonts w:cs="Arial"/>
                <w:color w:val="000000"/>
                <w:szCs w:val="24"/>
              </w:rPr>
              <w:t xml:space="preserve">  </w:t>
            </w:r>
          </w:p>
          <w:p w14:paraId="45BB7854" w14:textId="77777777" w:rsidR="0094580A" w:rsidRDefault="0094580A" w:rsidP="00B979FD">
            <w:pPr>
              <w:keepNext/>
              <w:rPr>
                <w:rFonts w:cs="Arial"/>
                <w:color w:val="000000"/>
                <w:szCs w:val="24"/>
              </w:rPr>
            </w:pPr>
          </w:p>
          <w:p w14:paraId="44040A01" w14:textId="24017BBB" w:rsidR="00B979FD" w:rsidRDefault="00B979FD" w:rsidP="00B979FD">
            <w:pPr>
              <w:keepNext/>
              <w:rPr>
                <w:rFonts w:cs="Arial"/>
                <w:color w:val="000000" w:themeColor="text1"/>
                <w:szCs w:val="24"/>
              </w:rPr>
            </w:pPr>
            <w:r w:rsidRPr="00441F9A">
              <w:rPr>
                <w:rFonts w:cs="Arial"/>
                <w:szCs w:val="24"/>
              </w:rPr>
              <w:t xml:space="preserve">Patients must be entered onto the </w:t>
            </w:r>
            <w:r w:rsidRPr="00441F9A">
              <w:rPr>
                <w:rFonts w:cs="Arial"/>
                <w:color w:val="000000"/>
                <w:szCs w:val="24"/>
              </w:rPr>
              <w:t>NHS England Registry.</w:t>
            </w:r>
            <w:r>
              <w:rPr>
                <w:rFonts w:cs="Arial"/>
                <w:color w:val="000000"/>
                <w:szCs w:val="24"/>
              </w:rPr>
              <w:t xml:space="preserve">  </w:t>
            </w:r>
            <w:r w:rsidRPr="00EA29C0">
              <w:rPr>
                <w:rFonts w:cs="Arial"/>
                <w:color w:val="000000"/>
                <w:szCs w:val="24"/>
              </w:rPr>
              <w:t>The</w:t>
            </w:r>
            <w:r>
              <w:rPr>
                <w:rFonts w:cs="Arial"/>
                <w:color w:val="000000"/>
                <w:szCs w:val="24"/>
              </w:rPr>
              <w:t xml:space="preserve"> ODN</w:t>
            </w:r>
            <w:r w:rsidRPr="00EA29C0">
              <w:rPr>
                <w:rFonts w:cs="Arial"/>
                <w:color w:val="000000"/>
                <w:szCs w:val="24"/>
              </w:rPr>
              <w:t xml:space="preserve"> clinical lead </w:t>
            </w:r>
            <w:r w:rsidRPr="00EA29C0">
              <w:rPr>
                <w:rFonts w:cs="Arial"/>
                <w:color w:val="000000" w:themeColor="text1"/>
                <w:szCs w:val="24"/>
              </w:rPr>
              <w:t>is required to confirm that data entry is an accurate reflection of service delivery</w:t>
            </w:r>
            <w:r>
              <w:rPr>
                <w:rFonts w:cs="Arial"/>
                <w:color w:val="000000" w:themeColor="text1"/>
                <w:szCs w:val="24"/>
              </w:rPr>
              <w:t xml:space="preserve"> via the Annual report</w:t>
            </w:r>
            <w:r w:rsidRPr="00EA29C0">
              <w:rPr>
                <w:rFonts w:cs="Arial"/>
                <w:color w:val="000000" w:themeColor="text1"/>
                <w:szCs w:val="24"/>
              </w:rPr>
              <w:t xml:space="preserve">. </w:t>
            </w:r>
            <w:r>
              <w:rPr>
                <w:rFonts w:cs="Arial"/>
                <w:color w:val="000000" w:themeColor="text1"/>
                <w:szCs w:val="24"/>
              </w:rPr>
              <w:t xml:space="preserve"> The patient cohort being measured is: </w:t>
            </w:r>
          </w:p>
          <w:p w14:paraId="67F47B97" w14:textId="293634B6" w:rsidR="00041F14" w:rsidRDefault="00041F14" w:rsidP="00B979FD">
            <w:pPr>
              <w:keepNext/>
              <w:rPr>
                <w:rFonts w:cs="Arial"/>
                <w:color w:val="000000" w:themeColor="text1"/>
                <w:szCs w:val="24"/>
              </w:rPr>
            </w:pPr>
          </w:p>
          <w:p w14:paraId="1DEEA243" w14:textId="673FD2B4" w:rsidR="00041F14" w:rsidRPr="00041F14" w:rsidRDefault="00041F14" w:rsidP="00041F14">
            <w:pPr>
              <w:pStyle w:val="ListParagraph"/>
              <w:ind w:left="360"/>
              <w:rPr>
                <w:rFonts w:cs="Arial"/>
                <w:b/>
                <w:szCs w:val="24"/>
              </w:rPr>
            </w:pPr>
            <w:r w:rsidRPr="00041F14">
              <w:rPr>
                <w:rFonts w:cs="Arial"/>
                <w:b/>
                <w:color w:val="000000"/>
                <w:szCs w:val="24"/>
              </w:rPr>
              <w:t>Patients who commenced treatment or were expected to commence treatment between 1</w:t>
            </w:r>
            <w:r w:rsidRPr="00041F14">
              <w:rPr>
                <w:rFonts w:cs="Arial"/>
                <w:b/>
                <w:color w:val="000000"/>
                <w:szCs w:val="24"/>
                <w:vertAlign w:val="superscript"/>
              </w:rPr>
              <w:t>st</w:t>
            </w:r>
            <w:r w:rsidRPr="00041F14">
              <w:rPr>
                <w:rFonts w:cs="Arial"/>
                <w:b/>
                <w:color w:val="000000"/>
                <w:szCs w:val="24"/>
              </w:rPr>
              <w:t xml:space="preserve"> April 2019 and 31</w:t>
            </w:r>
            <w:r w:rsidRPr="00041F14">
              <w:rPr>
                <w:rFonts w:cs="Arial"/>
                <w:b/>
                <w:color w:val="000000"/>
                <w:szCs w:val="24"/>
                <w:vertAlign w:val="superscript"/>
              </w:rPr>
              <w:t>st</w:t>
            </w:r>
            <w:r w:rsidRPr="00041F14">
              <w:rPr>
                <w:rFonts w:cs="Arial"/>
                <w:b/>
                <w:color w:val="000000"/>
                <w:szCs w:val="24"/>
              </w:rPr>
              <w:t xml:space="preserve"> March 2020.  </w:t>
            </w:r>
          </w:p>
          <w:p w14:paraId="1F90F054" w14:textId="77777777" w:rsidR="00041F14" w:rsidRPr="00041F14" w:rsidRDefault="00041F14" w:rsidP="00041F14">
            <w:pPr>
              <w:keepNext/>
              <w:ind w:left="720"/>
              <w:rPr>
                <w:rFonts w:cs="Arial"/>
                <w:b/>
                <w:color w:val="000000" w:themeColor="text1"/>
                <w:szCs w:val="24"/>
              </w:rPr>
            </w:pPr>
          </w:p>
          <w:p w14:paraId="19AE401D" w14:textId="5E73CD20" w:rsidR="003238BB" w:rsidRDefault="00B979FD" w:rsidP="00B979FD">
            <w:pPr>
              <w:keepNext/>
              <w:rPr>
                <w:rFonts w:cs="Arial"/>
                <w:color w:val="000000"/>
                <w:szCs w:val="24"/>
              </w:rPr>
            </w:pPr>
            <w:r w:rsidRPr="000C486A">
              <w:rPr>
                <w:rFonts w:cs="Arial"/>
                <w:color w:val="000000"/>
                <w:szCs w:val="24"/>
              </w:rPr>
              <w:t>Th</w:t>
            </w:r>
            <w:r>
              <w:rPr>
                <w:rFonts w:cs="Arial"/>
                <w:color w:val="000000"/>
                <w:szCs w:val="24"/>
              </w:rPr>
              <w:t xml:space="preserve">ere is </w:t>
            </w:r>
            <w:r w:rsidRPr="000C486A">
              <w:rPr>
                <w:rFonts w:cs="Arial"/>
                <w:color w:val="000000"/>
                <w:szCs w:val="24"/>
              </w:rPr>
              <w:t xml:space="preserve">a </w:t>
            </w:r>
            <w:r w:rsidRPr="000C486A">
              <w:rPr>
                <w:rFonts w:cs="Arial"/>
                <w:szCs w:val="24"/>
              </w:rPr>
              <w:t>2-week period at the end of the financial year for organisations to submit any outstanding data entry.</w:t>
            </w:r>
            <w:r>
              <w:rPr>
                <w:rFonts w:cs="Arial"/>
                <w:szCs w:val="24"/>
              </w:rPr>
              <w:t xml:space="preserve">  </w:t>
            </w:r>
            <w:r w:rsidRPr="00FB2299">
              <w:rPr>
                <w:rFonts w:cs="Arial"/>
                <w:color w:val="000000"/>
                <w:szCs w:val="24"/>
              </w:rPr>
              <w:t xml:space="preserve">Trigger </w:t>
            </w:r>
            <w:r w:rsidR="00534E92">
              <w:rPr>
                <w:rFonts w:cs="Arial"/>
                <w:color w:val="000000"/>
                <w:szCs w:val="24"/>
              </w:rPr>
              <w:t>3</w:t>
            </w:r>
            <w:r w:rsidR="00041F14">
              <w:rPr>
                <w:rFonts w:cs="Arial"/>
                <w:color w:val="000000"/>
                <w:szCs w:val="24"/>
              </w:rPr>
              <w:t>’s</w:t>
            </w:r>
            <w:r w:rsidRPr="00FB2299">
              <w:rPr>
                <w:rFonts w:cs="Arial"/>
                <w:color w:val="000000"/>
                <w:szCs w:val="24"/>
              </w:rPr>
              <w:t xml:space="preserve"> CQUIN performance will be assessed by NHS England’s </w:t>
            </w:r>
            <w:r w:rsidRPr="00FB2299">
              <w:rPr>
                <w:rFonts w:cs="Arial"/>
                <w:szCs w:val="24"/>
              </w:rPr>
              <w:t>Head</w:t>
            </w:r>
            <w:r w:rsidRPr="00FB2299">
              <w:rPr>
                <w:rFonts w:cs="Arial"/>
                <w:color w:val="000000"/>
                <w:szCs w:val="24"/>
              </w:rPr>
              <w:t xml:space="preserve"> of Information and</w:t>
            </w:r>
            <w:r>
              <w:rPr>
                <w:rFonts w:cs="Arial"/>
                <w:color w:val="000000"/>
                <w:szCs w:val="24"/>
              </w:rPr>
              <w:t xml:space="preserve"> </w:t>
            </w:r>
            <w:r w:rsidRPr="00FB2299">
              <w:rPr>
                <w:rFonts w:cs="Arial"/>
                <w:color w:val="000000"/>
                <w:szCs w:val="24"/>
              </w:rPr>
              <w:t>Intelligence in the Specialised Services National Support Team</w:t>
            </w:r>
            <w:r>
              <w:rPr>
                <w:rFonts w:cs="Arial"/>
                <w:color w:val="000000"/>
                <w:szCs w:val="24"/>
              </w:rPr>
              <w:t xml:space="preserve"> on </w:t>
            </w:r>
            <w:r w:rsidRPr="00FB2299">
              <w:rPr>
                <w:rFonts w:cs="Arial"/>
                <w:color w:val="000000"/>
                <w:szCs w:val="24"/>
              </w:rPr>
              <w:t>1</w:t>
            </w:r>
            <w:r>
              <w:rPr>
                <w:rFonts w:cs="Arial"/>
                <w:color w:val="000000"/>
                <w:szCs w:val="24"/>
              </w:rPr>
              <w:t>5</w:t>
            </w:r>
            <w:r w:rsidRPr="00FB2299">
              <w:rPr>
                <w:rFonts w:cs="Arial"/>
                <w:color w:val="000000"/>
                <w:szCs w:val="24"/>
                <w:vertAlign w:val="superscript"/>
              </w:rPr>
              <w:t>th</w:t>
            </w:r>
            <w:r w:rsidRPr="00FB2299">
              <w:rPr>
                <w:rFonts w:cs="Arial"/>
                <w:color w:val="000000"/>
                <w:szCs w:val="24"/>
              </w:rPr>
              <w:t xml:space="preserve"> April 20</w:t>
            </w:r>
            <w:r>
              <w:rPr>
                <w:rFonts w:cs="Arial"/>
                <w:color w:val="000000"/>
                <w:szCs w:val="24"/>
              </w:rPr>
              <w:t>2</w:t>
            </w:r>
            <w:r w:rsidR="009E6569">
              <w:rPr>
                <w:rFonts w:cs="Arial"/>
                <w:color w:val="000000"/>
                <w:szCs w:val="24"/>
              </w:rPr>
              <w:t>0.</w:t>
            </w:r>
          </w:p>
          <w:p w14:paraId="4CDE4531" w14:textId="77777777" w:rsidR="003238BB" w:rsidRDefault="003238BB" w:rsidP="00B979FD">
            <w:pPr>
              <w:keepNext/>
              <w:rPr>
                <w:rFonts w:cs="Arial"/>
                <w:color w:val="000000"/>
                <w:szCs w:val="24"/>
              </w:rPr>
            </w:pPr>
          </w:p>
          <w:tbl>
            <w:tblPr>
              <w:tblStyle w:val="TableGrid"/>
              <w:tblW w:w="0" w:type="auto"/>
              <w:tblInd w:w="313" w:type="dxa"/>
              <w:tblLook w:val="04A0" w:firstRow="1" w:lastRow="0" w:firstColumn="1" w:lastColumn="0" w:noHBand="0" w:noVBand="1"/>
            </w:tblPr>
            <w:tblGrid>
              <w:gridCol w:w="2693"/>
              <w:gridCol w:w="5953"/>
            </w:tblGrid>
            <w:tr w:rsidR="00041F14" w14:paraId="325DB7F5" w14:textId="77777777" w:rsidTr="00041F14">
              <w:tc>
                <w:tcPr>
                  <w:tcW w:w="2693" w:type="dxa"/>
                </w:tcPr>
                <w:p w14:paraId="6C79967B" w14:textId="77777777" w:rsidR="00041F14" w:rsidRDefault="00041F14" w:rsidP="00B979FD">
                  <w:pPr>
                    <w:keepNext/>
                    <w:rPr>
                      <w:rFonts w:cs="Arial"/>
                      <w:color w:val="000000"/>
                      <w:szCs w:val="24"/>
                    </w:rPr>
                  </w:pPr>
                  <w:r>
                    <w:rPr>
                      <w:rFonts w:cs="Arial"/>
                      <w:color w:val="000000"/>
                      <w:szCs w:val="24"/>
                    </w:rPr>
                    <w:t>Patient cohort</w:t>
                  </w:r>
                </w:p>
              </w:tc>
              <w:tc>
                <w:tcPr>
                  <w:tcW w:w="5953" w:type="dxa"/>
                </w:tcPr>
                <w:p w14:paraId="0F8EDECD" w14:textId="297D4AC5" w:rsidR="00041F14" w:rsidRDefault="00985441" w:rsidP="00B979FD">
                  <w:pPr>
                    <w:keepNext/>
                    <w:rPr>
                      <w:rFonts w:cs="Arial"/>
                      <w:color w:val="000000"/>
                      <w:szCs w:val="24"/>
                    </w:rPr>
                  </w:pPr>
                  <w:r>
                    <w:rPr>
                      <w:rFonts w:cs="Arial"/>
                      <w:color w:val="000000"/>
                      <w:szCs w:val="24"/>
                    </w:rPr>
                    <w:t>P</w:t>
                  </w:r>
                  <w:r w:rsidR="00041F14" w:rsidRPr="00FB2299">
                    <w:rPr>
                      <w:rFonts w:cs="Arial"/>
                      <w:color w:val="000000"/>
                      <w:szCs w:val="24"/>
                    </w:rPr>
                    <w:t>atients who completed or where expected to complete treatment between 1</w:t>
                  </w:r>
                  <w:r w:rsidR="00041F14" w:rsidRPr="00FB2299">
                    <w:rPr>
                      <w:rFonts w:cs="Arial"/>
                      <w:color w:val="000000"/>
                      <w:szCs w:val="24"/>
                      <w:vertAlign w:val="superscript"/>
                    </w:rPr>
                    <w:t>st</w:t>
                  </w:r>
                  <w:r w:rsidR="00041F14" w:rsidRPr="00FB2299">
                    <w:rPr>
                      <w:rFonts w:cs="Arial"/>
                      <w:color w:val="000000"/>
                      <w:szCs w:val="24"/>
                    </w:rPr>
                    <w:t xml:space="preserve"> </w:t>
                  </w:r>
                  <w:r w:rsidR="00041F14">
                    <w:rPr>
                      <w:rFonts w:cs="Arial"/>
                      <w:color w:val="000000"/>
                      <w:szCs w:val="24"/>
                    </w:rPr>
                    <w:t xml:space="preserve">April </w:t>
                  </w:r>
                  <w:r w:rsidR="00041F14" w:rsidRPr="00FB2299">
                    <w:rPr>
                      <w:rFonts w:cs="Arial"/>
                      <w:color w:val="000000"/>
                      <w:szCs w:val="24"/>
                    </w:rPr>
                    <w:t>2019 and 31</w:t>
                  </w:r>
                  <w:r w:rsidR="00041F14" w:rsidRPr="00FB2299">
                    <w:rPr>
                      <w:rFonts w:cs="Arial"/>
                      <w:color w:val="000000"/>
                      <w:szCs w:val="24"/>
                      <w:vertAlign w:val="superscript"/>
                    </w:rPr>
                    <w:t>st</w:t>
                  </w:r>
                  <w:r w:rsidR="00041F14">
                    <w:rPr>
                      <w:rFonts w:cs="Arial"/>
                      <w:color w:val="000000"/>
                      <w:szCs w:val="24"/>
                    </w:rPr>
                    <w:t xml:space="preserve"> March 2020</w:t>
                  </w:r>
                </w:p>
              </w:tc>
            </w:tr>
            <w:tr w:rsidR="00041F14" w14:paraId="1582F9E6" w14:textId="77777777" w:rsidTr="00041F14">
              <w:tc>
                <w:tcPr>
                  <w:tcW w:w="2693" w:type="dxa"/>
                </w:tcPr>
                <w:p w14:paraId="1E5BB7EF" w14:textId="77777777" w:rsidR="00041F14" w:rsidRDefault="00041F14" w:rsidP="00B979FD">
                  <w:pPr>
                    <w:keepNext/>
                    <w:rPr>
                      <w:rFonts w:cs="Arial"/>
                      <w:color w:val="000000"/>
                      <w:szCs w:val="24"/>
                    </w:rPr>
                  </w:pPr>
                  <w:r>
                    <w:rPr>
                      <w:rFonts w:cs="Arial"/>
                      <w:color w:val="000000"/>
                      <w:szCs w:val="24"/>
                    </w:rPr>
                    <w:t>Assessment day</w:t>
                  </w:r>
                </w:p>
              </w:tc>
              <w:tc>
                <w:tcPr>
                  <w:tcW w:w="5953" w:type="dxa"/>
                </w:tcPr>
                <w:p w14:paraId="3FAC0465" w14:textId="2B037D95" w:rsidR="00041F14" w:rsidRDefault="00041F14" w:rsidP="00B979FD">
                  <w:pPr>
                    <w:keepNext/>
                    <w:rPr>
                      <w:rFonts w:cs="Arial"/>
                      <w:color w:val="000000"/>
                      <w:szCs w:val="24"/>
                    </w:rPr>
                  </w:pPr>
                  <w:r>
                    <w:rPr>
                      <w:rFonts w:cs="Arial"/>
                      <w:color w:val="000000"/>
                      <w:szCs w:val="24"/>
                    </w:rPr>
                    <w:t>15</w:t>
                  </w:r>
                  <w:r w:rsidRPr="0045300D">
                    <w:rPr>
                      <w:rFonts w:cs="Arial"/>
                      <w:color w:val="000000"/>
                      <w:szCs w:val="24"/>
                      <w:vertAlign w:val="superscript"/>
                    </w:rPr>
                    <w:t>th</w:t>
                  </w:r>
                  <w:r w:rsidR="00B5670F">
                    <w:rPr>
                      <w:rFonts w:cs="Arial"/>
                      <w:color w:val="000000"/>
                      <w:szCs w:val="24"/>
                    </w:rPr>
                    <w:t xml:space="preserve"> April 2020</w:t>
                  </w:r>
                </w:p>
              </w:tc>
            </w:tr>
          </w:tbl>
          <w:p w14:paraId="5CB9ADE4" w14:textId="77777777" w:rsidR="00B979FD" w:rsidRDefault="00B979FD" w:rsidP="00B979FD">
            <w:pPr>
              <w:keepNext/>
              <w:rPr>
                <w:rFonts w:cs="Arial"/>
                <w:color w:val="000000" w:themeColor="text1"/>
                <w:szCs w:val="24"/>
              </w:rPr>
            </w:pPr>
          </w:p>
          <w:p w14:paraId="5A50ECA7" w14:textId="77777777" w:rsidR="00B979FD" w:rsidRDefault="00B979FD" w:rsidP="00B979FD">
            <w:pPr>
              <w:keepNext/>
              <w:rPr>
                <w:rFonts w:cs="Arial"/>
                <w:color w:val="000000"/>
                <w:szCs w:val="24"/>
              </w:rPr>
            </w:pPr>
            <w:r>
              <w:rPr>
                <w:rFonts w:cs="Arial"/>
                <w:color w:val="000000"/>
                <w:szCs w:val="24"/>
              </w:rPr>
              <w:t>Data Metrics:</w:t>
            </w:r>
          </w:p>
          <w:p w14:paraId="6D93A0ED" w14:textId="78BB91A7" w:rsidR="00B979FD" w:rsidRPr="000C486A" w:rsidRDefault="00B979FD" w:rsidP="00B979FD">
            <w:pPr>
              <w:keepNext/>
              <w:rPr>
                <w:rFonts w:cs="Arial"/>
                <w:color w:val="000000"/>
                <w:szCs w:val="24"/>
              </w:rPr>
            </w:pPr>
            <w:r>
              <w:rPr>
                <w:rFonts w:cs="Arial"/>
                <w:color w:val="000000"/>
                <w:szCs w:val="24"/>
              </w:rPr>
              <w:t>The table below lists the m</w:t>
            </w:r>
            <w:r w:rsidR="00041F14">
              <w:rPr>
                <w:rFonts w:cs="Arial"/>
                <w:color w:val="000000"/>
                <w:szCs w:val="24"/>
              </w:rPr>
              <w:t xml:space="preserve">etrics associated with Trigger </w:t>
            </w:r>
            <w:r w:rsidR="00534E92">
              <w:rPr>
                <w:rFonts w:cs="Arial"/>
                <w:color w:val="000000"/>
                <w:szCs w:val="24"/>
              </w:rPr>
              <w:t>3</w:t>
            </w:r>
            <w:r>
              <w:rPr>
                <w:rFonts w:cs="Arial"/>
                <w:color w:val="000000"/>
                <w:szCs w:val="24"/>
              </w:rPr>
              <w:t>:</w:t>
            </w:r>
          </w:p>
          <w:tbl>
            <w:tblPr>
              <w:tblStyle w:val="TableGrid"/>
              <w:tblW w:w="0" w:type="auto"/>
              <w:tblLook w:val="04A0" w:firstRow="1" w:lastRow="0" w:firstColumn="1" w:lastColumn="0" w:noHBand="0" w:noVBand="1"/>
            </w:tblPr>
            <w:tblGrid>
              <w:gridCol w:w="2263"/>
              <w:gridCol w:w="3119"/>
              <w:gridCol w:w="3634"/>
            </w:tblGrid>
            <w:tr w:rsidR="00B979FD" w:rsidRPr="000C486A" w14:paraId="70676F7D" w14:textId="77777777">
              <w:tc>
                <w:tcPr>
                  <w:tcW w:w="2263" w:type="dxa"/>
                </w:tcPr>
                <w:p w14:paraId="53919144" w14:textId="77777777" w:rsidR="00B979FD" w:rsidRPr="000C486A" w:rsidRDefault="00B979FD" w:rsidP="00B979FD">
                  <w:pPr>
                    <w:keepNext/>
                    <w:rPr>
                      <w:rFonts w:cs="Arial"/>
                      <w:color w:val="000000"/>
                      <w:sz w:val="20"/>
                      <w:szCs w:val="20"/>
                    </w:rPr>
                  </w:pPr>
                  <w:r w:rsidRPr="000C486A">
                    <w:rPr>
                      <w:rFonts w:cs="Arial"/>
                      <w:color w:val="000000"/>
                      <w:sz w:val="20"/>
                      <w:szCs w:val="20"/>
                    </w:rPr>
                    <w:t>Patient cohort</w:t>
                  </w:r>
                </w:p>
              </w:tc>
              <w:tc>
                <w:tcPr>
                  <w:tcW w:w="3119" w:type="dxa"/>
                </w:tcPr>
                <w:p w14:paraId="127ED092" w14:textId="77777777" w:rsidR="00B979FD" w:rsidRPr="000C486A" w:rsidRDefault="00B979FD" w:rsidP="00B979FD">
                  <w:pPr>
                    <w:keepNext/>
                    <w:rPr>
                      <w:rFonts w:cs="Arial"/>
                      <w:color w:val="000000"/>
                      <w:sz w:val="20"/>
                      <w:szCs w:val="20"/>
                    </w:rPr>
                  </w:pPr>
                  <w:r w:rsidRPr="000C486A">
                    <w:rPr>
                      <w:rFonts w:cs="Arial"/>
                      <w:color w:val="000000"/>
                      <w:sz w:val="20"/>
                      <w:szCs w:val="20"/>
                    </w:rPr>
                    <w:t>D</w:t>
                  </w:r>
                  <w:r>
                    <w:rPr>
                      <w:rFonts w:cs="Arial"/>
                      <w:color w:val="000000"/>
                      <w:sz w:val="20"/>
                      <w:szCs w:val="20"/>
                    </w:rPr>
                    <w:t xml:space="preserve">ata entry field </w:t>
                  </w:r>
                  <w:r w:rsidRPr="000C486A">
                    <w:rPr>
                      <w:rFonts w:cs="Arial"/>
                      <w:color w:val="000000"/>
                      <w:sz w:val="20"/>
                      <w:szCs w:val="20"/>
                    </w:rPr>
                    <w:t>to be completed</w:t>
                  </w:r>
                </w:p>
              </w:tc>
              <w:tc>
                <w:tcPr>
                  <w:tcW w:w="3634" w:type="dxa"/>
                </w:tcPr>
                <w:p w14:paraId="261435FA" w14:textId="77777777" w:rsidR="00B979FD" w:rsidRPr="000C486A" w:rsidRDefault="00B979FD" w:rsidP="00B979FD">
                  <w:pPr>
                    <w:keepNext/>
                    <w:rPr>
                      <w:rFonts w:cs="Arial"/>
                      <w:color w:val="000000"/>
                      <w:sz w:val="20"/>
                      <w:szCs w:val="20"/>
                    </w:rPr>
                  </w:pPr>
                  <w:r w:rsidRPr="000C486A">
                    <w:rPr>
                      <w:rFonts w:cs="Arial"/>
                      <w:color w:val="000000"/>
                      <w:sz w:val="20"/>
                      <w:szCs w:val="20"/>
                    </w:rPr>
                    <w:t>CQUIN target</w:t>
                  </w:r>
                </w:p>
              </w:tc>
            </w:tr>
            <w:tr w:rsidR="00B979FD" w:rsidRPr="000C486A" w14:paraId="2FAFEB53" w14:textId="77777777">
              <w:tc>
                <w:tcPr>
                  <w:tcW w:w="2263" w:type="dxa"/>
                </w:tcPr>
                <w:p w14:paraId="4B2D0D0A" w14:textId="77777777" w:rsidR="00B979FD" w:rsidRPr="000C486A" w:rsidRDefault="00B979FD" w:rsidP="00B979FD">
                  <w:pPr>
                    <w:keepNext/>
                    <w:rPr>
                      <w:rFonts w:cs="Arial"/>
                      <w:color w:val="000000"/>
                      <w:sz w:val="20"/>
                      <w:szCs w:val="20"/>
                    </w:rPr>
                  </w:pPr>
                  <w:r w:rsidRPr="000C486A">
                    <w:rPr>
                      <w:rFonts w:cs="Arial"/>
                      <w:color w:val="000000"/>
                      <w:sz w:val="20"/>
                      <w:szCs w:val="20"/>
                    </w:rPr>
                    <w:t>All patients (treated and untreated)</w:t>
                  </w:r>
                </w:p>
              </w:tc>
              <w:tc>
                <w:tcPr>
                  <w:tcW w:w="3119" w:type="dxa"/>
                </w:tcPr>
                <w:p w14:paraId="1A5A1193" w14:textId="77777777" w:rsidR="00B979FD" w:rsidRPr="000C486A" w:rsidRDefault="00B979FD" w:rsidP="00B979FD">
                  <w:pPr>
                    <w:keepNext/>
                    <w:rPr>
                      <w:rFonts w:cs="Arial"/>
                      <w:color w:val="000000"/>
                      <w:sz w:val="20"/>
                      <w:szCs w:val="20"/>
                    </w:rPr>
                  </w:pPr>
                  <w:r w:rsidRPr="000C486A">
                    <w:rPr>
                      <w:rFonts w:cs="Arial"/>
                      <w:color w:val="000000"/>
                      <w:sz w:val="20"/>
                      <w:szCs w:val="20"/>
                    </w:rPr>
                    <w:t>Name</w:t>
                  </w:r>
                </w:p>
                <w:p w14:paraId="0C60FF2F" w14:textId="77777777" w:rsidR="00B979FD" w:rsidRPr="000C486A" w:rsidRDefault="00B979FD" w:rsidP="00B979FD">
                  <w:pPr>
                    <w:keepNext/>
                    <w:rPr>
                      <w:rFonts w:cs="Arial"/>
                      <w:color w:val="000000"/>
                      <w:sz w:val="20"/>
                      <w:szCs w:val="20"/>
                    </w:rPr>
                  </w:pPr>
                  <w:r w:rsidRPr="000C486A">
                    <w:rPr>
                      <w:rFonts w:cs="Arial"/>
                      <w:color w:val="000000"/>
                      <w:sz w:val="20"/>
                      <w:szCs w:val="20"/>
                    </w:rPr>
                    <w:t>NHS number</w:t>
                  </w:r>
                </w:p>
                <w:p w14:paraId="002A6C32" w14:textId="77777777" w:rsidR="00B979FD" w:rsidRPr="000C486A" w:rsidRDefault="00B979FD" w:rsidP="00B979FD">
                  <w:pPr>
                    <w:keepNext/>
                    <w:rPr>
                      <w:rFonts w:cs="Arial"/>
                      <w:color w:val="000000"/>
                      <w:sz w:val="20"/>
                      <w:szCs w:val="20"/>
                    </w:rPr>
                  </w:pPr>
                  <w:r w:rsidRPr="000C486A">
                    <w:rPr>
                      <w:rFonts w:cs="Arial"/>
                      <w:color w:val="000000"/>
                      <w:sz w:val="20"/>
                      <w:szCs w:val="20"/>
                    </w:rPr>
                    <w:t xml:space="preserve">Age </w:t>
                  </w:r>
                </w:p>
                <w:p w14:paraId="76855D87" w14:textId="77777777" w:rsidR="00B979FD" w:rsidRPr="000C486A" w:rsidRDefault="00B979FD" w:rsidP="00B979FD">
                  <w:pPr>
                    <w:keepNext/>
                    <w:rPr>
                      <w:rFonts w:cs="Arial"/>
                      <w:color w:val="000000"/>
                      <w:sz w:val="20"/>
                      <w:szCs w:val="20"/>
                    </w:rPr>
                  </w:pPr>
                  <w:r w:rsidRPr="000C486A">
                    <w:rPr>
                      <w:rFonts w:cs="Arial"/>
                      <w:color w:val="000000"/>
                      <w:sz w:val="20"/>
                      <w:szCs w:val="20"/>
                    </w:rPr>
                    <w:t>Gender</w:t>
                  </w:r>
                </w:p>
                <w:p w14:paraId="7561FA0E" w14:textId="77777777" w:rsidR="00B979FD" w:rsidRPr="000C486A" w:rsidRDefault="00B979FD" w:rsidP="00B979FD">
                  <w:pPr>
                    <w:keepNext/>
                    <w:rPr>
                      <w:rFonts w:cs="Arial"/>
                      <w:color w:val="000000"/>
                      <w:sz w:val="20"/>
                      <w:szCs w:val="20"/>
                    </w:rPr>
                  </w:pPr>
                </w:p>
              </w:tc>
              <w:tc>
                <w:tcPr>
                  <w:tcW w:w="3634" w:type="dxa"/>
                </w:tcPr>
                <w:p w14:paraId="4AC2D69C" w14:textId="77777777" w:rsidR="00B979FD" w:rsidRPr="000C486A" w:rsidRDefault="00B979FD" w:rsidP="00B979FD">
                  <w:pPr>
                    <w:keepNext/>
                    <w:rPr>
                      <w:rFonts w:cs="Arial"/>
                      <w:color w:val="000000"/>
                      <w:sz w:val="20"/>
                      <w:szCs w:val="20"/>
                    </w:rPr>
                  </w:pPr>
                  <w:r w:rsidRPr="000C486A">
                    <w:rPr>
                      <w:rFonts w:cs="Arial"/>
                      <w:color w:val="000000"/>
                      <w:sz w:val="20"/>
                      <w:szCs w:val="20"/>
                    </w:rPr>
                    <w:t>80%</w:t>
                  </w:r>
                </w:p>
              </w:tc>
            </w:tr>
            <w:tr w:rsidR="00B979FD" w:rsidRPr="000C486A" w14:paraId="6746D5B4" w14:textId="77777777">
              <w:tc>
                <w:tcPr>
                  <w:tcW w:w="2263" w:type="dxa"/>
                </w:tcPr>
                <w:p w14:paraId="0AE3A207" w14:textId="77777777" w:rsidR="00B979FD" w:rsidRPr="000C486A" w:rsidRDefault="00B979FD" w:rsidP="00B979FD">
                  <w:pPr>
                    <w:keepNext/>
                    <w:rPr>
                      <w:rFonts w:cs="Arial"/>
                      <w:color w:val="000000"/>
                      <w:sz w:val="20"/>
                      <w:szCs w:val="20"/>
                    </w:rPr>
                  </w:pPr>
                  <w:r w:rsidRPr="000C486A">
                    <w:rPr>
                      <w:rFonts w:cs="Arial"/>
                      <w:color w:val="000000"/>
                      <w:sz w:val="20"/>
                      <w:szCs w:val="20"/>
                    </w:rPr>
                    <w:t>All treated patients</w:t>
                  </w:r>
                </w:p>
              </w:tc>
              <w:tc>
                <w:tcPr>
                  <w:tcW w:w="3119" w:type="dxa"/>
                </w:tcPr>
                <w:p w14:paraId="59CB95F9" w14:textId="77777777" w:rsidR="00B979FD" w:rsidRPr="000C486A" w:rsidRDefault="00B979FD" w:rsidP="00B979FD">
                  <w:pPr>
                    <w:keepNext/>
                    <w:rPr>
                      <w:rFonts w:cs="Arial"/>
                      <w:color w:val="000000"/>
                      <w:sz w:val="20"/>
                      <w:szCs w:val="20"/>
                    </w:rPr>
                  </w:pPr>
                  <w:r w:rsidRPr="000C486A">
                    <w:rPr>
                      <w:rFonts w:cs="Arial"/>
                      <w:color w:val="000000"/>
                      <w:sz w:val="20"/>
                      <w:szCs w:val="20"/>
                    </w:rPr>
                    <w:t>Obligatory fields</w:t>
                  </w:r>
                </w:p>
              </w:tc>
              <w:tc>
                <w:tcPr>
                  <w:tcW w:w="3634" w:type="dxa"/>
                </w:tcPr>
                <w:p w14:paraId="72454A78" w14:textId="77777777" w:rsidR="00B979FD" w:rsidRPr="000C486A" w:rsidRDefault="00B979FD" w:rsidP="00B979FD">
                  <w:pPr>
                    <w:keepNext/>
                    <w:rPr>
                      <w:rFonts w:cs="Arial"/>
                      <w:color w:val="000000"/>
                      <w:sz w:val="20"/>
                      <w:szCs w:val="20"/>
                    </w:rPr>
                  </w:pPr>
                  <w:r w:rsidRPr="000C486A">
                    <w:rPr>
                      <w:rFonts w:cs="Arial"/>
                      <w:color w:val="000000"/>
                      <w:sz w:val="20"/>
                      <w:szCs w:val="20"/>
                    </w:rPr>
                    <w:t>50% of the patients have 80% of the fields completed*</w:t>
                  </w:r>
                </w:p>
              </w:tc>
            </w:tr>
            <w:tr w:rsidR="00B979FD" w:rsidRPr="000C486A" w14:paraId="6B5DEA98" w14:textId="77777777">
              <w:tc>
                <w:tcPr>
                  <w:tcW w:w="2263" w:type="dxa"/>
                </w:tcPr>
                <w:p w14:paraId="23813AD3" w14:textId="77777777" w:rsidR="00B979FD" w:rsidRPr="000C486A" w:rsidRDefault="00B979FD" w:rsidP="00B979FD">
                  <w:pPr>
                    <w:keepNext/>
                    <w:rPr>
                      <w:rFonts w:cs="Arial"/>
                      <w:color w:val="000000"/>
                      <w:sz w:val="20"/>
                      <w:szCs w:val="20"/>
                    </w:rPr>
                  </w:pPr>
                  <w:r w:rsidRPr="000C486A">
                    <w:rPr>
                      <w:rFonts w:cs="Arial"/>
                      <w:color w:val="000000"/>
                      <w:sz w:val="20"/>
                      <w:szCs w:val="20"/>
                    </w:rPr>
                    <w:t xml:space="preserve">All treated patients </w:t>
                  </w:r>
                </w:p>
              </w:tc>
              <w:tc>
                <w:tcPr>
                  <w:tcW w:w="3119" w:type="dxa"/>
                </w:tcPr>
                <w:p w14:paraId="2FBA81BA" w14:textId="77777777" w:rsidR="00B979FD" w:rsidRPr="000C486A" w:rsidRDefault="00B979FD" w:rsidP="00B979FD">
                  <w:pPr>
                    <w:rPr>
                      <w:rFonts w:cs="Arial"/>
                      <w:sz w:val="20"/>
                      <w:szCs w:val="20"/>
                    </w:rPr>
                  </w:pPr>
                  <w:r w:rsidRPr="000C486A">
                    <w:rPr>
                      <w:rFonts w:cs="Arial"/>
                      <w:sz w:val="20"/>
                      <w:szCs w:val="20"/>
                    </w:rPr>
                    <w:t>Core data fields</w:t>
                  </w:r>
                </w:p>
              </w:tc>
              <w:tc>
                <w:tcPr>
                  <w:tcW w:w="3634" w:type="dxa"/>
                </w:tcPr>
                <w:p w14:paraId="210F8494" w14:textId="77777777" w:rsidR="00B979FD" w:rsidRPr="000C486A" w:rsidRDefault="00B979FD" w:rsidP="00B979FD">
                  <w:pPr>
                    <w:keepNext/>
                    <w:rPr>
                      <w:rFonts w:cs="Arial"/>
                      <w:color w:val="000000"/>
                      <w:sz w:val="20"/>
                      <w:szCs w:val="20"/>
                    </w:rPr>
                  </w:pPr>
                  <w:r w:rsidRPr="000C486A">
                    <w:rPr>
                      <w:rFonts w:cs="Arial"/>
                      <w:color w:val="000000"/>
                      <w:sz w:val="20"/>
                      <w:szCs w:val="20"/>
                    </w:rPr>
                    <w:t>80% of the patients have 80% of the fields completed**</w:t>
                  </w:r>
                </w:p>
              </w:tc>
            </w:tr>
            <w:tr w:rsidR="00B979FD" w:rsidRPr="000C486A" w14:paraId="772273AE" w14:textId="77777777">
              <w:trPr>
                <w:trHeight w:val="896"/>
              </w:trPr>
              <w:tc>
                <w:tcPr>
                  <w:tcW w:w="2263" w:type="dxa"/>
                </w:tcPr>
                <w:p w14:paraId="0CFDB857" w14:textId="77777777" w:rsidR="00B979FD" w:rsidRPr="00976532" w:rsidRDefault="00B979FD" w:rsidP="00B979FD">
                  <w:pPr>
                    <w:keepNext/>
                    <w:rPr>
                      <w:rFonts w:cs="Arial"/>
                      <w:color w:val="000000"/>
                      <w:sz w:val="20"/>
                      <w:szCs w:val="20"/>
                    </w:rPr>
                  </w:pPr>
                  <w:r w:rsidRPr="00976532">
                    <w:rPr>
                      <w:rFonts w:cs="Arial"/>
                      <w:color w:val="000000"/>
                      <w:sz w:val="20"/>
                      <w:szCs w:val="20"/>
                    </w:rPr>
                    <w:lastRenderedPageBreak/>
                    <w:t>All treated patients who complete SVR12</w:t>
                  </w:r>
                </w:p>
                <w:p w14:paraId="7C95A377" w14:textId="77777777" w:rsidR="00B979FD" w:rsidRPr="00976532" w:rsidRDefault="00B979FD" w:rsidP="00B979FD">
                  <w:pPr>
                    <w:keepNext/>
                    <w:rPr>
                      <w:rFonts w:cs="Arial"/>
                      <w:color w:val="000000"/>
                      <w:sz w:val="20"/>
                      <w:szCs w:val="20"/>
                    </w:rPr>
                  </w:pPr>
                </w:p>
              </w:tc>
              <w:tc>
                <w:tcPr>
                  <w:tcW w:w="3119" w:type="dxa"/>
                </w:tcPr>
                <w:p w14:paraId="13ACFF79" w14:textId="77777777" w:rsidR="00B979FD" w:rsidRPr="00976532" w:rsidRDefault="00B979FD" w:rsidP="00B979FD">
                  <w:pPr>
                    <w:keepNext/>
                    <w:rPr>
                      <w:rFonts w:cs="Arial"/>
                      <w:color w:val="000000"/>
                      <w:sz w:val="20"/>
                      <w:szCs w:val="20"/>
                    </w:rPr>
                  </w:pPr>
                  <w:r w:rsidRPr="00976532">
                    <w:rPr>
                      <w:rFonts w:cs="Arial"/>
                      <w:color w:val="000000"/>
                      <w:sz w:val="20"/>
                      <w:szCs w:val="20"/>
                    </w:rPr>
                    <w:t>SVR12</w:t>
                  </w:r>
                </w:p>
              </w:tc>
              <w:tc>
                <w:tcPr>
                  <w:tcW w:w="3634" w:type="dxa"/>
                </w:tcPr>
                <w:p w14:paraId="0F56680B" w14:textId="4ECFA928" w:rsidR="00534E92" w:rsidRDefault="00534E92" w:rsidP="00B979FD">
                  <w:pPr>
                    <w:keepNext/>
                    <w:rPr>
                      <w:rFonts w:cs="Arial"/>
                      <w:color w:val="000000"/>
                      <w:sz w:val="20"/>
                      <w:szCs w:val="20"/>
                    </w:rPr>
                  </w:pPr>
                  <w:r w:rsidRPr="00976532">
                    <w:rPr>
                      <w:rFonts w:cs="Arial"/>
                      <w:color w:val="000000"/>
                      <w:sz w:val="20"/>
                      <w:szCs w:val="20"/>
                    </w:rPr>
                    <w:t>85% SVR for all patients treated in hospital settings</w:t>
                  </w:r>
                </w:p>
                <w:p w14:paraId="6ED18684" w14:textId="062808EE" w:rsidR="00B979FD" w:rsidRPr="003468FC" w:rsidRDefault="00534E92" w:rsidP="00B979FD">
                  <w:pPr>
                    <w:keepNext/>
                    <w:rPr>
                      <w:rFonts w:cs="Arial"/>
                      <w:b/>
                      <w:color w:val="000000"/>
                      <w:sz w:val="20"/>
                      <w:szCs w:val="20"/>
                    </w:rPr>
                  </w:pPr>
                  <w:r w:rsidRPr="00976532">
                    <w:rPr>
                      <w:rFonts w:cs="Arial"/>
                      <w:color w:val="000000"/>
                      <w:sz w:val="20"/>
                      <w:szCs w:val="20"/>
                    </w:rPr>
                    <w:t>60% for patients treated in prisons,</w:t>
                  </w:r>
                  <w:r>
                    <w:rPr>
                      <w:rFonts w:cs="Arial"/>
                      <w:color w:val="000000"/>
                      <w:sz w:val="20"/>
                      <w:szCs w:val="20"/>
                    </w:rPr>
                    <w:t xml:space="preserve"> </w:t>
                  </w:r>
                  <w:r w:rsidRPr="00976532">
                    <w:rPr>
                      <w:rFonts w:cs="Arial"/>
                      <w:color w:val="000000"/>
                      <w:sz w:val="20"/>
                      <w:szCs w:val="20"/>
                    </w:rPr>
                    <w:t>pharmacies</w:t>
                  </w:r>
                  <w:r w:rsidR="00976532">
                    <w:rPr>
                      <w:rFonts w:cs="Arial"/>
                      <w:color w:val="000000"/>
                      <w:sz w:val="20"/>
                      <w:szCs w:val="20"/>
                    </w:rPr>
                    <w:t>,</w:t>
                  </w:r>
                  <w:r w:rsidRPr="00976532">
                    <w:rPr>
                      <w:rFonts w:cs="Arial"/>
                      <w:color w:val="000000"/>
                      <w:sz w:val="20"/>
                      <w:szCs w:val="20"/>
                    </w:rPr>
                    <w:t xml:space="preserve"> prisons</w:t>
                  </w:r>
                  <w:r w:rsidR="00976532">
                    <w:rPr>
                      <w:rFonts w:cs="Arial"/>
                      <w:color w:val="000000"/>
                      <w:sz w:val="20"/>
                      <w:szCs w:val="20"/>
                    </w:rPr>
                    <w:t xml:space="preserve"> and drug and alcohol services</w:t>
                  </w:r>
                  <w:r w:rsidRPr="00976532">
                    <w:rPr>
                      <w:rFonts w:cs="Arial"/>
                      <w:color w:val="000000"/>
                      <w:sz w:val="20"/>
                      <w:szCs w:val="20"/>
                    </w:rPr>
                    <w:t>.</w:t>
                  </w:r>
                </w:p>
              </w:tc>
            </w:tr>
          </w:tbl>
          <w:p w14:paraId="7FBCD29E" w14:textId="795C0549" w:rsidR="00B979FD" w:rsidRDefault="00B979FD" w:rsidP="00B979FD">
            <w:pPr>
              <w:rPr>
                <w:rFonts w:cs="Arial"/>
                <w:b/>
                <w:szCs w:val="24"/>
              </w:rPr>
            </w:pPr>
          </w:p>
          <w:p w14:paraId="07117935" w14:textId="524CECCA" w:rsidR="004C3399" w:rsidRDefault="004C3399" w:rsidP="004C3399">
            <w:pPr>
              <w:rPr>
                <w:rFonts w:cs="Arial"/>
                <w:szCs w:val="24"/>
              </w:rPr>
            </w:pPr>
            <w:r w:rsidRPr="008C3ECB">
              <w:rPr>
                <w:rFonts w:cs="Arial"/>
                <w:szCs w:val="24"/>
              </w:rPr>
              <w:t xml:space="preserve">*For example:  160 patients have been treated during the CQUIN period.  </w:t>
            </w:r>
            <w:r w:rsidR="00976532">
              <w:rPr>
                <w:rFonts w:cs="Arial"/>
                <w:szCs w:val="24"/>
              </w:rPr>
              <w:t xml:space="preserve">If </w:t>
            </w:r>
            <w:r w:rsidRPr="008C3ECB">
              <w:rPr>
                <w:rFonts w:cs="Arial"/>
                <w:szCs w:val="24"/>
              </w:rPr>
              <w:t xml:space="preserve">80 of the patients have any </w:t>
            </w:r>
            <w:r>
              <w:rPr>
                <w:rFonts w:cs="Arial"/>
                <w:szCs w:val="24"/>
              </w:rPr>
              <w:t>5</w:t>
            </w:r>
            <w:r w:rsidRPr="008C3ECB">
              <w:rPr>
                <w:rFonts w:cs="Arial"/>
                <w:szCs w:val="24"/>
              </w:rPr>
              <w:t xml:space="preserve"> of the 6 fields on the list completed the CQUIN will be met.</w:t>
            </w:r>
          </w:p>
          <w:p w14:paraId="4463966F" w14:textId="70EC16C3" w:rsidR="004C3399" w:rsidRDefault="004C3399" w:rsidP="004C3399">
            <w:pPr>
              <w:rPr>
                <w:rFonts w:cs="Arial"/>
                <w:szCs w:val="24"/>
              </w:rPr>
            </w:pPr>
            <w:r w:rsidRPr="008C3ECB">
              <w:rPr>
                <w:rFonts w:cs="Arial"/>
                <w:szCs w:val="24"/>
              </w:rPr>
              <w:t xml:space="preserve">** For example:  160 patients have been treated during the CQUIN period.  </w:t>
            </w:r>
            <w:r w:rsidR="00976532">
              <w:rPr>
                <w:rFonts w:cs="Arial"/>
                <w:szCs w:val="24"/>
              </w:rPr>
              <w:t>If</w:t>
            </w:r>
            <w:r w:rsidRPr="008C3ECB">
              <w:rPr>
                <w:rFonts w:cs="Arial"/>
                <w:szCs w:val="24"/>
              </w:rPr>
              <w:t xml:space="preserve"> </w:t>
            </w:r>
            <w:r>
              <w:rPr>
                <w:rFonts w:cs="Arial"/>
                <w:szCs w:val="24"/>
              </w:rPr>
              <w:t>128</w:t>
            </w:r>
            <w:r w:rsidRPr="008C3ECB">
              <w:rPr>
                <w:rFonts w:cs="Arial"/>
                <w:szCs w:val="24"/>
              </w:rPr>
              <w:t xml:space="preserve"> of the patients have any </w:t>
            </w:r>
            <w:r>
              <w:rPr>
                <w:rFonts w:cs="Arial"/>
                <w:szCs w:val="24"/>
              </w:rPr>
              <w:t>11</w:t>
            </w:r>
            <w:r w:rsidRPr="008C3ECB">
              <w:rPr>
                <w:rFonts w:cs="Arial"/>
                <w:szCs w:val="24"/>
              </w:rPr>
              <w:t xml:space="preserve"> of the 13 fields on the list completed the CQUIN will be met.</w:t>
            </w:r>
          </w:p>
          <w:p w14:paraId="3B8EF24C" w14:textId="77777777" w:rsidR="004C3399" w:rsidRDefault="004C3399" w:rsidP="004C3399">
            <w:pPr>
              <w:rPr>
                <w:rFonts w:cs="Arial"/>
                <w:szCs w:val="24"/>
              </w:rPr>
            </w:pPr>
          </w:p>
          <w:p w14:paraId="183F3390" w14:textId="74ED1005" w:rsidR="004C3399" w:rsidRDefault="004C3399" w:rsidP="00B979FD">
            <w:pPr>
              <w:rPr>
                <w:rFonts w:cs="Arial"/>
                <w:b/>
                <w:szCs w:val="24"/>
              </w:rPr>
            </w:pPr>
            <w:r>
              <w:rPr>
                <w:rFonts w:cs="Arial"/>
                <w:b/>
                <w:szCs w:val="24"/>
              </w:rPr>
              <w:t xml:space="preserve">CQUIN performance metrics </w:t>
            </w:r>
          </w:p>
          <w:p w14:paraId="458C80F5" w14:textId="77777777" w:rsidR="004C3399" w:rsidRDefault="004C3399" w:rsidP="00B979FD">
            <w:pPr>
              <w:rPr>
                <w:rFonts w:cs="Arial"/>
                <w:b/>
                <w:szCs w:val="24"/>
              </w:rPr>
            </w:pPr>
          </w:p>
          <w:tbl>
            <w:tblPr>
              <w:tblStyle w:val="TableGrid"/>
              <w:tblW w:w="0" w:type="auto"/>
              <w:tblInd w:w="454" w:type="dxa"/>
              <w:tblLook w:val="04A0" w:firstRow="1" w:lastRow="0" w:firstColumn="1" w:lastColumn="0" w:noHBand="0" w:noVBand="1"/>
            </w:tblPr>
            <w:tblGrid>
              <w:gridCol w:w="4253"/>
              <w:gridCol w:w="3827"/>
            </w:tblGrid>
            <w:tr w:rsidR="004C3399" w:rsidRPr="00D876E7" w14:paraId="674AFE6A" w14:textId="77777777" w:rsidTr="003B6EEF">
              <w:tc>
                <w:tcPr>
                  <w:tcW w:w="4253" w:type="dxa"/>
                </w:tcPr>
                <w:p w14:paraId="4E7106CB" w14:textId="7360DF27" w:rsidR="004C3399" w:rsidRPr="00D876E7" w:rsidRDefault="004C3399" w:rsidP="004C3399">
                  <w:pPr>
                    <w:rPr>
                      <w:rFonts w:cs="Arial"/>
                      <w:b/>
                      <w:szCs w:val="24"/>
                    </w:rPr>
                  </w:pPr>
                  <w:r w:rsidRPr="00D876E7">
                    <w:rPr>
                      <w:rFonts w:cs="Arial"/>
                      <w:b/>
                      <w:szCs w:val="24"/>
                    </w:rPr>
                    <w:t xml:space="preserve">% achievement of </w:t>
                  </w:r>
                  <w:r>
                    <w:rPr>
                      <w:rFonts w:cs="Arial"/>
                      <w:b/>
                      <w:szCs w:val="24"/>
                    </w:rPr>
                    <w:t xml:space="preserve">data </w:t>
                  </w:r>
                  <w:r w:rsidRPr="00D876E7">
                    <w:rPr>
                      <w:rFonts w:cs="Arial"/>
                      <w:b/>
                      <w:szCs w:val="24"/>
                    </w:rPr>
                    <w:t>completion</w:t>
                  </w:r>
                </w:p>
              </w:tc>
              <w:tc>
                <w:tcPr>
                  <w:tcW w:w="3827" w:type="dxa"/>
                </w:tcPr>
                <w:p w14:paraId="611E6D11" w14:textId="77777777" w:rsidR="004C3399" w:rsidRPr="00D876E7" w:rsidRDefault="004C3399" w:rsidP="004C3399">
                  <w:pPr>
                    <w:rPr>
                      <w:rFonts w:cs="Arial"/>
                      <w:b/>
                      <w:szCs w:val="24"/>
                    </w:rPr>
                  </w:pPr>
                  <w:r w:rsidRPr="00D876E7">
                    <w:rPr>
                      <w:rFonts w:cs="Arial"/>
                      <w:b/>
                      <w:szCs w:val="24"/>
                    </w:rPr>
                    <w:t>% of CQUIN available</w:t>
                  </w:r>
                </w:p>
              </w:tc>
            </w:tr>
            <w:tr w:rsidR="004C3399" w:rsidRPr="00D876E7" w14:paraId="37C8D50F" w14:textId="77777777" w:rsidTr="003B6EEF">
              <w:tc>
                <w:tcPr>
                  <w:tcW w:w="4253" w:type="dxa"/>
                </w:tcPr>
                <w:p w14:paraId="430F0F29" w14:textId="38654C77" w:rsidR="004C3399" w:rsidRPr="00D876E7" w:rsidRDefault="004C3399" w:rsidP="004C3399">
                  <w:pPr>
                    <w:rPr>
                      <w:rFonts w:cs="Arial"/>
                      <w:szCs w:val="24"/>
                    </w:rPr>
                  </w:pPr>
                  <w:r w:rsidRPr="00D876E7">
                    <w:rPr>
                      <w:rFonts w:cs="Arial"/>
                      <w:szCs w:val="24"/>
                    </w:rPr>
                    <w:t>&gt;</w:t>
                  </w:r>
                  <w:r>
                    <w:rPr>
                      <w:rFonts w:cs="Arial"/>
                      <w:szCs w:val="24"/>
                    </w:rPr>
                    <w:t>80</w:t>
                  </w:r>
                  <w:r w:rsidRPr="00D876E7">
                    <w:rPr>
                      <w:rFonts w:cs="Arial"/>
                      <w:szCs w:val="24"/>
                    </w:rPr>
                    <w:t>%</w:t>
                  </w:r>
                </w:p>
              </w:tc>
              <w:tc>
                <w:tcPr>
                  <w:tcW w:w="3827" w:type="dxa"/>
                </w:tcPr>
                <w:p w14:paraId="33C56BE4" w14:textId="77777777" w:rsidR="004C3399" w:rsidRPr="00D876E7" w:rsidRDefault="004C3399" w:rsidP="004C3399">
                  <w:pPr>
                    <w:rPr>
                      <w:rFonts w:cs="Arial"/>
                      <w:szCs w:val="24"/>
                    </w:rPr>
                  </w:pPr>
                  <w:r w:rsidRPr="00D876E7">
                    <w:rPr>
                      <w:rFonts w:cs="Arial"/>
                      <w:szCs w:val="24"/>
                    </w:rPr>
                    <w:t>100% of the available CQUIN</w:t>
                  </w:r>
                </w:p>
              </w:tc>
            </w:tr>
            <w:tr w:rsidR="004C3399" w:rsidRPr="00D876E7" w14:paraId="05C72E68" w14:textId="77777777" w:rsidTr="003B6EEF">
              <w:tc>
                <w:tcPr>
                  <w:tcW w:w="4253" w:type="dxa"/>
                </w:tcPr>
                <w:p w14:paraId="2EA26203" w14:textId="475DE883" w:rsidR="004C3399" w:rsidRPr="00D876E7" w:rsidRDefault="004C3399" w:rsidP="004C3399">
                  <w:pPr>
                    <w:rPr>
                      <w:rFonts w:cs="Arial"/>
                      <w:szCs w:val="24"/>
                    </w:rPr>
                  </w:pPr>
                  <w:r w:rsidRPr="00D876E7">
                    <w:rPr>
                      <w:rFonts w:cs="Arial"/>
                      <w:szCs w:val="24"/>
                    </w:rPr>
                    <w:t xml:space="preserve">Between </w:t>
                  </w:r>
                  <w:r>
                    <w:rPr>
                      <w:rFonts w:cs="Arial"/>
                      <w:szCs w:val="24"/>
                    </w:rPr>
                    <w:t>60</w:t>
                  </w:r>
                  <w:r w:rsidRPr="00D876E7">
                    <w:rPr>
                      <w:rFonts w:cs="Arial"/>
                      <w:szCs w:val="24"/>
                    </w:rPr>
                    <w:t xml:space="preserve">% - </w:t>
                  </w:r>
                  <w:r>
                    <w:rPr>
                      <w:rFonts w:cs="Arial"/>
                      <w:szCs w:val="24"/>
                    </w:rPr>
                    <w:t>80</w:t>
                  </w:r>
                  <w:r w:rsidRPr="00D876E7">
                    <w:rPr>
                      <w:rFonts w:cs="Arial"/>
                      <w:szCs w:val="24"/>
                    </w:rPr>
                    <w:t>%</w:t>
                  </w:r>
                </w:p>
              </w:tc>
              <w:tc>
                <w:tcPr>
                  <w:tcW w:w="3827" w:type="dxa"/>
                </w:tcPr>
                <w:p w14:paraId="2696E475" w14:textId="77777777" w:rsidR="004C3399" w:rsidRPr="00D876E7" w:rsidRDefault="004C3399" w:rsidP="004C3399">
                  <w:pPr>
                    <w:rPr>
                      <w:rFonts w:cs="Arial"/>
                      <w:szCs w:val="24"/>
                    </w:rPr>
                  </w:pPr>
                  <w:r w:rsidRPr="00D876E7">
                    <w:rPr>
                      <w:rFonts w:cs="Arial"/>
                      <w:szCs w:val="24"/>
                    </w:rPr>
                    <w:t>Pro-rat</w:t>
                  </w:r>
                  <w:r>
                    <w:rPr>
                      <w:rFonts w:cs="Arial"/>
                      <w:szCs w:val="24"/>
                    </w:rPr>
                    <w:t>a</w:t>
                  </w:r>
                </w:p>
              </w:tc>
            </w:tr>
            <w:tr w:rsidR="004C3399" w:rsidRPr="00D876E7" w14:paraId="2274D5D4" w14:textId="77777777" w:rsidTr="003B6EEF">
              <w:tc>
                <w:tcPr>
                  <w:tcW w:w="4253" w:type="dxa"/>
                </w:tcPr>
                <w:p w14:paraId="454BED59" w14:textId="77777777" w:rsidR="004C3399" w:rsidRPr="00D876E7" w:rsidRDefault="004C3399" w:rsidP="004C3399">
                  <w:pPr>
                    <w:rPr>
                      <w:rFonts w:cs="Arial"/>
                      <w:szCs w:val="24"/>
                    </w:rPr>
                  </w:pPr>
                  <w:r w:rsidRPr="00D876E7">
                    <w:rPr>
                      <w:rFonts w:cs="Arial"/>
                      <w:szCs w:val="24"/>
                    </w:rPr>
                    <w:t xml:space="preserve">Less than </w:t>
                  </w:r>
                  <w:r>
                    <w:rPr>
                      <w:rFonts w:cs="Arial"/>
                      <w:szCs w:val="24"/>
                    </w:rPr>
                    <w:t>60</w:t>
                  </w:r>
                  <w:r w:rsidRPr="00D876E7">
                    <w:rPr>
                      <w:rFonts w:cs="Arial"/>
                      <w:szCs w:val="24"/>
                    </w:rPr>
                    <w:t>%</w:t>
                  </w:r>
                </w:p>
              </w:tc>
              <w:tc>
                <w:tcPr>
                  <w:tcW w:w="3827" w:type="dxa"/>
                </w:tcPr>
                <w:p w14:paraId="0CDD5790" w14:textId="77777777" w:rsidR="004C3399" w:rsidRPr="00D876E7" w:rsidRDefault="004C3399" w:rsidP="004C3399">
                  <w:pPr>
                    <w:rPr>
                      <w:rFonts w:cs="Arial"/>
                      <w:szCs w:val="24"/>
                    </w:rPr>
                  </w:pPr>
                  <w:r w:rsidRPr="00D876E7">
                    <w:rPr>
                      <w:rFonts w:cs="Arial"/>
                      <w:szCs w:val="24"/>
                    </w:rPr>
                    <w:t>No payment</w:t>
                  </w:r>
                </w:p>
              </w:tc>
            </w:tr>
          </w:tbl>
          <w:p w14:paraId="4DBC5E0D" w14:textId="77777777" w:rsidR="004C3399" w:rsidRDefault="004C3399" w:rsidP="00B979FD">
            <w:pPr>
              <w:rPr>
                <w:rFonts w:cs="Arial"/>
                <w:b/>
                <w:szCs w:val="24"/>
              </w:rPr>
            </w:pPr>
          </w:p>
          <w:p w14:paraId="51116139" w14:textId="77777777" w:rsidR="00055057" w:rsidRPr="00D876E7" w:rsidRDefault="00055057" w:rsidP="00055057">
            <w:pPr>
              <w:rPr>
                <w:rFonts w:cs="Arial"/>
                <w:b/>
                <w:szCs w:val="24"/>
              </w:rPr>
            </w:pPr>
            <w:r w:rsidRPr="00D876E7">
              <w:rPr>
                <w:rFonts w:cs="Arial"/>
                <w:b/>
                <w:szCs w:val="24"/>
              </w:rPr>
              <w:t>SVR12 Completion</w:t>
            </w:r>
          </w:p>
          <w:p w14:paraId="22CB97E2" w14:textId="77777777" w:rsidR="00055057" w:rsidRPr="00D876E7" w:rsidRDefault="00055057" w:rsidP="00055057">
            <w:pPr>
              <w:rPr>
                <w:rFonts w:cs="Arial"/>
                <w:b/>
                <w:szCs w:val="24"/>
              </w:rPr>
            </w:pPr>
          </w:p>
          <w:p w14:paraId="778E7A36" w14:textId="7D2DAA44" w:rsidR="00055057" w:rsidRDefault="00055057" w:rsidP="00F70F0E">
            <w:pPr>
              <w:rPr>
                <w:rFonts w:cs="Arial"/>
                <w:szCs w:val="24"/>
              </w:rPr>
            </w:pPr>
            <w:r>
              <w:rPr>
                <w:rFonts w:cs="Arial"/>
                <w:szCs w:val="24"/>
              </w:rPr>
              <w:t>Measuring SVR12 is best clinical practise</w:t>
            </w:r>
            <w:r w:rsidRPr="00D876E7">
              <w:rPr>
                <w:rFonts w:cs="Arial"/>
                <w:szCs w:val="24"/>
              </w:rPr>
              <w:t xml:space="preserve"> </w:t>
            </w:r>
            <w:r>
              <w:rPr>
                <w:rFonts w:cs="Arial"/>
                <w:szCs w:val="24"/>
              </w:rPr>
              <w:t xml:space="preserve">and enables demonstration of cure and elimination, supports NHS England’s ability to </w:t>
            </w:r>
            <w:r w:rsidRPr="00D876E7">
              <w:rPr>
                <w:rFonts w:cs="Arial"/>
                <w:szCs w:val="24"/>
              </w:rPr>
              <w:t>meet the contractual requirements with the drugs manufacturers</w:t>
            </w:r>
            <w:r>
              <w:rPr>
                <w:rFonts w:cs="Arial"/>
                <w:szCs w:val="24"/>
              </w:rPr>
              <w:t xml:space="preserve"> and allows </w:t>
            </w:r>
            <w:r w:rsidRPr="00D876E7">
              <w:rPr>
                <w:rFonts w:cs="Arial"/>
                <w:szCs w:val="24"/>
              </w:rPr>
              <w:t>maximis</w:t>
            </w:r>
            <w:r>
              <w:rPr>
                <w:rFonts w:cs="Arial"/>
                <w:szCs w:val="24"/>
              </w:rPr>
              <w:t xml:space="preserve">ation of </w:t>
            </w:r>
            <w:r w:rsidRPr="00D876E7">
              <w:rPr>
                <w:rFonts w:cs="Arial"/>
                <w:szCs w:val="24"/>
              </w:rPr>
              <w:t xml:space="preserve">the recoverable amounts of money </w:t>
            </w:r>
            <w:r>
              <w:rPr>
                <w:rFonts w:cs="Arial"/>
                <w:szCs w:val="24"/>
              </w:rPr>
              <w:t xml:space="preserve">(rebates) </w:t>
            </w:r>
            <w:r w:rsidRPr="00D876E7">
              <w:rPr>
                <w:rFonts w:cs="Arial"/>
                <w:szCs w:val="24"/>
              </w:rPr>
              <w:t>where treatments have been unsuccessful</w:t>
            </w:r>
            <w:r>
              <w:rPr>
                <w:rFonts w:cs="Arial"/>
                <w:szCs w:val="24"/>
              </w:rPr>
              <w:t>.</w:t>
            </w:r>
            <w:r w:rsidR="00F70F0E">
              <w:rPr>
                <w:rFonts w:cs="Arial"/>
                <w:szCs w:val="24"/>
              </w:rPr>
              <w:t xml:space="preserve">  </w:t>
            </w:r>
          </w:p>
          <w:p w14:paraId="7C6F2403" w14:textId="77777777" w:rsidR="00055057" w:rsidRPr="00D876E7" w:rsidRDefault="00055057" w:rsidP="00055057">
            <w:pPr>
              <w:rPr>
                <w:rFonts w:cs="Arial"/>
                <w:szCs w:val="24"/>
              </w:rPr>
            </w:pPr>
          </w:p>
          <w:p w14:paraId="204F93D3" w14:textId="40ACC5F9" w:rsidR="00055057" w:rsidRDefault="00055057" w:rsidP="00055057">
            <w:pPr>
              <w:rPr>
                <w:rFonts w:cs="Arial"/>
                <w:szCs w:val="24"/>
              </w:rPr>
            </w:pPr>
            <w:r w:rsidRPr="00D876E7">
              <w:rPr>
                <w:rFonts w:cs="Arial"/>
                <w:szCs w:val="24"/>
              </w:rPr>
              <w:t>SVR12 data is required for those patients who should have an SVR during the CQUIN period of 1</w:t>
            </w:r>
            <w:r w:rsidRPr="00D876E7">
              <w:rPr>
                <w:rFonts w:cs="Arial"/>
                <w:szCs w:val="24"/>
                <w:vertAlign w:val="superscript"/>
              </w:rPr>
              <w:t>st</w:t>
            </w:r>
            <w:r w:rsidRPr="00D876E7">
              <w:rPr>
                <w:rFonts w:cs="Arial"/>
                <w:szCs w:val="24"/>
              </w:rPr>
              <w:t xml:space="preserve"> April 2019 – 31</w:t>
            </w:r>
            <w:r w:rsidRPr="00D876E7">
              <w:rPr>
                <w:rFonts w:cs="Arial"/>
                <w:szCs w:val="24"/>
                <w:vertAlign w:val="superscript"/>
              </w:rPr>
              <w:t>st</w:t>
            </w:r>
            <w:r w:rsidRPr="00D876E7">
              <w:rPr>
                <w:rFonts w:cs="Arial"/>
                <w:szCs w:val="24"/>
              </w:rPr>
              <w:t xml:space="preserve"> March 2020</w:t>
            </w:r>
            <w:r>
              <w:rPr>
                <w:rFonts w:cs="Arial"/>
                <w:szCs w:val="24"/>
              </w:rPr>
              <w:t>, this is a different denominator to the data required in other sections of this document</w:t>
            </w:r>
            <w:r w:rsidRPr="00D876E7">
              <w:rPr>
                <w:rFonts w:cs="Arial"/>
                <w:szCs w:val="24"/>
              </w:rPr>
              <w:t>.  It is noted that this will include people from the preceding CQUIN year</w:t>
            </w:r>
            <w:r w:rsidR="00534E92">
              <w:rPr>
                <w:rFonts w:cs="Arial"/>
                <w:szCs w:val="24"/>
              </w:rPr>
              <w:t xml:space="preserve"> and not capture those commencing treatment at the end of the CQUIN year. </w:t>
            </w:r>
            <w:r>
              <w:rPr>
                <w:rFonts w:cs="Arial"/>
                <w:szCs w:val="24"/>
              </w:rPr>
              <w:t xml:space="preserve"> Some worked examples are provided in the table below</w:t>
            </w:r>
            <w:r w:rsidR="00534E92">
              <w:rPr>
                <w:rFonts w:cs="Arial"/>
                <w:szCs w:val="24"/>
              </w:rPr>
              <w:t>:</w:t>
            </w:r>
          </w:p>
          <w:p w14:paraId="27E6D12F" w14:textId="77777777" w:rsidR="00055057" w:rsidRDefault="00055057" w:rsidP="00055057">
            <w:pPr>
              <w:rPr>
                <w:rFonts w:cs="Arial"/>
                <w:szCs w:val="24"/>
                <w:highlight w:val="yellow"/>
              </w:rPr>
            </w:pPr>
            <w:r w:rsidRPr="00D876E7">
              <w:rPr>
                <w:rFonts w:cs="Arial"/>
                <w:szCs w:val="24"/>
              </w:rPr>
              <w:t xml:space="preserve"> </w:t>
            </w:r>
          </w:p>
          <w:tbl>
            <w:tblPr>
              <w:tblStyle w:val="TableGrid"/>
              <w:tblW w:w="0" w:type="auto"/>
              <w:tblLook w:val="04A0" w:firstRow="1" w:lastRow="0" w:firstColumn="1" w:lastColumn="0" w:noHBand="0" w:noVBand="1"/>
            </w:tblPr>
            <w:tblGrid>
              <w:gridCol w:w="3161"/>
              <w:gridCol w:w="1829"/>
              <w:gridCol w:w="1701"/>
              <w:gridCol w:w="1701"/>
            </w:tblGrid>
            <w:tr w:rsidR="00055057" w:rsidRPr="0047494F" w14:paraId="3B917986" w14:textId="77777777" w:rsidTr="00B01A2B">
              <w:tc>
                <w:tcPr>
                  <w:tcW w:w="3161" w:type="dxa"/>
                </w:tcPr>
                <w:p w14:paraId="5CF3AF25" w14:textId="77777777" w:rsidR="00055057" w:rsidRPr="0047494F" w:rsidRDefault="00055057" w:rsidP="00055057">
                  <w:pPr>
                    <w:rPr>
                      <w:rFonts w:cs="Arial"/>
                      <w:szCs w:val="24"/>
                    </w:rPr>
                  </w:pPr>
                </w:p>
              </w:tc>
              <w:tc>
                <w:tcPr>
                  <w:tcW w:w="1829" w:type="dxa"/>
                </w:tcPr>
                <w:p w14:paraId="0B930BB1" w14:textId="77777777" w:rsidR="00055057" w:rsidRPr="0047494F" w:rsidRDefault="00055057" w:rsidP="00055057">
                  <w:pPr>
                    <w:rPr>
                      <w:rFonts w:cs="Arial"/>
                      <w:szCs w:val="24"/>
                    </w:rPr>
                  </w:pPr>
                  <w:r w:rsidRPr="0047494F">
                    <w:rPr>
                      <w:rFonts w:cs="Arial"/>
                      <w:szCs w:val="24"/>
                    </w:rPr>
                    <w:t>Example 1</w:t>
                  </w:r>
                </w:p>
              </w:tc>
              <w:tc>
                <w:tcPr>
                  <w:tcW w:w="1701" w:type="dxa"/>
                </w:tcPr>
                <w:p w14:paraId="23343256" w14:textId="77777777" w:rsidR="00055057" w:rsidRPr="0047494F" w:rsidRDefault="00055057" w:rsidP="00055057">
                  <w:pPr>
                    <w:rPr>
                      <w:rFonts w:cs="Arial"/>
                      <w:szCs w:val="24"/>
                    </w:rPr>
                  </w:pPr>
                  <w:r w:rsidRPr="0047494F">
                    <w:rPr>
                      <w:rFonts w:cs="Arial"/>
                      <w:szCs w:val="24"/>
                    </w:rPr>
                    <w:t>Example 2</w:t>
                  </w:r>
                </w:p>
              </w:tc>
              <w:tc>
                <w:tcPr>
                  <w:tcW w:w="1701" w:type="dxa"/>
                </w:tcPr>
                <w:p w14:paraId="247BC717" w14:textId="77777777" w:rsidR="00055057" w:rsidRPr="0047494F" w:rsidRDefault="00055057" w:rsidP="00055057">
                  <w:pPr>
                    <w:rPr>
                      <w:rFonts w:cs="Arial"/>
                      <w:szCs w:val="24"/>
                    </w:rPr>
                  </w:pPr>
                  <w:r w:rsidRPr="0047494F">
                    <w:rPr>
                      <w:rFonts w:cs="Arial"/>
                      <w:szCs w:val="24"/>
                    </w:rPr>
                    <w:t>Example 3</w:t>
                  </w:r>
                </w:p>
              </w:tc>
            </w:tr>
            <w:tr w:rsidR="00055057" w:rsidRPr="0047494F" w14:paraId="65FA2757" w14:textId="77777777" w:rsidTr="00B01A2B">
              <w:tc>
                <w:tcPr>
                  <w:tcW w:w="3161" w:type="dxa"/>
                </w:tcPr>
                <w:p w14:paraId="56EFDE0C" w14:textId="77777777" w:rsidR="00055057" w:rsidRPr="0047494F" w:rsidRDefault="00055057" w:rsidP="00055057">
                  <w:pPr>
                    <w:rPr>
                      <w:rFonts w:cs="Arial"/>
                      <w:szCs w:val="24"/>
                    </w:rPr>
                  </w:pPr>
                  <w:r w:rsidRPr="0047494F">
                    <w:rPr>
                      <w:rFonts w:cs="Arial"/>
                      <w:szCs w:val="24"/>
                    </w:rPr>
                    <w:t>Patient starts treatment</w:t>
                  </w:r>
                </w:p>
              </w:tc>
              <w:tc>
                <w:tcPr>
                  <w:tcW w:w="1829" w:type="dxa"/>
                </w:tcPr>
                <w:p w14:paraId="4B26606E" w14:textId="77777777" w:rsidR="00055057" w:rsidRPr="0047494F" w:rsidRDefault="00055057" w:rsidP="00055057">
                  <w:pPr>
                    <w:rPr>
                      <w:rFonts w:cs="Arial"/>
                      <w:szCs w:val="24"/>
                    </w:rPr>
                  </w:pPr>
                  <w:r w:rsidRPr="0047494F">
                    <w:rPr>
                      <w:rFonts w:cs="Arial"/>
                      <w:szCs w:val="24"/>
                    </w:rPr>
                    <w:t>05/11/2018</w:t>
                  </w:r>
                </w:p>
              </w:tc>
              <w:tc>
                <w:tcPr>
                  <w:tcW w:w="1701" w:type="dxa"/>
                </w:tcPr>
                <w:p w14:paraId="1A4E2F49" w14:textId="77777777" w:rsidR="00055057" w:rsidRPr="0047494F" w:rsidRDefault="00055057" w:rsidP="00055057">
                  <w:pPr>
                    <w:rPr>
                      <w:rFonts w:cs="Arial"/>
                      <w:szCs w:val="24"/>
                    </w:rPr>
                  </w:pPr>
                  <w:r w:rsidRPr="0047494F">
                    <w:rPr>
                      <w:rFonts w:cs="Arial"/>
                      <w:szCs w:val="24"/>
                    </w:rPr>
                    <w:t>06/05/2019</w:t>
                  </w:r>
                </w:p>
              </w:tc>
              <w:tc>
                <w:tcPr>
                  <w:tcW w:w="1701" w:type="dxa"/>
                </w:tcPr>
                <w:p w14:paraId="4478B665" w14:textId="77777777" w:rsidR="00055057" w:rsidRPr="0047494F" w:rsidRDefault="00055057" w:rsidP="00055057">
                  <w:pPr>
                    <w:rPr>
                      <w:rFonts w:cs="Arial"/>
                      <w:szCs w:val="24"/>
                    </w:rPr>
                  </w:pPr>
                  <w:r w:rsidRPr="0047494F">
                    <w:rPr>
                      <w:rFonts w:cs="Arial"/>
                      <w:szCs w:val="24"/>
                    </w:rPr>
                    <w:t>09/12/2019</w:t>
                  </w:r>
                </w:p>
              </w:tc>
            </w:tr>
            <w:tr w:rsidR="00055057" w:rsidRPr="0047494F" w14:paraId="5E2115E9" w14:textId="77777777" w:rsidTr="00B01A2B">
              <w:tc>
                <w:tcPr>
                  <w:tcW w:w="3161" w:type="dxa"/>
                </w:tcPr>
                <w:p w14:paraId="48C42EF7" w14:textId="77777777" w:rsidR="00055057" w:rsidRPr="0047494F" w:rsidRDefault="00055057" w:rsidP="00055057">
                  <w:pPr>
                    <w:rPr>
                      <w:rFonts w:cs="Arial"/>
                      <w:szCs w:val="24"/>
                    </w:rPr>
                  </w:pPr>
                  <w:r w:rsidRPr="0047494F">
                    <w:rPr>
                      <w:rFonts w:cs="Arial"/>
                      <w:szCs w:val="24"/>
                    </w:rPr>
                    <w:t>Treatment duration</w:t>
                  </w:r>
                </w:p>
              </w:tc>
              <w:tc>
                <w:tcPr>
                  <w:tcW w:w="1829" w:type="dxa"/>
                </w:tcPr>
                <w:p w14:paraId="294A84F6" w14:textId="77777777" w:rsidR="00055057" w:rsidRPr="0047494F" w:rsidRDefault="00055057" w:rsidP="00055057">
                  <w:pPr>
                    <w:rPr>
                      <w:rFonts w:cs="Arial"/>
                      <w:szCs w:val="24"/>
                    </w:rPr>
                  </w:pPr>
                  <w:r w:rsidRPr="0047494F">
                    <w:rPr>
                      <w:rFonts w:cs="Arial"/>
                      <w:szCs w:val="24"/>
                    </w:rPr>
                    <w:t>12 weeks</w:t>
                  </w:r>
                </w:p>
              </w:tc>
              <w:tc>
                <w:tcPr>
                  <w:tcW w:w="1701" w:type="dxa"/>
                </w:tcPr>
                <w:p w14:paraId="2ADB92EE" w14:textId="77777777" w:rsidR="00055057" w:rsidRPr="0047494F" w:rsidRDefault="00055057" w:rsidP="00055057">
                  <w:pPr>
                    <w:rPr>
                      <w:rFonts w:cs="Arial"/>
                      <w:szCs w:val="24"/>
                    </w:rPr>
                  </w:pPr>
                  <w:r w:rsidRPr="0047494F">
                    <w:rPr>
                      <w:rFonts w:cs="Arial"/>
                      <w:szCs w:val="24"/>
                    </w:rPr>
                    <w:t>8 weeks</w:t>
                  </w:r>
                </w:p>
              </w:tc>
              <w:tc>
                <w:tcPr>
                  <w:tcW w:w="1701" w:type="dxa"/>
                </w:tcPr>
                <w:p w14:paraId="44A08BD4" w14:textId="77777777" w:rsidR="00055057" w:rsidRPr="0047494F" w:rsidRDefault="00055057" w:rsidP="00055057">
                  <w:pPr>
                    <w:rPr>
                      <w:rFonts w:cs="Arial"/>
                      <w:szCs w:val="24"/>
                    </w:rPr>
                  </w:pPr>
                  <w:r w:rsidRPr="0047494F">
                    <w:rPr>
                      <w:rFonts w:cs="Arial"/>
                      <w:szCs w:val="24"/>
                    </w:rPr>
                    <w:t>4 weeks</w:t>
                  </w:r>
                </w:p>
              </w:tc>
            </w:tr>
            <w:tr w:rsidR="00055057" w:rsidRPr="0047494F" w14:paraId="3F73B8AB" w14:textId="77777777" w:rsidTr="00B01A2B">
              <w:tc>
                <w:tcPr>
                  <w:tcW w:w="3161" w:type="dxa"/>
                </w:tcPr>
                <w:p w14:paraId="365279F1" w14:textId="77777777" w:rsidR="00055057" w:rsidRPr="0047494F" w:rsidRDefault="00055057" w:rsidP="00055057">
                  <w:pPr>
                    <w:rPr>
                      <w:rFonts w:cs="Arial"/>
                      <w:szCs w:val="24"/>
                    </w:rPr>
                  </w:pPr>
                  <w:r w:rsidRPr="0047494F">
                    <w:rPr>
                      <w:rFonts w:cs="Arial"/>
                      <w:szCs w:val="24"/>
                    </w:rPr>
                    <w:t>Treatment completion date</w:t>
                  </w:r>
                </w:p>
              </w:tc>
              <w:tc>
                <w:tcPr>
                  <w:tcW w:w="1829" w:type="dxa"/>
                </w:tcPr>
                <w:p w14:paraId="151CD46A" w14:textId="77777777" w:rsidR="00055057" w:rsidRPr="0047494F" w:rsidRDefault="00055057" w:rsidP="00055057">
                  <w:pPr>
                    <w:rPr>
                      <w:rFonts w:cs="Arial"/>
                      <w:szCs w:val="24"/>
                    </w:rPr>
                  </w:pPr>
                  <w:r w:rsidRPr="0047494F">
                    <w:rPr>
                      <w:rFonts w:cs="Arial"/>
                      <w:szCs w:val="24"/>
                    </w:rPr>
                    <w:t>04/02/2019</w:t>
                  </w:r>
                </w:p>
              </w:tc>
              <w:tc>
                <w:tcPr>
                  <w:tcW w:w="1701" w:type="dxa"/>
                </w:tcPr>
                <w:p w14:paraId="0E0DB363" w14:textId="77777777" w:rsidR="00055057" w:rsidRPr="0047494F" w:rsidRDefault="00055057" w:rsidP="00055057">
                  <w:pPr>
                    <w:rPr>
                      <w:rFonts w:cs="Arial"/>
                      <w:szCs w:val="24"/>
                    </w:rPr>
                  </w:pPr>
                  <w:r w:rsidRPr="0047494F">
                    <w:rPr>
                      <w:rFonts w:cs="Arial"/>
                      <w:szCs w:val="24"/>
                    </w:rPr>
                    <w:t>01/07/2019</w:t>
                  </w:r>
                </w:p>
              </w:tc>
              <w:tc>
                <w:tcPr>
                  <w:tcW w:w="1701" w:type="dxa"/>
                </w:tcPr>
                <w:p w14:paraId="3EA79E61" w14:textId="77777777" w:rsidR="00055057" w:rsidRPr="0047494F" w:rsidRDefault="00055057" w:rsidP="00055057">
                  <w:pPr>
                    <w:rPr>
                      <w:rFonts w:cs="Arial"/>
                      <w:szCs w:val="24"/>
                    </w:rPr>
                  </w:pPr>
                  <w:r w:rsidRPr="0047494F">
                    <w:rPr>
                      <w:rFonts w:cs="Arial"/>
                      <w:szCs w:val="24"/>
                    </w:rPr>
                    <w:t>06/01/2020</w:t>
                  </w:r>
                </w:p>
              </w:tc>
            </w:tr>
            <w:tr w:rsidR="00055057" w:rsidRPr="0047494F" w14:paraId="73549002" w14:textId="77777777" w:rsidTr="00B01A2B">
              <w:tc>
                <w:tcPr>
                  <w:tcW w:w="3161" w:type="dxa"/>
                </w:tcPr>
                <w:p w14:paraId="55805242" w14:textId="77777777" w:rsidR="00055057" w:rsidRPr="0047494F" w:rsidRDefault="00055057" w:rsidP="00055057">
                  <w:pPr>
                    <w:rPr>
                      <w:rFonts w:cs="Arial"/>
                      <w:szCs w:val="24"/>
                    </w:rPr>
                  </w:pPr>
                  <w:r w:rsidRPr="0047494F">
                    <w:rPr>
                      <w:rFonts w:cs="Arial"/>
                      <w:szCs w:val="24"/>
                    </w:rPr>
                    <w:t>SVR12 due date</w:t>
                  </w:r>
                </w:p>
              </w:tc>
              <w:tc>
                <w:tcPr>
                  <w:tcW w:w="1829" w:type="dxa"/>
                </w:tcPr>
                <w:p w14:paraId="36E09B86" w14:textId="77777777" w:rsidR="00055057" w:rsidRPr="0047494F" w:rsidRDefault="00055057" w:rsidP="00055057">
                  <w:pPr>
                    <w:rPr>
                      <w:rFonts w:cs="Arial"/>
                      <w:szCs w:val="24"/>
                    </w:rPr>
                  </w:pPr>
                  <w:r w:rsidRPr="0047494F">
                    <w:rPr>
                      <w:rFonts w:cs="Arial"/>
                      <w:szCs w:val="24"/>
                    </w:rPr>
                    <w:t>29/04/19</w:t>
                  </w:r>
                </w:p>
              </w:tc>
              <w:tc>
                <w:tcPr>
                  <w:tcW w:w="1701" w:type="dxa"/>
                </w:tcPr>
                <w:p w14:paraId="61BB2C95" w14:textId="77777777" w:rsidR="00055057" w:rsidRPr="0047494F" w:rsidRDefault="00055057" w:rsidP="00055057">
                  <w:pPr>
                    <w:rPr>
                      <w:rFonts w:cs="Arial"/>
                      <w:szCs w:val="24"/>
                    </w:rPr>
                  </w:pPr>
                  <w:r w:rsidRPr="0047494F">
                    <w:rPr>
                      <w:rFonts w:cs="Arial"/>
                      <w:szCs w:val="24"/>
                    </w:rPr>
                    <w:t>23/09/19</w:t>
                  </w:r>
                </w:p>
              </w:tc>
              <w:tc>
                <w:tcPr>
                  <w:tcW w:w="1701" w:type="dxa"/>
                </w:tcPr>
                <w:p w14:paraId="64AA4637" w14:textId="77777777" w:rsidR="00055057" w:rsidRPr="0047494F" w:rsidRDefault="00055057" w:rsidP="00055057">
                  <w:pPr>
                    <w:rPr>
                      <w:rFonts w:cs="Arial"/>
                      <w:szCs w:val="24"/>
                    </w:rPr>
                  </w:pPr>
                  <w:r w:rsidRPr="0047494F">
                    <w:rPr>
                      <w:rFonts w:cs="Arial"/>
                      <w:szCs w:val="24"/>
                    </w:rPr>
                    <w:t>30/03/2020</w:t>
                  </w:r>
                </w:p>
              </w:tc>
            </w:tr>
          </w:tbl>
          <w:p w14:paraId="5113EA09" w14:textId="77777777" w:rsidR="00055057" w:rsidRPr="008B5D93" w:rsidRDefault="00055057" w:rsidP="00055057">
            <w:pPr>
              <w:rPr>
                <w:rFonts w:cs="Arial"/>
                <w:szCs w:val="24"/>
                <w:highlight w:val="yellow"/>
              </w:rPr>
            </w:pPr>
          </w:p>
          <w:p w14:paraId="04064406" w14:textId="2966E793" w:rsidR="00055057" w:rsidRDefault="00055057" w:rsidP="00055057">
            <w:pPr>
              <w:rPr>
                <w:rFonts w:cs="Arial"/>
                <w:szCs w:val="24"/>
              </w:rPr>
            </w:pPr>
            <w:r>
              <w:rPr>
                <w:rFonts w:cs="Arial"/>
                <w:szCs w:val="24"/>
              </w:rPr>
              <w:t xml:space="preserve">When setting the metrics for this Trigger consideration has been given to clinical lead feedback that as an increasing number of chaotic patients are treated some of these may choose not to return to be tested for an SVR12 and therefore the metric is not 100%.  </w:t>
            </w:r>
            <w:r w:rsidR="00817973">
              <w:rPr>
                <w:rFonts w:cs="Arial"/>
                <w:szCs w:val="24"/>
              </w:rPr>
              <w:t xml:space="preserve">The SVR12 metrics are: </w:t>
            </w:r>
          </w:p>
          <w:p w14:paraId="32890B6E" w14:textId="1768CF99" w:rsidR="00817973" w:rsidRPr="00817973" w:rsidRDefault="00817973" w:rsidP="003A6D3B">
            <w:pPr>
              <w:pStyle w:val="ListParagraph"/>
              <w:keepNext/>
              <w:numPr>
                <w:ilvl w:val="0"/>
                <w:numId w:val="20"/>
              </w:numPr>
              <w:rPr>
                <w:rFonts w:cs="Arial"/>
                <w:color w:val="000000"/>
                <w:szCs w:val="24"/>
              </w:rPr>
            </w:pPr>
            <w:r w:rsidRPr="00817973">
              <w:rPr>
                <w:rFonts w:cs="Arial"/>
                <w:color w:val="000000"/>
                <w:szCs w:val="24"/>
              </w:rPr>
              <w:t xml:space="preserve">85% </w:t>
            </w:r>
            <w:r w:rsidR="0046267D">
              <w:rPr>
                <w:rFonts w:cs="Arial"/>
                <w:color w:val="000000"/>
                <w:szCs w:val="24"/>
              </w:rPr>
              <w:t xml:space="preserve">of </w:t>
            </w:r>
            <w:r w:rsidRPr="00817973">
              <w:rPr>
                <w:rFonts w:cs="Arial"/>
                <w:color w:val="000000"/>
                <w:szCs w:val="24"/>
              </w:rPr>
              <w:t>patients treated in hospital settings</w:t>
            </w:r>
          </w:p>
          <w:p w14:paraId="6BCEB2B0" w14:textId="0E568C40" w:rsidR="00817973" w:rsidRPr="00817973" w:rsidRDefault="00817973" w:rsidP="003A6D3B">
            <w:pPr>
              <w:pStyle w:val="ListParagraph"/>
              <w:numPr>
                <w:ilvl w:val="0"/>
                <w:numId w:val="19"/>
              </w:numPr>
              <w:rPr>
                <w:rFonts w:cs="Arial"/>
                <w:szCs w:val="24"/>
              </w:rPr>
            </w:pPr>
            <w:r w:rsidRPr="00817973">
              <w:rPr>
                <w:rFonts w:cs="Arial"/>
                <w:color w:val="000000"/>
                <w:szCs w:val="24"/>
              </w:rPr>
              <w:t xml:space="preserve">60% </w:t>
            </w:r>
            <w:r w:rsidR="0046267D">
              <w:rPr>
                <w:rFonts w:cs="Arial"/>
                <w:color w:val="000000"/>
                <w:szCs w:val="24"/>
              </w:rPr>
              <w:t xml:space="preserve">of </w:t>
            </w:r>
            <w:r w:rsidRPr="00817973">
              <w:rPr>
                <w:rFonts w:cs="Arial"/>
                <w:color w:val="000000"/>
                <w:szCs w:val="24"/>
              </w:rPr>
              <w:t>patients treated in prisons, pharmacies, prisons and drug and alcohol services</w:t>
            </w:r>
          </w:p>
          <w:p w14:paraId="7F6C4B1B" w14:textId="77777777" w:rsidR="00055057" w:rsidRDefault="00055057" w:rsidP="00055057">
            <w:pPr>
              <w:rPr>
                <w:rFonts w:cs="Arial"/>
                <w:szCs w:val="24"/>
              </w:rPr>
            </w:pPr>
          </w:p>
          <w:p w14:paraId="788A3C19" w14:textId="77777777" w:rsidR="00055057" w:rsidRDefault="00055057" w:rsidP="00055057">
            <w:pPr>
              <w:rPr>
                <w:rFonts w:cs="Arial"/>
                <w:szCs w:val="24"/>
              </w:rPr>
            </w:pPr>
            <w:r w:rsidRPr="00D876E7">
              <w:rPr>
                <w:rFonts w:cs="Arial"/>
                <w:szCs w:val="24"/>
              </w:rPr>
              <w:t xml:space="preserve">The </w:t>
            </w:r>
            <w:r>
              <w:rPr>
                <w:rFonts w:cs="Arial"/>
                <w:szCs w:val="24"/>
              </w:rPr>
              <w:t>Registry includes a field to mark patients as ‘lost to follow up’ – any patients marked as such will be counted as a patient with no SVR and will count against achievement of the CQUIN.  Please see the example below:</w:t>
            </w:r>
          </w:p>
          <w:p w14:paraId="6A307D7F" w14:textId="77777777" w:rsidR="00055057" w:rsidRDefault="00055057" w:rsidP="00055057">
            <w:pPr>
              <w:rPr>
                <w:rFonts w:cs="Arial"/>
                <w:szCs w:val="24"/>
              </w:rPr>
            </w:pPr>
          </w:p>
          <w:p w14:paraId="55625BBE" w14:textId="3966659C" w:rsidR="003A6D3B" w:rsidRDefault="003A6D3B" w:rsidP="00055057">
            <w:pPr>
              <w:rPr>
                <w:rFonts w:cs="Arial"/>
                <w:szCs w:val="24"/>
              </w:rPr>
            </w:pPr>
          </w:p>
          <w:tbl>
            <w:tblPr>
              <w:tblStyle w:val="TableGrid"/>
              <w:tblW w:w="0" w:type="auto"/>
              <w:tblInd w:w="170" w:type="dxa"/>
              <w:tblLook w:val="04A0" w:firstRow="1" w:lastRow="0" w:firstColumn="1" w:lastColumn="0" w:noHBand="0" w:noVBand="1"/>
            </w:tblPr>
            <w:tblGrid>
              <w:gridCol w:w="3260"/>
              <w:gridCol w:w="1084"/>
              <w:gridCol w:w="1556"/>
              <w:gridCol w:w="1421"/>
              <w:gridCol w:w="1556"/>
            </w:tblGrid>
            <w:tr w:rsidR="003A6D3B" w14:paraId="74FD8A3F" w14:textId="77777777" w:rsidTr="003A6D3B">
              <w:tc>
                <w:tcPr>
                  <w:tcW w:w="3260" w:type="dxa"/>
                </w:tcPr>
                <w:p w14:paraId="5BD42F92" w14:textId="77777777" w:rsidR="003A6D3B" w:rsidRDefault="003A6D3B" w:rsidP="003A6D3B">
                  <w:pPr>
                    <w:rPr>
                      <w:rFonts w:cs="Arial"/>
                      <w:szCs w:val="24"/>
                    </w:rPr>
                  </w:pPr>
                </w:p>
              </w:tc>
              <w:tc>
                <w:tcPr>
                  <w:tcW w:w="2548" w:type="dxa"/>
                  <w:gridSpan w:val="2"/>
                </w:tcPr>
                <w:p w14:paraId="7631EBEC" w14:textId="77777777" w:rsidR="003A6D3B" w:rsidRDefault="003A6D3B" w:rsidP="003A6D3B">
                  <w:pPr>
                    <w:rPr>
                      <w:rFonts w:cs="Arial"/>
                      <w:szCs w:val="24"/>
                    </w:rPr>
                  </w:pPr>
                  <w:r>
                    <w:rPr>
                      <w:rFonts w:cs="Arial"/>
                      <w:szCs w:val="24"/>
                    </w:rPr>
                    <w:t>Example 1, CQUIN met</w:t>
                  </w:r>
                </w:p>
              </w:tc>
              <w:tc>
                <w:tcPr>
                  <w:tcW w:w="2977" w:type="dxa"/>
                  <w:gridSpan w:val="2"/>
                </w:tcPr>
                <w:p w14:paraId="7434AE8C" w14:textId="77777777" w:rsidR="003A6D3B" w:rsidRDefault="003A6D3B" w:rsidP="003A6D3B">
                  <w:pPr>
                    <w:rPr>
                      <w:rFonts w:cs="Arial"/>
                      <w:szCs w:val="24"/>
                    </w:rPr>
                  </w:pPr>
                  <w:r>
                    <w:rPr>
                      <w:rFonts w:cs="Arial"/>
                      <w:szCs w:val="24"/>
                    </w:rPr>
                    <w:t>Example 2, CQUIN unmet</w:t>
                  </w:r>
                </w:p>
                <w:p w14:paraId="24192DC4" w14:textId="77777777" w:rsidR="003A6D3B" w:rsidRDefault="003A6D3B" w:rsidP="003A6D3B">
                  <w:pPr>
                    <w:rPr>
                      <w:rFonts w:cs="Arial"/>
                      <w:szCs w:val="24"/>
                    </w:rPr>
                  </w:pPr>
                </w:p>
              </w:tc>
            </w:tr>
            <w:tr w:rsidR="003A6D3B" w14:paraId="4FC9D9FE" w14:textId="77777777" w:rsidTr="003A6D3B">
              <w:tc>
                <w:tcPr>
                  <w:tcW w:w="3260" w:type="dxa"/>
                </w:tcPr>
                <w:p w14:paraId="3DAD8F1E" w14:textId="77777777" w:rsidR="003A6D3B" w:rsidRDefault="003A6D3B" w:rsidP="003A6D3B">
                  <w:pPr>
                    <w:rPr>
                      <w:rFonts w:cs="Arial"/>
                      <w:szCs w:val="24"/>
                    </w:rPr>
                  </w:pPr>
                </w:p>
              </w:tc>
              <w:tc>
                <w:tcPr>
                  <w:tcW w:w="992" w:type="dxa"/>
                </w:tcPr>
                <w:p w14:paraId="46585208" w14:textId="77777777" w:rsidR="003A6D3B" w:rsidRDefault="003A6D3B" w:rsidP="003A6D3B">
                  <w:pPr>
                    <w:rPr>
                      <w:rFonts w:cs="Arial"/>
                      <w:szCs w:val="24"/>
                    </w:rPr>
                  </w:pPr>
                  <w:r>
                    <w:rPr>
                      <w:rFonts w:cs="Arial"/>
                      <w:szCs w:val="24"/>
                    </w:rPr>
                    <w:t>Hospital</w:t>
                  </w:r>
                </w:p>
              </w:tc>
              <w:tc>
                <w:tcPr>
                  <w:tcW w:w="1556" w:type="dxa"/>
                </w:tcPr>
                <w:p w14:paraId="454FD878" w14:textId="77777777" w:rsidR="003A6D3B" w:rsidRDefault="003A6D3B" w:rsidP="003A6D3B">
                  <w:pPr>
                    <w:rPr>
                      <w:rFonts w:cs="Arial"/>
                      <w:szCs w:val="24"/>
                    </w:rPr>
                  </w:pPr>
                  <w:r>
                    <w:rPr>
                      <w:rFonts w:cs="Arial"/>
                      <w:szCs w:val="24"/>
                    </w:rPr>
                    <w:t>Other</w:t>
                  </w:r>
                </w:p>
              </w:tc>
              <w:tc>
                <w:tcPr>
                  <w:tcW w:w="1421" w:type="dxa"/>
                </w:tcPr>
                <w:p w14:paraId="23304C16" w14:textId="77777777" w:rsidR="003A6D3B" w:rsidRDefault="003A6D3B" w:rsidP="003A6D3B">
                  <w:pPr>
                    <w:rPr>
                      <w:rFonts w:cs="Arial"/>
                      <w:szCs w:val="24"/>
                    </w:rPr>
                  </w:pPr>
                  <w:r>
                    <w:rPr>
                      <w:rFonts w:cs="Arial"/>
                      <w:szCs w:val="24"/>
                    </w:rPr>
                    <w:t>Hospital</w:t>
                  </w:r>
                </w:p>
              </w:tc>
              <w:tc>
                <w:tcPr>
                  <w:tcW w:w="1556" w:type="dxa"/>
                </w:tcPr>
                <w:p w14:paraId="0EE3AF54" w14:textId="77777777" w:rsidR="003A6D3B" w:rsidRDefault="003A6D3B" w:rsidP="003A6D3B">
                  <w:pPr>
                    <w:rPr>
                      <w:rFonts w:cs="Arial"/>
                      <w:szCs w:val="24"/>
                    </w:rPr>
                  </w:pPr>
                  <w:r>
                    <w:rPr>
                      <w:rFonts w:cs="Arial"/>
                      <w:szCs w:val="24"/>
                    </w:rPr>
                    <w:t>Other</w:t>
                  </w:r>
                </w:p>
              </w:tc>
            </w:tr>
            <w:tr w:rsidR="003A6D3B" w14:paraId="76CFF6DE" w14:textId="77777777" w:rsidTr="003A6D3B">
              <w:tc>
                <w:tcPr>
                  <w:tcW w:w="3260" w:type="dxa"/>
                </w:tcPr>
                <w:p w14:paraId="0DBCD31F" w14:textId="77777777" w:rsidR="003A6D3B" w:rsidRDefault="003A6D3B" w:rsidP="003A6D3B">
                  <w:pPr>
                    <w:rPr>
                      <w:rFonts w:cs="Arial"/>
                      <w:szCs w:val="24"/>
                    </w:rPr>
                  </w:pPr>
                  <w:r>
                    <w:rPr>
                      <w:rFonts w:cs="Arial"/>
                      <w:szCs w:val="24"/>
                    </w:rPr>
                    <w:t>Total no. of eligible patients between 1</w:t>
                  </w:r>
                  <w:r w:rsidRPr="009B2E34">
                    <w:rPr>
                      <w:rFonts w:cs="Arial"/>
                      <w:szCs w:val="24"/>
                      <w:vertAlign w:val="superscript"/>
                    </w:rPr>
                    <w:t>st</w:t>
                  </w:r>
                  <w:r>
                    <w:rPr>
                      <w:rFonts w:cs="Arial"/>
                      <w:szCs w:val="24"/>
                    </w:rPr>
                    <w:t xml:space="preserve"> April 2019 – 31</w:t>
                  </w:r>
                  <w:r w:rsidRPr="009B2E34">
                    <w:rPr>
                      <w:rFonts w:cs="Arial"/>
                      <w:szCs w:val="24"/>
                      <w:vertAlign w:val="superscript"/>
                    </w:rPr>
                    <w:t>st</w:t>
                  </w:r>
                  <w:r>
                    <w:rPr>
                      <w:rFonts w:cs="Arial"/>
                      <w:szCs w:val="24"/>
                    </w:rPr>
                    <w:t xml:space="preserve"> March 2020</w:t>
                  </w:r>
                </w:p>
              </w:tc>
              <w:tc>
                <w:tcPr>
                  <w:tcW w:w="992" w:type="dxa"/>
                </w:tcPr>
                <w:p w14:paraId="476B75C6" w14:textId="77777777" w:rsidR="003A6D3B" w:rsidRDefault="003A6D3B" w:rsidP="003A6D3B">
                  <w:pPr>
                    <w:jc w:val="center"/>
                    <w:rPr>
                      <w:rFonts w:cs="Arial"/>
                      <w:szCs w:val="24"/>
                    </w:rPr>
                  </w:pPr>
                </w:p>
                <w:p w14:paraId="1FFC0AAE" w14:textId="0728E87B" w:rsidR="003A6D3B" w:rsidRDefault="003A6D3B" w:rsidP="003A6D3B">
                  <w:pPr>
                    <w:jc w:val="center"/>
                    <w:rPr>
                      <w:rFonts w:cs="Arial"/>
                      <w:szCs w:val="24"/>
                    </w:rPr>
                  </w:pPr>
                  <w:r>
                    <w:rPr>
                      <w:rFonts w:cs="Arial"/>
                      <w:szCs w:val="24"/>
                    </w:rPr>
                    <w:t>10</w:t>
                  </w:r>
                </w:p>
              </w:tc>
              <w:tc>
                <w:tcPr>
                  <w:tcW w:w="1556" w:type="dxa"/>
                </w:tcPr>
                <w:p w14:paraId="7CC4491D" w14:textId="77777777" w:rsidR="003A6D3B" w:rsidRDefault="003A6D3B" w:rsidP="003A6D3B">
                  <w:pPr>
                    <w:jc w:val="center"/>
                    <w:rPr>
                      <w:rFonts w:cs="Arial"/>
                      <w:szCs w:val="24"/>
                    </w:rPr>
                  </w:pPr>
                </w:p>
                <w:p w14:paraId="23327474" w14:textId="00920486" w:rsidR="003A6D3B" w:rsidRDefault="003A6D3B" w:rsidP="003A6D3B">
                  <w:pPr>
                    <w:jc w:val="center"/>
                    <w:rPr>
                      <w:rFonts w:cs="Arial"/>
                      <w:szCs w:val="24"/>
                    </w:rPr>
                  </w:pPr>
                  <w:r>
                    <w:rPr>
                      <w:rFonts w:cs="Arial"/>
                      <w:szCs w:val="24"/>
                    </w:rPr>
                    <w:t>46</w:t>
                  </w:r>
                </w:p>
              </w:tc>
              <w:tc>
                <w:tcPr>
                  <w:tcW w:w="1421" w:type="dxa"/>
                </w:tcPr>
                <w:p w14:paraId="5BBEEAFA" w14:textId="77777777" w:rsidR="003A6D3B" w:rsidRDefault="003A6D3B" w:rsidP="003A6D3B">
                  <w:pPr>
                    <w:jc w:val="center"/>
                    <w:rPr>
                      <w:rFonts w:cs="Arial"/>
                      <w:szCs w:val="24"/>
                    </w:rPr>
                  </w:pPr>
                </w:p>
                <w:p w14:paraId="61AA454E" w14:textId="1135E5D6" w:rsidR="003A6D3B" w:rsidRDefault="003A6D3B" w:rsidP="003A6D3B">
                  <w:pPr>
                    <w:jc w:val="center"/>
                    <w:rPr>
                      <w:rFonts w:cs="Arial"/>
                      <w:szCs w:val="24"/>
                    </w:rPr>
                  </w:pPr>
                  <w:r>
                    <w:rPr>
                      <w:rFonts w:cs="Arial"/>
                      <w:szCs w:val="24"/>
                    </w:rPr>
                    <w:t>10</w:t>
                  </w:r>
                </w:p>
              </w:tc>
              <w:tc>
                <w:tcPr>
                  <w:tcW w:w="1556" w:type="dxa"/>
                </w:tcPr>
                <w:p w14:paraId="09112B3F" w14:textId="77777777" w:rsidR="003A6D3B" w:rsidRDefault="003A6D3B" w:rsidP="003A6D3B">
                  <w:pPr>
                    <w:jc w:val="center"/>
                    <w:rPr>
                      <w:rFonts w:cs="Arial"/>
                      <w:szCs w:val="24"/>
                    </w:rPr>
                  </w:pPr>
                </w:p>
                <w:p w14:paraId="5C319FE5" w14:textId="4649676A" w:rsidR="003A6D3B" w:rsidRDefault="003A6D3B" w:rsidP="003A6D3B">
                  <w:pPr>
                    <w:jc w:val="center"/>
                    <w:rPr>
                      <w:rFonts w:cs="Arial"/>
                      <w:szCs w:val="24"/>
                    </w:rPr>
                  </w:pPr>
                  <w:r>
                    <w:rPr>
                      <w:rFonts w:cs="Arial"/>
                      <w:szCs w:val="24"/>
                    </w:rPr>
                    <w:t>46</w:t>
                  </w:r>
                </w:p>
              </w:tc>
            </w:tr>
            <w:tr w:rsidR="003A6D3B" w14:paraId="71D55E9F" w14:textId="77777777" w:rsidTr="003A6D3B">
              <w:tc>
                <w:tcPr>
                  <w:tcW w:w="3260" w:type="dxa"/>
                </w:tcPr>
                <w:p w14:paraId="233EAB52" w14:textId="77777777" w:rsidR="003A6D3B" w:rsidRDefault="003A6D3B" w:rsidP="003A6D3B">
                  <w:pPr>
                    <w:rPr>
                      <w:rFonts w:cs="Arial"/>
                      <w:szCs w:val="24"/>
                    </w:rPr>
                  </w:pPr>
                  <w:r>
                    <w:rPr>
                      <w:rFonts w:cs="Arial"/>
                      <w:szCs w:val="24"/>
                    </w:rPr>
                    <w:t xml:space="preserve">No. of patients completing SVR12 </w:t>
                  </w:r>
                </w:p>
              </w:tc>
              <w:tc>
                <w:tcPr>
                  <w:tcW w:w="992" w:type="dxa"/>
                </w:tcPr>
                <w:p w14:paraId="363F2841" w14:textId="77777777" w:rsidR="003A6D3B" w:rsidRDefault="003A6D3B" w:rsidP="003A6D3B">
                  <w:pPr>
                    <w:jc w:val="center"/>
                    <w:rPr>
                      <w:rFonts w:cs="Arial"/>
                      <w:szCs w:val="24"/>
                    </w:rPr>
                  </w:pPr>
                  <w:r>
                    <w:rPr>
                      <w:rFonts w:cs="Arial"/>
                      <w:szCs w:val="24"/>
                    </w:rPr>
                    <w:t>8</w:t>
                  </w:r>
                </w:p>
                <w:p w14:paraId="2FF819AF" w14:textId="77777777" w:rsidR="003A6D3B" w:rsidRDefault="003A6D3B" w:rsidP="003A6D3B">
                  <w:pPr>
                    <w:jc w:val="center"/>
                    <w:rPr>
                      <w:rFonts w:cs="Arial"/>
                      <w:szCs w:val="24"/>
                    </w:rPr>
                  </w:pPr>
                  <w:r>
                    <w:rPr>
                      <w:rFonts w:cs="Arial"/>
                      <w:szCs w:val="24"/>
                    </w:rPr>
                    <w:t>(80%)</w:t>
                  </w:r>
                </w:p>
              </w:tc>
              <w:tc>
                <w:tcPr>
                  <w:tcW w:w="1556" w:type="dxa"/>
                </w:tcPr>
                <w:p w14:paraId="5BFE20C5" w14:textId="77777777" w:rsidR="003A6D3B" w:rsidRDefault="003A6D3B" w:rsidP="003A6D3B">
                  <w:pPr>
                    <w:jc w:val="center"/>
                    <w:rPr>
                      <w:rFonts w:cs="Arial"/>
                      <w:szCs w:val="24"/>
                    </w:rPr>
                  </w:pPr>
                  <w:r>
                    <w:rPr>
                      <w:rFonts w:cs="Arial"/>
                      <w:szCs w:val="24"/>
                    </w:rPr>
                    <w:t>35</w:t>
                  </w:r>
                </w:p>
                <w:p w14:paraId="3F3C095F" w14:textId="77777777" w:rsidR="003A6D3B" w:rsidRDefault="003A6D3B" w:rsidP="003A6D3B">
                  <w:pPr>
                    <w:jc w:val="center"/>
                    <w:rPr>
                      <w:rFonts w:cs="Arial"/>
                      <w:szCs w:val="24"/>
                    </w:rPr>
                  </w:pPr>
                  <w:r>
                    <w:rPr>
                      <w:rFonts w:cs="Arial"/>
                      <w:szCs w:val="24"/>
                    </w:rPr>
                    <w:t>(76%)</w:t>
                  </w:r>
                </w:p>
              </w:tc>
              <w:tc>
                <w:tcPr>
                  <w:tcW w:w="1421" w:type="dxa"/>
                </w:tcPr>
                <w:p w14:paraId="7D405940" w14:textId="77777777" w:rsidR="003A6D3B" w:rsidRDefault="003A6D3B" w:rsidP="003A6D3B">
                  <w:pPr>
                    <w:jc w:val="center"/>
                    <w:rPr>
                      <w:rFonts w:cs="Arial"/>
                      <w:szCs w:val="24"/>
                    </w:rPr>
                  </w:pPr>
                  <w:r>
                    <w:rPr>
                      <w:rFonts w:cs="Arial"/>
                      <w:szCs w:val="24"/>
                    </w:rPr>
                    <w:t>4</w:t>
                  </w:r>
                </w:p>
                <w:p w14:paraId="28ACE0FD" w14:textId="77777777" w:rsidR="003A6D3B" w:rsidRDefault="003A6D3B" w:rsidP="003A6D3B">
                  <w:pPr>
                    <w:jc w:val="center"/>
                    <w:rPr>
                      <w:rFonts w:cs="Arial"/>
                      <w:szCs w:val="24"/>
                    </w:rPr>
                  </w:pPr>
                  <w:r>
                    <w:rPr>
                      <w:rFonts w:cs="Arial"/>
                      <w:szCs w:val="24"/>
                    </w:rPr>
                    <w:t>(40%)</w:t>
                  </w:r>
                </w:p>
              </w:tc>
              <w:tc>
                <w:tcPr>
                  <w:tcW w:w="1556" w:type="dxa"/>
                </w:tcPr>
                <w:p w14:paraId="0B4023C1" w14:textId="77777777" w:rsidR="003A6D3B" w:rsidRDefault="003A6D3B" w:rsidP="003A6D3B">
                  <w:pPr>
                    <w:jc w:val="center"/>
                    <w:rPr>
                      <w:rFonts w:cs="Arial"/>
                      <w:szCs w:val="24"/>
                    </w:rPr>
                  </w:pPr>
                  <w:r>
                    <w:rPr>
                      <w:rFonts w:cs="Arial"/>
                      <w:szCs w:val="24"/>
                    </w:rPr>
                    <w:t>20</w:t>
                  </w:r>
                </w:p>
                <w:p w14:paraId="36A84E6C" w14:textId="77777777" w:rsidR="003A6D3B" w:rsidRDefault="003A6D3B" w:rsidP="003A6D3B">
                  <w:pPr>
                    <w:jc w:val="center"/>
                    <w:rPr>
                      <w:rFonts w:cs="Arial"/>
                      <w:szCs w:val="24"/>
                    </w:rPr>
                  </w:pPr>
                  <w:r>
                    <w:rPr>
                      <w:rFonts w:cs="Arial"/>
                      <w:szCs w:val="24"/>
                    </w:rPr>
                    <w:t>(44%)</w:t>
                  </w:r>
                </w:p>
              </w:tc>
            </w:tr>
            <w:tr w:rsidR="003A6D3B" w14:paraId="78AAD72D" w14:textId="77777777" w:rsidTr="003A6D3B">
              <w:tc>
                <w:tcPr>
                  <w:tcW w:w="3260" w:type="dxa"/>
                </w:tcPr>
                <w:p w14:paraId="219BEE5A" w14:textId="77777777" w:rsidR="003A6D3B" w:rsidRDefault="003A6D3B" w:rsidP="003A6D3B">
                  <w:pPr>
                    <w:rPr>
                      <w:rFonts w:cs="Arial"/>
                      <w:szCs w:val="24"/>
                    </w:rPr>
                  </w:pPr>
                  <w:r>
                    <w:rPr>
                      <w:rFonts w:cs="Arial"/>
                      <w:szCs w:val="24"/>
                    </w:rPr>
                    <w:t>No. of patients marked as lost to follow up</w:t>
                  </w:r>
                </w:p>
              </w:tc>
              <w:tc>
                <w:tcPr>
                  <w:tcW w:w="992" w:type="dxa"/>
                </w:tcPr>
                <w:p w14:paraId="7613BE72" w14:textId="77777777" w:rsidR="003A6D3B" w:rsidRDefault="003A6D3B" w:rsidP="003A6D3B">
                  <w:pPr>
                    <w:jc w:val="center"/>
                    <w:rPr>
                      <w:rFonts w:cs="Arial"/>
                      <w:szCs w:val="24"/>
                    </w:rPr>
                  </w:pPr>
                </w:p>
                <w:p w14:paraId="6E7E0DC1" w14:textId="77777777" w:rsidR="003A6D3B" w:rsidRDefault="003A6D3B" w:rsidP="003A6D3B">
                  <w:pPr>
                    <w:jc w:val="center"/>
                    <w:rPr>
                      <w:rFonts w:cs="Arial"/>
                      <w:szCs w:val="24"/>
                    </w:rPr>
                  </w:pPr>
                  <w:r>
                    <w:rPr>
                      <w:rFonts w:cs="Arial"/>
                      <w:szCs w:val="24"/>
                    </w:rPr>
                    <w:t>2</w:t>
                  </w:r>
                </w:p>
              </w:tc>
              <w:tc>
                <w:tcPr>
                  <w:tcW w:w="1556" w:type="dxa"/>
                </w:tcPr>
                <w:p w14:paraId="74E28624" w14:textId="77777777" w:rsidR="003A6D3B" w:rsidRDefault="003A6D3B" w:rsidP="003A6D3B">
                  <w:pPr>
                    <w:jc w:val="center"/>
                    <w:rPr>
                      <w:rFonts w:cs="Arial"/>
                      <w:szCs w:val="24"/>
                    </w:rPr>
                  </w:pPr>
                </w:p>
                <w:p w14:paraId="31411BF9" w14:textId="77777777" w:rsidR="003A6D3B" w:rsidRDefault="003A6D3B" w:rsidP="003A6D3B">
                  <w:pPr>
                    <w:jc w:val="center"/>
                    <w:rPr>
                      <w:rFonts w:cs="Arial"/>
                      <w:szCs w:val="24"/>
                    </w:rPr>
                  </w:pPr>
                  <w:r>
                    <w:rPr>
                      <w:rFonts w:cs="Arial"/>
                      <w:szCs w:val="24"/>
                    </w:rPr>
                    <w:t>11</w:t>
                  </w:r>
                </w:p>
              </w:tc>
              <w:tc>
                <w:tcPr>
                  <w:tcW w:w="1421" w:type="dxa"/>
                </w:tcPr>
                <w:p w14:paraId="29DAF3E7" w14:textId="77777777" w:rsidR="003A6D3B" w:rsidRDefault="003A6D3B" w:rsidP="003A6D3B">
                  <w:pPr>
                    <w:jc w:val="center"/>
                    <w:rPr>
                      <w:rFonts w:cs="Arial"/>
                      <w:szCs w:val="24"/>
                    </w:rPr>
                  </w:pPr>
                </w:p>
                <w:p w14:paraId="4FCBB398" w14:textId="77777777" w:rsidR="003A6D3B" w:rsidRDefault="003A6D3B" w:rsidP="003A6D3B">
                  <w:pPr>
                    <w:jc w:val="center"/>
                    <w:rPr>
                      <w:rFonts w:cs="Arial"/>
                      <w:szCs w:val="24"/>
                    </w:rPr>
                  </w:pPr>
                  <w:r>
                    <w:rPr>
                      <w:rFonts w:cs="Arial"/>
                      <w:szCs w:val="24"/>
                    </w:rPr>
                    <w:t>6</w:t>
                  </w:r>
                </w:p>
              </w:tc>
              <w:tc>
                <w:tcPr>
                  <w:tcW w:w="1556" w:type="dxa"/>
                </w:tcPr>
                <w:p w14:paraId="54B59D6B" w14:textId="77777777" w:rsidR="003A6D3B" w:rsidRDefault="003A6D3B" w:rsidP="003A6D3B">
                  <w:pPr>
                    <w:jc w:val="center"/>
                    <w:rPr>
                      <w:rFonts w:cs="Arial"/>
                      <w:szCs w:val="24"/>
                    </w:rPr>
                  </w:pPr>
                </w:p>
                <w:p w14:paraId="5664EB7C" w14:textId="77777777" w:rsidR="003A6D3B" w:rsidRDefault="003A6D3B" w:rsidP="003A6D3B">
                  <w:pPr>
                    <w:jc w:val="center"/>
                    <w:rPr>
                      <w:rFonts w:cs="Arial"/>
                      <w:szCs w:val="24"/>
                    </w:rPr>
                  </w:pPr>
                  <w:r>
                    <w:rPr>
                      <w:rFonts w:cs="Arial"/>
                      <w:szCs w:val="24"/>
                    </w:rPr>
                    <w:t>26</w:t>
                  </w:r>
                </w:p>
              </w:tc>
            </w:tr>
          </w:tbl>
          <w:p w14:paraId="2854E67E" w14:textId="5C1B3AED" w:rsidR="003A6D3B" w:rsidRDefault="003A6D3B" w:rsidP="00055057">
            <w:pPr>
              <w:rPr>
                <w:rFonts w:cs="Arial"/>
                <w:szCs w:val="24"/>
              </w:rPr>
            </w:pPr>
          </w:p>
          <w:p w14:paraId="1BB0770F" w14:textId="77777777" w:rsidR="003A6D3B" w:rsidRDefault="003A6D3B" w:rsidP="00055057">
            <w:pPr>
              <w:rPr>
                <w:rFonts w:cs="Arial"/>
                <w:szCs w:val="24"/>
              </w:rPr>
            </w:pPr>
          </w:p>
          <w:p w14:paraId="18D3007D" w14:textId="77777777" w:rsidR="00055057" w:rsidRDefault="00055057" w:rsidP="00055057">
            <w:pPr>
              <w:rPr>
                <w:rFonts w:cs="Arial"/>
                <w:szCs w:val="24"/>
              </w:rPr>
            </w:pPr>
            <w:r>
              <w:rPr>
                <w:rFonts w:cs="Arial"/>
                <w:szCs w:val="24"/>
              </w:rPr>
              <w:t xml:space="preserve">N.B.  the definition of a treated patient who requires an SVR for the purposes of those residing in a prison or an immigration centre is to have completed a minimum of 4 weeks of the course of the treatment.  As the HCV programme has been established for 3 years (at the time of writing) it is anticipated that ODNs have developed /will develop relationships with organisations that can support prisoners upon release e.g. using peer co-ordinators, connecting with probation services, etc. therefore prisoners/ex-prisoners will continue to be included as part of this measure.  </w:t>
            </w:r>
          </w:p>
          <w:p w14:paraId="71C66C43" w14:textId="77777777" w:rsidR="00055057" w:rsidRDefault="00055057" w:rsidP="00055057">
            <w:pPr>
              <w:rPr>
                <w:rFonts w:cs="Arial"/>
                <w:b/>
                <w:szCs w:val="24"/>
              </w:rPr>
            </w:pPr>
          </w:p>
          <w:p w14:paraId="4E05FA84" w14:textId="2F6DD019" w:rsidR="004C3399" w:rsidRPr="00B26A69" w:rsidRDefault="004C3399" w:rsidP="004C3399">
            <w:pPr>
              <w:rPr>
                <w:rFonts w:eastAsiaTheme="minorEastAsia" w:cs="Arial"/>
                <w:sz w:val="20"/>
                <w:szCs w:val="20"/>
                <w:u w:val="single"/>
              </w:rPr>
            </w:pPr>
          </w:p>
        </w:tc>
      </w:tr>
      <w:tr w:rsidR="00CF3963" w:rsidRPr="00CF3963" w14:paraId="44A6F365" w14:textId="77777777">
        <w:tc>
          <w:tcPr>
            <w:tcW w:w="5000" w:type="pct"/>
            <w:gridSpan w:val="3"/>
            <w:shd w:val="clear" w:color="auto" w:fill="BFBFBF" w:themeFill="background1" w:themeFillShade="BF"/>
          </w:tcPr>
          <w:p w14:paraId="7E37FB0C" w14:textId="77777777" w:rsidR="00CF3963" w:rsidRPr="00CF3963" w:rsidRDefault="00CF3963" w:rsidP="00A536ED">
            <w:pPr>
              <w:spacing w:before="40" w:after="40"/>
              <w:rPr>
                <w:rFonts w:cs="Arial"/>
                <w:b/>
                <w:color w:val="000000"/>
                <w:szCs w:val="24"/>
              </w:rPr>
            </w:pPr>
            <w:r w:rsidRPr="00CF3963">
              <w:rPr>
                <w:rFonts w:cs="Arial"/>
                <w:b/>
                <w:color w:val="000000"/>
                <w:szCs w:val="24"/>
              </w:rPr>
              <w:lastRenderedPageBreak/>
              <w:t>C5. Information Flows</w:t>
            </w:r>
            <w:r w:rsidR="00A536ED">
              <w:rPr>
                <w:rFonts w:cs="Arial"/>
                <w:b/>
                <w:color w:val="000000"/>
                <w:szCs w:val="24"/>
              </w:rPr>
              <w:t xml:space="preserve">: for benchmarking, for evaluation, and for reporting against the triggers. </w:t>
            </w:r>
          </w:p>
        </w:tc>
      </w:tr>
      <w:tr w:rsidR="00CF3963" w:rsidRPr="000412A1" w14:paraId="4B0CE8BD" w14:textId="77777777">
        <w:tc>
          <w:tcPr>
            <w:tcW w:w="5000" w:type="pct"/>
            <w:gridSpan w:val="3"/>
            <w:shd w:val="clear" w:color="auto" w:fill="auto"/>
          </w:tcPr>
          <w:p w14:paraId="53D4433B" w14:textId="25ADBBF8" w:rsidR="003A0C63" w:rsidRPr="009D54C2" w:rsidRDefault="00A536ED" w:rsidP="003A0C63">
            <w:pPr>
              <w:spacing w:before="40" w:after="40"/>
              <w:rPr>
                <w:rFonts w:cs="Arial"/>
                <w:i/>
                <w:color w:val="FF0000"/>
                <w:szCs w:val="24"/>
              </w:rPr>
            </w:pPr>
            <w:r w:rsidRPr="009D54C2">
              <w:rPr>
                <w:rFonts w:cs="Arial"/>
                <w:i/>
                <w:color w:val="FF0000"/>
                <w:szCs w:val="24"/>
              </w:rPr>
              <w:t>[Please indicate</w:t>
            </w:r>
            <w:r w:rsidR="00512E30" w:rsidRPr="009D54C2">
              <w:rPr>
                <w:rFonts w:cs="Arial"/>
                <w:i/>
                <w:color w:val="FF0000"/>
                <w:szCs w:val="24"/>
              </w:rPr>
              <w:t xml:space="preserve"> below</w:t>
            </w:r>
            <w:r w:rsidRPr="009D54C2">
              <w:rPr>
                <w:rFonts w:cs="Arial"/>
                <w:i/>
                <w:color w:val="FF0000"/>
                <w:szCs w:val="24"/>
              </w:rPr>
              <w:t xml:space="preserve"> what data is needed </w:t>
            </w:r>
            <w:r w:rsidR="003A0C63" w:rsidRPr="009D54C2">
              <w:rPr>
                <w:rFonts w:cs="Arial"/>
                <w:i/>
                <w:color w:val="FF0000"/>
                <w:szCs w:val="24"/>
              </w:rPr>
              <w:t>(</w:t>
            </w:r>
            <w:proofErr w:type="spellStart"/>
            <w:r w:rsidR="003A0C63" w:rsidRPr="009D54C2">
              <w:rPr>
                <w:rFonts w:cs="Arial"/>
                <w:i/>
                <w:color w:val="FF0000"/>
                <w:szCs w:val="24"/>
              </w:rPr>
              <w:t>i</w:t>
            </w:r>
            <w:proofErr w:type="spellEnd"/>
            <w:r w:rsidR="003A0C63" w:rsidRPr="009D54C2">
              <w:rPr>
                <w:rFonts w:cs="Arial"/>
                <w:i/>
                <w:color w:val="FF0000"/>
                <w:szCs w:val="24"/>
              </w:rPr>
              <w:t>) to validate payment against the triggers</w:t>
            </w:r>
            <w:r w:rsidRPr="009D54C2">
              <w:rPr>
                <w:rFonts w:cs="Arial"/>
                <w:i/>
                <w:color w:val="FF0000"/>
                <w:szCs w:val="24"/>
              </w:rPr>
              <w:t>, (</w:t>
            </w:r>
            <w:r w:rsidR="003A0C63" w:rsidRPr="009D54C2">
              <w:rPr>
                <w:rFonts w:cs="Arial"/>
                <w:i/>
                <w:color w:val="FF0000"/>
                <w:szCs w:val="24"/>
              </w:rPr>
              <w:t>i</w:t>
            </w:r>
            <w:r w:rsidRPr="009D54C2">
              <w:rPr>
                <w:rFonts w:cs="Arial"/>
                <w:i/>
                <w:color w:val="FF0000"/>
                <w:szCs w:val="24"/>
              </w:rPr>
              <w:t>i) t</w:t>
            </w:r>
            <w:r w:rsidR="003A0C63" w:rsidRPr="009D54C2">
              <w:rPr>
                <w:rFonts w:cs="Arial"/>
                <w:i/>
                <w:color w:val="FF0000"/>
                <w:szCs w:val="24"/>
              </w:rPr>
              <w:t xml:space="preserve">o support benchmarking and benefit realisation, </w:t>
            </w:r>
            <w:r w:rsidRPr="009D54C2">
              <w:rPr>
                <w:rFonts w:cs="Arial"/>
                <w:i/>
                <w:color w:val="FF0000"/>
                <w:szCs w:val="24"/>
              </w:rPr>
              <w:t>to whom it should flow and how information governance issues are addressed (</w:t>
            </w:r>
            <w:proofErr w:type="spellStart"/>
            <w:r w:rsidRPr="009D54C2">
              <w:rPr>
                <w:rFonts w:cs="Arial"/>
                <w:i/>
                <w:color w:val="FF0000"/>
                <w:szCs w:val="24"/>
              </w:rPr>
              <w:t>eg</w:t>
            </w:r>
            <w:proofErr w:type="spellEnd"/>
            <w:r w:rsidRPr="009D54C2">
              <w:rPr>
                <w:rFonts w:cs="Arial"/>
                <w:i/>
                <w:color w:val="FF0000"/>
                <w:szCs w:val="24"/>
              </w:rPr>
              <w:t xml:space="preserve"> pseudonymisation).</w:t>
            </w:r>
            <w:r w:rsidR="0047494F">
              <w:rPr>
                <w:rFonts w:cs="Arial"/>
                <w:i/>
                <w:color w:val="FF0000"/>
                <w:szCs w:val="24"/>
              </w:rPr>
              <w:t xml:space="preserve"> </w:t>
            </w:r>
            <w:r w:rsidR="003A0C63" w:rsidRPr="009D54C2">
              <w:rPr>
                <w:rFonts w:cs="Arial"/>
                <w:i/>
                <w:color w:val="FF0000"/>
                <w:szCs w:val="24"/>
              </w:rPr>
              <w:t>(Any further information needed for evaluation should be specified in section D4.)</w:t>
            </w:r>
          </w:p>
          <w:p w14:paraId="11240A99" w14:textId="77777777" w:rsidR="00CF3963" w:rsidRDefault="003A0C63" w:rsidP="003A0C63">
            <w:pPr>
              <w:spacing w:before="40" w:after="40"/>
              <w:rPr>
                <w:rFonts w:cs="Arial"/>
                <w:i/>
                <w:color w:val="FF0000"/>
                <w:szCs w:val="24"/>
              </w:rPr>
            </w:pPr>
            <w:r w:rsidRPr="009D54C2">
              <w:rPr>
                <w:rFonts w:cs="Arial"/>
                <w:i/>
                <w:color w:val="FF0000"/>
                <w:szCs w:val="24"/>
              </w:rPr>
              <w:t xml:space="preserve"> </w:t>
            </w:r>
            <w:r w:rsidR="00A536ED" w:rsidRPr="009D54C2">
              <w:rPr>
                <w:rFonts w:cs="Arial"/>
                <w:i/>
                <w:color w:val="FF0000"/>
                <w:szCs w:val="24"/>
              </w:rPr>
              <w:t>[Please also indicate whether a standardised reporting template is required for either purpose to supplement what can be derived from existing data flows.]</w:t>
            </w:r>
          </w:p>
          <w:p w14:paraId="2EB75318" w14:textId="77777777" w:rsidR="002712B3" w:rsidRDefault="002712B3" w:rsidP="003A0C63">
            <w:pPr>
              <w:spacing w:before="40" w:after="40"/>
              <w:rPr>
                <w:rFonts w:cs="Arial"/>
                <w:i/>
                <w:color w:val="FF0000"/>
                <w:szCs w:val="24"/>
              </w:rPr>
            </w:pPr>
          </w:p>
          <w:p w14:paraId="49FB8C72" w14:textId="77777777" w:rsidR="00E3790C" w:rsidRPr="008C3ECB" w:rsidRDefault="00E3790C" w:rsidP="00E3790C">
            <w:pPr>
              <w:rPr>
                <w:rFonts w:cs="Arial"/>
                <w:b/>
                <w:color w:val="000000"/>
                <w:szCs w:val="24"/>
              </w:rPr>
            </w:pPr>
            <w:r w:rsidRPr="008C3ECB">
              <w:rPr>
                <w:rFonts w:cs="Arial"/>
                <w:b/>
                <w:color w:val="000000"/>
                <w:szCs w:val="24"/>
              </w:rPr>
              <w:t>Data Sources, Frequency and responsibility for collection and reporting</w:t>
            </w:r>
          </w:p>
          <w:p w14:paraId="5247CB41" w14:textId="77777777" w:rsidR="009974F7" w:rsidRPr="008666C0" w:rsidRDefault="009974F7" w:rsidP="008666C0">
            <w:pPr>
              <w:keepNext/>
              <w:rPr>
                <w:rFonts w:cs="Arial"/>
                <w:i/>
                <w:szCs w:val="24"/>
              </w:rPr>
            </w:pPr>
          </w:p>
          <w:p w14:paraId="274D4E49" w14:textId="77777777" w:rsidR="009974F7" w:rsidRDefault="009974F7" w:rsidP="009974F7">
            <w:pPr>
              <w:rPr>
                <w:rFonts w:cs="Arial"/>
                <w:color w:val="000000"/>
                <w:szCs w:val="24"/>
              </w:rPr>
            </w:pPr>
            <w:r>
              <w:rPr>
                <w:rFonts w:cs="Arial"/>
                <w:color w:val="000000"/>
                <w:szCs w:val="24"/>
              </w:rPr>
              <w:t xml:space="preserve">The HCV Programme uses two main software programmes to manage patient information: the HCV Registry and treatment outcome system and the </w:t>
            </w:r>
            <w:proofErr w:type="spellStart"/>
            <w:r>
              <w:rPr>
                <w:rFonts w:cs="Arial"/>
                <w:color w:val="000000"/>
                <w:szCs w:val="24"/>
              </w:rPr>
              <w:t>Blueteq</w:t>
            </w:r>
            <w:proofErr w:type="spellEnd"/>
            <w:r>
              <w:rPr>
                <w:rFonts w:cs="Arial"/>
                <w:color w:val="000000"/>
                <w:szCs w:val="24"/>
              </w:rPr>
              <w:t xml:space="preserve"> system.  During the period of this CQUIN </w:t>
            </w:r>
            <w:r w:rsidR="008666C0">
              <w:rPr>
                <w:rFonts w:cs="Arial"/>
                <w:color w:val="000000"/>
                <w:szCs w:val="24"/>
              </w:rPr>
              <w:t xml:space="preserve">there are likely to </w:t>
            </w:r>
            <w:r>
              <w:rPr>
                <w:rFonts w:cs="Arial"/>
                <w:color w:val="000000"/>
                <w:szCs w:val="24"/>
              </w:rPr>
              <w:t>be developments within each system</w:t>
            </w:r>
            <w:r w:rsidR="008666C0">
              <w:rPr>
                <w:rFonts w:cs="Arial"/>
                <w:color w:val="000000"/>
                <w:szCs w:val="24"/>
              </w:rPr>
              <w:t xml:space="preserve"> and there </w:t>
            </w:r>
            <w:r>
              <w:rPr>
                <w:rFonts w:cs="Arial"/>
                <w:color w:val="000000"/>
                <w:szCs w:val="24"/>
              </w:rPr>
              <w:t xml:space="preserve">is an aspiration to increase the functionality of the Registry to enable one software programme to be used which will incorporate the role of </w:t>
            </w:r>
            <w:proofErr w:type="spellStart"/>
            <w:r>
              <w:rPr>
                <w:rFonts w:cs="Arial"/>
                <w:color w:val="000000"/>
                <w:szCs w:val="24"/>
              </w:rPr>
              <w:t>Blueteq</w:t>
            </w:r>
            <w:proofErr w:type="spellEnd"/>
            <w:r>
              <w:rPr>
                <w:rFonts w:cs="Arial"/>
                <w:color w:val="000000"/>
                <w:szCs w:val="24"/>
              </w:rPr>
              <w:t xml:space="preserve">. </w:t>
            </w:r>
          </w:p>
          <w:p w14:paraId="5BC11FE8" w14:textId="77777777" w:rsidR="009974F7" w:rsidRDefault="009974F7" w:rsidP="009974F7">
            <w:pPr>
              <w:rPr>
                <w:rFonts w:cs="Arial"/>
                <w:color w:val="000000"/>
                <w:szCs w:val="24"/>
              </w:rPr>
            </w:pPr>
          </w:p>
          <w:p w14:paraId="1AF1FBDF" w14:textId="77777777" w:rsidR="009974F7" w:rsidRDefault="009974F7" w:rsidP="009974F7">
            <w:pPr>
              <w:rPr>
                <w:rFonts w:cs="Arial"/>
                <w:color w:val="000000"/>
                <w:szCs w:val="24"/>
              </w:rPr>
            </w:pPr>
          </w:p>
          <w:p w14:paraId="505865C3" w14:textId="77777777" w:rsidR="009974F7" w:rsidRPr="00020323" w:rsidRDefault="009974F7" w:rsidP="009974F7">
            <w:pPr>
              <w:rPr>
                <w:rFonts w:cs="Arial"/>
                <w:b/>
                <w:color w:val="000000"/>
                <w:szCs w:val="24"/>
              </w:rPr>
            </w:pPr>
            <w:r w:rsidRPr="00020323">
              <w:rPr>
                <w:rFonts w:cs="Arial"/>
                <w:b/>
                <w:color w:val="000000"/>
                <w:szCs w:val="24"/>
              </w:rPr>
              <w:t>Commercial confidentiality</w:t>
            </w:r>
          </w:p>
          <w:p w14:paraId="6A44DC2E" w14:textId="77777777" w:rsidR="009974F7" w:rsidRDefault="009974F7" w:rsidP="009974F7">
            <w:pPr>
              <w:rPr>
                <w:rFonts w:cs="Arial"/>
                <w:color w:val="000000"/>
                <w:szCs w:val="24"/>
              </w:rPr>
            </w:pPr>
            <w:r w:rsidRPr="008C3ECB">
              <w:rPr>
                <w:rFonts w:cs="Arial"/>
                <w:color w:val="000000"/>
                <w:szCs w:val="24"/>
              </w:rPr>
              <w:t>The supporting information for measures which relate to confidential prices of</w:t>
            </w:r>
            <w:r>
              <w:rPr>
                <w:rFonts w:cs="Arial"/>
                <w:color w:val="000000"/>
                <w:szCs w:val="24"/>
              </w:rPr>
              <w:t xml:space="preserve"> </w:t>
            </w:r>
            <w:r w:rsidRPr="008C3ECB">
              <w:rPr>
                <w:rFonts w:cs="Arial"/>
                <w:color w:val="000000"/>
                <w:szCs w:val="24"/>
              </w:rPr>
              <w:t>treatments are available directly to ODN lead providers on a commercial in confidence basis and should only be shared as needed with ODN partner organisations who are party to a confidentiality agreement.  Further information will be provided to ODN lead providers.</w:t>
            </w:r>
          </w:p>
          <w:p w14:paraId="6EBFB197" w14:textId="77777777" w:rsidR="009974F7" w:rsidRPr="009974F7" w:rsidRDefault="009974F7" w:rsidP="009974F7">
            <w:pPr>
              <w:keepNext/>
              <w:rPr>
                <w:rFonts w:cs="Arial"/>
                <w:szCs w:val="24"/>
              </w:rPr>
            </w:pPr>
          </w:p>
        </w:tc>
      </w:tr>
      <w:tr w:rsidR="009D54C2" w:rsidRPr="000412A1" w14:paraId="21662B6B" w14:textId="77777777">
        <w:trPr>
          <w:trHeight w:val="335"/>
        </w:trPr>
        <w:tc>
          <w:tcPr>
            <w:tcW w:w="5000" w:type="pct"/>
            <w:gridSpan w:val="3"/>
            <w:shd w:val="clear" w:color="auto" w:fill="D9D9D9" w:themeFill="background1" w:themeFillShade="D9"/>
          </w:tcPr>
          <w:p w14:paraId="4949704E" w14:textId="77777777" w:rsidR="009D54C2" w:rsidRPr="009D54C2" w:rsidRDefault="009D54C2" w:rsidP="005A014A">
            <w:pPr>
              <w:rPr>
                <w:rFonts w:cs="Arial"/>
                <w:b/>
                <w:szCs w:val="24"/>
              </w:rPr>
            </w:pPr>
            <w:r w:rsidRPr="009D54C2">
              <w:rPr>
                <w:rFonts w:cs="Arial"/>
                <w:b/>
                <w:szCs w:val="24"/>
              </w:rPr>
              <w:t>Reporting of Achievement against Triggers:</w:t>
            </w:r>
          </w:p>
        </w:tc>
      </w:tr>
      <w:tr w:rsidR="009D54C2" w:rsidRPr="000412A1" w14:paraId="73939750" w14:textId="77777777">
        <w:tc>
          <w:tcPr>
            <w:tcW w:w="5000" w:type="pct"/>
            <w:gridSpan w:val="3"/>
            <w:shd w:val="clear" w:color="auto" w:fill="auto"/>
          </w:tcPr>
          <w:p w14:paraId="679C5B7F" w14:textId="77777777" w:rsidR="00E3790C" w:rsidRPr="008C3ECB" w:rsidRDefault="00E3790C" w:rsidP="00E3790C">
            <w:pPr>
              <w:keepNext/>
              <w:contextualSpacing/>
              <w:rPr>
                <w:rFonts w:cs="Arial"/>
                <w:color w:val="000000"/>
                <w:szCs w:val="24"/>
              </w:rPr>
            </w:pPr>
            <w:r w:rsidRPr="008C3ECB">
              <w:rPr>
                <w:rFonts w:cs="Arial"/>
                <w:color w:val="000000"/>
                <w:szCs w:val="24"/>
              </w:rPr>
              <w:lastRenderedPageBreak/>
              <w:t>Two types of data requirement:</w:t>
            </w:r>
          </w:p>
          <w:p w14:paraId="746EF6BE" w14:textId="77777777" w:rsidR="00E3790C" w:rsidRPr="008C3ECB" w:rsidRDefault="00E3790C" w:rsidP="003A6D3B">
            <w:pPr>
              <w:pStyle w:val="ListParagraph"/>
              <w:keepNext/>
              <w:numPr>
                <w:ilvl w:val="0"/>
                <w:numId w:val="10"/>
              </w:numPr>
              <w:rPr>
                <w:rFonts w:cs="Arial"/>
                <w:color w:val="000000"/>
                <w:szCs w:val="24"/>
              </w:rPr>
            </w:pPr>
            <w:r w:rsidRPr="008C3ECB">
              <w:rPr>
                <w:rFonts w:cs="Arial"/>
                <w:color w:val="000000"/>
                <w:szCs w:val="24"/>
              </w:rPr>
              <w:t>Narrative reports – produced by ODN Clinical Teams</w:t>
            </w:r>
          </w:p>
          <w:p w14:paraId="5FFCCE88" w14:textId="77777777" w:rsidR="00E3790C" w:rsidRPr="008C3ECB" w:rsidRDefault="00E3790C" w:rsidP="003A6D3B">
            <w:pPr>
              <w:pStyle w:val="ListParagraph"/>
              <w:keepNext/>
              <w:numPr>
                <w:ilvl w:val="0"/>
                <w:numId w:val="10"/>
              </w:numPr>
              <w:rPr>
                <w:rFonts w:cs="Arial"/>
                <w:color w:val="000000"/>
                <w:szCs w:val="24"/>
              </w:rPr>
            </w:pPr>
            <w:r w:rsidRPr="008C3ECB">
              <w:rPr>
                <w:rFonts w:cs="Arial"/>
                <w:color w:val="000000"/>
                <w:szCs w:val="24"/>
              </w:rPr>
              <w:t xml:space="preserve">Dataset: </w:t>
            </w:r>
            <w:r w:rsidR="008666C0">
              <w:rPr>
                <w:rFonts w:cs="Arial"/>
                <w:color w:val="000000"/>
                <w:szCs w:val="24"/>
              </w:rPr>
              <w:t>t</w:t>
            </w:r>
            <w:r w:rsidRPr="008C3ECB">
              <w:rPr>
                <w:rFonts w:cs="Arial"/>
                <w:color w:val="000000"/>
                <w:szCs w:val="24"/>
              </w:rPr>
              <w:t>his is demonstrated via 3 sources</w:t>
            </w:r>
            <w:r w:rsidR="008666C0">
              <w:rPr>
                <w:rFonts w:cs="Arial"/>
                <w:color w:val="000000"/>
                <w:szCs w:val="24"/>
              </w:rPr>
              <w:t xml:space="preserve">: </w:t>
            </w:r>
            <w:proofErr w:type="spellStart"/>
            <w:r w:rsidRPr="008C3ECB">
              <w:rPr>
                <w:rFonts w:cs="Arial"/>
                <w:color w:val="000000"/>
                <w:szCs w:val="24"/>
              </w:rPr>
              <w:t>Blueteq</w:t>
            </w:r>
            <w:proofErr w:type="spellEnd"/>
            <w:r w:rsidRPr="008C3ECB">
              <w:rPr>
                <w:rFonts w:cs="Arial"/>
                <w:color w:val="000000"/>
                <w:szCs w:val="24"/>
              </w:rPr>
              <w:t xml:space="preserve">, drugs MDS and HCV </w:t>
            </w:r>
            <w:r w:rsidR="009974F7">
              <w:rPr>
                <w:rFonts w:cs="Arial"/>
                <w:color w:val="000000"/>
                <w:szCs w:val="24"/>
              </w:rPr>
              <w:t>P</w:t>
            </w:r>
            <w:r w:rsidRPr="008C3ECB">
              <w:rPr>
                <w:rFonts w:cs="Arial"/>
                <w:color w:val="000000"/>
                <w:szCs w:val="24"/>
              </w:rPr>
              <w:t xml:space="preserve">atient </w:t>
            </w:r>
            <w:r w:rsidR="009974F7">
              <w:rPr>
                <w:rFonts w:cs="Arial"/>
                <w:color w:val="000000"/>
                <w:szCs w:val="24"/>
              </w:rPr>
              <w:t>Registry and T</w:t>
            </w:r>
            <w:r w:rsidRPr="008C3ECB">
              <w:rPr>
                <w:rFonts w:cs="Arial"/>
                <w:color w:val="000000"/>
                <w:szCs w:val="24"/>
              </w:rPr>
              <w:t>reatment outcomes system data input all of which must be fully completed and complied with</w:t>
            </w:r>
          </w:p>
          <w:p w14:paraId="008C2CD3" w14:textId="77777777" w:rsidR="00E3790C" w:rsidRPr="008C3ECB" w:rsidRDefault="00E3790C" w:rsidP="00E3790C">
            <w:pPr>
              <w:pStyle w:val="ListParagraph"/>
              <w:keepNext/>
              <w:rPr>
                <w:rFonts w:cs="Arial"/>
                <w:color w:val="000000"/>
                <w:szCs w:val="24"/>
              </w:rPr>
            </w:pPr>
          </w:p>
          <w:p w14:paraId="1CA03FF8" w14:textId="77777777" w:rsidR="00E3790C" w:rsidRDefault="00E3790C" w:rsidP="00E3790C">
            <w:pPr>
              <w:spacing w:before="40" w:after="40"/>
              <w:rPr>
                <w:rFonts w:cs="Arial"/>
                <w:i/>
                <w:color w:val="FF0000"/>
                <w:szCs w:val="24"/>
              </w:rPr>
            </w:pPr>
            <w:r w:rsidRPr="008C3ECB">
              <w:rPr>
                <w:rFonts w:cs="Arial"/>
                <w:szCs w:val="24"/>
              </w:rPr>
              <w:t>Providers will need to produce evidence of appropriate administrative arrangements in place to enable MDTs / data reporting.</w:t>
            </w:r>
          </w:p>
          <w:p w14:paraId="4AC2D21B" w14:textId="77777777" w:rsidR="00E3790C" w:rsidRDefault="00E3790C" w:rsidP="00E3790C">
            <w:pPr>
              <w:spacing w:before="40" w:after="40"/>
              <w:rPr>
                <w:rFonts w:cs="Arial"/>
                <w:color w:val="000000"/>
                <w:szCs w:val="24"/>
              </w:rPr>
            </w:pPr>
            <w:r w:rsidRPr="008C3ECB">
              <w:rPr>
                <w:rFonts w:cs="Arial"/>
                <w:color w:val="000000"/>
                <w:szCs w:val="24"/>
              </w:rPr>
              <w:t>Final indicator period/date (on which payment is based) &amp; Value</w:t>
            </w:r>
            <w:r>
              <w:rPr>
                <w:rFonts w:cs="Arial"/>
                <w:color w:val="000000"/>
                <w:szCs w:val="24"/>
              </w:rPr>
              <w:t>:</w:t>
            </w:r>
          </w:p>
          <w:p w14:paraId="2F031FF4" w14:textId="77777777" w:rsidR="00E3790C" w:rsidRPr="00E3790C" w:rsidRDefault="00E3790C" w:rsidP="003A6D3B">
            <w:pPr>
              <w:pStyle w:val="ListParagraph"/>
              <w:numPr>
                <w:ilvl w:val="0"/>
                <w:numId w:val="11"/>
              </w:numPr>
              <w:spacing w:before="40" w:after="40"/>
              <w:rPr>
                <w:rFonts w:cs="Arial"/>
                <w:color w:val="000000"/>
                <w:szCs w:val="24"/>
              </w:rPr>
            </w:pPr>
            <w:r w:rsidRPr="00E3790C">
              <w:rPr>
                <w:rFonts w:cs="Arial"/>
                <w:color w:val="000000"/>
                <w:szCs w:val="24"/>
              </w:rPr>
              <w:t>Measures for financial year as at Month 6 and Month 12 except where otherwise stated</w:t>
            </w:r>
          </w:p>
          <w:p w14:paraId="25ED9009" w14:textId="77777777" w:rsidR="00E3790C" w:rsidRDefault="00E3790C" w:rsidP="00E3790C">
            <w:pPr>
              <w:spacing w:before="40" w:after="40"/>
              <w:rPr>
                <w:rFonts w:cs="Arial"/>
                <w:color w:val="000000"/>
                <w:szCs w:val="24"/>
              </w:rPr>
            </w:pPr>
            <w:r w:rsidRPr="008C3ECB">
              <w:rPr>
                <w:rFonts w:cs="Arial"/>
                <w:color w:val="000000"/>
                <w:szCs w:val="24"/>
              </w:rPr>
              <w:t>Final indicator reporting date</w:t>
            </w:r>
            <w:r>
              <w:rPr>
                <w:rFonts w:cs="Arial"/>
                <w:color w:val="000000"/>
                <w:szCs w:val="24"/>
              </w:rPr>
              <w:t>:</w:t>
            </w:r>
          </w:p>
          <w:p w14:paraId="25BB6C2F" w14:textId="77777777" w:rsidR="00E3790C" w:rsidRPr="00E3790C" w:rsidRDefault="00E3790C" w:rsidP="003A6D3B">
            <w:pPr>
              <w:pStyle w:val="ListParagraph"/>
              <w:keepNext/>
              <w:numPr>
                <w:ilvl w:val="0"/>
                <w:numId w:val="11"/>
              </w:numPr>
              <w:rPr>
                <w:rFonts w:cs="Arial"/>
                <w:szCs w:val="24"/>
              </w:rPr>
            </w:pPr>
            <w:r w:rsidRPr="00E3790C">
              <w:rPr>
                <w:rFonts w:cs="Arial"/>
                <w:szCs w:val="24"/>
              </w:rPr>
              <w:t>Month 12 Contract Flex reporting date as per contract</w:t>
            </w:r>
          </w:p>
          <w:p w14:paraId="2232026B" w14:textId="77777777" w:rsidR="009D54C2" w:rsidRPr="009D54C2" w:rsidRDefault="009D54C2" w:rsidP="0084461B">
            <w:pPr>
              <w:rPr>
                <w:rFonts w:eastAsiaTheme="minorEastAsia" w:cs="Arial"/>
                <w:b/>
                <w:szCs w:val="24"/>
              </w:rPr>
            </w:pPr>
          </w:p>
        </w:tc>
      </w:tr>
      <w:tr w:rsidR="00CF3963" w:rsidRPr="000412A1" w14:paraId="05692DCC" w14:textId="77777777">
        <w:tc>
          <w:tcPr>
            <w:tcW w:w="5000" w:type="pct"/>
            <w:gridSpan w:val="3"/>
            <w:shd w:val="clear" w:color="auto" w:fill="D9D9D9" w:themeFill="background1" w:themeFillShade="D9"/>
          </w:tcPr>
          <w:p w14:paraId="0020CD1B" w14:textId="77777777" w:rsidR="00CF3963" w:rsidRPr="009D54C2" w:rsidRDefault="00A536ED" w:rsidP="0084461B">
            <w:pPr>
              <w:rPr>
                <w:rFonts w:eastAsiaTheme="minorEastAsia" w:cs="Arial"/>
                <w:b/>
                <w:szCs w:val="24"/>
              </w:rPr>
            </w:pPr>
            <w:r w:rsidRPr="009D54C2">
              <w:rPr>
                <w:rFonts w:eastAsiaTheme="minorEastAsia" w:cs="Arial"/>
                <w:b/>
                <w:szCs w:val="24"/>
              </w:rPr>
              <w:t>Information for Benchmarking</w:t>
            </w:r>
            <w:r w:rsidR="009D54C2" w:rsidRPr="009D54C2">
              <w:rPr>
                <w:rFonts w:eastAsiaTheme="minorEastAsia" w:cs="Arial"/>
                <w:b/>
                <w:szCs w:val="24"/>
              </w:rPr>
              <w:t>:</w:t>
            </w:r>
          </w:p>
        </w:tc>
      </w:tr>
      <w:tr w:rsidR="009D54C2" w:rsidRPr="000412A1" w14:paraId="60F4C8DE" w14:textId="77777777">
        <w:tc>
          <w:tcPr>
            <w:tcW w:w="5000" w:type="pct"/>
            <w:gridSpan w:val="3"/>
          </w:tcPr>
          <w:p w14:paraId="2F0EAC4D" w14:textId="77777777" w:rsidR="009D54C2" w:rsidRPr="009D54C2" w:rsidRDefault="009D54C2" w:rsidP="00CF3963">
            <w:pPr>
              <w:spacing w:before="40" w:after="40"/>
              <w:rPr>
                <w:rFonts w:cs="Arial"/>
                <w:b/>
                <w:szCs w:val="24"/>
              </w:rPr>
            </w:pPr>
          </w:p>
        </w:tc>
      </w:tr>
      <w:tr w:rsidR="00CF3963" w:rsidRPr="000412A1" w14:paraId="66ACE2D5" w14:textId="77777777">
        <w:tc>
          <w:tcPr>
            <w:tcW w:w="5000" w:type="pct"/>
            <w:gridSpan w:val="3"/>
            <w:shd w:val="clear" w:color="auto" w:fill="D9D9D9" w:themeFill="background1" w:themeFillShade="D9"/>
          </w:tcPr>
          <w:p w14:paraId="29CADDD4" w14:textId="77777777" w:rsidR="00CF3963" w:rsidRPr="009D54C2" w:rsidRDefault="00A536ED" w:rsidP="00CF3963">
            <w:pPr>
              <w:spacing w:before="40" w:after="40"/>
              <w:rPr>
                <w:rFonts w:cs="Arial"/>
                <w:b/>
                <w:szCs w:val="24"/>
              </w:rPr>
            </w:pPr>
            <w:r w:rsidRPr="009D54C2">
              <w:rPr>
                <w:rFonts w:cs="Arial"/>
                <w:b/>
                <w:szCs w:val="24"/>
              </w:rPr>
              <w:t>Information Governance</w:t>
            </w:r>
            <w:r w:rsidR="009D54C2" w:rsidRPr="009D54C2">
              <w:rPr>
                <w:rFonts w:cs="Arial"/>
                <w:b/>
                <w:szCs w:val="24"/>
              </w:rPr>
              <w:t>:</w:t>
            </w:r>
          </w:p>
        </w:tc>
      </w:tr>
      <w:tr w:rsidR="009D54C2" w:rsidRPr="000412A1" w14:paraId="398E57C5" w14:textId="77777777">
        <w:tc>
          <w:tcPr>
            <w:tcW w:w="5000" w:type="pct"/>
            <w:gridSpan w:val="3"/>
          </w:tcPr>
          <w:p w14:paraId="1186F6E6" w14:textId="77777777" w:rsidR="002712B3" w:rsidRPr="008C3ECB" w:rsidRDefault="002712B3" w:rsidP="002712B3">
            <w:pPr>
              <w:pBdr>
                <w:top w:val="single" w:sz="4" w:space="1" w:color="auto"/>
                <w:left w:val="single" w:sz="4" w:space="4" w:color="auto"/>
                <w:bottom w:val="single" w:sz="4" w:space="1" w:color="auto"/>
                <w:right w:val="single" w:sz="4" w:space="4" w:color="auto"/>
              </w:pBdr>
              <w:rPr>
                <w:rFonts w:cs="Arial"/>
                <w:b/>
                <w:color w:val="000000"/>
                <w:szCs w:val="24"/>
              </w:rPr>
            </w:pPr>
            <w:r w:rsidRPr="008C3ECB">
              <w:rPr>
                <w:rFonts w:cs="Arial"/>
                <w:b/>
                <w:color w:val="000000"/>
                <w:szCs w:val="24"/>
              </w:rPr>
              <w:t>Commercial confidentiality</w:t>
            </w:r>
          </w:p>
          <w:p w14:paraId="01BA9027" w14:textId="77777777" w:rsidR="002712B3" w:rsidRPr="008C3ECB" w:rsidRDefault="002712B3" w:rsidP="002712B3">
            <w:pPr>
              <w:pBdr>
                <w:top w:val="single" w:sz="4" w:space="1" w:color="auto"/>
                <w:left w:val="single" w:sz="4" w:space="4" w:color="auto"/>
                <w:bottom w:val="single" w:sz="4" w:space="1" w:color="auto"/>
                <w:right w:val="single" w:sz="4" w:space="4" w:color="auto"/>
              </w:pBdr>
              <w:rPr>
                <w:rFonts w:cs="Arial"/>
                <w:color w:val="000000"/>
                <w:szCs w:val="24"/>
              </w:rPr>
            </w:pPr>
            <w:r w:rsidRPr="008C3ECB">
              <w:rPr>
                <w:rFonts w:cs="Arial"/>
                <w:color w:val="000000"/>
                <w:szCs w:val="24"/>
              </w:rPr>
              <w:t>The supporting information for measures which relate to confidential prices of treatments are available directly to ODN lead providers on a commercial in confidence basis and should only be shared as needed with ODN partner organisations who are party to a confidentiality agreement.  Further information will be provided to ODN lead providers.</w:t>
            </w:r>
          </w:p>
          <w:p w14:paraId="6D38DD4A" w14:textId="77777777" w:rsidR="009D54C2" w:rsidRPr="009D54C2" w:rsidRDefault="009D54C2" w:rsidP="0084461B">
            <w:pPr>
              <w:rPr>
                <w:rFonts w:cs="Arial"/>
                <w:b/>
                <w:color w:val="000000"/>
                <w:szCs w:val="24"/>
              </w:rPr>
            </w:pPr>
          </w:p>
        </w:tc>
      </w:tr>
      <w:tr w:rsidR="00CF3963" w:rsidRPr="000412A1" w14:paraId="74E5AA73" w14:textId="77777777">
        <w:tc>
          <w:tcPr>
            <w:tcW w:w="5000" w:type="pct"/>
            <w:gridSpan w:val="3"/>
            <w:shd w:val="clear" w:color="auto" w:fill="D9D9D9" w:themeFill="background1" w:themeFillShade="D9"/>
          </w:tcPr>
          <w:p w14:paraId="24CA0319" w14:textId="77777777" w:rsidR="00CF3963" w:rsidRPr="009D54C2" w:rsidRDefault="00A536ED" w:rsidP="0084461B">
            <w:pPr>
              <w:rPr>
                <w:rFonts w:cs="Arial"/>
                <w:b/>
                <w:color w:val="000000"/>
                <w:szCs w:val="24"/>
              </w:rPr>
            </w:pPr>
            <w:r w:rsidRPr="009D54C2">
              <w:rPr>
                <w:rFonts w:cs="Arial"/>
                <w:b/>
                <w:color w:val="000000"/>
                <w:szCs w:val="24"/>
              </w:rPr>
              <w:t>Reporting Template requirement</w:t>
            </w:r>
            <w:r w:rsidR="009D54C2" w:rsidRPr="009D54C2">
              <w:rPr>
                <w:rFonts w:cs="Arial"/>
                <w:b/>
                <w:color w:val="000000"/>
                <w:szCs w:val="24"/>
              </w:rPr>
              <w:t>:</w:t>
            </w:r>
          </w:p>
        </w:tc>
      </w:tr>
      <w:tr w:rsidR="009D54C2" w:rsidRPr="000412A1" w14:paraId="1C0CB73B" w14:textId="77777777">
        <w:tc>
          <w:tcPr>
            <w:tcW w:w="5000" w:type="pct"/>
            <w:gridSpan w:val="3"/>
          </w:tcPr>
          <w:p w14:paraId="29C8EBD9" w14:textId="77777777" w:rsidR="009D54C2" w:rsidRPr="00512E30" w:rsidRDefault="009D54C2" w:rsidP="0084461B">
            <w:pPr>
              <w:rPr>
                <w:rFonts w:cs="Arial"/>
                <w:b/>
                <w:color w:val="000000"/>
                <w:szCs w:val="24"/>
                <w:u w:val="single"/>
              </w:rPr>
            </w:pPr>
          </w:p>
        </w:tc>
      </w:tr>
      <w:tr w:rsidR="00CF3963" w:rsidRPr="000412A1" w14:paraId="1FBC5E86" w14:textId="77777777">
        <w:tc>
          <w:tcPr>
            <w:tcW w:w="5000" w:type="pct"/>
            <w:gridSpan w:val="3"/>
            <w:shd w:val="clear" w:color="auto" w:fill="A6A6A6" w:themeFill="background1" w:themeFillShade="A6"/>
          </w:tcPr>
          <w:p w14:paraId="2EDE0C48" w14:textId="77777777" w:rsidR="00970018" w:rsidRDefault="00970018" w:rsidP="00970018">
            <w:pPr>
              <w:rPr>
                <w:rFonts w:cs="Arial"/>
                <w:b/>
                <w:szCs w:val="24"/>
              </w:rPr>
            </w:pPr>
            <w:r>
              <w:rPr>
                <w:rFonts w:cs="Arial"/>
                <w:b/>
                <w:szCs w:val="24"/>
              </w:rPr>
              <w:t xml:space="preserve">C6. </w:t>
            </w:r>
            <w:r w:rsidRPr="009B60A2">
              <w:rPr>
                <w:rFonts w:cs="Arial"/>
                <w:b/>
                <w:szCs w:val="24"/>
              </w:rPr>
              <w:t>Supporting Guidance and References</w:t>
            </w:r>
          </w:p>
          <w:p w14:paraId="1789E254" w14:textId="77777777" w:rsidR="00CF3963" w:rsidRPr="000412A1" w:rsidRDefault="00CF3963" w:rsidP="0084461B">
            <w:pPr>
              <w:rPr>
                <w:rFonts w:cs="Arial"/>
                <w:color w:val="000000"/>
                <w:szCs w:val="24"/>
              </w:rPr>
            </w:pPr>
          </w:p>
        </w:tc>
      </w:tr>
      <w:tr w:rsidR="00970018" w:rsidRPr="000412A1" w14:paraId="67B0DADA" w14:textId="77777777">
        <w:tc>
          <w:tcPr>
            <w:tcW w:w="5000" w:type="pct"/>
            <w:gridSpan w:val="3"/>
          </w:tcPr>
          <w:p w14:paraId="18830264" w14:textId="77777777" w:rsidR="00970018" w:rsidRDefault="00970018" w:rsidP="00970018">
            <w:pPr>
              <w:rPr>
                <w:rFonts w:cs="Arial"/>
                <w:b/>
                <w:szCs w:val="24"/>
              </w:rPr>
            </w:pPr>
            <w:r>
              <w:rPr>
                <w:rFonts w:cs="Arial"/>
                <w:b/>
                <w:szCs w:val="24"/>
              </w:rPr>
              <w:t>Further details on implementation, and references to documents that will support implementation</w:t>
            </w:r>
            <w:r w:rsidR="004429A4">
              <w:rPr>
                <w:rFonts w:cs="Arial"/>
                <w:b/>
                <w:szCs w:val="24"/>
              </w:rPr>
              <w:t>:</w:t>
            </w:r>
          </w:p>
          <w:p w14:paraId="74FF6348" w14:textId="77777777" w:rsidR="002712B3" w:rsidRPr="008C3ECB" w:rsidRDefault="002712B3" w:rsidP="002712B3">
            <w:pPr>
              <w:keepNext/>
              <w:pBdr>
                <w:top w:val="single" w:sz="4" w:space="1" w:color="auto"/>
                <w:left w:val="single" w:sz="4" w:space="4" w:color="auto"/>
                <w:bottom w:val="single" w:sz="4" w:space="1" w:color="auto"/>
                <w:right w:val="single" w:sz="4" w:space="4" w:color="auto"/>
              </w:pBdr>
              <w:contextualSpacing/>
              <w:rPr>
                <w:rFonts w:cs="Arial"/>
                <w:b/>
                <w:color w:val="000000"/>
                <w:szCs w:val="24"/>
              </w:rPr>
            </w:pPr>
            <w:r w:rsidRPr="008C3ECB">
              <w:rPr>
                <w:rFonts w:cs="Arial"/>
                <w:b/>
                <w:color w:val="000000"/>
                <w:szCs w:val="24"/>
              </w:rPr>
              <w:t>Queries</w:t>
            </w:r>
          </w:p>
          <w:p w14:paraId="0490C0C3" w14:textId="77777777" w:rsidR="002712B3" w:rsidRPr="008C3ECB" w:rsidRDefault="002712B3" w:rsidP="002712B3">
            <w:pPr>
              <w:pBdr>
                <w:top w:val="single" w:sz="4" w:space="1" w:color="auto"/>
                <w:left w:val="single" w:sz="4" w:space="4" w:color="auto"/>
                <w:bottom w:val="single" w:sz="4" w:space="1" w:color="auto"/>
                <w:right w:val="single" w:sz="4" w:space="4" w:color="auto"/>
              </w:pBdr>
              <w:rPr>
                <w:rFonts w:cs="Arial"/>
                <w:szCs w:val="24"/>
              </w:rPr>
            </w:pPr>
            <w:r w:rsidRPr="008C3ECB">
              <w:rPr>
                <w:rFonts w:cs="Arial"/>
                <w:color w:val="000000"/>
                <w:szCs w:val="24"/>
              </w:rPr>
              <w:t>Please email the national team using England.hepc-enquiries@nhs.net</w:t>
            </w:r>
          </w:p>
          <w:p w14:paraId="403FB934" w14:textId="77777777" w:rsidR="00970018" w:rsidRDefault="00970018" w:rsidP="00970018">
            <w:pPr>
              <w:rPr>
                <w:rFonts w:cs="Arial"/>
                <w:b/>
                <w:szCs w:val="24"/>
              </w:rPr>
            </w:pPr>
          </w:p>
        </w:tc>
      </w:tr>
    </w:tbl>
    <w:p w14:paraId="06C8CAAB" w14:textId="77777777" w:rsidR="006B2327" w:rsidRDefault="006B2327" w:rsidP="00154269">
      <w:pPr>
        <w:rPr>
          <w:rFonts w:cs="Arial"/>
          <w:b/>
          <w:szCs w:val="24"/>
        </w:rPr>
      </w:pPr>
    </w:p>
    <w:p w14:paraId="6013C40E" w14:textId="77777777" w:rsidR="00234135" w:rsidRDefault="00234135" w:rsidP="00154269">
      <w:pPr>
        <w:rPr>
          <w:rFonts w:cs="Arial"/>
          <w:b/>
          <w:szCs w:val="24"/>
        </w:rPr>
      </w:pPr>
    </w:p>
    <w:tbl>
      <w:tblPr>
        <w:tblStyle w:val="TableGrid"/>
        <w:tblW w:w="5504" w:type="pct"/>
        <w:tblLook w:val="04A0" w:firstRow="1" w:lastRow="0" w:firstColumn="1" w:lastColumn="0" w:noHBand="0" w:noVBand="1"/>
      </w:tblPr>
      <w:tblGrid>
        <w:gridCol w:w="2733"/>
        <w:gridCol w:w="7192"/>
      </w:tblGrid>
      <w:tr w:rsidR="00234135" w:rsidRPr="000412A1" w14:paraId="6F9CEBE6" w14:textId="77777777">
        <w:tc>
          <w:tcPr>
            <w:tcW w:w="5000" w:type="pct"/>
            <w:gridSpan w:val="2"/>
            <w:shd w:val="clear" w:color="auto" w:fill="BFBFBF" w:themeFill="background1" w:themeFillShade="BF"/>
          </w:tcPr>
          <w:p w14:paraId="7155474B" w14:textId="77777777" w:rsidR="00234135" w:rsidRPr="000412A1" w:rsidRDefault="00234135" w:rsidP="0084461B">
            <w:pPr>
              <w:spacing w:before="40" w:after="40"/>
              <w:rPr>
                <w:rFonts w:cs="Arial"/>
                <w:b/>
                <w:color w:val="000000"/>
                <w:szCs w:val="24"/>
              </w:rPr>
            </w:pPr>
            <w:r>
              <w:rPr>
                <w:rFonts w:cs="Arial"/>
                <w:b/>
                <w:color w:val="000000"/>
                <w:szCs w:val="24"/>
              </w:rPr>
              <w:t xml:space="preserve">D. </w:t>
            </w:r>
            <w:r w:rsidR="001F421F">
              <w:rPr>
                <w:rFonts w:cs="Arial"/>
                <w:b/>
                <w:color w:val="000000"/>
                <w:szCs w:val="24"/>
              </w:rPr>
              <w:t>Indicator</w:t>
            </w:r>
            <w:r>
              <w:rPr>
                <w:rFonts w:cs="Arial"/>
                <w:b/>
                <w:color w:val="000000"/>
                <w:szCs w:val="24"/>
              </w:rPr>
              <w:t xml:space="preserve"> Justification</w:t>
            </w:r>
            <w:r w:rsidR="001F6AA3">
              <w:rPr>
                <w:rFonts w:cs="Arial"/>
                <w:b/>
                <w:color w:val="000000"/>
                <w:szCs w:val="24"/>
              </w:rPr>
              <w:t xml:space="preserve"> and Evaluation</w:t>
            </w:r>
          </w:p>
        </w:tc>
      </w:tr>
      <w:tr w:rsidR="00234135" w:rsidRPr="000412A1" w14:paraId="55643DA4" w14:textId="77777777">
        <w:tc>
          <w:tcPr>
            <w:tcW w:w="5000" w:type="pct"/>
            <w:gridSpan w:val="2"/>
            <w:shd w:val="clear" w:color="auto" w:fill="D9D9D9" w:themeFill="background1" w:themeFillShade="D9"/>
          </w:tcPr>
          <w:p w14:paraId="7212C6DF" w14:textId="77777777" w:rsidR="00234135" w:rsidRPr="00C0263E" w:rsidRDefault="00234135" w:rsidP="0026417D">
            <w:pPr>
              <w:spacing w:before="40" w:after="40"/>
              <w:rPr>
                <w:rFonts w:cs="Arial"/>
                <w:szCs w:val="24"/>
              </w:rPr>
            </w:pPr>
            <w:r>
              <w:rPr>
                <w:rFonts w:cs="Arial"/>
                <w:b/>
                <w:color w:val="000000"/>
                <w:szCs w:val="24"/>
              </w:rPr>
              <w:t xml:space="preserve">D1. </w:t>
            </w:r>
            <w:r w:rsidR="0026417D">
              <w:rPr>
                <w:rFonts w:cs="Arial"/>
                <w:b/>
                <w:color w:val="000000"/>
                <w:szCs w:val="24"/>
              </w:rPr>
              <w:t xml:space="preserve">Evidence and </w:t>
            </w:r>
            <w:r w:rsidRPr="000412A1">
              <w:rPr>
                <w:rFonts w:cs="Arial"/>
                <w:b/>
                <w:color w:val="000000"/>
                <w:szCs w:val="24"/>
              </w:rPr>
              <w:t xml:space="preserve">Rationale for </w:t>
            </w:r>
            <w:r w:rsidR="0026417D">
              <w:rPr>
                <w:rFonts w:cs="Arial"/>
                <w:b/>
                <w:color w:val="000000"/>
                <w:szCs w:val="24"/>
              </w:rPr>
              <w:t>I</w:t>
            </w:r>
            <w:r w:rsidRPr="000412A1">
              <w:rPr>
                <w:rFonts w:cs="Arial"/>
                <w:b/>
                <w:color w:val="000000"/>
                <w:szCs w:val="24"/>
              </w:rPr>
              <w:t>nclusion</w:t>
            </w:r>
            <w:r w:rsidR="0026417D">
              <w:rPr>
                <w:rFonts w:cs="Arial"/>
                <w:b/>
                <w:color w:val="000000"/>
                <w:szCs w:val="24"/>
              </w:rPr>
              <w:t xml:space="preserve"> </w:t>
            </w:r>
          </w:p>
        </w:tc>
      </w:tr>
      <w:tr w:rsidR="00234135" w:rsidRPr="000412A1" w14:paraId="6A84C7BC" w14:textId="77777777">
        <w:tc>
          <w:tcPr>
            <w:tcW w:w="5000" w:type="pct"/>
            <w:gridSpan w:val="2"/>
            <w:shd w:val="clear" w:color="auto" w:fill="auto"/>
          </w:tcPr>
          <w:p w14:paraId="019D9453" w14:textId="77777777" w:rsidR="0026417D" w:rsidRPr="0026417D" w:rsidRDefault="0026417D" w:rsidP="0026417D">
            <w:pPr>
              <w:rPr>
                <w:rFonts w:cs="Arial"/>
                <w:b/>
                <w:color w:val="000000"/>
                <w:szCs w:val="24"/>
                <w:u w:val="single"/>
              </w:rPr>
            </w:pPr>
            <w:r w:rsidRPr="0026417D">
              <w:rPr>
                <w:rFonts w:cs="Arial"/>
                <w:b/>
                <w:color w:val="000000"/>
                <w:szCs w:val="24"/>
                <w:u w:val="single"/>
              </w:rPr>
              <w:t>Evidence Supporting Intervention Sought</w:t>
            </w:r>
          </w:p>
          <w:p w14:paraId="154FDC2B" w14:textId="77777777" w:rsidR="0026417D" w:rsidRDefault="0026417D" w:rsidP="0026417D">
            <w:pPr>
              <w:rPr>
                <w:rFonts w:cs="Arial"/>
                <w:b/>
                <w:i/>
                <w:szCs w:val="24"/>
              </w:rPr>
            </w:pPr>
          </w:p>
          <w:p w14:paraId="33BE10F3" w14:textId="77777777" w:rsidR="0026417D" w:rsidRPr="009D54C2" w:rsidRDefault="0026417D" w:rsidP="0026417D">
            <w:pPr>
              <w:rPr>
                <w:rFonts w:cs="Arial"/>
                <w:i/>
                <w:color w:val="FF0000"/>
                <w:szCs w:val="24"/>
              </w:rPr>
            </w:pPr>
            <w:r w:rsidRPr="009D54C2">
              <w:rPr>
                <w:rFonts w:cs="Arial"/>
                <w:i/>
                <w:color w:val="FF0000"/>
                <w:szCs w:val="24"/>
              </w:rPr>
              <w:t xml:space="preserve">[Please summarise evidence base and/or give reference to the evidence supporting the </w:t>
            </w:r>
            <w:r w:rsidR="001F421F" w:rsidRPr="009D54C2">
              <w:rPr>
                <w:rFonts w:cs="Arial"/>
                <w:i/>
                <w:color w:val="FF0000"/>
                <w:szCs w:val="24"/>
              </w:rPr>
              <w:t>indicator</w:t>
            </w:r>
            <w:r w:rsidRPr="009D54C2">
              <w:rPr>
                <w:rFonts w:cs="Arial"/>
                <w:i/>
                <w:color w:val="FF0000"/>
                <w:szCs w:val="24"/>
              </w:rPr>
              <w:t xml:space="preserve"> (which may be expert opinion – so long as the source of that opinion is given). </w:t>
            </w:r>
          </w:p>
          <w:p w14:paraId="1D9D0984" w14:textId="77777777" w:rsidR="0026417D" w:rsidRPr="009D54C2" w:rsidRDefault="0026417D" w:rsidP="0026417D">
            <w:pPr>
              <w:rPr>
                <w:rFonts w:cs="Arial"/>
                <w:i/>
                <w:color w:val="FF0000"/>
                <w:szCs w:val="24"/>
              </w:rPr>
            </w:pPr>
          </w:p>
          <w:p w14:paraId="2C82D6DF" w14:textId="77777777" w:rsidR="0026417D" w:rsidRPr="009D54C2" w:rsidRDefault="0026417D" w:rsidP="0026417D">
            <w:pPr>
              <w:rPr>
                <w:rFonts w:cs="Arial"/>
                <w:i/>
                <w:color w:val="FF0000"/>
                <w:szCs w:val="24"/>
              </w:rPr>
            </w:pPr>
            <w:r w:rsidRPr="009D54C2">
              <w:rPr>
                <w:rFonts w:cs="Arial"/>
                <w:i/>
                <w:color w:val="FF0000"/>
                <w:szCs w:val="24"/>
              </w:rPr>
              <w:t>[Evidence is required to support:</w:t>
            </w:r>
          </w:p>
          <w:p w14:paraId="3279F6E7" w14:textId="77777777" w:rsidR="0026417D" w:rsidRPr="009D54C2" w:rsidRDefault="0026417D" w:rsidP="003A6D3B">
            <w:pPr>
              <w:pStyle w:val="ListParagraph"/>
              <w:numPr>
                <w:ilvl w:val="0"/>
                <w:numId w:val="2"/>
              </w:numPr>
              <w:rPr>
                <w:rFonts w:cs="Arial"/>
                <w:i/>
                <w:color w:val="FF0000"/>
                <w:szCs w:val="24"/>
              </w:rPr>
            </w:pPr>
            <w:r w:rsidRPr="009D54C2">
              <w:rPr>
                <w:rFonts w:cs="Arial"/>
                <w:i/>
                <w:color w:val="FF0000"/>
                <w:szCs w:val="24"/>
              </w:rPr>
              <w:t>The characterisation of the problem.</w:t>
            </w:r>
          </w:p>
          <w:p w14:paraId="0C01BB80" w14:textId="1510D3B1" w:rsidR="0026417D" w:rsidRPr="009D54C2" w:rsidRDefault="0026417D" w:rsidP="003A6D3B">
            <w:pPr>
              <w:pStyle w:val="ListParagraph"/>
              <w:numPr>
                <w:ilvl w:val="0"/>
                <w:numId w:val="2"/>
              </w:numPr>
              <w:rPr>
                <w:rFonts w:cs="Arial"/>
                <w:i/>
                <w:color w:val="FF0000"/>
                <w:szCs w:val="24"/>
              </w:rPr>
            </w:pPr>
            <w:r w:rsidRPr="009D54C2">
              <w:rPr>
                <w:rFonts w:cs="Arial"/>
                <w:i/>
                <w:color w:val="FF0000"/>
                <w:szCs w:val="24"/>
              </w:rPr>
              <w:t>The choice of behavioural change to remedy the problem - in terms of its cost-effectiveness.</w:t>
            </w:r>
            <w:r w:rsidR="004429A4" w:rsidRPr="009D54C2">
              <w:rPr>
                <w:rFonts w:cs="Arial"/>
                <w:i/>
                <w:color w:val="FF0000"/>
                <w:szCs w:val="24"/>
              </w:rPr>
              <w:t>]</w:t>
            </w:r>
          </w:p>
          <w:p w14:paraId="3982C27A" w14:textId="03C0439A" w:rsidR="002712B3" w:rsidRPr="008C3ECB" w:rsidRDefault="002712B3" w:rsidP="002712B3">
            <w:pPr>
              <w:pBdr>
                <w:top w:val="single" w:sz="4" w:space="1" w:color="auto"/>
                <w:left w:val="single" w:sz="4" w:space="4" w:color="auto"/>
                <w:bottom w:val="single" w:sz="4" w:space="1" w:color="auto"/>
                <w:right w:val="single" w:sz="4" w:space="4" w:color="auto"/>
              </w:pBdr>
              <w:rPr>
                <w:rFonts w:cs="Arial"/>
                <w:szCs w:val="24"/>
              </w:rPr>
            </w:pPr>
            <w:r w:rsidRPr="008C3ECB">
              <w:rPr>
                <w:rFonts w:cs="Arial"/>
                <w:szCs w:val="24"/>
              </w:rPr>
              <w:lastRenderedPageBreak/>
              <w:t>New HCV Treatments are recognised to be cost effective by NICE. The operation of managed network principles can</w:t>
            </w:r>
            <w:r>
              <w:rPr>
                <w:rFonts w:cs="Arial"/>
                <w:szCs w:val="24"/>
              </w:rPr>
              <w:t>:</w:t>
            </w:r>
          </w:p>
          <w:p w14:paraId="686BA184" w14:textId="77777777" w:rsidR="002712B3" w:rsidRPr="008C3ECB" w:rsidRDefault="002712B3" w:rsidP="002712B3">
            <w:pPr>
              <w:pBdr>
                <w:top w:val="single" w:sz="4" w:space="1" w:color="auto"/>
                <w:left w:val="single" w:sz="4" w:space="4" w:color="auto"/>
                <w:bottom w:val="single" w:sz="4" w:space="1" w:color="auto"/>
                <w:right w:val="single" w:sz="4" w:space="4" w:color="auto"/>
              </w:pBdr>
              <w:rPr>
                <w:rFonts w:cs="Arial"/>
                <w:szCs w:val="24"/>
              </w:rPr>
            </w:pPr>
          </w:p>
          <w:p w14:paraId="0420295C" w14:textId="77777777" w:rsidR="002712B3" w:rsidRPr="008C3ECB" w:rsidRDefault="002712B3" w:rsidP="003A6D3B">
            <w:pPr>
              <w:pStyle w:val="ListParagraph"/>
              <w:numPr>
                <w:ilvl w:val="0"/>
                <w:numId w:val="9"/>
              </w:numPr>
              <w:pBdr>
                <w:top w:val="single" w:sz="4" w:space="1" w:color="auto"/>
                <w:left w:val="single" w:sz="4" w:space="4" w:color="auto"/>
                <w:bottom w:val="single" w:sz="4" w:space="1" w:color="auto"/>
                <w:right w:val="single" w:sz="4" w:space="4" w:color="auto"/>
              </w:pBdr>
              <w:rPr>
                <w:rFonts w:cs="Arial"/>
                <w:szCs w:val="24"/>
              </w:rPr>
            </w:pPr>
            <w:r w:rsidRPr="008C3ECB">
              <w:rPr>
                <w:rFonts w:cs="Arial"/>
                <w:szCs w:val="24"/>
              </w:rPr>
              <w:t>Ensure clinically appropriate medicine choice and treatment duration is selected in line with latest evidence, and maximise the access to treatment relative to investment, achieving greater health gain</w:t>
            </w:r>
          </w:p>
          <w:p w14:paraId="60DF712E" w14:textId="77777777" w:rsidR="002712B3" w:rsidRPr="008C3ECB" w:rsidRDefault="002712B3" w:rsidP="003A6D3B">
            <w:pPr>
              <w:pStyle w:val="ListParagraph"/>
              <w:numPr>
                <w:ilvl w:val="0"/>
                <w:numId w:val="9"/>
              </w:numPr>
              <w:pBdr>
                <w:top w:val="single" w:sz="4" w:space="1" w:color="auto"/>
                <w:left w:val="single" w:sz="4" w:space="4" w:color="auto"/>
                <w:bottom w:val="single" w:sz="4" w:space="1" w:color="auto"/>
                <w:right w:val="single" w:sz="4" w:space="4" w:color="auto"/>
              </w:pBdr>
              <w:rPr>
                <w:rFonts w:cs="Arial"/>
                <w:szCs w:val="24"/>
              </w:rPr>
            </w:pPr>
            <w:r w:rsidRPr="008C3ECB">
              <w:rPr>
                <w:rFonts w:cs="Arial"/>
                <w:szCs w:val="24"/>
              </w:rPr>
              <w:t>Ensure patient treatment interventions maximise adherence to treatment regimen and minimise relapse thus minimising the reduction in health outcomes for real world treatment compared to trial conditions</w:t>
            </w:r>
          </w:p>
          <w:p w14:paraId="7705EBD7" w14:textId="77777777" w:rsidR="002712B3" w:rsidRDefault="002712B3" w:rsidP="003A6D3B">
            <w:pPr>
              <w:pStyle w:val="ListParagraph"/>
              <w:numPr>
                <w:ilvl w:val="0"/>
                <w:numId w:val="9"/>
              </w:numPr>
              <w:pBdr>
                <w:top w:val="single" w:sz="4" w:space="1" w:color="auto"/>
                <w:left w:val="single" w:sz="4" w:space="4" w:color="auto"/>
                <w:bottom w:val="single" w:sz="4" w:space="1" w:color="auto"/>
                <w:right w:val="single" w:sz="4" w:space="4" w:color="auto"/>
              </w:pBdr>
              <w:rPr>
                <w:rFonts w:cs="Arial"/>
                <w:szCs w:val="24"/>
              </w:rPr>
            </w:pPr>
            <w:r w:rsidRPr="008C3ECB">
              <w:rPr>
                <w:rFonts w:cs="Arial"/>
                <w:szCs w:val="24"/>
              </w:rPr>
              <w:t xml:space="preserve">Provide an equitable basis to rollout and prioritise patients with highest clinical need. </w:t>
            </w:r>
          </w:p>
          <w:p w14:paraId="39359A28" w14:textId="77777777" w:rsidR="00E3790C" w:rsidRDefault="00E3790C" w:rsidP="00E3790C">
            <w:pPr>
              <w:pBdr>
                <w:top w:val="single" w:sz="4" w:space="1" w:color="auto"/>
                <w:left w:val="single" w:sz="4" w:space="4" w:color="auto"/>
                <w:bottom w:val="single" w:sz="4" w:space="1" w:color="auto"/>
                <w:right w:val="single" w:sz="4" w:space="4" w:color="auto"/>
              </w:pBdr>
              <w:rPr>
                <w:rFonts w:cs="Arial"/>
                <w:szCs w:val="24"/>
              </w:rPr>
            </w:pPr>
          </w:p>
          <w:p w14:paraId="5867BE88" w14:textId="2D7C1DFA" w:rsidR="00E3790C" w:rsidRPr="00E3790C" w:rsidRDefault="00E3790C" w:rsidP="00E3790C">
            <w:pPr>
              <w:pBdr>
                <w:top w:val="single" w:sz="4" w:space="1" w:color="auto"/>
                <w:left w:val="single" w:sz="4" w:space="4" w:color="auto"/>
                <w:bottom w:val="single" w:sz="4" w:space="1" w:color="auto"/>
                <w:right w:val="single" w:sz="4" w:space="4" w:color="auto"/>
              </w:pBdr>
              <w:rPr>
                <w:rFonts w:cs="Arial"/>
                <w:szCs w:val="24"/>
              </w:rPr>
            </w:pPr>
            <w:r w:rsidRPr="00E3790C">
              <w:rPr>
                <w:rFonts w:cs="Arial"/>
                <w:szCs w:val="24"/>
              </w:rPr>
              <w:t xml:space="preserve">NICE has concluded that </w:t>
            </w:r>
            <w:r w:rsidR="009335B4" w:rsidRPr="00E3790C">
              <w:rPr>
                <w:rFonts w:cs="Arial"/>
                <w:szCs w:val="24"/>
              </w:rPr>
              <w:t>many</w:t>
            </w:r>
            <w:r w:rsidRPr="00E3790C">
              <w:rPr>
                <w:rFonts w:cs="Arial"/>
                <w:szCs w:val="24"/>
              </w:rPr>
              <w:t xml:space="preserve"> new oral HCV treatments are cost effective for certain patient groups (see </w:t>
            </w:r>
            <w:hyperlink r:id="rId12" w:history="1">
              <w:r w:rsidRPr="00E3790C">
                <w:rPr>
                  <w:rStyle w:val="Hyperlink"/>
                  <w:rFonts w:cs="Arial"/>
                  <w:szCs w:val="24"/>
                </w:rPr>
                <w:t>https://www.nice.org.uk/guidance/conditions-and-diseases/liver-conditions/hepatitis</w:t>
              </w:r>
            </w:hyperlink>
            <w:r w:rsidRPr="00E3790C">
              <w:rPr>
                <w:rFonts w:cs="Arial"/>
                <w:szCs w:val="24"/>
              </w:rPr>
              <w:t>)</w:t>
            </w:r>
          </w:p>
          <w:p w14:paraId="1F05449F" w14:textId="77777777" w:rsidR="00E3790C" w:rsidRPr="00E3790C" w:rsidRDefault="00E3790C" w:rsidP="00E3790C">
            <w:pPr>
              <w:pBdr>
                <w:top w:val="single" w:sz="4" w:space="1" w:color="auto"/>
                <w:left w:val="single" w:sz="4" w:space="4" w:color="auto"/>
                <w:bottom w:val="single" w:sz="4" w:space="1" w:color="auto"/>
                <w:right w:val="single" w:sz="4" w:space="4" w:color="auto"/>
              </w:pBdr>
              <w:rPr>
                <w:rFonts w:cs="Arial"/>
                <w:szCs w:val="24"/>
              </w:rPr>
            </w:pPr>
          </w:p>
          <w:p w14:paraId="282639BE" w14:textId="28225ABC" w:rsidR="00E3790C" w:rsidRDefault="00E3790C" w:rsidP="00E3790C">
            <w:pPr>
              <w:pBdr>
                <w:top w:val="single" w:sz="4" w:space="1" w:color="auto"/>
                <w:left w:val="single" w:sz="4" w:space="4" w:color="auto"/>
                <w:bottom w:val="single" w:sz="4" w:space="1" w:color="auto"/>
                <w:right w:val="single" w:sz="4" w:space="4" w:color="auto"/>
              </w:pBdr>
              <w:rPr>
                <w:rFonts w:cs="Arial"/>
                <w:szCs w:val="24"/>
              </w:rPr>
            </w:pPr>
            <w:r w:rsidRPr="00E3790C">
              <w:rPr>
                <w:rFonts w:cs="Arial"/>
                <w:szCs w:val="24"/>
              </w:rPr>
              <w:t xml:space="preserve">Reducing harm from Hepatitis C is a priority for the NHS.  As the programme enters its fourth year PHE have reduced the estimated number of people with chronic Hepatitis C infection in England, from 160,000 people to around 125,000.  By </w:t>
            </w:r>
            <w:r w:rsidR="00DF73E5">
              <w:rPr>
                <w:rFonts w:cs="Arial"/>
                <w:szCs w:val="24"/>
              </w:rPr>
              <w:t xml:space="preserve">January </w:t>
            </w:r>
            <w:r w:rsidRPr="00E3790C">
              <w:rPr>
                <w:rFonts w:cs="Arial"/>
                <w:szCs w:val="24"/>
              </w:rPr>
              <w:t>201</w:t>
            </w:r>
            <w:r w:rsidR="00DF73E5">
              <w:rPr>
                <w:rFonts w:cs="Arial"/>
                <w:szCs w:val="24"/>
              </w:rPr>
              <w:t>9</w:t>
            </w:r>
            <w:r w:rsidRPr="00E3790C">
              <w:rPr>
                <w:rFonts w:cs="Arial"/>
                <w:szCs w:val="24"/>
              </w:rPr>
              <w:t xml:space="preserve"> </w:t>
            </w:r>
            <w:r w:rsidR="00DF73E5">
              <w:rPr>
                <w:rFonts w:cs="Arial"/>
                <w:szCs w:val="24"/>
              </w:rPr>
              <w:t xml:space="preserve">over </w:t>
            </w:r>
            <w:r w:rsidRPr="00E3790C">
              <w:rPr>
                <w:rFonts w:cs="Arial"/>
                <w:szCs w:val="24"/>
              </w:rPr>
              <w:t>30,000 people had received drug treatment for HCV in the UK</w:t>
            </w:r>
            <w:r w:rsidR="009A3AF6">
              <w:rPr>
                <w:rFonts w:cs="Arial"/>
                <w:szCs w:val="24"/>
              </w:rPr>
              <w:t>.</w:t>
            </w:r>
          </w:p>
          <w:p w14:paraId="48FF96A5" w14:textId="77777777" w:rsidR="009335B4" w:rsidRPr="00E3790C" w:rsidRDefault="009335B4" w:rsidP="00E3790C">
            <w:pPr>
              <w:pBdr>
                <w:top w:val="single" w:sz="4" w:space="1" w:color="auto"/>
                <w:left w:val="single" w:sz="4" w:space="4" w:color="auto"/>
                <w:bottom w:val="single" w:sz="4" w:space="1" w:color="auto"/>
                <w:right w:val="single" w:sz="4" w:space="4" w:color="auto"/>
              </w:pBdr>
              <w:rPr>
                <w:rFonts w:cs="Arial"/>
                <w:szCs w:val="24"/>
              </w:rPr>
            </w:pPr>
          </w:p>
          <w:p w14:paraId="5D81E76B" w14:textId="77777777" w:rsidR="00E3790C" w:rsidRPr="00E3790C" w:rsidRDefault="00E3790C" w:rsidP="00E3790C">
            <w:pPr>
              <w:pBdr>
                <w:top w:val="single" w:sz="4" w:space="1" w:color="auto"/>
                <w:left w:val="single" w:sz="4" w:space="4" w:color="auto"/>
                <w:bottom w:val="single" w:sz="4" w:space="1" w:color="auto"/>
                <w:right w:val="single" w:sz="4" w:space="4" w:color="auto"/>
              </w:pBdr>
              <w:rPr>
                <w:rFonts w:cs="Arial"/>
                <w:szCs w:val="24"/>
              </w:rPr>
            </w:pPr>
            <w:r w:rsidRPr="00E3790C">
              <w:rPr>
                <w:rFonts w:cs="Arial"/>
                <w:szCs w:val="24"/>
              </w:rPr>
              <w:t xml:space="preserve">A wide body of literature on generalisability of healthcare research suggests treatment adherence and clinical outcomes achieved in real world settings fall short of clinical trial based outcomes (For example </w:t>
            </w:r>
            <w:proofErr w:type="spellStart"/>
            <w:r w:rsidRPr="00E3790C">
              <w:rPr>
                <w:rFonts w:cs="Arial"/>
                <w:szCs w:val="24"/>
              </w:rPr>
              <w:t>Sculpher</w:t>
            </w:r>
            <w:proofErr w:type="spellEnd"/>
            <w:r w:rsidRPr="00E3790C">
              <w:rPr>
                <w:rFonts w:cs="Arial"/>
                <w:szCs w:val="24"/>
              </w:rPr>
              <w:t xml:space="preserve"> et al 2004</w:t>
            </w:r>
            <w:r w:rsidRPr="00E3790C">
              <w:rPr>
                <w:rFonts w:cs="Arial"/>
                <w:szCs w:val="24"/>
                <w:vertAlign w:val="superscript"/>
              </w:rPr>
              <w:footnoteReference w:id="1"/>
            </w:r>
            <w:r w:rsidRPr="00E3790C">
              <w:rPr>
                <w:rFonts w:cs="Arial"/>
                <w:szCs w:val="24"/>
              </w:rPr>
              <w:t>)  Effective clinical networks are one way to minimise this shortfall.</w:t>
            </w:r>
          </w:p>
          <w:p w14:paraId="5B97D2F4" w14:textId="77777777" w:rsidR="00234135" w:rsidRPr="000E33C9" w:rsidRDefault="00234135" w:rsidP="0026417D">
            <w:pPr>
              <w:spacing w:before="40" w:after="40"/>
              <w:rPr>
                <w:rFonts w:cs="Arial"/>
                <w:b/>
                <w:i/>
                <w:color w:val="000000"/>
                <w:szCs w:val="24"/>
              </w:rPr>
            </w:pPr>
          </w:p>
        </w:tc>
      </w:tr>
      <w:tr w:rsidR="0026417D" w:rsidRPr="000412A1" w14:paraId="44DCFB8C" w14:textId="77777777">
        <w:tc>
          <w:tcPr>
            <w:tcW w:w="5000" w:type="pct"/>
            <w:gridSpan w:val="2"/>
            <w:shd w:val="clear" w:color="auto" w:fill="auto"/>
          </w:tcPr>
          <w:p w14:paraId="02EF631F" w14:textId="77777777" w:rsidR="0026417D" w:rsidRPr="0026417D" w:rsidRDefault="0026417D" w:rsidP="0026417D">
            <w:pPr>
              <w:rPr>
                <w:rFonts w:cs="Arial"/>
                <w:b/>
                <w:color w:val="000000"/>
                <w:szCs w:val="24"/>
                <w:u w:val="single"/>
              </w:rPr>
            </w:pPr>
            <w:r w:rsidRPr="0026417D">
              <w:rPr>
                <w:rFonts w:cs="Arial"/>
                <w:b/>
                <w:color w:val="000000"/>
                <w:szCs w:val="24"/>
                <w:u w:val="single"/>
              </w:rPr>
              <w:lastRenderedPageBreak/>
              <w:t>Rationale of Use of CQUIN</w:t>
            </w:r>
            <w:r>
              <w:rPr>
                <w:rFonts w:cs="Arial"/>
                <w:b/>
                <w:color w:val="000000"/>
                <w:szCs w:val="24"/>
                <w:u w:val="single"/>
              </w:rPr>
              <w:t xml:space="preserve"> incentive</w:t>
            </w:r>
          </w:p>
          <w:p w14:paraId="34BA5E59" w14:textId="77777777" w:rsidR="00F726C2" w:rsidRPr="00F726C2" w:rsidRDefault="00F726C2" w:rsidP="00F726C2">
            <w:pPr>
              <w:spacing w:before="40" w:after="40"/>
              <w:rPr>
                <w:rFonts w:cs="Arial"/>
                <w:b/>
                <w:color w:val="000000"/>
                <w:szCs w:val="24"/>
              </w:rPr>
            </w:pPr>
            <w:r w:rsidRPr="00F726C2">
              <w:rPr>
                <w:rFonts w:cs="Arial"/>
                <w:b/>
                <w:color w:val="000000"/>
                <w:szCs w:val="24"/>
              </w:rPr>
              <w:t>CQUIN as an instrument is justified if net costs beyond normal service requirements are incurred by providers whilst benefits and cost savings accrue</w:t>
            </w:r>
            <w:r>
              <w:rPr>
                <w:rFonts w:cs="Arial"/>
                <w:b/>
                <w:color w:val="000000"/>
                <w:szCs w:val="24"/>
              </w:rPr>
              <w:t xml:space="preserve"> to patients and commissioners.</w:t>
            </w:r>
          </w:p>
          <w:p w14:paraId="6CC25E1D" w14:textId="77777777" w:rsidR="009D54C2" w:rsidRPr="00F726C2" w:rsidRDefault="00F726C2" w:rsidP="00F726C2">
            <w:pPr>
              <w:spacing w:before="40" w:after="40"/>
              <w:rPr>
                <w:rFonts w:cs="Arial"/>
                <w:i/>
                <w:color w:val="FF0000"/>
                <w:szCs w:val="24"/>
              </w:rPr>
            </w:pPr>
            <w:r w:rsidRPr="00F726C2">
              <w:rPr>
                <w:rFonts w:cs="Arial"/>
                <w:i/>
                <w:color w:val="FF0000"/>
                <w:szCs w:val="24"/>
              </w:rPr>
              <w:t xml:space="preserve"> </w:t>
            </w:r>
            <w:r w:rsidR="0026417D" w:rsidRPr="00F726C2">
              <w:rPr>
                <w:rFonts w:cs="Arial"/>
                <w:i/>
                <w:color w:val="FF0000"/>
                <w:szCs w:val="24"/>
              </w:rPr>
              <w:t xml:space="preserve">[Specify the rationale for use of CQUIN as </w:t>
            </w:r>
            <w:r w:rsidR="009D54C2" w:rsidRPr="00F726C2">
              <w:rPr>
                <w:rFonts w:cs="Arial"/>
                <w:i/>
                <w:color w:val="FF0000"/>
                <w:szCs w:val="24"/>
              </w:rPr>
              <w:t>an incentive for this behaviour, specifying in particular:</w:t>
            </w:r>
          </w:p>
          <w:p w14:paraId="77A170F3" w14:textId="77777777" w:rsidR="009D54C2" w:rsidRPr="00F726C2" w:rsidRDefault="0026417D" w:rsidP="003A6D3B">
            <w:pPr>
              <w:pStyle w:val="ListParagraph"/>
              <w:numPr>
                <w:ilvl w:val="0"/>
                <w:numId w:val="2"/>
              </w:numPr>
              <w:spacing w:before="40" w:after="40"/>
              <w:rPr>
                <w:rFonts w:cs="Arial"/>
                <w:i/>
                <w:color w:val="FF0000"/>
                <w:szCs w:val="24"/>
              </w:rPr>
            </w:pPr>
            <w:r w:rsidRPr="00F726C2">
              <w:rPr>
                <w:rFonts w:cs="Arial"/>
                <w:i/>
                <w:color w:val="FF0000"/>
                <w:szCs w:val="24"/>
              </w:rPr>
              <w:t>the costs of the behaviour change,</w:t>
            </w:r>
            <w:r w:rsidR="009D54C2" w:rsidRPr="00F726C2">
              <w:rPr>
                <w:rFonts w:cs="Arial"/>
                <w:i/>
                <w:color w:val="FF0000"/>
                <w:szCs w:val="24"/>
              </w:rPr>
              <w:t xml:space="preserve"> and</w:t>
            </w:r>
            <w:r w:rsidRPr="00F726C2">
              <w:rPr>
                <w:rFonts w:cs="Arial"/>
                <w:i/>
                <w:color w:val="FF0000"/>
                <w:szCs w:val="24"/>
              </w:rPr>
              <w:t xml:space="preserve"> the stretch involved beyond standard service quality, </w:t>
            </w:r>
            <w:r w:rsidR="009D54C2" w:rsidRPr="00F726C2">
              <w:rPr>
                <w:rFonts w:cs="Arial"/>
                <w:i/>
                <w:color w:val="FF0000"/>
                <w:szCs w:val="24"/>
              </w:rPr>
              <w:t>net of cost savings accruing to providers</w:t>
            </w:r>
          </w:p>
          <w:p w14:paraId="07770235" w14:textId="77777777" w:rsidR="009D54C2" w:rsidRPr="00F726C2" w:rsidRDefault="0026417D" w:rsidP="003A6D3B">
            <w:pPr>
              <w:pStyle w:val="ListParagraph"/>
              <w:numPr>
                <w:ilvl w:val="0"/>
                <w:numId w:val="2"/>
              </w:numPr>
              <w:spacing w:before="40" w:after="40"/>
              <w:rPr>
                <w:rFonts w:cs="Arial"/>
                <w:i/>
                <w:color w:val="FF0000"/>
                <w:szCs w:val="24"/>
              </w:rPr>
            </w:pPr>
            <w:r w:rsidRPr="00F726C2">
              <w:rPr>
                <w:rFonts w:cs="Arial"/>
                <w:i/>
                <w:color w:val="FF0000"/>
                <w:szCs w:val="24"/>
              </w:rPr>
              <w:t xml:space="preserve">the benefits accruing to patients, </w:t>
            </w:r>
          </w:p>
          <w:p w14:paraId="7B9C5C54" w14:textId="77777777" w:rsidR="009D54C2" w:rsidRPr="00F726C2" w:rsidRDefault="0026417D" w:rsidP="003A6D3B">
            <w:pPr>
              <w:pStyle w:val="ListParagraph"/>
              <w:numPr>
                <w:ilvl w:val="0"/>
                <w:numId w:val="2"/>
              </w:numPr>
              <w:spacing w:before="40" w:after="40"/>
              <w:rPr>
                <w:rFonts w:cs="Arial"/>
                <w:i/>
                <w:color w:val="FF0000"/>
                <w:szCs w:val="24"/>
              </w:rPr>
            </w:pPr>
            <w:r w:rsidRPr="00F726C2">
              <w:rPr>
                <w:rFonts w:cs="Arial"/>
                <w:i/>
                <w:color w:val="FF0000"/>
                <w:szCs w:val="24"/>
              </w:rPr>
              <w:t xml:space="preserve">cost-savings accruing to commissioners (NHS E, CCGs, other] and </w:t>
            </w:r>
          </w:p>
          <w:p w14:paraId="388F01BF" w14:textId="77777777" w:rsidR="0026417D" w:rsidRPr="00F726C2" w:rsidRDefault="0026417D" w:rsidP="003A6D3B">
            <w:pPr>
              <w:pStyle w:val="ListParagraph"/>
              <w:numPr>
                <w:ilvl w:val="0"/>
                <w:numId w:val="2"/>
              </w:numPr>
              <w:spacing w:before="40" w:after="40"/>
              <w:rPr>
                <w:rFonts w:cs="Arial"/>
                <w:i/>
                <w:color w:val="FF0000"/>
                <w:szCs w:val="24"/>
              </w:rPr>
            </w:pPr>
            <w:r w:rsidRPr="00F726C2">
              <w:rPr>
                <w:rFonts w:cs="Arial"/>
                <w:i/>
                <w:color w:val="FF0000"/>
                <w:szCs w:val="24"/>
              </w:rPr>
              <w:t xml:space="preserve">respectively year by year, one-off and enduring. </w:t>
            </w:r>
          </w:p>
          <w:p w14:paraId="6142C058" w14:textId="77777777" w:rsidR="0026417D" w:rsidRPr="00F726C2" w:rsidRDefault="00F726C2" w:rsidP="0026417D">
            <w:pPr>
              <w:spacing w:before="40" w:after="40"/>
              <w:rPr>
                <w:rFonts w:cs="Arial"/>
                <w:i/>
                <w:color w:val="FF0000"/>
                <w:szCs w:val="24"/>
              </w:rPr>
            </w:pPr>
            <w:r w:rsidRPr="00F726C2">
              <w:rPr>
                <w:rFonts w:cs="Arial"/>
                <w:i/>
                <w:color w:val="FF0000"/>
                <w:szCs w:val="24"/>
              </w:rPr>
              <w:t xml:space="preserve"> </w:t>
            </w:r>
            <w:r w:rsidR="0026417D" w:rsidRPr="00F726C2">
              <w:rPr>
                <w:rFonts w:cs="Arial"/>
                <w:i/>
                <w:color w:val="FF0000"/>
                <w:szCs w:val="24"/>
              </w:rPr>
              <w:t xml:space="preserve">[Refer to any evidence with URL-references, or set this out in Supporting Guidance for this </w:t>
            </w:r>
            <w:r w:rsidR="001F421F" w:rsidRPr="00F726C2">
              <w:rPr>
                <w:rFonts w:cs="Arial"/>
                <w:i/>
                <w:color w:val="FF0000"/>
                <w:szCs w:val="24"/>
              </w:rPr>
              <w:t>indicator</w:t>
            </w:r>
            <w:r w:rsidR="0026417D" w:rsidRPr="00F726C2">
              <w:rPr>
                <w:rFonts w:cs="Arial"/>
                <w:i/>
                <w:color w:val="FF0000"/>
                <w:szCs w:val="24"/>
              </w:rPr>
              <w:t xml:space="preserve"> – to sit as a separate document on the CQUIN website</w:t>
            </w:r>
            <w:r w:rsidR="004429A4" w:rsidRPr="00F726C2">
              <w:rPr>
                <w:rFonts w:cs="Arial"/>
                <w:i/>
                <w:color w:val="FF0000"/>
                <w:szCs w:val="24"/>
              </w:rPr>
              <w:t>]</w:t>
            </w:r>
            <w:r w:rsidR="0026417D" w:rsidRPr="00F726C2">
              <w:rPr>
                <w:rFonts w:cs="Arial"/>
                <w:i/>
                <w:color w:val="FF0000"/>
                <w:szCs w:val="24"/>
              </w:rPr>
              <w:t>.</w:t>
            </w:r>
          </w:p>
          <w:p w14:paraId="58D9E681" w14:textId="77777777" w:rsidR="00E3790C" w:rsidRPr="00E3790C" w:rsidRDefault="00E3790C" w:rsidP="00E3790C">
            <w:pPr>
              <w:rPr>
                <w:rFonts w:cs="Arial"/>
                <w:color w:val="000000"/>
                <w:szCs w:val="24"/>
              </w:rPr>
            </w:pPr>
            <w:r w:rsidRPr="00E3790C">
              <w:rPr>
                <w:rFonts w:cs="Arial"/>
                <w:color w:val="000000"/>
                <w:szCs w:val="24"/>
              </w:rPr>
              <w:t xml:space="preserve">NHS England has implemented the establishment of Hepatitis C networks to ensure clinical and </w:t>
            </w:r>
            <w:r w:rsidR="008666C0" w:rsidRPr="00E3790C">
              <w:rPr>
                <w:rFonts w:cs="Arial"/>
                <w:color w:val="000000"/>
                <w:szCs w:val="24"/>
              </w:rPr>
              <w:t>cost-effective</w:t>
            </w:r>
            <w:r w:rsidRPr="00E3790C">
              <w:rPr>
                <w:rFonts w:cs="Arial"/>
                <w:color w:val="000000"/>
                <w:szCs w:val="24"/>
              </w:rPr>
              <w:t xml:space="preserve"> care is delivered with oversight from Hepatitis C centres and MDTs. Strong partnership working across the complex pathways for patients is essential to ensure patients have access to both clinical expertise and local delivery of care.</w:t>
            </w:r>
          </w:p>
          <w:p w14:paraId="3A6CCA57" w14:textId="77777777" w:rsidR="00E3790C" w:rsidRPr="00E3790C" w:rsidRDefault="00E3790C" w:rsidP="00E3790C">
            <w:pPr>
              <w:rPr>
                <w:rFonts w:cs="Arial"/>
                <w:color w:val="000000"/>
                <w:szCs w:val="24"/>
              </w:rPr>
            </w:pPr>
          </w:p>
          <w:p w14:paraId="7A9B3F86" w14:textId="6737AA67" w:rsidR="00E3790C" w:rsidRPr="00E3790C" w:rsidRDefault="00E3790C" w:rsidP="00E3790C">
            <w:pPr>
              <w:rPr>
                <w:rFonts w:cs="Arial"/>
                <w:color w:val="000000"/>
                <w:szCs w:val="24"/>
              </w:rPr>
            </w:pPr>
            <w:r w:rsidRPr="00E3790C">
              <w:rPr>
                <w:rFonts w:cs="Arial"/>
                <w:color w:val="000000"/>
                <w:szCs w:val="24"/>
              </w:rPr>
              <w:t xml:space="preserve">There are </w:t>
            </w:r>
            <w:r w:rsidR="009335B4" w:rsidRPr="00E3790C">
              <w:rPr>
                <w:rFonts w:cs="Arial"/>
                <w:color w:val="000000"/>
                <w:szCs w:val="24"/>
              </w:rPr>
              <w:t>many</w:t>
            </w:r>
            <w:r w:rsidRPr="00E3790C">
              <w:rPr>
                <w:rFonts w:cs="Arial"/>
                <w:color w:val="000000"/>
                <w:szCs w:val="24"/>
              </w:rPr>
              <w:t xml:space="preserve"> commissioners and services involved in the treatment of patients who may have Hepatitis C or are infected </w:t>
            </w:r>
            <w:proofErr w:type="gramStart"/>
            <w:r w:rsidRPr="00E3790C">
              <w:rPr>
                <w:rFonts w:cs="Arial"/>
                <w:color w:val="000000"/>
                <w:szCs w:val="24"/>
              </w:rPr>
              <w:t>and also</w:t>
            </w:r>
            <w:proofErr w:type="gramEnd"/>
            <w:r w:rsidRPr="00E3790C">
              <w:rPr>
                <w:rFonts w:cs="Arial"/>
                <w:color w:val="000000"/>
                <w:szCs w:val="24"/>
              </w:rPr>
              <w:t xml:space="preserve"> suffer from other co-morbidities or conditions. </w:t>
            </w:r>
            <w:r w:rsidRPr="00E3790C">
              <w:rPr>
                <w:rFonts w:cs="Arial"/>
                <w:color w:val="000000"/>
                <w:szCs w:val="24"/>
              </w:rPr>
              <w:lastRenderedPageBreak/>
              <w:t xml:space="preserve">Acute services, drug and alcohol services, detained settings, primary and community care providers may be caring for the eligible patient groups. </w:t>
            </w:r>
            <w:r w:rsidR="009335B4" w:rsidRPr="00E3790C">
              <w:rPr>
                <w:rFonts w:cs="Arial"/>
                <w:color w:val="000000"/>
                <w:szCs w:val="24"/>
              </w:rPr>
              <w:t>Many</w:t>
            </w:r>
            <w:r w:rsidRPr="00E3790C">
              <w:rPr>
                <w:rFonts w:cs="Arial"/>
                <w:color w:val="000000"/>
                <w:szCs w:val="24"/>
              </w:rPr>
              <w:t xml:space="preserve"> patients with Hepatitis C are within disadvantaged groups.</w:t>
            </w:r>
          </w:p>
          <w:p w14:paraId="30E0E24E" w14:textId="77777777" w:rsidR="00E3790C" w:rsidRPr="00E3790C" w:rsidRDefault="00E3790C" w:rsidP="00E3790C">
            <w:pPr>
              <w:rPr>
                <w:rFonts w:cs="Arial"/>
                <w:color w:val="000000"/>
                <w:szCs w:val="24"/>
              </w:rPr>
            </w:pPr>
          </w:p>
          <w:p w14:paraId="3E569018" w14:textId="77777777" w:rsidR="00E3790C" w:rsidRPr="00E3790C" w:rsidRDefault="00E3790C" w:rsidP="00E3790C">
            <w:pPr>
              <w:rPr>
                <w:rFonts w:cs="Arial"/>
                <w:color w:val="000000"/>
                <w:szCs w:val="24"/>
              </w:rPr>
            </w:pPr>
            <w:r w:rsidRPr="00E3790C">
              <w:rPr>
                <w:rFonts w:cs="Arial"/>
                <w:color w:val="000000"/>
                <w:szCs w:val="24"/>
              </w:rPr>
              <w:t>Treatment selection is complex to support adherence, avoid resistance and relapse and to make best use of NHS resources. Hepatitis C ODNs provide a vehicle for ensuring that clinicians are aware of which are the most cost effective, efficacious treatments and to help choose between alternative products and treatment plans.</w:t>
            </w:r>
          </w:p>
          <w:p w14:paraId="19E2C6AE" w14:textId="77777777" w:rsidR="00E3790C" w:rsidRPr="00E3790C" w:rsidRDefault="00E3790C" w:rsidP="00E3790C">
            <w:pPr>
              <w:rPr>
                <w:rFonts w:cs="Arial"/>
                <w:color w:val="000000"/>
                <w:szCs w:val="24"/>
              </w:rPr>
            </w:pPr>
          </w:p>
          <w:p w14:paraId="2BECD282" w14:textId="77777777" w:rsidR="0026417D" w:rsidRDefault="00E3790C" w:rsidP="00E3790C">
            <w:pPr>
              <w:rPr>
                <w:rFonts w:cs="Arial"/>
                <w:color w:val="000000"/>
                <w:szCs w:val="24"/>
              </w:rPr>
            </w:pPr>
            <w:r w:rsidRPr="00E3790C">
              <w:rPr>
                <w:rFonts w:cs="Arial"/>
                <w:color w:val="000000"/>
                <w:szCs w:val="24"/>
              </w:rPr>
              <w:t xml:space="preserve">England has lacked any national data linking across services to improve accuracy of data on patient numbers, treatment, outcomes and access. This CQUIN scheme supports the innovation required by the whole system to work together to manage access to new treatments in a </w:t>
            </w:r>
            <w:r w:rsidR="008666C0" w:rsidRPr="00E3790C">
              <w:rPr>
                <w:rFonts w:cs="Arial"/>
                <w:color w:val="000000"/>
                <w:szCs w:val="24"/>
              </w:rPr>
              <w:t>cost-effective</w:t>
            </w:r>
            <w:r w:rsidRPr="00E3790C">
              <w:rPr>
                <w:rFonts w:cs="Arial"/>
                <w:color w:val="000000"/>
                <w:szCs w:val="24"/>
              </w:rPr>
              <w:t xml:space="preserve"> way. Networks are expected to play an active role in developing and refining the outcome data collected by partner providers over the next 2 years to develop the evidence base of treatment in routine clinical practice.</w:t>
            </w:r>
          </w:p>
          <w:p w14:paraId="3754A223" w14:textId="77777777" w:rsidR="00E3790C" w:rsidRDefault="00E3790C" w:rsidP="00E3790C">
            <w:pPr>
              <w:rPr>
                <w:rFonts w:cs="Arial"/>
                <w:i/>
                <w:color w:val="000000"/>
                <w:szCs w:val="24"/>
              </w:rPr>
            </w:pPr>
          </w:p>
        </w:tc>
      </w:tr>
      <w:tr w:rsidR="00C25612" w:rsidRPr="000412A1" w14:paraId="7555773E" w14:textId="77777777">
        <w:tc>
          <w:tcPr>
            <w:tcW w:w="5000" w:type="pct"/>
            <w:gridSpan w:val="2"/>
            <w:shd w:val="clear" w:color="auto" w:fill="D9D9D9" w:themeFill="background1" w:themeFillShade="D9"/>
          </w:tcPr>
          <w:p w14:paraId="6CAAF3BC" w14:textId="77777777" w:rsidR="00C25612" w:rsidRPr="0026417D" w:rsidRDefault="00C25612" w:rsidP="001F6AA3">
            <w:pPr>
              <w:rPr>
                <w:rFonts w:cs="Arial"/>
                <w:b/>
                <w:color w:val="000000"/>
                <w:szCs w:val="24"/>
                <w:u w:val="single"/>
              </w:rPr>
            </w:pPr>
            <w:r>
              <w:rPr>
                <w:rFonts w:cs="Arial"/>
                <w:b/>
                <w:szCs w:val="24"/>
              </w:rPr>
              <w:lastRenderedPageBreak/>
              <w:t xml:space="preserve">D2. </w:t>
            </w:r>
            <w:r w:rsidR="001F421F">
              <w:rPr>
                <w:rFonts w:cs="Arial"/>
                <w:b/>
                <w:szCs w:val="24"/>
              </w:rPr>
              <w:t>Indicator</w:t>
            </w:r>
            <w:r>
              <w:rPr>
                <w:rFonts w:cs="Arial"/>
                <w:b/>
                <w:szCs w:val="24"/>
              </w:rPr>
              <w:t xml:space="preserve"> Duration and Exit Route</w:t>
            </w:r>
          </w:p>
        </w:tc>
      </w:tr>
      <w:tr w:rsidR="00C25612" w:rsidRPr="000412A1" w14:paraId="6CE441F2" w14:textId="77777777">
        <w:tc>
          <w:tcPr>
            <w:tcW w:w="5000" w:type="pct"/>
            <w:gridSpan w:val="2"/>
            <w:shd w:val="clear" w:color="auto" w:fill="auto"/>
          </w:tcPr>
          <w:p w14:paraId="6ACC80C7" w14:textId="77777777" w:rsidR="00C25612" w:rsidRPr="00B0183E" w:rsidRDefault="00C25612" w:rsidP="001F6AA3">
            <w:pPr>
              <w:spacing w:before="40" w:after="40"/>
              <w:rPr>
                <w:rFonts w:cs="Arial"/>
                <w:b/>
                <w:color w:val="000000"/>
                <w:szCs w:val="24"/>
              </w:rPr>
            </w:pPr>
            <w:r w:rsidRPr="00B0183E">
              <w:rPr>
                <w:rFonts w:cs="Arial"/>
                <w:b/>
                <w:color w:val="000000"/>
                <w:szCs w:val="24"/>
              </w:rPr>
              <w:t xml:space="preserve">The appropriate duration of </w:t>
            </w:r>
            <w:r w:rsidR="00B0183E" w:rsidRPr="00B0183E">
              <w:rPr>
                <w:rFonts w:cs="Arial"/>
                <w:b/>
                <w:color w:val="000000"/>
                <w:szCs w:val="24"/>
              </w:rPr>
              <w:t>an</w:t>
            </w:r>
            <w:r w:rsidRPr="00B0183E">
              <w:rPr>
                <w:rFonts w:cs="Arial"/>
                <w:b/>
                <w:color w:val="000000"/>
                <w:szCs w:val="24"/>
              </w:rPr>
              <w:t xml:space="preserve"> </w:t>
            </w:r>
            <w:r w:rsidR="001F421F" w:rsidRPr="00B0183E">
              <w:rPr>
                <w:rFonts w:cs="Arial"/>
                <w:b/>
                <w:color w:val="000000"/>
                <w:szCs w:val="24"/>
              </w:rPr>
              <w:t>indicator</w:t>
            </w:r>
            <w:r w:rsidRPr="00B0183E">
              <w:rPr>
                <w:rFonts w:cs="Arial"/>
                <w:b/>
                <w:color w:val="000000"/>
                <w:szCs w:val="24"/>
              </w:rPr>
              <w:t xml:space="preserve"> depends upon how long CQUIN support is required before the change in behaviour sought can be embedded in services specification or otherwise.</w:t>
            </w:r>
          </w:p>
          <w:p w14:paraId="42754ADA" w14:textId="0DD7661B" w:rsidR="00C25612" w:rsidRPr="001F6AA3" w:rsidRDefault="00C25612" w:rsidP="001F6AA3">
            <w:pPr>
              <w:spacing w:before="40" w:after="40"/>
              <w:rPr>
                <w:rFonts w:cs="Arial"/>
                <w:i/>
                <w:color w:val="000000"/>
                <w:szCs w:val="24"/>
              </w:rPr>
            </w:pPr>
            <w:r w:rsidRPr="001F6AA3">
              <w:rPr>
                <w:rFonts w:cs="Arial"/>
                <w:i/>
                <w:color w:val="000000"/>
                <w:szCs w:val="24"/>
              </w:rPr>
              <w:t>[</w:t>
            </w:r>
            <w:r w:rsidRPr="00B0183E">
              <w:rPr>
                <w:rFonts w:cs="Arial"/>
                <w:i/>
                <w:color w:val="FF0000"/>
                <w:szCs w:val="24"/>
              </w:rPr>
              <w:t xml:space="preserve">Specify for this </w:t>
            </w:r>
            <w:r w:rsidR="001F421F" w:rsidRPr="00B0183E">
              <w:rPr>
                <w:rFonts w:cs="Arial"/>
                <w:i/>
                <w:color w:val="FF0000"/>
                <w:szCs w:val="24"/>
              </w:rPr>
              <w:t>indicator</w:t>
            </w:r>
            <w:r w:rsidRPr="00B0183E">
              <w:rPr>
                <w:rFonts w:cs="Arial"/>
                <w:i/>
                <w:color w:val="FF0000"/>
                <w:szCs w:val="24"/>
              </w:rPr>
              <w:t xml:space="preserve"> the duration over which </w:t>
            </w:r>
            <w:r w:rsidR="00B0183E" w:rsidRPr="00B0183E">
              <w:rPr>
                <w:rFonts w:cs="Arial"/>
                <w:i/>
                <w:color w:val="FF0000"/>
                <w:szCs w:val="24"/>
              </w:rPr>
              <w:t>CQUIN funding support is required, and how the recurring costs of the intervention sought will be supported thereafter. (This may depend upon: the period before costs feed through Reference Costs into tariff; or before cost-savings and/or service payments accrue to providers. For some indicators, the CQUIN funding is required to cover one-off fixed costs – which may take a year or two or three before fully incurred</w:t>
            </w:r>
            <w:r w:rsidRPr="00B0183E">
              <w:rPr>
                <w:rFonts w:cs="Arial"/>
                <w:i/>
                <w:color w:val="FF0000"/>
                <w:szCs w:val="24"/>
              </w:rPr>
              <w:t>.]</w:t>
            </w:r>
          </w:p>
          <w:p w14:paraId="28C57114" w14:textId="77777777" w:rsidR="00E3790C" w:rsidRDefault="00E3790C" w:rsidP="00E3790C">
            <w:pPr>
              <w:rPr>
                <w:rFonts w:cs="Arial"/>
                <w:color w:val="000000"/>
                <w:szCs w:val="24"/>
              </w:rPr>
            </w:pPr>
            <w:r w:rsidRPr="00F13475">
              <w:rPr>
                <w:rFonts w:cs="Arial"/>
                <w:color w:val="000000"/>
                <w:szCs w:val="24"/>
              </w:rPr>
              <w:t xml:space="preserve">The </w:t>
            </w:r>
            <w:r w:rsidR="008666C0" w:rsidRPr="00F13475">
              <w:rPr>
                <w:rFonts w:cs="Arial"/>
                <w:color w:val="000000"/>
                <w:szCs w:val="24"/>
              </w:rPr>
              <w:t>set-up</w:t>
            </w:r>
            <w:r w:rsidRPr="00F13475">
              <w:rPr>
                <w:rFonts w:cs="Arial"/>
                <w:color w:val="000000"/>
                <w:szCs w:val="24"/>
              </w:rPr>
              <w:t xml:space="preserve"> costs of HCV ODNs were supported financially in ETO provider CQUIN or central funding allocation in 2015/16. As a year 4 and year 5 CQUIN, the governance costs will be embedded in reference costs from the year after the CQUIN concludes. Governance arrangements will need to reflect funding flows needed from Tariff income in year 4 across partner organisations to fund ongoing network infrastructure.</w:t>
            </w:r>
          </w:p>
          <w:p w14:paraId="398FC49D" w14:textId="77777777" w:rsidR="00E3790C" w:rsidRPr="00F13475" w:rsidRDefault="00E3790C" w:rsidP="00E3790C">
            <w:pPr>
              <w:rPr>
                <w:rFonts w:cs="Arial"/>
                <w:color w:val="000000"/>
                <w:szCs w:val="24"/>
              </w:rPr>
            </w:pPr>
          </w:p>
          <w:p w14:paraId="5B76854A" w14:textId="5341F243" w:rsidR="00C25612" w:rsidRPr="0026417D" w:rsidRDefault="00C25612" w:rsidP="00E3790C">
            <w:pPr>
              <w:rPr>
                <w:rFonts w:cs="Arial"/>
                <w:b/>
                <w:color w:val="000000"/>
                <w:szCs w:val="24"/>
                <w:u w:val="single"/>
              </w:rPr>
            </w:pPr>
          </w:p>
        </w:tc>
      </w:tr>
      <w:tr w:rsidR="00234135" w:rsidRPr="00BB243E" w14:paraId="4A6BF9E0" w14:textId="77777777">
        <w:tc>
          <w:tcPr>
            <w:tcW w:w="5000" w:type="pct"/>
            <w:gridSpan w:val="2"/>
            <w:shd w:val="clear" w:color="auto" w:fill="D9D9D9" w:themeFill="background1" w:themeFillShade="D9"/>
          </w:tcPr>
          <w:p w14:paraId="0BC2C77F" w14:textId="77777777" w:rsidR="00234135" w:rsidRPr="00BB243E" w:rsidRDefault="00234135" w:rsidP="00162909">
            <w:pPr>
              <w:rPr>
                <w:rFonts w:eastAsiaTheme="minorEastAsia" w:cs="Arial"/>
                <w:b/>
                <w:szCs w:val="24"/>
              </w:rPr>
            </w:pPr>
            <w:r w:rsidRPr="00BB243E">
              <w:rPr>
                <w:rFonts w:eastAsiaTheme="minorEastAsia" w:cs="Arial"/>
                <w:b/>
                <w:szCs w:val="24"/>
              </w:rPr>
              <w:t xml:space="preserve">D3. Justification of </w:t>
            </w:r>
            <w:r w:rsidR="00162909">
              <w:rPr>
                <w:rFonts w:eastAsiaTheme="minorEastAsia" w:cs="Arial"/>
                <w:b/>
                <w:szCs w:val="24"/>
              </w:rPr>
              <w:t xml:space="preserve">Size of </w:t>
            </w:r>
            <w:r w:rsidRPr="00BB243E">
              <w:rPr>
                <w:rFonts w:eastAsiaTheme="minorEastAsia" w:cs="Arial"/>
                <w:b/>
                <w:szCs w:val="24"/>
              </w:rPr>
              <w:t>Target Payment</w:t>
            </w:r>
          </w:p>
        </w:tc>
      </w:tr>
      <w:tr w:rsidR="00234135" w:rsidRPr="000412A1" w14:paraId="0588A353" w14:textId="77777777">
        <w:tc>
          <w:tcPr>
            <w:tcW w:w="5000" w:type="pct"/>
            <w:gridSpan w:val="2"/>
          </w:tcPr>
          <w:p w14:paraId="2B5DDCB2" w14:textId="77777777" w:rsidR="00234135" w:rsidRPr="001F6AA3" w:rsidRDefault="00234135" w:rsidP="0084461B">
            <w:pPr>
              <w:rPr>
                <w:rFonts w:cs="Arial"/>
                <w:b/>
                <w:szCs w:val="24"/>
              </w:rPr>
            </w:pPr>
            <w:r w:rsidRPr="001F6AA3">
              <w:rPr>
                <w:rFonts w:cs="Arial"/>
                <w:b/>
                <w:szCs w:val="24"/>
              </w:rPr>
              <w:t xml:space="preserve">The evidence and assumptions upon which the target payment was based, </w:t>
            </w:r>
            <w:proofErr w:type="gramStart"/>
            <w:r w:rsidRPr="001F6AA3">
              <w:rPr>
                <w:rFonts w:cs="Arial"/>
                <w:b/>
                <w:szCs w:val="24"/>
              </w:rPr>
              <w:t>so as to</w:t>
            </w:r>
            <w:proofErr w:type="gramEnd"/>
            <w:r w:rsidRPr="001F6AA3">
              <w:rPr>
                <w:rFonts w:cs="Arial"/>
                <w:b/>
                <w:szCs w:val="24"/>
              </w:rPr>
              <w:t xml:space="preserve"> ensure payment of at least 150% of average costs (net of any savings or reimbursements under other mechanisms), is as follows:</w:t>
            </w:r>
          </w:p>
          <w:p w14:paraId="4AE855BB" w14:textId="77777777" w:rsidR="0026417D" w:rsidRPr="00BC4EA9" w:rsidRDefault="00234135" w:rsidP="0084461B">
            <w:pPr>
              <w:rPr>
                <w:rFonts w:cs="Arial"/>
                <w:i/>
                <w:color w:val="FF0000"/>
                <w:szCs w:val="24"/>
              </w:rPr>
            </w:pPr>
            <w:r w:rsidRPr="001F6AA3">
              <w:rPr>
                <w:rFonts w:cs="Arial"/>
                <w:szCs w:val="24"/>
              </w:rPr>
              <w:t>[</w:t>
            </w:r>
            <w:r w:rsidRPr="00BC4EA9">
              <w:rPr>
                <w:rFonts w:cs="Arial"/>
                <w:i/>
                <w:color w:val="FF0000"/>
                <w:szCs w:val="24"/>
              </w:rPr>
              <w:t xml:space="preserve">Set out the costing of the intervention, including contribution to overheads, costs of setting up data-flows, and evaluation costs, as well as the costs of the required intervention itself, </w:t>
            </w:r>
            <w:r w:rsidR="0026417D" w:rsidRPr="00BC4EA9">
              <w:rPr>
                <w:rFonts w:cs="Arial"/>
                <w:i/>
                <w:color w:val="FF0000"/>
                <w:szCs w:val="24"/>
              </w:rPr>
              <w:t>in terms of the personnel required, their time and grade. These HR costs should be included irrespective of whether the work will be done alongside other responsibilities or whether new recruitment is required.</w:t>
            </w:r>
          </w:p>
          <w:p w14:paraId="4E2DC232" w14:textId="77777777" w:rsidR="0026417D" w:rsidRPr="00BC4EA9" w:rsidRDefault="0026417D" w:rsidP="0084461B">
            <w:pPr>
              <w:rPr>
                <w:rFonts w:cs="Arial"/>
                <w:i/>
                <w:color w:val="FF0000"/>
                <w:szCs w:val="24"/>
              </w:rPr>
            </w:pPr>
          </w:p>
          <w:p w14:paraId="4C7FDB25" w14:textId="77777777" w:rsidR="00234135" w:rsidRPr="00BC4EA9" w:rsidRDefault="0026417D" w:rsidP="0084461B">
            <w:pPr>
              <w:rPr>
                <w:rFonts w:cs="Arial"/>
                <w:i/>
                <w:color w:val="FF0000"/>
                <w:szCs w:val="24"/>
              </w:rPr>
            </w:pPr>
            <w:r w:rsidRPr="00BC4EA9">
              <w:rPr>
                <w:rFonts w:cs="Arial"/>
                <w:i/>
                <w:color w:val="FF0000"/>
                <w:szCs w:val="24"/>
              </w:rPr>
              <w:t xml:space="preserve">[Set out how this costing </w:t>
            </w:r>
            <w:r w:rsidR="00234135" w:rsidRPr="00BC4EA9">
              <w:rPr>
                <w:rFonts w:cs="Arial"/>
                <w:i/>
                <w:color w:val="FF0000"/>
                <w:szCs w:val="24"/>
              </w:rPr>
              <w:t>underpin</w:t>
            </w:r>
            <w:r w:rsidRPr="00BC4EA9">
              <w:rPr>
                <w:rFonts w:cs="Arial"/>
                <w:i/>
                <w:color w:val="FF0000"/>
                <w:szCs w:val="24"/>
              </w:rPr>
              <w:t>s</w:t>
            </w:r>
            <w:r w:rsidR="00234135" w:rsidRPr="00BC4EA9">
              <w:rPr>
                <w:rFonts w:cs="Arial"/>
                <w:i/>
                <w:color w:val="FF0000"/>
                <w:szCs w:val="24"/>
              </w:rPr>
              <w:t xml:space="preserve"> the target payment: the target payment in general should be some 150% of the costs to the implementing provider net of any in-year savings and net of any enhanced payments</w:t>
            </w:r>
            <w:r w:rsidR="00234135" w:rsidRPr="00BC4EA9">
              <w:rPr>
                <w:rStyle w:val="FootnoteReference"/>
                <w:rFonts w:cs="Arial"/>
                <w:i/>
                <w:color w:val="FF0000"/>
                <w:szCs w:val="24"/>
              </w:rPr>
              <w:footnoteReference w:id="2"/>
            </w:r>
            <w:r w:rsidR="00234135" w:rsidRPr="00BC4EA9">
              <w:rPr>
                <w:rFonts w:cs="Arial"/>
                <w:i/>
                <w:color w:val="FF0000"/>
                <w:szCs w:val="24"/>
              </w:rPr>
              <w:t xml:space="preserve"> under Tariff or otherwise.]</w:t>
            </w:r>
          </w:p>
          <w:p w14:paraId="6006F241" w14:textId="77777777" w:rsidR="00234135" w:rsidRDefault="00234135" w:rsidP="0084461B">
            <w:pPr>
              <w:rPr>
                <w:rFonts w:eastAsiaTheme="minorEastAsia" w:cs="Arial"/>
                <w:szCs w:val="24"/>
              </w:rPr>
            </w:pPr>
          </w:p>
        </w:tc>
      </w:tr>
      <w:tr w:rsidR="0026417D" w:rsidRPr="00970018" w14:paraId="0373CB89" w14:textId="77777777">
        <w:tc>
          <w:tcPr>
            <w:tcW w:w="5000" w:type="pct"/>
            <w:gridSpan w:val="2"/>
            <w:shd w:val="clear" w:color="auto" w:fill="BFBFBF" w:themeFill="background1" w:themeFillShade="BF"/>
          </w:tcPr>
          <w:p w14:paraId="65EE565B" w14:textId="77777777" w:rsidR="0026417D" w:rsidRPr="00970018" w:rsidRDefault="00970018" w:rsidP="004429A4">
            <w:pPr>
              <w:rPr>
                <w:rFonts w:cs="Arial"/>
                <w:b/>
                <w:szCs w:val="24"/>
              </w:rPr>
            </w:pPr>
            <w:r w:rsidRPr="00970018">
              <w:rPr>
                <w:rFonts w:cs="Arial"/>
                <w:b/>
                <w:szCs w:val="24"/>
              </w:rPr>
              <w:lastRenderedPageBreak/>
              <w:t>D</w:t>
            </w:r>
            <w:r w:rsidR="004429A4">
              <w:rPr>
                <w:rFonts w:cs="Arial"/>
                <w:b/>
                <w:szCs w:val="24"/>
              </w:rPr>
              <w:t>4</w:t>
            </w:r>
            <w:r w:rsidRPr="00970018">
              <w:rPr>
                <w:rFonts w:cs="Arial"/>
                <w:b/>
                <w:szCs w:val="24"/>
              </w:rPr>
              <w:t>. Evaluation</w:t>
            </w:r>
            <w:r w:rsidR="004429A4">
              <w:rPr>
                <w:rFonts w:cs="Arial"/>
                <w:b/>
                <w:szCs w:val="24"/>
              </w:rPr>
              <w:t xml:space="preserve">: </w:t>
            </w:r>
            <w:proofErr w:type="gramStart"/>
            <w:r w:rsidR="004429A4">
              <w:rPr>
                <w:rFonts w:cs="Arial"/>
                <w:b/>
                <w:szCs w:val="24"/>
              </w:rPr>
              <w:t>Approach</w:t>
            </w:r>
            <w:r w:rsidR="004429A4" w:rsidRPr="004429A4">
              <w:rPr>
                <w:rFonts w:cs="Arial"/>
                <w:b/>
                <w:szCs w:val="24"/>
              </w:rPr>
              <w:t>,  data</w:t>
            </w:r>
            <w:proofErr w:type="gramEnd"/>
            <w:r w:rsidR="004429A4" w:rsidRPr="004429A4">
              <w:rPr>
                <w:rFonts w:cs="Arial"/>
                <w:b/>
                <w:szCs w:val="24"/>
              </w:rPr>
              <w:t xml:space="preserve"> and resources</w:t>
            </w:r>
          </w:p>
        </w:tc>
      </w:tr>
      <w:tr w:rsidR="0026417D" w:rsidRPr="000412A1" w14:paraId="213D3264" w14:textId="77777777">
        <w:tc>
          <w:tcPr>
            <w:tcW w:w="5000" w:type="pct"/>
            <w:gridSpan w:val="2"/>
          </w:tcPr>
          <w:p w14:paraId="0C53FE85" w14:textId="77777777" w:rsidR="0026417D" w:rsidRPr="0026417D" w:rsidRDefault="0026417D" w:rsidP="0026417D">
            <w:pPr>
              <w:rPr>
                <w:rFonts w:cs="Arial"/>
                <w:b/>
                <w:szCs w:val="24"/>
                <w:u w:val="single"/>
              </w:rPr>
            </w:pPr>
            <w:r w:rsidRPr="0026417D">
              <w:rPr>
                <w:rFonts w:cs="Arial"/>
                <w:b/>
                <w:szCs w:val="24"/>
                <w:u w:val="single"/>
              </w:rPr>
              <w:t>Evaluation</w:t>
            </w:r>
            <w:r w:rsidR="004429A4">
              <w:rPr>
                <w:rFonts w:cs="Arial"/>
                <w:b/>
                <w:szCs w:val="24"/>
                <w:u w:val="single"/>
              </w:rPr>
              <w:t xml:space="preserve"> Approach: </w:t>
            </w:r>
          </w:p>
          <w:p w14:paraId="0D57ED31" w14:textId="77777777" w:rsidR="0026417D" w:rsidRPr="00BC4EA9" w:rsidRDefault="0026417D" w:rsidP="0026417D">
            <w:pPr>
              <w:rPr>
                <w:rFonts w:cs="Arial"/>
                <w:i/>
                <w:color w:val="FF0000"/>
                <w:szCs w:val="24"/>
              </w:rPr>
            </w:pPr>
            <w:r w:rsidRPr="00BC4EA9">
              <w:rPr>
                <w:rFonts w:cs="Arial"/>
                <w:i/>
                <w:color w:val="FF0000"/>
                <w:szCs w:val="24"/>
              </w:rPr>
              <w:t xml:space="preserve">[Where the </w:t>
            </w:r>
            <w:r w:rsidR="001F421F" w:rsidRPr="00BC4EA9">
              <w:rPr>
                <w:rFonts w:cs="Arial"/>
                <w:i/>
                <w:color w:val="FF0000"/>
                <w:szCs w:val="24"/>
              </w:rPr>
              <w:t>indicator</w:t>
            </w:r>
            <w:r w:rsidRPr="00BC4EA9">
              <w:rPr>
                <w:rFonts w:cs="Arial"/>
                <w:i/>
                <w:color w:val="FF0000"/>
                <w:szCs w:val="24"/>
              </w:rPr>
              <w:t xml:space="preserve"> is to some extent uncertain of impact, set</w:t>
            </w:r>
            <w:r w:rsidR="004429A4" w:rsidRPr="00BC4EA9">
              <w:rPr>
                <w:rFonts w:cs="Arial"/>
                <w:i/>
                <w:color w:val="FF0000"/>
                <w:szCs w:val="24"/>
              </w:rPr>
              <w:t xml:space="preserve"> out the approach to evaluation.]</w:t>
            </w:r>
          </w:p>
          <w:p w14:paraId="01331F1C" w14:textId="77777777" w:rsidR="0026417D" w:rsidRPr="00BB243E" w:rsidRDefault="0026417D" w:rsidP="0084461B">
            <w:pPr>
              <w:rPr>
                <w:rFonts w:cs="Arial"/>
                <w:szCs w:val="24"/>
              </w:rPr>
            </w:pPr>
          </w:p>
        </w:tc>
      </w:tr>
      <w:tr w:rsidR="004429A4" w:rsidRPr="000412A1" w14:paraId="3B6CAD63" w14:textId="77777777">
        <w:trPr>
          <w:trHeight w:val="135"/>
        </w:trPr>
        <w:tc>
          <w:tcPr>
            <w:tcW w:w="1377" w:type="pct"/>
            <w:shd w:val="clear" w:color="auto" w:fill="D9D9D9" w:themeFill="background1" w:themeFillShade="D9"/>
          </w:tcPr>
          <w:p w14:paraId="43C2E92A" w14:textId="77777777" w:rsidR="004429A4" w:rsidRPr="0026417D" w:rsidRDefault="004429A4" w:rsidP="0026417D">
            <w:pPr>
              <w:rPr>
                <w:rFonts w:cs="Arial"/>
                <w:b/>
                <w:szCs w:val="24"/>
                <w:u w:val="single"/>
              </w:rPr>
            </w:pPr>
            <w:r>
              <w:rPr>
                <w:rFonts w:cs="Arial"/>
                <w:b/>
                <w:szCs w:val="24"/>
                <w:u w:val="single"/>
              </w:rPr>
              <w:t>Information for Evaluation</w:t>
            </w:r>
          </w:p>
        </w:tc>
        <w:tc>
          <w:tcPr>
            <w:tcW w:w="3623" w:type="pct"/>
          </w:tcPr>
          <w:p w14:paraId="2777D680" w14:textId="77777777" w:rsidR="004429A4" w:rsidRPr="00BC4EA9" w:rsidRDefault="004429A4" w:rsidP="004429A4">
            <w:pPr>
              <w:rPr>
                <w:rFonts w:cs="Arial"/>
                <w:color w:val="FF0000"/>
                <w:szCs w:val="24"/>
                <w:u w:val="single"/>
              </w:rPr>
            </w:pPr>
            <w:r w:rsidRPr="00BC4EA9">
              <w:rPr>
                <w:rFonts w:cs="Arial"/>
                <w:i/>
                <w:color w:val="FF0000"/>
                <w:szCs w:val="24"/>
              </w:rPr>
              <w:t>[Information flows required for evaluation should be referenced here, building on those set out at C5]</w:t>
            </w:r>
          </w:p>
        </w:tc>
      </w:tr>
      <w:tr w:rsidR="004429A4" w:rsidRPr="000412A1" w14:paraId="3DB1BFC7" w14:textId="77777777">
        <w:trPr>
          <w:trHeight w:val="135"/>
        </w:trPr>
        <w:tc>
          <w:tcPr>
            <w:tcW w:w="1377" w:type="pct"/>
            <w:shd w:val="clear" w:color="auto" w:fill="D9D9D9" w:themeFill="background1" w:themeFillShade="D9"/>
          </w:tcPr>
          <w:p w14:paraId="53449458" w14:textId="77777777" w:rsidR="004429A4" w:rsidRPr="0026417D" w:rsidRDefault="004429A4" w:rsidP="00BC4EA9">
            <w:pPr>
              <w:rPr>
                <w:rFonts w:cs="Arial"/>
                <w:b/>
                <w:szCs w:val="24"/>
                <w:u w:val="single"/>
              </w:rPr>
            </w:pPr>
            <w:r>
              <w:rPr>
                <w:rFonts w:cs="Arial"/>
                <w:b/>
                <w:szCs w:val="24"/>
                <w:u w:val="single"/>
              </w:rPr>
              <w:t>Resources for Evaluat</w:t>
            </w:r>
            <w:r w:rsidR="00BC4EA9">
              <w:rPr>
                <w:rFonts w:cs="Arial"/>
                <w:b/>
                <w:szCs w:val="24"/>
                <w:u w:val="single"/>
              </w:rPr>
              <w:t>io</w:t>
            </w:r>
            <w:r>
              <w:rPr>
                <w:rFonts w:cs="Arial"/>
                <w:b/>
                <w:szCs w:val="24"/>
                <w:u w:val="single"/>
              </w:rPr>
              <w:t>n</w:t>
            </w:r>
          </w:p>
        </w:tc>
        <w:tc>
          <w:tcPr>
            <w:tcW w:w="3623" w:type="pct"/>
          </w:tcPr>
          <w:p w14:paraId="08FBC498" w14:textId="77777777" w:rsidR="004429A4" w:rsidRPr="00BC4EA9" w:rsidRDefault="004429A4" w:rsidP="0026417D">
            <w:pPr>
              <w:rPr>
                <w:rFonts w:cs="Arial"/>
                <w:color w:val="FF0000"/>
                <w:szCs w:val="24"/>
                <w:u w:val="single"/>
              </w:rPr>
            </w:pPr>
            <w:r w:rsidRPr="00BC4EA9">
              <w:rPr>
                <w:rFonts w:cs="Arial"/>
                <w:i/>
                <w:color w:val="FF0000"/>
                <w:szCs w:val="24"/>
              </w:rPr>
              <w:t>[Costs of evaluation – the personnel required to conduct the evaluation – should be estimated and set out here, and should be built into the costing of the indicator. Payments by the provider to support the evaluation team should if appropriate be specified as a CQUIN indicator payment trigger in section C4.]</w:t>
            </w:r>
          </w:p>
        </w:tc>
      </w:tr>
    </w:tbl>
    <w:p w14:paraId="671716D9" w14:textId="77777777" w:rsidR="006B2327" w:rsidRDefault="006B2327" w:rsidP="00154269">
      <w:pPr>
        <w:rPr>
          <w:rFonts w:cs="Arial"/>
          <w:b/>
          <w:szCs w:val="24"/>
        </w:rPr>
      </w:pPr>
    </w:p>
    <w:p w14:paraId="7BD46FB3" w14:textId="77777777" w:rsidR="006B2327" w:rsidRDefault="006B2327" w:rsidP="00154269">
      <w:pPr>
        <w:rPr>
          <w:rFonts w:cs="Arial"/>
          <w:b/>
          <w:szCs w:val="24"/>
        </w:rPr>
      </w:pPr>
    </w:p>
    <w:p w14:paraId="1FCE234F" w14:textId="77777777" w:rsidR="005931C4" w:rsidRDefault="005931C4" w:rsidP="006F038B">
      <w:pPr>
        <w:rPr>
          <w:rFonts w:cs="Arial"/>
          <w:b/>
          <w:i/>
          <w:szCs w:val="24"/>
        </w:rPr>
      </w:pPr>
    </w:p>
    <w:p w14:paraId="6134FE76" w14:textId="48D97E4D" w:rsidR="001E7449" w:rsidRDefault="009974F7" w:rsidP="00D96DB0">
      <w:pPr>
        <w:ind w:left="-426"/>
        <w:rPr>
          <w:rFonts w:cs="Arial"/>
          <w:szCs w:val="24"/>
        </w:rPr>
      </w:pPr>
      <w:r w:rsidRPr="00366002">
        <w:rPr>
          <w:rFonts w:cs="Arial"/>
          <w:b/>
          <w:szCs w:val="24"/>
        </w:rPr>
        <w:t>Appendix 1, Worked examples re Trigger 1</w:t>
      </w:r>
    </w:p>
    <w:p w14:paraId="73627279" w14:textId="2654A2BE" w:rsidR="001E7449" w:rsidRDefault="00752439" w:rsidP="001E7449">
      <w:pPr>
        <w:rPr>
          <w:rFonts w:cs="Arial"/>
          <w:b/>
          <w:szCs w:val="24"/>
        </w:rPr>
      </w:pPr>
      <w:r>
        <w:rPr>
          <w:rFonts w:cs="Arial"/>
          <w:b/>
          <w:szCs w:val="24"/>
        </w:rPr>
        <w:t xml:space="preserve"> </w:t>
      </w:r>
    </w:p>
    <w:p w14:paraId="22CE7C47" w14:textId="77777777" w:rsidR="001656EE" w:rsidRDefault="001656EE" w:rsidP="001656EE">
      <w:pPr>
        <w:ind w:left="-426"/>
        <w:rPr>
          <w:rFonts w:cs="Arial"/>
          <w:b/>
          <w:szCs w:val="24"/>
        </w:rPr>
      </w:pPr>
    </w:p>
    <w:p w14:paraId="66826E0E" w14:textId="77777777" w:rsidR="001E7449" w:rsidRDefault="001E7449" w:rsidP="001656EE">
      <w:pPr>
        <w:ind w:left="-426"/>
        <w:rPr>
          <w:rFonts w:cs="Arial"/>
          <w:b/>
          <w:szCs w:val="24"/>
        </w:rPr>
      </w:pPr>
    </w:p>
    <w:p w14:paraId="34C50D1E" w14:textId="4D8EA9DD" w:rsidR="00187130" w:rsidRDefault="009564B3" w:rsidP="001656EE">
      <w:pPr>
        <w:ind w:left="-426"/>
        <w:rPr>
          <w:rFonts w:cs="Arial"/>
          <w:b/>
          <w:szCs w:val="24"/>
        </w:rPr>
      </w:pPr>
      <w:r>
        <w:rPr>
          <w:rFonts w:cs="Arial"/>
          <w:b/>
          <w:szCs w:val="24"/>
        </w:rPr>
        <w:object w:dxaOrig="1518" w:dyaOrig="989" w14:anchorId="75176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49.6pt" o:ole="">
            <v:imagedata r:id="rId13" o:title=""/>
          </v:shape>
          <o:OLEObject Type="Embed" ProgID="Excel.Sheet.12" ShapeID="_x0000_i1025" DrawAspect="Icon" ObjectID="_1629543420" r:id="rId14"/>
        </w:object>
      </w:r>
    </w:p>
    <w:p w14:paraId="0694FF4F" w14:textId="77777777" w:rsidR="00DC21DC" w:rsidRDefault="00DC21DC" w:rsidP="001656EE">
      <w:pPr>
        <w:ind w:left="-426"/>
        <w:rPr>
          <w:rFonts w:cs="Arial"/>
          <w:b/>
          <w:szCs w:val="24"/>
        </w:rPr>
      </w:pPr>
    </w:p>
    <w:p w14:paraId="1D133126" w14:textId="77777777" w:rsidR="00DC21DC" w:rsidRDefault="00DC21DC" w:rsidP="001656EE">
      <w:pPr>
        <w:ind w:left="-426"/>
        <w:rPr>
          <w:rFonts w:cs="Arial"/>
          <w:b/>
          <w:szCs w:val="24"/>
        </w:rPr>
      </w:pPr>
    </w:p>
    <w:p w14:paraId="0451422B" w14:textId="77777777" w:rsidR="00DC21DC" w:rsidRDefault="00DC21DC" w:rsidP="001E7449">
      <w:pPr>
        <w:spacing w:after="200" w:line="276" w:lineRule="auto"/>
        <w:rPr>
          <w:rFonts w:cs="Arial"/>
          <w:b/>
          <w:szCs w:val="24"/>
        </w:rPr>
      </w:pPr>
    </w:p>
    <w:sectPr w:rsidR="00DC21DC" w:rsidSect="006B2327">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E3306" w14:textId="77777777" w:rsidR="005D7195" w:rsidRDefault="005D7195" w:rsidP="00AD55CE">
      <w:r>
        <w:separator/>
      </w:r>
    </w:p>
  </w:endnote>
  <w:endnote w:type="continuationSeparator" w:id="0">
    <w:p w14:paraId="0031D27F" w14:textId="77777777" w:rsidR="005D7195" w:rsidRDefault="005D7195" w:rsidP="00AD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GSMinchoE">
    <w:altName w:val="Yu Gothic"/>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078140"/>
      <w:docPartObj>
        <w:docPartGallery w:val="Page Numbers (Bottom of Page)"/>
        <w:docPartUnique/>
      </w:docPartObj>
    </w:sdtPr>
    <w:sdtEndPr>
      <w:rPr>
        <w:noProof/>
      </w:rPr>
    </w:sdtEndPr>
    <w:sdtContent>
      <w:p w14:paraId="19E38925" w14:textId="21A993C9" w:rsidR="005D7195" w:rsidRDefault="005D7195">
        <w:pPr>
          <w:pStyle w:val="Footer"/>
          <w:jc w:val="center"/>
        </w:pPr>
        <w:r>
          <w:fldChar w:fldCharType="begin"/>
        </w:r>
        <w:r>
          <w:instrText xml:space="preserve"> PAGE   \* MERGEFORMAT </w:instrText>
        </w:r>
        <w:r>
          <w:fldChar w:fldCharType="separate"/>
        </w:r>
        <w:r w:rsidR="007730DE">
          <w:rPr>
            <w:noProof/>
          </w:rPr>
          <w:t>18</w:t>
        </w:r>
        <w:r>
          <w:rPr>
            <w:noProof/>
          </w:rPr>
          <w:fldChar w:fldCharType="end"/>
        </w:r>
      </w:p>
    </w:sdtContent>
  </w:sdt>
  <w:p w14:paraId="5BF2CD26" w14:textId="77777777" w:rsidR="005D7195" w:rsidRDefault="005D7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8DAC6" w14:textId="77777777" w:rsidR="005D7195" w:rsidRDefault="005D7195" w:rsidP="00AD55CE">
      <w:r>
        <w:separator/>
      </w:r>
    </w:p>
  </w:footnote>
  <w:footnote w:type="continuationSeparator" w:id="0">
    <w:p w14:paraId="2742BE6A" w14:textId="77777777" w:rsidR="005D7195" w:rsidRDefault="005D7195" w:rsidP="00AD55CE">
      <w:r>
        <w:continuationSeparator/>
      </w:r>
    </w:p>
  </w:footnote>
  <w:footnote w:id="1">
    <w:p w14:paraId="39A5A51F" w14:textId="0BD97C6B" w:rsidR="005D7195" w:rsidRPr="00710CAA" w:rsidRDefault="005D7195" w:rsidP="00E3790C">
      <w:pPr>
        <w:pStyle w:val="FootnoteText"/>
        <w:rPr>
          <w:sz w:val="18"/>
        </w:rPr>
      </w:pPr>
      <w:r>
        <w:rPr>
          <w:rStyle w:val="FootnoteReference"/>
          <w:rFonts w:eastAsiaTheme="majorEastAsia"/>
        </w:rPr>
        <w:footnoteRef/>
      </w:r>
      <w:r>
        <w:t xml:space="preserve"> </w:t>
      </w:r>
      <w:r w:rsidRPr="00E7670C">
        <w:rPr>
          <w:rFonts w:cs="Arial"/>
          <w:sz w:val="16"/>
          <w:szCs w:val="16"/>
        </w:rPr>
        <w:t>Sculpher MJ, Pang FS, Manca A et al. Generalisability in economic evaluation studies in healthcare: a review and case studies.  Health Technology Assessment 2004; 8:1-206.  See also Drummond MF, McGuire A eds. Economic Evaluation in Health Care: Merging Theory with Practice.  Oxford University Press</w:t>
      </w:r>
      <w:r w:rsidRPr="00710CAA">
        <w:rPr>
          <w:sz w:val="18"/>
        </w:rPr>
        <w:t xml:space="preserve"> </w:t>
      </w:r>
      <w:r>
        <w:rPr>
          <w:sz w:val="18"/>
        </w:rPr>
        <w:t>NICE guidance</w:t>
      </w:r>
    </w:p>
  </w:footnote>
  <w:footnote w:id="2">
    <w:p w14:paraId="22BC7426" w14:textId="77777777" w:rsidR="005D7195" w:rsidRDefault="005D7195" w:rsidP="00234135">
      <w:pPr>
        <w:pStyle w:val="FootnoteText"/>
      </w:pPr>
      <w:r>
        <w:rPr>
          <w:rStyle w:val="FootnoteReference"/>
        </w:rPr>
        <w:footnoteRef/>
      </w:r>
      <w:r>
        <w:t xml:space="preserve"> If revenues will decline in year </w:t>
      </w:r>
      <w:r>
        <w:t>as a result of any reduction in activity, the loss in revenue should in general be assumed to be made good by reduced costs and/or replacement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074F" w14:textId="21D9CA72" w:rsidR="005D7195" w:rsidRDefault="00F12081">
    <w:pPr>
      <w:pStyle w:val="Header"/>
    </w:pPr>
    <w:r>
      <w:rPr>
        <w:noProof/>
      </w:rPr>
      <w:pict w14:anchorId="514A1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660469" o:spid="_x0000_s30722"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52FDC" w14:textId="3CEAFAC7" w:rsidR="005D7195" w:rsidRPr="00BE5167" w:rsidRDefault="00F12081" w:rsidP="00BE5167">
    <w:pPr>
      <w:pStyle w:val="Header"/>
      <w:tabs>
        <w:tab w:val="clear" w:pos="4513"/>
        <w:tab w:val="clear" w:pos="9026"/>
        <w:tab w:val="left" w:pos="7395"/>
      </w:tabs>
      <w:rPr>
        <w:b/>
      </w:rPr>
    </w:pPr>
    <w:r>
      <w:rPr>
        <w:noProof/>
      </w:rPr>
      <w:pict w14:anchorId="28328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660470" o:spid="_x0000_s30723"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D7195">
      <w:rPr>
        <w:b/>
      </w:rPr>
      <w:t>Version 1</w:t>
    </w:r>
    <w:r w:rsidR="00152656">
      <w:rPr>
        <w:b/>
      </w:rPr>
      <w:t>2</w:t>
    </w:r>
  </w:p>
  <w:p w14:paraId="0A49E6C5" w14:textId="027D311B" w:rsidR="005D7195" w:rsidRDefault="005D7195" w:rsidP="00AD55CE">
    <w:pPr>
      <w:pStyle w:val="Header"/>
      <w:tabs>
        <w:tab w:val="clear" w:pos="4513"/>
        <w:tab w:val="clear" w:pos="9026"/>
        <w:tab w:val="left" w:pos="7395"/>
      </w:tabs>
      <w:ind w:left="7395"/>
    </w:pPr>
    <w:r>
      <w:rPr>
        <w:noProof/>
        <w:lang w:eastAsia="en-GB"/>
      </w:rPr>
      <w:drawing>
        <wp:inline distT="0" distB="0" distL="0" distR="0" wp14:anchorId="17D179A1" wp14:editId="5A33DE65">
          <wp:extent cx="1038225" cy="4203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744" cy="42094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E2BB5" w14:textId="538A9250" w:rsidR="005D7195" w:rsidRDefault="00F12081">
    <w:pPr>
      <w:pStyle w:val="Header"/>
    </w:pPr>
    <w:r>
      <w:rPr>
        <w:noProof/>
      </w:rPr>
      <w:pict w14:anchorId="6D3CE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660468" o:spid="_x0000_s30721"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61AA"/>
    <w:multiLevelType w:val="hybridMultilevel"/>
    <w:tmpl w:val="C0ECC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8D5E4B"/>
    <w:multiLevelType w:val="hybridMultilevel"/>
    <w:tmpl w:val="56F8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012AB"/>
    <w:multiLevelType w:val="hybridMultilevel"/>
    <w:tmpl w:val="1B6A1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9C00FD"/>
    <w:multiLevelType w:val="multilevel"/>
    <w:tmpl w:val="404899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F7795"/>
    <w:multiLevelType w:val="hybridMultilevel"/>
    <w:tmpl w:val="FCD8B2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514D2"/>
    <w:multiLevelType w:val="hybridMultilevel"/>
    <w:tmpl w:val="ED208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EE086D"/>
    <w:multiLevelType w:val="multilevel"/>
    <w:tmpl w:val="A2DC40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85"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EB76B34"/>
    <w:multiLevelType w:val="hybridMultilevel"/>
    <w:tmpl w:val="2FBE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50E8B"/>
    <w:multiLevelType w:val="hybridMultilevel"/>
    <w:tmpl w:val="EA820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E5DFE"/>
    <w:multiLevelType w:val="multilevel"/>
    <w:tmpl w:val="D18C9B4E"/>
    <w:lvl w:ilvl="0">
      <w:start w:val="1"/>
      <w:numFmt w:val="bullet"/>
      <w:lvlText w:val=""/>
      <w:lvlJc w:val="left"/>
      <w:pPr>
        <w:tabs>
          <w:tab w:val="num" w:pos="720"/>
        </w:tabs>
        <w:ind w:left="720" w:hanging="360"/>
      </w:pPr>
      <w:rPr>
        <w:rFonts w:ascii="Arial" w:hAnsi="Arial" w:cs="Aria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171C18"/>
    <w:multiLevelType w:val="hybridMultilevel"/>
    <w:tmpl w:val="FED61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BB2840"/>
    <w:multiLevelType w:val="hybridMultilevel"/>
    <w:tmpl w:val="8BBC2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7B1391"/>
    <w:multiLevelType w:val="hybridMultilevel"/>
    <w:tmpl w:val="6CBCE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741B23"/>
    <w:multiLevelType w:val="hybridMultilevel"/>
    <w:tmpl w:val="8E6A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CA4D21"/>
    <w:multiLevelType w:val="hybridMultilevel"/>
    <w:tmpl w:val="36D02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423737"/>
    <w:multiLevelType w:val="hybridMultilevel"/>
    <w:tmpl w:val="1F7AD25A"/>
    <w:lvl w:ilvl="0" w:tplc="1E8AF888">
      <w:start w:val="1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800048"/>
    <w:multiLevelType w:val="hybridMultilevel"/>
    <w:tmpl w:val="16A63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E9F2A74"/>
    <w:multiLevelType w:val="hybridMultilevel"/>
    <w:tmpl w:val="D05CD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A95C72"/>
    <w:multiLevelType w:val="hybridMultilevel"/>
    <w:tmpl w:val="B678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E69B8"/>
    <w:multiLevelType w:val="hybridMultilevel"/>
    <w:tmpl w:val="A8A40CD0"/>
    <w:lvl w:ilvl="0" w:tplc="D886453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091971"/>
    <w:multiLevelType w:val="hybridMultilevel"/>
    <w:tmpl w:val="8894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51389A"/>
    <w:multiLevelType w:val="multilevel"/>
    <w:tmpl w:val="A2DC40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6"/>
  </w:num>
  <w:num w:numId="3">
    <w:abstractNumId w:val="20"/>
  </w:num>
  <w:num w:numId="4">
    <w:abstractNumId w:val="13"/>
  </w:num>
  <w:num w:numId="5">
    <w:abstractNumId w:val="22"/>
  </w:num>
  <w:num w:numId="6">
    <w:abstractNumId w:val="15"/>
  </w:num>
  <w:num w:numId="7">
    <w:abstractNumId w:val="12"/>
  </w:num>
  <w:num w:numId="8">
    <w:abstractNumId w:val="1"/>
  </w:num>
  <w:num w:numId="9">
    <w:abstractNumId w:val="6"/>
  </w:num>
  <w:num w:numId="10">
    <w:abstractNumId w:val="0"/>
  </w:num>
  <w:num w:numId="11">
    <w:abstractNumId w:val="8"/>
  </w:num>
  <w:num w:numId="12">
    <w:abstractNumId w:val="17"/>
  </w:num>
  <w:num w:numId="13">
    <w:abstractNumId w:val="18"/>
  </w:num>
  <w:num w:numId="14">
    <w:abstractNumId w:val="5"/>
  </w:num>
  <w:num w:numId="15">
    <w:abstractNumId w:val="2"/>
  </w:num>
  <w:num w:numId="16">
    <w:abstractNumId w:val="11"/>
  </w:num>
  <w:num w:numId="17">
    <w:abstractNumId w:val="9"/>
  </w:num>
  <w:num w:numId="18">
    <w:abstractNumId w:val="4"/>
  </w:num>
  <w:num w:numId="19">
    <w:abstractNumId w:val="19"/>
  </w:num>
  <w:num w:numId="20">
    <w:abstractNumId w:val="14"/>
  </w:num>
  <w:num w:numId="21">
    <w:abstractNumId w:val="10"/>
  </w:num>
  <w:num w:numId="22">
    <w:abstractNumId w:val="3"/>
  </w:num>
  <w:num w:numId="23">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0724"/>
    <o:shapelayout v:ext="edit">
      <o:idmap v:ext="edit" data="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69"/>
    <w:rsid w:val="00000C1B"/>
    <w:rsid w:val="000146A0"/>
    <w:rsid w:val="00023708"/>
    <w:rsid w:val="00024219"/>
    <w:rsid w:val="00041F14"/>
    <w:rsid w:val="00052447"/>
    <w:rsid w:val="00052F06"/>
    <w:rsid w:val="00055057"/>
    <w:rsid w:val="000873D0"/>
    <w:rsid w:val="000B092D"/>
    <w:rsid w:val="000D3F97"/>
    <w:rsid w:val="000D47B0"/>
    <w:rsid w:val="000D4983"/>
    <w:rsid w:val="000D576D"/>
    <w:rsid w:val="000D63C8"/>
    <w:rsid w:val="000E33C9"/>
    <w:rsid w:val="000E69A4"/>
    <w:rsid w:val="000F3C6A"/>
    <w:rsid w:val="001074F7"/>
    <w:rsid w:val="001202A9"/>
    <w:rsid w:val="001350E0"/>
    <w:rsid w:val="00143B76"/>
    <w:rsid w:val="00150AC8"/>
    <w:rsid w:val="00152656"/>
    <w:rsid w:val="00154269"/>
    <w:rsid w:val="00154CA2"/>
    <w:rsid w:val="00162909"/>
    <w:rsid w:val="001656EE"/>
    <w:rsid w:val="00170215"/>
    <w:rsid w:val="00182AEF"/>
    <w:rsid w:val="00187130"/>
    <w:rsid w:val="001A4BBB"/>
    <w:rsid w:val="001B0AB5"/>
    <w:rsid w:val="001B3678"/>
    <w:rsid w:val="001B5DE1"/>
    <w:rsid w:val="001B7A8B"/>
    <w:rsid w:val="001C36EE"/>
    <w:rsid w:val="001E58C7"/>
    <w:rsid w:val="001E7449"/>
    <w:rsid w:val="001F421F"/>
    <w:rsid w:val="001F6AA3"/>
    <w:rsid w:val="001F73A2"/>
    <w:rsid w:val="0021228A"/>
    <w:rsid w:val="00214FD3"/>
    <w:rsid w:val="00234135"/>
    <w:rsid w:val="0024585F"/>
    <w:rsid w:val="00263AE6"/>
    <w:rsid w:val="0026417D"/>
    <w:rsid w:val="00264976"/>
    <w:rsid w:val="002712B3"/>
    <w:rsid w:val="00287AF8"/>
    <w:rsid w:val="00290E00"/>
    <w:rsid w:val="00292053"/>
    <w:rsid w:val="002A4243"/>
    <w:rsid w:val="002B37D3"/>
    <w:rsid w:val="002C0C64"/>
    <w:rsid w:val="002C0D3B"/>
    <w:rsid w:val="002C4571"/>
    <w:rsid w:val="00301A99"/>
    <w:rsid w:val="003238BB"/>
    <w:rsid w:val="00326B23"/>
    <w:rsid w:val="00331EA7"/>
    <w:rsid w:val="00334631"/>
    <w:rsid w:val="003468FC"/>
    <w:rsid w:val="0034775E"/>
    <w:rsid w:val="00357DEA"/>
    <w:rsid w:val="003707D6"/>
    <w:rsid w:val="003727E8"/>
    <w:rsid w:val="003759F0"/>
    <w:rsid w:val="00385A3C"/>
    <w:rsid w:val="003A0C63"/>
    <w:rsid w:val="003A6D3B"/>
    <w:rsid w:val="003A7C21"/>
    <w:rsid w:val="003B6EEF"/>
    <w:rsid w:val="00411EC0"/>
    <w:rsid w:val="00420DA8"/>
    <w:rsid w:val="0042726C"/>
    <w:rsid w:val="00430A7B"/>
    <w:rsid w:val="004429A4"/>
    <w:rsid w:val="0044681E"/>
    <w:rsid w:val="00450E40"/>
    <w:rsid w:val="00456A44"/>
    <w:rsid w:val="0046267D"/>
    <w:rsid w:val="00471AD7"/>
    <w:rsid w:val="00474216"/>
    <w:rsid w:val="0047494F"/>
    <w:rsid w:val="004A05B1"/>
    <w:rsid w:val="004A1E8C"/>
    <w:rsid w:val="004B2DC0"/>
    <w:rsid w:val="004B784D"/>
    <w:rsid w:val="004C3399"/>
    <w:rsid w:val="004D18B2"/>
    <w:rsid w:val="004E377A"/>
    <w:rsid w:val="004E4BAA"/>
    <w:rsid w:val="004E5E33"/>
    <w:rsid w:val="004E74B3"/>
    <w:rsid w:val="004E77D5"/>
    <w:rsid w:val="004E7FAE"/>
    <w:rsid w:val="004F0AB6"/>
    <w:rsid w:val="004F24FF"/>
    <w:rsid w:val="004F3B03"/>
    <w:rsid w:val="00512E30"/>
    <w:rsid w:val="00517B50"/>
    <w:rsid w:val="00527E4B"/>
    <w:rsid w:val="00532195"/>
    <w:rsid w:val="00534E92"/>
    <w:rsid w:val="005365A7"/>
    <w:rsid w:val="00536E05"/>
    <w:rsid w:val="0053771A"/>
    <w:rsid w:val="00550FF2"/>
    <w:rsid w:val="00553643"/>
    <w:rsid w:val="0057313B"/>
    <w:rsid w:val="0057733C"/>
    <w:rsid w:val="005822ED"/>
    <w:rsid w:val="005828FE"/>
    <w:rsid w:val="00583F9D"/>
    <w:rsid w:val="005931C4"/>
    <w:rsid w:val="005A014A"/>
    <w:rsid w:val="005B406E"/>
    <w:rsid w:val="005C7CD6"/>
    <w:rsid w:val="005D7195"/>
    <w:rsid w:val="005F7394"/>
    <w:rsid w:val="006133A3"/>
    <w:rsid w:val="006276DD"/>
    <w:rsid w:val="00630B69"/>
    <w:rsid w:val="0064276E"/>
    <w:rsid w:val="00650494"/>
    <w:rsid w:val="00661B6B"/>
    <w:rsid w:val="00674FAA"/>
    <w:rsid w:val="00683026"/>
    <w:rsid w:val="00685619"/>
    <w:rsid w:val="00691BA3"/>
    <w:rsid w:val="006B2327"/>
    <w:rsid w:val="006C1EA4"/>
    <w:rsid w:val="006C35DF"/>
    <w:rsid w:val="006D16FE"/>
    <w:rsid w:val="006D4BF2"/>
    <w:rsid w:val="006E1BC5"/>
    <w:rsid w:val="006E2AF4"/>
    <w:rsid w:val="006E5D57"/>
    <w:rsid w:val="006F038B"/>
    <w:rsid w:val="007064E8"/>
    <w:rsid w:val="00735C2F"/>
    <w:rsid w:val="00736AD0"/>
    <w:rsid w:val="00743926"/>
    <w:rsid w:val="00745CDD"/>
    <w:rsid w:val="007477E7"/>
    <w:rsid w:val="00752439"/>
    <w:rsid w:val="00757444"/>
    <w:rsid w:val="007730DE"/>
    <w:rsid w:val="007737E4"/>
    <w:rsid w:val="007847DD"/>
    <w:rsid w:val="007870EE"/>
    <w:rsid w:val="007E6202"/>
    <w:rsid w:val="007E755E"/>
    <w:rsid w:val="008076BC"/>
    <w:rsid w:val="008139F0"/>
    <w:rsid w:val="00813E43"/>
    <w:rsid w:val="008151C1"/>
    <w:rsid w:val="00816069"/>
    <w:rsid w:val="00817973"/>
    <w:rsid w:val="00822294"/>
    <w:rsid w:val="00825DF1"/>
    <w:rsid w:val="00831C07"/>
    <w:rsid w:val="008320FE"/>
    <w:rsid w:val="00841251"/>
    <w:rsid w:val="0084461B"/>
    <w:rsid w:val="00857549"/>
    <w:rsid w:val="008622B7"/>
    <w:rsid w:val="008666C0"/>
    <w:rsid w:val="00867F11"/>
    <w:rsid w:val="008709E7"/>
    <w:rsid w:val="008711A8"/>
    <w:rsid w:val="00872050"/>
    <w:rsid w:val="00872652"/>
    <w:rsid w:val="008A06C7"/>
    <w:rsid w:val="008A6759"/>
    <w:rsid w:val="008B1410"/>
    <w:rsid w:val="008B4B4A"/>
    <w:rsid w:val="008B5D93"/>
    <w:rsid w:val="008E03B8"/>
    <w:rsid w:val="008E49CD"/>
    <w:rsid w:val="008F7988"/>
    <w:rsid w:val="00900E6C"/>
    <w:rsid w:val="009105F1"/>
    <w:rsid w:val="0091271A"/>
    <w:rsid w:val="009335B4"/>
    <w:rsid w:val="0094580A"/>
    <w:rsid w:val="009564B3"/>
    <w:rsid w:val="00962744"/>
    <w:rsid w:val="00970018"/>
    <w:rsid w:val="00970BD6"/>
    <w:rsid w:val="00976532"/>
    <w:rsid w:val="00985441"/>
    <w:rsid w:val="009974F7"/>
    <w:rsid w:val="009A3AF6"/>
    <w:rsid w:val="009D54C2"/>
    <w:rsid w:val="009E20DA"/>
    <w:rsid w:val="009E6569"/>
    <w:rsid w:val="009E7167"/>
    <w:rsid w:val="00A536ED"/>
    <w:rsid w:val="00A61581"/>
    <w:rsid w:val="00A6227F"/>
    <w:rsid w:val="00A83F9D"/>
    <w:rsid w:val="00A95BE1"/>
    <w:rsid w:val="00A97DFF"/>
    <w:rsid w:val="00AA1E2D"/>
    <w:rsid w:val="00AB24E0"/>
    <w:rsid w:val="00AB3292"/>
    <w:rsid w:val="00AC13A9"/>
    <w:rsid w:val="00AD55CE"/>
    <w:rsid w:val="00AD63CC"/>
    <w:rsid w:val="00B0183E"/>
    <w:rsid w:val="00B01A2B"/>
    <w:rsid w:val="00B06A7E"/>
    <w:rsid w:val="00B14773"/>
    <w:rsid w:val="00B248FB"/>
    <w:rsid w:val="00B26A69"/>
    <w:rsid w:val="00B3320D"/>
    <w:rsid w:val="00B33B72"/>
    <w:rsid w:val="00B349D3"/>
    <w:rsid w:val="00B369EC"/>
    <w:rsid w:val="00B5670F"/>
    <w:rsid w:val="00B63290"/>
    <w:rsid w:val="00B76169"/>
    <w:rsid w:val="00B77154"/>
    <w:rsid w:val="00B8154A"/>
    <w:rsid w:val="00B82D71"/>
    <w:rsid w:val="00B90709"/>
    <w:rsid w:val="00B92218"/>
    <w:rsid w:val="00B96F6E"/>
    <w:rsid w:val="00B979FD"/>
    <w:rsid w:val="00BB05C4"/>
    <w:rsid w:val="00BB243E"/>
    <w:rsid w:val="00BC3495"/>
    <w:rsid w:val="00BC4EA9"/>
    <w:rsid w:val="00BD4FBC"/>
    <w:rsid w:val="00BE0F18"/>
    <w:rsid w:val="00BE19F4"/>
    <w:rsid w:val="00BE45A2"/>
    <w:rsid w:val="00BE5167"/>
    <w:rsid w:val="00BF63F7"/>
    <w:rsid w:val="00BF6708"/>
    <w:rsid w:val="00C00C64"/>
    <w:rsid w:val="00C0210F"/>
    <w:rsid w:val="00C042DA"/>
    <w:rsid w:val="00C0739B"/>
    <w:rsid w:val="00C133FA"/>
    <w:rsid w:val="00C23089"/>
    <w:rsid w:val="00C24173"/>
    <w:rsid w:val="00C25612"/>
    <w:rsid w:val="00C3108C"/>
    <w:rsid w:val="00C45B52"/>
    <w:rsid w:val="00C54BC4"/>
    <w:rsid w:val="00C60578"/>
    <w:rsid w:val="00C67776"/>
    <w:rsid w:val="00C73A72"/>
    <w:rsid w:val="00C93455"/>
    <w:rsid w:val="00C956D7"/>
    <w:rsid w:val="00CA40CD"/>
    <w:rsid w:val="00CD2A04"/>
    <w:rsid w:val="00CF3963"/>
    <w:rsid w:val="00D02CF8"/>
    <w:rsid w:val="00D036FE"/>
    <w:rsid w:val="00D0432B"/>
    <w:rsid w:val="00D14EEB"/>
    <w:rsid w:val="00D265AD"/>
    <w:rsid w:val="00D354B7"/>
    <w:rsid w:val="00D36B75"/>
    <w:rsid w:val="00D40561"/>
    <w:rsid w:val="00D458A7"/>
    <w:rsid w:val="00D46AE5"/>
    <w:rsid w:val="00D516FF"/>
    <w:rsid w:val="00D54163"/>
    <w:rsid w:val="00D57413"/>
    <w:rsid w:val="00D64EE6"/>
    <w:rsid w:val="00D75919"/>
    <w:rsid w:val="00D8470D"/>
    <w:rsid w:val="00D876E7"/>
    <w:rsid w:val="00D9170F"/>
    <w:rsid w:val="00D95C75"/>
    <w:rsid w:val="00D96DB0"/>
    <w:rsid w:val="00DB0522"/>
    <w:rsid w:val="00DC21DC"/>
    <w:rsid w:val="00DD6305"/>
    <w:rsid w:val="00DE033B"/>
    <w:rsid w:val="00DF0FD7"/>
    <w:rsid w:val="00DF73E5"/>
    <w:rsid w:val="00E17A0D"/>
    <w:rsid w:val="00E17CFA"/>
    <w:rsid w:val="00E34FA3"/>
    <w:rsid w:val="00E366FA"/>
    <w:rsid w:val="00E36FA4"/>
    <w:rsid w:val="00E37721"/>
    <w:rsid w:val="00E3790C"/>
    <w:rsid w:val="00E470AD"/>
    <w:rsid w:val="00E5068C"/>
    <w:rsid w:val="00E518DD"/>
    <w:rsid w:val="00E5437C"/>
    <w:rsid w:val="00E561A0"/>
    <w:rsid w:val="00E6200B"/>
    <w:rsid w:val="00E63565"/>
    <w:rsid w:val="00E81AE2"/>
    <w:rsid w:val="00E8278A"/>
    <w:rsid w:val="00E968C3"/>
    <w:rsid w:val="00EB47F7"/>
    <w:rsid w:val="00EC3C9D"/>
    <w:rsid w:val="00EC7E62"/>
    <w:rsid w:val="00ED1946"/>
    <w:rsid w:val="00F01E99"/>
    <w:rsid w:val="00F10BB8"/>
    <w:rsid w:val="00F12081"/>
    <w:rsid w:val="00F1731F"/>
    <w:rsid w:val="00F40FF3"/>
    <w:rsid w:val="00F41982"/>
    <w:rsid w:val="00F42905"/>
    <w:rsid w:val="00F42B4B"/>
    <w:rsid w:val="00F4756B"/>
    <w:rsid w:val="00F506AC"/>
    <w:rsid w:val="00F60A3E"/>
    <w:rsid w:val="00F70604"/>
    <w:rsid w:val="00F70F0E"/>
    <w:rsid w:val="00F726C2"/>
    <w:rsid w:val="00F81679"/>
    <w:rsid w:val="00F913B0"/>
    <w:rsid w:val="00F97E78"/>
    <w:rsid w:val="00FA4180"/>
    <w:rsid w:val="00FA4826"/>
    <w:rsid w:val="00FB4AD7"/>
    <w:rsid w:val="00FD365E"/>
    <w:rsid w:val="00FE3AE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4"/>
    <o:shapelayout v:ext="edit">
      <o:idmap v:ext="edit" data="1"/>
    </o:shapelayout>
  </w:shapeDefaults>
  <w:decimalSymbol w:val="."/>
  <w:listSeparator w:val=","/>
  <w14:docId w14:val="0AF6A710"/>
  <w15:docId w15:val="{91404905-501F-48F2-8C63-78BC182A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C75"/>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154269"/>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154269"/>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154269"/>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154269"/>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15426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42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42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42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42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6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15426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15426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15426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15426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15426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15426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5426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54269"/>
    <w:rPr>
      <w:rFonts w:asciiTheme="majorHAnsi" w:eastAsiaTheme="majorEastAsia" w:hAnsiTheme="majorHAnsi" w:cstheme="majorBidi"/>
      <w:bCs/>
      <w:i/>
      <w:iCs/>
      <w:color w:val="404040" w:themeColor="text1" w:themeTint="BF"/>
      <w:sz w:val="20"/>
      <w:szCs w:val="20"/>
    </w:rPr>
  </w:style>
  <w:style w:type="character" w:styleId="Hyperlink">
    <w:name w:val="Hyperlink"/>
    <w:uiPriority w:val="99"/>
    <w:unhideWhenUsed/>
    <w:rsid w:val="00154269"/>
    <w:rPr>
      <w:color w:val="0000FF"/>
      <w:u w:val="single"/>
    </w:rPr>
  </w:style>
  <w:style w:type="table" w:styleId="TableGrid">
    <w:name w:val="Table Grid"/>
    <w:basedOn w:val="TableNormal"/>
    <w:uiPriority w:val="59"/>
    <w:rsid w:val="00154269"/>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154269"/>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154269"/>
    <w:rPr>
      <w:rFonts w:ascii="Arial" w:eastAsia="Times New Roman" w:hAnsi="Arial" w:cs="Times New Roman"/>
      <w:bCs/>
      <w:sz w:val="24"/>
      <w:szCs w:val="26"/>
    </w:rPr>
  </w:style>
  <w:style w:type="paragraph" w:styleId="Header">
    <w:name w:val="header"/>
    <w:basedOn w:val="Normal"/>
    <w:link w:val="HeaderChar"/>
    <w:uiPriority w:val="99"/>
    <w:unhideWhenUsed/>
    <w:rsid w:val="00AD55CE"/>
    <w:pPr>
      <w:tabs>
        <w:tab w:val="center" w:pos="4513"/>
        <w:tab w:val="right" w:pos="9026"/>
      </w:tabs>
    </w:pPr>
  </w:style>
  <w:style w:type="character" w:customStyle="1" w:styleId="HeaderChar">
    <w:name w:val="Header Char"/>
    <w:basedOn w:val="DefaultParagraphFont"/>
    <w:link w:val="Header"/>
    <w:uiPriority w:val="99"/>
    <w:rsid w:val="00AD55CE"/>
    <w:rPr>
      <w:rFonts w:ascii="Arial" w:eastAsia="Times New Roman" w:hAnsi="Arial" w:cs="Times New Roman"/>
      <w:bCs/>
      <w:sz w:val="24"/>
      <w:szCs w:val="26"/>
    </w:rPr>
  </w:style>
  <w:style w:type="paragraph" w:styleId="Footer">
    <w:name w:val="footer"/>
    <w:basedOn w:val="Normal"/>
    <w:link w:val="FooterChar"/>
    <w:uiPriority w:val="99"/>
    <w:unhideWhenUsed/>
    <w:rsid w:val="00AD55CE"/>
    <w:pPr>
      <w:tabs>
        <w:tab w:val="center" w:pos="4513"/>
        <w:tab w:val="right" w:pos="9026"/>
      </w:tabs>
    </w:pPr>
  </w:style>
  <w:style w:type="character" w:customStyle="1" w:styleId="FooterChar">
    <w:name w:val="Footer Char"/>
    <w:basedOn w:val="DefaultParagraphFont"/>
    <w:link w:val="Footer"/>
    <w:uiPriority w:val="99"/>
    <w:rsid w:val="00AD55CE"/>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AD55CE"/>
    <w:rPr>
      <w:rFonts w:ascii="Tahoma" w:hAnsi="Tahoma" w:cs="Tahoma"/>
      <w:sz w:val="16"/>
      <w:szCs w:val="16"/>
    </w:rPr>
  </w:style>
  <w:style w:type="character" w:customStyle="1" w:styleId="BalloonTextChar">
    <w:name w:val="Balloon Text Char"/>
    <w:basedOn w:val="DefaultParagraphFont"/>
    <w:link w:val="BalloonText"/>
    <w:uiPriority w:val="99"/>
    <w:semiHidden/>
    <w:rsid w:val="00AD55CE"/>
    <w:rPr>
      <w:rFonts w:ascii="Tahoma" w:eastAsia="Times New Roman" w:hAnsi="Tahoma" w:cs="Tahoma"/>
      <w:bCs/>
      <w:sz w:val="16"/>
      <w:szCs w:val="16"/>
    </w:rPr>
  </w:style>
  <w:style w:type="paragraph" w:styleId="FootnoteText">
    <w:name w:val="footnote text"/>
    <w:basedOn w:val="Normal"/>
    <w:link w:val="FootnoteTextChar"/>
    <w:uiPriority w:val="99"/>
    <w:semiHidden/>
    <w:unhideWhenUsed/>
    <w:rsid w:val="00822294"/>
    <w:rPr>
      <w:sz w:val="20"/>
      <w:szCs w:val="20"/>
    </w:rPr>
  </w:style>
  <w:style w:type="character" w:customStyle="1" w:styleId="FootnoteTextChar">
    <w:name w:val="Footnote Text Char"/>
    <w:basedOn w:val="DefaultParagraphFont"/>
    <w:link w:val="FootnoteText"/>
    <w:uiPriority w:val="99"/>
    <w:semiHidden/>
    <w:rsid w:val="00822294"/>
    <w:rPr>
      <w:rFonts w:ascii="Arial" w:eastAsia="Times New Roman" w:hAnsi="Arial" w:cs="Times New Roman"/>
      <w:bCs/>
      <w:sz w:val="20"/>
      <w:szCs w:val="20"/>
    </w:rPr>
  </w:style>
  <w:style w:type="character" w:styleId="FootnoteReference">
    <w:name w:val="footnote reference"/>
    <w:basedOn w:val="DefaultParagraphFont"/>
    <w:uiPriority w:val="99"/>
    <w:unhideWhenUsed/>
    <w:rsid w:val="00822294"/>
    <w:rPr>
      <w:vertAlign w:val="superscript"/>
    </w:rPr>
  </w:style>
  <w:style w:type="paragraph" w:customStyle="1" w:styleId="Default">
    <w:name w:val="Default"/>
    <w:rsid w:val="000D576D"/>
    <w:pPr>
      <w:autoSpaceDE w:val="0"/>
      <w:autoSpaceDN w:val="0"/>
      <w:adjustRightInd w:val="0"/>
      <w:spacing w:after="0" w:line="240" w:lineRule="auto"/>
    </w:pPr>
    <w:rPr>
      <w:rFonts w:ascii="Arial" w:hAnsi="Arial" w:cs="Arial"/>
      <w:color w:val="000000"/>
      <w:sz w:val="24"/>
      <w:szCs w:val="24"/>
      <w:lang w:val="en-IE"/>
    </w:rPr>
  </w:style>
  <w:style w:type="character" w:styleId="CommentReference">
    <w:name w:val="annotation reference"/>
    <w:basedOn w:val="DefaultParagraphFont"/>
    <w:uiPriority w:val="99"/>
    <w:semiHidden/>
    <w:unhideWhenUsed/>
    <w:rsid w:val="005A014A"/>
    <w:rPr>
      <w:sz w:val="16"/>
      <w:szCs w:val="16"/>
    </w:rPr>
  </w:style>
  <w:style w:type="paragraph" w:styleId="CommentText">
    <w:name w:val="annotation text"/>
    <w:basedOn w:val="Normal"/>
    <w:link w:val="CommentTextChar"/>
    <w:uiPriority w:val="99"/>
    <w:semiHidden/>
    <w:unhideWhenUsed/>
    <w:rsid w:val="005A014A"/>
    <w:rPr>
      <w:sz w:val="20"/>
      <w:szCs w:val="20"/>
    </w:rPr>
  </w:style>
  <w:style w:type="character" w:customStyle="1" w:styleId="CommentTextChar">
    <w:name w:val="Comment Text Char"/>
    <w:basedOn w:val="DefaultParagraphFont"/>
    <w:link w:val="CommentText"/>
    <w:uiPriority w:val="99"/>
    <w:semiHidden/>
    <w:rsid w:val="005A014A"/>
    <w:rPr>
      <w:rFonts w:ascii="Arial" w:eastAsia="Times New Roman" w:hAnsi="Arial" w:cs="Times New Roman"/>
      <w:bCs/>
      <w:sz w:val="20"/>
      <w:szCs w:val="20"/>
    </w:rPr>
  </w:style>
  <w:style w:type="character" w:customStyle="1" w:styleId="UnresolvedMention1">
    <w:name w:val="Unresolved Mention1"/>
    <w:basedOn w:val="DefaultParagraphFont"/>
    <w:uiPriority w:val="99"/>
    <w:semiHidden/>
    <w:unhideWhenUsed/>
    <w:rsid w:val="00E3790C"/>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872652"/>
    <w:rPr>
      <w:b/>
    </w:rPr>
  </w:style>
  <w:style w:type="character" w:customStyle="1" w:styleId="CommentSubjectChar">
    <w:name w:val="Comment Subject Char"/>
    <w:basedOn w:val="CommentTextChar"/>
    <w:link w:val="CommentSubject"/>
    <w:uiPriority w:val="99"/>
    <w:semiHidden/>
    <w:rsid w:val="00872652"/>
    <w:rPr>
      <w:rFonts w:ascii="Arial" w:eastAsia="Times New Roman" w:hAnsi="Arial" w:cs="Times New Roman"/>
      <w:b/>
      <w:bCs/>
      <w:sz w:val="20"/>
      <w:szCs w:val="20"/>
    </w:rPr>
  </w:style>
  <w:style w:type="paragraph" w:styleId="NormalWeb">
    <w:name w:val="Normal (Web)"/>
    <w:basedOn w:val="Normal"/>
    <w:uiPriority w:val="99"/>
    <w:semiHidden/>
    <w:unhideWhenUsed/>
    <w:rsid w:val="00553643"/>
    <w:pPr>
      <w:spacing w:before="100" w:beforeAutospacing="1" w:after="100" w:afterAutospacing="1"/>
    </w:pPr>
    <w:rPr>
      <w:rFonts w:ascii="Times New Roman" w:hAnsi="Times New Roman"/>
      <w:bCs w:val="0"/>
      <w:szCs w:val="24"/>
      <w:lang w:eastAsia="en-GB"/>
    </w:rPr>
  </w:style>
  <w:style w:type="character" w:styleId="FollowedHyperlink">
    <w:name w:val="FollowedHyperlink"/>
    <w:basedOn w:val="DefaultParagraphFont"/>
    <w:uiPriority w:val="99"/>
    <w:semiHidden/>
    <w:unhideWhenUsed/>
    <w:rsid w:val="00E827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52323">
      <w:bodyDiv w:val="1"/>
      <w:marLeft w:val="0"/>
      <w:marRight w:val="0"/>
      <w:marTop w:val="0"/>
      <w:marBottom w:val="0"/>
      <w:divBdr>
        <w:top w:val="none" w:sz="0" w:space="0" w:color="auto"/>
        <w:left w:val="none" w:sz="0" w:space="0" w:color="auto"/>
        <w:bottom w:val="none" w:sz="0" w:space="0" w:color="auto"/>
        <w:right w:val="none" w:sz="0" w:space="0" w:color="auto"/>
      </w:divBdr>
    </w:div>
    <w:div w:id="969359784">
      <w:bodyDiv w:val="1"/>
      <w:marLeft w:val="0"/>
      <w:marRight w:val="0"/>
      <w:marTop w:val="0"/>
      <w:marBottom w:val="0"/>
      <w:divBdr>
        <w:top w:val="none" w:sz="0" w:space="0" w:color="auto"/>
        <w:left w:val="none" w:sz="0" w:space="0" w:color="auto"/>
        <w:bottom w:val="none" w:sz="0" w:space="0" w:color="auto"/>
        <w:right w:val="none" w:sz="0" w:space="0" w:color="auto"/>
      </w:divBdr>
      <w:divsChild>
        <w:div w:id="1661613922">
          <w:marLeft w:val="0"/>
          <w:marRight w:val="0"/>
          <w:marTop w:val="0"/>
          <w:marBottom w:val="0"/>
          <w:divBdr>
            <w:top w:val="none" w:sz="0" w:space="0" w:color="auto"/>
            <w:left w:val="none" w:sz="0" w:space="0" w:color="auto"/>
            <w:bottom w:val="none" w:sz="0" w:space="0" w:color="auto"/>
            <w:right w:val="none" w:sz="0" w:space="0" w:color="auto"/>
          </w:divBdr>
          <w:divsChild>
            <w:div w:id="885874100">
              <w:marLeft w:val="0"/>
              <w:marRight w:val="0"/>
              <w:marTop w:val="0"/>
              <w:marBottom w:val="0"/>
              <w:divBdr>
                <w:top w:val="none" w:sz="0" w:space="0" w:color="auto"/>
                <w:left w:val="none" w:sz="0" w:space="0" w:color="auto"/>
                <w:bottom w:val="none" w:sz="0" w:space="0" w:color="auto"/>
                <w:right w:val="none" w:sz="0" w:space="0" w:color="auto"/>
              </w:divBdr>
              <w:divsChild>
                <w:div w:id="1772164759">
                  <w:marLeft w:val="0"/>
                  <w:marRight w:val="0"/>
                  <w:marTop w:val="0"/>
                  <w:marBottom w:val="0"/>
                  <w:divBdr>
                    <w:top w:val="none" w:sz="0" w:space="0" w:color="auto"/>
                    <w:left w:val="none" w:sz="0" w:space="0" w:color="auto"/>
                    <w:bottom w:val="none" w:sz="0" w:space="0" w:color="auto"/>
                    <w:right w:val="none" w:sz="0" w:space="0" w:color="auto"/>
                  </w:divBdr>
                  <w:divsChild>
                    <w:div w:id="1618217400">
                      <w:marLeft w:val="0"/>
                      <w:marRight w:val="0"/>
                      <w:marTop w:val="0"/>
                      <w:marBottom w:val="0"/>
                      <w:divBdr>
                        <w:top w:val="none" w:sz="0" w:space="0" w:color="auto"/>
                        <w:left w:val="none" w:sz="0" w:space="0" w:color="auto"/>
                        <w:bottom w:val="none" w:sz="0" w:space="0" w:color="auto"/>
                        <w:right w:val="none" w:sz="0" w:space="0" w:color="auto"/>
                      </w:divBdr>
                      <w:divsChild>
                        <w:div w:id="1510833710">
                          <w:marLeft w:val="0"/>
                          <w:marRight w:val="0"/>
                          <w:marTop w:val="0"/>
                          <w:marBottom w:val="0"/>
                          <w:divBdr>
                            <w:top w:val="none" w:sz="0" w:space="0" w:color="auto"/>
                            <w:left w:val="none" w:sz="0" w:space="0" w:color="auto"/>
                            <w:bottom w:val="none" w:sz="0" w:space="0" w:color="auto"/>
                            <w:right w:val="none" w:sz="0" w:space="0" w:color="auto"/>
                          </w:divBdr>
                          <w:divsChild>
                            <w:div w:id="1711487850">
                              <w:marLeft w:val="0"/>
                              <w:marRight w:val="0"/>
                              <w:marTop w:val="0"/>
                              <w:marBottom w:val="0"/>
                              <w:divBdr>
                                <w:top w:val="none" w:sz="0" w:space="0" w:color="auto"/>
                                <w:left w:val="single" w:sz="6" w:space="0" w:color="E5E3E3"/>
                                <w:bottom w:val="none" w:sz="0" w:space="0" w:color="auto"/>
                                <w:right w:val="none" w:sz="0" w:space="0" w:color="auto"/>
                              </w:divBdr>
                              <w:divsChild>
                                <w:div w:id="149835430">
                                  <w:marLeft w:val="0"/>
                                  <w:marRight w:val="0"/>
                                  <w:marTop w:val="0"/>
                                  <w:marBottom w:val="0"/>
                                  <w:divBdr>
                                    <w:top w:val="none" w:sz="0" w:space="0" w:color="auto"/>
                                    <w:left w:val="none" w:sz="0" w:space="0" w:color="auto"/>
                                    <w:bottom w:val="none" w:sz="0" w:space="0" w:color="auto"/>
                                    <w:right w:val="none" w:sz="0" w:space="0" w:color="auto"/>
                                  </w:divBdr>
                                  <w:divsChild>
                                    <w:div w:id="716779250">
                                      <w:marLeft w:val="0"/>
                                      <w:marRight w:val="0"/>
                                      <w:marTop w:val="0"/>
                                      <w:marBottom w:val="0"/>
                                      <w:divBdr>
                                        <w:top w:val="none" w:sz="0" w:space="0" w:color="auto"/>
                                        <w:left w:val="none" w:sz="0" w:space="0" w:color="auto"/>
                                        <w:bottom w:val="none" w:sz="0" w:space="0" w:color="auto"/>
                                        <w:right w:val="none" w:sz="0" w:space="0" w:color="auto"/>
                                      </w:divBdr>
                                      <w:divsChild>
                                        <w:div w:id="1176338305">
                                          <w:marLeft w:val="0"/>
                                          <w:marRight w:val="0"/>
                                          <w:marTop w:val="0"/>
                                          <w:marBottom w:val="0"/>
                                          <w:divBdr>
                                            <w:top w:val="none" w:sz="0" w:space="0" w:color="auto"/>
                                            <w:left w:val="none" w:sz="0" w:space="0" w:color="auto"/>
                                            <w:bottom w:val="none" w:sz="0" w:space="0" w:color="auto"/>
                                            <w:right w:val="none" w:sz="0" w:space="0" w:color="auto"/>
                                          </w:divBdr>
                                          <w:divsChild>
                                            <w:div w:id="958876025">
                                              <w:marLeft w:val="0"/>
                                              <w:marRight w:val="0"/>
                                              <w:marTop w:val="0"/>
                                              <w:marBottom w:val="0"/>
                                              <w:divBdr>
                                                <w:top w:val="none" w:sz="0" w:space="0" w:color="auto"/>
                                                <w:left w:val="none" w:sz="0" w:space="0" w:color="auto"/>
                                                <w:bottom w:val="none" w:sz="0" w:space="0" w:color="auto"/>
                                                <w:right w:val="none" w:sz="0" w:space="0" w:color="auto"/>
                                              </w:divBdr>
                                              <w:divsChild>
                                                <w:div w:id="1597402715">
                                                  <w:marLeft w:val="0"/>
                                                  <w:marRight w:val="0"/>
                                                  <w:marTop w:val="0"/>
                                                  <w:marBottom w:val="0"/>
                                                  <w:divBdr>
                                                    <w:top w:val="none" w:sz="0" w:space="0" w:color="auto"/>
                                                    <w:left w:val="none" w:sz="0" w:space="0" w:color="auto"/>
                                                    <w:bottom w:val="none" w:sz="0" w:space="0" w:color="auto"/>
                                                    <w:right w:val="none" w:sz="0" w:space="0" w:color="auto"/>
                                                  </w:divBdr>
                                                  <w:divsChild>
                                                    <w:div w:id="1714109693">
                                                      <w:marLeft w:val="0"/>
                                                      <w:marRight w:val="0"/>
                                                      <w:marTop w:val="0"/>
                                                      <w:marBottom w:val="0"/>
                                                      <w:divBdr>
                                                        <w:top w:val="none" w:sz="0" w:space="0" w:color="auto"/>
                                                        <w:left w:val="none" w:sz="0" w:space="0" w:color="auto"/>
                                                        <w:bottom w:val="none" w:sz="0" w:space="0" w:color="auto"/>
                                                        <w:right w:val="none" w:sz="0" w:space="0" w:color="auto"/>
                                                      </w:divBdr>
                                                      <w:divsChild>
                                                        <w:div w:id="59329420">
                                                          <w:marLeft w:val="480"/>
                                                          <w:marRight w:val="0"/>
                                                          <w:marTop w:val="0"/>
                                                          <w:marBottom w:val="0"/>
                                                          <w:divBdr>
                                                            <w:top w:val="none" w:sz="0" w:space="0" w:color="auto"/>
                                                            <w:left w:val="none" w:sz="0" w:space="0" w:color="auto"/>
                                                            <w:bottom w:val="none" w:sz="0" w:space="0" w:color="auto"/>
                                                            <w:right w:val="none" w:sz="0" w:space="0" w:color="auto"/>
                                                          </w:divBdr>
                                                          <w:divsChild>
                                                            <w:div w:id="1582257628">
                                                              <w:marLeft w:val="0"/>
                                                              <w:marRight w:val="0"/>
                                                              <w:marTop w:val="0"/>
                                                              <w:marBottom w:val="0"/>
                                                              <w:divBdr>
                                                                <w:top w:val="none" w:sz="0" w:space="0" w:color="auto"/>
                                                                <w:left w:val="none" w:sz="0" w:space="0" w:color="auto"/>
                                                                <w:bottom w:val="none" w:sz="0" w:space="0" w:color="auto"/>
                                                                <w:right w:val="none" w:sz="0" w:space="0" w:color="auto"/>
                                                              </w:divBdr>
                                                              <w:divsChild>
                                                                <w:div w:id="1946309150">
                                                                  <w:marLeft w:val="0"/>
                                                                  <w:marRight w:val="0"/>
                                                                  <w:marTop w:val="0"/>
                                                                  <w:marBottom w:val="0"/>
                                                                  <w:divBdr>
                                                                    <w:top w:val="none" w:sz="0" w:space="0" w:color="auto"/>
                                                                    <w:left w:val="none" w:sz="0" w:space="0" w:color="auto"/>
                                                                    <w:bottom w:val="none" w:sz="0" w:space="0" w:color="auto"/>
                                                                    <w:right w:val="none" w:sz="0" w:space="0" w:color="auto"/>
                                                                  </w:divBdr>
                                                                  <w:divsChild>
                                                                    <w:div w:id="661853565">
                                                                      <w:marLeft w:val="0"/>
                                                                      <w:marRight w:val="0"/>
                                                                      <w:marTop w:val="240"/>
                                                                      <w:marBottom w:val="0"/>
                                                                      <w:divBdr>
                                                                        <w:top w:val="none" w:sz="0" w:space="0" w:color="auto"/>
                                                                        <w:left w:val="none" w:sz="0" w:space="0" w:color="auto"/>
                                                                        <w:bottom w:val="none" w:sz="0" w:space="0" w:color="auto"/>
                                                                        <w:right w:val="none" w:sz="0" w:space="0" w:color="auto"/>
                                                                      </w:divBdr>
                                                                      <w:divsChild>
                                                                        <w:div w:id="112481327">
                                                                          <w:marLeft w:val="0"/>
                                                                          <w:marRight w:val="0"/>
                                                                          <w:marTop w:val="0"/>
                                                                          <w:marBottom w:val="0"/>
                                                                          <w:divBdr>
                                                                            <w:top w:val="none" w:sz="0" w:space="0" w:color="auto"/>
                                                                            <w:left w:val="none" w:sz="0" w:space="0" w:color="auto"/>
                                                                            <w:bottom w:val="none" w:sz="0" w:space="0" w:color="auto"/>
                                                                            <w:right w:val="none" w:sz="0" w:space="0" w:color="auto"/>
                                                                          </w:divBdr>
                                                                          <w:divsChild>
                                                                            <w:div w:id="1506169381">
                                                                              <w:marLeft w:val="0"/>
                                                                              <w:marRight w:val="0"/>
                                                                              <w:marTop w:val="0"/>
                                                                              <w:marBottom w:val="0"/>
                                                                              <w:divBdr>
                                                                                <w:top w:val="none" w:sz="0" w:space="0" w:color="auto"/>
                                                                                <w:left w:val="none" w:sz="0" w:space="0" w:color="auto"/>
                                                                                <w:bottom w:val="none" w:sz="0" w:space="0" w:color="auto"/>
                                                                                <w:right w:val="none" w:sz="0" w:space="0" w:color="auto"/>
                                                                              </w:divBdr>
                                                                              <w:divsChild>
                                                                                <w:div w:id="674459311">
                                                                                  <w:marLeft w:val="0"/>
                                                                                  <w:marRight w:val="0"/>
                                                                                  <w:marTop w:val="0"/>
                                                                                  <w:marBottom w:val="0"/>
                                                                                  <w:divBdr>
                                                                                    <w:top w:val="none" w:sz="0" w:space="0" w:color="auto"/>
                                                                                    <w:left w:val="none" w:sz="0" w:space="0" w:color="auto"/>
                                                                                    <w:bottom w:val="none" w:sz="0" w:space="0" w:color="auto"/>
                                                                                    <w:right w:val="none" w:sz="0" w:space="0" w:color="auto"/>
                                                                                  </w:divBdr>
                                                                                  <w:divsChild>
                                                                                    <w:div w:id="653262966">
                                                                                      <w:marLeft w:val="0"/>
                                                                                      <w:marRight w:val="0"/>
                                                                                      <w:marTop w:val="0"/>
                                                                                      <w:marBottom w:val="0"/>
                                                                                      <w:divBdr>
                                                                                        <w:top w:val="none" w:sz="0" w:space="0" w:color="auto"/>
                                                                                        <w:left w:val="none" w:sz="0" w:space="0" w:color="auto"/>
                                                                                        <w:bottom w:val="none" w:sz="0" w:space="0" w:color="auto"/>
                                                                                        <w:right w:val="none" w:sz="0" w:space="0" w:color="auto"/>
                                                                                      </w:divBdr>
                                                                                      <w:divsChild>
                                                                                        <w:div w:id="1926647007">
                                                                                          <w:marLeft w:val="0"/>
                                                                                          <w:marRight w:val="0"/>
                                                                                          <w:marTop w:val="0"/>
                                                                                          <w:marBottom w:val="0"/>
                                                                                          <w:divBdr>
                                                                                            <w:top w:val="none" w:sz="0" w:space="0" w:color="auto"/>
                                                                                            <w:left w:val="none" w:sz="0" w:space="0" w:color="auto"/>
                                                                                            <w:bottom w:val="none" w:sz="0" w:space="0" w:color="auto"/>
                                                                                            <w:right w:val="none" w:sz="0" w:space="0" w:color="auto"/>
                                                                                          </w:divBdr>
                                                                                          <w:divsChild>
                                                                                            <w:div w:id="1984383311">
                                                                                              <w:marLeft w:val="0"/>
                                                                                              <w:marRight w:val="0"/>
                                                                                              <w:marTop w:val="0"/>
                                                                                              <w:marBottom w:val="0"/>
                                                                                              <w:divBdr>
                                                                                                <w:top w:val="none" w:sz="0" w:space="0" w:color="auto"/>
                                                                                                <w:left w:val="none" w:sz="0" w:space="0" w:color="auto"/>
                                                                                                <w:bottom w:val="none" w:sz="0" w:space="0" w:color="auto"/>
                                                                                                <w:right w:val="none" w:sz="0" w:space="0" w:color="auto"/>
                                                                                              </w:divBdr>
                                                                                              <w:divsChild>
                                                                                                <w:div w:id="6361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041852">
      <w:bodyDiv w:val="1"/>
      <w:marLeft w:val="0"/>
      <w:marRight w:val="0"/>
      <w:marTop w:val="0"/>
      <w:marBottom w:val="0"/>
      <w:divBdr>
        <w:top w:val="none" w:sz="0" w:space="0" w:color="auto"/>
        <w:left w:val="none" w:sz="0" w:space="0" w:color="auto"/>
        <w:bottom w:val="none" w:sz="0" w:space="0" w:color="auto"/>
        <w:right w:val="none" w:sz="0" w:space="0" w:color="auto"/>
      </w:divBdr>
    </w:div>
    <w:div w:id="1848328440">
      <w:bodyDiv w:val="1"/>
      <w:marLeft w:val="0"/>
      <w:marRight w:val="0"/>
      <w:marTop w:val="0"/>
      <w:marBottom w:val="0"/>
      <w:divBdr>
        <w:top w:val="none" w:sz="0" w:space="0" w:color="auto"/>
        <w:left w:val="none" w:sz="0" w:space="0" w:color="auto"/>
        <w:bottom w:val="none" w:sz="0" w:space="0" w:color="auto"/>
        <w:right w:val="none" w:sz="0" w:space="0" w:color="auto"/>
      </w:divBdr>
      <w:divsChild>
        <w:div w:id="2099791499">
          <w:marLeft w:val="0"/>
          <w:marRight w:val="0"/>
          <w:marTop w:val="0"/>
          <w:marBottom w:val="0"/>
          <w:divBdr>
            <w:top w:val="none" w:sz="0" w:space="0" w:color="auto"/>
            <w:left w:val="none" w:sz="0" w:space="0" w:color="auto"/>
            <w:bottom w:val="none" w:sz="0" w:space="0" w:color="auto"/>
            <w:right w:val="none" w:sz="0" w:space="0" w:color="auto"/>
          </w:divBdr>
          <w:divsChild>
            <w:div w:id="682777753">
              <w:marLeft w:val="0"/>
              <w:marRight w:val="0"/>
              <w:marTop w:val="0"/>
              <w:marBottom w:val="0"/>
              <w:divBdr>
                <w:top w:val="none" w:sz="0" w:space="0" w:color="auto"/>
                <w:left w:val="none" w:sz="0" w:space="0" w:color="auto"/>
                <w:bottom w:val="none" w:sz="0" w:space="0" w:color="auto"/>
                <w:right w:val="none" w:sz="0" w:space="0" w:color="auto"/>
              </w:divBdr>
              <w:divsChild>
                <w:div w:id="791948045">
                  <w:marLeft w:val="0"/>
                  <w:marRight w:val="0"/>
                  <w:marTop w:val="0"/>
                  <w:marBottom w:val="0"/>
                  <w:divBdr>
                    <w:top w:val="none" w:sz="0" w:space="0" w:color="auto"/>
                    <w:left w:val="none" w:sz="0" w:space="0" w:color="auto"/>
                    <w:bottom w:val="none" w:sz="0" w:space="0" w:color="auto"/>
                    <w:right w:val="none" w:sz="0" w:space="0" w:color="auto"/>
                  </w:divBdr>
                  <w:divsChild>
                    <w:div w:id="369230225">
                      <w:marLeft w:val="0"/>
                      <w:marRight w:val="0"/>
                      <w:marTop w:val="0"/>
                      <w:marBottom w:val="0"/>
                      <w:divBdr>
                        <w:top w:val="none" w:sz="0" w:space="0" w:color="auto"/>
                        <w:left w:val="none" w:sz="0" w:space="0" w:color="auto"/>
                        <w:bottom w:val="none" w:sz="0" w:space="0" w:color="auto"/>
                        <w:right w:val="none" w:sz="0" w:space="0" w:color="auto"/>
                      </w:divBdr>
                      <w:divsChild>
                        <w:div w:id="45222800">
                          <w:marLeft w:val="0"/>
                          <w:marRight w:val="0"/>
                          <w:marTop w:val="0"/>
                          <w:marBottom w:val="0"/>
                          <w:divBdr>
                            <w:top w:val="none" w:sz="0" w:space="0" w:color="auto"/>
                            <w:left w:val="none" w:sz="0" w:space="0" w:color="auto"/>
                            <w:bottom w:val="none" w:sz="0" w:space="0" w:color="auto"/>
                            <w:right w:val="none" w:sz="0" w:space="0" w:color="auto"/>
                          </w:divBdr>
                          <w:divsChild>
                            <w:div w:id="873729562">
                              <w:marLeft w:val="0"/>
                              <w:marRight w:val="0"/>
                              <w:marTop w:val="0"/>
                              <w:marBottom w:val="0"/>
                              <w:divBdr>
                                <w:top w:val="none" w:sz="0" w:space="0" w:color="auto"/>
                                <w:left w:val="single" w:sz="6" w:space="0" w:color="E5E3E3"/>
                                <w:bottom w:val="none" w:sz="0" w:space="0" w:color="auto"/>
                                <w:right w:val="none" w:sz="0" w:space="0" w:color="auto"/>
                              </w:divBdr>
                              <w:divsChild>
                                <w:div w:id="1530946592">
                                  <w:marLeft w:val="0"/>
                                  <w:marRight w:val="0"/>
                                  <w:marTop w:val="0"/>
                                  <w:marBottom w:val="0"/>
                                  <w:divBdr>
                                    <w:top w:val="none" w:sz="0" w:space="0" w:color="auto"/>
                                    <w:left w:val="none" w:sz="0" w:space="0" w:color="auto"/>
                                    <w:bottom w:val="none" w:sz="0" w:space="0" w:color="auto"/>
                                    <w:right w:val="none" w:sz="0" w:space="0" w:color="auto"/>
                                  </w:divBdr>
                                  <w:divsChild>
                                    <w:div w:id="1329946616">
                                      <w:marLeft w:val="0"/>
                                      <w:marRight w:val="0"/>
                                      <w:marTop w:val="0"/>
                                      <w:marBottom w:val="0"/>
                                      <w:divBdr>
                                        <w:top w:val="none" w:sz="0" w:space="0" w:color="auto"/>
                                        <w:left w:val="none" w:sz="0" w:space="0" w:color="auto"/>
                                        <w:bottom w:val="none" w:sz="0" w:space="0" w:color="auto"/>
                                        <w:right w:val="none" w:sz="0" w:space="0" w:color="auto"/>
                                      </w:divBdr>
                                      <w:divsChild>
                                        <w:div w:id="775254313">
                                          <w:marLeft w:val="0"/>
                                          <w:marRight w:val="0"/>
                                          <w:marTop w:val="0"/>
                                          <w:marBottom w:val="0"/>
                                          <w:divBdr>
                                            <w:top w:val="none" w:sz="0" w:space="0" w:color="auto"/>
                                            <w:left w:val="none" w:sz="0" w:space="0" w:color="auto"/>
                                            <w:bottom w:val="none" w:sz="0" w:space="0" w:color="auto"/>
                                            <w:right w:val="none" w:sz="0" w:space="0" w:color="auto"/>
                                          </w:divBdr>
                                          <w:divsChild>
                                            <w:div w:id="605356880">
                                              <w:marLeft w:val="0"/>
                                              <w:marRight w:val="0"/>
                                              <w:marTop w:val="0"/>
                                              <w:marBottom w:val="0"/>
                                              <w:divBdr>
                                                <w:top w:val="none" w:sz="0" w:space="0" w:color="auto"/>
                                                <w:left w:val="none" w:sz="0" w:space="0" w:color="auto"/>
                                                <w:bottom w:val="none" w:sz="0" w:space="0" w:color="auto"/>
                                                <w:right w:val="none" w:sz="0" w:space="0" w:color="auto"/>
                                              </w:divBdr>
                                              <w:divsChild>
                                                <w:div w:id="1797025944">
                                                  <w:marLeft w:val="0"/>
                                                  <w:marRight w:val="0"/>
                                                  <w:marTop w:val="0"/>
                                                  <w:marBottom w:val="0"/>
                                                  <w:divBdr>
                                                    <w:top w:val="none" w:sz="0" w:space="0" w:color="auto"/>
                                                    <w:left w:val="none" w:sz="0" w:space="0" w:color="auto"/>
                                                    <w:bottom w:val="none" w:sz="0" w:space="0" w:color="auto"/>
                                                    <w:right w:val="none" w:sz="0" w:space="0" w:color="auto"/>
                                                  </w:divBdr>
                                                  <w:divsChild>
                                                    <w:div w:id="1161774408">
                                                      <w:marLeft w:val="0"/>
                                                      <w:marRight w:val="0"/>
                                                      <w:marTop w:val="0"/>
                                                      <w:marBottom w:val="0"/>
                                                      <w:divBdr>
                                                        <w:top w:val="none" w:sz="0" w:space="0" w:color="auto"/>
                                                        <w:left w:val="none" w:sz="0" w:space="0" w:color="auto"/>
                                                        <w:bottom w:val="none" w:sz="0" w:space="0" w:color="auto"/>
                                                        <w:right w:val="none" w:sz="0" w:space="0" w:color="auto"/>
                                                      </w:divBdr>
                                                      <w:divsChild>
                                                        <w:div w:id="386148847">
                                                          <w:marLeft w:val="480"/>
                                                          <w:marRight w:val="0"/>
                                                          <w:marTop w:val="0"/>
                                                          <w:marBottom w:val="0"/>
                                                          <w:divBdr>
                                                            <w:top w:val="none" w:sz="0" w:space="0" w:color="auto"/>
                                                            <w:left w:val="none" w:sz="0" w:space="0" w:color="auto"/>
                                                            <w:bottom w:val="none" w:sz="0" w:space="0" w:color="auto"/>
                                                            <w:right w:val="none" w:sz="0" w:space="0" w:color="auto"/>
                                                          </w:divBdr>
                                                          <w:divsChild>
                                                            <w:div w:id="354115401">
                                                              <w:marLeft w:val="0"/>
                                                              <w:marRight w:val="0"/>
                                                              <w:marTop w:val="0"/>
                                                              <w:marBottom w:val="0"/>
                                                              <w:divBdr>
                                                                <w:top w:val="none" w:sz="0" w:space="0" w:color="auto"/>
                                                                <w:left w:val="none" w:sz="0" w:space="0" w:color="auto"/>
                                                                <w:bottom w:val="none" w:sz="0" w:space="0" w:color="auto"/>
                                                                <w:right w:val="none" w:sz="0" w:space="0" w:color="auto"/>
                                                              </w:divBdr>
                                                              <w:divsChild>
                                                                <w:div w:id="240409860">
                                                                  <w:marLeft w:val="0"/>
                                                                  <w:marRight w:val="0"/>
                                                                  <w:marTop w:val="0"/>
                                                                  <w:marBottom w:val="0"/>
                                                                  <w:divBdr>
                                                                    <w:top w:val="none" w:sz="0" w:space="0" w:color="auto"/>
                                                                    <w:left w:val="none" w:sz="0" w:space="0" w:color="auto"/>
                                                                    <w:bottom w:val="none" w:sz="0" w:space="0" w:color="auto"/>
                                                                    <w:right w:val="none" w:sz="0" w:space="0" w:color="auto"/>
                                                                  </w:divBdr>
                                                                  <w:divsChild>
                                                                    <w:div w:id="1613972208">
                                                                      <w:marLeft w:val="0"/>
                                                                      <w:marRight w:val="0"/>
                                                                      <w:marTop w:val="240"/>
                                                                      <w:marBottom w:val="0"/>
                                                                      <w:divBdr>
                                                                        <w:top w:val="none" w:sz="0" w:space="0" w:color="auto"/>
                                                                        <w:left w:val="none" w:sz="0" w:space="0" w:color="auto"/>
                                                                        <w:bottom w:val="none" w:sz="0" w:space="0" w:color="auto"/>
                                                                        <w:right w:val="none" w:sz="0" w:space="0" w:color="auto"/>
                                                                      </w:divBdr>
                                                                      <w:divsChild>
                                                                        <w:div w:id="1584873502">
                                                                          <w:marLeft w:val="0"/>
                                                                          <w:marRight w:val="0"/>
                                                                          <w:marTop w:val="0"/>
                                                                          <w:marBottom w:val="0"/>
                                                                          <w:divBdr>
                                                                            <w:top w:val="none" w:sz="0" w:space="0" w:color="auto"/>
                                                                            <w:left w:val="none" w:sz="0" w:space="0" w:color="auto"/>
                                                                            <w:bottom w:val="none" w:sz="0" w:space="0" w:color="auto"/>
                                                                            <w:right w:val="none" w:sz="0" w:space="0" w:color="auto"/>
                                                                          </w:divBdr>
                                                                          <w:divsChild>
                                                                            <w:div w:id="1593662539">
                                                                              <w:marLeft w:val="0"/>
                                                                              <w:marRight w:val="0"/>
                                                                              <w:marTop w:val="0"/>
                                                                              <w:marBottom w:val="0"/>
                                                                              <w:divBdr>
                                                                                <w:top w:val="none" w:sz="0" w:space="0" w:color="auto"/>
                                                                                <w:left w:val="none" w:sz="0" w:space="0" w:color="auto"/>
                                                                                <w:bottom w:val="none" w:sz="0" w:space="0" w:color="auto"/>
                                                                                <w:right w:val="none" w:sz="0" w:space="0" w:color="auto"/>
                                                                              </w:divBdr>
                                                                              <w:divsChild>
                                                                                <w:div w:id="1755348293">
                                                                                  <w:marLeft w:val="0"/>
                                                                                  <w:marRight w:val="0"/>
                                                                                  <w:marTop w:val="0"/>
                                                                                  <w:marBottom w:val="0"/>
                                                                                  <w:divBdr>
                                                                                    <w:top w:val="none" w:sz="0" w:space="0" w:color="auto"/>
                                                                                    <w:left w:val="none" w:sz="0" w:space="0" w:color="auto"/>
                                                                                    <w:bottom w:val="none" w:sz="0" w:space="0" w:color="auto"/>
                                                                                    <w:right w:val="none" w:sz="0" w:space="0" w:color="auto"/>
                                                                                  </w:divBdr>
                                                                                  <w:divsChild>
                                                                                    <w:div w:id="1929580294">
                                                                                      <w:marLeft w:val="0"/>
                                                                                      <w:marRight w:val="0"/>
                                                                                      <w:marTop w:val="0"/>
                                                                                      <w:marBottom w:val="0"/>
                                                                                      <w:divBdr>
                                                                                        <w:top w:val="none" w:sz="0" w:space="0" w:color="auto"/>
                                                                                        <w:left w:val="none" w:sz="0" w:space="0" w:color="auto"/>
                                                                                        <w:bottom w:val="none" w:sz="0" w:space="0" w:color="auto"/>
                                                                                        <w:right w:val="none" w:sz="0" w:space="0" w:color="auto"/>
                                                                                      </w:divBdr>
                                                                                      <w:divsChild>
                                                                                        <w:div w:id="671185561">
                                                                                          <w:marLeft w:val="0"/>
                                                                                          <w:marRight w:val="0"/>
                                                                                          <w:marTop w:val="0"/>
                                                                                          <w:marBottom w:val="0"/>
                                                                                          <w:divBdr>
                                                                                            <w:top w:val="none" w:sz="0" w:space="0" w:color="auto"/>
                                                                                            <w:left w:val="none" w:sz="0" w:space="0" w:color="auto"/>
                                                                                            <w:bottom w:val="none" w:sz="0" w:space="0" w:color="auto"/>
                                                                                            <w:right w:val="none" w:sz="0" w:space="0" w:color="auto"/>
                                                                                          </w:divBdr>
                                                                                          <w:divsChild>
                                                                                            <w:div w:id="767505066">
                                                                                              <w:marLeft w:val="0"/>
                                                                                              <w:marRight w:val="0"/>
                                                                                              <w:marTop w:val="0"/>
                                                                                              <w:marBottom w:val="0"/>
                                                                                              <w:divBdr>
                                                                                                <w:top w:val="none" w:sz="0" w:space="0" w:color="auto"/>
                                                                                                <w:left w:val="none" w:sz="0" w:space="0" w:color="auto"/>
                                                                                                <w:bottom w:val="none" w:sz="0" w:space="0" w:color="auto"/>
                                                                                                <w:right w:val="none" w:sz="0" w:space="0" w:color="auto"/>
                                                                                              </w:divBdr>
                                                                                              <w:divsChild>
                                                                                                <w:div w:id="10046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027740">
      <w:bodyDiv w:val="1"/>
      <w:marLeft w:val="0"/>
      <w:marRight w:val="0"/>
      <w:marTop w:val="0"/>
      <w:marBottom w:val="0"/>
      <w:divBdr>
        <w:top w:val="none" w:sz="0" w:space="0" w:color="auto"/>
        <w:left w:val="none" w:sz="0" w:space="0" w:color="auto"/>
        <w:bottom w:val="none" w:sz="0" w:space="0" w:color="auto"/>
        <w:right w:val="none" w:sz="0" w:space="0" w:color="auto"/>
      </w:divBdr>
    </w:div>
    <w:div w:id="20996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patitis-c-commissioning-template-for-estimating-disease-prevalence" TargetMode="Externa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r.foster@qmul.ac.uk" TargetMode="External"/><Relationship Id="rId12" Type="http://schemas.openxmlformats.org/officeDocument/2006/relationships/hyperlink" Target="https://www.nice.org.uk/guidance/conditions-and-diseases/liver-conditions/hepatiti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gland.hepc-enquiries@nhs.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ngland.nhs.uk/publication/commissioning-medicines-for-children-specialised-servi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gland.nhs.uk/wp-content/uploads/2017/08/ccp-statement-retreatment-chronic-hepatitis-c-infection.pdf" TargetMode="External"/><Relationship Id="rId14" Type="http://schemas.openxmlformats.org/officeDocument/2006/relationships/package" Target="embeddings/Microsoft_Excel_Worksheet.xlsx"/></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5955</Words>
  <Characters>33947</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Pirhabi, Nazmin</dc:creator>
  <cp:lastModifiedBy>Anna Everton</cp:lastModifiedBy>
  <cp:revision>2</cp:revision>
  <cp:lastPrinted>2019-02-21T15:37:00Z</cp:lastPrinted>
  <dcterms:created xsi:type="dcterms:W3CDTF">2019-09-09T13:10:00Z</dcterms:created>
  <dcterms:modified xsi:type="dcterms:W3CDTF">2019-09-09T13:10:00Z</dcterms:modified>
</cp:coreProperties>
</file>