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037" w:rsidRPr="00440362" w:rsidRDefault="004F4037" w:rsidP="004F4037">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sidRPr="00440362">
        <w:rPr>
          <w:rFonts w:ascii="Frutiger LT 65 Bold" w:hAnsi="Frutiger LT 65 Bold"/>
          <w:color w:val="1C6CB4"/>
          <w:sz w:val="28"/>
          <w:szCs w:val="28"/>
        </w:rPr>
        <w:t>Annex 5</w:t>
      </w:r>
    </w:p>
    <w:p w:rsidR="004F4037" w:rsidRPr="00734FF4" w:rsidRDefault="004F4037" w:rsidP="004F4037">
      <w:pPr>
        <w:pStyle w:val="DHChapterHead"/>
        <w:widowControl w:val="0"/>
        <w:autoSpaceDE w:val="0"/>
        <w:autoSpaceDN w:val="0"/>
        <w:adjustRightInd w:val="0"/>
        <w:spacing w:before="200" w:after="60" w:line="240" w:lineRule="auto"/>
        <w:ind w:right="-23"/>
        <w:jc w:val="center"/>
        <w:rPr>
          <w:rFonts w:ascii="Frutiger LT 55 Roman" w:hAnsi="Frutiger LT 55 Roman" w:cs="Times New Roman"/>
          <w:color w:val="1C6CB4"/>
          <w:sz w:val="32"/>
          <w:szCs w:val="32"/>
        </w:rPr>
      </w:pPr>
      <w:r w:rsidRPr="00734FF4">
        <w:rPr>
          <w:rFonts w:ascii="Frutiger LT 55 Roman" w:hAnsi="Frutiger LT 55 Roman" w:cs="Times New Roman"/>
          <w:color w:val="1C6CB4"/>
          <w:sz w:val="32"/>
          <w:szCs w:val="32"/>
        </w:rPr>
        <w:t>Guidance Note for Parties Involved in Dispute Resolution</w:t>
      </w:r>
    </w:p>
    <w:p w:rsidR="004F4037" w:rsidRPr="009B3519" w:rsidRDefault="004F4037" w:rsidP="009B3519">
      <w:pPr>
        <w:spacing w:line="307" w:lineRule="exact"/>
        <w:rPr>
          <w:sz w:val="24"/>
        </w:rPr>
      </w:pPr>
    </w:p>
    <w:p w:rsidR="004F4037" w:rsidRPr="009B3519" w:rsidRDefault="004F4037" w:rsidP="009B3519">
      <w:pPr>
        <w:tabs>
          <w:tab w:val="left" w:pos="720"/>
        </w:tabs>
        <w:ind w:left="720"/>
        <w:rPr>
          <w:rFonts w:ascii="Arial" w:hAnsi="Arial"/>
          <w:b/>
          <w:i/>
        </w:rPr>
      </w:pPr>
      <w:r w:rsidRPr="009B3519">
        <w:rPr>
          <w:rFonts w:ascii="Arial" w:hAnsi="Arial"/>
          <w:b/>
          <w:i/>
        </w:rPr>
        <w:t>Introduction</w:t>
      </w:r>
    </w:p>
    <w:p w:rsidR="00537966" w:rsidRDefault="00537966">
      <w:pPr>
        <w:spacing w:line="261" w:lineRule="exact"/>
        <w:rPr>
          <w:rFonts w:ascii="Arial" w:eastAsia="Arial" w:hAnsi="Arial" w:cs="Arial"/>
          <w:b/>
          <w:bCs/>
          <w:i/>
          <w:iCs/>
        </w:rPr>
      </w:pPr>
    </w:p>
    <w:p w:rsidR="004F4037" w:rsidRPr="009B3519" w:rsidRDefault="004F4037" w:rsidP="009B3519">
      <w:pPr>
        <w:spacing w:line="237" w:lineRule="auto"/>
        <w:ind w:left="720" w:right="6"/>
        <w:jc w:val="both"/>
        <w:rPr>
          <w:rFonts w:ascii="Arial" w:hAnsi="Arial"/>
          <w:b/>
          <w:i/>
        </w:rPr>
      </w:pPr>
      <w:r w:rsidRPr="009B3519">
        <w:rPr>
          <w:rFonts w:ascii="Arial" w:hAnsi="Arial"/>
        </w:rPr>
        <w:t>This Guidance Note is for general information purposes only. It is not exhaustive but does cover the essential elements needed for parties submitting, or responding to, applications for dispute resolution.</w:t>
      </w:r>
    </w:p>
    <w:p w:rsidR="00537966" w:rsidRDefault="00537966">
      <w:pPr>
        <w:spacing w:line="255"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Who are we?</w:t>
      </w:r>
    </w:p>
    <w:p w:rsidR="00537966" w:rsidRDefault="00537966">
      <w:pPr>
        <w:spacing w:line="261" w:lineRule="exact"/>
        <w:rPr>
          <w:rFonts w:ascii="Arial" w:eastAsia="Arial" w:hAnsi="Arial" w:cs="Arial"/>
          <w:b/>
          <w:bCs/>
          <w:i/>
          <w:iCs/>
        </w:rPr>
      </w:pPr>
    </w:p>
    <w:p w:rsidR="004F4037" w:rsidRPr="009B3519" w:rsidRDefault="004F4037" w:rsidP="009B3519">
      <w:pPr>
        <w:spacing w:line="236" w:lineRule="auto"/>
        <w:ind w:left="720" w:right="6"/>
        <w:jc w:val="both"/>
        <w:rPr>
          <w:rFonts w:ascii="Arial" w:hAnsi="Arial"/>
          <w:b/>
          <w:i/>
        </w:rPr>
      </w:pPr>
      <w:r w:rsidRPr="009B3519">
        <w:rPr>
          <w:rFonts w:ascii="Arial" w:hAnsi="Arial"/>
        </w:rPr>
        <w:t xml:space="preserve">NHS </w:t>
      </w:r>
      <w:r w:rsidR="0089392F">
        <w:rPr>
          <w:rFonts w:ascii="Arial" w:eastAsia="Arial" w:hAnsi="Arial" w:cs="Arial"/>
        </w:rPr>
        <w:t xml:space="preserve">Resolution, </w:t>
      </w:r>
      <w:r w:rsidRPr="009B3519">
        <w:rPr>
          <w:rFonts w:ascii="Arial" w:hAnsi="Arial"/>
        </w:rPr>
        <w:t>amongst other things</w:t>
      </w:r>
      <w:r w:rsidR="0089392F">
        <w:rPr>
          <w:rFonts w:ascii="Arial" w:eastAsia="Arial" w:hAnsi="Arial" w:cs="Arial"/>
        </w:rPr>
        <w:t>,</w:t>
      </w:r>
      <w:r w:rsidRPr="009B3519">
        <w:rPr>
          <w:rFonts w:ascii="Arial" w:hAnsi="Arial"/>
        </w:rPr>
        <w:t xml:space="preserve"> adjudicates in contractual disputes between the NHS Commissioning Board (NHS England) and individual primary care contractors.</w:t>
      </w:r>
    </w:p>
    <w:p w:rsidR="00537966" w:rsidRDefault="00537966">
      <w:pPr>
        <w:spacing w:line="264" w:lineRule="exact"/>
        <w:rPr>
          <w:rFonts w:ascii="Arial" w:eastAsia="Arial" w:hAnsi="Arial" w:cs="Arial"/>
          <w:b/>
          <w:bCs/>
          <w:i/>
          <w:iCs/>
        </w:rPr>
      </w:pPr>
    </w:p>
    <w:p w:rsidR="004F4037" w:rsidRPr="009B3519" w:rsidRDefault="004F4037" w:rsidP="009B3519">
      <w:pPr>
        <w:spacing w:line="237" w:lineRule="auto"/>
        <w:ind w:left="720" w:right="6"/>
        <w:jc w:val="both"/>
        <w:rPr>
          <w:rFonts w:ascii="Arial" w:hAnsi="Arial"/>
          <w:b/>
          <w:i/>
        </w:rPr>
      </w:pPr>
      <w:r w:rsidRPr="009B3519">
        <w:rPr>
          <w:rFonts w:ascii="Arial" w:hAnsi="Arial"/>
        </w:rPr>
        <w:t xml:space="preserve">Although the relevant Regulations refer to the Secretary of State, these matters were delegated to </w:t>
      </w:r>
      <w:r w:rsidR="0089392F">
        <w:rPr>
          <w:rFonts w:ascii="Arial" w:eastAsia="Arial" w:hAnsi="Arial" w:cs="Arial"/>
        </w:rPr>
        <w:t>NHS Resolution.</w:t>
      </w:r>
      <w:r w:rsidRPr="009B3519">
        <w:rPr>
          <w:rFonts w:ascii="Arial" w:hAnsi="Arial"/>
        </w:rPr>
        <w:t xml:space="preserve"> The </w:t>
      </w:r>
      <w:r w:rsidR="0089392F">
        <w:rPr>
          <w:rFonts w:ascii="Arial" w:eastAsia="Arial" w:hAnsi="Arial" w:cs="Arial"/>
        </w:rPr>
        <w:t xml:space="preserve">Primary Care Appeals service (formerly known as the </w:t>
      </w:r>
      <w:r w:rsidRPr="009B3519">
        <w:rPr>
          <w:rFonts w:ascii="Arial" w:hAnsi="Arial"/>
        </w:rPr>
        <w:t xml:space="preserve">Family Health Services Appeal Unit </w:t>
      </w:r>
      <w:r w:rsidR="0089392F">
        <w:rPr>
          <w:rFonts w:ascii="Arial" w:eastAsia="Arial" w:hAnsi="Arial" w:cs="Arial"/>
        </w:rPr>
        <w:t xml:space="preserve">or FHSAU) </w:t>
      </w:r>
      <w:r w:rsidRPr="009B3519">
        <w:rPr>
          <w:rFonts w:ascii="Arial" w:hAnsi="Arial"/>
        </w:rPr>
        <w:t xml:space="preserve">based in Leeds discharges these functions for NHS </w:t>
      </w:r>
      <w:r w:rsidR="0089392F">
        <w:rPr>
          <w:rFonts w:ascii="Arial" w:eastAsia="Arial" w:hAnsi="Arial" w:cs="Arial"/>
        </w:rPr>
        <w:t>Resolution</w:t>
      </w:r>
      <w:r w:rsidRPr="009B3519">
        <w:rPr>
          <w:rFonts w:ascii="Arial" w:hAnsi="Arial"/>
        </w:rPr>
        <w:t>.</w:t>
      </w:r>
    </w:p>
    <w:p w:rsidR="00537966" w:rsidRDefault="00537966">
      <w:pPr>
        <w:spacing w:line="257"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What regulations are applicable?</w:t>
      </w:r>
    </w:p>
    <w:p w:rsidR="00537966" w:rsidRDefault="00537966">
      <w:pPr>
        <w:spacing w:line="253" w:lineRule="exact"/>
        <w:rPr>
          <w:rFonts w:ascii="Arial" w:eastAsia="Arial" w:hAnsi="Arial" w:cs="Arial"/>
          <w:b/>
          <w:bCs/>
          <w:i/>
          <w:iCs/>
        </w:rPr>
      </w:pPr>
    </w:p>
    <w:p w:rsidR="004F4037" w:rsidRPr="009B3519" w:rsidRDefault="004F4037" w:rsidP="009B3519">
      <w:pPr>
        <w:ind w:left="720"/>
        <w:rPr>
          <w:rFonts w:ascii="Arial" w:hAnsi="Arial"/>
          <w:b/>
          <w:i/>
        </w:rPr>
      </w:pPr>
      <w:r w:rsidRPr="009B3519">
        <w:rPr>
          <w:rFonts w:ascii="Arial" w:hAnsi="Arial"/>
        </w:rPr>
        <w:t>The relevant legislative framework is contained in one of the following:</w:t>
      </w:r>
    </w:p>
    <w:p w:rsidR="00537966" w:rsidRDefault="00537966">
      <w:pPr>
        <w:spacing w:line="261" w:lineRule="exact"/>
        <w:rPr>
          <w:rFonts w:ascii="Arial" w:eastAsia="Arial" w:hAnsi="Arial" w:cs="Arial"/>
          <w:b/>
          <w:bCs/>
          <w:i/>
          <w:iCs/>
        </w:rPr>
      </w:pPr>
    </w:p>
    <w:p w:rsidR="004F4037" w:rsidRPr="009B3519" w:rsidRDefault="004F4037" w:rsidP="009B3519">
      <w:pPr>
        <w:numPr>
          <w:ilvl w:val="1"/>
          <w:numId w:val="4"/>
        </w:numPr>
        <w:tabs>
          <w:tab w:val="left" w:pos="1080"/>
        </w:tabs>
        <w:spacing w:line="235" w:lineRule="auto"/>
        <w:ind w:left="1080" w:right="6" w:hanging="360"/>
      </w:pPr>
      <w:r w:rsidRPr="009B3519">
        <w:rPr>
          <w:rFonts w:ascii="Arial" w:hAnsi="Arial"/>
        </w:rPr>
        <w:t>the National Health Service (Pharmaceutical and Local Pharmaceutical Services) Regulations 2013;</w:t>
      </w:r>
    </w:p>
    <w:p w:rsidR="00537966" w:rsidRDefault="00537966">
      <w:pPr>
        <w:spacing w:line="240" w:lineRule="exact"/>
        <w:rPr>
          <w:rFonts w:eastAsia="Times New Roman"/>
        </w:rPr>
      </w:pPr>
    </w:p>
    <w:p w:rsidR="004F4037" w:rsidRPr="009B3519" w:rsidRDefault="004F4037" w:rsidP="009B3519">
      <w:pPr>
        <w:numPr>
          <w:ilvl w:val="1"/>
          <w:numId w:val="4"/>
        </w:numPr>
        <w:tabs>
          <w:tab w:val="left" w:pos="1080"/>
        </w:tabs>
        <w:ind w:left="1080" w:hanging="360"/>
      </w:pPr>
      <w:r w:rsidRPr="009B3519">
        <w:rPr>
          <w:rFonts w:ascii="Arial" w:hAnsi="Arial"/>
        </w:rPr>
        <w:t>the General Ophthalmic Services Contracts Regulations 2008;</w:t>
      </w:r>
    </w:p>
    <w:p w:rsidR="00537966" w:rsidRDefault="00537966">
      <w:pPr>
        <w:spacing w:line="247" w:lineRule="exact"/>
        <w:rPr>
          <w:rFonts w:eastAsia="Times New Roman"/>
        </w:rPr>
      </w:pPr>
    </w:p>
    <w:p w:rsidR="004F4037" w:rsidRPr="009B3519" w:rsidRDefault="004F4037" w:rsidP="009B3519">
      <w:pPr>
        <w:numPr>
          <w:ilvl w:val="1"/>
          <w:numId w:val="4"/>
        </w:numPr>
        <w:tabs>
          <w:tab w:val="left" w:pos="1080"/>
        </w:tabs>
        <w:spacing w:line="235" w:lineRule="auto"/>
        <w:ind w:left="1080" w:right="6" w:hanging="360"/>
      </w:pPr>
      <w:r w:rsidRPr="009B3519">
        <w:rPr>
          <w:rFonts w:ascii="Arial" w:hAnsi="Arial"/>
        </w:rPr>
        <w:t>the National Health Service (General Dental Services Contracts) Regulations 2005;</w:t>
      </w:r>
    </w:p>
    <w:p w:rsidR="00537966" w:rsidRDefault="00537966">
      <w:pPr>
        <w:spacing w:line="250" w:lineRule="exact"/>
        <w:rPr>
          <w:rFonts w:eastAsia="Times New Roman"/>
        </w:rPr>
      </w:pPr>
    </w:p>
    <w:p w:rsidR="004F4037" w:rsidRPr="009B3519" w:rsidRDefault="004F4037" w:rsidP="009B3519">
      <w:pPr>
        <w:numPr>
          <w:ilvl w:val="1"/>
          <w:numId w:val="4"/>
        </w:numPr>
        <w:tabs>
          <w:tab w:val="left" w:pos="1080"/>
        </w:tabs>
        <w:spacing w:line="235" w:lineRule="auto"/>
        <w:ind w:left="1080" w:right="6" w:hanging="360"/>
      </w:pPr>
      <w:r w:rsidRPr="009B3519">
        <w:rPr>
          <w:rFonts w:ascii="Arial" w:hAnsi="Arial"/>
        </w:rPr>
        <w:t>the National Health Service (Personal Dental Services Agreements) Regulations 2005;</w:t>
      </w:r>
    </w:p>
    <w:p w:rsidR="00537966" w:rsidRDefault="00537966">
      <w:pPr>
        <w:spacing w:line="250" w:lineRule="exact"/>
        <w:rPr>
          <w:rFonts w:eastAsia="Times New Roman"/>
        </w:rPr>
      </w:pPr>
    </w:p>
    <w:p w:rsidR="00537966" w:rsidRDefault="0089392F">
      <w:pPr>
        <w:numPr>
          <w:ilvl w:val="1"/>
          <w:numId w:val="4"/>
        </w:numPr>
        <w:tabs>
          <w:tab w:val="left" w:pos="1080"/>
        </w:tabs>
        <w:spacing w:line="235" w:lineRule="auto"/>
        <w:ind w:left="1080" w:right="6" w:hanging="360"/>
        <w:rPr>
          <w:rFonts w:eastAsia="Times New Roman"/>
        </w:rPr>
      </w:pPr>
      <w:r>
        <w:rPr>
          <w:rFonts w:ascii="Arial" w:eastAsia="Arial" w:hAnsi="Arial" w:cs="Arial"/>
        </w:rPr>
        <w:t>the National Health Service (General Medical Services Contracts) Regulations 2015;</w:t>
      </w:r>
    </w:p>
    <w:p w:rsidR="00537966" w:rsidRDefault="00537966">
      <w:pPr>
        <w:spacing w:line="247" w:lineRule="exact"/>
        <w:rPr>
          <w:rFonts w:eastAsia="Times New Roman"/>
        </w:rPr>
      </w:pPr>
    </w:p>
    <w:p w:rsidR="004F4037" w:rsidRPr="009B3519" w:rsidRDefault="004F4037" w:rsidP="009B3519">
      <w:pPr>
        <w:numPr>
          <w:ilvl w:val="1"/>
          <w:numId w:val="4"/>
        </w:numPr>
        <w:tabs>
          <w:tab w:val="left" w:pos="1080"/>
        </w:tabs>
        <w:spacing w:line="236" w:lineRule="auto"/>
        <w:ind w:left="1080" w:right="6" w:hanging="360"/>
      </w:pPr>
      <w:r w:rsidRPr="009B3519">
        <w:rPr>
          <w:rFonts w:ascii="Arial" w:hAnsi="Arial"/>
        </w:rPr>
        <w:t xml:space="preserve">the National Health Service (Personal Medical Services Agreements) Regulations </w:t>
      </w:r>
      <w:r w:rsidR="0089392F">
        <w:rPr>
          <w:rFonts w:ascii="Arial" w:eastAsia="Arial" w:hAnsi="Arial" w:cs="Arial"/>
        </w:rPr>
        <w:t>2015</w:t>
      </w:r>
    </w:p>
    <w:p w:rsidR="00537966" w:rsidRDefault="00537966">
      <w:pPr>
        <w:spacing w:line="262" w:lineRule="exact"/>
        <w:rPr>
          <w:sz w:val="24"/>
          <w:szCs w:val="24"/>
        </w:rPr>
      </w:pPr>
    </w:p>
    <w:p w:rsidR="00537966" w:rsidRDefault="0089392F">
      <w:pPr>
        <w:spacing w:line="237" w:lineRule="auto"/>
        <w:ind w:left="720" w:right="6"/>
        <w:jc w:val="both"/>
        <w:rPr>
          <w:sz w:val="20"/>
          <w:szCs w:val="20"/>
        </w:rPr>
      </w:pPr>
      <w:r>
        <w:rPr>
          <w:rFonts w:ascii="Arial" w:eastAsia="Arial" w:hAnsi="Arial" w:cs="Arial"/>
        </w:rPr>
        <w:t xml:space="preserve">Parties to an NHS Contract have the right to utilise the NHS dispute resolution process as a </w:t>
      </w:r>
      <w:proofErr w:type="gramStart"/>
      <w:r>
        <w:rPr>
          <w:rFonts w:ascii="Arial" w:eastAsia="Arial" w:hAnsi="Arial" w:cs="Arial"/>
        </w:rPr>
        <w:t>cost effective</w:t>
      </w:r>
      <w:proofErr w:type="gramEnd"/>
      <w:r>
        <w:rPr>
          <w:rFonts w:ascii="Arial" w:eastAsia="Arial" w:hAnsi="Arial" w:cs="Arial"/>
        </w:rPr>
        <w:t xml:space="preserve"> mechanism for determining contractual disputes. This right is contained in section 9 of the NHS Act 2006 and enables a party to an NHS Contract to refer a dispute to the Secretary of State.</w:t>
      </w:r>
    </w:p>
    <w:p w:rsidR="00537966" w:rsidRDefault="00537966">
      <w:pPr>
        <w:spacing w:line="266" w:lineRule="exact"/>
        <w:rPr>
          <w:sz w:val="24"/>
          <w:szCs w:val="24"/>
        </w:rPr>
      </w:pPr>
    </w:p>
    <w:p w:rsidR="00537966" w:rsidRDefault="0089392F">
      <w:pPr>
        <w:spacing w:line="235" w:lineRule="auto"/>
        <w:ind w:left="720" w:right="6"/>
        <w:jc w:val="both"/>
        <w:rPr>
          <w:sz w:val="20"/>
          <w:szCs w:val="20"/>
        </w:rPr>
      </w:pPr>
      <w:r>
        <w:rPr>
          <w:rFonts w:ascii="Arial" w:eastAsia="Arial" w:hAnsi="Arial" w:cs="Arial"/>
        </w:rPr>
        <w:t>The ability of NHS Resolution to determine a dispute depends on whether the dispute falls within the authority delegated to it in the relevant directions.</w:t>
      </w:r>
    </w:p>
    <w:p w:rsidR="00537966" w:rsidRDefault="00537966">
      <w:pPr>
        <w:spacing w:line="255" w:lineRule="exact"/>
        <w:rPr>
          <w:sz w:val="24"/>
          <w:szCs w:val="24"/>
        </w:rPr>
      </w:pPr>
    </w:p>
    <w:p w:rsidR="00537966" w:rsidRDefault="0089392F">
      <w:pPr>
        <w:ind w:left="720"/>
        <w:rPr>
          <w:sz w:val="20"/>
          <w:szCs w:val="20"/>
        </w:rPr>
      </w:pPr>
      <w:proofErr w:type="gramStart"/>
      <w:r>
        <w:rPr>
          <w:rFonts w:ascii="Arial" w:eastAsia="Arial" w:hAnsi="Arial" w:cs="Arial"/>
        </w:rPr>
        <w:t>Contractual  disputes</w:t>
      </w:r>
      <w:proofErr w:type="gramEnd"/>
      <w:r>
        <w:rPr>
          <w:rFonts w:ascii="Arial" w:eastAsia="Arial" w:hAnsi="Arial" w:cs="Arial"/>
        </w:rPr>
        <w:t xml:space="preserve">  concerning  primary  care  contractors  may  arise  which  the</w:t>
      </w:r>
    </w:p>
    <w:p w:rsidR="00537966" w:rsidRDefault="00537966">
      <w:pPr>
        <w:spacing w:line="20" w:lineRule="exact"/>
        <w:rPr>
          <w:sz w:val="24"/>
          <w:szCs w:val="24"/>
        </w:rPr>
      </w:pPr>
    </w:p>
    <w:p w:rsidR="00537966" w:rsidRDefault="00537966">
      <w:pPr>
        <w:sectPr w:rsidR="00537966">
          <w:headerReference w:type="default" r:id="rId7"/>
          <w:footerReference w:type="default" r:id="rId8"/>
          <w:pgSz w:w="11900" w:h="16838"/>
          <w:pgMar w:top="1440" w:right="1440" w:bottom="985" w:left="1440" w:header="0" w:footer="0" w:gutter="0"/>
          <w:cols w:space="720" w:equalWidth="0">
            <w:col w:w="9026"/>
          </w:cols>
        </w:sectPr>
      </w:pPr>
    </w:p>
    <w:p w:rsidR="00537966" w:rsidRDefault="00537966">
      <w:pPr>
        <w:spacing w:line="6" w:lineRule="exact"/>
        <w:rPr>
          <w:sz w:val="20"/>
          <w:szCs w:val="20"/>
        </w:rPr>
      </w:pPr>
      <w:bookmarkStart w:id="0" w:name="page2"/>
      <w:bookmarkEnd w:id="0"/>
    </w:p>
    <w:p w:rsidR="00537966" w:rsidRDefault="0089392F">
      <w:pPr>
        <w:spacing w:line="237" w:lineRule="auto"/>
        <w:ind w:left="720" w:right="20"/>
        <w:jc w:val="both"/>
        <w:rPr>
          <w:sz w:val="20"/>
          <w:szCs w:val="20"/>
        </w:rPr>
      </w:pPr>
      <w:r>
        <w:rPr>
          <w:rFonts w:ascii="Arial" w:eastAsia="Arial" w:hAnsi="Arial" w:cs="Arial"/>
        </w:rPr>
        <w:t>Secretary of State has not currently delegated to NHS Resolution. These include disputes relating to APMS contracts and contracts other than those listed above such as contracts for locally commissioned services (which are often commissioned under the NHS Standard Contract or a local authority contract).</w:t>
      </w:r>
    </w:p>
    <w:p w:rsidR="00537966" w:rsidRDefault="00537966">
      <w:pPr>
        <w:spacing w:line="266" w:lineRule="exact"/>
        <w:rPr>
          <w:sz w:val="20"/>
          <w:szCs w:val="20"/>
        </w:rPr>
      </w:pPr>
    </w:p>
    <w:p w:rsidR="00537966" w:rsidRDefault="0089392F">
      <w:pPr>
        <w:spacing w:line="238" w:lineRule="auto"/>
        <w:ind w:left="720"/>
        <w:jc w:val="both"/>
        <w:rPr>
          <w:sz w:val="20"/>
          <w:szCs w:val="20"/>
        </w:rPr>
      </w:pPr>
      <w:r>
        <w:rPr>
          <w:rFonts w:ascii="Arial" w:eastAsia="Arial" w:hAnsi="Arial" w:cs="Arial"/>
        </w:rPr>
        <w:t>A primary care contractor may still be able to refer a dispute under these contracts to the Secretary of State under section 9 of the NHS Act 2006 if the contract is considered to be an NHS Contract. Once referred, the Secretary of State will need to determine the matter himself or appoint a person to do so on a case by case basis. The Secretary of State has on previous occasions appointed NHS Resolution to hear individual disputes referred to him in this way.</w:t>
      </w:r>
    </w:p>
    <w:p w:rsidR="00537966" w:rsidRDefault="00537966">
      <w:pPr>
        <w:spacing w:line="266" w:lineRule="exact"/>
        <w:rPr>
          <w:sz w:val="20"/>
          <w:szCs w:val="20"/>
        </w:rPr>
      </w:pPr>
    </w:p>
    <w:p w:rsidR="00537966" w:rsidRDefault="0089392F">
      <w:pPr>
        <w:spacing w:line="238" w:lineRule="auto"/>
        <w:ind w:left="720"/>
        <w:jc w:val="both"/>
        <w:rPr>
          <w:sz w:val="20"/>
          <w:szCs w:val="20"/>
        </w:rPr>
      </w:pPr>
      <w:r>
        <w:rPr>
          <w:rFonts w:ascii="Arial" w:eastAsia="Arial" w:hAnsi="Arial" w:cs="Arial"/>
        </w:rPr>
        <w:t>Where a dispute is referred directly to NHS Resolution, it will first consider whether it has delegated authority to determine the matter. If it falls outside its authority, NHS Resolution will inform the party submitting the dispute and suggest that the party refers the matter to the Secretary of State under section 9 of the NHS Act 2006 requesting that a person is appointed to determine the dispute.</w:t>
      </w:r>
    </w:p>
    <w:p w:rsidR="00537966" w:rsidRDefault="00537966">
      <w:pPr>
        <w:spacing w:line="255" w:lineRule="exact"/>
        <w:rPr>
          <w:sz w:val="20"/>
          <w:szCs w:val="20"/>
        </w:rPr>
      </w:pPr>
    </w:p>
    <w:p w:rsidR="004F4037" w:rsidRPr="009B3519" w:rsidRDefault="004F4037" w:rsidP="009B3519">
      <w:pPr>
        <w:tabs>
          <w:tab w:val="left" w:pos="720"/>
        </w:tabs>
        <w:ind w:left="720"/>
        <w:rPr>
          <w:rFonts w:ascii="Arial" w:hAnsi="Arial"/>
          <w:b/>
          <w:i/>
        </w:rPr>
      </w:pPr>
      <w:r w:rsidRPr="009B3519">
        <w:rPr>
          <w:rFonts w:ascii="Arial" w:hAnsi="Arial"/>
          <w:b/>
          <w:i/>
        </w:rPr>
        <w:t>Is legal representation permitted?</w:t>
      </w:r>
    </w:p>
    <w:p w:rsidR="00537966" w:rsidRDefault="00537966">
      <w:pPr>
        <w:spacing w:line="261" w:lineRule="exact"/>
        <w:rPr>
          <w:rFonts w:ascii="Arial" w:eastAsia="Arial" w:hAnsi="Arial" w:cs="Arial"/>
          <w:b/>
          <w:bCs/>
          <w:i/>
          <w:iCs/>
        </w:rPr>
      </w:pPr>
    </w:p>
    <w:p w:rsidR="004F4037" w:rsidRPr="009B3519" w:rsidRDefault="004F4037" w:rsidP="009B3519">
      <w:pPr>
        <w:spacing w:line="237" w:lineRule="auto"/>
        <w:ind w:left="720" w:right="20"/>
        <w:jc w:val="both"/>
        <w:rPr>
          <w:rFonts w:ascii="Arial" w:hAnsi="Arial"/>
          <w:b/>
          <w:i/>
        </w:rPr>
      </w:pPr>
      <w:r w:rsidRPr="009B3519">
        <w:rPr>
          <w:rFonts w:ascii="Arial" w:hAnsi="Arial"/>
        </w:rPr>
        <w:t>Parties can be represented or assisted by whoever they wish although representatives who are not bound by The Law Society's Code of Conduct should provide an 'authority to act' letter from their client.</w:t>
      </w:r>
    </w:p>
    <w:p w:rsidR="00537966" w:rsidRDefault="00537966">
      <w:pPr>
        <w:spacing w:line="254"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What information should I provide?</w:t>
      </w:r>
    </w:p>
    <w:p w:rsidR="00537966" w:rsidRDefault="00537966">
      <w:pPr>
        <w:spacing w:line="253" w:lineRule="exact"/>
        <w:rPr>
          <w:rFonts w:ascii="Arial" w:eastAsia="Arial" w:hAnsi="Arial" w:cs="Arial"/>
          <w:b/>
          <w:bCs/>
          <w:i/>
          <w:iCs/>
        </w:rPr>
      </w:pPr>
    </w:p>
    <w:p w:rsidR="004F4037" w:rsidRPr="009B3519" w:rsidRDefault="004F4037" w:rsidP="009B3519">
      <w:pPr>
        <w:ind w:left="720"/>
        <w:rPr>
          <w:rFonts w:ascii="Arial" w:hAnsi="Arial"/>
          <w:b/>
          <w:i/>
        </w:rPr>
      </w:pPr>
      <w:r w:rsidRPr="009B3519">
        <w:rPr>
          <w:rFonts w:ascii="Arial" w:hAnsi="Arial"/>
        </w:rPr>
        <w:t>An application for dispute resolution should include:</w:t>
      </w:r>
    </w:p>
    <w:p w:rsidR="00537966" w:rsidRDefault="00537966">
      <w:pPr>
        <w:spacing w:line="250" w:lineRule="exact"/>
        <w:rPr>
          <w:rFonts w:ascii="Arial" w:eastAsia="Arial" w:hAnsi="Arial" w:cs="Arial"/>
          <w:b/>
          <w:bCs/>
          <w:i/>
          <w:iCs/>
        </w:rPr>
      </w:pPr>
    </w:p>
    <w:p w:rsidR="004F4037" w:rsidRPr="009B3519" w:rsidRDefault="004F4037" w:rsidP="009B3519">
      <w:pPr>
        <w:numPr>
          <w:ilvl w:val="1"/>
          <w:numId w:val="5"/>
        </w:numPr>
        <w:tabs>
          <w:tab w:val="left" w:pos="1080"/>
        </w:tabs>
        <w:ind w:left="1080" w:hanging="360"/>
      </w:pPr>
      <w:r w:rsidRPr="009B3519">
        <w:rPr>
          <w:rFonts w:ascii="Arial" w:hAnsi="Arial"/>
        </w:rPr>
        <w:t>the full names and contact details of the parties involved in the dispute;</w:t>
      </w:r>
    </w:p>
    <w:p w:rsidR="00537966" w:rsidRDefault="00537966">
      <w:pPr>
        <w:spacing w:line="249" w:lineRule="exact"/>
        <w:rPr>
          <w:rFonts w:eastAsia="Times New Roman"/>
        </w:rPr>
      </w:pPr>
    </w:p>
    <w:p w:rsidR="004F4037" w:rsidRPr="009B3519" w:rsidRDefault="004F4037" w:rsidP="009B3519">
      <w:pPr>
        <w:numPr>
          <w:ilvl w:val="1"/>
          <w:numId w:val="5"/>
        </w:numPr>
        <w:tabs>
          <w:tab w:val="left" w:pos="1080"/>
        </w:tabs>
        <w:spacing w:line="235" w:lineRule="auto"/>
        <w:ind w:left="1080" w:right="20" w:hanging="360"/>
      </w:pPr>
      <w:r w:rsidRPr="009B3519">
        <w:rPr>
          <w:rFonts w:ascii="Arial" w:hAnsi="Arial"/>
        </w:rPr>
        <w:t>a statement describing the nature and circumstances of the dispute (with reference to the appropriate regulations or contract provisions);</w:t>
      </w:r>
    </w:p>
    <w:p w:rsidR="00537966" w:rsidRDefault="00537966">
      <w:pPr>
        <w:spacing w:line="240" w:lineRule="exact"/>
        <w:rPr>
          <w:rFonts w:eastAsia="Times New Roman"/>
        </w:rPr>
      </w:pPr>
    </w:p>
    <w:p w:rsidR="004F4037" w:rsidRPr="009B3519" w:rsidRDefault="004F4037" w:rsidP="009B3519">
      <w:pPr>
        <w:numPr>
          <w:ilvl w:val="1"/>
          <w:numId w:val="5"/>
        </w:numPr>
        <w:tabs>
          <w:tab w:val="left" w:pos="1080"/>
        </w:tabs>
        <w:ind w:left="1080" w:hanging="360"/>
      </w:pPr>
      <w:r w:rsidRPr="009B3519">
        <w:rPr>
          <w:rFonts w:ascii="Arial" w:hAnsi="Arial"/>
        </w:rPr>
        <w:t>a signed copy of the contract which is in dispute;</w:t>
      </w:r>
    </w:p>
    <w:p w:rsidR="00537966" w:rsidRDefault="00537966">
      <w:pPr>
        <w:spacing w:line="238" w:lineRule="exact"/>
        <w:rPr>
          <w:rFonts w:eastAsia="Times New Roman"/>
        </w:rPr>
      </w:pPr>
    </w:p>
    <w:p w:rsidR="004F4037" w:rsidRPr="009B3519" w:rsidRDefault="004F4037" w:rsidP="009B3519">
      <w:pPr>
        <w:numPr>
          <w:ilvl w:val="1"/>
          <w:numId w:val="5"/>
        </w:numPr>
        <w:tabs>
          <w:tab w:val="left" w:pos="1080"/>
        </w:tabs>
        <w:ind w:left="1080" w:hanging="360"/>
      </w:pPr>
      <w:r w:rsidRPr="009B3519">
        <w:rPr>
          <w:rFonts w:ascii="Arial" w:hAnsi="Arial"/>
        </w:rPr>
        <w:t>what the applicant sees as the appropriate outcome of the dispute;</w:t>
      </w:r>
    </w:p>
    <w:p w:rsidR="00537966" w:rsidRDefault="00537966">
      <w:pPr>
        <w:spacing w:line="238" w:lineRule="exact"/>
        <w:rPr>
          <w:rFonts w:eastAsia="Times New Roman"/>
        </w:rPr>
      </w:pPr>
    </w:p>
    <w:p w:rsidR="004F4037" w:rsidRPr="009B3519" w:rsidRDefault="004F4037" w:rsidP="009B3519">
      <w:pPr>
        <w:numPr>
          <w:ilvl w:val="1"/>
          <w:numId w:val="5"/>
        </w:numPr>
        <w:tabs>
          <w:tab w:val="left" w:pos="1080"/>
        </w:tabs>
        <w:ind w:left="1080" w:hanging="360"/>
      </w:pPr>
      <w:r w:rsidRPr="009B3519">
        <w:rPr>
          <w:rFonts w:ascii="Arial" w:hAnsi="Arial"/>
        </w:rPr>
        <w:t>confirmation that all local dispute resolution options have been exhausted.</w:t>
      </w:r>
    </w:p>
    <w:p w:rsidR="00537966" w:rsidRDefault="00537966">
      <w:pPr>
        <w:spacing w:line="262" w:lineRule="exact"/>
        <w:rPr>
          <w:rFonts w:eastAsia="Times New Roman"/>
        </w:rPr>
      </w:pPr>
    </w:p>
    <w:p w:rsidR="004F4037" w:rsidRPr="009B3519" w:rsidRDefault="004F4037" w:rsidP="009B3519">
      <w:pPr>
        <w:numPr>
          <w:ilvl w:val="1"/>
          <w:numId w:val="5"/>
        </w:numPr>
        <w:tabs>
          <w:tab w:val="left" w:pos="1080"/>
        </w:tabs>
        <w:spacing w:line="236" w:lineRule="auto"/>
        <w:ind w:left="1080" w:right="220" w:hanging="360"/>
        <w:rPr>
          <w:rFonts w:ascii="Arial" w:hAnsi="Arial"/>
          <w:color w:val="0000FF"/>
          <w:u w:val="single"/>
        </w:rPr>
      </w:pPr>
      <w:r w:rsidRPr="009B3519">
        <w:rPr>
          <w:rFonts w:ascii="Arial" w:hAnsi="Arial"/>
        </w:rPr>
        <w:t xml:space="preserve">A </w:t>
      </w:r>
      <w:proofErr w:type="spellStart"/>
      <w:r w:rsidRPr="009B3519">
        <w:rPr>
          <w:rFonts w:ascii="Arial" w:hAnsi="Arial"/>
        </w:rPr>
        <w:t>comparables</w:t>
      </w:r>
      <w:proofErr w:type="spellEnd"/>
      <w:r w:rsidRPr="009B3519">
        <w:rPr>
          <w:rFonts w:ascii="Arial" w:hAnsi="Arial"/>
        </w:rPr>
        <w:t xml:space="preserve"> table (in Current Market Rent cases) in the form set out here: </w:t>
      </w:r>
      <w:hyperlink r:id="rId9">
        <w:r w:rsidRPr="009B3519">
          <w:rPr>
            <w:rFonts w:ascii="Arial" w:hAnsi="Arial"/>
            <w:color w:val="0000FF"/>
            <w:u w:val="single"/>
          </w:rPr>
          <w:t>http://www.nhsla.com/Pages/Publications.aspx?library=FHSAU%7cpublications</w:t>
        </w:r>
      </w:hyperlink>
    </w:p>
    <w:p w:rsidR="00537966" w:rsidRDefault="00537966">
      <w:pPr>
        <w:spacing w:line="252" w:lineRule="exact"/>
        <w:rPr>
          <w:sz w:val="20"/>
          <w:szCs w:val="20"/>
        </w:rPr>
      </w:pPr>
    </w:p>
    <w:p w:rsidR="00537966" w:rsidRDefault="0089392F">
      <w:pPr>
        <w:ind w:left="720"/>
        <w:rPr>
          <w:sz w:val="20"/>
          <w:szCs w:val="20"/>
        </w:rPr>
      </w:pPr>
      <w:r>
        <w:rPr>
          <w:rFonts w:ascii="Arial" w:eastAsia="Arial" w:hAnsi="Arial" w:cs="Arial"/>
        </w:rPr>
        <w:t>NHS Resolution’s current Protocol can be found at:</w:t>
      </w:r>
    </w:p>
    <w:p w:rsidR="00537966" w:rsidRDefault="00537966">
      <w:pPr>
        <w:spacing w:line="1" w:lineRule="exact"/>
        <w:rPr>
          <w:sz w:val="20"/>
          <w:szCs w:val="20"/>
        </w:rPr>
      </w:pPr>
    </w:p>
    <w:p w:rsidR="00537966" w:rsidRDefault="00A74D62">
      <w:pPr>
        <w:ind w:left="720"/>
        <w:rPr>
          <w:rFonts w:ascii="Arial" w:eastAsia="Arial" w:hAnsi="Arial" w:cs="Arial"/>
          <w:color w:val="0000FF"/>
          <w:u w:val="single"/>
        </w:rPr>
      </w:pPr>
      <w:hyperlink r:id="rId10">
        <w:r w:rsidR="0089392F">
          <w:rPr>
            <w:rFonts w:ascii="Arial" w:eastAsia="Arial" w:hAnsi="Arial" w:cs="Arial"/>
            <w:color w:val="0000FF"/>
            <w:u w:val="single"/>
          </w:rPr>
          <w:t>http://www.nhsla.com/Pages/Publications.aspx?library=FHSAU%7cpublications</w:t>
        </w:r>
      </w:hyperlink>
    </w:p>
    <w:p w:rsidR="00537966" w:rsidRDefault="00537966">
      <w:pPr>
        <w:spacing w:line="200" w:lineRule="exact"/>
        <w:rPr>
          <w:sz w:val="20"/>
          <w:szCs w:val="20"/>
        </w:rPr>
      </w:pPr>
    </w:p>
    <w:p w:rsidR="004F4037" w:rsidRPr="009B3519" w:rsidRDefault="004F4037" w:rsidP="009B3519">
      <w:pPr>
        <w:spacing w:line="305" w:lineRule="exact"/>
        <w:rPr>
          <w:sz w:val="20"/>
        </w:rPr>
      </w:pPr>
    </w:p>
    <w:p w:rsidR="004F4037" w:rsidRPr="009B3519" w:rsidRDefault="004F4037" w:rsidP="009B3519">
      <w:pPr>
        <w:tabs>
          <w:tab w:val="left" w:pos="720"/>
        </w:tabs>
        <w:ind w:left="720"/>
        <w:rPr>
          <w:rFonts w:ascii="Arial" w:hAnsi="Arial"/>
          <w:b/>
          <w:i/>
        </w:rPr>
      </w:pPr>
      <w:r w:rsidRPr="009B3519">
        <w:rPr>
          <w:rFonts w:ascii="Arial" w:hAnsi="Arial"/>
          <w:b/>
          <w:i/>
        </w:rPr>
        <w:t>Who will take the final decision?</w:t>
      </w:r>
    </w:p>
    <w:p w:rsidR="00537966" w:rsidRDefault="00537966">
      <w:pPr>
        <w:spacing w:line="261" w:lineRule="exact"/>
        <w:rPr>
          <w:rFonts w:ascii="Arial" w:eastAsia="Arial" w:hAnsi="Arial" w:cs="Arial"/>
          <w:b/>
          <w:bCs/>
          <w:i/>
          <w:iCs/>
        </w:rPr>
      </w:pPr>
    </w:p>
    <w:p w:rsidR="004F4037" w:rsidRPr="009B3519" w:rsidRDefault="004F4037" w:rsidP="009B3519">
      <w:pPr>
        <w:spacing w:line="235" w:lineRule="auto"/>
        <w:ind w:left="720" w:right="20"/>
        <w:rPr>
          <w:rFonts w:ascii="Arial" w:hAnsi="Arial"/>
          <w:b/>
          <w:i/>
        </w:rPr>
      </w:pPr>
      <w:r w:rsidRPr="009B3519">
        <w:rPr>
          <w:rFonts w:ascii="Arial" w:hAnsi="Arial"/>
        </w:rPr>
        <w:t xml:space="preserve">The decision is usually taken by an officer of NHS </w:t>
      </w:r>
      <w:r w:rsidR="0089392F">
        <w:rPr>
          <w:rFonts w:ascii="Arial" w:eastAsia="Arial" w:hAnsi="Arial" w:cs="Arial"/>
        </w:rPr>
        <w:t>Resolution</w:t>
      </w:r>
      <w:r w:rsidRPr="009B3519">
        <w:rPr>
          <w:rFonts w:ascii="Arial" w:hAnsi="Arial"/>
        </w:rPr>
        <w:t xml:space="preserve"> who fulfils the role of "the Adjudicator".</w:t>
      </w:r>
    </w:p>
    <w:p w:rsidR="00537966" w:rsidRDefault="00537966">
      <w:pPr>
        <w:spacing w:line="254"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What is the procedure?</w:t>
      </w:r>
    </w:p>
    <w:p w:rsidR="00537966" w:rsidRDefault="00537966">
      <w:pPr>
        <w:spacing w:line="262" w:lineRule="exact"/>
        <w:rPr>
          <w:rFonts w:ascii="Arial" w:eastAsia="Arial" w:hAnsi="Arial" w:cs="Arial"/>
          <w:b/>
          <w:bCs/>
          <w:i/>
          <w:iCs/>
        </w:rPr>
      </w:pPr>
    </w:p>
    <w:p w:rsidR="004F4037" w:rsidRPr="009B3519" w:rsidRDefault="0089392F" w:rsidP="009B3519">
      <w:pPr>
        <w:spacing w:line="235" w:lineRule="auto"/>
        <w:ind w:left="720" w:right="20"/>
        <w:rPr>
          <w:rFonts w:ascii="Arial" w:hAnsi="Arial"/>
          <w:b/>
          <w:i/>
        </w:rPr>
      </w:pPr>
      <w:r>
        <w:rPr>
          <w:rFonts w:ascii="Arial" w:eastAsia="Arial" w:hAnsi="Arial" w:cs="Arial"/>
        </w:rPr>
        <w:t>As stated earlier, on</w:t>
      </w:r>
      <w:r w:rsidR="004F4037" w:rsidRPr="009B3519">
        <w:rPr>
          <w:rFonts w:ascii="Arial" w:hAnsi="Arial"/>
        </w:rPr>
        <w:t xml:space="preserve"> receipt of an application, NHS </w:t>
      </w:r>
      <w:r>
        <w:rPr>
          <w:rFonts w:ascii="Arial" w:eastAsia="Arial" w:hAnsi="Arial" w:cs="Arial"/>
        </w:rPr>
        <w:t>Resolution</w:t>
      </w:r>
      <w:r w:rsidR="004F4037" w:rsidRPr="009B3519">
        <w:rPr>
          <w:rFonts w:ascii="Arial" w:hAnsi="Arial"/>
        </w:rPr>
        <w:t xml:space="preserve"> will first consider whether it has jurisdiction to consider the dispute.</w:t>
      </w:r>
    </w:p>
    <w:p w:rsidR="00537966" w:rsidRDefault="00537966">
      <w:pPr>
        <w:sectPr w:rsidR="00537966">
          <w:pgSz w:w="11900" w:h="16838"/>
          <w:pgMar w:top="1440" w:right="1426" w:bottom="975" w:left="1440" w:header="0" w:footer="0" w:gutter="0"/>
          <w:cols w:space="720" w:equalWidth="0">
            <w:col w:w="9040"/>
          </w:cols>
        </w:sectPr>
      </w:pPr>
    </w:p>
    <w:p w:rsidR="00537966" w:rsidRDefault="00537966">
      <w:pPr>
        <w:spacing w:line="6" w:lineRule="exact"/>
        <w:rPr>
          <w:sz w:val="20"/>
          <w:szCs w:val="20"/>
        </w:rPr>
      </w:pPr>
      <w:bookmarkStart w:id="1" w:name="page3"/>
      <w:bookmarkEnd w:id="1"/>
    </w:p>
    <w:p w:rsidR="004F4037" w:rsidRPr="009B3519" w:rsidRDefault="004F4037" w:rsidP="009B3519">
      <w:pPr>
        <w:spacing w:line="238" w:lineRule="auto"/>
        <w:ind w:left="720"/>
        <w:jc w:val="both"/>
        <w:rPr>
          <w:sz w:val="20"/>
        </w:rPr>
      </w:pPr>
      <w:r w:rsidRPr="009B3519">
        <w:rPr>
          <w:rFonts w:ascii="Arial" w:hAnsi="Arial"/>
        </w:rPr>
        <w:t xml:space="preserve">If it does, NHS </w:t>
      </w:r>
      <w:r w:rsidR="0089392F">
        <w:rPr>
          <w:rFonts w:ascii="Arial" w:eastAsia="Arial" w:hAnsi="Arial" w:cs="Arial"/>
        </w:rPr>
        <w:t>Resolution</w:t>
      </w:r>
      <w:r w:rsidRPr="009B3519">
        <w:rPr>
          <w:rFonts w:ascii="Arial" w:hAnsi="Arial"/>
        </w:rPr>
        <w:t xml:space="preserve"> will then consider whether the application provides the information required by the Regulations. If the appropriate information has been provided, NHS </w:t>
      </w:r>
      <w:r w:rsidR="0089392F">
        <w:rPr>
          <w:rFonts w:ascii="Arial" w:eastAsia="Arial" w:hAnsi="Arial" w:cs="Arial"/>
        </w:rPr>
        <w:t>Resolution</w:t>
      </w:r>
      <w:r w:rsidRPr="009B3519">
        <w:rPr>
          <w:rFonts w:ascii="Arial" w:hAnsi="Arial"/>
        </w:rPr>
        <w:t xml:space="preserve"> will invite representations from parties. At this stage, the parties should provide all further evidence which they wish NHS </w:t>
      </w:r>
      <w:r w:rsidR="0089392F">
        <w:rPr>
          <w:rFonts w:ascii="Arial" w:eastAsia="Arial" w:hAnsi="Arial" w:cs="Arial"/>
        </w:rPr>
        <w:t>Resolution</w:t>
      </w:r>
      <w:r w:rsidRPr="009B3519">
        <w:rPr>
          <w:rFonts w:ascii="Arial" w:hAnsi="Arial"/>
        </w:rPr>
        <w:t xml:space="preserve"> to consider.</w:t>
      </w:r>
    </w:p>
    <w:p w:rsidR="00537966" w:rsidRDefault="00537966">
      <w:pPr>
        <w:spacing w:line="251" w:lineRule="exact"/>
        <w:rPr>
          <w:sz w:val="20"/>
          <w:szCs w:val="20"/>
        </w:rPr>
      </w:pPr>
    </w:p>
    <w:p w:rsidR="004F4037" w:rsidRPr="009B3519" w:rsidRDefault="004F4037" w:rsidP="009B3519">
      <w:pPr>
        <w:spacing w:line="238" w:lineRule="auto"/>
        <w:ind w:left="720" w:right="20"/>
        <w:jc w:val="both"/>
        <w:rPr>
          <w:sz w:val="20"/>
        </w:rPr>
      </w:pPr>
      <w:r w:rsidRPr="009B3519">
        <w:rPr>
          <w:rFonts w:ascii="Arial" w:hAnsi="Arial"/>
        </w:rPr>
        <w:t xml:space="preserve">When submitting representations to NHS </w:t>
      </w:r>
      <w:r w:rsidR="0089392F">
        <w:rPr>
          <w:rFonts w:ascii="Arial" w:eastAsia="Arial" w:hAnsi="Arial" w:cs="Arial"/>
        </w:rPr>
        <w:t>Resolution</w:t>
      </w:r>
      <w:r w:rsidRPr="009B3519">
        <w:rPr>
          <w:rFonts w:ascii="Arial" w:hAnsi="Arial"/>
        </w:rPr>
        <w:t xml:space="preserve">, accompanying bundles of documents should be indexed and paginated. A chronology of events is useful in complicated cases. Parties should not assume that NHS </w:t>
      </w:r>
      <w:r w:rsidR="0089392F">
        <w:rPr>
          <w:rFonts w:ascii="Arial" w:eastAsia="Arial" w:hAnsi="Arial" w:cs="Arial"/>
        </w:rPr>
        <w:t>Resolution</w:t>
      </w:r>
      <w:r w:rsidRPr="009B3519">
        <w:rPr>
          <w:rFonts w:ascii="Arial" w:hAnsi="Arial"/>
        </w:rPr>
        <w:t xml:space="preserve"> is familiar with particular systems and processes. Clear and specific reference should be made to any pages in the bundle upon which the party relies in support of a particular representation.</w:t>
      </w:r>
    </w:p>
    <w:p w:rsidR="00537966" w:rsidRDefault="00537966">
      <w:pPr>
        <w:spacing w:line="252" w:lineRule="exact"/>
        <w:rPr>
          <w:sz w:val="20"/>
          <w:szCs w:val="20"/>
        </w:rPr>
      </w:pPr>
    </w:p>
    <w:p w:rsidR="004F4037" w:rsidRPr="009B3519" w:rsidRDefault="004F4037" w:rsidP="009B3519">
      <w:pPr>
        <w:spacing w:line="239" w:lineRule="auto"/>
        <w:ind w:left="720" w:right="20"/>
        <w:jc w:val="both"/>
        <w:rPr>
          <w:sz w:val="20"/>
        </w:rPr>
      </w:pPr>
      <w:r w:rsidRPr="009B3519">
        <w:rPr>
          <w:rFonts w:ascii="Arial" w:hAnsi="Arial"/>
        </w:rPr>
        <w:t xml:space="preserve">No document may be provided on a 'confidential basis' although a party may apply to have parts of any document withheld from publication in NHS </w:t>
      </w:r>
      <w:r w:rsidR="0089392F">
        <w:rPr>
          <w:rFonts w:ascii="Arial" w:eastAsia="Arial" w:hAnsi="Arial" w:cs="Arial"/>
        </w:rPr>
        <w:t>Resolution’s</w:t>
      </w:r>
      <w:r w:rsidRPr="009B3519">
        <w:rPr>
          <w:rFonts w:ascii="Arial" w:hAnsi="Arial"/>
        </w:rPr>
        <w:t xml:space="preserve"> determination. All information received will be disclosed to the other parties, so any party wishing to have material withheld from publication must send a full version of the document to NHS </w:t>
      </w:r>
      <w:r w:rsidR="0089392F">
        <w:rPr>
          <w:rFonts w:ascii="Arial" w:eastAsia="Arial" w:hAnsi="Arial" w:cs="Arial"/>
        </w:rPr>
        <w:t>Resolution</w:t>
      </w:r>
      <w:r w:rsidRPr="009B3519">
        <w:rPr>
          <w:rFonts w:ascii="Arial" w:hAnsi="Arial"/>
        </w:rPr>
        <w:t>, indicating which parts the party would like withheld and the reasons why withholding is sought.</w:t>
      </w:r>
    </w:p>
    <w:p w:rsidR="00537966" w:rsidRDefault="00537966">
      <w:pPr>
        <w:spacing w:line="248" w:lineRule="exact"/>
        <w:rPr>
          <w:sz w:val="20"/>
          <w:szCs w:val="20"/>
        </w:rPr>
      </w:pPr>
    </w:p>
    <w:p w:rsidR="004F4037" w:rsidRPr="009B3519" w:rsidRDefault="004F4037" w:rsidP="009B3519">
      <w:pPr>
        <w:spacing w:line="235" w:lineRule="auto"/>
        <w:ind w:left="720"/>
        <w:jc w:val="both"/>
        <w:rPr>
          <w:sz w:val="20"/>
        </w:rPr>
      </w:pPr>
      <w:r w:rsidRPr="009B3519">
        <w:rPr>
          <w:rFonts w:ascii="Arial" w:hAnsi="Arial"/>
        </w:rPr>
        <w:t>Any representations received will be circulated for final observations before the case is placed before the Adjudicator for determination.</w:t>
      </w:r>
    </w:p>
    <w:p w:rsidR="00537966" w:rsidRDefault="00537966">
      <w:pPr>
        <w:spacing w:line="255" w:lineRule="exact"/>
        <w:rPr>
          <w:sz w:val="20"/>
          <w:szCs w:val="20"/>
        </w:rPr>
      </w:pPr>
    </w:p>
    <w:p w:rsidR="004F4037" w:rsidRPr="009B3519" w:rsidRDefault="004F4037" w:rsidP="009B3519">
      <w:pPr>
        <w:tabs>
          <w:tab w:val="left" w:pos="720"/>
        </w:tabs>
        <w:ind w:left="720"/>
        <w:rPr>
          <w:rFonts w:ascii="Arial" w:hAnsi="Arial"/>
          <w:b/>
          <w:i/>
        </w:rPr>
      </w:pPr>
      <w:r w:rsidRPr="009B3519">
        <w:rPr>
          <w:rFonts w:ascii="Arial" w:hAnsi="Arial"/>
          <w:b/>
          <w:i/>
        </w:rPr>
        <w:t>What happens next on GMS/PMS Current Market Rent disputes?</w:t>
      </w:r>
    </w:p>
    <w:p w:rsidR="00537966" w:rsidRDefault="00537966">
      <w:pPr>
        <w:spacing w:line="261" w:lineRule="exact"/>
        <w:rPr>
          <w:rFonts w:ascii="Arial" w:eastAsia="Arial" w:hAnsi="Arial" w:cs="Arial"/>
          <w:b/>
          <w:bCs/>
          <w:i/>
          <w:iCs/>
        </w:rPr>
      </w:pPr>
    </w:p>
    <w:p w:rsidR="004F4037" w:rsidRPr="009B3519" w:rsidRDefault="004F4037" w:rsidP="009B3519">
      <w:pPr>
        <w:spacing w:line="238" w:lineRule="auto"/>
        <w:ind w:left="720" w:right="20"/>
        <w:jc w:val="both"/>
        <w:rPr>
          <w:rFonts w:ascii="Arial" w:hAnsi="Arial"/>
          <w:b/>
          <w:i/>
        </w:rPr>
      </w:pPr>
      <w:r w:rsidRPr="009B3519">
        <w:rPr>
          <w:rFonts w:ascii="Arial" w:hAnsi="Arial"/>
        </w:rPr>
        <w:t xml:space="preserve">NHS </w:t>
      </w:r>
      <w:r w:rsidR="0089392F">
        <w:rPr>
          <w:rFonts w:ascii="Arial" w:eastAsia="Arial" w:hAnsi="Arial" w:cs="Arial"/>
        </w:rPr>
        <w:t>Resolution</w:t>
      </w:r>
      <w:r w:rsidRPr="009B3519">
        <w:rPr>
          <w:rFonts w:ascii="Arial" w:hAnsi="Arial"/>
        </w:rPr>
        <w:t xml:space="preserve"> may ask the Royal Institution of Chartered Surveyors to nominate an advisor from whom the Adjudicator may seek advice on the current market rent for the premises. NHS </w:t>
      </w:r>
      <w:r w:rsidR="0089392F">
        <w:rPr>
          <w:rFonts w:ascii="Arial" w:eastAsia="Arial" w:hAnsi="Arial" w:cs="Arial"/>
        </w:rPr>
        <w:t>Resolution</w:t>
      </w:r>
      <w:r w:rsidRPr="009B3519">
        <w:rPr>
          <w:rFonts w:ascii="Arial" w:hAnsi="Arial"/>
        </w:rPr>
        <w:t xml:space="preserve"> will circulate a copy of any advice received to the parties for observations on its content, before the Adjudicator reaches a final decision on the application for dispute resolution.</w:t>
      </w:r>
    </w:p>
    <w:p w:rsidR="00537966" w:rsidRDefault="00537966">
      <w:pPr>
        <w:spacing w:line="254"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Will there be an Oral Hearing?</w:t>
      </w:r>
    </w:p>
    <w:p w:rsidR="00537966" w:rsidRDefault="00537966">
      <w:pPr>
        <w:spacing w:line="261" w:lineRule="exact"/>
        <w:rPr>
          <w:rFonts w:ascii="Arial" w:eastAsia="Arial" w:hAnsi="Arial" w:cs="Arial"/>
          <w:b/>
          <w:bCs/>
          <w:i/>
          <w:iCs/>
        </w:rPr>
      </w:pPr>
    </w:p>
    <w:p w:rsidR="004F4037" w:rsidRPr="009B3519" w:rsidRDefault="004F4037" w:rsidP="009B3519">
      <w:pPr>
        <w:spacing w:line="237" w:lineRule="auto"/>
        <w:ind w:left="720" w:right="20"/>
        <w:jc w:val="both"/>
        <w:rPr>
          <w:rFonts w:ascii="Arial" w:hAnsi="Arial"/>
          <w:b/>
          <w:i/>
        </w:rPr>
      </w:pPr>
      <w:r w:rsidRPr="009B3519">
        <w:rPr>
          <w:rFonts w:ascii="Arial" w:hAnsi="Arial"/>
        </w:rPr>
        <w:t>The majority of cases are decided on the basis of the correspondence. Occasionally, however, particularly where there are material differences in the facts presented by the parties, complexities, or even insufficient information, it may be necessary to hold an Oral Hearing.</w:t>
      </w:r>
    </w:p>
    <w:p w:rsidR="00537966" w:rsidRDefault="00537966">
      <w:pPr>
        <w:spacing w:line="257"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Who will be present at the Oral Hearing?</w:t>
      </w:r>
    </w:p>
    <w:p w:rsidR="00537966" w:rsidRDefault="00537966">
      <w:pPr>
        <w:spacing w:line="262" w:lineRule="exact"/>
        <w:rPr>
          <w:rFonts w:ascii="Arial" w:eastAsia="Arial" w:hAnsi="Arial" w:cs="Arial"/>
          <w:b/>
          <w:bCs/>
          <w:i/>
          <w:iCs/>
        </w:rPr>
      </w:pPr>
    </w:p>
    <w:p w:rsidR="004F4037" w:rsidRPr="009B3519" w:rsidRDefault="004F4037" w:rsidP="009B3519">
      <w:pPr>
        <w:spacing w:line="235" w:lineRule="auto"/>
        <w:ind w:left="720" w:right="20"/>
        <w:rPr>
          <w:rFonts w:ascii="Arial" w:hAnsi="Arial"/>
          <w:b/>
          <w:i/>
        </w:rPr>
      </w:pPr>
      <w:r w:rsidRPr="009B3519">
        <w:rPr>
          <w:rFonts w:ascii="Arial" w:hAnsi="Arial"/>
        </w:rPr>
        <w:t>The Adjudicator (who may be assisted by a clerk), the parties, their representatives and any relevant witnesses will be invited to attend an Oral Hearing.</w:t>
      </w:r>
    </w:p>
    <w:p w:rsidR="00537966" w:rsidRDefault="00537966">
      <w:pPr>
        <w:spacing w:line="254"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What procedure will be followed at an Oral Hearing?</w:t>
      </w:r>
    </w:p>
    <w:p w:rsidR="00537966" w:rsidRDefault="00537966">
      <w:pPr>
        <w:spacing w:line="261" w:lineRule="exact"/>
        <w:rPr>
          <w:rFonts w:ascii="Arial" w:eastAsia="Arial" w:hAnsi="Arial" w:cs="Arial"/>
          <w:b/>
          <w:bCs/>
          <w:i/>
          <w:iCs/>
        </w:rPr>
      </w:pPr>
    </w:p>
    <w:p w:rsidR="004F4037" w:rsidRPr="009B3519" w:rsidRDefault="004F4037" w:rsidP="009B3519">
      <w:pPr>
        <w:spacing w:line="236" w:lineRule="auto"/>
        <w:ind w:left="720" w:right="20"/>
        <w:rPr>
          <w:rFonts w:ascii="Arial" w:hAnsi="Arial"/>
          <w:b/>
          <w:i/>
        </w:rPr>
      </w:pPr>
      <w:r w:rsidRPr="009B3519">
        <w:rPr>
          <w:rFonts w:ascii="Arial" w:hAnsi="Arial"/>
        </w:rPr>
        <w:t>The Adjudicator will explain the procedures to be followed on the day (and may also provide written procedural information in advance).</w:t>
      </w:r>
    </w:p>
    <w:p w:rsidR="00537966" w:rsidRDefault="00537966">
      <w:pPr>
        <w:spacing w:line="252"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Who will be allowed to speak?</w:t>
      </w:r>
    </w:p>
    <w:p w:rsidR="00537966" w:rsidRDefault="00537966">
      <w:pPr>
        <w:spacing w:line="261" w:lineRule="exact"/>
        <w:rPr>
          <w:rFonts w:ascii="Arial" w:eastAsia="Arial" w:hAnsi="Arial" w:cs="Arial"/>
          <w:b/>
          <w:bCs/>
          <w:i/>
          <w:iCs/>
        </w:rPr>
      </w:pPr>
    </w:p>
    <w:p w:rsidR="004F4037" w:rsidRPr="009B3519" w:rsidRDefault="004F4037" w:rsidP="009B3519">
      <w:pPr>
        <w:spacing w:line="237" w:lineRule="auto"/>
        <w:ind w:left="720" w:right="20"/>
        <w:jc w:val="both"/>
        <w:rPr>
          <w:rFonts w:ascii="Arial" w:hAnsi="Arial"/>
          <w:b/>
          <w:i/>
        </w:rPr>
      </w:pPr>
      <w:r w:rsidRPr="009B3519">
        <w:rPr>
          <w:rFonts w:ascii="Arial" w:hAnsi="Arial"/>
        </w:rPr>
        <w:t>In general terms, each party will be allowed to expand on their written evidence and each party will be given the opportunity to comment on matters raised at the hearing. The Adjudicator may question any party.</w:t>
      </w:r>
    </w:p>
    <w:p w:rsidR="00537966" w:rsidRDefault="00537966">
      <w:pPr>
        <w:sectPr w:rsidR="00537966">
          <w:pgSz w:w="11900" w:h="16838"/>
          <w:pgMar w:top="1440" w:right="1426" w:bottom="1440" w:left="1440" w:header="0" w:footer="0" w:gutter="0"/>
          <w:cols w:space="720" w:equalWidth="0">
            <w:col w:w="9040"/>
          </w:cols>
        </w:sectPr>
      </w:pPr>
    </w:p>
    <w:p w:rsidR="004F4037" w:rsidRPr="009B3519" w:rsidRDefault="004F4037" w:rsidP="009B3519">
      <w:pPr>
        <w:tabs>
          <w:tab w:val="left" w:pos="720"/>
        </w:tabs>
        <w:ind w:left="720"/>
        <w:rPr>
          <w:rFonts w:ascii="Arial" w:hAnsi="Arial"/>
          <w:b/>
          <w:i/>
        </w:rPr>
      </w:pPr>
      <w:bookmarkStart w:id="2" w:name="page4"/>
      <w:bookmarkEnd w:id="2"/>
      <w:r w:rsidRPr="009B3519">
        <w:rPr>
          <w:rFonts w:ascii="Arial" w:hAnsi="Arial"/>
          <w:b/>
          <w:i/>
        </w:rPr>
        <w:t>Are witnesses allowed?</w:t>
      </w:r>
    </w:p>
    <w:p w:rsidR="00537966" w:rsidRDefault="00537966">
      <w:pPr>
        <w:spacing w:line="261" w:lineRule="exact"/>
        <w:rPr>
          <w:rFonts w:ascii="Arial" w:eastAsia="Arial" w:hAnsi="Arial" w:cs="Arial"/>
          <w:b/>
          <w:bCs/>
          <w:i/>
          <w:iCs/>
        </w:rPr>
      </w:pPr>
    </w:p>
    <w:p w:rsidR="004F4037" w:rsidRPr="009B3519" w:rsidRDefault="004F4037" w:rsidP="009B3519">
      <w:pPr>
        <w:spacing w:line="235" w:lineRule="auto"/>
        <w:ind w:left="720" w:right="20"/>
        <w:rPr>
          <w:rFonts w:ascii="Arial" w:hAnsi="Arial"/>
          <w:b/>
          <w:i/>
        </w:rPr>
      </w:pPr>
      <w:r w:rsidRPr="009B3519">
        <w:rPr>
          <w:rFonts w:ascii="Arial" w:hAnsi="Arial"/>
        </w:rPr>
        <w:t xml:space="preserve">Appropriate witnesses may be brought to support your case although you should provide NHS </w:t>
      </w:r>
      <w:r w:rsidR="0089392F">
        <w:rPr>
          <w:rFonts w:ascii="Arial" w:eastAsia="Arial" w:hAnsi="Arial" w:cs="Arial"/>
        </w:rPr>
        <w:t>Resolution</w:t>
      </w:r>
      <w:r w:rsidRPr="009B3519">
        <w:rPr>
          <w:rFonts w:ascii="Arial" w:hAnsi="Arial"/>
        </w:rPr>
        <w:t xml:space="preserve"> with a written summary of their evidence in advance.</w:t>
      </w:r>
    </w:p>
    <w:p w:rsidR="00537966" w:rsidRDefault="00537966">
      <w:pPr>
        <w:spacing w:line="263" w:lineRule="exact"/>
        <w:rPr>
          <w:rFonts w:ascii="Arial" w:eastAsia="Arial" w:hAnsi="Arial" w:cs="Arial"/>
          <w:b/>
          <w:bCs/>
          <w:i/>
          <w:iCs/>
        </w:rPr>
      </w:pPr>
    </w:p>
    <w:p w:rsidR="004F4037" w:rsidRPr="009B3519" w:rsidRDefault="004F4037" w:rsidP="009B3519">
      <w:pPr>
        <w:spacing w:line="235" w:lineRule="auto"/>
        <w:ind w:left="720" w:right="20"/>
        <w:rPr>
          <w:rFonts w:ascii="Arial" w:hAnsi="Arial"/>
          <w:b/>
          <w:i/>
        </w:rPr>
      </w:pPr>
      <w:r w:rsidRPr="009B3519">
        <w:rPr>
          <w:rFonts w:ascii="Arial" w:hAnsi="Arial"/>
        </w:rPr>
        <w:t>The Adjudicator will indicate at the hearing whether it is necessary for them to give evidence orally.</w:t>
      </w:r>
    </w:p>
    <w:p w:rsidR="00537966" w:rsidRDefault="00537966">
      <w:pPr>
        <w:spacing w:line="254"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What papers will the parties receive?</w:t>
      </w:r>
    </w:p>
    <w:p w:rsidR="00537966" w:rsidRDefault="00537966">
      <w:pPr>
        <w:spacing w:line="261" w:lineRule="exact"/>
        <w:rPr>
          <w:rFonts w:ascii="Arial" w:eastAsia="Arial" w:hAnsi="Arial" w:cs="Arial"/>
          <w:b/>
          <w:bCs/>
          <w:i/>
          <w:iCs/>
        </w:rPr>
      </w:pPr>
    </w:p>
    <w:p w:rsidR="004F4037" w:rsidRPr="009B3519" w:rsidRDefault="004F4037" w:rsidP="009B3519">
      <w:pPr>
        <w:spacing w:line="235" w:lineRule="auto"/>
        <w:ind w:left="720" w:right="20"/>
        <w:rPr>
          <w:rFonts w:ascii="Arial" w:hAnsi="Arial"/>
          <w:b/>
          <w:i/>
        </w:rPr>
      </w:pPr>
      <w:r w:rsidRPr="009B3519">
        <w:rPr>
          <w:rFonts w:ascii="Arial" w:hAnsi="Arial"/>
        </w:rPr>
        <w:t>If you have indicated your intention to attend the hearing, you (and all other parties attending) will receive a set of papers which will usually include:</w:t>
      </w:r>
    </w:p>
    <w:p w:rsidR="00537966" w:rsidRDefault="00537966">
      <w:pPr>
        <w:spacing w:line="241" w:lineRule="exact"/>
        <w:rPr>
          <w:rFonts w:ascii="Arial" w:eastAsia="Arial" w:hAnsi="Arial" w:cs="Arial"/>
          <w:b/>
          <w:bCs/>
          <w:i/>
          <w:iCs/>
        </w:rPr>
      </w:pPr>
    </w:p>
    <w:p w:rsidR="004F4037" w:rsidRPr="009B3519" w:rsidRDefault="0089392F" w:rsidP="009B3519">
      <w:pPr>
        <w:numPr>
          <w:ilvl w:val="1"/>
          <w:numId w:val="8"/>
        </w:numPr>
        <w:tabs>
          <w:tab w:val="left" w:pos="1280"/>
        </w:tabs>
        <w:ind w:left="1280" w:hanging="353"/>
        <w:rPr>
          <w:rFonts w:ascii="Symbol" w:hAnsi="Symbol"/>
        </w:rPr>
      </w:pPr>
      <w:r>
        <w:rPr>
          <w:rFonts w:ascii="Arial" w:eastAsia="Arial" w:hAnsi="Arial" w:cs="Arial"/>
        </w:rPr>
        <w:t>the</w:t>
      </w:r>
      <w:r w:rsidR="004F4037" w:rsidRPr="009B3519">
        <w:rPr>
          <w:rFonts w:ascii="Arial" w:hAnsi="Arial"/>
        </w:rPr>
        <w:t xml:space="preserve"> application for dispute resolution; and</w:t>
      </w:r>
    </w:p>
    <w:p w:rsidR="00537966" w:rsidRDefault="00537966">
      <w:pPr>
        <w:spacing w:line="236" w:lineRule="exact"/>
        <w:rPr>
          <w:rFonts w:ascii="Symbol" w:eastAsia="Symbol" w:hAnsi="Symbol" w:cs="Symbol"/>
        </w:rPr>
      </w:pPr>
    </w:p>
    <w:p w:rsidR="004F4037" w:rsidRPr="009B3519" w:rsidRDefault="0089392F" w:rsidP="009B3519">
      <w:pPr>
        <w:numPr>
          <w:ilvl w:val="1"/>
          <w:numId w:val="8"/>
        </w:numPr>
        <w:tabs>
          <w:tab w:val="left" w:pos="1280"/>
        </w:tabs>
        <w:ind w:left="1280" w:hanging="353"/>
        <w:rPr>
          <w:rFonts w:ascii="Symbol" w:hAnsi="Symbol"/>
        </w:rPr>
      </w:pPr>
      <w:r>
        <w:rPr>
          <w:rFonts w:ascii="Arial" w:eastAsia="Arial" w:hAnsi="Arial" w:cs="Arial"/>
        </w:rPr>
        <w:t>any representations</w:t>
      </w:r>
      <w:r w:rsidR="004F4037" w:rsidRPr="009B3519">
        <w:rPr>
          <w:rFonts w:ascii="Arial" w:hAnsi="Arial"/>
        </w:rPr>
        <w:t xml:space="preserve"> received.</w:t>
      </w:r>
    </w:p>
    <w:p w:rsidR="00537966" w:rsidRDefault="00537966">
      <w:pPr>
        <w:spacing w:line="250" w:lineRule="exact"/>
        <w:rPr>
          <w:sz w:val="20"/>
          <w:szCs w:val="20"/>
        </w:rPr>
      </w:pPr>
    </w:p>
    <w:p w:rsidR="004F4037" w:rsidRPr="009B3519" w:rsidRDefault="004F4037" w:rsidP="009B3519">
      <w:pPr>
        <w:spacing w:line="235" w:lineRule="auto"/>
        <w:ind w:left="720" w:right="20"/>
        <w:rPr>
          <w:sz w:val="20"/>
        </w:rPr>
      </w:pPr>
      <w:r w:rsidRPr="009B3519">
        <w:rPr>
          <w:rFonts w:ascii="Arial" w:hAnsi="Arial"/>
        </w:rPr>
        <w:t xml:space="preserve">Any further material </w:t>
      </w:r>
      <w:r w:rsidR="0089392F">
        <w:rPr>
          <w:rFonts w:ascii="Arial" w:eastAsia="Arial" w:hAnsi="Arial" w:cs="Arial"/>
        </w:rPr>
        <w:t xml:space="preserve">which </w:t>
      </w:r>
      <w:r w:rsidRPr="009B3519">
        <w:rPr>
          <w:rFonts w:ascii="Arial" w:hAnsi="Arial"/>
        </w:rPr>
        <w:t>you wish to present at the hearing will be considered at the discretion of the Adjudicator.</w:t>
      </w:r>
    </w:p>
    <w:p w:rsidR="00537966" w:rsidRDefault="00537966">
      <w:pPr>
        <w:spacing w:line="243" w:lineRule="exact"/>
        <w:rPr>
          <w:sz w:val="20"/>
          <w:szCs w:val="20"/>
        </w:rPr>
      </w:pPr>
    </w:p>
    <w:p w:rsidR="004F4037" w:rsidRPr="009B3519" w:rsidRDefault="004F4037" w:rsidP="009B3519">
      <w:pPr>
        <w:tabs>
          <w:tab w:val="left" w:pos="720"/>
        </w:tabs>
        <w:ind w:left="720"/>
        <w:rPr>
          <w:rFonts w:ascii="Arial" w:hAnsi="Arial"/>
          <w:b/>
          <w:i/>
        </w:rPr>
      </w:pPr>
      <w:r w:rsidRPr="009B3519">
        <w:rPr>
          <w:rFonts w:ascii="Arial" w:hAnsi="Arial"/>
          <w:b/>
          <w:i/>
        </w:rPr>
        <w:t>How long will the hearing last?</w:t>
      </w:r>
    </w:p>
    <w:p w:rsidR="00537966" w:rsidRDefault="00537966">
      <w:pPr>
        <w:spacing w:line="261" w:lineRule="exact"/>
        <w:rPr>
          <w:rFonts w:ascii="Arial" w:eastAsia="Arial" w:hAnsi="Arial" w:cs="Arial"/>
          <w:b/>
          <w:bCs/>
          <w:i/>
          <w:iCs/>
        </w:rPr>
      </w:pPr>
    </w:p>
    <w:p w:rsidR="004F4037" w:rsidRPr="009B3519" w:rsidRDefault="004F4037" w:rsidP="009B3519">
      <w:pPr>
        <w:spacing w:line="237" w:lineRule="auto"/>
        <w:ind w:left="720"/>
        <w:jc w:val="both"/>
        <w:rPr>
          <w:rFonts w:ascii="Arial" w:hAnsi="Arial"/>
          <w:b/>
          <w:i/>
        </w:rPr>
      </w:pPr>
      <w:r w:rsidRPr="009B3519">
        <w:rPr>
          <w:rFonts w:ascii="Arial" w:hAnsi="Arial"/>
        </w:rPr>
        <w:t>This will depend on the complexity of the case and the number of witnesses involved. Hearings may last for one or more days and it will be a matter for the Adjudicator to determine the length for which the case will be listed. The Adjudicator will try to ensure parties keep to the point and that there is no repetition.</w:t>
      </w:r>
    </w:p>
    <w:p w:rsidR="00537966" w:rsidRDefault="00537966">
      <w:pPr>
        <w:spacing w:line="257"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What happens after the Hearing?</w:t>
      </w:r>
    </w:p>
    <w:p w:rsidR="00537966" w:rsidRDefault="00537966">
      <w:pPr>
        <w:spacing w:line="261" w:lineRule="exact"/>
        <w:rPr>
          <w:rFonts w:ascii="Arial" w:eastAsia="Arial" w:hAnsi="Arial" w:cs="Arial"/>
          <w:b/>
          <w:bCs/>
          <w:i/>
          <w:iCs/>
        </w:rPr>
      </w:pPr>
    </w:p>
    <w:p w:rsidR="004F4037" w:rsidRPr="009B3519" w:rsidRDefault="004F4037" w:rsidP="009B3519">
      <w:pPr>
        <w:spacing w:line="236" w:lineRule="auto"/>
        <w:ind w:left="720"/>
        <w:jc w:val="both"/>
        <w:rPr>
          <w:rFonts w:ascii="Arial" w:hAnsi="Arial"/>
          <w:b/>
          <w:i/>
        </w:rPr>
      </w:pPr>
      <w:r w:rsidRPr="009B3519">
        <w:rPr>
          <w:rFonts w:ascii="Arial" w:hAnsi="Arial"/>
        </w:rPr>
        <w:t xml:space="preserve">The Adjudicator will consider the information put forward by the parties and </w:t>
      </w:r>
      <w:proofErr w:type="gramStart"/>
      <w:r w:rsidRPr="009B3519">
        <w:rPr>
          <w:rFonts w:ascii="Arial" w:hAnsi="Arial"/>
        </w:rPr>
        <w:t>make a determination</w:t>
      </w:r>
      <w:proofErr w:type="gramEnd"/>
      <w:r w:rsidRPr="009B3519">
        <w:rPr>
          <w:rFonts w:ascii="Arial" w:hAnsi="Arial"/>
        </w:rPr>
        <w:t xml:space="preserve"> with reasons. NHS </w:t>
      </w:r>
      <w:r w:rsidR="0089392F">
        <w:rPr>
          <w:rFonts w:ascii="Arial" w:eastAsia="Arial" w:hAnsi="Arial" w:cs="Arial"/>
        </w:rPr>
        <w:t>Resolution</w:t>
      </w:r>
      <w:r w:rsidRPr="009B3519">
        <w:rPr>
          <w:rFonts w:ascii="Arial" w:hAnsi="Arial"/>
        </w:rPr>
        <w:t xml:space="preserve"> will then notify the parties of the decision in writing.</w:t>
      </w:r>
    </w:p>
    <w:p w:rsidR="00537966" w:rsidRDefault="00537966">
      <w:pPr>
        <w:spacing w:line="255"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Parties with special and other needs?</w:t>
      </w:r>
    </w:p>
    <w:p w:rsidR="00537966" w:rsidRDefault="00537966">
      <w:pPr>
        <w:spacing w:line="261" w:lineRule="exact"/>
        <w:rPr>
          <w:rFonts w:ascii="Arial" w:eastAsia="Arial" w:hAnsi="Arial" w:cs="Arial"/>
          <w:b/>
          <w:bCs/>
          <w:i/>
          <w:iCs/>
        </w:rPr>
      </w:pPr>
    </w:p>
    <w:p w:rsidR="004F4037" w:rsidRPr="009B3519" w:rsidRDefault="004F4037" w:rsidP="009B3519">
      <w:pPr>
        <w:spacing w:line="237" w:lineRule="auto"/>
        <w:ind w:left="720"/>
        <w:jc w:val="both"/>
        <w:rPr>
          <w:rFonts w:ascii="Arial" w:hAnsi="Arial"/>
          <w:b/>
          <w:i/>
        </w:rPr>
      </w:pPr>
      <w:r w:rsidRPr="009B3519">
        <w:rPr>
          <w:rFonts w:ascii="Arial" w:hAnsi="Arial"/>
        </w:rPr>
        <w:t xml:space="preserve">NHS </w:t>
      </w:r>
      <w:r w:rsidR="0089392F">
        <w:rPr>
          <w:rFonts w:ascii="Arial" w:eastAsia="Arial" w:hAnsi="Arial" w:cs="Arial"/>
        </w:rPr>
        <w:t>Resolution</w:t>
      </w:r>
      <w:r w:rsidRPr="009B3519">
        <w:rPr>
          <w:rFonts w:ascii="Arial" w:hAnsi="Arial"/>
        </w:rPr>
        <w:t xml:space="preserve"> is committed to ensuring </w:t>
      </w:r>
      <w:r w:rsidR="0089392F">
        <w:rPr>
          <w:rFonts w:ascii="Arial" w:eastAsia="Arial" w:hAnsi="Arial" w:cs="Arial"/>
        </w:rPr>
        <w:t>that</w:t>
      </w:r>
      <w:r w:rsidRPr="009B3519">
        <w:rPr>
          <w:rFonts w:ascii="Arial" w:hAnsi="Arial"/>
        </w:rPr>
        <w:t xml:space="preserve"> adequate facilities and equipment are provided at oral hearing venues to assist parties with disabilities. Please notify NHS </w:t>
      </w:r>
      <w:r w:rsidR="0089392F">
        <w:rPr>
          <w:rFonts w:ascii="Arial" w:eastAsia="Arial" w:hAnsi="Arial" w:cs="Arial"/>
        </w:rPr>
        <w:t>Resolution</w:t>
      </w:r>
      <w:r w:rsidRPr="009B3519">
        <w:rPr>
          <w:rFonts w:ascii="Arial" w:hAnsi="Arial"/>
        </w:rPr>
        <w:t xml:space="preserve"> in advance if any particular assistance is required, providing as much notice as possible.</w:t>
      </w:r>
    </w:p>
    <w:p w:rsidR="00537966" w:rsidRDefault="00537966">
      <w:pPr>
        <w:spacing w:line="257"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How long will the process take?</w:t>
      </w:r>
    </w:p>
    <w:p w:rsidR="00537966" w:rsidRDefault="00537966">
      <w:pPr>
        <w:spacing w:line="261" w:lineRule="exact"/>
        <w:rPr>
          <w:rFonts w:ascii="Arial" w:eastAsia="Arial" w:hAnsi="Arial" w:cs="Arial"/>
          <w:b/>
          <w:bCs/>
          <w:i/>
          <w:iCs/>
        </w:rPr>
      </w:pPr>
    </w:p>
    <w:p w:rsidR="004F4037" w:rsidRPr="009B3519" w:rsidRDefault="004F4037" w:rsidP="009B3519">
      <w:pPr>
        <w:spacing w:line="235" w:lineRule="auto"/>
        <w:ind w:left="720" w:right="20"/>
        <w:rPr>
          <w:rFonts w:ascii="Arial" w:hAnsi="Arial"/>
          <w:b/>
          <w:i/>
        </w:rPr>
      </w:pPr>
      <w:r w:rsidRPr="009B3519">
        <w:rPr>
          <w:rFonts w:ascii="Arial" w:hAnsi="Arial"/>
        </w:rPr>
        <w:t>It may take up to 15 weeks to determine cases on the papers and up to 33 weeks for cases referred to an Oral Hearing or Advisor.</w:t>
      </w:r>
    </w:p>
    <w:p w:rsidR="00537966" w:rsidRDefault="00537966">
      <w:pPr>
        <w:spacing w:line="254" w:lineRule="exact"/>
        <w:rPr>
          <w:rFonts w:ascii="Arial" w:eastAsia="Arial" w:hAnsi="Arial" w:cs="Arial"/>
          <w:b/>
          <w:bCs/>
          <w:i/>
          <w:iCs/>
        </w:rPr>
      </w:pPr>
    </w:p>
    <w:p w:rsidR="004F4037" w:rsidRPr="009B3519" w:rsidRDefault="004F4037" w:rsidP="009B3519">
      <w:pPr>
        <w:tabs>
          <w:tab w:val="left" w:pos="720"/>
        </w:tabs>
        <w:ind w:left="720"/>
        <w:rPr>
          <w:rFonts w:ascii="Arial" w:hAnsi="Arial"/>
          <w:b/>
          <w:i/>
        </w:rPr>
      </w:pPr>
      <w:r w:rsidRPr="009B3519">
        <w:rPr>
          <w:rFonts w:ascii="Arial" w:hAnsi="Arial"/>
          <w:b/>
          <w:i/>
        </w:rPr>
        <w:t xml:space="preserve">To whom can I </w:t>
      </w:r>
      <w:r w:rsidR="0089392F">
        <w:rPr>
          <w:rFonts w:ascii="Arial" w:eastAsia="Arial" w:hAnsi="Arial" w:cs="Arial"/>
          <w:b/>
          <w:bCs/>
          <w:i/>
          <w:iCs/>
        </w:rPr>
        <w:t>appeal to after a decision has been reached</w:t>
      </w:r>
      <w:r w:rsidRPr="009B3519">
        <w:rPr>
          <w:rFonts w:ascii="Arial" w:hAnsi="Arial"/>
          <w:b/>
          <w:i/>
        </w:rPr>
        <w:t>?</w:t>
      </w:r>
    </w:p>
    <w:p w:rsidR="00537966" w:rsidRDefault="00537966">
      <w:pPr>
        <w:spacing w:line="247" w:lineRule="exact"/>
        <w:rPr>
          <w:rFonts w:ascii="Arial" w:eastAsia="Arial" w:hAnsi="Arial" w:cs="Arial"/>
          <w:b/>
          <w:bCs/>
          <w:i/>
          <w:iCs/>
        </w:rPr>
      </w:pPr>
    </w:p>
    <w:p w:rsidR="004F4037" w:rsidRPr="009B3519" w:rsidRDefault="004F4037" w:rsidP="009B3519">
      <w:pPr>
        <w:spacing w:line="236" w:lineRule="auto"/>
        <w:ind w:left="720" w:right="20"/>
        <w:rPr>
          <w:rFonts w:ascii="Arial" w:hAnsi="Arial"/>
          <w:b/>
          <w:i/>
        </w:rPr>
      </w:pPr>
      <w:r w:rsidRPr="009B3519">
        <w:rPr>
          <w:rFonts w:ascii="Arial" w:hAnsi="Arial"/>
        </w:rPr>
        <w:t xml:space="preserve">Decisions of NHS </w:t>
      </w:r>
      <w:r w:rsidR="0089392F">
        <w:rPr>
          <w:rFonts w:ascii="Arial" w:eastAsia="Arial" w:hAnsi="Arial" w:cs="Arial"/>
        </w:rPr>
        <w:t>Resolution</w:t>
      </w:r>
      <w:r w:rsidRPr="009B3519">
        <w:rPr>
          <w:rFonts w:ascii="Arial" w:hAnsi="Arial"/>
        </w:rPr>
        <w:t xml:space="preserve"> can only be set aside by the High Court. Independent legal advice should be sought on this.</w:t>
      </w:r>
    </w:p>
    <w:p w:rsidR="00537966" w:rsidRDefault="00537966">
      <w:pPr>
        <w:spacing w:line="248" w:lineRule="exact"/>
        <w:rPr>
          <w:rFonts w:ascii="Arial" w:eastAsia="Arial" w:hAnsi="Arial" w:cs="Arial"/>
          <w:b/>
          <w:bCs/>
          <w:i/>
          <w:iCs/>
        </w:rPr>
      </w:pPr>
    </w:p>
    <w:p w:rsidR="00537966" w:rsidRDefault="0089392F" w:rsidP="0089392F">
      <w:pPr>
        <w:tabs>
          <w:tab w:val="left" w:pos="720"/>
        </w:tabs>
        <w:spacing w:line="461" w:lineRule="auto"/>
        <w:ind w:left="720" w:right="3840"/>
        <w:rPr>
          <w:rFonts w:ascii="Arial" w:eastAsia="Arial" w:hAnsi="Arial" w:cs="Arial"/>
          <w:b/>
          <w:bCs/>
          <w:i/>
          <w:iCs/>
        </w:rPr>
      </w:pPr>
      <w:r>
        <w:rPr>
          <w:rFonts w:ascii="Arial" w:eastAsia="Arial" w:hAnsi="Arial" w:cs="Arial"/>
          <w:b/>
          <w:bCs/>
          <w:i/>
          <w:iCs/>
        </w:rPr>
        <w:t xml:space="preserve">To whom can I write to if I am dissatisfied? </w:t>
      </w:r>
      <w:r>
        <w:rPr>
          <w:rFonts w:ascii="Arial" w:eastAsia="Arial" w:hAnsi="Arial" w:cs="Arial"/>
        </w:rPr>
        <w:t>You can write to either:</w:t>
      </w:r>
    </w:p>
    <w:p w:rsidR="00537966" w:rsidRDefault="00537966">
      <w:pPr>
        <w:sectPr w:rsidR="00537966">
          <w:pgSz w:w="11900" w:h="16838"/>
          <w:pgMar w:top="1437" w:right="1426" w:bottom="1440" w:left="1440" w:header="0" w:footer="0" w:gutter="0"/>
          <w:cols w:space="720" w:equalWidth="0">
            <w:col w:w="9040"/>
          </w:cols>
        </w:sectPr>
      </w:pPr>
    </w:p>
    <w:p w:rsidR="004F4037" w:rsidRPr="009B3519" w:rsidRDefault="004F4037" w:rsidP="009B3519">
      <w:pPr>
        <w:tabs>
          <w:tab w:val="left" w:pos="3600"/>
        </w:tabs>
        <w:ind w:left="1460"/>
        <w:rPr>
          <w:sz w:val="20"/>
        </w:rPr>
      </w:pPr>
      <w:bookmarkStart w:id="3" w:name="page5"/>
      <w:bookmarkEnd w:id="3"/>
      <w:r w:rsidRPr="009B3519">
        <w:rPr>
          <w:rFonts w:ascii="Arial" w:hAnsi="Arial"/>
        </w:rPr>
        <w:t>Chief Executive</w:t>
      </w:r>
      <w:r w:rsidR="0089392F">
        <w:rPr>
          <w:sz w:val="20"/>
          <w:szCs w:val="20"/>
        </w:rPr>
        <w:tab/>
      </w:r>
      <w:r w:rsidR="0089392F">
        <w:rPr>
          <w:rFonts w:ascii="Arial" w:eastAsia="Arial" w:hAnsi="Arial" w:cs="Arial"/>
        </w:rPr>
        <w:t>or</w:t>
      </w:r>
    </w:p>
    <w:p w:rsidR="004F4037" w:rsidRPr="009B3519" w:rsidRDefault="004F4037" w:rsidP="009B3519">
      <w:pPr>
        <w:ind w:left="1460"/>
        <w:rPr>
          <w:sz w:val="20"/>
        </w:rPr>
      </w:pPr>
      <w:r w:rsidRPr="009B3519">
        <w:rPr>
          <w:rFonts w:ascii="Arial" w:hAnsi="Arial"/>
        </w:rPr>
        <w:t xml:space="preserve">NHS </w:t>
      </w:r>
      <w:r w:rsidR="0089392F">
        <w:rPr>
          <w:rFonts w:ascii="Arial" w:eastAsia="Arial" w:hAnsi="Arial" w:cs="Arial"/>
        </w:rPr>
        <w:t>Resolution</w:t>
      </w:r>
    </w:p>
    <w:p w:rsidR="00537966" w:rsidRDefault="004F4037">
      <w:pPr>
        <w:ind w:left="1460"/>
        <w:rPr>
          <w:sz w:val="20"/>
          <w:szCs w:val="20"/>
        </w:rPr>
      </w:pPr>
      <w:r w:rsidRPr="009B3519">
        <w:rPr>
          <w:rFonts w:ascii="Arial" w:hAnsi="Arial"/>
        </w:rPr>
        <w:t>151 Buckingham Palace Road</w:t>
      </w:r>
    </w:p>
    <w:p w:rsidR="00537966" w:rsidRDefault="004F4037">
      <w:pPr>
        <w:ind w:left="1460"/>
        <w:rPr>
          <w:sz w:val="20"/>
          <w:szCs w:val="20"/>
        </w:rPr>
      </w:pPr>
      <w:r w:rsidRPr="009B3519">
        <w:rPr>
          <w:rFonts w:ascii="Arial" w:hAnsi="Arial"/>
        </w:rPr>
        <w:t>London</w:t>
      </w:r>
    </w:p>
    <w:p w:rsidR="004F4037" w:rsidRPr="009B3519" w:rsidRDefault="004F4037" w:rsidP="009B3519">
      <w:pPr>
        <w:ind w:left="1460"/>
        <w:rPr>
          <w:sz w:val="20"/>
        </w:rPr>
      </w:pPr>
      <w:r w:rsidRPr="009B3519">
        <w:rPr>
          <w:rFonts w:ascii="Arial" w:hAnsi="Arial"/>
        </w:rPr>
        <w:t>SW1W 9SZ</w:t>
      </w:r>
    </w:p>
    <w:p w:rsidR="00537966" w:rsidRDefault="0089392F">
      <w:pPr>
        <w:spacing w:line="20" w:lineRule="exact"/>
        <w:rPr>
          <w:sz w:val="20"/>
          <w:szCs w:val="20"/>
        </w:rPr>
      </w:pPr>
      <w:r>
        <w:rPr>
          <w:sz w:val="20"/>
          <w:szCs w:val="20"/>
        </w:rPr>
        <w:br w:type="column"/>
      </w:r>
    </w:p>
    <w:p w:rsidR="004F4037" w:rsidRPr="009B3519" w:rsidRDefault="004F4037" w:rsidP="004F4037">
      <w:pPr>
        <w:rPr>
          <w:sz w:val="20"/>
        </w:rPr>
      </w:pPr>
      <w:r w:rsidRPr="009B3519">
        <w:rPr>
          <w:rFonts w:ascii="Arial" w:hAnsi="Arial"/>
          <w:sz w:val="21"/>
        </w:rPr>
        <w:t xml:space="preserve">Head of </w:t>
      </w:r>
      <w:r w:rsidR="0089392F">
        <w:rPr>
          <w:rFonts w:ascii="Arial" w:eastAsia="Arial" w:hAnsi="Arial" w:cs="Arial"/>
          <w:sz w:val="21"/>
          <w:szCs w:val="21"/>
        </w:rPr>
        <w:t>Primary Care Appeals</w:t>
      </w:r>
    </w:p>
    <w:p w:rsidR="00537966" w:rsidRDefault="00537966">
      <w:pPr>
        <w:spacing w:line="2" w:lineRule="exact"/>
        <w:rPr>
          <w:sz w:val="20"/>
          <w:szCs w:val="20"/>
        </w:rPr>
      </w:pPr>
    </w:p>
    <w:p w:rsidR="004F4037" w:rsidRPr="001F5DB6" w:rsidRDefault="004F4037" w:rsidP="004F4037">
      <w:pPr>
        <w:rPr>
          <w:rFonts w:ascii="Arial" w:hAnsi="Arial"/>
        </w:rPr>
      </w:pPr>
      <w:r w:rsidRPr="009B3519">
        <w:rPr>
          <w:rFonts w:ascii="Arial" w:hAnsi="Arial"/>
        </w:rPr>
        <w:t xml:space="preserve">NHS </w:t>
      </w:r>
      <w:r w:rsidR="0089392F" w:rsidRPr="001F5DB6">
        <w:rPr>
          <w:rFonts w:ascii="Arial" w:hAnsi="Arial"/>
        </w:rPr>
        <w:t>Resolution</w:t>
      </w:r>
    </w:p>
    <w:p w:rsidR="004F4037" w:rsidRPr="001F5DB6" w:rsidRDefault="004D42FE" w:rsidP="004F4037">
      <w:pPr>
        <w:rPr>
          <w:rFonts w:ascii="Arial" w:hAnsi="Arial"/>
        </w:rPr>
      </w:pPr>
      <w:r w:rsidRPr="001F5DB6">
        <w:rPr>
          <w:rFonts w:ascii="Arial" w:hAnsi="Arial"/>
        </w:rPr>
        <w:t>4th Floor</w:t>
      </w:r>
    </w:p>
    <w:p w:rsidR="004D42FE" w:rsidRPr="001F5DB6" w:rsidRDefault="004D42FE" w:rsidP="004F4037">
      <w:pPr>
        <w:rPr>
          <w:rFonts w:ascii="Arial" w:hAnsi="Arial"/>
        </w:rPr>
      </w:pPr>
      <w:r w:rsidRPr="001F5DB6">
        <w:rPr>
          <w:rFonts w:ascii="Arial" w:hAnsi="Arial"/>
        </w:rPr>
        <w:t>Arena Point</w:t>
      </w:r>
    </w:p>
    <w:p w:rsidR="004D42FE" w:rsidRPr="001F5DB6" w:rsidRDefault="004D42FE" w:rsidP="004F4037">
      <w:pPr>
        <w:rPr>
          <w:rFonts w:ascii="Arial" w:hAnsi="Arial"/>
        </w:rPr>
      </w:pPr>
      <w:r w:rsidRPr="001F5DB6">
        <w:rPr>
          <w:rFonts w:ascii="Arial" w:hAnsi="Arial"/>
        </w:rPr>
        <w:t>Merrion Way</w:t>
      </w:r>
    </w:p>
    <w:p w:rsidR="004F4037" w:rsidRPr="001F5DB6" w:rsidRDefault="004F4037" w:rsidP="004F4037">
      <w:pPr>
        <w:rPr>
          <w:rFonts w:ascii="Arial" w:hAnsi="Arial"/>
        </w:rPr>
      </w:pPr>
      <w:r w:rsidRPr="009B3519">
        <w:rPr>
          <w:rFonts w:ascii="Arial" w:hAnsi="Arial"/>
        </w:rPr>
        <w:t>Leeds</w:t>
      </w:r>
    </w:p>
    <w:p w:rsidR="004F4037" w:rsidRPr="009B3519" w:rsidRDefault="004F4037" w:rsidP="004F4037">
      <w:pPr>
        <w:rPr>
          <w:sz w:val="20"/>
        </w:rPr>
      </w:pPr>
      <w:r w:rsidRPr="009B3519">
        <w:rPr>
          <w:rFonts w:ascii="Arial" w:hAnsi="Arial"/>
        </w:rPr>
        <w:t>LS</w:t>
      </w:r>
      <w:r w:rsidR="004D42FE">
        <w:rPr>
          <w:rFonts w:ascii="Arial" w:hAnsi="Arial"/>
        </w:rPr>
        <w:t>2</w:t>
      </w:r>
      <w:r w:rsidRPr="009B3519">
        <w:rPr>
          <w:rFonts w:ascii="Arial" w:hAnsi="Arial"/>
        </w:rPr>
        <w:t xml:space="preserve"> </w:t>
      </w:r>
      <w:r w:rsidR="004D42FE">
        <w:rPr>
          <w:rFonts w:ascii="Arial" w:hAnsi="Arial"/>
        </w:rPr>
        <w:t>8PA</w:t>
      </w:r>
    </w:p>
    <w:p w:rsidR="004F4037" w:rsidRPr="009B3519" w:rsidRDefault="004F4037" w:rsidP="009B3519">
      <w:pPr>
        <w:spacing w:line="200" w:lineRule="exact"/>
        <w:rPr>
          <w:sz w:val="20"/>
        </w:rPr>
      </w:pPr>
    </w:p>
    <w:p w:rsidR="00537966" w:rsidRDefault="00537966">
      <w:pPr>
        <w:sectPr w:rsidR="00537966">
          <w:pgSz w:w="11900" w:h="16838"/>
          <w:pgMar w:top="1437" w:right="1386" w:bottom="1440" w:left="1420" w:header="0" w:footer="0" w:gutter="0"/>
          <w:cols w:num="2" w:space="720" w:equalWidth="0">
            <w:col w:w="4420" w:space="640"/>
            <w:col w:w="4040"/>
          </w:cols>
        </w:sectPr>
      </w:pPr>
    </w:p>
    <w:p w:rsidR="00537966" w:rsidRDefault="00537966">
      <w:pPr>
        <w:spacing w:line="51" w:lineRule="exact"/>
        <w:rPr>
          <w:sz w:val="20"/>
          <w:szCs w:val="20"/>
        </w:rPr>
      </w:pPr>
    </w:p>
    <w:p w:rsidR="004F4037" w:rsidRPr="009B3519" w:rsidRDefault="004F4037" w:rsidP="009B3519">
      <w:pPr>
        <w:ind w:left="740"/>
        <w:rPr>
          <w:sz w:val="20"/>
        </w:rPr>
      </w:pPr>
      <w:r w:rsidRPr="009B3519">
        <w:rPr>
          <w:rFonts w:ascii="Arial" w:hAnsi="Arial"/>
        </w:rPr>
        <w:t>Your concerns will be investigated by the Chief Executive or a nominated officer.</w:t>
      </w:r>
    </w:p>
    <w:p w:rsidR="004F4037" w:rsidRPr="009B3519" w:rsidRDefault="004F4037" w:rsidP="009B3519">
      <w:pPr>
        <w:spacing w:line="253" w:lineRule="exact"/>
        <w:rPr>
          <w:sz w:val="20"/>
        </w:rPr>
      </w:pPr>
    </w:p>
    <w:p w:rsidR="004F4037" w:rsidRPr="009B3519" w:rsidRDefault="004F4037" w:rsidP="009B3519">
      <w:pPr>
        <w:tabs>
          <w:tab w:val="left" w:pos="740"/>
        </w:tabs>
        <w:ind w:left="740"/>
        <w:rPr>
          <w:rFonts w:ascii="Arial" w:hAnsi="Arial"/>
          <w:b/>
          <w:i/>
        </w:rPr>
      </w:pPr>
      <w:r w:rsidRPr="009B3519">
        <w:rPr>
          <w:rFonts w:ascii="Arial" w:hAnsi="Arial"/>
          <w:b/>
          <w:i/>
        </w:rPr>
        <w:t>Is there any other information available?</w:t>
      </w:r>
    </w:p>
    <w:p w:rsidR="00537966" w:rsidRDefault="00537966">
      <w:pPr>
        <w:spacing w:line="261" w:lineRule="exact"/>
        <w:rPr>
          <w:rFonts w:ascii="Arial" w:eastAsia="Arial" w:hAnsi="Arial" w:cs="Arial"/>
          <w:b/>
          <w:bCs/>
          <w:i/>
          <w:iCs/>
        </w:rPr>
      </w:pPr>
    </w:p>
    <w:p w:rsidR="004F4037" w:rsidRPr="009B3519" w:rsidRDefault="004F4037" w:rsidP="009B3519">
      <w:pPr>
        <w:spacing w:line="237" w:lineRule="auto"/>
        <w:ind w:left="740" w:right="60"/>
        <w:jc w:val="both"/>
        <w:rPr>
          <w:rFonts w:ascii="Arial" w:hAnsi="Arial"/>
          <w:color w:val="0000FF"/>
        </w:rPr>
      </w:pPr>
      <w:r w:rsidRPr="009B3519">
        <w:rPr>
          <w:rFonts w:ascii="Arial" w:hAnsi="Arial"/>
        </w:rPr>
        <w:t xml:space="preserve">NHS </w:t>
      </w:r>
      <w:r w:rsidR="0089392F">
        <w:rPr>
          <w:rFonts w:ascii="Arial" w:eastAsia="Arial" w:hAnsi="Arial" w:cs="Arial"/>
        </w:rPr>
        <w:t>Resolution</w:t>
      </w:r>
      <w:r w:rsidRPr="009B3519">
        <w:rPr>
          <w:rFonts w:ascii="Arial" w:hAnsi="Arial"/>
        </w:rPr>
        <w:t xml:space="preserve"> publishes previous decisions, statistical information, a sheet of Frequently Asked Questions and other material on its website at: </w:t>
      </w:r>
      <w:hyperlink r:id="rId11">
        <w:r w:rsidRPr="009B3519">
          <w:rPr>
            <w:rFonts w:ascii="Arial" w:hAnsi="Arial"/>
            <w:color w:val="0000FF"/>
            <w:u w:val="single"/>
          </w:rPr>
          <w:t>www.nhsla.com</w:t>
        </w:r>
        <w:r w:rsidR="0089392F">
          <w:rPr>
            <w:rFonts w:ascii="Arial" w:eastAsia="Arial" w:hAnsi="Arial" w:cs="Arial"/>
            <w:color w:val="0000FF"/>
            <w:u w:val="single"/>
          </w:rPr>
          <w:t>/FHSAU/Pages/Home</w:t>
        </w:r>
        <w:r w:rsidR="0089392F">
          <w:rPr>
            <w:rFonts w:ascii="Arial" w:eastAsia="Arial" w:hAnsi="Arial" w:cs="Arial"/>
            <w:color w:val="0000FF"/>
          </w:rPr>
          <w:t xml:space="preserve"> </w:t>
        </w:r>
      </w:hyperlink>
      <w:r w:rsidRPr="009B3519">
        <w:rPr>
          <w:rFonts w:ascii="Arial" w:hAnsi="Arial"/>
          <w:color w:val="000000"/>
        </w:rPr>
        <w:t>.</w:t>
      </w:r>
    </w:p>
    <w:p w:rsidR="00537966" w:rsidRDefault="00537966">
      <w:pPr>
        <w:spacing w:line="249" w:lineRule="exact"/>
        <w:rPr>
          <w:rFonts w:ascii="Arial" w:eastAsia="Arial" w:hAnsi="Arial" w:cs="Arial"/>
          <w:color w:val="0000FF"/>
        </w:rPr>
      </w:pPr>
    </w:p>
    <w:p w:rsidR="00D2468D" w:rsidRPr="001F5DB6" w:rsidRDefault="004F4037" w:rsidP="001F5DB6">
      <w:pPr>
        <w:spacing w:line="461" w:lineRule="auto"/>
        <w:ind w:left="740" w:right="3020"/>
        <w:jc w:val="both"/>
        <w:rPr>
          <w:sz w:val="20"/>
        </w:rPr>
      </w:pPr>
      <w:proofErr w:type="gramStart"/>
      <w:r w:rsidRPr="009B3519">
        <w:rPr>
          <w:rFonts w:ascii="Arial" w:hAnsi="Arial"/>
        </w:rPr>
        <w:t>Alternatively</w:t>
      </w:r>
      <w:proofErr w:type="gramEnd"/>
      <w:r w:rsidRPr="009B3519">
        <w:rPr>
          <w:rFonts w:ascii="Arial" w:hAnsi="Arial"/>
        </w:rPr>
        <w:t xml:space="preserve"> you can email </w:t>
      </w:r>
      <w:r w:rsidR="0089392F">
        <w:rPr>
          <w:rFonts w:ascii="Arial" w:eastAsia="Arial" w:hAnsi="Arial" w:cs="Arial"/>
        </w:rPr>
        <w:t xml:space="preserve">appeals@resolution.nhs.uk </w:t>
      </w:r>
      <w:r w:rsidRPr="009B3519">
        <w:rPr>
          <w:rFonts w:ascii="Arial" w:hAnsi="Arial"/>
        </w:rPr>
        <w:t xml:space="preserve">Please note however that </w:t>
      </w:r>
      <w:r w:rsidR="00B95639">
        <w:rPr>
          <w:rFonts w:ascii="Arial" w:hAnsi="Arial"/>
        </w:rPr>
        <w:t>NHSR</w:t>
      </w:r>
      <w:r w:rsidR="00B95639" w:rsidRPr="009B3519">
        <w:rPr>
          <w:rFonts w:ascii="Arial" w:hAnsi="Arial"/>
        </w:rPr>
        <w:t xml:space="preserve"> </w:t>
      </w:r>
      <w:r w:rsidRPr="009B3519">
        <w:rPr>
          <w:rFonts w:ascii="Arial" w:hAnsi="Arial"/>
        </w:rPr>
        <w:t xml:space="preserve">do not provide </w:t>
      </w:r>
      <w:r w:rsidR="00B95639">
        <w:rPr>
          <w:rFonts w:ascii="Arial" w:hAnsi="Arial"/>
        </w:rPr>
        <w:t>a</w:t>
      </w:r>
      <w:r w:rsidRPr="009B3519">
        <w:rPr>
          <w:rFonts w:ascii="Arial" w:hAnsi="Arial"/>
        </w:rPr>
        <w:t>dvice.</w:t>
      </w:r>
    </w:p>
    <w:sectPr w:rsidR="00D2468D" w:rsidRPr="001F5DB6" w:rsidSect="009B3519">
      <w:headerReference w:type="default" r:id="rId12"/>
      <w:type w:val="continuous"/>
      <w:pgSz w:w="11900" w:h="16838"/>
      <w:pgMar w:top="1437" w:right="1386" w:bottom="1440" w:left="1420" w:header="0" w:footer="0" w:gutter="0"/>
      <w:cols w:space="720" w:equalWidth="0">
        <w:col w:w="91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D62" w:rsidRDefault="00A74D62" w:rsidP="00975E50">
      <w:r>
        <w:separator/>
      </w:r>
    </w:p>
  </w:endnote>
  <w:endnote w:type="continuationSeparator" w:id="0">
    <w:p w:rsidR="00A74D62" w:rsidRDefault="00A74D62" w:rsidP="00975E50">
      <w:r>
        <w:continuationSeparator/>
      </w:r>
    </w:p>
  </w:endnote>
  <w:endnote w:type="continuationNotice" w:id="1">
    <w:p w:rsidR="00A74D62" w:rsidRDefault="00A74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19" w:rsidRDefault="009B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D62" w:rsidRDefault="00A74D62" w:rsidP="00975E50">
      <w:r>
        <w:separator/>
      </w:r>
    </w:p>
  </w:footnote>
  <w:footnote w:type="continuationSeparator" w:id="0">
    <w:p w:rsidR="00A74D62" w:rsidRDefault="00A74D62" w:rsidP="00975E50">
      <w:r>
        <w:continuationSeparator/>
      </w:r>
    </w:p>
  </w:footnote>
  <w:footnote w:type="continuationNotice" w:id="1">
    <w:p w:rsidR="00A74D62" w:rsidRDefault="00A74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19" w:rsidRDefault="009B3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50" w:rsidRDefault="0097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6DC"/>
    <w:multiLevelType w:val="hybridMultilevel"/>
    <w:tmpl w:val="7ED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E1F29"/>
    <w:multiLevelType w:val="hybridMultilevel"/>
    <w:tmpl w:val="933CC936"/>
    <w:lvl w:ilvl="0" w:tplc="9DCE5570">
      <w:start w:val="4"/>
      <w:numFmt w:val="decimal"/>
      <w:lvlText w:val="%1"/>
      <w:lvlJc w:val="left"/>
    </w:lvl>
    <w:lvl w:ilvl="1" w:tplc="288AA632">
      <w:start w:val="1"/>
      <w:numFmt w:val="bullet"/>
      <w:lvlText w:val="-"/>
      <w:lvlJc w:val="left"/>
    </w:lvl>
    <w:lvl w:ilvl="2" w:tplc="39284722">
      <w:numFmt w:val="decimal"/>
      <w:lvlText w:val=""/>
      <w:lvlJc w:val="left"/>
    </w:lvl>
    <w:lvl w:ilvl="3" w:tplc="2FCE8002">
      <w:numFmt w:val="decimal"/>
      <w:lvlText w:val=""/>
      <w:lvlJc w:val="left"/>
    </w:lvl>
    <w:lvl w:ilvl="4" w:tplc="4A7CC86E">
      <w:numFmt w:val="decimal"/>
      <w:lvlText w:val=""/>
      <w:lvlJc w:val="left"/>
    </w:lvl>
    <w:lvl w:ilvl="5" w:tplc="BD68E44C">
      <w:numFmt w:val="decimal"/>
      <w:lvlText w:val=""/>
      <w:lvlJc w:val="left"/>
    </w:lvl>
    <w:lvl w:ilvl="6" w:tplc="CBB0A7DA">
      <w:numFmt w:val="decimal"/>
      <w:lvlText w:val=""/>
      <w:lvlJc w:val="left"/>
    </w:lvl>
    <w:lvl w:ilvl="7" w:tplc="F5FEA244">
      <w:numFmt w:val="decimal"/>
      <w:lvlText w:val=""/>
      <w:lvlJc w:val="left"/>
    </w:lvl>
    <w:lvl w:ilvl="8" w:tplc="76B22DCC">
      <w:numFmt w:val="decimal"/>
      <w:lvlText w:val=""/>
      <w:lvlJc w:val="left"/>
    </w:lvl>
  </w:abstractNum>
  <w:abstractNum w:abstractNumId="2" w15:restartNumberingAfterBreak="0">
    <w:nsid w:val="2EB141F2"/>
    <w:multiLevelType w:val="hybridMultilevel"/>
    <w:tmpl w:val="376C7898"/>
    <w:lvl w:ilvl="0" w:tplc="DA940FCC">
      <w:start w:val="15"/>
      <w:numFmt w:val="decimal"/>
      <w:lvlText w:val="%1"/>
      <w:lvlJc w:val="left"/>
    </w:lvl>
    <w:lvl w:ilvl="1" w:tplc="51F47FE4">
      <w:numFmt w:val="decimal"/>
      <w:lvlText w:val=""/>
      <w:lvlJc w:val="left"/>
    </w:lvl>
    <w:lvl w:ilvl="2" w:tplc="AC64FF12">
      <w:numFmt w:val="decimal"/>
      <w:lvlText w:val=""/>
      <w:lvlJc w:val="left"/>
    </w:lvl>
    <w:lvl w:ilvl="3" w:tplc="07D843A4">
      <w:numFmt w:val="decimal"/>
      <w:lvlText w:val=""/>
      <w:lvlJc w:val="left"/>
    </w:lvl>
    <w:lvl w:ilvl="4" w:tplc="418630F0">
      <w:numFmt w:val="decimal"/>
      <w:lvlText w:val=""/>
      <w:lvlJc w:val="left"/>
    </w:lvl>
    <w:lvl w:ilvl="5" w:tplc="C43E15C6">
      <w:numFmt w:val="decimal"/>
      <w:lvlText w:val=""/>
      <w:lvlJc w:val="left"/>
    </w:lvl>
    <w:lvl w:ilvl="6" w:tplc="CEF41B90">
      <w:numFmt w:val="decimal"/>
      <w:lvlText w:val=""/>
      <w:lvlJc w:val="left"/>
    </w:lvl>
    <w:lvl w:ilvl="7" w:tplc="CC3A80D0">
      <w:numFmt w:val="decimal"/>
      <w:lvlText w:val=""/>
      <w:lvlJc w:val="left"/>
    </w:lvl>
    <w:lvl w:ilvl="8" w:tplc="1E1C8B5E">
      <w:numFmt w:val="decimal"/>
      <w:lvlText w:val=""/>
      <w:lvlJc w:val="left"/>
    </w:lvl>
  </w:abstractNum>
  <w:abstractNum w:abstractNumId="3" w15:restartNumberingAfterBreak="0">
    <w:nsid w:val="30631535"/>
    <w:multiLevelType w:val="hybridMultilevel"/>
    <w:tmpl w:val="961A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1B58BA"/>
    <w:multiLevelType w:val="hybridMultilevel"/>
    <w:tmpl w:val="68EEC868"/>
    <w:lvl w:ilvl="0" w:tplc="E66A2D34">
      <w:start w:val="8"/>
      <w:numFmt w:val="decimal"/>
      <w:lvlText w:val="%1"/>
      <w:lvlJc w:val="left"/>
    </w:lvl>
    <w:lvl w:ilvl="1" w:tplc="7FDEE5C8">
      <w:numFmt w:val="decimal"/>
      <w:lvlText w:val=""/>
      <w:lvlJc w:val="left"/>
    </w:lvl>
    <w:lvl w:ilvl="2" w:tplc="EEFCFCBA">
      <w:numFmt w:val="decimal"/>
      <w:lvlText w:val=""/>
      <w:lvlJc w:val="left"/>
    </w:lvl>
    <w:lvl w:ilvl="3" w:tplc="EFB6C8BE">
      <w:numFmt w:val="decimal"/>
      <w:lvlText w:val=""/>
      <w:lvlJc w:val="left"/>
    </w:lvl>
    <w:lvl w:ilvl="4" w:tplc="B04616A4">
      <w:numFmt w:val="decimal"/>
      <w:lvlText w:val=""/>
      <w:lvlJc w:val="left"/>
    </w:lvl>
    <w:lvl w:ilvl="5" w:tplc="0FDAA4CA">
      <w:numFmt w:val="decimal"/>
      <w:lvlText w:val=""/>
      <w:lvlJc w:val="left"/>
    </w:lvl>
    <w:lvl w:ilvl="6" w:tplc="609A4F20">
      <w:numFmt w:val="decimal"/>
      <w:lvlText w:val=""/>
      <w:lvlJc w:val="left"/>
    </w:lvl>
    <w:lvl w:ilvl="7" w:tplc="DC902ADC">
      <w:numFmt w:val="decimal"/>
      <w:lvlText w:val=""/>
      <w:lvlJc w:val="left"/>
    </w:lvl>
    <w:lvl w:ilvl="8" w:tplc="A15EFC82">
      <w:numFmt w:val="decimal"/>
      <w:lvlText w:val=""/>
      <w:lvlJc w:val="left"/>
    </w:lvl>
  </w:abstractNum>
  <w:abstractNum w:abstractNumId="5" w15:restartNumberingAfterBreak="0">
    <w:nsid w:val="41B71EFB"/>
    <w:multiLevelType w:val="hybridMultilevel"/>
    <w:tmpl w:val="0B842DAC"/>
    <w:lvl w:ilvl="0" w:tplc="974EFC2A">
      <w:start w:val="21"/>
      <w:numFmt w:val="decimal"/>
      <w:lvlText w:val="%1"/>
      <w:lvlJc w:val="left"/>
    </w:lvl>
    <w:lvl w:ilvl="1" w:tplc="7478B48C">
      <w:numFmt w:val="decimal"/>
      <w:lvlText w:val=""/>
      <w:lvlJc w:val="left"/>
    </w:lvl>
    <w:lvl w:ilvl="2" w:tplc="14EAABBC">
      <w:numFmt w:val="decimal"/>
      <w:lvlText w:val=""/>
      <w:lvlJc w:val="left"/>
    </w:lvl>
    <w:lvl w:ilvl="3" w:tplc="D9D0B2BE">
      <w:numFmt w:val="decimal"/>
      <w:lvlText w:val=""/>
      <w:lvlJc w:val="left"/>
    </w:lvl>
    <w:lvl w:ilvl="4" w:tplc="AE184D3E">
      <w:numFmt w:val="decimal"/>
      <w:lvlText w:val=""/>
      <w:lvlJc w:val="left"/>
    </w:lvl>
    <w:lvl w:ilvl="5" w:tplc="CAD4CB2A">
      <w:numFmt w:val="decimal"/>
      <w:lvlText w:val=""/>
      <w:lvlJc w:val="left"/>
    </w:lvl>
    <w:lvl w:ilvl="6" w:tplc="84C87580">
      <w:numFmt w:val="decimal"/>
      <w:lvlText w:val=""/>
      <w:lvlJc w:val="left"/>
    </w:lvl>
    <w:lvl w:ilvl="7" w:tplc="31201D2A">
      <w:numFmt w:val="decimal"/>
      <w:lvlText w:val=""/>
      <w:lvlJc w:val="left"/>
    </w:lvl>
    <w:lvl w:ilvl="8" w:tplc="4F8645D0">
      <w:numFmt w:val="decimal"/>
      <w:lvlText w:val=""/>
      <w:lvlJc w:val="left"/>
    </w:lvl>
  </w:abstractNum>
  <w:abstractNum w:abstractNumId="6" w15:restartNumberingAfterBreak="0">
    <w:nsid w:val="46E87CCD"/>
    <w:multiLevelType w:val="hybridMultilevel"/>
    <w:tmpl w:val="6D7E132A"/>
    <w:lvl w:ilvl="0" w:tplc="7E1C54BE">
      <w:start w:val="6"/>
      <w:numFmt w:val="decimal"/>
      <w:lvlText w:val="%1"/>
      <w:lvlJc w:val="left"/>
    </w:lvl>
    <w:lvl w:ilvl="1" w:tplc="7286157E">
      <w:numFmt w:val="decimal"/>
      <w:lvlText w:val=""/>
      <w:lvlJc w:val="left"/>
    </w:lvl>
    <w:lvl w:ilvl="2" w:tplc="04767AD6">
      <w:numFmt w:val="decimal"/>
      <w:lvlText w:val=""/>
      <w:lvlJc w:val="left"/>
    </w:lvl>
    <w:lvl w:ilvl="3" w:tplc="C7943698">
      <w:numFmt w:val="decimal"/>
      <w:lvlText w:val=""/>
      <w:lvlJc w:val="left"/>
    </w:lvl>
    <w:lvl w:ilvl="4" w:tplc="F54ACA6E">
      <w:numFmt w:val="decimal"/>
      <w:lvlText w:val=""/>
      <w:lvlJc w:val="left"/>
    </w:lvl>
    <w:lvl w:ilvl="5" w:tplc="90D24586">
      <w:numFmt w:val="decimal"/>
      <w:lvlText w:val=""/>
      <w:lvlJc w:val="left"/>
    </w:lvl>
    <w:lvl w:ilvl="6" w:tplc="894EFA2C">
      <w:numFmt w:val="decimal"/>
      <w:lvlText w:val=""/>
      <w:lvlJc w:val="left"/>
    </w:lvl>
    <w:lvl w:ilvl="7" w:tplc="FD704C0E">
      <w:numFmt w:val="decimal"/>
      <w:lvlText w:val=""/>
      <w:lvlJc w:val="left"/>
    </w:lvl>
    <w:lvl w:ilvl="8" w:tplc="3344195E">
      <w:numFmt w:val="decimal"/>
      <w:lvlText w:val=""/>
      <w:lvlJc w:val="left"/>
    </w:lvl>
  </w:abstractNum>
  <w:abstractNum w:abstractNumId="7" w15:restartNumberingAfterBreak="0">
    <w:nsid w:val="507ED7AB"/>
    <w:multiLevelType w:val="hybridMultilevel"/>
    <w:tmpl w:val="8FAAF992"/>
    <w:lvl w:ilvl="0" w:tplc="E432D994">
      <w:start w:val="13"/>
      <w:numFmt w:val="decimal"/>
      <w:lvlText w:val="%1"/>
      <w:lvlJc w:val="left"/>
    </w:lvl>
    <w:lvl w:ilvl="1" w:tplc="82EE56FE">
      <w:start w:val="1"/>
      <w:numFmt w:val="bullet"/>
      <w:lvlText w:val=""/>
      <w:lvlJc w:val="left"/>
    </w:lvl>
    <w:lvl w:ilvl="2" w:tplc="E97CF782">
      <w:numFmt w:val="decimal"/>
      <w:lvlText w:val=""/>
      <w:lvlJc w:val="left"/>
    </w:lvl>
    <w:lvl w:ilvl="3" w:tplc="D4C40628">
      <w:numFmt w:val="decimal"/>
      <w:lvlText w:val=""/>
      <w:lvlJc w:val="left"/>
    </w:lvl>
    <w:lvl w:ilvl="4" w:tplc="7A58E13C">
      <w:numFmt w:val="decimal"/>
      <w:lvlText w:val=""/>
      <w:lvlJc w:val="left"/>
    </w:lvl>
    <w:lvl w:ilvl="5" w:tplc="70B430AE">
      <w:numFmt w:val="decimal"/>
      <w:lvlText w:val=""/>
      <w:lvlJc w:val="left"/>
    </w:lvl>
    <w:lvl w:ilvl="6" w:tplc="0472EFCA">
      <w:numFmt w:val="decimal"/>
      <w:lvlText w:val=""/>
      <w:lvlJc w:val="left"/>
    </w:lvl>
    <w:lvl w:ilvl="7" w:tplc="C1EE513E">
      <w:numFmt w:val="decimal"/>
      <w:lvlText w:val=""/>
      <w:lvlJc w:val="left"/>
    </w:lvl>
    <w:lvl w:ilvl="8" w:tplc="0D4A53D2">
      <w:numFmt w:val="decimal"/>
      <w:lvlText w:val=""/>
      <w:lvlJc w:val="left"/>
    </w:lvl>
  </w:abstractNum>
  <w:abstractNum w:abstractNumId="8" w15:restartNumberingAfterBreak="0">
    <w:nsid w:val="55C81649"/>
    <w:multiLevelType w:val="hybridMultilevel"/>
    <w:tmpl w:val="474E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5558EC"/>
    <w:multiLevelType w:val="hybridMultilevel"/>
    <w:tmpl w:val="DE7E07EA"/>
    <w:lvl w:ilvl="0" w:tplc="EF96056C">
      <w:start w:val="1"/>
      <w:numFmt w:val="decimal"/>
      <w:lvlText w:val="%1"/>
      <w:lvlJc w:val="left"/>
    </w:lvl>
    <w:lvl w:ilvl="1" w:tplc="83F61606">
      <w:start w:val="1"/>
      <w:numFmt w:val="bullet"/>
      <w:lvlText w:val="-"/>
      <w:lvlJc w:val="left"/>
    </w:lvl>
    <w:lvl w:ilvl="2" w:tplc="504829FE">
      <w:numFmt w:val="decimal"/>
      <w:lvlText w:val=""/>
      <w:lvlJc w:val="left"/>
    </w:lvl>
    <w:lvl w:ilvl="3" w:tplc="44A28692">
      <w:numFmt w:val="decimal"/>
      <w:lvlText w:val=""/>
      <w:lvlJc w:val="left"/>
    </w:lvl>
    <w:lvl w:ilvl="4" w:tplc="F874254C">
      <w:numFmt w:val="decimal"/>
      <w:lvlText w:val=""/>
      <w:lvlJc w:val="left"/>
    </w:lvl>
    <w:lvl w:ilvl="5" w:tplc="3266000A">
      <w:numFmt w:val="decimal"/>
      <w:lvlText w:val=""/>
      <w:lvlJc w:val="left"/>
    </w:lvl>
    <w:lvl w:ilvl="6" w:tplc="BD92FB06">
      <w:numFmt w:val="decimal"/>
      <w:lvlText w:val=""/>
      <w:lvlJc w:val="left"/>
    </w:lvl>
    <w:lvl w:ilvl="7" w:tplc="B3FC68F8">
      <w:numFmt w:val="decimal"/>
      <w:lvlText w:val=""/>
      <w:lvlJc w:val="left"/>
    </w:lvl>
    <w:lvl w:ilvl="8" w:tplc="8FE6F250">
      <w:numFmt w:val="decimal"/>
      <w:lvlText w:val=""/>
      <w:lvlJc w:val="left"/>
    </w:lvl>
  </w:abstractNum>
  <w:num w:numId="1">
    <w:abstractNumId w:val="0"/>
  </w:num>
  <w:num w:numId="2">
    <w:abstractNumId w:val="8"/>
  </w:num>
  <w:num w:numId="3">
    <w:abstractNumId w:val="3"/>
  </w:num>
  <w:num w:numId="4">
    <w:abstractNumId w:val="9"/>
  </w:num>
  <w:num w:numId="5">
    <w:abstractNumId w:val="1"/>
  </w:num>
  <w:num w:numId="6">
    <w:abstractNumId w:val="6"/>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50"/>
    <w:rsid w:val="00090075"/>
    <w:rsid w:val="001F5DB6"/>
    <w:rsid w:val="002F0D73"/>
    <w:rsid w:val="00321AA5"/>
    <w:rsid w:val="004A455D"/>
    <w:rsid w:val="004D42FE"/>
    <w:rsid w:val="004F4037"/>
    <w:rsid w:val="00537966"/>
    <w:rsid w:val="005550E5"/>
    <w:rsid w:val="0089392F"/>
    <w:rsid w:val="00975E50"/>
    <w:rsid w:val="009B3519"/>
    <w:rsid w:val="00A731C5"/>
    <w:rsid w:val="00A74D62"/>
    <w:rsid w:val="00B25010"/>
    <w:rsid w:val="00B95639"/>
    <w:rsid w:val="00C3056B"/>
    <w:rsid w:val="00D2468D"/>
    <w:rsid w:val="00DE46E4"/>
    <w:rsid w:val="00F7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28A8F-FF7F-43DE-937C-FA7534C5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tabs>
        <w:tab w:val="center" w:pos="4513"/>
        <w:tab w:val="right" w:pos="9026"/>
      </w:tabs>
    </w:p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tabs>
        <w:tab w:val="center" w:pos="4513"/>
        <w:tab w:val="right" w:pos="9026"/>
      </w:tabs>
    </w:p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rPr>
      <w:rFonts w:ascii="Tahoma" w:hAnsi="Tahoma" w:cs="Tahoma"/>
      <w:sz w:val="16"/>
      <w:szCs w:val="16"/>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spacing w:line="660" w:lineRule="exact"/>
    </w:pPr>
    <w:rPr>
      <w:rFonts w:cs="Arial"/>
      <w:color w:val="009966"/>
      <w:sz w:val="60"/>
      <w:lang w:eastAsia="en-US"/>
    </w:rPr>
  </w:style>
  <w:style w:type="paragraph" w:styleId="ListParagraph">
    <w:name w:val="List Paragraph"/>
    <w:basedOn w:val="Normal"/>
    <w:link w:val="ListParagraphChar"/>
    <w:uiPriority w:val="34"/>
    <w:qFormat/>
    <w:rsid w:val="004F4037"/>
    <w:pPr>
      <w:ind w:left="720"/>
      <w:contextualSpacing/>
    </w:pPr>
  </w:style>
  <w:style w:type="character" w:styleId="Hyperlink">
    <w:name w:val="Hyperlink"/>
    <w:uiPriority w:val="99"/>
    <w:rsid w:val="004F4037"/>
    <w:rPr>
      <w:color w:val="0000FF"/>
      <w:u w:val="single"/>
    </w:rPr>
  </w:style>
  <w:style w:type="character" w:customStyle="1" w:styleId="ListParagraphChar">
    <w:name w:val="List Paragraph Char"/>
    <w:basedOn w:val="DefaultParagraphFont"/>
    <w:link w:val="ListParagraph"/>
    <w:uiPriority w:val="34"/>
    <w:rsid w:val="004F4037"/>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la.com/FHSAU/Pages/Home" TargetMode="External"/><Relationship Id="rId5" Type="http://schemas.openxmlformats.org/officeDocument/2006/relationships/footnotes" Target="footnotes.xml"/><Relationship Id="rId10" Type="http://schemas.openxmlformats.org/officeDocument/2006/relationships/hyperlink" Target="http://www.nhsla.com/Pages/Publications.aspx?library=FHSAU%7cpublications" TargetMode="External"/><Relationship Id="rId4" Type="http://schemas.openxmlformats.org/officeDocument/2006/relationships/webSettings" Target="webSettings.xml"/><Relationship Id="rId9" Type="http://schemas.openxmlformats.org/officeDocument/2006/relationships/hyperlink" Target="http://www.nhsla.com/Pages/Publications.aspx?library=FHSAU%7c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2019-04-18T16:29:00Z</dcterms:created>
  <dcterms:modified xsi:type="dcterms:W3CDTF">2019-04-18T16:29:00Z</dcterms:modified>
</cp:coreProperties>
</file>