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CA" w:rsidRDefault="00097ACA" w:rsidP="00097ACA">
      <w:pPr>
        <w:pStyle w:val="Body1"/>
        <w:autoSpaceDE w:val="0"/>
        <w:autoSpaceDN w:val="0"/>
        <w:ind w:left="0"/>
        <w:jc w:val="center"/>
        <w:rPr>
          <w:rFonts w:ascii="Frutiger LT 65 Bold" w:hAnsi="Frutiger LT 65 Bold"/>
          <w:color w:val="1C6CB4"/>
          <w:sz w:val="28"/>
          <w:szCs w:val="28"/>
        </w:rPr>
      </w:pPr>
      <w:bookmarkStart w:id="0" w:name="_Toc401056103"/>
      <w:r>
        <w:rPr>
          <w:rFonts w:ascii="Frutiger LT 65 Bold" w:hAnsi="Frutiger LT 65 Bold"/>
          <w:color w:val="1C6CB4"/>
          <w:sz w:val="28"/>
          <w:szCs w:val="28"/>
        </w:rPr>
        <w:t>Annex 5</w:t>
      </w:r>
    </w:p>
    <w:p w:rsidR="00097ACA" w:rsidRDefault="00097ACA" w:rsidP="00097ACA">
      <w:pPr>
        <w:pStyle w:val="Body1"/>
        <w:autoSpaceDE w:val="0"/>
        <w:autoSpaceDN w:val="0"/>
        <w:ind w:left="0"/>
        <w:jc w:val="center"/>
        <w:rPr>
          <w:rFonts w:ascii="Frutiger LT 55 Roman" w:hAnsi="Frutiger LT 55 Roman"/>
          <w:color w:val="1C6CB4"/>
          <w:sz w:val="32"/>
          <w:szCs w:val="32"/>
        </w:rPr>
      </w:pPr>
      <w:r>
        <w:rPr>
          <w:rFonts w:ascii="Frutiger LT 55 Roman" w:hAnsi="Frutiger LT 55 Roman"/>
          <w:color w:val="1C6CB4"/>
          <w:sz w:val="32"/>
          <w:szCs w:val="32"/>
        </w:rPr>
        <w:t>Standard Monthly Return Pro-Forma</w:t>
      </w:r>
      <w:bookmarkEnd w:id="0"/>
    </w:p>
    <w:p w:rsidR="00097ACA" w:rsidRDefault="00097ACA" w:rsidP="00097ACA">
      <w:pPr>
        <w:pStyle w:val="Body1"/>
        <w:autoSpaceDE w:val="0"/>
        <w:autoSpaceDN w:val="0"/>
        <w:ind w:left="0"/>
        <w:jc w:val="left"/>
        <w:rPr>
          <w:rFonts w:ascii="Frutiger LT Std 45 Light" w:hAnsi="Frutiger LT Std 45 Ligh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8"/>
        <w:gridCol w:w="1228"/>
      </w:tblGrid>
      <w:tr w:rsidR="00097ACA" w:rsidTr="00097ACA">
        <w:tc>
          <w:tcPr>
            <w:tcW w:w="7905" w:type="dxa"/>
            <w:tcBorders>
              <w:top w:val="single" w:sz="8" w:space="0" w:color="1C6CB4"/>
              <w:left w:val="single" w:sz="8" w:space="0" w:color="1C6CB4"/>
              <w:bottom w:val="single" w:sz="8" w:space="0" w:color="1C6CB4"/>
              <w:right w:val="single" w:sz="8" w:space="0" w:color="FFFFFF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color w:val="FFFFFF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8" w:space="0" w:color="1C6CB4"/>
              <w:left w:val="nil"/>
              <w:bottom w:val="single" w:sz="8" w:space="0" w:color="1C6CB4"/>
              <w:right w:val="single" w:sz="8" w:space="0" w:color="1C6CB4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Date:</w:t>
            </w: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ONS and NHAIS population figures compared – [</w:t>
            </w:r>
            <w:r>
              <w:rPr>
                <w:rFonts w:ascii="Frutiger LT Std 45 Light" w:hAnsi="Frutiger LT Std 45 Light"/>
                <w:i/>
                <w:iCs/>
                <w:color w:val="000000"/>
                <w:sz w:val="24"/>
                <w:szCs w:val="24"/>
              </w:rPr>
              <w:t>complete in April]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FFFFFF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Multiple occupancy check (more than eight residents) (monthly), relating to the number of: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Date:</w:t>
            </w: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Households identified with more than eight residents.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requiring contact with households with more than eight residents.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sent clarification notifications (if differs from above please give reason).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 confirmations received (practices have confirmed those patients seen in last 15 months).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Households remaining to contact (after list cleansed by practice confirmation).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Letters sent to households requesting confirmation of occupancy and registration.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Responses received from households.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Reminders letters sent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FP69s with six-month expiry date issued during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Deductions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FFFFFF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University/college student/residential school checks [</w:t>
            </w:r>
            <w:r>
              <w:rPr>
                <w:rFonts w:ascii="Frutiger LT 65 Bold" w:hAnsi="Frutiger LT 65 Bold"/>
                <w:sz w:val="24"/>
                <w:szCs w:val="24"/>
                <w:highlight w:val="yellow"/>
              </w:rPr>
              <w:t>complete for October to December only</w:t>
            </w: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], relating to the number of: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Date:</w:t>
            </w: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Patients recorded on NHAIS as being registered with a general practice for four or more years relating to a college/university/residential school address.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requiring contact with patients with college/university address.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sent clarification notifications (if differs from above give reason).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 confirmations received (practices have confirmed patients registered/seen).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Patients deducted by general practice.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Patients remaining to contact (after list cleansed by practice confirmation).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Letters sent to patients requesting confirmation of address/registration.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Responses received from patients contacted.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Reminders letters sent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FP69s with six-month expiry date issued during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Deductions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FFFFFF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Patients aged 100 and over [complete in March and September reporting period only]. Relating to the number of: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Date:</w:t>
            </w: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Patients recorded on NHAIS aged over 100 years.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requiring contact with patients aged over 100 years.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sent clarification notifications (if differs from above give reason)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 confirmations received (practices have confirmed patients registered/seen)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Patients deducted by general practice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FFFFFF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Notification of demolished addresses (monthly). The number of: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Date:</w:t>
            </w: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Addresses notified as demolished as indicated by postcode address file (PAF).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requiring contact with patients identified at demolished addresses.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sent clarification notifications (if differs from above please give reason).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 confirmations received (practices have confirmed patient still registered with change of address).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FP69s with six-month expiry date issued during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Deductions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FFFFFF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Patients not seen by general practice in previous five years (annually – to be reported in April)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shd w:val="clear" w:color="auto" w:fill="1C6CB4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rPr>
                <w:rFonts w:ascii="Frutiger LT Std 45 Light" w:hAnsi="Frutiger LT Std 45 Light"/>
                <w:color w:val="FFFFFF"/>
                <w:sz w:val="24"/>
                <w:szCs w:val="24"/>
              </w:rPr>
            </w:pPr>
            <w:r>
              <w:rPr>
                <w:rFonts w:ascii="Frutiger LT 65 Bold" w:hAnsi="Frutiger LT 65 Bold"/>
                <w:color w:val="FFFFFF"/>
                <w:sz w:val="24"/>
                <w:szCs w:val="24"/>
              </w:rPr>
              <w:t>Date:</w:t>
            </w: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65 Bold" w:hAnsi="Frutiger LT 65 Bold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Letters sent to all general practices requesting list of all those patients registered who have not had a consultation in five years - date completed. The number of: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contacted.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Practices returned list of patients who have not had a consultation in five years.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Letters sent to identified patients to confirm address and registration.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Responses received from patients contacted.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Reminder letters sent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 xml:space="preserve">FP69s with </w:t>
            </w:r>
            <w:proofErr w:type="gramStart"/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six month</w:t>
            </w:r>
            <w:proofErr w:type="gramEnd"/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 xml:space="preserve"> expiry date issued during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097ACA" w:rsidTr="00097ACA">
        <w:tc>
          <w:tcPr>
            <w:tcW w:w="7905" w:type="dxa"/>
            <w:tcBorders>
              <w:top w:val="nil"/>
              <w:left w:val="single" w:sz="8" w:space="0" w:color="1C6CB4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7ACA" w:rsidRDefault="00097ACA">
            <w:pPr>
              <w:spacing w:line="276" w:lineRule="auto"/>
              <w:rPr>
                <w:rFonts w:ascii="Frutiger LT Std 45 Light" w:hAnsi="Frutiger LT Std 45 Light"/>
                <w:color w:val="000000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</w:rPr>
              <w:t>Deductions within this reporting period.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1C6CB4"/>
              <w:right w:val="single" w:sz="8" w:space="0" w:color="1C6CB4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97ACA" w:rsidRDefault="00097ACA">
            <w:pPr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</w:tbl>
    <w:p w:rsidR="00F10E67" w:rsidRPr="00097ACA" w:rsidRDefault="00F10E67" w:rsidP="00097ACA"/>
    <w:sectPr w:rsidR="00F10E67" w:rsidRPr="00097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62" w:rsidRDefault="00542762" w:rsidP="004262DF">
      <w:r>
        <w:separator/>
      </w:r>
    </w:p>
  </w:endnote>
  <w:endnote w:type="continuationSeparator" w:id="0">
    <w:p w:rsidR="00542762" w:rsidRDefault="00542762" w:rsidP="004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62" w:rsidRDefault="00542762" w:rsidP="004262DF">
      <w:r>
        <w:separator/>
      </w:r>
    </w:p>
  </w:footnote>
  <w:footnote w:type="continuationSeparator" w:id="0">
    <w:p w:rsidR="00542762" w:rsidRDefault="00542762" w:rsidP="0042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F"/>
    <w:rsid w:val="00097ACA"/>
    <w:rsid w:val="002B3D82"/>
    <w:rsid w:val="00362262"/>
    <w:rsid w:val="004262DF"/>
    <w:rsid w:val="004505ED"/>
    <w:rsid w:val="00542762"/>
    <w:rsid w:val="00C12E36"/>
    <w:rsid w:val="00D30862"/>
    <w:rsid w:val="00DE5607"/>
    <w:rsid w:val="00F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7C85-535F-4349-B006-F3A9546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2DF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2DF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Body1">
    <w:name w:val="Body1"/>
    <w:basedOn w:val="Normal"/>
    <w:uiPriority w:val="99"/>
    <w:rsid w:val="004262DF"/>
    <w:pPr>
      <w:spacing w:before="200" w:after="60"/>
      <w:ind w:left="714"/>
      <w:jc w:val="both"/>
    </w:pPr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Joanne Boshell</cp:lastModifiedBy>
  <cp:revision>1</cp:revision>
  <dcterms:created xsi:type="dcterms:W3CDTF">2019-04-18T14:38:00Z</dcterms:created>
  <dcterms:modified xsi:type="dcterms:W3CDTF">2019-04-18T14:38:00Z</dcterms:modified>
</cp:coreProperties>
</file>