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2829" w14:textId="77777777" w:rsidR="002A120A" w:rsidRDefault="002A120A" w:rsidP="002A120A">
      <w:pPr>
        <w:pStyle w:val="Title"/>
        <w:rPr>
          <w:sz w:val="56"/>
          <w:szCs w:val="52"/>
        </w:rPr>
      </w:pPr>
    </w:p>
    <w:p w14:paraId="76392867" w14:textId="048D4497" w:rsidR="002A120A" w:rsidRDefault="002A120A" w:rsidP="002A120A">
      <w:pPr>
        <w:pStyle w:val="Title"/>
        <w:rPr>
          <w:sz w:val="56"/>
          <w:szCs w:val="52"/>
        </w:rPr>
      </w:pPr>
    </w:p>
    <w:p w14:paraId="072DE509" w14:textId="7C8D43E7" w:rsidR="002A120A" w:rsidRDefault="002A120A" w:rsidP="002A120A">
      <w:pPr>
        <w:pStyle w:val="Title"/>
        <w:rPr>
          <w:sz w:val="56"/>
          <w:szCs w:val="52"/>
        </w:rPr>
      </w:pPr>
    </w:p>
    <w:p w14:paraId="423890E4" w14:textId="37FB9E25" w:rsidR="002A120A" w:rsidRDefault="002A120A" w:rsidP="002A120A">
      <w:pPr>
        <w:pStyle w:val="Title"/>
        <w:rPr>
          <w:sz w:val="56"/>
          <w:szCs w:val="52"/>
        </w:rPr>
      </w:pPr>
      <w:r w:rsidRPr="006D4AB6">
        <w:rPr>
          <w:sz w:val="56"/>
          <w:szCs w:val="52"/>
        </w:rPr>
        <w:t>A framework of quality assurance for responsible officers and revalidation</w:t>
      </w:r>
      <w:r w:rsidRPr="002A120A">
        <w:rPr>
          <w:noProof/>
        </w:rPr>
        <w:t xml:space="preserve"> </w:t>
      </w:r>
    </w:p>
    <w:p w14:paraId="02048863" w14:textId="6DD8CA2A" w:rsidR="002A120A" w:rsidRDefault="002A120A" w:rsidP="002A120A"/>
    <w:p w14:paraId="30D0A6CB" w14:textId="42A52782" w:rsidR="00CF08FD" w:rsidRDefault="00CF08FD" w:rsidP="002A120A"/>
    <w:p w14:paraId="1839C56C" w14:textId="77777777" w:rsidR="00CF08FD" w:rsidRDefault="00CF08FD" w:rsidP="002A120A"/>
    <w:p w14:paraId="3351D7A0" w14:textId="5EDD045A" w:rsidR="002A120A" w:rsidRPr="008E1C84" w:rsidRDefault="002A120A" w:rsidP="00CF08FD">
      <w:pPr>
        <w:pStyle w:val="Subtitle"/>
      </w:pPr>
      <w:r>
        <w:t>Annex D – annual board report and statement of compliance</w:t>
      </w:r>
    </w:p>
    <w:p w14:paraId="5F7998BA" w14:textId="56892033" w:rsidR="008366C7" w:rsidRPr="008366C7" w:rsidRDefault="006D4AB6" w:rsidP="008366C7">
      <w:r w:rsidRPr="00362B18">
        <w:t xml:space="preserve">Version </w:t>
      </w:r>
      <w:r w:rsidR="00362B18" w:rsidRPr="00175B6F">
        <w:t>1</w:t>
      </w:r>
      <w:r w:rsidR="00C945EB" w:rsidRPr="00175B6F">
        <w:t>.</w:t>
      </w:r>
      <w:r w:rsidR="001D06EB" w:rsidRPr="00175B6F">
        <w:t>1</w:t>
      </w:r>
      <w:r w:rsidRPr="00175B6F">
        <w:t xml:space="preserve"> </w:t>
      </w:r>
      <w:r w:rsidR="00C945EB" w:rsidRPr="00175B6F">
        <w:t>Feb 2023</w:t>
      </w:r>
    </w:p>
    <w:p w14:paraId="1DC66E95" w14:textId="77777777" w:rsidR="00AA043A" w:rsidRDefault="00AA043A" w:rsidP="00A33657">
      <w:pPr>
        <w:sectPr w:rsidR="00AA043A" w:rsidSect="002A120A">
          <w:headerReference w:type="default" r:id="rId11"/>
          <w:footerReference w:type="default" r:id="rId12"/>
          <w:pgSz w:w="11907" w:h="16840" w:code="9"/>
          <w:pgMar w:top="567" w:right="567" w:bottom="1134" w:left="1247" w:header="720" w:footer="1020" w:gutter="0"/>
          <w:cols w:space="708"/>
          <w:docGrid w:linePitch="360"/>
        </w:sectPr>
      </w:pPr>
    </w:p>
    <w:p w14:paraId="495472E7" w14:textId="77777777" w:rsidR="00D53C4A" w:rsidRDefault="00D53C4A" w:rsidP="004930E1">
      <w:pPr>
        <w:pStyle w:val="TOCHeading"/>
      </w:pPr>
      <w:r>
        <w:lastRenderedPageBreak/>
        <w:t>Contents</w:t>
      </w:r>
    </w:p>
    <w:p w14:paraId="04E8DA77" w14:textId="6D829DD7" w:rsidR="00360F70" w:rsidRDefault="00360F70">
      <w:pPr>
        <w:pStyle w:val="TOC2"/>
        <w:tabs>
          <w:tab w:val="right" w:leader="dot" w:pos="8892"/>
        </w:tabs>
        <w:rPr>
          <w:rFonts w:asciiTheme="minorHAnsi" w:eastAsiaTheme="minorEastAsia" w:hAnsiTheme="minorHAnsi"/>
          <w:noProof/>
          <w:color w:val="auto"/>
          <w:sz w:val="22"/>
          <w:szCs w:val="22"/>
          <w:lang w:eastAsia="en-GB"/>
        </w:rPr>
      </w:pPr>
      <w:r>
        <w:rPr>
          <w:sz w:val="30"/>
        </w:rPr>
        <w:fldChar w:fldCharType="begin"/>
      </w:r>
      <w:r>
        <w:rPr>
          <w:sz w:val="30"/>
        </w:rPr>
        <w:instrText xml:space="preserve"> TOC \o "1-2" \h \z \u </w:instrText>
      </w:r>
      <w:r>
        <w:rPr>
          <w:sz w:val="30"/>
        </w:rPr>
        <w:fldChar w:fldCharType="separate"/>
      </w:r>
      <w:hyperlink w:anchor="_Toc74924166" w:history="1">
        <w:r w:rsidRPr="00DF7793">
          <w:rPr>
            <w:rStyle w:val="Hyperlink"/>
            <w:noProof/>
          </w:rPr>
          <w:t>Introduction:</w:t>
        </w:r>
        <w:r>
          <w:rPr>
            <w:noProof/>
            <w:webHidden/>
          </w:rPr>
          <w:tab/>
        </w:r>
        <w:r>
          <w:rPr>
            <w:noProof/>
            <w:webHidden/>
          </w:rPr>
          <w:fldChar w:fldCharType="begin"/>
        </w:r>
        <w:r>
          <w:rPr>
            <w:noProof/>
            <w:webHidden/>
          </w:rPr>
          <w:instrText xml:space="preserve"> PAGEREF _Toc74924166 \h </w:instrText>
        </w:r>
        <w:r>
          <w:rPr>
            <w:noProof/>
            <w:webHidden/>
          </w:rPr>
        </w:r>
        <w:r>
          <w:rPr>
            <w:noProof/>
            <w:webHidden/>
          </w:rPr>
          <w:fldChar w:fldCharType="separate"/>
        </w:r>
        <w:r>
          <w:rPr>
            <w:noProof/>
            <w:webHidden/>
          </w:rPr>
          <w:t>2</w:t>
        </w:r>
        <w:r>
          <w:rPr>
            <w:noProof/>
            <w:webHidden/>
          </w:rPr>
          <w:fldChar w:fldCharType="end"/>
        </w:r>
      </w:hyperlink>
    </w:p>
    <w:p w14:paraId="7411A8A5" w14:textId="35187F15"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67" w:history="1">
        <w:r w:rsidR="00360F70" w:rsidRPr="00DF7793">
          <w:rPr>
            <w:rStyle w:val="Hyperlink"/>
            <w:noProof/>
          </w:rPr>
          <w:t>Designated Body Annual Board Report</w:t>
        </w:r>
        <w:r w:rsidR="00360F70">
          <w:rPr>
            <w:noProof/>
            <w:webHidden/>
          </w:rPr>
          <w:tab/>
        </w:r>
        <w:r w:rsidR="00360F70">
          <w:rPr>
            <w:noProof/>
            <w:webHidden/>
          </w:rPr>
          <w:fldChar w:fldCharType="begin"/>
        </w:r>
        <w:r w:rsidR="00360F70">
          <w:rPr>
            <w:noProof/>
            <w:webHidden/>
          </w:rPr>
          <w:instrText xml:space="preserve"> PAGEREF _Toc74924167 \h </w:instrText>
        </w:r>
        <w:r w:rsidR="00360F70">
          <w:rPr>
            <w:noProof/>
            <w:webHidden/>
          </w:rPr>
        </w:r>
        <w:r w:rsidR="00360F70">
          <w:rPr>
            <w:noProof/>
            <w:webHidden/>
          </w:rPr>
          <w:fldChar w:fldCharType="separate"/>
        </w:r>
        <w:r w:rsidR="00360F70">
          <w:rPr>
            <w:noProof/>
            <w:webHidden/>
          </w:rPr>
          <w:t>4</w:t>
        </w:r>
        <w:r w:rsidR="00360F70">
          <w:rPr>
            <w:noProof/>
            <w:webHidden/>
          </w:rPr>
          <w:fldChar w:fldCharType="end"/>
        </w:r>
      </w:hyperlink>
    </w:p>
    <w:p w14:paraId="647FC297" w14:textId="43B64900"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68" w:history="1">
        <w:r w:rsidR="00360F70" w:rsidRPr="00DF7793">
          <w:rPr>
            <w:rStyle w:val="Hyperlink"/>
            <w:noProof/>
          </w:rPr>
          <w:t>Section 1 – General:</w:t>
        </w:r>
        <w:r w:rsidR="00360F70">
          <w:rPr>
            <w:noProof/>
            <w:webHidden/>
          </w:rPr>
          <w:tab/>
        </w:r>
        <w:r w:rsidR="00360F70">
          <w:rPr>
            <w:noProof/>
            <w:webHidden/>
          </w:rPr>
          <w:fldChar w:fldCharType="begin"/>
        </w:r>
        <w:r w:rsidR="00360F70">
          <w:rPr>
            <w:noProof/>
            <w:webHidden/>
          </w:rPr>
          <w:instrText xml:space="preserve"> PAGEREF _Toc74924168 \h </w:instrText>
        </w:r>
        <w:r w:rsidR="00360F70">
          <w:rPr>
            <w:noProof/>
            <w:webHidden/>
          </w:rPr>
        </w:r>
        <w:r w:rsidR="00360F70">
          <w:rPr>
            <w:noProof/>
            <w:webHidden/>
          </w:rPr>
          <w:fldChar w:fldCharType="separate"/>
        </w:r>
        <w:r w:rsidR="00360F70">
          <w:rPr>
            <w:noProof/>
            <w:webHidden/>
          </w:rPr>
          <w:t>4</w:t>
        </w:r>
        <w:r w:rsidR="00360F70">
          <w:rPr>
            <w:noProof/>
            <w:webHidden/>
          </w:rPr>
          <w:fldChar w:fldCharType="end"/>
        </w:r>
      </w:hyperlink>
    </w:p>
    <w:p w14:paraId="1459166A" w14:textId="13099DF4"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69" w:history="1">
        <w:r w:rsidR="00360F70" w:rsidRPr="00DF7793">
          <w:rPr>
            <w:rStyle w:val="Hyperlink"/>
            <w:noProof/>
          </w:rPr>
          <w:t>Section 2a – Effective Appraisal</w:t>
        </w:r>
        <w:r w:rsidR="00360F70">
          <w:rPr>
            <w:noProof/>
            <w:webHidden/>
          </w:rPr>
          <w:tab/>
        </w:r>
        <w:r w:rsidR="00360F70">
          <w:rPr>
            <w:noProof/>
            <w:webHidden/>
          </w:rPr>
          <w:fldChar w:fldCharType="begin"/>
        </w:r>
        <w:r w:rsidR="00360F70">
          <w:rPr>
            <w:noProof/>
            <w:webHidden/>
          </w:rPr>
          <w:instrText xml:space="preserve"> PAGEREF _Toc74924169 \h </w:instrText>
        </w:r>
        <w:r w:rsidR="00360F70">
          <w:rPr>
            <w:noProof/>
            <w:webHidden/>
          </w:rPr>
        </w:r>
        <w:r w:rsidR="00360F70">
          <w:rPr>
            <w:noProof/>
            <w:webHidden/>
          </w:rPr>
          <w:fldChar w:fldCharType="separate"/>
        </w:r>
        <w:r w:rsidR="00360F70">
          <w:rPr>
            <w:noProof/>
            <w:webHidden/>
          </w:rPr>
          <w:t>5</w:t>
        </w:r>
        <w:r w:rsidR="00360F70">
          <w:rPr>
            <w:noProof/>
            <w:webHidden/>
          </w:rPr>
          <w:fldChar w:fldCharType="end"/>
        </w:r>
      </w:hyperlink>
    </w:p>
    <w:p w14:paraId="38BDA824" w14:textId="216AA470"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0" w:history="1">
        <w:r w:rsidR="00360F70" w:rsidRPr="00DF7793">
          <w:rPr>
            <w:rStyle w:val="Hyperlink"/>
            <w:noProof/>
          </w:rPr>
          <w:t>Section 2b – Appraisal Data</w:t>
        </w:r>
        <w:r w:rsidR="00360F70">
          <w:rPr>
            <w:noProof/>
            <w:webHidden/>
          </w:rPr>
          <w:tab/>
        </w:r>
        <w:r w:rsidR="00360F70">
          <w:rPr>
            <w:noProof/>
            <w:webHidden/>
          </w:rPr>
          <w:fldChar w:fldCharType="begin"/>
        </w:r>
        <w:r w:rsidR="00360F70">
          <w:rPr>
            <w:noProof/>
            <w:webHidden/>
          </w:rPr>
          <w:instrText xml:space="preserve"> PAGEREF _Toc74924170 \h </w:instrText>
        </w:r>
        <w:r w:rsidR="00360F70">
          <w:rPr>
            <w:noProof/>
            <w:webHidden/>
          </w:rPr>
        </w:r>
        <w:r w:rsidR="00360F70">
          <w:rPr>
            <w:noProof/>
            <w:webHidden/>
          </w:rPr>
          <w:fldChar w:fldCharType="separate"/>
        </w:r>
        <w:r w:rsidR="00360F70">
          <w:rPr>
            <w:noProof/>
            <w:webHidden/>
          </w:rPr>
          <w:t>7</w:t>
        </w:r>
        <w:r w:rsidR="00360F70">
          <w:rPr>
            <w:noProof/>
            <w:webHidden/>
          </w:rPr>
          <w:fldChar w:fldCharType="end"/>
        </w:r>
      </w:hyperlink>
    </w:p>
    <w:p w14:paraId="5EE8396E" w14:textId="5163B045"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1" w:history="1">
        <w:r w:rsidR="00360F70" w:rsidRPr="00DF7793">
          <w:rPr>
            <w:rStyle w:val="Hyperlink"/>
            <w:noProof/>
          </w:rPr>
          <w:t>Section 3 – Recommendations to the GMC</w:t>
        </w:r>
        <w:r w:rsidR="00360F70">
          <w:rPr>
            <w:noProof/>
            <w:webHidden/>
          </w:rPr>
          <w:tab/>
        </w:r>
        <w:r w:rsidR="00360F70">
          <w:rPr>
            <w:noProof/>
            <w:webHidden/>
          </w:rPr>
          <w:fldChar w:fldCharType="begin"/>
        </w:r>
        <w:r w:rsidR="00360F70">
          <w:rPr>
            <w:noProof/>
            <w:webHidden/>
          </w:rPr>
          <w:instrText xml:space="preserve"> PAGEREF _Toc74924171 \h </w:instrText>
        </w:r>
        <w:r w:rsidR="00360F70">
          <w:rPr>
            <w:noProof/>
            <w:webHidden/>
          </w:rPr>
        </w:r>
        <w:r w:rsidR="00360F70">
          <w:rPr>
            <w:noProof/>
            <w:webHidden/>
          </w:rPr>
          <w:fldChar w:fldCharType="separate"/>
        </w:r>
        <w:r w:rsidR="00360F70">
          <w:rPr>
            <w:noProof/>
            <w:webHidden/>
          </w:rPr>
          <w:t>7</w:t>
        </w:r>
        <w:r w:rsidR="00360F70">
          <w:rPr>
            <w:noProof/>
            <w:webHidden/>
          </w:rPr>
          <w:fldChar w:fldCharType="end"/>
        </w:r>
      </w:hyperlink>
    </w:p>
    <w:p w14:paraId="0DF00E53" w14:textId="04235431"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2" w:history="1">
        <w:r w:rsidR="00360F70" w:rsidRPr="00DF7793">
          <w:rPr>
            <w:rStyle w:val="Hyperlink"/>
            <w:noProof/>
          </w:rPr>
          <w:t>Section 4 – Medical governance</w:t>
        </w:r>
        <w:r w:rsidR="00360F70">
          <w:rPr>
            <w:noProof/>
            <w:webHidden/>
          </w:rPr>
          <w:tab/>
        </w:r>
        <w:r w:rsidR="00360F70">
          <w:rPr>
            <w:noProof/>
            <w:webHidden/>
          </w:rPr>
          <w:fldChar w:fldCharType="begin"/>
        </w:r>
        <w:r w:rsidR="00360F70">
          <w:rPr>
            <w:noProof/>
            <w:webHidden/>
          </w:rPr>
          <w:instrText xml:space="preserve"> PAGEREF _Toc74924172 \h </w:instrText>
        </w:r>
        <w:r w:rsidR="00360F70">
          <w:rPr>
            <w:noProof/>
            <w:webHidden/>
          </w:rPr>
        </w:r>
        <w:r w:rsidR="00360F70">
          <w:rPr>
            <w:noProof/>
            <w:webHidden/>
          </w:rPr>
          <w:fldChar w:fldCharType="separate"/>
        </w:r>
        <w:r w:rsidR="00360F70">
          <w:rPr>
            <w:noProof/>
            <w:webHidden/>
          </w:rPr>
          <w:t>8</w:t>
        </w:r>
        <w:r w:rsidR="00360F70">
          <w:rPr>
            <w:noProof/>
            <w:webHidden/>
          </w:rPr>
          <w:fldChar w:fldCharType="end"/>
        </w:r>
      </w:hyperlink>
    </w:p>
    <w:p w14:paraId="4D624611" w14:textId="208AA092"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3" w:history="1">
        <w:r w:rsidR="00360F70" w:rsidRPr="00DF7793">
          <w:rPr>
            <w:rStyle w:val="Hyperlink"/>
            <w:noProof/>
          </w:rPr>
          <w:t>Section 5 – Employment Checks</w:t>
        </w:r>
        <w:r w:rsidR="00360F70">
          <w:rPr>
            <w:noProof/>
            <w:webHidden/>
          </w:rPr>
          <w:tab/>
        </w:r>
        <w:r w:rsidR="00360F70">
          <w:rPr>
            <w:noProof/>
            <w:webHidden/>
          </w:rPr>
          <w:fldChar w:fldCharType="begin"/>
        </w:r>
        <w:r w:rsidR="00360F70">
          <w:rPr>
            <w:noProof/>
            <w:webHidden/>
          </w:rPr>
          <w:instrText xml:space="preserve"> PAGEREF _Toc74924173 \h </w:instrText>
        </w:r>
        <w:r w:rsidR="00360F70">
          <w:rPr>
            <w:noProof/>
            <w:webHidden/>
          </w:rPr>
        </w:r>
        <w:r w:rsidR="00360F70">
          <w:rPr>
            <w:noProof/>
            <w:webHidden/>
          </w:rPr>
          <w:fldChar w:fldCharType="separate"/>
        </w:r>
        <w:r w:rsidR="00360F70">
          <w:rPr>
            <w:noProof/>
            <w:webHidden/>
          </w:rPr>
          <w:t>10</w:t>
        </w:r>
        <w:r w:rsidR="00360F70">
          <w:rPr>
            <w:noProof/>
            <w:webHidden/>
          </w:rPr>
          <w:fldChar w:fldCharType="end"/>
        </w:r>
      </w:hyperlink>
    </w:p>
    <w:p w14:paraId="4E26D1B1" w14:textId="1A236311"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4" w:history="1">
        <w:r w:rsidR="00360F70" w:rsidRPr="00DF7793">
          <w:rPr>
            <w:rStyle w:val="Hyperlink"/>
            <w:noProof/>
          </w:rPr>
          <w:t>Section 6 – Summary of comments, and overall conclusion</w:t>
        </w:r>
        <w:r w:rsidR="00360F70">
          <w:rPr>
            <w:noProof/>
            <w:webHidden/>
          </w:rPr>
          <w:tab/>
        </w:r>
        <w:r w:rsidR="00360F70">
          <w:rPr>
            <w:noProof/>
            <w:webHidden/>
          </w:rPr>
          <w:fldChar w:fldCharType="begin"/>
        </w:r>
        <w:r w:rsidR="00360F70">
          <w:rPr>
            <w:noProof/>
            <w:webHidden/>
          </w:rPr>
          <w:instrText xml:space="preserve"> PAGEREF _Toc74924174 \h </w:instrText>
        </w:r>
        <w:r w:rsidR="00360F70">
          <w:rPr>
            <w:noProof/>
            <w:webHidden/>
          </w:rPr>
        </w:r>
        <w:r w:rsidR="00360F70">
          <w:rPr>
            <w:noProof/>
            <w:webHidden/>
          </w:rPr>
          <w:fldChar w:fldCharType="separate"/>
        </w:r>
        <w:r w:rsidR="00360F70">
          <w:rPr>
            <w:noProof/>
            <w:webHidden/>
          </w:rPr>
          <w:t>10</w:t>
        </w:r>
        <w:r w:rsidR="00360F70">
          <w:rPr>
            <w:noProof/>
            <w:webHidden/>
          </w:rPr>
          <w:fldChar w:fldCharType="end"/>
        </w:r>
      </w:hyperlink>
    </w:p>
    <w:p w14:paraId="42475322" w14:textId="09274C24"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5" w:history="1">
        <w:r w:rsidR="00360F70" w:rsidRPr="00DF7793">
          <w:rPr>
            <w:rStyle w:val="Hyperlink"/>
            <w:noProof/>
          </w:rPr>
          <w:t>Section 7 – Statement of Compliance:</w:t>
        </w:r>
        <w:r w:rsidR="00360F70">
          <w:rPr>
            <w:noProof/>
            <w:webHidden/>
          </w:rPr>
          <w:tab/>
        </w:r>
        <w:r w:rsidR="00360F70">
          <w:rPr>
            <w:noProof/>
            <w:webHidden/>
          </w:rPr>
          <w:fldChar w:fldCharType="begin"/>
        </w:r>
        <w:r w:rsidR="00360F70">
          <w:rPr>
            <w:noProof/>
            <w:webHidden/>
          </w:rPr>
          <w:instrText xml:space="preserve"> PAGEREF _Toc74924175 \h </w:instrText>
        </w:r>
        <w:r w:rsidR="00360F70">
          <w:rPr>
            <w:noProof/>
            <w:webHidden/>
          </w:rPr>
        </w:r>
        <w:r w:rsidR="00360F70">
          <w:rPr>
            <w:noProof/>
            <w:webHidden/>
          </w:rPr>
          <w:fldChar w:fldCharType="separate"/>
        </w:r>
        <w:r w:rsidR="00360F70">
          <w:rPr>
            <w:noProof/>
            <w:webHidden/>
          </w:rPr>
          <w:t>11</w:t>
        </w:r>
        <w:r w:rsidR="00360F70">
          <w:rPr>
            <w:noProof/>
            <w:webHidden/>
          </w:rPr>
          <w:fldChar w:fldCharType="end"/>
        </w:r>
      </w:hyperlink>
    </w:p>
    <w:p w14:paraId="00478421" w14:textId="454D2567" w:rsidR="004930E1" w:rsidRDefault="00360F70" w:rsidP="00410316">
      <w:pPr>
        <w:pStyle w:val="BodyText2"/>
      </w:pPr>
      <w:r>
        <w:rPr>
          <w:sz w:val="30"/>
        </w:rPr>
        <w:fldChar w:fldCharType="end"/>
      </w:r>
    </w:p>
    <w:p w14:paraId="0C83FFBB" w14:textId="41D14E69" w:rsidR="008E1C84" w:rsidRPr="00C82841" w:rsidRDefault="008E1C84" w:rsidP="004930E1">
      <w:pPr>
        <w:rPr>
          <w:color w:val="auto"/>
        </w:rPr>
        <w:sectPr w:rsidR="008E1C84" w:rsidRPr="00C82841" w:rsidSect="00663E9E">
          <w:headerReference w:type="default" r:id="rId13"/>
          <w:footerReference w:type="default" r:id="rId14"/>
          <w:pgSz w:w="11907" w:h="16840" w:code="9"/>
          <w:pgMar w:top="1418" w:right="1928" w:bottom="1247" w:left="1077" w:header="851" w:footer="510" w:gutter="0"/>
          <w:pgNumType w:start="1"/>
          <w:cols w:space="708"/>
          <w:docGrid w:linePitch="360"/>
        </w:sectPr>
      </w:pPr>
    </w:p>
    <w:p w14:paraId="5F4FEF41" w14:textId="77777777" w:rsidR="006D4AB6" w:rsidRDefault="006D4AB6" w:rsidP="0041172E">
      <w:pPr>
        <w:pStyle w:val="Heading2"/>
      </w:pPr>
      <w:bookmarkStart w:id="1" w:name="_Toc74924166"/>
      <w:r>
        <w:lastRenderedPageBreak/>
        <w:t>Introduction:</w:t>
      </w:r>
      <w:bookmarkEnd w:id="1"/>
    </w:p>
    <w:p w14:paraId="7AF7C783" w14:textId="7B0A8AC2" w:rsidR="006D4AB6" w:rsidRDefault="006D4AB6" w:rsidP="006D4AB6">
      <w:pPr>
        <w:pStyle w:val="BodyText2"/>
      </w:pPr>
      <w:r>
        <w:t>The Framework of Quality Assurance (FQA) for Responsible Officers and Revalidation was first published in April 2014 and comprised of the main FQA document and seven annexes A – G</w:t>
      </w:r>
      <w:r w:rsidR="0041172E">
        <w:t xml:space="preserve">. </w:t>
      </w:r>
    </w:p>
    <w:p w14:paraId="3EB01888" w14:textId="77777777" w:rsidR="006D4AB6" w:rsidRDefault="006D4AB6" w:rsidP="006D4AB6">
      <w:pPr>
        <w:pStyle w:val="BodyText2"/>
      </w:pPr>
      <w:r>
        <w:t>In 2019 a review of the Annual Organisational Audit (AOA), Board Report template and the Statement of Compliance concluded with a slimmed down version of the AOA (Annex C) and a revised Board Report template (Annex D), which was combined with the Statement of Compliance (previously listed as Annex E) for efficiency and simplicity.</w:t>
      </w:r>
    </w:p>
    <w:p w14:paraId="52015EC3" w14:textId="2349C510" w:rsidR="006D4AB6" w:rsidRDefault="00FC2A45" w:rsidP="006D4AB6">
      <w:pPr>
        <w:pStyle w:val="BodyText2"/>
      </w:pPr>
      <w:r>
        <w:t xml:space="preserve">The AOA exercise has been stood down since </w:t>
      </w:r>
      <w:proofErr w:type="gramStart"/>
      <w:r>
        <w:t>2020, but</w:t>
      </w:r>
      <w:proofErr w:type="gramEnd"/>
      <w:r w:rsidR="006D4AB6">
        <w:t xml:space="preserve"> </w:t>
      </w:r>
      <w:r>
        <w:t>has been adapted so that organisations have</w:t>
      </w:r>
      <w:r w:rsidR="006D4AB6">
        <w:t xml:space="preserve"> still be</w:t>
      </w:r>
      <w:r>
        <w:t>en</w:t>
      </w:r>
      <w:r w:rsidR="006D4AB6">
        <w:t xml:space="preserve"> able to report on their appraisal</w:t>
      </w:r>
      <w:r>
        <w:t xml:space="preserve"> rates</w:t>
      </w:r>
      <w:r w:rsidR="006D4AB6">
        <w:t>.</w:t>
      </w:r>
    </w:p>
    <w:p w14:paraId="5BD6EDA1" w14:textId="47B42498" w:rsidR="006D4AB6" w:rsidRDefault="006D4AB6" w:rsidP="006D4AB6">
      <w:pPr>
        <w:pStyle w:val="BodyText2"/>
      </w:pPr>
      <w:r>
        <w:t>Whilst a designated body with significant groups of doctors (</w:t>
      </w:r>
      <w:proofErr w:type="gramStart"/>
      <w:r>
        <w:t>e.g.</w:t>
      </w:r>
      <w:proofErr w:type="gramEnd"/>
      <w:r>
        <w:t xml:space="preserve"> consultants, SAS and locum doctors) will find it useful to maintain internal audit data of the appraisal rates in each group, the high-level overall rate requested</w:t>
      </w:r>
      <w:r w:rsidR="00FC2A45">
        <w:t xml:space="preserve"> in the table provided</w:t>
      </w:r>
      <w:r>
        <w:t xml:space="preserve"> is enough information to demonstrate compliance.</w:t>
      </w:r>
    </w:p>
    <w:p w14:paraId="119940BE" w14:textId="1B58B925" w:rsidR="006D4AB6" w:rsidRDefault="006D4AB6" w:rsidP="006D4AB6">
      <w:pPr>
        <w:pStyle w:val="BodyText2"/>
      </w:pPr>
      <w:r>
        <w:t xml:space="preserve">The </w:t>
      </w:r>
      <w:r w:rsidR="00FC2A45">
        <w:t>purpose of this</w:t>
      </w:r>
      <w:r>
        <w:t xml:space="preserve"> Board Report template </w:t>
      </w:r>
      <w:r w:rsidR="00FC2A45">
        <w:t>is to</w:t>
      </w:r>
      <w:r>
        <w:t xml:space="preserve"> guide organisations by setting out the key requirements for compliance with regulations and key national guidance, and provides a format to review these requirements, so that the designated body can demonstrate not only basic compliance but continued improvement over time. Completion of the template will therefore:</w:t>
      </w:r>
    </w:p>
    <w:p w14:paraId="3F5571D2" w14:textId="18FC16A8" w:rsidR="006D4AB6" w:rsidRDefault="006D4AB6" w:rsidP="00663E9E">
      <w:pPr>
        <w:pStyle w:val="BodyText2"/>
        <w:numPr>
          <w:ilvl w:val="0"/>
          <w:numId w:val="29"/>
        </w:numPr>
        <w:spacing w:after="0"/>
      </w:pPr>
      <w:r>
        <w:t xml:space="preserve">help the designated body in its pursuit of quality improvement, </w:t>
      </w:r>
    </w:p>
    <w:p w14:paraId="4BFC52FD" w14:textId="28156792" w:rsidR="006D4AB6" w:rsidRDefault="006D4AB6" w:rsidP="00663E9E">
      <w:pPr>
        <w:pStyle w:val="BodyText2"/>
        <w:spacing w:after="0"/>
        <w:ind w:firstLine="720"/>
      </w:pPr>
      <w:r>
        <w:t xml:space="preserve">b) provide the necessary assurance to the higher-level responsible officer, </w:t>
      </w:r>
    </w:p>
    <w:p w14:paraId="2A089B9D" w14:textId="77777777" w:rsidR="006D4AB6" w:rsidRDefault="006D4AB6" w:rsidP="0041172E">
      <w:pPr>
        <w:pStyle w:val="BodyText2"/>
        <w:ind w:firstLine="720"/>
      </w:pPr>
      <w:r>
        <w:t>c) act as evidence for CQC inspections.</w:t>
      </w:r>
    </w:p>
    <w:p w14:paraId="3FF559BD" w14:textId="77777777" w:rsidR="00FC2A45" w:rsidRDefault="00FC2A45">
      <w:pPr>
        <w:spacing w:line="276" w:lineRule="auto"/>
        <w:rPr>
          <w:rFonts w:eastAsiaTheme="majorEastAsia" w:cstheme="majorBidi"/>
          <w:color w:val="005EB8"/>
          <w:sz w:val="36"/>
          <w:szCs w:val="26"/>
        </w:rPr>
      </w:pPr>
      <w:bookmarkStart w:id="2" w:name="_Toc74924167"/>
      <w:r>
        <w:br w:type="page"/>
      </w:r>
    </w:p>
    <w:p w14:paraId="1F1C2CEB" w14:textId="78C530FD" w:rsidR="0041172E" w:rsidRDefault="0041172E" w:rsidP="0041172E">
      <w:pPr>
        <w:pStyle w:val="Heading2"/>
      </w:pPr>
      <w:r>
        <w:lastRenderedPageBreak/>
        <w:t>D</w:t>
      </w:r>
      <w:r w:rsidRPr="00D14EDF">
        <w:t xml:space="preserve">esignated Body </w:t>
      </w:r>
      <w:r>
        <w:t>Annual Board Report</w:t>
      </w:r>
      <w:bookmarkEnd w:id="2"/>
    </w:p>
    <w:p w14:paraId="25DD8527" w14:textId="77777777" w:rsidR="0041172E" w:rsidRDefault="0041172E" w:rsidP="0041172E">
      <w:pPr>
        <w:pStyle w:val="Heading2"/>
      </w:pPr>
      <w:bookmarkStart w:id="3" w:name="_Toc8989959"/>
      <w:bookmarkStart w:id="4" w:name="_Toc74924168"/>
      <w:r>
        <w:t>Section 1 – General:</w:t>
      </w:r>
      <w:bookmarkEnd w:id="3"/>
      <w:bookmarkEnd w:id="4"/>
      <w:r>
        <w:t xml:space="preserve"> </w:t>
      </w:r>
    </w:p>
    <w:p w14:paraId="35A7B4D3" w14:textId="77777777" w:rsidR="0041172E" w:rsidRDefault="0041172E" w:rsidP="0041172E">
      <w:pPr>
        <w:pStyle w:val="BodyText2"/>
      </w:pPr>
      <w:r>
        <w:t xml:space="preserve">The board / executive management team </w:t>
      </w:r>
      <w:r w:rsidRPr="00B95EB0">
        <w:t>– [</w:t>
      </w:r>
      <w:r w:rsidRPr="00557743">
        <w:rPr>
          <w:i/>
        </w:rPr>
        <w:t>delete as applicable</w:t>
      </w:r>
      <w:r w:rsidRPr="00B95EB0">
        <w:t xml:space="preserve">] </w:t>
      </w:r>
      <w:r>
        <w:t>of [</w:t>
      </w:r>
      <w:r w:rsidRPr="00557743">
        <w:rPr>
          <w:i/>
        </w:rPr>
        <w:t>insert official name of DB</w:t>
      </w:r>
      <w:r>
        <w:t>] can confirm that:</w:t>
      </w:r>
    </w:p>
    <w:p w14:paraId="512EB95E" w14:textId="77777777" w:rsidR="0041172E" w:rsidRPr="00336EA4" w:rsidRDefault="0041172E" w:rsidP="0041172E">
      <w:pPr>
        <w:pStyle w:val="BodyText"/>
      </w:pPr>
      <w:r w:rsidRPr="00336EA4">
        <w:t>A</w:t>
      </w:r>
      <w:r>
        <w:t xml:space="preserve">n appropriately trained </w:t>
      </w:r>
      <w:r w:rsidRPr="00336EA4">
        <w:t xml:space="preserve">licensed medical practitioner </w:t>
      </w:r>
      <w:r>
        <w:t>is</w:t>
      </w:r>
      <w:r w:rsidRPr="00336EA4">
        <w:t xml:space="preserve"> nominated or</w:t>
      </w:r>
      <w:r>
        <w:t xml:space="preserve"> </w:t>
      </w:r>
      <w:r w:rsidRPr="00336EA4">
        <w:t xml:space="preserve">appointed as a responsible officer. </w:t>
      </w:r>
    </w:p>
    <w:p w14:paraId="088A22BE"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from last year:</w:t>
      </w:r>
    </w:p>
    <w:p w14:paraId="36639376"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Comments:</w:t>
      </w:r>
    </w:p>
    <w:p w14:paraId="251CF7CD" w14:textId="77777777" w:rsidR="0041172E" w:rsidRPr="005571A5"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635B3675" w14:textId="77777777" w:rsidR="0041172E" w:rsidRPr="00336EA4" w:rsidRDefault="0041172E" w:rsidP="0041172E">
      <w:pPr>
        <w:pStyle w:val="BodyText"/>
      </w:pPr>
      <w:r w:rsidRPr="00336EA4">
        <w:t>The designated body provide</w:t>
      </w:r>
      <w:r>
        <w:t>s</w:t>
      </w:r>
      <w:r w:rsidRPr="00336EA4">
        <w:t xml:space="preserve"> sufficient funds, </w:t>
      </w:r>
      <w:proofErr w:type="gramStart"/>
      <w:r w:rsidRPr="00336EA4">
        <w:t>capacity</w:t>
      </w:r>
      <w:proofErr w:type="gramEnd"/>
      <w:r w:rsidRPr="00336EA4">
        <w:t xml:space="preserve"> and other resources for the responsible officer to carry out the responsibilities of the role.</w:t>
      </w:r>
    </w:p>
    <w:p w14:paraId="3D450F2E"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Yes/No [delete as applicable]</w:t>
      </w:r>
    </w:p>
    <w:p w14:paraId="1D642809"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from last year:</w:t>
      </w:r>
    </w:p>
    <w:p w14:paraId="2660B052"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Comments:</w:t>
      </w:r>
    </w:p>
    <w:p w14:paraId="66590577" w14:textId="77777777" w:rsidR="0041172E" w:rsidRPr="005571A5"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0033919B" w14:textId="77777777" w:rsidR="0041172E" w:rsidRPr="00336EA4" w:rsidRDefault="0041172E" w:rsidP="0041172E">
      <w:pPr>
        <w:pStyle w:val="BodyText"/>
      </w:pPr>
      <w:r w:rsidRPr="00336EA4">
        <w:t>An accurate record of all licensed medical practitioners with a prescribed connection to the designated body is</w:t>
      </w:r>
      <w:r>
        <w:t xml:space="preserve"> always </w:t>
      </w:r>
      <w:r w:rsidRPr="00336EA4">
        <w:t>maintained</w:t>
      </w:r>
      <w:r>
        <w:t>.</w:t>
      </w:r>
      <w:r w:rsidRPr="00336EA4">
        <w:t xml:space="preserve"> </w:t>
      </w:r>
    </w:p>
    <w:p w14:paraId="5565A5F3"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from last year:</w:t>
      </w:r>
    </w:p>
    <w:p w14:paraId="379C2F6D"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5571A5">
        <w:rPr>
          <w:rFonts w:cs="Arial"/>
          <w:color w:val="808080" w:themeColor="background1" w:themeShade="80"/>
        </w:rPr>
        <w:t xml:space="preserve">Comments: </w:t>
      </w:r>
    </w:p>
    <w:p w14:paraId="7DD429C8"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4F53DEE8" w14:textId="77777777" w:rsidR="0041172E" w:rsidRPr="0041172E" w:rsidRDefault="0041172E" w:rsidP="0041172E">
      <w:pPr>
        <w:pStyle w:val="BodyText"/>
      </w:pPr>
      <w:bookmarkStart w:id="5" w:name="_Toc8989960"/>
      <w:r>
        <w:t>All policies in place to support medical revalidation are actively monitored and regularly reviewed.</w:t>
      </w:r>
      <w:bookmarkEnd w:id="5"/>
    </w:p>
    <w:p w14:paraId="5F9B50DB" w14:textId="77777777" w:rsidR="0041172E" w:rsidRPr="0051251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512510">
        <w:rPr>
          <w:rFonts w:cs="Arial"/>
          <w:color w:val="808080" w:themeColor="background1" w:themeShade="80"/>
        </w:rPr>
        <w:t>Action from last year:</w:t>
      </w:r>
    </w:p>
    <w:p w14:paraId="6479D4F2"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512510">
        <w:rPr>
          <w:rFonts w:cs="Arial"/>
          <w:color w:val="808080" w:themeColor="background1" w:themeShade="80"/>
        </w:rPr>
        <w:t>Comments:</w:t>
      </w:r>
    </w:p>
    <w:p w14:paraId="30EB3DA1" w14:textId="77777777" w:rsidR="0041172E" w:rsidRPr="0051251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4BA80AAD" w14:textId="438CDD17" w:rsidR="0041172E" w:rsidRDefault="0041172E">
      <w:pPr>
        <w:spacing w:line="276" w:lineRule="auto"/>
        <w:rPr>
          <w:color w:val="FF0000"/>
        </w:rPr>
      </w:pPr>
      <w:r>
        <w:rPr>
          <w:color w:val="FF0000"/>
        </w:rPr>
        <w:br w:type="page"/>
      </w:r>
    </w:p>
    <w:p w14:paraId="08AE69BD" w14:textId="77777777" w:rsidR="0041172E" w:rsidRPr="00E93328" w:rsidRDefault="0041172E" w:rsidP="0041172E">
      <w:pPr>
        <w:pStyle w:val="BodyText"/>
      </w:pPr>
      <w:r>
        <w:lastRenderedPageBreak/>
        <w:t>A peer review has been undertaken (where possible) of this organisation’s appraisal a</w:t>
      </w:r>
      <w:r w:rsidRPr="00E93328">
        <w:t>nd revalidation processes</w:t>
      </w:r>
      <w:r>
        <w:t>.</w:t>
      </w:r>
      <w:r w:rsidRPr="00E93328">
        <w:t xml:space="preserve">  </w:t>
      </w:r>
    </w:p>
    <w:p w14:paraId="261B37CD"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Actions from last year</w:t>
      </w:r>
    </w:p>
    <w:p w14:paraId="7D387987"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Comments:</w:t>
      </w:r>
    </w:p>
    <w:p w14:paraId="7A9B29E0" w14:textId="77777777" w:rsidR="0041172E" w:rsidRPr="00E93328"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0237A1AB" w14:textId="2775AD87" w:rsidR="0041172E" w:rsidRDefault="0041172E" w:rsidP="0041172E">
      <w:pPr>
        <w:widowControl w:val="0"/>
        <w:spacing w:after="200" w:line="276" w:lineRule="auto"/>
        <w:ind w:left="709" w:hanging="425"/>
        <w:contextualSpacing/>
        <w:rPr>
          <w:rFonts w:cs="Arial"/>
        </w:rPr>
      </w:pPr>
      <w:r>
        <w:rPr>
          <w:rFonts w:cs="Arial"/>
        </w:rPr>
        <w:t xml:space="preserve">  </w:t>
      </w:r>
    </w:p>
    <w:p w14:paraId="2DA25DB4" w14:textId="325BAE39" w:rsidR="0041172E" w:rsidRPr="008139B6" w:rsidRDefault="0041172E" w:rsidP="0041172E">
      <w:pPr>
        <w:pStyle w:val="BodyText"/>
      </w:pPr>
      <w:r>
        <w:t xml:space="preserve">A process is </w:t>
      </w:r>
      <w:r w:rsidRPr="008139B6">
        <w:t xml:space="preserve">in place to ensure locum or short-term placement doctors working </w:t>
      </w:r>
      <w:r>
        <w:t>in the</w:t>
      </w:r>
      <w:r w:rsidRPr="008139B6">
        <w:t xml:space="preserve"> organisation</w:t>
      </w:r>
      <w:r>
        <w:t>, including those with a prescribed connection to another organisation, are</w:t>
      </w:r>
      <w:r w:rsidRPr="008139B6">
        <w:t xml:space="preserve"> support</w:t>
      </w:r>
      <w:r>
        <w:t>ed in</w:t>
      </w:r>
      <w:r w:rsidRPr="008139B6">
        <w:t xml:space="preserve"> their continuing professional development, appraisal, revalidation, and governance</w:t>
      </w:r>
      <w:r>
        <w:t>.</w:t>
      </w:r>
    </w:p>
    <w:p w14:paraId="48F18873" w14:textId="77777777" w:rsidR="0041172E" w:rsidRPr="000B524F"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0B524F">
        <w:rPr>
          <w:rFonts w:cs="Arial"/>
          <w:color w:val="808080" w:themeColor="background1" w:themeShade="80"/>
        </w:rPr>
        <w:t>Action from last year:</w:t>
      </w:r>
    </w:p>
    <w:p w14:paraId="750C773F" w14:textId="77777777" w:rsidR="0041172E" w:rsidRPr="000B524F"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0B524F">
        <w:rPr>
          <w:rFonts w:cs="Arial"/>
          <w:color w:val="808080" w:themeColor="background1" w:themeShade="80"/>
        </w:rPr>
        <w:t>Comments:</w:t>
      </w:r>
    </w:p>
    <w:p w14:paraId="7A47930F" w14:textId="77777777" w:rsidR="0041172E" w:rsidRPr="000B524F"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0B524F">
        <w:rPr>
          <w:rFonts w:cs="Arial"/>
          <w:color w:val="808080" w:themeColor="background1" w:themeShade="80"/>
        </w:rPr>
        <w:t>Action for next year:</w:t>
      </w:r>
    </w:p>
    <w:p w14:paraId="25AAC3E5" w14:textId="77777777" w:rsidR="0041172E" w:rsidRDefault="0041172E" w:rsidP="0041172E">
      <w:pPr>
        <w:pStyle w:val="BodyText2"/>
      </w:pPr>
      <w:bookmarkStart w:id="6" w:name="_Toc8989961"/>
    </w:p>
    <w:p w14:paraId="3A755E66" w14:textId="5488F84F" w:rsidR="0041172E" w:rsidRPr="00F537C5" w:rsidRDefault="0041172E" w:rsidP="0041172E">
      <w:pPr>
        <w:pStyle w:val="Heading2"/>
      </w:pPr>
      <w:bookmarkStart w:id="7" w:name="_Toc74924169"/>
      <w:r>
        <w:t>Section 2a – Effective Appraisal</w:t>
      </w:r>
      <w:bookmarkEnd w:id="6"/>
      <w:bookmarkEnd w:id="7"/>
      <w:r>
        <w:t xml:space="preserve"> </w:t>
      </w:r>
    </w:p>
    <w:p w14:paraId="2D4A793C" w14:textId="77777777" w:rsidR="00663E9E" w:rsidRDefault="0041172E" w:rsidP="00663E9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pPr>
      <w:r>
        <w:t>A</w:t>
      </w:r>
      <w:r w:rsidRPr="00F40CF9">
        <w:t>ll</w:t>
      </w:r>
      <w:r w:rsidRPr="00384122">
        <w:rPr>
          <w:color w:val="FF0000"/>
        </w:rPr>
        <w:t xml:space="preserve"> </w:t>
      </w:r>
      <w:r>
        <w:t>doctors in this organisation h</w:t>
      </w:r>
      <w:r w:rsidRPr="00E1480E">
        <w:t>ave an annual appraisal</w:t>
      </w:r>
      <w:r>
        <w:t xml:space="preserve"> t</w:t>
      </w:r>
      <w:r w:rsidRPr="00CB0DDE">
        <w:t>hat covers a doctor’s whole practice, which takes account of all relevant information relating to the doctor’s fitness to practice (for their work carried out in the organisation and for work carried out for any other body in the appraisal period), including information about complaints, significant events and outlying clinical outcomes.</w:t>
      </w:r>
      <w:r w:rsidR="00384122">
        <w:rPr>
          <w:rStyle w:val="FootnoteReference"/>
        </w:rPr>
        <w:footnoteReference w:id="1"/>
      </w:r>
      <w:r>
        <w:t xml:space="preserve"> </w:t>
      </w:r>
      <w:r w:rsidRPr="00E1480E">
        <w:t xml:space="preserve"> </w:t>
      </w:r>
    </w:p>
    <w:p w14:paraId="4D2ECB53" w14:textId="5F3FCA8D" w:rsidR="0041172E" w:rsidRPr="00384122" w:rsidRDefault="0041172E" w:rsidP="00384122">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firstLine="142"/>
        <w:rPr>
          <w:rFonts w:cs="Arial"/>
          <w:color w:val="808080" w:themeColor="background1" w:themeShade="80"/>
        </w:rPr>
      </w:pPr>
      <w:r w:rsidRPr="00384122">
        <w:rPr>
          <w:rFonts w:cs="Arial"/>
          <w:color w:val="808080" w:themeColor="background1" w:themeShade="80"/>
        </w:rPr>
        <w:t>Action from last year:</w:t>
      </w:r>
    </w:p>
    <w:p w14:paraId="173B071F" w14:textId="77777777" w:rsidR="0041172E"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firstLine="142"/>
        <w:rPr>
          <w:rFonts w:cs="Arial"/>
          <w:color w:val="808080" w:themeColor="background1" w:themeShade="80"/>
        </w:rPr>
      </w:pPr>
      <w:r w:rsidRPr="00512510">
        <w:rPr>
          <w:rFonts w:cs="Arial"/>
          <w:color w:val="808080" w:themeColor="background1" w:themeShade="80"/>
        </w:rPr>
        <w:t>Comments:</w:t>
      </w:r>
    </w:p>
    <w:p w14:paraId="4E8CED2E" w14:textId="77777777" w:rsidR="0041172E" w:rsidRPr="00512510"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firstLine="142"/>
        <w:rPr>
          <w:rFonts w:cs="Arial"/>
          <w:color w:val="808080" w:themeColor="background1" w:themeShade="80"/>
        </w:rPr>
      </w:pPr>
      <w:r>
        <w:rPr>
          <w:rFonts w:cs="Arial"/>
          <w:color w:val="808080" w:themeColor="background1" w:themeShade="80"/>
        </w:rPr>
        <w:t>Action for next year:</w:t>
      </w:r>
    </w:p>
    <w:p w14:paraId="0F73CB0A" w14:textId="77777777" w:rsidR="0041172E" w:rsidRDefault="0041172E" w:rsidP="0041172E"/>
    <w:p w14:paraId="6841037D" w14:textId="77777777" w:rsidR="0041172E" w:rsidRPr="00512510" w:rsidRDefault="0041172E" w:rsidP="0041172E">
      <w:pPr>
        <w:pStyle w:val="BodyText"/>
        <w:keepNext/>
        <w:rPr>
          <w:rFonts w:cs="Arial"/>
          <w:color w:val="808080" w:themeColor="background1" w:themeShade="80"/>
        </w:rPr>
      </w:pPr>
      <w:r w:rsidRPr="0041172E">
        <w:rPr>
          <w:rStyle w:val="BodyTextChar"/>
        </w:rPr>
        <w:t>Where in Question 1 this does not occur, there is full understanding of the</w:t>
      </w:r>
      <w:r w:rsidRPr="00E1480E">
        <w:rPr>
          <w:rFonts w:cs="Arial"/>
        </w:rPr>
        <w:t xml:space="preserve"> reasons why and suitable action</w:t>
      </w:r>
      <w:r>
        <w:rPr>
          <w:rFonts w:cs="Arial"/>
        </w:rPr>
        <w:t xml:space="preserve"> is </w:t>
      </w:r>
      <w:r w:rsidRPr="00E1480E">
        <w:rPr>
          <w:rFonts w:cs="Arial"/>
        </w:rPr>
        <w:t>taken</w:t>
      </w:r>
      <w:r>
        <w:rPr>
          <w:rFonts w:cs="Arial"/>
        </w:rPr>
        <w:t xml:space="preserve">. </w:t>
      </w:r>
    </w:p>
    <w:p w14:paraId="212FCFD8" w14:textId="41C1F209" w:rsidR="0041172E"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from last year:</w:t>
      </w:r>
    </w:p>
    <w:p w14:paraId="486F1145" w14:textId="77777777" w:rsidR="00663E9E" w:rsidRDefault="00663E9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p>
    <w:p w14:paraId="4245477E" w14:textId="77777777" w:rsidR="0041172E" w:rsidRPr="00512510"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512510">
        <w:rPr>
          <w:rFonts w:cs="Arial"/>
          <w:color w:val="808080" w:themeColor="background1" w:themeShade="80"/>
        </w:rPr>
        <w:lastRenderedPageBreak/>
        <w:t>Comments:</w:t>
      </w:r>
    </w:p>
    <w:p w14:paraId="76D48530" w14:textId="77777777" w:rsidR="0041172E" w:rsidRPr="00F81A52"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512510">
        <w:rPr>
          <w:rFonts w:cs="Arial"/>
          <w:color w:val="808080" w:themeColor="background1" w:themeShade="80"/>
        </w:rPr>
        <w:t>Action for next year:</w:t>
      </w:r>
      <w:r w:rsidRPr="00F81A52">
        <w:rPr>
          <w:rFonts w:cs="Arial"/>
          <w:color w:val="808080" w:themeColor="background1" w:themeShade="80"/>
        </w:rPr>
        <w:t xml:space="preserve"> </w:t>
      </w:r>
    </w:p>
    <w:p w14:paraId="1059285A" w14:textId="77777777" w:rsidR="0041172E" w:rsidRDefault="0041172E" w:rsidP="0041172E">
      <w:pPr>
        <w:pStyle w:val="BodyText2NoSpacing"/>
        <w:rPr>
          <w:rStyle w:val="BodyTextChar"/>
        </w:rPr>
      </w:pPr>
    </w:p>
    <w:p w14:paraId="5206692A" w14:textId="66CAE251" w:rsidR="0041172E" w:rsidRDefault="0041172E" w:rsidP="0041172E">
      <w:pPr>
        <w:pStyle w:val="BodyText"/>
      </w:pPr>
      <w:r w:rsidRPr="0041172E">
        <w:rPr>
          <w:rStyle w:val="BodyTextChar"/>
        </w:rPr>
        <w:t>There is a medical appraisal policy in place that is compliant with national</w:t>
      </w:r>
      <w:r>
        <w:t xml:space="preserve"> policy and has received the Board’s approval (or by an equivalent governance or executive group). </w:t>
      </w:r>
    </w:p>
    <w:p w14:paraId="5AFD4B4B"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Action from last year:</w:t>
      </w:r>
    </w:p>
    <w:p w14:paraId="423E70AF"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Comments:</w:t>
      </w:r>
    </w:p>
    <w:p w14:paraId="7075CDC0"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58A618BA" w14:textId="77777777" w:rsidR="0041172E" w:rsidRPr="00A20D24" w:rsidRDefault="0041172E" w:rsidP="0041172E">
      <w:pPr>
        <w:pStyle w:val="BodyText2NoSpacing"/>
      </w:pPr>
    </w:p>
    <w:p w14:paraId="770F7707" w14:textId="77777777" w:rsidR="0041172E" w:rsidRDefault="0041172E" w:rsidP="0041172E">
      <w:pPr>
        <w:pStyle w:val="BodyText"/>
      </w:pPr>
      <w:r w:rsidRPr="0041172E">
        <w:rPr>
          <w:rStyle w:val="BodyTextChar"/>
        </w:rPr>
        <w:t>The designated body has the necessary number of trained appraisers to carry</w:t>
      </w:r>
      <w:r w:rsidRPr="005571A5">
        <w:t xml:space="preserve"> out </w:t>
      </w:r>
      <w:r>
        <w:t xml:space="preserve">timely </w:t>
      </w:r>
      <w:r w:rsidRPr="005571A5">
        <w:t>annual medical appraisals for all</w:t>
      </w:r>
      <w:r>
        <w:t xml:space="preserve"> its </w:t>
      </w:r>
      <w:r w:rsidRPr="005571A5">
        <w:t>licensed medical practitioners</w:t>
      </w:r>
      <w:r>
        <w:t>.</w:t>
      </w:r>
      <w:r w:rsidRPr="005571A5">
        <w:t xml:space="preserve"> </w:t>
      </w:r>
    </w:p>
    <w:p w14:paraId="2756311E"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Action from last year:</w:t>
      </w:r>
    </w:p>
    <w:p w14:paraId="30A72331"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Comments:</w:t>
      </w:r>
    </w:p>
    <w:p w14:paraId="16FDD9BB"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Action for next year:</w:t>
      </w:r>
    </w:p>
    <w:p w14:paraId="2396A6FD" w14:textId="77777777" w:rsidR="0041172E" w:rsidRDefault="0041172E" w:rsidP="0041172E">
      <w:pPr>
        <w:spacing w:before="200"/>
        <w:ind w:left="142"/>
        <w:rPr>
          <w:rFonts w:cs="Arial"/>
        </w:rPr>
      </w:pPr>
    </w:p>
    <w:p w14:paraId="6590F965" w14:textId="77777777" w:rsidR="0041172E" w:rsidRPr="005571A5" w:rsidRDefault="0041172E" w:rsidP="0041172E">
      <w:pPr>
        <w:pStyle w:val="BodyText"/>
        <w:rPr>
          <w:rFonts w:cs="Arial"/>
        </w:rPr>
      </w:pPr>
      <w:r w:rsidRPr="0041172E">
        <w:rPr>
          <w:rStyle w:val="BodyTextChar"/>
        </w:rPr>
        <w:t>Medical appraisers participate in ongoing performance review and training/ development activities, to include attendance at appraisal</w:t>
      </w:r>
      <w:r>
        <w:rPr>
          <w:rFonts w:cs="Arial"/>
        </w:rPr>
        <w:t xml:space="preserve"> network/development events, </w:t>
      </w:r>
      <w:r w:rsidRPr="005571A5">
        <w:rPr>
          <w:rFonts w:cs="Arial"/>
        </w:rPr>
        <w:t>peer review and calibration of professional judgements (Quality Assurance of Medical Appraisers</w:t>
      </w:r>
      <w:r w:rsidRPr="005571A5">
        <w:rPr>
          <w:rStyle w:val="FootnoteReference"/>
          <w:rFonts w:cs="Arial"/>
        </w:rPr>
        <w:footnoteReference w:id="2"/>
      </w:r>
      <w:r w:rsidRPr="005571A5">
        <w:rPr>
          <w:rFonts w:cs="Arial"/>
        </w:rPr>
        <w:t xml:space="preserve"> or equivalent)</w:t>
      </w:r>
      <w:r>
        <w:rPr>
          <w:rFonts w:cs="Arial"/>
        </w:rPr>
        <w:t>.</w:t>
      </w:r>
      <w:r w:rsidRPr="005571A5">
        <w:rPr>
          <w:rFonts w:cs="Arial"/>
        </w:rPr>
        <w:t xml:space="preserve"> </w:t>
      </w:r>
    </w:p>
    <w:p w14:paraId="05BC8E75"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Action from last year:</w:t>
      </w:r>
    </w:p>
    <w:p w14:paraId="2DB1CE29"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Comments:</w:t>
      </w:r>
    </w:p>
    <w:p w14:paraId="193EC274"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1B8D786B" w14:textId="77777777" w:rsidR="0041172E" w:rsidRDefault="0041172E">
      <w:pPr>
        <w:spacing w:line="276" w:lineRule="auto"/>
      </w:pPr>
      <w:bookmarkStart w:id="8" w:name="_Toc8989962"/>
      <w:bookmarkStart w:id="9" w:name="_Hlk534818541"/>
      <w:r>
        <w:br w:type="page"/>
      </w:r>
    </w:p>
    <w:p w14:paraId="17B6A187" w14:textId="53DE8B29" w:rsidR="0041172E" w:rsidRPr="00677A22" w:rsidRDefault="0041172E" w:rsidP="0041172E">
      <w:pPr>
        <w:pStyle w:val="BodyText"/>
        <w:rPr>
          <w:b/>
        </w:rPr>
      </w:pPr>
      <w:r w:rsidRPr="00677A22">
        <w:lastRenderedPageBreak/>
        <w:t>The</w:t>
      </w:r>
      <w:r>
        <w:t xml:space="preserve"> appraisal system in place for the doctors in your organisation is subject to a quality assurance process and the findings are reported to the Board or equivalent governance group.</w:t>
      </w:r>
      <w:bookmarkEnd w:id="8"/>
      <w:r>
        <w:t xml:space="preserve"> </w:t>
      </w:r>
      <w:r w:rsidRPr="00677A22">
        <w:t xml:space="preserve"> </w:t>
      </w:r>
      <w:bookmarkEnd w:id="9"/>
    </w:p>
    <w:p w14:paraId="545F7329"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Action from last year:</w:t>
      </w:r>
    </w:p>
    <w:p w14:paraId="6CD1D1CB"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Comments:</w:t>
      </w:r>
    </w:p>
    <w:p w14:paraId="486A5A26"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331131F5" w14:textId="77777777" w:rsidR="0041172E" w:rsidRDefault="0041172E" w:rsidP="0041172E">
      <w:pPr>
        <w:rPr>
          <w:rFonts w:cs="Arial"/>
          <w:color w:val="0072C6"/>
          <w:szCs w:val="32"/>
        </w:rPr>
      </w:pPr>
      <w:bookmarkStart w:id="10" w:name="_Toc8989963"/>
    </w:p>
    <w:p w14:paraId="1C298BC2" w14:textId="77777777" w:rsidR="00360F70" w:rsidRDefault="00360F70" w:rsidP="00360F70">
      <w:pPr>
        <w:pStyle w:val="BodyText2"/>
      </w:pPr>
    </w:p>
    <w:p w14:paraId="35B648CA" w14:textId="3F2F7F0A" w:rsidR="0041172E" w:rsidRDefault="0041172E" w:rsidP="00360F70">
      <w:pPr>
        <w:pStyle w:val="Heading2"/>
      </w:pPr>
      <w:bookmarkStart w:id="11" w:name="_Toc74924170"/>
      <w:r>
        <w:t>Section 2b – Appraisal Data</w:t>
      </w:r>
      <w:bookmarkEnd w:id="11"/>
    </w:p>
    <w:p w14:paraId="2D133D7C" w14:textId="77777777" w:rsidR="0041172E" w:rsidRDefault="0041172E" w:rsidP="0041172E"/>
    <w:p w14:paraId="562A7831" w14:textId="73E0701D" w:rsidR="0041172E" w:rsidRDefault="0041172E" w:rsidP="0041172E">
      <w:pPr>
        <w:pStyle w:val="ListParagraph"/>
        <w:numPr>
          <w:ilvl w:val="0"/>
          <w:numId w:val="32"/>
        </w:numPr>
      </w:pPr>
      <w:r>
        <w:t>The numbers of appraisals undertaken, not undertaken and the total number of agreed exceptions can be recorded in the table below.</w:t>
      </w:r>
    </w:p>
    <w:p w14:paraId="0439F077" w14:textId="77777777" w:rsidR="00360F70" w:rsidRPr="002705A8" w:rsidRDefault="00360F70" w:rsidP="00360F70">
      <w:pPr>
        <w:pStyle w:val="ListParagraph"/>
      </w:pPr>
    </w:p>
    <w:tbl>
      <w:tblPr>
        <w:tblStyle w:val="MediumGrid3-Accent1"/>
        <w:tblW w:w="8930" w:type="dxa"/>
        <w:tblInd w:w="392" w:type="dxa"/>
        <w:tblLook w:val="04A0" w:firstRow="1" w:lastRow="0" w:firstColumn="1" w:lastColumn="0" w:noHBand="0" w:noVBand="1"/>
      </w:tblPr>
      <w:tblGrid>
        <w:gridCol w:w="7513"/>
        <w:gridCol w:w="1417"/>
      </w:tblGrid>
      <w:tr w:rsidR="00360F70" w:rsidRPr="00360F70" w14:paraId="0D5035F9" w14:textId="77777777" w:rsidTr="00FC5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7A6C6D5A" w14:textId="77777777"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szCs w:val="32"/>
              </w:rPr>
              <w:t xml:space="preserve"> </w:t>
            </w:r>
          </w:p>
          <w:p w14:paraId="2CAC0544" w14:textId="77777777"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rPr>
              <w:t xml:space="preserve">Name of organisation: </w:t>
            </w:r>
          </w:p>
          <w:p w14:paraId="5E52C703" w14:textId="77777777" w:rsidR="0041172E" w:rsidRPr="00360F70" w:rsidRDefault="0041172E" w:rsidP="00FC581F">
            <w:pPr>
              <w:pStyle w:val="ListParagraph"/>
              <w:spacing w:line="276" w:lineRule="auto"/>
              <w:ind w:left="0"/>
              <w:rPr>
                <w:rFonts w:cs="Arial"/>
                <w:color w:val="FFFFFF" w:themeColor="background1"/>
              </w:rPr>
            </w:pPr>
          </w:p>
        </w:tc>
        <w:tc>
          <w:tcPr>
            <w:tcW w:w="1417" w:type="dxa"/>
            <w:vAlign w:val="center"/>
          </w:tcPr>
          <w:p w14:paraId="28A9989B" w14:textId="77777777" w:rsidR="0041172E" w:rsidRPr="00360F70" w:rsidRDefault="0041172E" w:rsidP="00FC581F">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p>
        </w:tc>
      </w:tr>
      <w:tr w:rsidR="00360F70" w:rsidRPr="00360F70" w14:paraId="0F51AC54" w14:textId="77777777" w:rsidTr="00FC5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593345C1" w14:textId="0596CDB3"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rPr>
              <w:t xml:space="preserve">Total number of doctors with a prescribed connection as </w:t>
            </w:r>
            <w:proofErr w:type="gramStart"/>
            <w:r w:rsidRPr="00360F70">
              <w:rPr>
                <w:rFonts w:cs="Arial"/>
                <w:color w:val="FFFFFF" w:themeColor="background1"/>
              </w:rPr>
              <w:t>at</w:t>
            </w:r>
            <w:proofErr w:type="gramEnd"/>
            <w:r w:rsidRPr="00360F70">
              <w:rPr>
                <w:rFonts w:cs="Arial"/>
                <w:color w:val="FFFFFF" w:themeColor="background1"/>
              </w:rPr>
              <w:t xml:space="preserve"> </w:t>
            </w:r>
            <w:r w:rsidRPr="00175B6F">
              <w:rPr>
                <w:rFonts w:cs="Arial"/>
                <w:color w:val="FFFFFF" w:themeColor="background1"/>
              </w:rPr>
              <w:t>31 March 202</w:t>
            </w:r>
            <w:r w:rsidR="001D06EB" w:rsidRPr="00175B6F">
              <w:rPr>
                <w:rFonts w:cs="Arial"/>
                <w:color w:val="FFFFFF" w:themeColor="background1"/>
              </w:rPr>
              <w:t>3</w:t>
            </w:r>
          </w:p>
        </w:tc>
        <w:tc>
          <w:tcPr>
            <w:tcW w:w="1417" w:type="dxa"/>
          </w:tcPr>
          <w:p w14:paraId="1F07F513" w14:textId="77777777" w:rsidR="0041172E" w:rsidRPr="00360F70" w:rsidRDefault="0041172E" w:rsidP="00FC58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p>
        </w:tc>
      </w:tr>
      <w:tr w:rsidR="00360F70" w:rsidRPr="00360F70" w14:paraId="17E6354A" w14:textId="77777777" w:rsidTr="00FC581F">
        <w:tc>
          <w:tcPr>
            <w:cnfStyle w:val="001000000000" w:firstRow="0" w:lastRow="0" w:firstColumn="1" w:lastColumn="0" w:oddVBand="0" w:evenVBand="0" w:oddHBand="0" w:evenHBand="0" w:firstRowFirstColumn="0" w:firstRowLastColumn="0" w:lastRowFirstColumn="0" w:lastRowLastColumn="0"/>
            <w:tcW w:w="7513" w:type="dxa"/>
          </w:tcPr>
          <w:p w14:paraId="4B4CBE80" w14:textId="020DAD02" w:rsidR="0041172E" w:rsidRPr="00175B6F" w:rsidRDefault="0041172E" w:rsidP="00FC581F">
            <w:pPr>
              <w:pStyle w:val="ListParagraph"/>
              <w:spacing w:line="276" w:lineRule="auto"/>
              <w:ind w:left="0"/>
              <w:rPr>
                <w:rFonts w:cs="Arial"/>
                <w:color w:val="FFFFFF" w:themeColor="background1"/>
              </w:rPr>
            </w:pPr>
            <w:r w:rsidRPr="00360F70">
              <w:rPr>
                <w:rFonts w:cs="Arial"/>
                <w:color w:val="FFFFFF" w:themeColor="background1"/>
              </w:rPr>
              <w:t xml:space="preserve">Total number of appraisals undertaken </w:t>
            </w:r>
            <w:r w:rsidRPr="00175B6F">
              <w:rPr>
                <w:rFonts w:cs="Arial"/>
                <w:color w:val="FFFFFF" w:themeColor="background1"/>
              </w:rPr>
              <w:t>between 1 April 202</w:t>
            </w:r>
            <w:r w:rsidR="001D06EB" w:rsidRPr="00175B6F">
              <w:rPr>
                <w:rFonts w:cs="Arial"/>
                <w:color w:val="FFFFFF" w:themeColor="background1"/>
              </w:rPr>
              <w:t>2</w:t>
            </w:r>
            <w:r w:rsidRPr="00175B6F">
              <w:rPr>
                <w:rFonts w:cs="Arial"/>
                <w:color w:val="FFFFFF" w:themeColor="background1"/>
              </w:rPr>
              <w:t xml:space="preserve"> </w:t>
            </w:r>
          </w:p>
          <w:p w14:paraId="5A34FFE0" w14:textId="7FD86425" w:rsidR="0041172E" w:rsidRPr="00360F70" w:rsidRDefault="0041172E" w:rsidP="00FC581F">
            <w:pPr>
              <w:pStyle w:val="ListParagraph"/>
              <w:spacing w:line="276" w:lineRule="auto"/>
              <w:ind w:left="0"/>
              <w:rPr>
                <w:rFonts w:cs="Arial"/>
                <w:color w:val="FFFFFF" w:themeColor="background1"/>
              </w:rPr>
            </w:pPr>
            <w:r w:rsidRPr="00175B6F">
              <w:rPr>
                <w:rFonts w:cs="Arial"/>
                <w:color w:val="FFFFFF" w:themeColor="background1"/>
              </w:rPr>
              <w:t>and 31 March 202</w:t>
            </w:r>
            <w:r w:rsidR="001D06EB" w:rsidRPr="00175B6F">
              <w:rPr>
                <w:rFonts w:cs="Arial"/>
                <w:color w:val="FFFFFF" w:themeColor="background1"/>
              </w:rPr>
              <w:t>3</w:t>
            </w:r>
          </w:p>
        </w:tc>
        <w:tc>
          <w:tcPr>
            <w:tcW w:w="1417" w:type="dxa"/>
          </w:tcPr>
          <w:p w14:paraId="3E492A3D" w14:textId="77777777" w:rsidR="0041172E" w:rsidRPr="00360F70" w:rsidRDefault="0041172E" w:rsidP="00FC58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rPr>
            </w:pPr>
          </w:p>
        </w:tc>
      </w:tr>
      <w:tr w:rsidR="00360F70" w:rsidRPr="00360F70" w14:paraId="180BAEC2" w14:textId="77777777" w:rsidTr="00FC5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7597042A" w14:textId="75A8516C"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rPr>
              <w:t xml:space="preserve">Total number of appraisals not undertaken between </w:t>
            </w:r>
            <w:r w:rsidRPr="00175B6F">
              <w:rPr>
                <w:rFonts w:cs="Arial"/>
                <w:color w:val="FFFFFF" w:themeColor="background1"/>
              </w:rPr>
              <w:t>1 April 202</w:t>
            </w:r>
            <w:r w:rsidR="001D06EB" w:rsidRPr="00175B6F">
              <w:rPr>
                <w:rFonts w:cs="Arial"/>
                <w:color w:val="FFFFFF" w:themeColor="background1"/>
              </w:rPr>
              <w:t>2</w:t>
            </w:r>
            <w:r w:rsidRPr="00175B6F">
              <w:rPr>
                <w:rFonts w:cs="Arial"/>
                <w:color w:val="FFFFFF" w:themeColor="background1"/>
              </w:rPr>
              <w:t xml:space="preserve"> and 31 March 202</w:t>
            </w:r>
            <w:r w:rsidR="001D06EB" w:rsidRPr="00175B6F">
              <w:rPr>
                <w:rFonts w:cs="Arial"/>
                <w:color w:val="FFFFFF" w:themeColor="background1"/>
              </w:rPr>
              <w:t>3</w:t>
            </w:r>
          </w:p>
        </w:tc>
        <w:tc>
          <w:tcPr>
            <w:tcW w:w="1417" w:type="dxa"/>
          </w:tcPr>
          <w:p w14:paraId="3D87A682" w14:textId="77777777" w:rsidR="0041172E" w:rsidRPr="00360F70" w:rsidRDefault="0041172E" w:rsidP="00FC58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p>
        </w:tc>
      </w:tr>
      <w:tr w:rsidR="00360F70" w:rsidRPr="00360F70" w14:paraId="7D138423" w14:textId="77777777" w:rsidTr="00FC581F">
        <w:tc>
          <w:tcPr>
            <w:cnfStyle w:val="001000000000" w:firstRow="0" w:lastRow="0" w:firstColumn="1" w:lastColumn="0" w:oddVBand="0" w:evenVBand="0" w:oddHBand="0" w:evenHBand="0" w:firstRowFirstColumn="0" w:firstRowLastColumn="0" w:lastRowFirstColumn="0" w:lastRowLastColumn="0"/>
            <w:tcW w:w="7513" w:type="dxa"/>
          </w:tcPr>
          <w:p w14:paraId="133C00AD" w14:textId="77777777"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rPr>
              <w:t>Total number of agreed exceptions</w:t>
            </w:r>
          </w:p>
          <w:p w14:paraId="7FF2A929" w14:textId="77777777" w:rsidR="0041172E" w:rsidRPr="00360F70" w:rsidRDefault="0041172E" w:rsidP="00FC581F">
            <w:pPr>
              <w:pStyle w:val="ListParagraph"/>
              <w:spacing w:line="276" w:lineRule="auto"/>
              <w:ind w:left="0"/>
              <w:rPr>
                <w:rFonts w:cs="Arial"/>
                <w:color w:val="FFFFFF" w:themeColor="background1"/>
              </w:rPr>
            </w:pPr>
          </w:p>
        </w:tc>
        <w:tc>
          <w:tcPr>
            <w:tcW w:w="1417" w:type="dxa"/>
          </w:tcPr>
          <w:p w14:paraId="1B509291" w14:textId="77777777" w:rsidR="0041172E" w:rsidRPr="00360F70" w:rsidRDefault="0041172E" w:rsidP="00FC58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rPr>
            </w:pPr>
          </w:p>
        </w:tc>
      </w:tr>
    </w:tbl>
    <w:p w14:paraId="44F24C53" w14:textId="77777777" w:rsidR="00360F70" w:rsidRDefault="00360F70" w:rsidP="00360F70">
      <w:pPr>
        <w:pStyle w:val="BodyText2"/>
      </w:pPr>
    </w:p>
    <w:p w14:paraId="70C12D25" w14:textId="7E0C9D0F" w:rsidR="0041172E" w:rsidRDefault="0041172E" w:rsidP="00360F70">
      <w:pPr>
        <w:pStyle w:val="Heading2"/>
      </w:pPr>
      <w:bookmarkStart w:id="12" w:name="_Toc74924171"/>
      <w:r>
        <w:t>Section 3 – Recommendations to the GMC</w:t>
      </w:r>
      <w:bookmarkEnd w:id="10"/>
      <w:bookmarkEnd w:id="12"/>
    </w:p>
    <w:p w14:paraId="3DEDDD27" w14:textId="77777777" w:rsidR="0041172E" w:rsidRPr="00336EA4" w:rsidRDefault="0041172E" w:rsidP="00360F70">
      <w:pPr>
        <w:pStyle w:val="BodyText"/>
        <w:numPr>
          <w:ilvl w:val="1"/>
          <w:numId w:val="34"/>
        </w:numPr>
      </w:pPr>
      <w:r w:rsidRPr="00336EA4">
        <w:t>Timely recommendations are made to the GMC about the fitness to practise of all doctors with a prescribed connection to the designated body, in accordance with the GMC requirements and responsible officer protocol</w:t>
      </w:r>
      <w:r>
        <w:t>.</w:t>
      </w:r>
      <w:r w:rsidRPr="00336EA4">
        <w:t xml:space="preserve"> </w:t>
      </w:r>
      <w:r w:rsidRPr="00360F70">
        <w:rPr>
          <w:color w:val="FF0000"/>
        </w:rPr>
        <w:t xml:space="preserve"> </w:t>
      </w:r>
    </w:p>
    <w:p w14:paraId="6949EC9E"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Action from last year:</w:t>
      </w:r>
    </w:p>
    <w:p w14:paraId="5407663A"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6E6040">
        <w:rPr>
          <w:rFonts w:cs="Arial"/>
          <w:color w:val="808080" w:themeColor="background1" w:themeShade="80"/>
        </w:rPr>
        <w:t>Comments:</w:t>
      </w:r>
    </w:p>
    <w:p w14:paraId="3AE9B070"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328393B0" w14:textId="77777777" w:rsidR="00360F70" w:rsidRPr="00360F70" w:rsidRDefault="00360F70" w:rsidP="00360F70">
      <w:pPr>
        <w:pStyle w:val="BodyText"/>
        <w:numPr>
          <w:ilvl w:val="0"/>
          <w:numId w:val="0"/>
        </w:numPr>
        <w:ind w:left="567"/>
        <w:rPr>
          <w:b/>
        </w:rPr>
      </w:pPr>
      <w:bookmarkStart w:id="13" w:name="_Toc8989964"/>
    </w:p>
    <w:p w14:paraId="32228BB6" w14:textId="16255D93" w:rsidR="0041172E" w:rsidRDefault="0041172E" w:rsidP="00360F70">
      <w:pPr>
        <w:pStyle w:val="BodyText"/>
        <w:rPr>
          <w:b/>
        </w:rPr>
      </w:pPr>
      <w:r>
        <w:lastRenderedPageBreak/>
        <w:t>Revalidation recommendations made to the GMC are confirmed promptly to the doctor and the reasons for the recommendations, particularly if the recommendation is one of deferral or non-engagement, are discussed with the doctor before the recommendation is submitted</w:t>
      </w:r>
      <w:bookmarkEnd w:id="13"/>
      <w:r>
        <w:t>.</w:t>
      </w:r>
    </w:p>
    <w:p w14:paraId="7256827B"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Action from last year:</w:t>
      </w:r>
    </w:p>
    <w:p w14:paraId="7BD89FD1"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Comments:</w:t>
      </w:r>
    </w:p>
    <w:p w14:paraId="40780DEF" w14:textId="77777777" w:rsidR="0041172E" w:rsidRPr="00980B03"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0072C6"/>
          <w:sz w:val="32"/>
          <w:szCs w:val="32"/>
        </w:rPr>
      </w:pPr>
      <w:r w:rsidRPr="00E05330">
        <w:rPr>
          <w:rFonts w:cs="Arial"/>
          <w:color w:val="808080" w:themeColor="background1" w:themeShade="80"/>
        </w:rPr>
        <w:t>Action for next year:</w:t>
      </w:r>
      <w:r w:rsidRPr="00980B03">
        <w:rPr>
          <w:rFonts w:cs="Arial"/>
          <w:color w:val="808080" w:themeColor="background1" w:themeShade="80"/>
        </w:rPr>
        <w:t xml:space="preserve">  </w:t>
      </w:r>
    </w:p>
    <w:p w14:paraId="2C19D65C" w14:textId="77777777" w:rsidR="00360F70" w:rsidRDefault="00360F70" w:rsidP="00360F70">
      <w:pPr>
        <w:pStyle w:val="BodyText2"/>
      </w:pPr>
      <w:bookmarkStart w:id="14" w:name="_Toc8989965"/>
    </w:p>
    <w:p w14:paraId="58BB7126" w14:textId="0C62245E" w:rsidR="0041172E" w:rsidRDefault="0041172E" w:rsidP="00360F70">
      <w:pPr>
        <w:pStyle w:val="Heading2"/>
      </w:pPr>
      <w:bookmarkStart w:id="15" w:name="_Toc74924172"/>
      <w:r>
        <w:t>Section 4 – Medical governance</w:t>
      </w:r>
      <w:bookmarkEnd w:id="14"/>
      <w:bookmarkEnd w:id="15"/>
    </w:p>
    <w:p w14:paraId="29F0AB27" w14:textId="77777777" w:rsidR="0041172E" w:rsidRPr="004226B4" w:rsidRDefault="0041172E" w:rsidP="0041172E"/>
    <w:p w14:paraId="10E2C3AC" w14:textId="77777777" w:rsidR="0041172E" w:rsidRDefault="0041172E" w:rsidP="00360F70">
      <w:pPr>
        <w:pStyle w:val="BodyText"/>
        <w:numPr>
          <w:ilvl w:val="1"/>
          <w:numId w:val="35"/>
        </w:numPr>
      </w:pPr>
      <w:r w:rsidRPr="00BF239C">
        <w:t>This organisation creates an environmen</w:t>
      </w:r>
      <w:r>
        <w:t xml:space="preserve">t which delivers effective clinical governance for doctors.  </w:t>
      </w:r>
    </w:p>
    <w:p w14:paraId="6679626B" w14:textId="77777777" w:rsidR="0041172E" w:rsidRPr="00E05330"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from last year:</w:t>
      </w:r>
    </w:p>
    <w:p w14:paraId="59C180E8" w14:textId="77777777" w:rsidR="0041172E"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336EA4">
        <w:rPr>
          <w:rFonts w:cs="Arial"/>
          <w:color w:val="808080" w:themeColor="background1" w:themeShade="80"/>
        </w:rPr>
        <w:t xml:space="preserve">Comments: </w:t>
      </w:r>
    </w:p>
    <w:p w14:paraId="6F7B1C8B" w14:textId="77777777" w:rsidR="0041172E" w:rsidRPr="00336EA4"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for next year:</w:t>
      </w:r>
    </w:p>
    <w:p w14:paraId="272EDB5B" w14:textId="77777777" w:rsidR="00360F70" w:rsidRDefault="00360F70" w:rsidP="00360F70">
      <w:pPr>
        <w:pStyle w:val="BodyText"/>
        <w:numPr>
          <w:ilvl w:val="0"/>
          <w:numId w:val="0"/>
        </w:numPr>
        <w:ind w:left="567"/>
      </w:pPr>
    </w:p>
    <w:p w14:paraId="6102FFA6" w14:textId="27273BD3" w:rsidR="0041172E" w:rsidRPr="00E93328" w:rsidRDefault="0041172E" w:rsidP="00360F70">
      <w:pPr>
        <w:pStyle w:val="BodyText"/>
      </w:pPr>
      <w:r>
        <w:t>E</w:t>
      </w:r>
      <w:r w:rsidRPr="00E93328">
        <w:t>ffective systems</w:t>
      </w:r>
      <w:r>
        <w:t xml:space="preserve"> are </w:t>
      </w:r>
      <w:r w:rsidRPr="00E93328">
        <w:t>in place for monitoring the conduct and performance of all doctors working in our organisation and</w:t>
      </w:r>
      <w:r>
        <w:t xml:space="preserve"> all relevant </w:t>
      </w:r>
      <w:r w:rsidRPr="00E93328">
        <w:t>information is provided for doctors to include at their appraisal</w:t>
      </w:r>
      <w:r>
        <w:t>.</w:t>
      </w:r>
      <w:r w:rsidRPr="00E93328">
        <w:t xml:space="preserve"> </w:t>
      </w:r>
    </w:p>
    <w:p w14:paraId="4B166696" w14:textId="77777777" w:rsidR="0041172E" w:rsidRPr="00E05330"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from last year:</w:t>
      </w:r>
    </w:p>
    <w:p w14:paraId="356A55D2" w14:textId="77777777" w:rsidR="0041172E"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336EA4">
        <w:rPr>
          <w:rFonts w:cs="Arial"/>
          <w:color w:val="808080" w:themeColor="background1" w:themeShade="80"/>
        </w:rPr>
        <w:t xml:space="preserve">Comments: </w:t>
      </w:r>
    </w:p>
    <w:p w14:paraId="4B6B1E26" w14:textId="77777777" w:rsidR="0041172E" w:rsidRPr="00336EA4"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for next year:</w:t>
      </w:r>
    </w:p>
    <w:p w14:paraId="309E9A39" w14:textId="77777777" w:rsidR="00360F70" w:rsidRPr="00360F70" w:rsidRDefault="00360F70" w:rsidP="00360F70">
      <w:pPr>
        <w:pStyle w:val="BodyText"/>
        <w:numPr>
          <w:ilvl w:val="0"/>
          <w:numId w:val="0"/>
        </w:numPr>
        <w:ind w:left="567"/>
        <w:rPr>
          <w:b/>
        </w:rPr>
      </w:pPr>
      <w:bookmarkStart w:id="16" w:name="_Toc8989966"/>
    </w:p>
    <w:p w14:paraId="5F5A3D66" w14:textId="37681FF4" w:rsidR="0041172E" w:rsidRDefault="0041172E" w:rsidP="00360F70">
      <w:pPr>
        <w:pStyle w:val="BodyText"/>
        <w:rPr>
          <w:b/>
        </w:rPr>
      </w:pPr>
      <w:r w:rsidRPr="00E87BF7">
        <w:t>There is a process established for responding to concerns about any licensed medical practitioner</w:t>
      </w:r>
      <w:r>
        <w:t>’</w:t>
      </w:r>
      <w:r w:rsidRPr="00E87BF7">
        <w:t>s</w:t>
      </w:r>
      <w:r w:rsidRPr="00E87BF7">
        <w:rPr>
          <w:vertAlign w:val="superscript"/>
        </w:rPr>
        <w:t>1</w:t>
      </w:r>
      <w:r w:rsidRPr="00E87BF7">
        <w:t xml:space="preserve"> fitness to practise</w:t>
      </w:r>
      <w:r>
        <w:t xml:space="preserve">, which </w:t>
      </w:r>
      <w:r w:rsidRPr="00E87BF7">
        <w:t>is supported by an approved responding to concerns policy</w:t>
      </w:r>
      <w:r>
        <w:t xml:space="preserve"> that includes arrangements for investigation and intervention for capability, conduct, </w:t>
      </w:r>
      <w:proofErr w:type="gramStart"/>
      <w:r>
        <w:t>health</w:t>
      </w:r>
      <w:proofErr w:type="gramEnd"/>
      <w:r>
        <w:t xml:space="preserve"> and fitness to practise concerns.</w:t>
      </w:r>
      <w:bookmarkEnd w:id="16"/>
      <w:r>
        <w:t xml:space="preserve"> </w:t>
      </w:r>
    </w:p>
    <w:p w14:paraId="23F24A79"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Action from last year:</w:t>
      </w:r>
    </w:p>
    <w:p w14:paraId="211FC453"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5571A5">
        <w:rPr>
          <w:rFonts w:cs="Arial"/>
          <w:color w:val="808080" w:themeColor="background1" w:themeShade="80"/>
        </w:rPr>
        <w:t xml:space="preserve">Comments: </w:t>
      </w:r>
    </w:p>
    <w:p w14:paraId="5ABB58C0" w14:textId="77777777" w:rsidR="0041172E" w:rsidRPr="005571A5"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Action for next year:</w:t>
      </w:r>
      <w:r>
        <w:rPr>
          <w:rFonts w:cs="Arial"/>
          <w:color w:val="808080" w:themeColor="background1" w:themeShade="80"/>
        </w:rPr>
        <w:tab/>
      </w:r>
    </w:p>
    <w:p w14:paraId="6048AB38" w14:textId="7D3391AA" w:rsidR="0041172E" w:rsidRPr="00AF3BBA" w:rsidRDefault="0041172E" w:rsidP="00360F70">
      <w:pPr>
        <w:pStyle w:val="BodyText"/>
      </w:pPr>
      <w:r w:rsidRPr="00AF3BBA">
        <w:lastRenderedPageBreak/>
        <w:t>The</w:t>
      </w:r>
      <w:r w:rsidRPr="006A0D33">
        <w:t xml:space="preserve"> system</w:t>
      </w:r>
      <w:r>
        <w:t xml:space="preserve"> for responding to concerns about a doctor in our </w:t>
      </w:r>
      <w:r w:rsidRPr="006A0D33">
        <w:t>organisation is subject to a quality assurance process and the findings are reported to the Board</w:t>
      </w:r>
      <w:r>
        <w:t xml:space="preserve"> or equivalent governance group</w:t>
      </w:r>
      <w:r w:rsidRPr="006A0D33">
        <w:t xml:space="preserve">.  </w:t>
      </w:r>
      <w:r>
        <w:t xml:space="preserve"> Analysis includes numbers, </w:t>
      </w:r>
      <w:proofErr w:type="gramStart"/>
      <w:r>
        <w:t>type</w:t>
      </w:r>
      <w:proofErr w:type="gramEnd"/>
      <w:r>
        <w:t xml:space="preserve"> and outcome of concerns, as well as aspects such as consideration of protected characteristics of the doctors</w:t>
      </w:r>
      <w:r w:rsidR="00360F70">
        <w:rPr>
          <w:rFonts w:cs="Arial"/>
          <w:color w:val="000000"/>
        </w:rPr>
        <w:t>.</w:t>
      </w:r>
      <w:r w:rsidR="00360F70">
        <w:rPr>
          <w:rStyle w:val="FootnoteReference"/>
          <w:rFonts w:cs="Arial"/>
          <w:color w:val="000000"/>
        </w:rPr>
        <w:footnoteReference w:id="3"/>
      </w:r>
    </w:p>
    <w:p w14:paraId="5EDD6BA4"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bookmarkStart w:id="17" w:name="_Hlk533081153"/>
      <w:r w:rsidRPr="00E05330">
        <w:rPr>
          <w:rFonts w:cs="Arial"/>
          <w:color w:val="808080" w:themeColor="background1" w:themeShade="80"/>
        </w:rPr>
        <w:t>Action from last year:</w:t>
      </w:r>
    </w:p>
    <w:p w14:paraId="6F776CC9"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Comments:</w:t>
      </w:r>
    </w:p>
    <w:p w14:paraId="53953EAC" w14:textId="77777777" w:rsidR="0041172E" w:rsidRPr="00AF3BBA"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Action for next year:</w:t>
      </w:r>
      <w:r w:rsidRPr="00AF3BBA">
        <w:rPr>
          <w:rFonts w:cs="Arial"/>
          <w:color w:val="808080" w:themeColor="background1" w:themeShade="80"/>
        </w:rPr>
        <w:t xml:space="preserve"> </w:t>
      </w:r>
      <w:bookmarkEnd w:id="17"/>
      <w:r w:rsidRPr="00AF3BBA">
        <w:rPr>
          <w:rFonts w:cs="Arial"/>
          <w:color w:val="808080" w:themeColor="background1" w:themeShade="80"/>
        </w:rPr>
        <w:tab/>
      </w:r>
    </w:p>
    <w:p w14:paraId="72F77B54" w14:textId="77777777" w:rsidR="00360F70" w:rsidRDefault="00360F70" w:rsidP="00360F70">
      <w:pPr>
        <w:pStyle w:val="BodyText"/>
        <w:numPr>
          <w:ilvl w:val="0"/>
          <w:numId w:val="0"/>
        </w:numPr>
        <w:ind w:left="567"/>
      </w:pPr>
    </w:p>
    <w:p w14:paraId="1F923CCE" w14:textId="2B9AC2A6" w:rsidR="0041172E" w:rsidRDefault="0041172E" w:rsidP="00360F70">
      <w:pPr>
        <w:pStyle w:val="BodyText"/>
      </w:pPr>
      <w:r w:rsidRPr="00E87BF7">
        <w:t>There is a process for transferring information and concerns quickly and effectively between the responsible officer in our organisation and other responsible officers (or persons with appropriate governance responsibility) about</w:t>
      </w:r>
      <w:r>
        <w:t xml:space="preserve"> a) </w:t>
      </w:r>
      <w:r w:rsidRPr="00E87BF7">
        <w:t>doctors</w:t>
      </w:r>
      <w:r>
        <w:t xml:space="preserve"> connected to your organisation and who also work in other places, and b) doctors connected elsewhere but who also work in our organisation</w:t>
      </w:r>
      <w:r w:rsidR="00360F70">
        <w:rPr>
          <w:rFonts w:cs="Arial"/>
        </w:rPr>
        <w:t>.</w:t>
      </w:r>
      <w:r w:rsidR="00360F70">
        <w:rPr>
          <w:rStyle w:val="FootnoteReference"/>
          <w:rFonts w:cs="Arial"/>
        </w:rPr>
        <w:footnoteReference w:id="4"/>
      </w:r>
    </w:p>
    <w:p w14:paraId="48336907"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Action from last year:</w:t>
      </w:r>
    </w:p>
    <w:p w14:paraId="7751023D"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Comments:</w:t>
      </w:r>
    </w:p>
    <w:p w14:paraId="79CFD00C"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Pr>
          <w:rFonts w:cs="Arial"/>
          <w:color w:val="808080" w:themeColor="background1" w:themeShade="80"/>
        </w:rPr>
        <w:t>Action for next year:</w:t>
      </w:r>
    </w:p>
    <w:p w14:paraId="146DD3DC" w14:textId="77777777" w:rsidR="00360F70" w:rsidRDefault="00360F70" w:rsidP="00360F70">
      <w:pPr>
        <w:pStyle w:val="BodyText"/>
        <w:numPr>
          <w:ilvl w:val="0"/>
          <w:numId w:val="0"/>
        </w:numPr>
        <w:ind w:left="567"/>
      </w:pPr>
    </w:p>
    <w:p w14:paraId="346D6029" w14:textId="2D258BB8" w:rsidR="0041172E" w:rsidRPr="00BF239C" w:rsidRDefault="0041172E" w:rsidP="00360F70">
      <w:pPr>
        <w:pStyle w:val="BodyText"/>
      </w:pPr>
      <w:r w:rsidRPr="00BF239C">
        <w:t>Safeguards are in place to ensure clinical governance arrangements</w:t>
      </w:r>
      <w:r>
        <w:t xml:space="preserve"> </w:t>
      </w:r>
      <w:r w:rsidRPr="00BF239C">
        <w:t xml:space="preserve">for doctors </w:t>
      </w:r>
      <w:r>
        <w:t>including processes for responding to concerns about a doctor’s practice,</w:t>
      </w:r>
      <w:r w:rsidRPr="00BF239C">
        <w:t xml:space="preserve"> are fair</w:t>
      </w:r>
      <w:r>
        <w:t xml:space="preserve"> </w:t>
      </w:r>
      <w:r w:rsidRPr="00BF239C">
        <w:t>and free from bias and discrimination</w:t>
      </w:r>
      <w:r>
        <w:t xml:space="preserve"> (Ref GMC governance handbook)</w:t>
      </w:r>
      <w:r w:rsidRPr="00BF239C">
        <w:t>.</w:t>
      </w:r>
    </w:p>
    <w:p w14:paraId="630ECBDA"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from last year:</w:t>
      </w:r>
    </w:p>
    <w:p w14:paraId="49AF448F"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Comments:</w:t>
      </w:r>
    </w:p>
    <w:p w14:paraId="63E5FE09"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4A41C932" w14:textId="77777777" w:rsidR="0041172E" w:rsidRDefault="0041172E" w:rsidP="00360F70">
      <w:pPr>
        <w:pStyle w:val="Heading2"/>
      </w:pPr>
      <w:bookmarkStart w:id="18" w:name="_Toc8989967"/>
      <w:bookmarkStart w:id="19" w:name="_Toc74924173"/>
      <w:r>
        <w:lastRenderedPageBreak/>
        <w:t>Section 5 – Employment Checks</w:t>
      </w:r>
      <w:bookmarkEnd w:id="18"/>
      <w:bookmarkEnd w:id="19"/>
      <w:r>
        <w:t xml:space="preserve"> </w:t>
      </w:r>
    </w:p>
    <w:p w14:paraId="58D05CA1" w14:textId="77777777" w:rsidR="0041172E" w:rsidRPr="00AF3BBA" w:rsidRDefault="0041172E" w:rsidP="00360F70">
      <w:pPr>
        <w:pStyle w:val="BodyText"/>
        <w:numPr>
          <w:ilvl w:val="1"/>
          <w:numId w:val="36"/>
        </w:numPr>
      </w:pPr>
      <w:r>
        <w:t xml:space="preserve">A </w:t>
      </w:r>
      <w:r w:rsidRPr="00AF3BBA">
        <w:t>system</w:t>
      </w:r>
      <w:r>
        <w:t xml:space="preserve"> is </w:t>
      </w:r>
      <w:r w:rsidRPr="00AF3BBA">
        <w:t>in place to ensure the appropriate pre-employment background checks are undertaken to confirm all doctors</w:t>
      </w:r>
      <w:r>
        <w:t xml:space="preserve">, including locum and short-term doctors, </w:t>
      </w:r>
      <w:r w:rsidRPr="00AF3BBA">
        <w:t>have qualifications and are suitably skilled and knowledgeable to undertake their professional duties</w:t>
      </w:r>
      <w:r>
        <w:t>.</w:t>
      </w:r>
    </w:p>
    <w:p w14:paraId="4C7E61AE"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from last year:</w:t>
      </w:r>
    </w:p>
    <w:p w14:paraId="27763E35"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Comments:</w:t>
      </w:r>
    </w:p>
    <w:p w14:paraId="7E3D439A"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7E7990A6" w14:textId="77777777" w:rsidR="0041172E" w:rsidRDefault="0041172E" w:rsidP="00360F70">
      <w:pPr>
        <w:pStyle w:val="BodyText2"/>
      </w:pPr>
      <w:bookmarkStart w:id="20" w:name="_Toc8989968"/>
    </w:p>
    <w:p w14:paraId="18AF3D79" w14:textId="6E2C3604" w:rsidR="0041172E" w:rsidRDefault="0041172E" w:rsidP="00360F70">
      <w:pPr>
        <w:pStyle w:val="Heading2"/>
      </w:pPr>
      <w:bookmarkStart w:id="21" w:name="_Toc74924174"/>
      <w:r>
        <w:t>Section 6 – Summary of comments, and overall conclusion</w:t>
      </w:r>
      <w:bookmarkEnd w:id="20"/>
      <w:bookmarkEnd w:id="21"/>
    </w:p>
    <w:p w14:paraId="15D60687" w14:textId="77777777" w:rsidR="0041172E" w:rsidRPr="008A4EBB" w:rsidRDefault="0041172E" w:rsidP="0041172E"/>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8892"/>
      </w:tblGrid>
      <w:tr w:rsidR="0041172E" w14:paraId="7A0B34A8" w14:textId="77777777" w:rsidTr="00360F70">
        <w:tc>
          <w:tcPr>
            <w:tcW w:w="9242" w:type="dxa"/>
          </w:tcPr>
          <w:p w14:paraId="4EC52C07" w14:textId="77777777" w:rsidR="0041172E" w:rsidRPr="00336EA4" w:rsidRDefault="0041172E" w:rsidP="00FC581F">
            <w:pPr>
              <w:spacing w:before="120" w:after="120"/>
              <w:jc w:val="both"/>
              <w:rPr>
                <w:rFonts w:cs="Arial"/>
                <w:b/>
                <w:color w:val="808080" w:themeColor="background1" w:themeShade="80"/>
              </w:rPr>
            </w:pPr>
            <w:r w:rsidRPr="00336EA4">
              <w:rPr>
                <w:rFonts w:cs="Arial"/>
                <w:b/>
                <w:color w:val="808080" w:themeColor="background1" w:themeShade="80"/>
              </w:rPr>
              <w:t xml:space="preserve">Please use the Comments Box to detail the following: </w:t>
            </w:r>
          </w:p>
          <w:p w14:paraId="7D36F137" w14:textId="77777777" w:rsidR="0041172E" w:rsidRPr="00336EA4" w:rsidRDefault="0041172E" w:rsidP="00FC581F">
            <w:pPr>
              <w:spacing w:before="120" w:after="120"/>
              <w:jc w:val="both"/>
              <w:rPr>
                <w:rFonts w:cs="Arial"/>
                <w:b/>
                <w:color w:val="808080" w:themeColor="background1" w:themeShade="80"/>
              </w:rPr>
            </w:pPr>
          </w:p>
          <w:p w14:paraId="3FD0C1AB" w14:textId="77777777" w:rsidR="0041172E" w:rsidRPr="00336EA4" w:rsidRDefault="0041172E" w:rsidP="0041172E">
            <w:pPr>
              <w:pStyle w:val="ListParagraph"/>
              <w:numPr>
                <w:ilvl w:val="0"/>
                <w:numId w:val="24"/>
              </w:numPr>
              <w:spacing w:before="120" w:after="120"/>
              <w:contextualSpacing w:val="0"/>
              <w:jc w:val="both"/>
              <w:rPr>
                <w:rFonts w:cs="Arial"/>
                <w:b/>
                <w:color w:val="808080" w:themeColor="background1" w:themeShade="80"/>
                <w:szCs w:val="24"/>
              </w:rPr>
            </w:pPr>
            <w:r>
              <w:rPr>
                <w:rFonts w:cs="Arial"/>
                <w:b/>
                <w:color w:val="808080" w:themeColor="background1" w:themeShade="80"/>
                <w:szCs w:val="24"/>
              </w:rPr>
              <w:t>General r</w:t>
            </w:r>
            <w:r w:rsidRPr="00336EA4">
              <w:rPr>
                <w:rFonts w:cs="Arial"/>
                <w:b/>
                <w:color w:val="808080" w:themeColor="background1" w:themeShade="80"/>
                <w:szCs w:val="24"/>
              </w:rPr>
              <w:t>eview of actions</w:t>
            </w:r>
            <w:r>
              <w:rPr>
                <w:rFonts w:cs="Arial"/>
                <w:b/>
                <w:color w:val="808080" w:themeColor="background1" w:themeShade="80"/>
                <w:szCs w:val="24"/>
              </w:rPr>
              <w:t xml:space="preserve"> since last Board report</w:t>
            </w:r>
          </w:p>
          <w:p w14:paraId="46A28C2C" w14:textId="77777777" w:rsidR="0041172E" w:rsidRPr="00336EA4" w:rsidRDefault="0041172E" w:rsidP="0041172E">
            <w:pPr>
              <w:pStyle w:val="ListParagraph"/>
              <w:numPr>
                <w:ilvl w:val="0"/>
                <w:numId w:val="24"/>
              </w:numPr>
              <w:spacing w:before="120" w:after="120"/>
              <w:contextualSpacing w:val="0"/>
              <w:jc w:val="both"/>
              <w:rPr>
                <w:rFonts w:cs="Arial"/>
                <w:b/>
                <w:color w:val="808080" w:themeColor="background1" w:themeShade="80"/>
                <w:szCs w:val="24"/>
              </w:rPr>
            </w:pPr>
            <w:r w:rsidRPr="00336EA4">
              <w:rPr>
                <w:rFonts w:cs="Arial"/>
                <w:b/>
                <w:color w:val="808080" w:themeColor="background1" w:themeShade="80"/>
                <w:szCs w:val="24"/>
              </w:rPr>
              <w:t>Actions still outstanding</w:t>
            </w:r>
          </w:p>
          <w:p w14:paraId="64E83FA9" w14:textId="77777777" w:rsidR="0041172E" w:rsidRPr="00336EA4" w:rsidRDefault="0041172E" w:rsidP="0041172E">
            <w:pPr>
              <w:pStyle w:val="ListParagraph"/>
              <w:numPr>
                <w:ilvl w:val="0"/>
                <w:numId w:val="24"/>
              </w:numPr>
              <w:spacing w:before="120" w:after="120"/>
              <w:contextualSpacing w:val="0"/>
              <w:jc w:val="both"/>
              <w:rPr>
                <w:rFonts w:cs="Arial"/>
                <w:b/>
                <w:color w:val="808080" w:themeColor="background1" w:themeShade="80"/>
                <w:szCs w:val="24"/>
              </w:rPr>
            </w:pPr>
            <w:r w:rsidRPr="00336EA4">
              <w:rPr>
                <w:rFonts w:cs="Arial"/>
                <w:b/>
                <w:color w:val="808080" w:themeColor="background1" w:themeShade="80"/>
                <w:szCs w:val="24"/>
              </w:rPr>
              <w:t>Current Issues</w:t>
            </w:r>
          </w:p>
          <w:p w14:paraId="3CDF21C4" w14:textId="77777777" w:rsidR="0041172E" w:rsidRPr="00336EA4" w:rsidRDefault="0041172E" w:rsidP="0041172E">
            <w:pPr>
              <w:pStyle w:val="ListParagraph"/>
              <w:numPr>
                <w:ilvl w:val="0"/>
                <w:numId w:val="24"/>
              </w:numPr>
              <w:spacing w:before="120" w:after="120"/>
              <w:contextualSpacing w:val="0"/>
              <w:jc w:val="both"/>
              <w:rPr>
                <w:rFonts w:cs="Arial"/>
                <w:b/>
                <w:color w:val="808080" w:themeColor="background1" w:themeShade="80"/>
                <w:szCs w:val="24"/>
              </w:rPr>
            </w:pPr>
            <w:r w:rsidRPr="00336EA4">
              <w:rPr>
                <w:rFonts w:cs="Arial"/>
                <w:b/>
                <w:color w:val="808080" w:themeColor="background1" w:themeShade="80"/>
                <w:szCs w:val="24"/>
              </w:rPr>
              <w:t>New Actions</w:t>
            </w:r>
            <w:r>
              <w:rPr>
                <w:rFonts w:cs="Arial"/>
                <w:b/>
                <w:color w:val="808080" w:themeColor="background1" w:themeShade="80"/>
                <w:szCs w:val="24"/>
              </w:rPr>
              <w:t>:</w:t>
            </w:r>
          </w:p>
          <w:p w14:paraId="571F4135" w14:textId="77777777" w:rsidR="0041172E" w:rsidRDefault="0041172E" w:rsidP="00FC581F">
            <w:pPr>
              <w:spacing w:before="120" w:after="120"/>
              <w:jc w:val="both"/>
              <w:rPr>
                <w:rFonts w:cs="Arial"/>
                <w:b/>
                <w:color w:val="808080" w:themeColor="background1" w:themeShade="80"/>
              </w:rPr>
            </w:pPr>
          </w:p>
          <w:p w14:paraId="65156265" w14:textId="77777777" w:rsidR="0041172E" w:rsidRDefault="0041172E" w:rsidP="00FC581F">
            <w:pPr>
              <w:spacing w:before="120" w:after="120"/>
              <w:jc w:val="both"/>
              <w:rPr>
                <w:rFonts w:cs="Arial"/>
                <w:b/>
                <w:color w:val="808080" w:themeColor="background1" w:themeShade="80"/>
              </w:rPr>
            </w:pPr>
            <w:r>
              <w:rPr>
                <w:rFonts w:cs="Arial"/>
                <w:b/>
                <w:color w:val="808080" w:themeColor="background1" w:themeShade="80"/>
              </w:rPr>
              <w:t>Overall conclusion:</w:t>
            </w:r>
          </w:p>
          <w:p w14:paraId="006CBC39" w14:textId="77777777" w:rsidR="0041172E" w:rsidRDefault="0041172E" w:rsidP="00FC581F">
            <w:pPr>
              <w:spacing w:before="120" w:after="120"/>
              <w:jc w:val="both"/>
              <w:rPr>
                <w:rFonts w:cs="Arial"/>
                <w:b/>
                <w:color w:val="808080" w:themeColor="background1" w:themeShade="80"/>
              </w:rPr>
            </w:pPr>
          </w:p>
          <w:p w14:paraId="667D9006" w14:textId="77777777" w:rsidR="0041172E" w:rsidRDefault="0041172E" w:rsidP="00FC581F">
            <w:pPr>
              <w:spacing w:before="120" w:after="120"/>
              <w:jc w:val="both"/>
              <w:rPr>
                <w:rFonts w:cs="Arial"/>
                <w:b/>
                <w:color w:val="808080" w:themeColor="background1" w:themeShade="80"/>
              </w:rPr>
            </w:pPr>
          </w:p>
        </w:tc>
      </w:tr>
    </w:tbl>
    <w:p w14:paraId="1AF00DB7" w14:textId="77777777" w:rsidR="0041172E" w:rsidRDefault="0041172E" w:rsidP="00360F70">
      <w:pPr>
        <w:pStyle w:val="BodyText2"/>
      </w:pPr>
      <w:bookmarkStart w:id="22" w:name="_Toc8989969"/>
    </w:p>
    <w:p w14:paraId="51732C05" w14:textId="77777777" w:rsidR="00360F70" w:rsidRDefault="00360F70">
      <w:pPr>
        <w:spacing w:line="276" w:lineRule="auto"/>
        <w:rPr>
          <w:rFonts w:eastAsiaTheme="majorEastAsia" w:cstheme="majorBidi"/>
          <w:color w:val="005EB8"/>
          <w:sz w:val="36"/>
          <w:szCs w:val="26"/>
        </w:rPr>
      </w:pPr>
      <w:r>
        <w:br w:type="page"/>
      </w:r>
    </w:p>
    <w:p w14:paraId="064AE28D" w14:textId="0ECFB583" w:rsidR="0041172E" w:rsidRDefault="0041172E" w:rsidP="00360F70">
      <w:pPr>
        <w:pStyle w:val="Heading2"/>
      </w:pPr>
      <w:bookmarkStart w:id="23" w:name="_Toc74924175"/>
      <w:r>
        <w:lastRenderedPageBreak/>
        <w:t>Section 7 – Statement of Compliance:</w:t>
      </w:r>
      <w:bookmarkEnd w:id="22"/>
      <w:bookmarkEnd w:id="23"/>
      <w:r>
        <w:t xml:space="preserve"> </w:t>
      </w:r>
    </w:p>
    <w:p w14:paraId="53C5B83E" w14:textId="77777777" w:rsidR="0041172E" w:rsidRDefault="0041172E" w:rsidP="00360F70">
      <w:pPr>
        <w:pStyle w:val="BodyText2"/>
        <w:rPr>
          <w:rFonts w:cs="Arial"/>
        </w:rPr>
      </w:pPr>
      <w:r>
        <w:rPr>
          <w:rFonts w:cs="Arial"/>
        </w:rPr>
        <w:t xml:space="preserve">The Board / executive management team </w:t>
      </w:r>
      <w:r w:rsidRPr="00B95EB0">
        <w:rPr>
          <w:rFonts w:cs="Arial"/>
        </w:rPr>
        <w:t>– [</w:t>
      </w:r>
      <w:r w:rsidRPr="00557743">
        <w:rPr>
          <w:rFonts w:cs="Arial"/>
          <w:i/>
        </w:rPr>
        <w:t>delete as applicable</w:t>
      </w:r>
      <w:r w:rsidRPr="00B95EB0">
        <w:rPr>
          <w:rFonts w:cs="Arial"/>
        </w:rPr>
        <w:t xml:space="preserve">] </w:t>
      </w:r>
      <w:r>
        <w:rPr>
          <w:rFonts w:cs="Arial"/>
        </w:rPr>
        <w:t>of [</w:t>
      </w:r>
      <w:r w:rsidRPr="00557743">
        <w:rPr>
          <w:rFonts w:cs="Arial"/>
          <w:i/>
        </w:rPr>
        <w:t>insert official name of DB</w:t>
      </w:r>
      <w:r>
        <w:rPr>
          <w:rFonts w:cs="Arial"/>
        </w:rPr>
        <w:t xml:space="preserve">] has reviewed the content of this report and can confirm the </w:t>
      </w:r>
      <w:r w:rsidRPr="00557743">
        <w:rPr>
          <w:rFonts w:cs="Arial"/>
        </w:rPr>
        <w:t>organisation is compliant with The Medical Profession (Responsible Officers) Regulations 2010 (as amended in 2013)</w:t>
      </w:r>
      <w:r>
        <w:rPr>
          <w:rFonts w:cs="Arial"/>
        </w:rPr>
        <w:t>.</w:t>
      </w:r>
    </w:p>
    <w:p w14:paraId="4173DA7C" w14:textId="77777777" w:rsidR="00360F70" w:rsidRDefault="00360F70" w:rsidP="00360F70">
      <w:pPr>
        <w:pStyle w:val="BodyText2"/>
        <w:rPr>
          <w:rFonts w:cs="Arial"/>
        </w:rPr>
      </w:pPr>
    </w:p>
    <w:p w14:paraId="0A14A825" w14:textId="3C3E69F6" w:rsidR="0041172E" w:rsidRDefault="0041172E" w:rsidP="00360F70">
      <w:pPr>
        <w:pStyle w:val="BodyText2"/>
        <w:rPr>
          <w:rFonts w:cs="Arial"/>
        </w:rPr>
      </w:pPr>
      <w:r w:rsidRPr="005571A5">
        <w:rPr>
          <w:rFonts w:cs="Arial"/>
        </w:rPr>
        <w:t xml:space="preserve">Signed on behalf of the designated </w:t>
      </w:r>
      <w:proofErr w:type="gramStart"/>
      <w:r w:rsidRPr="005571A5">
        <w:rPr>
          <w:rFonts w:cs="Arial"/>
        </w:rPr>
        <w:t>body</w:t>
      </w:r>
      <w:proofErr w:type="gramEnd"/>
    </w:p>
    <w:p w14:paraId="55835860" w14:textId="77777777" w:rsidR="0041172E" w:rsidRPr="005571A5" w:rsidRDefault="0041172E" w:rsidP="00360F70">
      <w:pPr>
        <w:pStyle w:val="BodyText2"/>
        <w:rPr>
          <w:rFonts w:cs="Arial"/>
        </w:rPr>
      </w:pPr>
      <w:r>
        <w:rPr>
          <w:rFonts w:cs="Arial"/>
        </w:rPr>
        <w:t>[(Chief</w:t>
      </w:r>
      <w:r w:rsidRPr="009C7790">
        <w:rPr>
          <w:rFonts w:cs="Arial"/>
        </w:rPr>
        <w:t xml:space="preserve"> executive or chairman</w:t>
      </w:r>
      <w:r>
        <w:rPr>
          <w:rFonts w:cs="Arial"/>
        </w:rPr>
        <w:t xml:space="preserve"> (</w:t>
      </w:r>
      <w:r w:rsidRPr="009C7790">
        <w:rPr>
          <w:rFonts w:cs="Arial"/>
        </w:rPr>
        <w:t>or executive if no board exists)</w:t>
      </w:r>
      <w:r>
        <w:rPr>
          <w:rFonts w:cs="Arial"/>
        </w:rPr>
        <w:t>]</w:t>
      </w:r>
      <w:r w:rsidRPr="005571A5">
        <w:rPr>
          <w:rFonts w:cs="Arial"/>
        </w:rPr>
        <w:t xml:space="preserve"> </w:t>
      </w:r>
    </w:p>
    <w:p w14:paraId="2AE238E9" w14:textId="77777777" w:rsidR="0041172E" w:rsidRDefault="0041172E" w:rsidP="00360F70">
      <w:pPr>
        <w:pStyle w:val="BodyText2"/>
        <w:rPr>
          <w:rFonts w:cs="Arial"/>
        </w:rPr>
      </w:pPr>
    </w:p>
    <w:p w14:paraId="43AE1AE9" w14:textId="77777777" w:rsidR="0041172E" w:rsidRPr="005571A5" w:rsidRDefault="0041172E" w:rsidP="00360F70">
      <w:pPr>
        <w:pStyle w:val="BodyText2"/>
        <w:rPr>
          <w:rFonts w:cs="Arial"/>
        </w:rPr>
      </w:pPr>
      <w:r>
        <w:rPr>
          <w:rFonts w:cs="Arial"/>
        </w:rPr>
        <w:t xml:space="preserve">Official name of designated body: </w:t>
      </w:r>
      <w:r w:rsidRPr="005571A5">
        <w:rPr>
          <w:rFonts w:cs="Arial"/>
        </w:rPr>
        <w:t>_ _ _ _ _ _ _ _ _ _ _</w:t>
      </w:r>
    </w:p>
    <w:p w14:paraId="094B3570" w14:textId="77777777" w:rsidR="0041172E" w:rsidRDefault="0041172E" w:rsidP="00360F70">
      <w:pPr>
        <w:pStyle w:val="BodyText2"/>
        <w:rPr>
          <w:rFonts w:cs="Arial"/>
        </w:rPr>
      </w:pPr>
    </w:p>
    <w:p w14:paraId="254DC688" w14:textId="77777777" w:rsidR="0041172E" w:rsidRDefault="0041172E" w:rsidP="00360F70">
      <w:pPr>
        <w:pStyle w:val="BodyText2"/>
        <w:rPr>
          <w:rFonts w:cs="Arial"/>
        </w:rPr>
      </w:pPr>
      <w:r w:rsidRPr="005571A5">
        <w:rPr>
          <w:rFonts w:cs="Arial"/>
        </w:rPr>
        <w:t>Name: _ _ _ _ _ _ _ _ _ _ _</w:t>
      </w:r>
      <w:r w:rsidRPr="005571A5">
        <w:rPr>
          <w:rFonts w:cs="Arial"/>
        </w:rPr>
        <w:tab/>
      </w:r>
      <w:r w:rsidRPr="005571A5">
        <w:rPr>
          <w:rFonts w:cs="Arial"/>
        </w:rPr>
        <w:tab/>
        <w:t>Signed: _ _ _ _ _ _ _ _ _ _</w:t>
      </w:r>
    </w:p>
    <w:p w14:paraId="33C615C4" w14:textId="77777777" w:rsidR="0041172E" w:rsidRPr="005571A5" w:rsidRDefault="0041172E" w:rsidP="00360F70">
      <w:pPr>
        <w:pStyle w:val="BodyText2"/>
        <w:rPr>
          <w:rFonts w:cs="Arial"/>
        </w:rPr>
      </w:pPr>
      <w:r>
        <w:rPr>
          <w:rFonts w:cs="Arial"/>
        </w:rPr>
        <w:t xml:space="preserve">Role: </w:t>
      </w:r>
      <w:r w:rsidRPr="005571A5">
        <w:rPr>
          <w:rFonts w:cs="Arial"/>
        </w:rPr>
        <w:t>_ _ _ _ _ _ _ _ _ _ _</w:t>
      </w:r>
    </w:p>
    <w:p w14:paraId="513DC92F" w14:textId="77777777" w:rsidR="0041172E" w:rsidRPr="005571A5" w:rsidRDefault="0041172E" w:rsidP="00360F70">
      <w:pPr>
        <w:pStyle w:val="BodyText2"/>
        <w:rPr>
          <w:rFonts w:cs="Arial"/>
        </w:rPr>
      </w:pPr>
      <w:r w:rsidRPr="005571A5">
        <w:rPr>
          <w:rFonts w:cs="Arial"/>
        </w:rPr>
        <w:t>Date: _ _ _ _ _ _ _ _ _ _</w:t>
      </w:r>
    </w:p>
    <w:p w14:paraId="4A5BE6C4" w14:textId="77777777" w:rsidR="0041172E" w:rsidRPr="005571A5" w:rsidRDefault="0041172E" w:rsidP="00360F70">
      <w:pPr>
        <w:pStyle w:val="BodyText2"/>
        <w:rPr>
          <w:rFonts w:cs="Arial"/>
        </w:rPr>
      </w:pPr>
    </w:p>
    <w:p w14:paraId="42B0CD1D" w14:textId="77777777" w:rsidR="0041172E" w:rsidRPr="005571A5" w:rsidRDefault="0041172E" w:rsidP="00360F70">
      <w:pPr>
        <w:pStyle w:val="BodyText2"/>
        <w:rPr>
          <w:rFonts w:cs="Arial"/>
        </w:rPr>
      </w:pPr>
    </w:p>
    <w:p w14:paraId="13B99832" w14:textId="77777777" w:rsidR="0041172E" w:rsidRDefault="0041172E" w:rsidP="00360F70">
      <w:pPr>
        <w:pStyle w:val="BodyText2"/>
      </w:pPr>
    </w:p>
    <w:p w14:paraId="4F4C6AB5" w14:textId="77777777" w:rsidR="0041172E" w:rsidRDefault="0041172E" w:rsidP="00360F70">
      <w:pPr>
        <w:pStyle w:val="BodyText2"/>
      </w:pPr>
    </w:p>
    <w:p w14:paraId="6276036C" w14:textId="77777777" w:rsidR="00F50AD2" w:rsidRDefault="00F50AD2" w:rsidP="00360F70">
      <w:pPr>
        <w:pStyle w:val="BodyText2"/>
      </w:pPr>
    </w:p>
    <w:p w14:paraId="02C9A771" w14:textId="77777777" w:rsidR="007C2E76" w:rsidRDefault="007C2E76" w:rsidP="00A403B6">
      <w:pPr>
        <w:pStyle w:val="BodyText2"/>
      </w:pPr>
    </w:p>
    <w:p w14:paraId="68E92E04" w14:textId="548C24E6" w:rsidR="00EC408E" w:rsidRDefault="00EC408E" w:rsidP="00A403B6">
      <w:pPr>
        <w:pStyle w:val="BodyText2"/>
        <w:sectPr w:rsidR="00EC408E" w:rsidSect="00AD60EE">
          <w:headerReference w:type="default" r:id="rId15"/>
          <w:pgSz w:w="11907" w:h="16840" w:code="9"/>
          <w:pgMar w:top="1985" w:right="1928" w:bottom="1247" w:left="1077" w:header="851" w:footer="510" w:gutter="0"/>
          <w:cols w:space="708"/>
          <w:docGrid w:linePitch="360"/>
        </w:sectPr>
      </w:pPr>
    </w:p>
    <w:p w14:paraId="6FC3171C" w14:textId="77777777" w:rsidR="004211EF" w:rsidRDefault="004211EF" w:rsidP="00283282">
      <w:pPr>
        <w:pStyle w:val="Default"/>
        <w:rPr>
          <w:sz w:val="23"/>
          <w:szCs w:val="23"/>
        </w:rPr>
      </w:pPr>
    </w:p>
    <w:p w14:paraId="05C668B6" w14:textId="77777777" w:rsidR="004211EF" w:rsidRDefault="004211EF" w:rsidP="00283282">
      <w:pPr>
        <w:pStyle w:val="Default"/>
        <w:rPr>
          <w:sz w:val="23"/>
          <w:szCs w:val="23"/>
        </w:rPr>
      </w:pPr>
    </w:p>
    <w:p w14:paraId="0DCCC467" w14:textId="77777777" w:rsidR="004211EF" w:rsidRDefault="004211EF" w:rsidP="00283282">
      <w:pPr>
        <w:pStyle w:val="Default"/>
        <w:rPr>
          <w:sz w:val="23"/>
          <w:szCs w:val="23"/>
        </w:rPr>
      </w:pPr>
    </w:p>
    <w:p w14:paraId="60045FD4" w14:textId="77777777" w:rsidR="004211EF" w:rsidRDefault="004211EF" w:rsidP="00283282">
      <w:pPr>
        <w:pStyle w:val="Default"/>
        <w:rPr>
          <w:sz w:val="23"/>
          <w:szCs w:val="23"/>
        </w:rPr>
      </w:pPr>
    </w:p>
    <w:p w14:paraId="192657B3" w14:textId="77777777" w:rsidR="004211EF" w:rsidRDefault="004211EF" w:rsidP="00283282">
      <w:pPr>
        <w:pStyle w:val="Default"/>
        <w:rPr>
          <w:sz w:val="23"/>
          <w:szCs w:val="23"/>
        </w:rPr>
      </w:pPr>
    </w:p>
    <w:p w14:paraId="4C1FAA42" w14:textId="77777777" w:rsidR="004211EF" w:rsidRDefault="004211EF" w:rsidP="00283282">
      <w:pPr>
        <w:pStyle w:val="Default"/>
        <w:rPr>
          <w:sz w:val="23"/>
          <w:szCs w:val="23"/>
        </w:rPr>
      </w:pPr>
    </w:p>
    <w:p w14:paraId="512E2051" w14:textId="77777777" w:rsidR="004211EF" w:rsidRDefault="004211EF" w:rsidP="00283282">
      <w:pPr>
        <w:pStyle w:val="Default"/>
        <w:rPr>
          <w:sz w:val="23"/>
          <w:szCs w:val="23"/>
        </w:rPr>
      </w:pPr>
    </w:p>
    <w:p w14:paraId="54AF7E71" w14:textId="77777777" w:rsidR="004211EF" w:rsidRDefault="004211EF" w:rsidP="00283282">
      <w:pPr>
        <w:pStyle w:val="Default"/>
        <w:rPr>
          <w:sz w:val="23"/>
          <w:szCs w:val="23"/>
        </w:rPr>
      </w:pPr>
    </w:p>
    <w:p w14:paraId="0BC5FFD4" w14:textId="77777777" w:rsidR="004211EF" w:rsidRDefault="004211EF" w:rsidP="00283282">
      <w:pPr>
        <w:pStyle w:val="Default"/>
        <w:rPr>
          <w:sz w:val="23"/>
          <w:szCs w:val="23"/>
        </w:rPr>
      </w:pPr>
    </w:p>
    <w:p w14:paraId="7C521572" w14:textId="77777777" w:rsidR="004211EF" w:rsidRDefault="004211EF" w:rsidP="00283282">
      <w:pPr>
        <w:pStyle w:val="Default"/>
        <w:rPr>
          <w:sz w:val="23"/>
          <w:szCs w:val="23"/>
        </w:rPr>
      </w:pPr>
    </w:p>
    <w:p w14:paraId="1C77610A" w14:textId="6A9136FB" w:rsidR="00283282" w:rsidRPr="00D841A8" w:rsidRDefault="00283282" w:rsidP="00283282">
      <w:pPr>
        <w:pStyle w:val="Default"/>
      </w:pPr>
      <w:r w:rsidRPr="00D841A8">
        <w:t xml:space="preserve">NHS England </w:t>
      </w:r>
    </w:p>
    <w:p w14:paraId="2C137501" w14:textId="77777777" w:rsidR="00283282" w:rsidRPr="00D841A8" w:rsidRDefault="00283282" w:rsidP="00283282">
      <w:pPr>
        <w:pStyle w:val="NoSpacing"/>
      </w:pPr>
      <w:r w:rsidRPr="00D841A8">
        <w:t xml:space="preserve">Skipton House </w:t>
      </w:r>
    </w:p>
    <w:p w14:paraId="017C71D9" w14:textId="77777777" w:rsidR="00283282" w:rsidRPr="00D841A8" w:rsidRDefault="00283282" w:rsidP="00283282">
      <w:pPr>
        <w:pStyle w:val="NoSpacing"/>
      </w:pPr>
      <w:r w:rsidRPr="00D841A8">
        <w:t xml:space="preserve">80 London Road </w:t>
      </w:r>
    </w:p>
    <w:p w14:paraId="1E283414" w14:textId="77777777" w:rsidR="00283282" w:rsidRPr="00D841A8" w:rsidRDefault="00283282" w:rsidP="00283282">
      <w:pPr>
        <w:pStyle w:val="NoSpacing"/>
      </w:pPr>
      <w:r w:rsidRPr="00D841A8">
        <w:t xml:space="preserve">London </w:t>
      </w:r>
    </w:p>
    <w:p w14:paraId="349F8DB9" w14:textId="77777777" w:rsidR="00283282" w:rsidRPr="00D841A8" w:rsidRDefault="00283282" w:rsidP="00283282">
      <w:pPr>
        <w:pStyle w:val="Default"/>
      </w:pPr>
      <w:r w:rsidRPr="00D841A8">
        <w:t>SE1 6LH</w:t>
      </w:r>
    </w:p>
    <w:p w14:paraId="4A0327D0" w14:textId="77777777" w:rsidR="00283282" w:rsidRPr="00283282" w:rsidRDefault="00283282"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w:t>
      </w:r>
      <w:proofErr w:type="gramStart"/>
      <w:r w:rsidRPr="00283282">
        <w:rPr>
          <w:sz w:val="23"/>
          <w:szCs w:val="23"/>
        </w:rPr>
        <w:t>a number of</w:t>
      </w:r>
      <w:proofErr w:type="gramEnd"/>
      <w:r w:rsidRPr="00283282">
        <w:rPr>
          <w:sz w:val="23"/>
          <w:szCs w:val="23"/>
        </w:rPr>
        <w:t xml:space="preserve">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5BBE2B6C" w:rsidR="00283282" w:rsidRPr="00CF08FD" w:rsidRDefault="00283282" w:rsidP="00CC7E9C">
      <w:pPr>
        <w:pStyle w:val="BackPageAddress"/>
        <w:rPr>
          <w:color w:val="auto"/>
        </w:rPr>
      </w:pPr>
      <w:r w:rsidRPr="00CF08FD">
        <w:rPr>
          <w:color w:val="auto"/>
        </w:rPr>
        <w:t xml:space="preserve">© NHS England </w:t>
      </w:r>
      <w:r w:rsidR="00CF08FD" w:rsidRPr="00175B6F">
        <w:rPr>
          <w:color w:val="auto"/>
        </w:rPr>
        <w:t>202</w:t>
      </w:r>
      <w:r w:rsidR="00006012" w:rsidRPr="00175B6F">
        <w:rPr>
          <w:color w:val="auto"/>
        </w:rPr>
        <w:t>3</w:t>
      </w:r>
    </w:p>
    <w:p w14:paraId="3FC4A105" w14:textId="2956C7C3" w:rsidR="00283282" w:rsidRPr="00283282" w:rsidRDefault="00283282" w:rsidP="00CC7E9C">
      <w:pPr>
        <w:pStyle w:val="BackPageAddress"/>
        <w:rPr>
          <w:color w:val="auto"/>
        </w:rPr>
      </w:pPr>
      <w:r w:rsidRPr="00CF08FD">
        <w:rPr>
          <w:color w:val="auto"/>
        </w:rPr>
        <w:t>Publication reference:</w:t>
      </w:r>
      <w:r w:rsidR="00360F70" w:rsidRPr="00CF08FD">
        <w:rPr>
          <w:color w:val="auto"/>
        </w:rPr>
        <w:t xml:space="preserve"> </w:t>
      </w:r>
      <w:r w:rsidR="00175B6F" w:rsidRPr="00175B6F">
        <w:rPr>
          <w:color w:val="auto"/>
        </w:rPr>
        <w:t>PR1844</w:t>
      </w:r>
    </w:p>
    <w:sectPr w:rsidR="00283282" w:rsidRPr="00283282" w:rsidSect="00CC7E9C">
      <w:headerReference w:type="default" r:id="rId16"/>
      <w:footerReference w:type="default" r:id="rId17"/>
      <w:pgSz w:w="11907" w:h="16840" w:code="9"/>
      <w:pgMar w:top="9639"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87C0" w14:textId="77777777" w:rsidR="0032737B" w:rsidRDefault="0032737B" w:rsidP="00FE141F">
      <w:r>
        <w:separator/>
      </w:r>
    </w:p>
  </w:endnote>
  <w:endnote w:type="continuationSeparator" w:id="0">
    <w:p w14:paraId="3457282B" w14:textId="77777777" w:rsidR="0032737B" w:rsidRDefault="0032737B"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027F" w14:textId="644DA54C" w:rsidR="008D7534" w:rsidRPr="007D5D82" w:rsidRDefault="008D7534"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050" w:type="pct"/>
      <w:tblInd w:w="-567" w:type="dxa"/>
      <w:tblLook w:val="04A0" w:firstRow="1" w:lastRow="0" w:firstColumn="1" w:lastColumn="0" w:noHBand="0" w:noVBand="1"/>
    </w:tblPr>
    <w:tblGrid>
      <w:gridCol w:w="10771"/>
    </w:tblGrid>
    <w:tr w:rsidR="008D7534" w14:paraId="4B899A5D" w14:textId="77777777" w:rsidTr="007D5D82">
      <w:trPr>
        <w:trHeight w:hRule="exact" w:val="510"/>
      </w:trPr>
      <w:tc>
        <w:tcPr>
          <w:tcW w:w="9071" w:type="dxa"/>
          <w:vAlign w:val="bottom"/>
        </w:tcPr>
        <w:p w14:paraId="5AC4D0C2" w14:textId="30BB2C34" w:rsidR="008D7534" w:rsidRDefault="008D7534" w:rsidP="003537DD">
          <w:pPr>
            <w:pStyle w:val="Footer"/>
          </w:pPr>
          <w:r w:rsidRPr="009F3884">
            <w:fldChar w:fldCharType="begin"/>
          </w:r>
          <w:r w:rsidRPr="009F3884">
            <w:instrText xml:space="preserve"> page </w:instrText>
          </w:r>
          <w:r w:rsidRPr="009F3884">
            <w:fldChar w:fldCharType="separate"/>
          </w:r>
          <w:r w:rsidR="00FC2A45">
            <w:rPr>
              <w:noProof/>
            </w:rPr>
            <w:t>5</w:t>
          </w:r>
          <w:r w:rsidRPr="009F3884">
            <w:fldChar w:fldCharType="end"/>
          </w:r>
          <w:r w:rsidRPr="009F3884">
            <w:t xml:space="preserve"> </w:t>
          </w:r>
          <w:r>
            <w:t xml:space="preserve"> </w:t>
          </w:r>
          <w:r w:rsidRPr="009F3884">
            <w:rPr>
              <w:rStyle w:val="FooterPipe"/>
            </w:rPr>
            <w:t>|</w:t>
          </w:r>
          <w:r w:rsidRPr="00877581">
            <w:t xml:space="preserve"> </w:t>
          </w:r>
          <w:r>
            <w:t xml:space="preserve"> </w:t>
          </w:r>
          <w:fldSimple w:instr=" STYLEREF  Subtitle  \* MERGEFORMAT ">
            <w:r w:rsidR="00175B6F" w:rsidRPr="00175B6F">
              <w:rPr>
                <w:b/>
                <w:bCs/>
                <w:noProof/>
                <w:lang w:val="en-US"/>
              </w:rPr>
              <w:t>Annex D – annual board report and statement of</w:t>
            </w:r>
            <w:r w:rsidR="00175B6F">
              <w:rPr>
                <w:noProof/>
              </w:rPr>
              <w:t xml:space="preserve"> compliance</w:t>
            </w:r>
          </w:fldSimple>
        </w:p>
      </w:tc>
    </w:tr>
  </w:tbl>
  <w:p w14:paraId="78F3AD3C" w14:textId="77777777" w:rsidR="008D7534" w:rsidRDefault="008D7534"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29E0" w14:textId="2CF248D0" w:rsidR="008D7534" w:rsidRPr="007D5D82" w:rsidRDefault="008D7534"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CF6E" w14:textId="77777777" w:rsidR="0032737B" w:rsidRDefault="0032737B" w:rsidP="00FE141F">
      <w:bookmarkStart w:id="0" w:name="_Hlk477956115"/>
      <w:bookmarkEnd w:id="0"/>
    </w:p>
  </w:footnote>
  <w:footnote w:type="continuationSeparator" w:id="0">
    <w:p w14:paraId="194543E2" w14:textId="77777777" w:rsidR="0032737B" w:rsidRDefault="0032737B" w:rsidP="00FE141F"/>
  </w:footnote>
  <w:footnote w:id="1">
    <w:p w14:paraId="75DC2C7A" w14:textId="26C7E82F" w:rsidR="00384122" w:rsidRDefault="00384122">
      <w:pPr>
        <w:pStyle w:val="FootnoteText"/>
      </w:pPr>
      <w:r>
        <w:rPr>
          <w:rStyle w:val="FootnoteReference"/>
        </w:rPr>
        <w:footnoteRef/>
      </w:r>
      <w:r>
        <w:t xml:space="preserve"> </w:t>
      </w:r>
      <w:r w:rsidRPr="00384122">
        <w:t xml:space="preserve">For organisations that have adopted the Appraisal 2020 model (recently updated aby the Academy of Medical Royal Colleges as the Medical Appraisal Guide 2022), there is a reduced requirement for preparation by the doctor and a greater emphasis on verbal reflection and discussion in appraisal meetings. Organisations might therefore choose to reflect on the impact of this change. Those organisations that have not yet moved to the revised model may want to </w:t>
      </w:r>
      <w:r>
        <w:t>describe their plans in this respect</w:t>
      </w:r>
      <w:r w:rsidRPr="00384122">
        <w:t>.</w:t>
      </w:r>
    </w:p>
  </w:footnote>
  <w:footnote w:id="2">
    <w:p w14:paraId="5C58173D" w14:textId="24E1D16C" w:rsidR="0041172E" w:rsidRDefault="0041172E" w:rsidP="0041172E">
      <w:pPr>
        <w:pStyle w:val="FootnoteText"/>
        <w:rPr>
          <w:rFonts w:cs="Arial"/>
          <w:color w:val="808080" w:themeColor="background1" w:themeShade="80"/>
        </w:rPr>
      </w:pPr>
      <w:r w:rsidRPr="008C525D">
        <w:rPr>
          <w:rStyle w:val="FootnoteReference"/>
          <w:rFonts w:cs="Arial"/>
          <w:color w:val="808080" w:themeColor="background1" w:themeShade="80"/>
        </w:rPr>
        <w:footnoteRef/>
      </w:r>
      <w:r w:rsidRPr="008C525D">
        <w:rPr>
          <w:rFonts w:cs="Arial"/>
          <w:color w:val="808080" w:themeColor="background1" w:themeShade="80"/>
        </w:rPr>
        <w:t xml:space="preserve"> </w:t>
      </w:r>
      <w:hyperlink r:id="rId1" w:history="1">
        <w:r w:rsidRPr="006C2545">
          <w:rPr>
            <w:rStyle w:val="Hyperlink"/>
            <w:rFonts w:cs="Arial"/>
          </w:rPr>
          <w:t>http://www.england.nhs.uk/revalidation/ro/app-syst/</w:t>
        </w:r>
      </w:hyperlink>
    </w:p>
    <w:p w14:paraId="3A806091" w14:textId="77777777" w:rsidR="0041172E" w:rsidRPr="008C525D" w:rsidRDefault="0041172E" w:rsidP="0041172E">
      <w:pPr>
        <w:pStyle w:val="FootnoteText"/>
        <w:rPr>
          <w:rFonts w:cs="Arial"/>
          <w:color w:val="808080" w:themeColor="background1" w:themeShade="80"/>
        </w:rPr>
      </w:pPr>
    </w:p>
  </w:footnote>
  <w:footnote w:id="3">
    <w:p w14:paraId="3E68301A" w14:textId="7ACB4E30" w:rsidR="00360F70" w:rsidRDefault="00360F70">
      <w:pPr>
        <w:pStyle w:val="FootnoteText"/>
      </w:pPr>
      <w:r>
        <w:rPr>
          <w:rStyle w:val="FootnoteReference"/>
        </w:rPr>
        <w:footnoteRef/>
      </w:r>
      <w:r>
        <w:t xml:space="preserve"> </w:t>
      </w:r>
      <w:r w:rsidRPr="00360F70">
        <w:t>This question sets out the expectation that an organisation gathers high level data on the management of concerns about doctors. It is envisaged information in this important area may be requested in future AOA exercises so that the results can be reported on at a regional and national level.</w:t>
      </w:r>
    </w:p>
  </w:footnote>
  <w:footnote w:id="4">
    <w:p w14:paraId="6B2A1A11" w14:textId="2D773FFE" w:rsidR="00360F70" w:rsidRDefault="00360F70">
      <w:pPr>
        <w:pStyle w:val="FootnoteText"/>
      </w:pPr>
      <w:r>
        <w:rPr>
          <w:rStyle w:val="FootnoteReference"/>
        </w:rPr>
        <w:footnoteRef/>
      </w:r>
      <w:r>
        <w:t xml:space="preserve"> </w:t>
      </w:r>
      <w:r w:rsidRPr="00360F70">
        <w:t xml:space="preserve">The Medical Profession (Responsible Officers) Regulations 2011, regulation 11: </w:t>
      </w:r>
      <w:hyperlink r:id="rId2" w:history="1">
        <w:r w:rsidRPr="00D6435A">
          <w:rPr>
            <w:rStyle w:val="Hyperlink"/>
          </w:rPr>
          <w:t>http://www.legislation.gov.uk/ukdsi/2010/9780111500286/contents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sz w:val="24"/>
        <w:u w:val="none"/>
      </w:rPr>
      <w:alias w:val="Protective Marking"/>
      <w:tag w:val="Protective Marking"/>
      <w:id w:val="-1739233319"/>
      <w:dropDownList>
        <w:listItem w:displayText="Classification: Official" w:value="Classification: Official"/>
        <w:listItem w:displayText="Classification: Official-Sensitive: Commercial" w:value="Classification: Official-Sensitive: Commercial"/>
        <w:listItem w:displayText="Classification: Official-Sensitive: Personal" w:value="Classification: Official-Sensitive: Personal"/>
      </w:dropDownList>
    </w:sdtPr>
    <w:sdtContent>
      <w:p w14:paraId="279614AA" w14:textId="77777777" w:rsidR="008A697B" w:rsidRPr="008A697B" w:rsidRDefault="008A697B" w:rsidP="008A697B">
        <w:pPr>
          <w:pStyle w:val="Header"/>
          <w:rPr>
            <w:b w:val="0"/>
            <w:bCs/>
            <w:sz w:val="24"/>
            <w:u w:val="none"/>
          </w:rPr>
        </w:pPr>
        <w:r w:rsidRPr="008A697B">
          <w:rPr>
            <w:b w:val="0"/>
            <w:bCs/>
            <w:sz w:val="24"/>
            <w:u w:val="none"/>
          </w:rPr>
          <w:t>Classification: Official</w:t>
        </w:r>
      </w:p>
    </w:sdtContent>
  </w:sdt>
  <w:p w14:paraId="43A38EAE" w14:textId="77777777" w:rsidR="008A697B" w:rsidRPr="008A697B" w:rsidRDefault="008A697B" w:rsidP="008A697B">
    <w:pPr>
      <w:pStyle w:val="Header"/>
      <w:tabs>
        <w:tab w:val="clear" w:pos="9026"/>
        <w:tab w:val="right" w:pos="5812"/>
      </w:tabs>
      <w:rPr>
        <w:sz w:val="24"/>
      </w:rPr>
    </w:pPr>
  </w:p>
  <w:p w14:paraId="74A589A4" w14:textId="4AD4AD37" w:rsidR="008A697B" w:rsidRPr="008A697B" w:rsidRDefault="008A697B" w:rsidP="008A697B">
    <w:pPr>
      <w:pStyle w:val="Header"/>
      <w:rPr>
        <w:b w:val="0"/>
        <w:bCs/>
        <w:sz w:val="24"/>
        <w:u w:val="none"/>
      </w:rPr>
    </w:pPr>
    <w:r w:rsidRPr="008A697B">
      <w:rPr>
        <w:b w:val="0"/>
        <w:bCs/>
        <w:sz w:val="24"/>
        <w:u w:val="none"/>
      </w:rPr>
      <w:t xml:space="preserve">Publication reference: </w:t>
    </w:r>
    <w:r w:rsidR="00175B6F" w:rsidRPr="00175B6F">
      <w:rPr>
        <w:b w:val="0"/>
        <w:bCs/>
        <w:sz w:val="24"/>
        <w:u w:val="none"/>
      </w:rPr>
      <w:t>PR1844</w:t>
    </w:r>
  </w:p>
  <w:p w14:paraId="0641FB36" w14:textId="0CBC63AD" w:rsidR="008D7534" w:rsidRPr="008A697B" w:rsidRDefault="008A697B" w:rsidP="008A697B">
    <w:pPr>
      <w:pStyle w:val="Header"/>
      <w:ind w:right="312"/>
      <w:jc w:val="center"/>
      <w:rPr>
        <w:b w:val="0"/>
        <w:bCs/>
        <w:sz w:val="24"/>
        <w:u w:val="none"/>
      </w:rPr>
    </w:pPr>
    <w:r>
      <w:rPr>
        <w:noProof/>
      </w:rPr>
      <w:drawing>
        <wp:anchor distT="0" distB="0" distL="114300" distR="114300" simplePos="0" relativeHeight="251659264" behindDoc="1" locked="0" layoutInCell="1" allowOverlap="1" wp14:anchorId="6C4F78BA" wp14:editId="302ACA20">
          <wp:simplePos x="0" y="0"/>
          <wp:positionH relativeFrom="margin">
            <wp:posOffset>5380990</wp:posOffset>
          </wp:positionH>
          <wp:positionV relativeFrom="page">
            <wp:posOffset>335280</wp:posOffset>
          </wp:positionV>
          <wp:extent cx="968188" cy="7315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188"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67AAD" w14:textId="190A3FCC" w:rsidR="008D7534" w:rsidRPr="00C5063B" w:rsidRDefault="008D7534" w:rsidP="002A120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AA9D" w14:textId="5A3E951C" w:rsidR="008D7534" w:rsidRPr="008366C7" w:rsidRDefault="008D7534" w:rsidP="0083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92A5" w14:textId="3028C05E" w:rsidR="008D7534" w:rsidRPr="008366C7" w:rsidRDefault="008D7534" w:rsidP="00836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EB2C" w14:textId="6CFE919B" w:rsidR="008D7534" w:rsidRPr="001A4BBD" w:rsidRDefault="008D7534"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0112AD"/>
    <w:multiLevelType w:val="hybridMultilevel"/>
    <w:tmpl w:val="7E0E498A"/>
    <w:lvl w:ilvl="0" w:tplc="C72EBA9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EA156BB"/>
    <w:multiLevelType w:val="hybridMultilevel"/>
    <w:tmpl w:val="F7287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F94FBE"/>
    <w:multiLevelType w:val="hybridMultilevel"/>
    <w:tmpl w:val="39E2F1E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4AB20BC0">
      <w:numFmt w:val="bullet"/>
      <w:lvlText w:val="•"/>
      <w:lvlJc w:val="left"/>
      <w:pPr>
        <w:ind w:left="2557" w:hanging="615"/>
      </w:pPr>
      <w:rPr>
        <w:rFonts w:ascii="Arial" w:eastAsia="Times New Roman" w:hAnsi="Arial" w:cs="Arial"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9FD3F6F"/>
    <w:multiLevelType w:val="hybridMultilevel"/>
    <w:tmpl w:val="338A99EA"/>
    <w:lvl w:ilvl="0" w:tplc="8B245C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F35577"/>
    <w:multiLevelType w:val="multilevel"/>
    <w:tmpl w:val="9D0C76B2"/>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7A1635"/>
    <w:multiLevelType w:val="hybridMultilevel"/>
    <w:tmpl w:val="E2C8D194"/>
    <w:lvl w:ilvl="0" w:tplc="AC1E9702">
      <w:start w:val="1"/>
      <w:numFmt w:val="decimal"/>
      <w:lvlText w:val="%1."/>
      <w:lvlJc w:val="left"/>
      <w:pPr>
        <w:ind w:left="644" w:hanging="360"/>
      </w:pPr>
      <w:rPr>
        <w:b w:val="0"/>
        <w:color w:val="auto"/>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77F6E8E"/>
    <w:multiLevelType w:val="multilevel"/>
    <w:tmpl w:val="9D0C76B2"/>
    <w:numStyleLink w:val="NHSOutlineLevels"/>
  </w:abstractNum>
  <w:abstractNum w:abstractNumId="16"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6C4535"/>
    <w:multiLevelType w:val="hybridMultilevel"/>
    <w:tmpl w:val="7A582480"/>
    <w:lvl w:ilvl="0" w:tplc="9CB8AC5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5D02A0"/>
    <w:multiLevelType w:val="hybridMultilevel"/>
    <w:tmpl w:val="44608136"/>
    <w:lvl w:ilvl="0" w:tplc="99DE5B24">
      <w:start w:val="1"/>
      <w:numFmt w:val="decimal"/>
      <w:lvlText w:val="%1."/>
      <w:lvlJc w:val="left"/>
      <w:pPr>
        <w:ind w:left="502" w:hanging="360"/>
      </w:pPr>
      <w:rPr>
        <w:rFonts w:ascii="Arial" w:hAnsi="Arial" w:cs="Arial" w:hint="default"/>
        <w:b/>
        <w:color w:val="auto"/>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BD97F6D"/>
    <w:multiLevelType w:val="hybridMultilevel"/>
    <w:tmpl w:val="F38E1CF8"/>
    <w:lvl w:ilvl="0" w:tplc="A3E03E68">
      <w:start w:val="1"/>
      <w:numFmt w:val="decimal"/>
      <w:lvlText w:val="%1."/>
      <w:lvlJc w:val="left"/>
      <w:pPr>
        <w:ind w:left="644" w:hanging="360"/>
      </w:pPr>
      <w:rPr>
        <w:rFonts w:hint="default"/>
        <w:b/>
        <w:color w:val="auto"/>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72D2898"/>
    <w:multiLevelType w:val="hybridMultilevel"/>
    <w:tmpl w:val="863AC88A"/>
    <w:lvl w:ilvl="0" w:tplc="106096B4">
      <w:start w:val="1"/>
      <w:numFmt w:val="decimal"/>
      <w:lvlText w:val="%1."/>
      <w:lvlJc w:val="left"/>
      <w:pPr>
        <w:ind w:left="644" w:hanging="360"/>
      </w:pPr>
      <w:rPr>
        <w:b/>
        <w:color w:val="auto"/>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6089471">
    <w:abstractNumId w:val="23"/>
  </w:num>
  <w:num w:numId="2" w16cid:durableId="642126081">
    <w:abstractNumId w:val="5"/>
  </w:num>
  <w:num w:numId="3" w16cid:durableId="1801605819">
    <w:abstractNumId w:val="23"/>
  </w:num>
  <w:num w:numId="4" w16cid:durableId="1172263384">
    <w:abstractNumId w:val="3"/>
  </w:num>
  <w:num w:numId="5" w16cid:durableId="1064566838">
    <w:abstractNumId w:val="23"/>
  </w:num>
  <w:num w:numId="6" w16cid:durableId="1469937670">
    <w:abstractNumId w:val="2"/>
  </w:num>
  <w:num w:numId="7" w16cid:durableId="1397120773">
    <w:abstractNumId w:val="23"/>
  </w:num>
  <w:num w:numId="8" w16cid:durableId="489491438">
    <w:abstractNumId w:val="4"/>
  </w:num>
  <w:num w:numId="9" w16cid:durableId="192153747">
    <w:abstractNumId w:val="11"/>
  </w:num>
  <w:num w:numId="10" w16cid:durableId="2070615138">
    <w:abstractNumId w:val="1"/>
  </w:num>
  <w:num w:numId="11" w16cid:durableId="1519352743">
    <w:abstractNumId w:val="11"/>
  </w:num>
  <w:num w:numId="12" w16cid:durableId="1607686749">
    <w:abstractNumId w:val="0"/>
  </w:num>
  <w:num w:numId="13" w16cid:durableId="617680382">
    <w:abstractNumId w:val="11"/>
  </w:num>
  <w:num w:numId="14" w16cid:durableId="356351454">
    <w:abstractNumId w:val="18"/>
  </w:num>
  <w:num w:numId="15" w16cid:durableId="1406538474">
    <w:abstractNumId w:val="12"/>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b w:val="0"/>
          <w:bCs/>
          <w:color w:val="auto"/>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243370219">
    <w:abstractNumId w:val="15"/>
  </w:num>
  <w:num w:numId="17" w16cid:durableId="1638103450">
    <w:abstractNumId w:val="19"/>
  </w:num>
  <w:num w:numId="18" w16cid:durableId="320744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3406196">
    <w:abstractNumId w:val="16"/>
  </w:num>
  <w:num w:numId="20" w16cid:durableId="1814757516">
    <w:abstractNumId w:val="13"/>
  </w:num>
  <w:num w:numId="21" w16cid:durableId="419987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1947002">
    <w:abstractNumId w:val="8"/>
  </w:num>
  <w:num w:numId="23" w16cid:durableId="134178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5007597">
    <w:abstractNumId w:val="17"/>
  </w:num>
  <w:num w:numId="25" w16cid:durableId="2007244805">
    <w:abstractNumId w:val="22"/>
  </w:num>
  <w:num w:numId="26" w16cid:durableId="884368024">
    <w:abstractNumId w:val="21"/>
  </w:num>
  <w:num w:numId="27" w16cid:durableId="1724402044">
    <w:abstractNumId w:val="6"/>
  </w:num>
  <w:num w:numId="28" w16cid:durableId="1655908690">
    <w:abstractNumId w:val="9"/>
  </w:num>
  <w:num w:numId="29" w16cid:durableId="1186017407">
    <w:abstractNumId w:val="10"/>
  </w:num>
  <w:num w:numId="30" w16cid:durableId="318970519">
    <w:abstractNumId w:val="14"/>
  </w:num>
  <w:num w:numId="31" w16cid:durableId="1265923668">
    <w:abstractNumId w:val="20"/>
  </w:num>
  <w:num w:numId="32" w16cid:durableId="125008142">
    <w:abstractNumId w:val="7"/>
  </w:num>
  <w:num w:numId="33" w16cid:durableId="1252852214">
    <w:abstractNumId w:val="12"/>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444082390">
    <w:abstractNumId w:val="12"/>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16cid:durableId="2104374104">
    <w:abstractNumId w:val="12"/>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16cid:durableId="412044369">
    <w:abstractNumId w:val="12"/>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689188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FE"/>
    <w:rsid w:val="00006012"/>
    <w:rsid w:val="00014DC3"/>
    <w:rsid w:val="000326DC"/>
    <w:rsid w:val="00036E34"/>
    <w:rsid w:val="0005261D"/>
    <w:rsid w:val="00076ACB"/>
    <w:rsid w:val="00077D80"/>
    <w:rsid w:val="000A5420"/>
    <w:rsid w:val="000B2F4D"/>
    <w:rsid w:val="000B5074"/>
    <w:rsid w:val="000D1D6B"/>
    <w:rsid w:val="001058C6"/>
    <w:rsid w:val="00107BCC"/>
    <w:rsid w:val="00112827"/>
    <w:rsid w:val="00127698"/>
    <w:rsid w:val="0015699D"/>
    <w:rsid w:val="0016600B"/>
    <w:rsid w:val="00175B6F"/>
    <w:rsid w:val="001831B4"/>
    <w:rsid w:val="001A0511"/>
    <w:rsid w:val="001A4BBD"/>
    <w:rsid w:val="001C53FE"/>
    <w:rsid w:val="001C7696"/>
    <w:rsid w:val="001D06EB"/>
    <w:rsid w:val="001E03C5"/>
    <w:rsid w:val="001F229E"/>
    <w:rsid w:val="001F5639"/>
    <w:rsid w:val="00205F5C"/>
    <w:rsid w:val="00210FEC"/>
    <w:rsid w:val="002358CE"/>
    <w:rsid w:val="002513F9"/>
    <w:rsid w:val="00257377"/>
    <w:rsid w:val="00267637"/>
    <w:rsid w:val="00283282"/>
    <w:rsid w:val="0029383E"/>
    <w:rsid w:val="002943DE"/>
    <w:rsid w:val="002A120A"/>
    <w:rsid w:val="002C013C"/>
    <w:rsid w:val="002C3D16"/>
    <w:rsid w:val="002C466D"/>
    <w:rsid w:val="002D177B"/>
    <w:rsid w:val="002E0482"/>
    <w:rsid w:val="002E7A3D"/>
    <w:rsid w:val="002E7E33"/>
    <w:rsid w:val="00304316"/>
    <w:rsid w:val="003145F0"/>
    <w:rsid w:val="0032737B"/>
    <w:rsid w:val="003537DD"/>
    <w:rsid w:val="0035489F"/>
    <w:rsid w:val="00360F70"/>
    <w:rsid w:val="00362B18"/>
    <w:rsid w:val="00376C84"/>
    <w:rsid w:val="00384122"/>
    <w:rsid w:val="003E5C41"/>
    <w:rsid w:val="00410316"/>
    <w:rsid w:val="0041172E"/>
    <w:rsid w:val="004211EF"/>
    <w:rsid w:val="00431610"/>
    <w:rsid w:val="00454F99"/>
    <w:rsid w:val="00461AF0"/>
    <w:rsid w:val="00473095"/>
    <w:rsid w:val="004772E6"/>
    <w:rsid w:val="004836FD"/>
    <w:rsid w:val="00486B68"/>
    <w:rsid w:val="004930E1"/>
    <w:rsid w:val="00495942"/>
    <w:rsid w:val="004A6352"/>
    <w:rsid w:val="004B319B"/>
    <w:rsid w:val="004B4112"/>
    <w:rsid w:val="004C6B9B"/>
    <w:rsid w:val="004D453B"/>
    <w:rsid w:val="004D772E"/>
    <w:rsid w:val="004E7776"/>
    <w:rsid w:val="00500B3B"/>
    <w:rsid w:val="00515349"/>
    <w:rsid w:val="00534615"/>
    <w:rsid w:val="00542C19"/>
    <w:rsid w:val="00554409"/>
    <w:rsid w:val="00564AB5"/>
    <w:rsid w:val="005741E6"/>
    <w:rsid w:val="00580361"/>
    <w:rsid w:val="00582885"/>
    <w:rsid w:val="00584880"/>
    <w:rsid w:val="005A3AF6"/>
    <w:rsid w:val="005A51D2"/>
    <w:rsid w:val="005B5792"/>
    <w:rsid w:val="00614A93"/>
    <w:rsid w:val="006617BF"/>
    <w:rsid w:val="00663E9E"/>
    <w:rsid w:val="006A5B91"/>
    <w:rsid w:val="006A6F7C"/>
    <w:rsid w:val="006A7A50"/>
    <w:rsid w:val="006B30F3"/>
    <w:rsid w:val="006D4AB6"/>
    <w:rsid w:val="00710E0C"/>
    <w:rsid w:val="00711B18"/>
    <w:rsid w:val="007174CB"/>
    <w:rsid w:val="00722F00"/>
    <w:rsid w:val="007A3953"/>
    <w:rsid w:val="007C2E76"/>
    <w:rsid w:val="007D5D82"/>
    <w:rsid w:val="007E63EC"/>
    <w:rsid w:val="00800AE7"/>
    <w:rsid w:val="0080245C"/>
    <w:rsid w:val="00814EED"/>
    <w:rsid w:val="008366C7"/>
    <w:rsid w:val="00877581"/>
    <w:rsid w:val="00884177"/>
    <w:rsid w:val="00892C40"/>
    <w:rsid w:val="008A697B"/>
    <w:rsid w:val="008B07EF"/>
    <w:rsid w:val="008B3B81"/>
    <w:rsid w:val="008D0881"/>
    <w:rsid w:val="008D68A5"/>
    <w:rsid w:val="008D7534"/>
    <w:rsid w:val="008E1C84"/>
    <w:rsid w:val="008F22A5"/>
    <w:rsid w:val="00923A7C"/>
    <w:rsid w:val="009701CC"/>
    <w:rsid w:val="009A3D53"/>
    <w:rsid w:val="009A3EA3"/>
    <w:rsid w:val="009D6DDA"/>
    <w:rsid w:val="009E7640"/>
    <w:rsid w:val="009F1AFC"/>
    <w:rsid w:val="009F3884"/>
    <w:rsid w:val="00A23025"/>
    <w:rsid w:val="00A3272E"/>
    <w:rsid w:val="00A33657"/>
    <w:rsid w:val="00A344BF"/>
    <w:rsid w:val="00A403B6"/>
    <w:rsid w:val="00A70350"/>
    <w:rsid w:val="00A817E9"/>
    <w:rsid w:val="00A85CB4"/>
    <w:rsid w:val="00A9218C"/>
    <w:rsid w:val="00AA043A"/>
    <w:rsid w:val="00AD60EE"/>
    <w:rsid w:val="00B11820"/>
    <w:rsid w:val="00B20B7A"/>
    <w:rsid w:val="00B3379A"/>
    <w:rsid w:val="00B4013D"/>
    <w:rsid w:val="00B43E90"/>
    <w:rsid w:val="00B4451A"/>
    <w:rsid w:val="00B54E2B"/>
    <w:rsid w:val="00B6466E"/>
    <w:rsid w:val="00B75AD1"/>
    <w:rsid w:val="00B9389D"/>
    <w:rsid w:val="00BB45E9"/>
    <w:rsid w:val="00BD07FB"/>
    <w:rsid w:val="00BD35D7"/>
    <w:rsid w:val="00BD51DD"/>
    <w:rsid w:val="00BF6D8F"/>
    <w:rsid w:val="00C01797"/>
    <w:rsid w:val="00C17B26"/>
    <w:rsid w:val="00C22035"/>
    <w:rsid w:val="00C5063B"/>
    <w:rsid w:val="00C53FEF"/>
    <w:rsid w:val="00C56903"/>
    <w:rsid w:val="00C82841"/>
    <w:rsid w:val="00C82F51"/>
    <w:rsid w:val="00C945EB"/>
    <w:rsid w:val="00CA3727"/>
    <w:rsid w:val="00CC0A9B"/>
    <w:rsid w:val="00CC7E9C"/>
    <w:rsid w:val="00CF08FD"/>
    <w:rsid w:val="00D1581A"/>
    <w:rsid w:val="00D507EF"/>
    <w:rsid w:val="00D53C4A"/>
    <w:rsid w:val="00D63288"/>
    <w:rsid w:val="00D74A42"/>
    <w:rsid w:val="00D841A8"/>
    <w:rsid w:val="00D90F3B"/>
    <w:rsid w:val="00D9772C"/>
    <w:rsid w:val="00DB41A2"/>
    <w:rsid w:val="00E24B18"/>
    <w:rsid w:val="00E66356"/>
    <w:rsid w:val="00E77198"/>
    <w:rsid w:val="00EA1CB8"/>
    <w:rsid w:val="00EC408E"/>
    <w:rsid w:val="00ED0068"/>
    <w:rsid w:val="00ED3389"/>
    <w:rsid w:val="00F30F0F"/>
    <w:rsid w:val="00F4069A"/>
    <w:rsid w:val="00F428B4"/>
    <w:rsid w:val="00F46B72"/>
    <w:rsid w:val="00F50AD2"/>
    <w:rsid w:val="00F75456"/>
    <w:rsid w:val="00FB43ED"/>
    <w:rsid w:val="00FC2A45"/>
    <w:rsid w:val="00FC7066"/>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2"/>
    <w:link w:val="Heading1Char"/>
    <w:qFormat/>
    <w:rsid w:val="0041172E"/>
    <w:pPr>
      <w:keepNext/>
      <w:keepLines/>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2"/>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2"/>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2"/>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1"/>
    <w:basedOn w:val="Normal"/>
    <w:link w:val="BodyTextChar"/>
    <w:qFormat/>
    <w:rsid w:val="005A3AF6"/>
    <w:pPr>
      <w:numPr>
        <w:ilvl w:val="1"/>
        <w:numId w:val="15"/>
      </w:numPr>
      <w:spacing w:after="280" w:line="360" w:lineRule="atLeast"/>
    </w:pPr>
  </w:style>
  <w:style w:type="character" w:customStyle="1" w:styleId="BodyTextChar">
    <w:name w:val="Body Text Char"/>
    <w:aliases w:val="Body Text 1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aliases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aliases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41172E"/>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2"/>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5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39"/>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37"/>
      </w:numPr>
    </w:pPr>
  </w:style>
  <w:style w:type="paragraph" w:styleId="FootnoteText">
    <w:name w:val="footnote text"/>
    <w:basedOn w:val="Normal"/>
    <w:link w:val="FootnoteTextChar"/>
    <w:uiPriority w:val="99"/>
    <w:unhideWhenUsed/>
    <w:rsid w:val="004C6B9B"/>
    <w:rPr>
      <w:sz w:val="20"/>
      <w:szCs w:val="20"/>
    </w:rPr>
  </w:style>
  <w:style w:type="character" w:customStyle="1" w:styleId="FootnoteTextChar">
    <w:name w:val="Footnote Text Char"/>
    <w:basedOn w:val="DefaultParagraphFont"/>
    <w:link w:val="FootnoteText"/>
    <w:uiPriority w:val="99"/>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2"/>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A85CB4"/>
    <w:pPr>
      <w:spacing w:after="200"/>
    </w:pPr>
    <w:rPr>
      <w:b/>
      <w:iCs/>
      <w:color w:val="auto"/>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2"/>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2"/>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character" w:customStyle="1" w:styleId="UnresolvedMention1">
    <w:name w:val="Unresolved Mention1"/>
    <w:basedOn w:val="DefaultParagraphFont"/>
    <w:uiPriority w:val="99"/>
    <w:semiHidden/>
    <w:unhideWhenUsed/>
    <w:rsid w:val="00410316"/>
    <w:rPr>
      <w:color w:val="605E5C"/>
      <w:shd w:val="clear" w:color="auto" w:fill="E1DFDD"/>
    </w:rPr>
  </w:style>
  <w:style w:type="character" w:styleId="CommentReference">
    <w:name w:val="annotation reference"/>
    <w:basedOn w:val="DefaultParagraphFont"/>
    <w:uiPriority w:val="99"/>
    <w:semiHidden/>
    <w:unhideWhenUsed/>
    <w:rsid w:val="00410316"/>
    <w:rPr>
      <w:sz w:val="16"/>
      <w:szCs w:val="16"/>
    </w:rPr>
  </w:style>
  <w:style w:type="paragraph" w:styleId="CommentText">
    <w:name w:val="annotation text"/>
    <w:basedOn w:val="Normal"/>
    <w:link w:val="CommentTextChar"/>
    <w:uiPriority w:val="99"/>
    <w:semiHidden/>
    <w:unhideWhenUsed/>
    <w:rsid w:val="00410316"/>
    <w:rPr>
      <w:sz w:val="20"/>
      <w:szCs w:val="20"/>
    </w:rPr>
  </w:style>
  <w:style w:type="character" w:customStyle="1" w:styleId="CommentTextChar">
    <w:name w:val="Comment Text Char"/>
    <w:basedOn w:val="DefaultParagraphFont"/>
    <w:link w:val="CommentText"/>
    <w:uiPriority w:val="99"/>
    <w:semiHidden/>
    <w:rsid w:val="00410316"/>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10316"/>
    <w:rPr>
      <w:b/>
      <w:bCs/>
    </w:rPr>
  </w:style>
  <w:style w:type="character" w:customStyle="1" w:styleId="CommentSubjectChar">
    <w:name w:val="Comment Subject Char"/>
    <w:basedOn w:val="CommentTextChar"/>
    <w:link w:val="CommentSubject"/>
    <w:uiPriority w:val="99"/>
    <w:semiHidden/>
    <w:rsid w:val="00410316"/>
    <w:rPr>
      <w:rFonts w:ascii="Arial" w:hAnsi="Arial"/>
      <w:b/>
      <w:bCs/>
      <w:color w:val="231F20"/>
      <w:sz w:val="20"/>
      <w:szCs w:val="20"/>
      <w:lang w:val="en-GB"/>
    </w:rPr>
  </w:style>
  <w:style w:type="paragraph" w:styleId="ListParagraph">
    <w:name w:val="List Paragraph"/>
    <w:aliases w:val="Dot pt,F5 List Paragraph,List Paragraph1,Numbered Para 1,No Spacing1,List Paragraph Char Char Char,Indicator Text,Bullet Points,MAIN CONTENT,Colorful List - Accent 11,Bullet 1,List Paragraph2,Normal numbered,List Paragraph12,Recommendati"/>
    <w:basedOn w:val="Normal"/>
    <w:link w:val="ListParagraphChar"/>
    <w:uiPriority w:val="34"/>
    <w:qFormat/>
    <w:rsid w:val="0041172E"/>
    <w:pPr>
      <w:ind w:left="720"/>
      <w:contextualSpacing/>
    </w:pPr>
    <w:rPr>
      <w:rFonts w:eastAsia="Times New Roman" w:cs="Times New Roman"/>
      <w:bCs/>
      <w:color w:val="auto"/>
      <w:szCs w:val="26"/>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Colorful List - Accent 11 Char,Bullet 1 Char"/>
    <w:link w:val="ListParagraph"/>
    <w:uiPriority w:val="33"/>
    <w:rsid w:val="0041172E"/>
    <w:rPr>
      <w:rFonts w:ascii="Arial" w:eastAsia="Times New Roman" w:hAnsi="Arial" w:cs="Times New Roman"/>
      <w:bCs/>
      <w:szCs w:val="26"/>
      <w:lang w:val="en-GB"/>
    </w:rPr>
  </w:style>
  <w:style w:type="table" w:styleId="MediumGrid3-Accent1">
    <w:name w:val="Medium Grid 3 Accent 1"/>
    <w:basedOn w:val="TableNormal"/>
    <w:uiPriority w:val="69"/>
    <w:rsid w:val="0041172E"/>
    <w:pPr>
      <w:spacing w:line="240" w:lineRule="auto"/>
    </w:pPr>
    <w:rPr>
      <w:rFonts w:asciiTheme="minorHAnsi" w:hAnsiTheme="minorHAns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E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E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E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E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AFFF" w:themeFill="accent1" w:themeFillTint="7F"/>
      </w:tcPr>
    </w:tblStylePr>
  </w:style>
  <w:style w:type="character" w:styleId="FollowedHyperlink">
    <w:name w:val="FollowedHyperlink"/>
    <w:basedOn w:val="DefaultParagraphFont"/>
    <w:uiPriority w:val="99"/>
    <w:semiHidden/>
    <w:unhideWhenUsed/>
    <w:rsid w:val="00360F70"/>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dsi/2010/9780111500286/contents" TargetMode="External"/><Relationship Id="rId1" Type="http://schemas.openxmlformats.org/officeDocument/2006/relationships/hyperlink" Target="http://www.england.nhs.uk/revalidation/ro/app-sy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103668be-efa0-4b17-8a45-5bd9e7762154" xsi:nil="true"/>
    <_ip_UnifiedCompliancePolicyProperties xmlns="http://schemas.microsoft.com/sharepoint/v3" xsi:nil="true"/>
    <_Flow_SignoffStatus xmlns="103668be-efa0-4b17-8a45-5bd9e7762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84A077BA99344995270F2D0A9CC761" ma:contentTypeVersion="39" ma:contentTypeDescription="Create a new document." ma:contentTypeScope="" ma:versionID="d360faceb77d165e9ec4e3c7ba999ec9">
  <xsd:schema xmlns:xsd="http://www.w3.org/2001/XMLSchema" xmlns:xs="http://www.w3.org/2001/XMLSchema" xmlns:p="http://schemas.microsoft.com/office/2006/metadata/properties" xmlns:ns1="http://schemas.microsoft.com/sharepoint/v3" xmlns:ns2="103668be-efa0-4b17-8a45-5bd9e7762154" xmlns:ns3="4c1cb702-6ec9-47b5-adc4-a9fe51a384b1" targetNamespace="http://schemas.microsoft.com/office/2006/metadata/properties" ma:root="true" ma:fieldsID="bae16de7a953dda8c7e23473dc11a698" ns1:_="" ns2:_="" ns3:_="">
    <xsd:import namespace="http://schemas.microsoft.com/sharepoint/v3"/>
    <xsd:import namespace="103668be-efa0-4b17-8a45-5bd9e7762154"/>
    <xsd:import namespace="4c1cb702-6ec9-47b5-adc4-a9fe51a384b1"/>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68be-efa0-4b17-8a45-5bd9e7762154"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cb702-6ec9-47b5-adc4-a9fe51a38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9DAA3-6083-47C9-A787-5481B30E6F23}">
  <ds:schemaRefs>
    <ds:schemaRef ds:uri="http://schemas.microsoft.com/office/2006/metadata/properties"/>
    <ds:schemaRef ds:uri="http://schemas.microsoft.com/office/infopath/2007/PartnerControls"/>
    <ds:schemaRef ds:uri="http://schemas.microsoft.com/sharepoint/v3"/>
    <ds:schemaRef ds:uri="103668be-efa0-4b17-8a45-5bd9e7762154"/>
  </ds:schemaRefs>
</ds:datastoreItem>
</file>

<file path=customXml/itemProps2.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3.xml><?xml version="1.0" encoding="utf-8"?>
<ds:datastoreItem xmlns:ds="http://schemas.openxmlformats.org/officeDocument/2006/customXml" ds:itemID="{3037CEB6-5C7C-46A3-81BE-872F9A26CDC2}">
  <ds:schemaRefs>
    <ds:schemaRef ds:uri="http://schemas.openxmlformats.org/officeDocument/2006/bibliography"/>
  </ds:schemaRefs>
</ds:datastoreItem>
</file>

<file path=customXml/itemProps4.xml><?xml version="1.0" encoding="utf-8"?>
<ds:datastoreItem xmlns:ds="http://schemas.openxmlformats.org/officeDocument/2006/customXml" ds:itemID="{13C12AFA-B7ED-43EB-BDB6-D6DF306CF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3668be-efa0-4b17-8a45-5bd9e7762154"/>
    <ds:schemaRef ds:uri="4c1cb702-6ec9-47b5-adc4-a9fe51a38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David Smith</cp:lastModifiedBy>
  <cp:revision>5</cp:revision>
  <cp:lastPrinted>2017-03-21T18:42:00Z</cp:lastPrinted>
  <dcterms:created xsi:type="dcterms:W3CDTF">2023-03-09T09:50:00Z</dcterms:created>
  <dcterms:modified xsi:type="dcterms:W3CDTF">2023-03-09T15:13:00Z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0x010100D684A077BA99344995270F2D0A9CC761</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