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EF0A9" w14:textId="46ABE854" w:rsidR="00217422" w:rsidRPr="00217422" w:rsidRDefault="00217422" w:rsidP="00217422">
      <w:pPr>
        <w:pStyle w:val="Heading2"/>
        <w:numPr>
          <w:ilvl w:val="0"/>
          <w:numId w:val="0"/>
        </w:numPr>
        <w:ind w:left="-709"/>
        <w:jc w:val="right"/>
        <w:rPr>
          <w:rFonts w:cs="Arial"/>
          <w:b w:val="0"/>
          <w:color w:val="auto"/>
        </w:rPr>
      </w:pPr>
      <w:bookmarkStart w:id="0" w:name="_Toc444592572"/>
      <w:r w:rsidRPr="00217422">
        <w:rPr>
          <w:b w:val="0"/>
          <w:noProof/>
          <w:lang w:eastAsia="en-GB"/>
        </w:rPr>
        <w:drawing>
          <wp:inline distT="0" distB="0" distL="0" distR="0" wp14:anchorId="4BFCC0F9" wp14:editId="3A83DDDC">
            <wp:extent cx="1038225" cy="4203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744" cy="420949"/>
                    </a:xfrm>
                    <a:prstGeom prst="rect">
                      <a:avLst/>
                    </a:prstGeom>
                  </pic:spPr>
                </pic:pic>
              </a:graphicData>
            </a:graphic>
          </wp:inline>
        </w:drawing>
      </w:r>
    </w:p>
    <w:p w14:paraId="4DCAF3FE" w14:textId="5FAE69D5" w:rsidR="00CA40CD" w:rsidRDefault="00CA40CD" w:rsidP="002F5C2B">
      <w:pPr>
        <w:pStyle w:val="Heading2"/>
        <w:numPr>
          <w:ilvl w:val="0"/>
          <w:numId w:val="0"/>
        </w:numPr>
        <w:ind w:left="-709"/>
        <w:rPr>
          <w:rFonts w:cs="Arial"/>
          <w:color w:val="auto"/>
        </w:rPr>
      </w:pPr>
      <w:r w:rsidRPr="00CA40CD">
        <w:rPr>
          <w:rFonts w:cs="Arial"/>
          <w:color w:val="auto"/>
        </w:rPr>
        <w:t>201</w:t>
      </w:r>
      <w:r w:rsidR="001F421F">
        <w:rPr>
          <w:rFonts w:cs="Arial"/>
          <w:color w:val="auto"/>
        </w:rPr>
        <w:t>9</w:t>
      </w:r>
      <w:r w:rsidRPr="00CA40CD">
        <w:rPr>
          <w:rFonts w:cs="Arial"/>
          <w:color w:val="auto"/>
        </w:rPr>
        <w:t>/</w:t>
      </w:r>
      <w:r w:rsidR="003A68C0">
        <w:rPr>
          <w:rFonts w:cs="Arial"/>
          <w:color w:val="auto"/>
        </w:rPr>
        <w:t>21</w:t>
      </w:r>
      <w:r w:rsidRPr="00CA40CD">
        <w:rPr>
          <w:rFonts w:cs="Arial"/>
          <w:color w:val="auto"/>
        </w:rPr>
        <w:t xml:space="preserve"> </w:t>
      </w:r>
      <w:r w:rsidR="001F6AA3" w:rsidRPr="00CA40CD">
        <w:rPr>
          <w:rFonts w:cs="Arial"/>
          <w:color w:val="auto"/>
        </w:rPr>
        <w:t xml:space="preserve">PSS </w:t>
      </w:r>
      <w:r w:rsidRPr="00CA40CD">
        <w:rPr>
          <w:rFonts w:cs="Arial"/>
          <w:color w:val="auto"/>
        </w:rPr>
        <w:t>CQUIN Scheme</w:t>
      </w:r>
    </w:p>
    <w:p w14:paraId="7DFF2CEA" w14:textId="77777777" w:rsidR="001F421F" w:rsidRPr="001F421F" w:rsidRDefault="00792526" w:rsidP="002F5C2B">
      <w:pPr>
        <w:pStyle w:val="Heading2"/>
        <w:numPr>
          <w:ilvl w:val="0"/>
          <w:numId w:val="0"/>
        </w:numPr>
        <w:ind w:left="-709"/>
        <w:rPr>
          <w:rFonts w:cs="Arial"/>
          <w:color w:val="auto"/>
        </w:rPr>
      </w:pPr>
      <w:r>
        <w:rPr>
          <w:rFonts w:cs="Arial"/>
          <w:color w:val="auto"/>
        </w:rPr>
        <w:t>Indicator Template</w:t>
      </w:r>
    </w:p>
    <w:p w14:paraId="416AFE73" w14:textId="77777777" w:rsidR="003B2C85" w:rsidRDefault="003B2C85" w:rsidP="002F5C2B">
      <w:pPr>
        <w:pStyle w:val="Heading2"/>
        <w:numPr>
          <w:ilvl w:val="0"/>
          <w:numId w:val="0"/>
        </w:numPr>
        <w:ind w:left="-709"/>
        <w:rPr>
          <w:rFonts w:cs="Arial"/>
          <w:i/>
        </w:rPr>
      </w:pPr>
      <w:r>
        <w:rPr>
          <w:rFonts w:cs="Arial"/>
          <w:i/>
        </w:rPr>
        <w:t>[Section B to be completed before insertion in contracts.]</w:t>
      </w:r>
    </w:p>
    <w:p w14:paraId="40B05BEB" w14:textId="3A471E11" w:rsidR="00154269" w:rsidRPr="00792526" w:rsidRDefault="00D25A7C" w:rsidP="002F5C2B">
      <w:pPr>
        <w:pStyle w:val="Heading2"/>
        <w:numPr>
          <w:ilvl w:val="0"/>
          <w:numId w:val="0"/>
        </w:numPr>
        <w:ind w:left="-709"/>
        <w:rPr>
          <w:rFonts w:cs="Arial"/>
          <w:color w:val="auto"/>
        </w:rPr>
      </w:pPr>
      <w:r>
        <w:rPr>
          <w:rFonts w:cs="Arial"/>
          <w:color w:val="auto"/>
        </w:rPr>
        <w:t>PSS1</w:t>
      </w:r>
      <w:r w:rsidR="00154269" w:rsidRPr="00792526">
        <w:rPr>
          <w:rFonts w:cs="Arial"/>
          <w:color w:val="auto"/>
        </w:rPr>
        <w:t xml:space="preserve"> </w:t>
      </w:r>
      <w:bookmarkEnd w:id="0"/>
      <w:r w:rsidR="00792526">
        <w:rPr>
          <w:rFonts w:cs="Arial"/>
          <w:color w:val="auto"/>
        </w:rPr>
        <w:t>Medicines Optimisation</w:t>
      </w:r>
      <w:r w:rsidR="00A014E1">
        <w:rPr>
          <w:rFonts w:cs="Arial"/>
          <w:color w:val="auto"/>
        </w:rPr>
        <w:t xml:space="preserve"> </w:t>
      </w:r>
      <w:r w:rsidR="00A014E1" w:rsidRPr="00A014E1">
        <w:rPr>
          <w:rFonts w:cs="Arial"/>
          <w:color w:val="auto"/>
          <w:sz w:val="22"/>
        </w:rPr>
        <w:t>(v4 revised 05 J</w:t>
      </w:r>
      <w:bookmarkStart w:id="1" w:name="_GoBack"/>
      <w:bookmarkEnd w:id="1"/>
      <w:r w:rsidR="00A014E1" w:rsidRPr="00A014E1">
        <w:rPr>
          <w:rFonts w:cs="Arial"/>
          <w:color w:val="auto"/>
          <w:sz w:val="22"/>
        </w:rPr>
        <w:t>uly 2019)</w:t>
      </w:r>
    </w:p>
    <w:tbl>
      <w:tblPr>
        <w:tblStyle w:val="TableGrid"/>
        <w:tblW w:w="5975" w:type="pct"/>
        <w:tblInd w:w="-714" w:type="dxa"/>
        <w:tblLook w:val="04A0" w:firstRow="1" w:lastRow="0" w:firstColumn="1" w:lastColumn="0" w:noHBand="0" w:noVBand="1"/>
      </w:tblPr>
      <w:tblGrid>
        <w:gridCol w:w="3401"/>
        <w:gridCol w:w="78"/>
        <w:gridCol w:w="655"/>
        <w:gridCol w:w="707"/>
        <w:gridCol w:w="69"/>
        <w:gridCol w:w="5842"/>
        <w:gridCol w:w="22"/>
      </w:tblGrid>
      <w:tr w:rsidR="00154269" w:rsidRPr="000412A1" w14:paraId="599DB67F" w14:textId="77777777" w:rsidTr="003038EC">
        <w:tc>
          <w:tcPr>
            <w:tcW w:w="1579" w:type="pct"/>
            <w:shd w:val="clear" w:color="auto" w:fill="4F81BD" w:themeFill="accent1"/>
          </w:tcPr>
          <w:p w14:paraId="48C30D8E" w14:textId="77777777" w:rsidR="00154269" w:rsidRPr="000412A1" w:rsidRDefault="001F421F" w:rsidP="0084461B">
            <w:pPr>
              <w:rPr>
                <w:rFonts w:cs="Arial"/>
                <w:color w:val="FFFFFF" w:themeColor="background1"/>
                <w:szCs w:val="24"/>
              </w:rPr>
            </w:pPr>
            <w:r>
              <w:rPr>
                <w:rFonts w:cs="Arial"/>
                <w:color w:val="FFFFFF" w:themeColor="background1"/>
                <w:szCs w:val="24"/>
              </w:rPr>
              <w:t>Indicator</w:t>
            </w:r>
            <w:r w:rsidR="00154269" w:rsidRPr="000412A1">
              <w:rPr>
                <w:rFonts w:cs="Arial"/>
                <w:color w:val="FFFFFF" w:themeColor="background1"/>
                <w:szCs w:val="24"/>
              </w:rPr>
              <w:t xml:space="preserve"> Name</w:t>
            </w:r>
          </w:p>
        </w:tc>
        <w:tc>
          <w:tcPr>
            <w:tcW w:w="3421" w:type="pct"/>
            <w:gridSpan w:val="6"/>
            <w:shd w:val="clear" w:color="auto" w:fill="4F81BD" w:themeFill="accent1"/>
          </w:tcPr>
          <w:p w14:paraId="7DEBC97D" w14:textId="583F82A0" w:rsidR="00154269" w:rsidRPr="00792526" w:rsidRDefault="00792526" w:rsidP="001F421F">
            <w:pPr>
              <w:rPr>
                <w:rFonts w:cs="Arial"/>
                <w:b/>
                <w:color w:val="FFFFFF" w:themeColor="background1"/>
                <w:szCs w:val="24"/>
              </w:rPr>
            </w:pPr>
            <w:r>
              <w:rPr>
                <w:rFonts w:cs="Arial"/>
                <w:b/>
                <w:color w:val="FFFFFF" w:themeColor="background1"/>
                <w:szCs w:val="24"/>
              </w:rPr>
              <w:t>Medicines Optimisation</w:t>
            </w:r>
          </w:p>
        </w:tc>
      </w:tr>
      <w:tr w:rsidR="00326B23" w:rsidRPr="000412A1" w14:paraId="48E5D9E7" w14:textId="77777777" w:rsidTr="003038EC">
        <w:tc>
          <w:tcPr>
            <w:tcW w:w="5000" w:type="pct"/>
            <w:gridSpan w:val="7"/>
            <w:shd w:val="clear" w:color="auto" w:fill="BFBFBF" w:themeFill="background1" w:themeFillShade="BF"/>
          </w:tcPr>
          <w:p w14:paraId="126F0A2B" w14:textId="77777777" w:rsidR="00326B23" w:rsidRPr="00C042DA" w:rsidRDefault="00326B23" w:rsidP="001F421F">
            <w:pPr>
              <w:pStyle w:val="ListParagraph"/>
              <w:numPr>
                <w:ilvl w:val="0"/>
                <w:numId w:val="9"/>
              </w:numPr>
              <w:rPr>
                <w:rFonts w:cs="Arial"/>
                <w:b/>
                <w:szCs w:val="24"/>
              </w:rPr>
            </w:pPr>
            <w:r>
              <w:rPr>
                <w:rFonts w:cs="Arial"/>
                <w:b/>
                <w:szCs w:val="24"/>
              </w:rPr>
              <w:t xml:space="preserve">SUMMARY of </w:t>
            </w:r>
            <w:r w:rsidR="001F421F">
              <w:rPr>
                <w:rFonts w:cs="Arial"/>
                <w:b/>
                <w:szCs w:val="24"/>
              </w:rPr>
              <w:t>Indicator</w:t>
            </w:r>
            <w:r>
              <w:rPr>
                <w:rFonts w:cs="Arial"/>
                <w:b/>
                <w:szCs w:val="24"/>
              </w:rPr>
              <w:t xml:space="preserve"> </w:t>
            </w:r>
          </w:p>
        </w:tc>
      </w:tr>
      <w:tr w:rsidR="00023708" w:rsidRPr="000412A1" w14:paraId="408D3CAB" w14:textId="77777777" w:rsidTr="003038EC">
        <w:tc>
          <w:tcPr>
            <w:tcW w:w="1579" w:type="pct"/>
            <w:shd w:val="clear" w:color="auto" w:fill="D9D9D9" w:themeFill="background1" w:themeFillShade="D9"/>
          </w:tcPr>
          <w:p w14:paraId="34E55B4B" w14:textId="77777777" w:rsidR="00023708" w:rsidRDefault="00023708" w:rsidP="0084461B">
            <w:pPr>
              <w:rPr>
                <w:rFonts w:cs="Arial"/>
                <w:szCs w:val="24"/>
              </w:rPr>
            </w:pPr>
            <w:r>
              <w:rPr>
                <w:rFonts w:cs="Arial"/>
                <w:szCs w:val="24"/>
              </w:rPr>
              <w:t>Indicator Sponsor (with email address)</w:t>
            </w:r>
          </w:p>
        </w:tc>
        <w:tc>
          <w:tcPr>
            <w:tcW w:w="3421" w:type="pct"/>
            <w:gridSpan w:val="6"/>
          </w:tcPr>
          <w:p w14:paraId="5DEC270F" w14:textId="77777777" w:rsidR="00023708" w:rsidRPr="009731AD" w:rsidRDefault="00792526" w:rsidP="0084461B">
            <w:pPr>
              <w:rPr>
                <w:rFonts w:cs="Arial"/>
                <w:szCs w:val="24"/>
              </w:rPr>
            </w:pPr>
            <w:r w:rsidRPr="009731AD">
              <w:rPr>
                <w:rFonts w:cs="Arial"/>
                <w:szCs w:val="24"/>
              </w:rPr>
              <w:t>Suzy Heafield</w:t>
            </w:r>
            <w:r w:rsidR="00662F60" w:rsidRPr="009731AD">
              <w:rPr>
                <w:rFonts w:cs="Arial"/>
                <w:szCs w:val="24"/>
              </w:rPr>
              <w:t>/</w:t>
            </w:r>
            <w:r w:rsidR="00D43ACA" w:rsidRPr="009731AD">
              <w:rPr>
                <w:rFonts w:cs="Arial"/>
                <w:szCs w:val="24"/>
              </w:rPr>
              <w:t xml:space="preserve"> </w:t>
            </w:r>
            <w:r w:rsidR="00662F60" w:rsidRPr="009731AD">
              <w:rPr>
                <w:rFonts w:cs="Arial"/>
                <w:szCs w:val="24"/>
              </w:rPr>
              <w:t>Malcolm Qualie</w:t>
            </w:r>
          </w:p>
          <w:p w14:paraId="5E5A12B9" w14:textId="2C4CE4BF" w:rsidR="007C2F03" w:rsidRPr="00792526" w:rsidRDefault="00A014E1" w:rsidP="00B84576">
            <w:pPr>
              <w:rPr>
                <w:rFonts w:cs="Arial"/>
                <w:szCs w:val="24"/>
              </w:rPr>
            </w:pPr>
            <w:hyperlink r:id="rId9" w:history="1">
              <w:r w:rsidR="007C2F03" w:rsidRPr="00F058B5">
                <w:rPr>
                  <w:rStyle w:val="Hyperlink"/>
                  <w:rFonts w:cs="Arial"/>
                  <w:szCs w:val="24"/>
                </w:rPr>
                <w:t>suzy.heafield@nhs.net</w:t>
              </w:r>
            </w:hyperlink>
            <w:r w:rsidR="00B84576">
              <w:rPr>
                <w:rStyle w:val="Hyperlink"/>
                <w:rFonts w:cs="Arial"/>
                <w:szCs w:val="24"/>
              </w:rPr>
              <w:t xml:space="preserve">; </w:t>
            </w:r>
            <w:hyperlink r:id="rId10" w:history="1">
              <w:r w:rsidR="007C2F03" w:rsidRPr="00F058B5">
                <w:rPr>
                  <w:rStyle w:val="Hyperlink"/>
                  <w:rFonts w:cs="Arial"/>
                  <w:szCs w:val="24"/>
                </w:rPr>
                <w:t>malcolm.qualie@nhs.net</w:t>
              </w:r>
            </w:hyperlink>
          </w:p>
        </w:tc>
      </w:tr>
      <w:tr w:rsidR="00822294" w:rsidRPr="000412A1" w14:paraId="48506267" w14:textId="77777777" w:rsidTr="003038EC">
        <w:tc>
          <w:tcPr>
            <w:tcW w:w="1579" w:type="pct"/>
            <w:shd w:val="clear" w:color="auto" w:fill="D9D9D9" w:themeFill="background1" w:themeFillShade="D9"/>
          </w:tcPr>
          <w:p w14:paraId="055D3076" w14:textId="77777777" w:rsidR="00822294" w:rsidRPr="000412A1" w:rsidRDefault="003B2C85" w:rsidP="0084461B">
            <w:pPr>
              <w:rPr>
                <w:rFonts w:cs="Arial"/>
                <w:szCs w:val="24"/>
              </w:rPr>
            </w:pPr>
            <w:r>
              <w:rPr>
                <w:rFonts w:cs="Arial"/>
                <w:szCs w:val="24"/>
              </w:rPr>
              <w:t>Improving Value</w:t>
            </w:r>
            <w:r w:rsidR="00822294">
              <w:rPr>
                <w:rFonts w:cs="Arial"/>
                <w:szCs w:val="24"/>
              </w:rPr>
              <w:t xml:space="preserve"> Reference</w:t>
            </w:r>
          </w:p>
        </w:tc>
        <w:tc>
          <w:tcPr>
            <w:tcW w:w="3421" w:type="pct"/>
            <w:gridSpan w:val="6"/>
          </w:tcPr>
          <w:p w14:paraId="6318C527" w14:textId="77777777" w:rsidR="00822294" w:rsidRPr="00792526" w:rsidRDefault="00792526" w:rsidP="0084461B">
            <w:pPr>
              <w:rPr>
                <w:rFonts w:cs="Arial"/>
                <w:szCs w:val="24"/>
              </w:rPr>
            </w:pPr>
            <w:r>
              <w:rPr>
                <w:rFonts w:cs="Arial"/>
                <w:szCs w:val="24"/>
              </w:rPr>
              <w:t>N/a</w:t>
            </w:r>
          </w:p>
        </w:tc>
      </w:tr>
      <w:tr w:rsidR="00822294" w:rsidRPr="000412A1" w14:paraId="2CA55F9A" w14:textId="77777777" w:rsidTr="003038EC">
        <w:tc>
          <w:tcPr>
            <w:tcW w:w="1579" w:type="pct"/>
            <w:shd w:val="clear" w:color="auto" w:fill="D9D9D9" w:themeFill="background1" w:themeFillShade="D9"/>
          </w:tcPr>
          <w:p w14:paraId="4EDBDF36" w14:textId="77777777" w:rsidR="00822294" w:rsidRPr="000412A1" w:rsidRDefault="00822294" w:rsidP="0084461B">
            <w:pPr>
              <w:rPr>
                <w:rFonts w:cs="Arial"/>
                <w:szCs w:val="24"/>
              </w:rPr>
            </w:pPr>
            <w:r w:rsidRPr="000412A1">
              <w:rPr>
                <w:rFonts w:cs="Arial"/>
                <w:szCs w:val="24"/>
              </w:rPr>
              <w:t>Duration</w:t>
            </w:r>
          </w:p>
        </w:tc>
        <w:tc>
          <w:tcPr>
            <w:tcW w:w="3421" w:type="pct"/>
            <w:gridSpan w:val="6"/>
          </w:tcPr>
          <w:p w14:paraId="640EF3A1" w14:textId="77777777" w:rsidR="00792526" w:rsidRPr="00CA40CD" w:rsidRDefault="00D73F36" w:rsidP="00792526">
            <w:pPr>
              <w:rPr>
                <w:rFonts w:cs="Arial"/>
                <w:i/>
                <w:szCs w:val="24"/>
              </w:rPr>
            </w:pPr>
            <w:r>
              <w:rPr>
                <w:rFonts w:cs="Arial"/>
                <w:szCs w:val="24"/>
              </w:rPr>
              <w:t>Two</w:t>
            </w:r>
            <w:r w:rsidR="00822294">
              <w:rPr>
                <w:rFonts w:cs="Arial"/>
                <w:szCs w:val="24"/>
              </w:rPr>
              <w:t xml:space="preserve"> year</w:t>
            </w:r>
            <w:r>
              <w:rPr>
                <w:rFonts w:cs="Arial"/>
                <w:szCs w:val="24"/>
              </w:rPr>
              <w:t>s</w:t>
            </w:r>
            <w:r w:rsidR="003A68C0">
              <w:rPr>
                <w:rFonts w:cs="Arial"/>
                <w:szCs w:val="24"/>
              </w:rPr>
              <w:t xml:space="preserve"> (not applicable for all schemes)</w:t>
            </w:r>
          </w:p>
        </w:tc>
      </w:tr>
      <w:tr w:rsidR="00B77154" w:rsidRPr="000412A1" w14:paraId="4D1BB428" w14:textId="77777777" w:rsidTr="003038EC">
        <w:tc>
          <w:tcPr>
            <w:tcW w:w="1579" w:type="pct"/>
            <w:shd w:val="clear" w:color="auto" w:fill="D9D9D9" w:themeFill="background1" w:themeFillShade="D9"/>
          </w:tcPr>
          <w:p w14:paraId="5F5150F0" w14:textId="77777777" w:rsidR="00B77154" w:rsidRPr="000412A1" w:rsidRDefault="00B77154" w:rsidP="0084461B">
            <w:pPr>
              <w:rPr>
                <w:rFonts w:cs="Arial"/>
                <w:szCs w:val="24"/>
              </w:rPr>
            </w:pPr>
            <w:r>
              <w:rPr>
                <w:rFonts w:cs="Arial"/>
                <w:szCs w:val="24"/>
              </w:rPr>
              <w:t>CCG Complementarity</w:t>
            </w:r>
          </w:p>
        </w:tc>
        <w:tc>
          <w:tcPr>
            <w:tcW w:w="3421" w:type="pct"/>
            <w:gridSpan w:val="6"/>
          </w:tcPr>
          <w:p w14:paraId="4D9AF7A8" w14:textId="77777777" w:rsidR="00B77154" w:rsidRPr="00792526" w:rsidRDefault="00792526" w:rsidP="00792526">
            <w:pPr>
              <w:rPr>
                <w:rFonts w:cs="Arial"/>
                <w:szCs w:val="24"/>
              </w:rPr>
            </w:pPr>
            <w:r>
              <w:rPr>
                <w:rFonts w:cs="Arial"/>
                <w:szCs w:val="24"/>
              </w:rPr>
              <w:t>N/A</w:t>
            </w:r>
          </w:p>
        </w:tc>
      </w:tr>
      <w:tr w:rsidR="00C042DA" w:rsidRPr="000412A1" w14:paraId="5E279CD0" w14:textId="77777777" w:rsidTr="003038EC">
        <w:trPr>
          <w:trHeight w:val="1365"/>
        </w:trPr>
        <w:tc>
          <w:tcPr>
            <w:tcW w:w="5000" w:type="pct"/>
            <w:gridSpan w:val="7"/>
          </w:tcPr>
          <w:p w14:paraId="3ADB515A" w14:textId="28A319CF" w:rsidR="00C042DA" w:rsidRDefault="00C042DA" w:rsidP="0084461B">
            <w:pPr>
              <w:rPr>
                <w:rFonts w:cs="Arial"/>
                <w:b/>
                <w:szCs w:val="24"/>
              </w:rPr>
            </w:pPr>
            <w:r w:rsidRPr="00326B23">
              <w:rPr>
                <w:rFonts w:cs="Arial"/>
                <w:b/>
                <w:szCs w:val="24"/>
                <w:u w:val="single"/>
              </w:rPr>
              <w:t>Problem to be addressed</w:t>
            </w:r>
            <w:r w:rsidRPr="00A95BE1">
              <w:rPr>
                <w:rFonts w:cs="Arial"/>
                <w:b/>
                <w:szCs w:val="24"/>
              </w:rPr>
              <w:t>:</w:t>
            </w:r>
          </w:p>
          <w:p w14:paraId="1421D34C" w14:textId="034845A0" w:rsidR="002E5E90" w:rsidRPr="00217422" w:rsidRDefault="002E5E90" w:rsidP="0084461B">
            <w:pPr>
              <w:rPr>
                <w:rFonts w:cs="Arial"/>
                <w:i/>
                <w:color w:val="FF0000"/>
                <w:szCs w:val="24"/>
              </w:rPr>
            </w:pPr>
            <w:r w:rsidRPr="00217422">
              <w:rPr>
                <w:rFonts w:cs="Arial"/>
                <w:i/>
                <w:color w:val="FF0000"/>
                <w:szCs w:val="24"/>
              </w:rPr>
              <w:t>[Briefly characterise the shortfall in quality or efficiency that the indicator is designed to address; detailed evidence should be placed in section D1]</w:t>
            </w:r>
          </w:p>
          <w:p w14:paraId="0ACCB5FA" w14:textId="77777777" w:rsidR="00E730CA" w:rsidRDefault="00792526" w:rsidP="00792526">
            <w:pPr>
              <w:rPr>
                <w:rFonts w:cs="Arial"/>
                <w:szCs w:val="24"/>
              </w:rPr>
            </w:pPr>
            <w:r w:rsidRPr="00792526">
              <w:rPr>
                <w:rFonts w:cs="Arial"/>
                <w:szCs w:val="24"/>
              </w:rPr>
              <w:t xml:space="preserve">Optimising the use and management of medicines is a significant and realisable opportunity for the NHS. </w:t>
            </w:r>
            <w:r>
              <w:rPr>
                <w:rFonts w:cs="Arial"/>
                <w:szCs w:val="24"/>
              </w:rPr>
              <w:t xml:space="preserve">This CQUIN indicator </w:t>
            </w:r>
            <w:r w:rsidRPr="00792526">
              <w:rPr>
                <w:rFonts w:cs="Arial"/>
                <w:szCs w:val="24"/>
              </w:rPr>
              <w:t xml:space="preserve">aims to support </w:t>
            </w:r>
            <w:r>
              <w:rPr>
                <w:rFonts w:cs="Arial"/>
                <w:szCs w:val="24"/>
              </w:rPr>
              <w:t xml:space="preserve">Trusts and </w:t>
            </w:r>
            <w:r w:rsidR="00D43ACA">
              <w:rPr>
                <w:rFonts w:cs="Arial"/>
                <w:szCs w:val="24"/>
              </w:rPr>
              <w:t xml:space="preserve">Specialised </w:t>
            </w:r>
            <w:r>
              <w:rPr>
                <w:rFonts w:cs="Arial"/>
                <w:szCs w:val="24"/>
              </w:rPr>
              <w:t xml:space="preserve">Commissioners to realise </w:t>
            </w:r>
            <w:r w:rsidR="00D43ACA">
              <w:rPr>
                <w:rFonts w:cs="Arial"/>
                <w:szCs w:val="24"/>
              </w:rPr>
              <w:t xml:space="preserve">the </w:t>
            </w:r>
            <w:r>
              <w:rPr>
                <w:rFonts w:cs="Arial"/>
                <w:szCs w:val="24"/>
              </w:rPr>
              <w:t>benefit</w:t>
            </w:r>
            <w:r w:rsidR="00D43ACA">
              <w:rPr>
                <w:rFonts w:cs="Arial"/>
                <w:szCs w:val="24"/>
              </w:rPr>
              <w:t>s of this opportunity through</w:t>
            </w:r>
            <w:r>
              <w:rPr>
                <w:rFonts w:cs="Arial"/>
                <w:szCs w:val="24"/>
              </w:rPr>
              <w:t xml:space="preserve"> a series of </w:t>
            </w:r>
            <w:r w:rsidRPr="00792526">
              <w:rPr>
                <w:rFonts w:cs="Arial"/>
                <w:szCs w:val="24"/>
              </w:rPr>
              <w:t>p</w:t>
            </w:r>
            <w:r>
              <w:rPr>
                <w:rFonts w:cs="Arial"/>
                <w:szCs w:val="24"/>
              </w:rPr>
              <w:t xml:space="preserve">rocedural and cultural changes. </w:t>
            </w:r>
          </w:p>
          <w:p w14:paraId="6A6DE7D9" w14:textId="77777777" w:rsidR="00E730CA" w:rsidRPr="00793058" w:rsidRDefault="00E730CA" w:rsidP="00792526">
            <w:pPr>
              <w:rPr>
                <w:rFonts w:cs="Arial"/>
                <w:sz w:val="10"/>
                <w:szCs w:val="24"/>
              </w:rPr>
            </w:pPr>
          </w:p>
          <w:p w14:paraId="15645A3C" w14:textId="77777777" w:rsidR="00792526" w:rsidRDefault="00792526" w:rsidP="00792526">
            <w:pPr>
              <w:rPr>
                <w:rFonts w:cs="Arial"/>
                <w:szCs w:val="24"/>
              </w:rPr>
            </w:pPr>
            <w:r w:rsidRPr="00792526">
              <w:rPr>
                <w:rFonts w:cs="Arial"/>
                <w:szCs w:val="24"/>
              </w:rPr>
              <w:t xml:space="preserve">The following priority areas for implementation have been identified </w:t>
            </w:r>
            <w:r>
              <w:rPr>
                <w:rFonts w:cs="Arial"/>
                <w:szCs w:val="24"/>
              </w:rPr>
              <w:t>nationally by clinical leaders and commissioners</w:t>
            </w:r>
            <w:r w:rsidR="00C15027">
              <w:rPr>
                <w:rFonts w:cs="Arial"/>
                <w:szCs w:val="24"/>
              </w:rPr>
              <w:t xml:space="preserve">. </w:t>
            </w:r>
          </w:p>
          <w:p w14:paraId="45E66093" w14:textId="77777777" w:rsidR="001D65DE" w:rsidRDefault="00792526" w:rsidP="00792526">
            <w:pPr>
              <w:pStyle w:val="ListParagraph"/>
              <w:numPr>
                <w:ilvl w:val="0"/>
                <w:numId w:val="11"/>
              </w:numPr>
              <w:ind w:left="284" w:hanging="284"/>
              <w:rPr>
                <w:rFonts w:cs="Arial"/>
                <w:szCs w:val="24"/>
              </w:rPr>
            </w:pPr>
            <w:r w:rsidRPr="001D65DE">
              <w:rPr>
                <w:rFonts w:cs="Arial"/>
                <w:b/>
                <w:szCs w:val="24"/>
              </w:rPr>
              <w:t>Improving efficiency in the IV chemotherapy pathway from pharmacy to patient</w:t>
            </w:r>
            <w:r w:rsidR="008A4053">
              <w:rPr>
                <w:rFonts w:cs="Arial"/>
                <w:szCs w:val="24"/>
              </w:rPr>
              <w:t xml:space="preserve"> </w:t>
            </w:r>
            <w:r w:rsidR="00662F60">
              <w:rPr>
                <w:rFonts w:cs="Arial"/>
                <w:szCs w:val="24"/>
              </w:rPr>
              <w:t>–</w:t>
            </w:r>
            <w:r w:rsidR="008A4053">
              <w:rPr>
                <w:rFonts w:cs="Arial"/>
                <w:szCs w:val="24"/>
              </w:rPr>
              <w:t xml:space="preserve"> </w:t>
            </w:r>
            <w:r w:rsidR="003B2C85">
              <w:rPr>
                <w:rFonts w:cs="Arial"/>
                <w:szCs w:val="24"/>
                <w:lang w:eastAsia="en-US"/>
              </w:rPr>
              <w:t>r</w:t>
            </w:r>
            <w:r w:rsidR="00662F60">
              <w:rPr>
                <w:rFonts w:cs="Arial"/>
                <w:szCs w:val="24"/>
                <w:lang w:eastAsia="en-US"/>
              </w:rPr>
              <w:t>educ</w:t>
            </w:r>
            <w:r w:rsidR="003B2C85">
              <w:rPr>
                <w:rFonts w:cs="Arial"/>
                <w:szCs w:val="24"/>
                <w:lang w:eastAsia="en-US"/>
              </w:rPr>
              <w:t xml:space="preserve">ing </w:t>
            </w:r>
            <w:r w:rsidR="001D65DE">
              <w:rPr>
                <w:rFonts w:cs="Arial"/>
                <w:szCs w:val="24"/>
              </w:rPr>
              <w:t>chemotherapy waste.</w:t>
            </w:r>
          </w:p>
          <w:p w14:paraId="3213CAC2" w14:textId="77777777" w:rsidR="00B146CB" w:rsidRDefault="00792526" w:rsidP="00B146CB">
            <w:pPr>
              <w:pStyle w:val="ListParagraph"/>
              <w:numPr>
                <w:ilvl w:val="0"/>
                <w:numId w:val="11"/>
              </w:numPr>
              <w:ind w:left="284" w:hanging="284"/>
              <w:rPr>
                <w:rFonts w:cs="Arial"/>
                <w:szCs w:val="24"/>
              </w:rPr>
            </w:pPr>
            <w:r w:rsidRPr="008A4053">
              <w:rPr>
                <w:rFonts w:cs="Arial"/>
                <w:b/>
                <w:szCs w:val="24"/>
              </w:rPr>
              <w:t>Managed access agreement compliance</w:t>
            </w:r>
            <w:r w:rsidR="0059446D">
              <w:rPr>
                <w:rFonts w:cs="Arial"/>
                <w:b/>
                <w:szCs w:val="24"/>
              </w:rPr>
              <w:t xml:space="preserve"> </w:t>
            </w:r>
            <w:r w:rsidR="008A4053" w:rsidRPr="008A4053">
              <w:rPr>
                <w:rFonts w:cs="Arial"/>
                <w:szCs w:val="24"/>
              </w:rPr>
              <w:t xml:space="preserve">- </w:t>
            </w:r>
            <w:r w:rsidR="003B2C85">
              <w:rPr>
                <w:rFonts w:cs="Arial"/>
                <w:szCs w:val="24"/>
              </w:rPr>
              <w:t>e</w:t>
            </w:r>
            <w:r w:rsidR="001D65DE" w:rsidRPr="008A4053">
              <w:rPr>
                <w:rFonts w:cs="Arial"/>
                <w:szCs w:val="24"/>
              </w:rPr>
              <w:t>nsur</w:t>
            </w:r>
            <w:r w:rsidR="003B2C85">
              <w:rPr>
                <w:rFonts w:cs="Arial"/>
                <w:szCs w:val="24"/>
              </w:rPr>
              <w:t>ing</w:t>
            </w:r>
            <w:r w:rsidRPr="008A4053">
              <w:rPr>
                <w:rFonts w:cs="Arial"/>
                <w:szCs w:val="24"/>
              </w:rPr>
              <w:t xml:space="preserve"> data requirements</w:t>
            </w:r>
            <w:r w:rsidR="001D65DE" w:rsidRPr="008A4053">
              <w:rPr>
                <w:rFonts w:cs="Arial"/>
                <w:szCs w:val="24"/>
              </w:rPr>
              <w:t xml:space="preserve"> are met</w:t>
            </w:r>
            <w:r w:rsidR="00D43ACA">
              <w:rPr>
                <w:rFonts w:cs="Arial"/>
                <w:szCs w:val="24"/>
              </w:rPr>
              <w:t xml:space="preserve"> so that the </w:t>
            </w:r>
            <w:r w:rsidR="004B48A0">
              <w:rPr>
                <w:rFonts w:cs="Arial"/>
                <w:szCs w:val="24"/>
              </w:rPr>
              <w:t>real-life</w:t>
            </w:r>
            <w:r w:rsidR="00D43ACA">
              <w:rPr>
                <w:rFonts w:cs="Arial"/>
                <w:szCs w:val="24"/>
              </w:rPr>
              <w:t xml:space="preserve"> value of these medicines can be assessed</w:t>
            </w:r>
            <w:r w:rsidR="001D65DE" w:rsidRPr="008A4053">
              <w:rPr>
                <w:rFonts w:cs="Arial"/>
                <w:szCs w:val="24"/>
              </w:rPr>
              <w:t>.</w:t>
            </w:r>
          </w:p>
          <w:p w14:paraId="3C5648C5" w14:textId="77777777" w:rsidR="001B4BC9" w:rsidRPr="00B146CB" w:rsidRDefault="00DD114B" w:rsidP="00B146CB">
            <w:pPr>
              <w:pStyle w:val="ListParagraph"/>
              <w:numPr>
                <w:ilvl w:val="0"/>
                <w:numId w:val="11"/>
              </w:numPr>
              <w:ind w:left="284" w:hanging="284"/>
              <w:rPr>
                <w:rFonts w:cs="Arial"/>
                <w:szCs w:val="24"/>
              </w:rPr>
            </w:pPr>
            <w:r w:rsidRPr="00B146CB">
              <w:rPr>
                <w:rFonts w:cs="Arial"/>
                <w:b/>
                <w:szCs w:val="24"/>
              </w:rPr>
              <w:t xml:space="preserve">Supporting </w:t>
            </w:r>
            <w:bookmarkStart w:id="2" w:name="_Hlk532564368"/>
            <w:r w:rsidRPr="00B146CB">
              <w:rPr>
                <w:rFonts w:cs="Arial"/>
                <w:b/>
                <w:szCs w:val="24"/>
              </w:rPr>
              <w:t>national treatment</w:t>
            </w:r>
            <w:r w:rsidR="003B2C85" w:rsidRPr="00B146CB">
              <w:rPr>
                <w:rFonts w:cs="Arial"/>
                <w:b/>
                <w:szCs w:val="24"/>
              </w:rPr>
              <w:t xml:space="preserve"> criteria</w:t>
            </w:r>
            <w:bookmarkEnd w:id="2"/>
            <w:r w:rsidR="001B4BC9" w:rsidRPr="00B146CB">
              <w:rPr>
                <w:rFonts w:cs="Arial"/>
                <w:b/>
                <w:szCs w:val="24"/>
              </w:rPr>
              <w:t xml:space="preserve"> through accurate</w:t>
            </w:r>
            <w:r w:rsidR="003625A7" w:rsidRPr="00B146CB">
              <w:rPr>
                <w:rFonts w:cs="Arial"/>
                <w:b/>
                <w:szCs w:val="24"/>
              </w:rPr>
              <w:t xml:space="preserve"> </w:t>
            </w:r>
            <w:r w:rsidR="001B4BC9" w:rsidRPr="00B146CB">
              <w:rPr>
                <w:rFonts w:cs="Arial"/>
                <w:b/>
                <w:color w:val="000000"/>
                <w:szCs w:val="24"/>
              </w:rPr>
              <w:t xml:space="preserve">completion of prior approval </w:t>
            </w:r>
          </w:p>
          <w:p w14:paraId="553294AB" w14:textId="77777777" w:rsidR="00DD114B" w:rsidRPr="008A4053" w:rsidRDefault="001B4BC9" w:rsidP="001B4BC9">
            <w:pPr>
              <w:rPr>
                <w:rFonts w:cs="Arial"/>
                <w:szCs w:val="24"/>
              </w:rPr>
            </w:pPr>
            <w:r>
              <w:rPr>
                <w:rFonts w:cs="Arial"/>
                <w:b/>
                <w:color w:val="000000"/>
                <w:szCs w:val="24"/>
              </w:rPr>
              <w:t xml:space="preserve">    </w:t>
            </w:r>
            <w:r w:rsidRPr="001B4BC9">
              <w:rPr>
                <w:rFonts w:cs="Arial"/>
                <w:b/>
                <w:color w:val="000000"/>
                <w:szCs w:val="24"/>
              </w:rPr>
              <w:t>proformas</w:t>
            </w:r>
            <w:r w:rsidRPr="001B4BC9">
              <w:rPr>
                <w:rFonts w:cs="Arial"/>
                <w:color w:val="000000"/>
                <w:szCs w:val="24"/>
              </w:rPr>
              <w:t xml:space="preserve"> </w:t>
            </w:r>
            <w:r w:rsidR="003625A7">
              <w:rPr>
                <w:rFonts w:cs="Arial"/>
                <w:b/>
                <w:szCs w:val="24"/>
              </w:rPr>
              <w:t>(Blueteq)</w:t>
            </w:r>
            <w:r w:rsidR="003625A7" w:rsidRPr="008A4053">
              <w:rPr>
                <w:rFonts w:cs="Arial"/>
                <w:b/>
                <w:szCs w:val="24"/>
              </w:rPr>
              <w:t xml:space="preserve"> </w:t>
            </w:r>
            <w:r w:rsidR="00DD114B" w:rsidRPr="008A4053">
              <w:rPr>
                <w:rFonts w:cs="Arial"/>
                <w:b/>
                <w:szCs w:val="24"/>
              </w:rPr>
              <w:t xml:space="preserve">- </w:t>
            </w:r>
            <w:r w:rsidR="003B2C85">
              <w:rPr>
                <w:rFonts w:cs="Arial"/>
                <w:szCs w:val="24"/>
              </w:rPr>
              <w:t>r</w:t>
            </w:r>
            <w:r w:rsidR="00DD114B" w:rsidRPr="008A4053">
              <w:rPr>
                <w:rFonts w:cs="Arial"/>
                <w:szCs w:val="24"/>
              </w:rPr>
              <w:t>educ</w:t>
            </w:r>
            <w:r w:rsidR="003B2C85">
              <w:rPr>
                <w:rFonts w:cs="Arial"/>
                <w:szCs w:val="24"/>
              </w:rPr>
              <w:t>ing</w:t>
            </w:r>
            <w:r w:rsidR="00DD114B" w:rsidRPr="008A4053">
              <w:rPr>
                <w:rFonts w:cs="Arial"/>
                <w:szCs w:val="24"/>
              </w:rPr>
              <w:t xml:space="preserve"> unwarranted </w:t>
            </w:r>
            <w:r w:rsidR="00DD114B">
              <w:rPr>
                <w:rFonts w:cs="Arial"/>
                <w:szCs w:val="24"/>
              </w:rPr>
              <w:t xml:space="preserve">clinical </w:t>
            </w:r>
            <w:r w:rsidR="00DD114B" w:rsidRPr="008A4053">
              <w:rPr>
                <w:rFonts w:cs="Arial"/>
                <w:szCs w:val="24"/>
              </w:rPr>
              <w:t>variation</w:t>
            </w:r>
            <w:r w:rsidR="00DD114B">
              <w:rPr>
                <w:rFonts w:cs="Arial"/>
                <w:szCs w:val="24"/>
              </w:rPr>
              <w:t xml:space="preserve"> between centres</w:t>
            </w:r>
            <w:r w:rsidR="00DD114B" w:rsidRPr="008A4053">
              <w:rPr>
                <w:rFonts w:cs="Arial"/>
                <w:szCs w:val="24"/>
              </w:rPr>
              <w:t xml:space="preserve">. </w:t>
            </w:r>
          </w:p>
          <w:p w14:paraId="107E3B91" w14:textId="77777777" w:rsidR="00087952" w:rsidRDefault="00792526" w:rsidP="00087952">
            <w:pPr>
              <w:pStyle w:val="ListParagraph"/>
              <w:numPr>
                <w:ilvl w:val="0"/>
                <w:numId w:val="11"/>
              </w:numPr>
              <w:ind w:left="284" w:hanging="284"/>
              <w:rPr>
                <w:rFonts w:cs="Arial"/>
                <w:szCs w:val="24"/>
              </w:rPr>
            </w:pPr>
            <w:r w:rsidRPr="008A4053">
              <w:rPr>
                <w:rFonts w:cs="Arial"/>
                <w:b/>
                <w:szCs w:val="24"/>
              </w:rPr>
              <w:t>Faster adoption of prioritised best value medicines and treatment</w:t>
            </w:r>
            <w:r w:rsidR="008A4053" w:rsidRPr="008A4053">
              <w:rPr>
                <w:rFonts w:cs="Arial"/>
                <w:b/>
                <w:szCs w:val="24"/>
              </w:rPr>
              <w:t xml:space="preserve"> </w:t>
            </w:r>
            <w:r w:rsidR="00D43ACA">
              <w:rPr>
                <w:rFonts w:cs="Arial"/>
                <w:b/>
                <w:szCs w:val="24"/>
              </w:rPr>
              <w:t>–</w:t>
            </w:r>
            <w:r w:rsidR="008A4053" w:rsidRPr="008A4053">
              <w:rPr>
                <w:rFonts w:cs="Arial"/>
                <w:b/>
                <w:szCs w:val="24"/>
              </w:rPr>
              <w:t xml:space="preserve"> </w:t>
            </w:r>
            <w:r w:rsidR="003B2C85">
              <w:rPr>
                <w:rFonts w:cs="Arial"/>
                <w:szCs w:val="24"/>
              </w:rPr>
              <w:t>i</w:t>
            </w:r>
            <w:r w:rsidR="001D65DE" w:rsidRPr="008A4053">
              <w:rPr>
                <w:rFonts w:cs="Arial"/>
                <w:szCs w:val="24"/>
              </w:rPr>
              <w:t>mprov</w:t>
            </w:r>
            <w:r w:rsidR="003B2C85">
              <w:rPr>
                <w:rFonts w:cs="Arial"/>
                <w:szCs w:val="24"/>
              </w:rPr>
              <w:t>ing</w:t>
            </w:r>
            <w:r w:rsidR="001D65DE" w:rsidRPr="008A4053">
              <w:rPr>
                <w:rFonts w:cs="Arial"/>
                <w:szCs w:val="24"/>
              </w:rPr>
              <w:t xml:space="preserve"> the rate of adoption at a local level.</w:t>
            </w:r>
          </w:p>
          <w:p w14:paraId="55BFDC2D" w14:textId="13309A41" w:rsidR="00E537C9" w:rsidRPr="00087952" w:rsidRDefault="007C5E3A" w:rsidP="00087952">
            <w:pPr>
              <w:pStyle w:val="ListParagraph"/>
              <w:numPr>
                <w:ilvl w:val="0"/>
                <w:numId w:val="11"/>
              </w:numPr>
              <w:ind w:left="284" w:hanging="284"/>
              <w:rPr>
                <w:rFonts w:cs="Arial"/>
                <w:szCs w:val="24"/>
              </w:rPr>
            </w:pPr>
            <w:r w:rsidRPr="00087952">
              <w:rPr>
                <w:rFonts w:cs="Arial"/>
                <w:b/>
                <w:szCs w:val="24"/>
              </w:rPr>
              <w:t xml:space="preserve">Anti-Fungal Stewardship - </w:t>
            </w:r>
            <w:r w:rsidR="00E537C9" w:rsidRPr="00087952">
              <w:rPr>
                <w:rFonts w:cs="Arial"/>
                <w:szCs w:val="24"/>
                <w:lang w:val="en"/>
              </w:rPr>
              <w:t xml:space="preserve">Reduce </w:t>
            </w:r>
            <w:r w:rsidR="000D70E4">
              <w:rPr>
                <w:rFonts w:cs="Arial"/>
                <w:szCs w:val="24"/>
                <w:lang w:val="en"/>
              </w:rPr>
              <w:t xml:space="preserve">inappropriate </w:t>
            </w:r>
            <w:r w:rsidR="00E537C9" w:rsidRPr="00087952">
              <w:rPr>
                <w:rFonts w:cs="Arial"/>
                <w:szCs w:val="24"/>
                <w:lang w:val="en"/>
              </w:rPr>
              <w:t>use of anti-fungal</w:t>
            </w:r>
            <w:r w:rsidR="006F6784">
              <w:rPr>
                <w:rFonts w:cs="Arial"/>
                <w:szCs w:val="24"/>
                <w:lang w:val="en"/>
              </w:rPr>
              <w:t xml:space="preserve"> agents</w:t>
            </w:r>
            <w:r w:rsidR="00E537C9" w:rsidRPr="00087952">
              <w:rPr>
                <w:rFonts w:cs="Arial"/>
                <w:szCs w:val="24"/>
                <w:lang w:val="en"/>
              </w:rPr>
              <w:t xml:space="preserve"> and prevent the </w:t>
            </w:r>
            <w:r w:rsidR="000D70E4">
              <w:rPr>
                <w:rFonts w:cs="Arial"/>
                <w:szCs w:val="24"/>
                <w:lang w:val="en"/>
              </w:rPr>
              <w:t xml:space="preserve">development </w:t>
            </w:r>
            <w:r w:rsidR="00E537C9" w:rsidRPr="00087952">
              <w:rPr>
                <w:rFonts w:cs="Arial"/>
                <w:szCs w:val="24"/>
                <w:lang w:val="en"/>
              </w:rPr>
              <w:t>of resistance to antifungals through the development of anti-fungal stewardship teams.</w:t>
            </w:r>
          </w:p>
          <w:p w14:paraId="3C6E9486" w14:textId="77777777" w:rsidR="00087952" w:rsidRPr="00305C7E" w:rsidRDefault="00087952" w:rsidP="00087952">
            <w:pPr>
              <w:pStyle w:val="ListParagraph"/>
              <w:ind w:left="284"/>
              <w:rPr>
                <w:rFonts w:cs="Arial"/>
                <w:sz w:val="10"/>
                <w:szCs w:val="24"/>
              </w:rPr>
            </w:pPr>
          </w:p>
          <w:p w14:paraId="79449AEA" w14:textId="77777777" w:rsidR="00C15027" w:rsidRPr="00B0739E" w:rsidRDefault="00305C7E" w:rsidP="00C15027">
            <w:pPr>
              <w:rPr>
                <w:rFonts w:cs="Arial"/>
                <w:b/>
                <w:szCs w:val="24"/>
              </w:rPr>
            </w:pPr>
            <w:r w:rsidRPr="00F6396E">
              <w:rPr>
                <w:rFonts w:cs="Arial"/>
                <w:b/>
                <w:szCs w:val="24"/>
              </w:rPr>
              <w:t>Note: It is recognised that not all areas will be relevant to</w:t>
            </w:r>
            <w:r w:rsidR="00C15027" w:rsidRPr="00F6396E">
              <w:rPr>
                <w:rFonts w:cs="Arial"/>
                <w:b/>
                <w:szCs w:val="24"/>
              </w:rPr>
              <w:t xml:space="preserve"> all providers. </w:t>
            </w:r>
            <w:r w:rsidRPr="00F6396E">
              <w:rPr>
                <w:rFonts w:cs="Arial"/>
                <w:b/>
                <w:szCs w:val="24"/>
              </w:rPr>
              <w:t xml:space="preserve">It is therefore expected that these </w:t>
            </w:r>
            <w:r w:rsidR="00D048A6">
              <w:rPr>
                <w:rFonts w:cs="Arial"/>
                <w:b/>
                <w:szCs w:val="24"/>
              </w:rPr>
              <w:t>will be</w:t>
            </w:r>
            <w:r w:rsidRPr="00F6396E">
              <w:rPr>
                <w:rFonts w:cs="Arial"/>
                <w:b/>
                <w:szCs w:val="24"/>
              </w:rPr>
              <w:t xml:space="preserve"> agreed locally.</w:t>
            </w:r>
          </w:p>
          <w:p w14:paraId="57F7F2BA" w14:textId="77777777" w:rsidR="00305C7E" w:rsidRPr="00C15027" w:rsidRDefault="00305C7E" w:rsidP="00C15027">
            <w:pPr>
              <w:rPr>
                <w:rFonts w:cs="Arial"/>
                <w:szCs w:val="24"/>
              </w:rPr>
            </w:pPr>
          </w:p>
        </w:tc>
      </w:tr>
      <w:tr w:rsidR="00326B23" w:rsidRPr="000412A1" w14:paraId="39FFB391" w14:textId="77777777" w:rsidTr="003038EC">
        <w:tc>
          <w:tcPr>
            <w:tcW w:w="5000" w:type="pct"/>
            <w:gridSpan w:val="7"/>
          </w:tcPr>
          <w:p w14:paraId="30B7D033" w14:textId="393EEBC6" w:rsidR="00326B23" w:rsidRDefault="00326B23" w:rsidP="00326B23">
            <w:pPr>
              <w:rPr>
                <w:rFonts w:cs="Arial"/>
                <w:b/>
                <w:szCs w:val="24"/>
                <w:u w:val="single"/>
              </w:rPr>
            </w:pPr>
            <w:r w:rsidRPr="00326B23">
              <w:rPr>
                <w:rFonts w:cs="Arial"/>
                <w:b/>
                <w:szCs w:val="24"/>
                <w:u w:val="single"/>
              </w:rPr>
              <w:t>Change sought:</w:t>
            </w:r>
          </w:p>
          <w:p w14:paraId="3DE7F015" w14:textId="6C61CFAF" w:rsidR="00217422" w:rsidRPr="00217422" w:rsidRDefault="00217422" w:rsidP="00326B23">
            <w:pPr>
              <w:rPr>
                <w:rFonts w:cs="Arial"/>
                <w:i/>
                <w:color w:val="FF0000"/>
                <w:szCs w:val="24"/>
                <w:u w:val="single"/>
              </w:rPr>
            </w:pPr>
            <w:r w:rsidRPr="00217422">
              <w:rPr>
                <w:rFonts w:cs="Arial"/>
                <w:i/>
                <w:color w:val="FF0000"/>
                <w:szCs w:val="24"/>
                <w:u w:val="single"/>
              </w:rPr>
              <w:t>[Specify what change in behaviour is sought in general terms, with detailed specification set out in section C4.]</w:t>
            </w:r>
          </w:p>
          <w:p w14:paraId="16BAF8F1" w14:textId="77777777" w:rsidR="00792526" w:rsidRDefault="00792526" w:rsidP="00792526">
            <w:pPr>
              <w:rPr>
                <w:rFonts w:cs="Arial"/>
                <w:szCs w:val="24"/>
              </w:rPr>
            </w:pPr>
            <w:r>
              <w:rPr>
                <w:rFonts w:cs="Arial"/>
                <w:szCs w:val="24"/>
              </w:rPr>
              <w:t>The CQUIN aims to support change in the following ways:</w:t>
            </w:r>
          </w:p>
          <w:p w14:paraId="1DECE2CF" w14:textId="77777777" w:rsidR="00087952" w:rsidRPr="00087952" w:rsidRDefault="00087952" w:rsidP="00792526">
            <w:pPr>
              <w:rPr>
                <w:rFonts w:cs="Arial"/>
                <w:sz w:val="10"/>
                <w:szCs w:val="24"/>
              </w:rPr>
            </w:pPr>
          </w:p>
          <w:p w14:paraId="23C5EDF3" w14:textId="1D4BF5D8" w:rsidR="001D65DE" w:rsidRDefault="00D43ACA" w:rsidP="001D65DE">
            <w:pPr>
              <w:pStyle w:val="ListParagraph"/>
              <w:numPr>
                <w:ilvl w:val="0"/>
                <w:numId w:val="16"/>
              </w:numPr>
              <w:ind w:left="284" w:hanging="284"/>
              <w:rPr>
                <w:rFonts w:cs="Arial"/>
                <w:szCs w:val="24"/>
              </w:rPr>
            </w:pPr>
            <w:r>
              <w:rPr>
                <w:rFonts w:cs="Arial"/>
                <w:szCs w:val="24"/>
              </w:rPr>
              <w:t>A s</w:t>
            </w:r>
            <w:r w:rsidR="00792526" w:rsidRPr="001D65DE">
              <w:rPr>
                <w:rFonts w:cs="Arial"/>
                <w:szCs w:val="24"/>
              </w:rPr>
              <w:t>tandardise</w:t>
            </w:r>
            <w:r w:rsidR="008A4053">
              <w:rPr>
                <w:rFonts w:cs="Arial"/>
                <w:szCs w:val="24"/>
              </w:rPr>
              <w:t>d</w:t>
            </w:r>
            <w:r w:rsidR="00792526" w:rsidRPr="001D65DE">
              <w:rPr>
                <w:rFonts w:cs="Arial"/>
                <w:szCs w:val="24"/>
              </w:rPr>
              <w:t xml:space="preserve"> approach to</w:t>
            </w:r>
            <w:r w:rsidR="008A4053">
              <w:rPr>
                <w:rFonts w:cs="Arial"/>
                <w:szCs w:val="24"/>
              </w:rPr>
              <w:t xml:space="preserve"> monitoring of </w:t>
            </w:r>
            <w:r w:rsidR="001D65DE">
              <w:rPr>
                <w:rFonts w:cs="Arial"/>
                <w:szCs w:val="24"/>
              </w:rPr>
              <w:t xml:space="preserve">chemotherapy </w:t>
            </w:r>
            <w:r w:rsidR="00792526" w:rsidRPr="001D65DE">
              <w:rPr>
                <w:rFonts w:cs="Arial"/>
                <w:szCs w:val="24"/>
              </w:rPr>
              <w:t xml:space="preserve">waste </w:t>
            </w:r>
            <w:r w:rsidR="008A4053">
              <w:rPr>
                <w:rFonts w:cs="Arial"/>
                <w:szCs w:val="24"/>
              </w:rPr>
              <w:t>and</w:t>
            </w:r>
            <w:r w:rsidR="001D65DE">
              <w:rPr>
                <w:rFonts w:cs="Arial"/>
                <w:szCs w:val="24"/>
              </w:rPr>
              <w:t xml:space="preserve"> promoting</w:t>
            </w:r>
            <w:r w:rsidR="00792526" w:rsidRPr="001D65DE">
              <w:rPr>
                <w:rFonts w:cs="Arial"/>
                <w:szCs w:val="24"/>
              </w:rPr>
              <w:t xml:space="preserve"> schemes to minimise </w:t>
            </w:r>
            <w:r>
              <w:rPr>
                <w:rFonts w:cs="Arial"/>
                <w:szCs w:val="24"/>
              </w:rPr>
              <w:t>waste</w:t>
            </w:r>
            <w:r w:rsidR="00792526" w:rsidRPr="001D65DE">
              <w:rPr>
                <w:rFonts w:cs="Arial"/>
                <w:szCs w:val="24"/>
              </w:rPr>
              <w:t>. To</w:t>
            </w:r>
            <w:r w:rsidR="008A4053">
              <w:rPr>
                <w:rFonts w:cs="Arial"/>
                <w:szCs w:val="24"/>
              </w:rPr>
              <w:t xml:space="preserve"> </w:t>
            </w:r>
            <w:r w:rsidR="00792526" w:rsidRPr="001D65DE">
              <w:rPr>
                <w:rFonts w:cs="Arial"/>
                <w:szCs w:val="24"/>
              </w:rPr>
              <w:t xml:space="preserve">improve </w:t>
            </w:r>
            <w:r w:rsidR="00B578CF" w:rsidRPr="001D65DE">
              <w:rPr>
                <w:rFonts w:cs="Arial"/>
                <w:szCs w:val="24"/>
              </w:rPr>
              <w:t>consistency and</w:t>
            </w:r>
            <w:r w:rsidR="00792526" w:rsidRPr="001D65DE">
              <w:rPr>
                <w:rFonts w:cs="Arial"/>
                <w:szCs w:val="24"/>
              </w:rPr>
              <w:t xml:space="preserve"> embed reutilisation into </w:t>
            </w:r>
            <w:r>
              <w:rPr>
                <w:rFonts w:cs="Arial"/>
                <w:szCs w:val="24"/>
              </w:rPr>
              <w:t xml:space="preserve">standard </w:t>
            </w:r>
            <w:r w:rsidR="00792526" w:rsidRPr="001D65DE">
              <w:rPr>
                <w:rFonts w:cs="Arial"/>
                <w:szCs w:val="24"/>
              </w:rPr>
              <w:t xml:space="preserve">practice. </w:t>
            </w:r>
          </w:p>
          <w:p w14:paraId="7B465971" w14:textId="6460A01C" w:rsidR="001D65DE" w:rsidRDefault="001D65DE" w:rsidP="001D65DE">
            <w:pPr>
              <w:pStyle w:val="ListParagraph"/>
              <w:numPr>
                <w:ilvl w:val="0"/>
                <w:numId w:val="16"/>
              </w:numPr>
              <w:ind w:left="284" w:hanging="284"/>
              <w:rPr>
                <w:rFonts w:cs="Arial"/>
                <w:szCs w:val="24"/>
              </w:rPr>
            </w:pPr>
            <w:r w:rsidRPr="001D65DE">
              <w:rPr>
                <w:rFonts w:cs="Arial"/>
                <w:szCs w:val="24"/>
              </w:rPr>
              <w:t xml:space="preserve">Patients </w:t>
            </w:r>
            <w:r w:rsidR="00D43ACA">
              <w:rPr>
                <w:rFonts w:cs="Arial"/>
                <w:szCs w:val="24"/>
              </w:rPr>
              <w:t>will be</w:t>
            </w:r>
            <w:r w:rsidR="00D43ACA" w:rsidRPr="001D65DE">
              <w:rPr>
                <w:rFonts w:cs="Arial"/>
                <w:szCs w:val="24"/>
              </w:rPr>
              <w:t xml:space="preserve"> </w:t>
            </w:r>
            <w:r w:rsidR="00B578CF" w:rsidRPr="001D65DE">
              <w:rPr>
                <w:rFonts w:cs="Arial"/>
                <w:szCs w:val="24"/>
              </w:rPr>
              <w:t>reviewed,</w:t>
            </w:r>
            <w:r w:rsidR="00D43ACA">
              <w:rPr>
                <w:rFonts w:cs="Arial"/>
                <w:szCs w:val="24"/>
              </w:rPr>
              <w:t xml:space="preserve"> and data collected</w:t>
            </w:r>
            <w:r w:rsidRPr="001D65DE">
              <w:rPr>
                <w:rFonts w:cs="Arial"/>
                <w:szCs w:val="24"/>
              </w:rPr>
              <w:t xml:space="preserve"> in line with the </w:t>
            </w:r>
            <w:r w:rsidR="00D43ACA">
              <w:rPr>
                <w:rFonts w:cs="Arial"/>
                <w:szCs w:val="24"/>
              </w:rPr>
              <w:t xml:space="preserve">requirements in </w:t>
            </w:r>
            <w:r w:rsidRPr="001D65DE">
              <w:rPr>
                <w:rFonts w:cs="Arial"/>
                <w:szCs w:val="24"/>
              </w:rPr>
              <w:t>managed access agreements</w:t>
            </w:r>
            <w:r w:rsidR="0012733A">
              <w:rPr>
                <w:rFonts w:cs="Arial"/>
                <w:szCs w:val="24"/>
              </w:rPr>
              <w:t>,</w:t>
            </w:r>
            <w:r w:rsidR="0059446D">
              <w:rPr>
                <w:rFonts w:cs="Arial"/>
                <w:szCs w:val="24"/>
              </w:rPr>
              <w:t xml:space="preserve"> </w:t>
            </w:r>
            <w:r w:rsidR="0012733A">
              <w:rPr>
                <w:rFonts w:cs="Arial"/>
                <w:szCs w:val="24"/>
              </w:rPr>
              <w:t xml:space="preserve">particularly </w:t>
            </w:r>
            <w:r w:rsidR="0059446D">
              <w:rPr>
                <w:rFonts w:cs="Arial"/>
                <w:szCs w:val="24"/>
              </w:rPr>
              <w:t xml:space="preserve">for highly specialised </w:t>
            </w:r>
            <w:r w:rsidR="009B2F9C">
              <w:rPr>
                <w:rFonts w:cs="Arial"/>
                <w:szCs w:val="24"/>
              </w:rPr>
              <w:t>technologies</w:t>
            </w:r>
            <w:r w:rsidR="0012733A">
              <w:rPr>
                <w:rFonts w:cs="Arial"/>
                <w:szCs w:val="24"/>
              </w:rPr>
              <w:t>,</w:t>
            </w:r>
            <w:r w:rsidR="009B2F9C" w:rsidRPr="001D65DE">
              <w:rPr>
                <w:rFonts w:cs="Arial"/>
                <w:szCs w:val="24"/>
              </w:rPr>
              <w:t xml:space="preserve"> </w:t>
            </w:r>
            <w:r w:rsidRPr="001D65DE">
              <w:rPr>
                <w:rFonts w:cs="Arial"/>
                <w:szCs w:val="24"/>
              </w:rPr>
              <w:t>to ensure</w:t>
            </w:r>
            <w:r w:rsidR="0059446D">
              <w:rPr>
                <w:rFonts w:cs="Arial"/>
                <w:szCs w:val="24"/>
              </w:rPr>
              <w:t xml:space="preserve"> that</w:t>
            </w:r>
            <w:r w:rsidRPr="001D65DE">
              <w:rPr>
                <w:rFonts w:cs="Arial"/>
                <w:szCs w:val="24"/>
              </w:rPr>
              <w:t xml:space="preserve"> </w:t>
            </w:r>
            <w:r w:rsidR="00D43ACA">
              <w:rPr>
                <w:rFonts w:cs="Arial"/>
                <w:szCs w:val="24"/>
              </w:rPr>
              <w:t>these treatments</w:t>
            </w:r>
            <w:r w:rsidR="00D43ACA" w:rsidRPr="001D65DE">
              <w:rPr>
                <w:rFonts w:cs="Arial"/>
                <w:szCs w:val="24"/>
              </w:rPr>
              <w:t xml:space="preserve"> </w:t>
            </w:r>
            <w:r w:rsidRPr="001D65DE">
              <w:rPr>
                <w:rFonts w:cs="Arial"/>
                <w:szCs w:val="24"/>
              </w:rPr>
              <w:t>are achieving anticipated benefit</w:t>
            </w:r>
            <w:r w:rsidR="00C71A4E">
              <w:rPr>
                <w:rFonts w:cs="Arial"/>
                <w:szCs w:val="24"/>
              </w:rPr>
              <w:t>s</w:t>
            </w:r>
            <w:r w:rsidRPr="001D65DE">
              <w:rPr>
                <w:rFonts w:cs="Arial"/>
                <w:szCs w:val="24"/>
              </w:rPr>
              <w:t xml:space="preserve"> and NHS England is able t</w:t>
            </w:r>
            <w:r w:rsidR="00662F60">
              <w:rPr>
                <w:rFonts w:cs="Arial"/>
                <w:szCs w:val="24"/>
              </w:rPr>
              <w:t xml:space="preserve">o secure </w:t>
            </w:r>
            <w:r w:rsidR="0012733A">
              <w:rPr>
                <w:rFonts w:cs="Arial"/>
                <w:szCs w:val="24"/>
              </w:rPr>
              <w:t xml:space="preserve">the </w:t>
            </w:r>
            <w:r w:rsidR="00662F60">
              <w:rPr>
                <w:rFonts w:cs="Arial"/>
                <w:szCs w:val="24"/>
              </w:rPr>
              <w:t xml:space="preserve">anticipated value </w:t>
            </w:r>
            <w:r w:rsidR="008A4053">
              <w:rPr>
                <w:rFonts w:cs="Arial"/>
                <w:szCs w:val="24"/>
              </w:rPr>
              <w:t xml:space="preserve">that </w:t>
            </w:r>
            <w:r w:rsidR="00D43ACA">
              <w:rPr>
                <w:rFonts w:cs="Arial"/>
                <w:szCs w:val="24"/>
              </w:rPr>
              <w:t xml:space="preserve">has </w:t>
            </w:r>
            <w:r w:rsidR="008A4053">
              <w:rPr>
                <w:rFonts w:cs="Arial"/>
                <w:szCs w:val="24"/>
              </w:rPr>
              <w:t>been</w:t>
            </w:r>
            <w:r>
              <w:rPr>
                <w:rFonts w:cs="Arial"/>
                <w:szCs w:val="24"/>
              </w:rPr>
              <w:t xml:space="preserve"> negotiated.</w:t>
            </w:r>
            <w:r w:rsidRPr="001D65DE">
              <w:rPr>
                <w:rFonts w:cs="Arial"/>
                <w:szCs w:val="24"/>
              </w:rPr>
              <w:t xml:space="preserve"> </w:t>
            </w:r>
          </w:p>
          <w:p w14:paraId="54E23FE8" w14:textId="77777777" w:rsidR="003625A7" w:rsidRDefault="003625A7" w:rsidP="003625A7">
            <w:pPr>
              <w:pStyle w:val="ListParagraph"/>
              <w:numPr>
                <w:ilvl w:val="0"/>
                <w:numId w:val="16"/>
              </w:numPr>
              <w:ind w:left="313" w:hanging="313"/>
              <w:rPr>
                <w:rFonts w:cs="Arial"/>
                <w:szCs w:val="24"/>
              </w:rPr>
            </w:pPr>
            <w:r w:rsidRPr="003625A7">
              <w:rPr>
                <w:rFonts w:cs="Arial"/>
                <w:szCs w:val="24"/>
              </w:rPr>
              <w:lastRenderedPageBreak/>
              <w:t>Completion of prior approval forms for drugs c</w:t>
            </w:r>
            <w:r w:rsidR="001B4BC9">
              <w:rPr>
                <w:rFonts w:cs="Arial"/>
                <w:szCs w:val="24"/>
              </w:rPr>
              <w:t xml:space="preserve">ommissioned by NHS England will </w:t>
            </w:r>
            <w:r w:rsidRPr="003625A7">
              <w:rPr>
                <w:rFonts w:cs="Arial"/>
                <w:szCs w:val="24"/>
              </w:rPr>
              <w:t>be audited in a targeted approach to ensure adherence to NICE and national policies.</w:t>
            </w:r>
          </w:p>
          <w:p w14:paraId="06BA8ADD" w14:textId="77777777" w:rsidR="001D65DE" w:rsidRDefault="001D65DE" w:rsidP="003625A7">
            <w:pPr>
              <w:pStyle w:val="ListParagraph"/>
              <w:numPr>
                <w:ilvl w:val="0"/>
                <w:numId w:val="16"/>
              </w:numPr>
              <w:ind w:left="313" w:hanging="313"/>
              <w:rPr>
                <w:rFonts w:cs="Arial"/>
                <w:szCs w:val="24"/>
              </w:rPr>
            </w:pPr>
            <w:r w:rsidRPr="004716C0">
              <w:rPr>
                <w:rFonts w:cs="Arial"/>
                <w:szCs w:val="24"/>
              </w:rPr>
              <w:t xml:space="preserve">Uptake of </w:t>
            </w:r>
            <w:r w:rsidR="00D43ACA" w:rsidRPr="004716C0">
              <w:rPr>
                <w:rFonts w:cs="Arial"/>
                <w:szCs w:val="24"/>
              </w:rPr>
              <w:t xml:space="preserve">those </w:t>
            </w:r>
            <w:r w:rsidRPr="004716C0">
              <w:rPr>
                <w:rFonts w:cs="Arial"/>
                <w:szCs w:val="24"/>
              </w:rPr>
              <w:t>products</w:t>
            </w:r>
            <w:r w:rsidR="00D43ACA" w:rsidRPr="004716C0">
              <w:rPr>
                <w:rFonts w:cs="Arial"/>
                <w:szCs w:val="24"/>
              </w:rPr>
              <w:t xml:space="preserve"> deemed to deliver the best value to the NHS </w:t>
            </w:r>
            <w:r w:rsidRPr="004716C0">
              <w:rPr>
                <w:rFonts w:cs="Arial"/>
                <w:szCs w:val="24"/>
              </w:rPr>
              <w:t>as soon as they become available.</w:t>
            </w:r>
          </w:p>
          <w:p w14:paraId="3D6E031F" w14:textId="77777777" w:rsidR="00207223" w:rsidRPr="00E537C9" w:rsidRDefault="00D73F36" w:rsidP="002F5C2B">
            <w:pPr>
              <w:pStyle w:val="ListParagraph"/>
              <w:numPr>
                <w:ilvl w:val="0"/>
                <w:numId w:val="16"/>
              </w:numPr>
              <w:ind w:left="313" w:hanging="313"/>
              <w:rPr>
                <w:rFonts w:cs="Arial"/>
                <w:szCs w:val="24"/>
                <w:u w:val="single"/>
              </w:rPr>
            </w:pPr>
            <w:r w:rsidRPr="00E537C9">
              <w:rPr>
                <w:rFonts w:cs="Arial"/>
                <w:szCs w:val="24"/>
              </w:rPr>
              <w:t>Reduce inappropriate anti-fungal use, improved patient outcomes and limit the emergence of resistance.</w:t>
            </w:r>
          </w:p>
          <w:p w14:paraId="407A9700" w14:textId="77777777" w:rsidR="00E93A29" w:rsidRPr="00326B23" w:rsidRDefault="00E93A29" w:rsidP="00E537C9">
            <w:pPr>
              <w:pStyle w:val="ListParagraph"/>
              <w:ind w:left="313"/>
              <w:rPr>
                <w:rFonts w:cs="Arial"/>
                <w:b/>
                <w:szCs w:val="24"/>
                <w:u w:val="single"/>
              </w:rPr>
            </w:pPr>
          </w:p>
        </w:tc>
      </w:tr>
      <w:tr w:rsidR="00822294" w:rsidRPr="000412A1" w14:paraId="74D83C8A" w14:textId="77777777" w:rsidTr="003038EC">
        <w:tc>
          <w:tcPr>
            <w:tcW w:w="5000" w:type="pct"/>
            <w:gridSpan w:val="7"/>
            <w:shd w:val="clear" w:color="auto" w:fill="FFC000"/>
          </w:tcPr>
          <w:p w14:paraId="21988FFA" w14:textId="77777777" w:rsidR="00822294" w:rsidRPr="00C042DA" w:rsidRDefault="00822294" w:rsidP="00F506AC">
            <w:pPr>
              <w:pStyle w:val="ListParagraph"/>
              <w:numPr>
                <w:ilvl w:val="0"/>
                <w:numId w:val="9"/>
              </w:numPr>
              <w:rPr>
                <w:rFonts w:cs="Arial"/>
                <w:i/>
                <w:szCs w:val="24"/>
              </w:rPr>
            </w:pPr>
            <w:r w:rsidRPr="00C042DA">
              <w:rPr>
                <w:rFonts w:cs="Arial"/>
                <w:b/>
                <w:szCs w:val="24"/>
              </w:rPr>
              <w:lastRenderedPageBreak/>
              <w:t>CONTRACT SPECIFIC INFORMATION</w:t>
            </w:r>
            <w:r w:rsidRPr="00C042DA">
              <w:rPr>
                <w:rFonts w:cs="Arial"/>
                <w:i/>
                <w:szCs w:val="24"/>
              </w:rPr>
              <w:t xml:space="preserve"> (for</w:t>
            </w:r>
            <w:r w:rsidR="00F506AC">
              <w:rPr>
                <w:rFonts w:cs="Arial"/>
                <w:i/>
                <w:szCs w:val="24"/>
              </w:rPr>
              <w:t xml:space="preserve"> completion locally, using </w:t>
            </w:r>
            <w:r w:rsidR="00970BD6">
              <w:rPr>
                <w:rFonts w:cs="Arial"/>
                <w:i/>
                <w:szCs w:val="24"/>
              </w:rPr>
              <w:t xml:space="preserve">guidance in </w:t>
            </w:r>
            <w:r w:rsidRPr="00C042DA">
              <w:rPr>
                <w:rFonts w:cs="Arial"/>
                <w:i/>
                <w:szCs w:val="24"/>
              </w:rPr>
              <w:t>sections C below)</w:t>
            </w:r>
          </w:p>
        </w:tc>
      </w:tr>
      <w:tr w:rsidR="004B2DC0" w:rsidRPr="000412A1" w14:paraId="0A3EB283" w14:textId="77777777" w:rsidTr="003038EC">
        <w:tc>
          <w:tcPr>
            <w:tcW w:w="1579" w:type="pct"/>
            <w:shd w:val="clear" w:color="auto" w:fill="D9D9D9" w:themeFill="background1" w:themeFillShade="D9"/>
          </w:tcPr>
          <w:p w14:paraId="2697685B" w14:textId="77777777" w:rsidR="004B2DC0" w:rsidRDefault="00970BD6" w:rsidP="00E81AE2">
            <w:pPr>
              <w:rPr>
                <w:rFonts w:cs="Arial"/>
                <w:szCs w:val="24"/>
              </w:rPr>
            </w:pPr>
            <w:r w:rsidRPr="00D95C75">
              <w:rPr>
                <w:rFonts w:cs="Arial"/>
                <w:b/>
                <w:szCs w:val="24"/>
                <w:u w:val="single"/>
              </w:rPr>
              <w:t>B</w:t>
            </w:r>
            <w:r w:rsidR="00511229" w:rsidRPr="00D95C75">
              <w:rPr>
                <w:rFonts w:cs="Arial"/>
                <w:b/>
                <w:szCs w:val="24"/>
                <w:u w:val="single"/>
              </w:rPr>
              <w:t>1. Provider</w:t>
            </w:r>
            <w:r w:rsidR="004B2DC0">
              <w:rPr>
                <w:rFonts w:cs="Arial"/>
                <w:szCs w:val="24"/>
              </w:rPr>
              <w:t xml:space="preserve"> (see Section </w:t>
            </w:r>
            <w:r w:rsidR="00E81AE2">
              <w:rPr>
                <w:rFonts w:cs="Arial"/>
                <w:szCs w:val="24"/>
              </w:rPr>
              <w:t>C1</w:t>
            </w:r>
            <w:r w:rsidR="00822294">
              <w:rPr>
                <w:rFonts w:cs="Arial"/>
                <w:szCs w:val="24"/>
              </w:rPr>
              <w:t xml:space="preserve"> </w:t>
            </w:r>
            <w:r w:rsidR="004B2DC0">
              <w:rPr>
                <w:rFonts w:cs="Arial"/>
                <w:szCs w:val="24"/>
              </w:rPr>
              <w:t>for applicability rules)</w:t>
            </w:r>
          </w:p>
        </w:tc>
        <w:tc>
          <w:tcPr>
            <w:tcW w:w="3421" w:type="pct"/>
            <w:gridSpan w:val="6"/>
            <w:shd w:val="clear" w:color="auto" w:fill="FFFF00"/>
          </w:tcPr>
          <w:p w14:paraId="198B2608" w14:textId="77777777" w:rsidR="004B2DC0" w:rsidRPr="004B2DC0" w:rsidRDefault="00F506AC" w:rsidP="00F506AC">
            <w:pPr>
              <w:rPr>
                <w:rFonts w:cs="Arial"/>
                <w:i/>
                <w:szCs w:val="24"/>
              </w:rPr>
            </w:pPr>
            <w:r w:rsidRPr="004E377A">
              <w:rPr>
                <w:rFonts w:cs="Arial"/>
                <w:i/>
                <w:color w:val="FF0000"/>
                <w:szCs w:val="24"/>
              </w:rPr>
              <w:t>[</w:t>
            </w:r>
            <w:r w:rsidR="004B2DC0" w:rsidRPr="004E377A">
              <w:rPr>
                <w:rFonts w:cs="Arial"/>
                <w:i/>
                <w:color w:val="FF0000"/>
                <w:szCs w:val="24"/>
              </w:rPr>
              <w:t xml:space="preserve">Insert name of </w:t>
            </w:r>
            <w:r w:rsidR="00511229" w:rsidRPr="004E377A">
              <w:rPr>
                <w:rFonts w:cs="Arial"/>
                <w:i/>
                <w:color w:val="FF0000"/>
                <w:szCs w:val="24"/>
              </w:rPr>
              <w:t>provider]</w:t>
            </w:r>
          </w:p>
        </w:tc>
      </w:tr>
      <w:tr w:rsidR="001350E0" w:rsidRPr="000412A1" w14:paraId="75C70804" w14:textId="77777777" w:rsidTr="003038EC">
        <w:tc>
          <w:tcPr>
            <w:tcW w:w="1579" w:type="pct"/>
            <w:shd w:val="clear" w:color="auto" w:fill="D9D9D9" w:themeFill="background1" w:themeFillShade="D9"/>
          </w:tcPr>
          <w:p w14:paraId="22530882" w14:textId="77777777" w:rsidR="00C00C64" w:rsidRDefault="00C00C64" w:rsidP="00C00C64">
            <w:pPr>
              <w:rPr>
                <w:rFonts w:cs="Arial"/>
                <w:b/>
                <w:szCs w:val="24"/>
                <w:u w:val="single"/>
              </w:rPr>
            </w:pPr>
            <w:r>
              <w:rPr>
                <w:rFonts w:cs="Arial"/>
                <w:b/>
                <w:szCs w:val="24"/>
                <w:u w:val="single"/>
              </w:rPr>
              <w:t xml:space="preserve">B2. Provider Specific </w:t>
            </w:r>
            <w:r w:rsidR="00F506AC">
              <w:rPr>
                <w:rFonts w:cs="Arial"/>
                <w:b/>
                <w:szCs w:val="24"/>
                <w:u w:val="single"/>
              </w:rPr>
              <w:t>Duration</w:t>
            </w:r>
            <w:r>
              <w:rPr>
                <w:rFonts w:cs="Arial"/>
                <w:b/>
                <w:szCs w:val="24"/>
                <w:u w:val="single"/>
              </w:rPr>
              <w:t xml:space="preserve">. </w:t>
            </w:r>
          </w:p>
          <w:p w14:paraId="667A308D" w14:textId="77777777" w:rsidR="001350E0" w:rsidRPr="00D95C75" w:rsidRDefault="00C00C64" w:rsidP="002F5C2B">
            <w:pPr>
              <w:rPr>
                <w:rFonts w:cs="Arial"/>
                <w:b/>
                <w:szCs w:val="24"/>
                <w:u w:val="single"/>
              </w:rPr>
            </w:pPr>
            <w:r>
              <w:rPr>
                <w:rFonts w:cs="Arial"/>
                <w:szCs w:val="24"/>
              </w:rPr>
              <w:t xml:space="preserve">What will be the first Year of </w:t>
            </w:r>
            <w:r w:rsidR="001F421F">
              <w:rPr>
                <w:rFonts w:cs="Arial"/>
                <w:szCs w:val="24"/>
              </w:rPr>
              <w:t>Indicator</w:t>
            </w:r>
            <w:r>
              <w:rPr>
                <w:rFonts w:cs="Arial"/>
                <w:szCs w:val="24"/>
              </w:rPr>
              <w:t xml:space="preserve"> for this provider, and how many years are covered by this contract?</w:t>
            </w:r>
            <w:r>
              <w:rPr>
                <w:rFonts w:cs="Arial"/>
                <w:b/>
                <w:szCs w:val="24"/>
                <w:u w:val="single"/>
              </w:rPr>
              <w:t xml:space="preserve"> </w:t>
            </w:r>
          </w:p>
        </w:tc>
        <w:tc>
          <w:tcPr>
            <w:tcW w:w="3421" w:type="pct"/>
            <w:gridSpan w:val="6"/>
            <w:shd w:val="clear" w:color="auto" w:fill="FFFF00"/>
          </w:tcPr>
          <w:p w14:paraId="78A57C71" w14:textId="5867DE2B" w:rsidR="001350E0" w:rsidRDefault="00822294" w:rsidP="00822294">
            <w:pPr>
              <w:rPr>
                <w:rFonts w:cs="Arial"/>
                <w:i/>
                <w:color w:val="FF0000"/>
                <w:szCs w:val="24"/>
              </w:rPr>
            </w:pPr>
            <w:r>
              <w:rPr>
                <w:rFonts w:cs="Arial"/>
                <w:szCs w:val="24"/>
              </w:rPr>
              <w:t>201</w:t>
            </w:r>
            <w:r w:rsidR="00F506AC">
              <w:rPr>
                <w:rFonts w:cs="Arial"/>
                <w:szCs w:val="24"/>
              </w:rPr>
              <w:t>9/20 2020/21</w:t>
            </w:r>
            <w:r w:rsidR="001350E0">
              <w:rPr>
                <w:rFonts w:cs="Arial"/>
                <w:szCs w:val="24"/>
              </w:rPr>
              <w:t xml:space="preserve"> </w:t>
            </w:r>
            <w:r w:rsidR="00217422" w:rsidRPr="001459A2">
              <w:rPr>
                <w:rFonts w:cs="Arial"/>
                <w:i/>
                <w:color w:val="FF0000"/>
                <w:szCs w:val="24"/>
              </w:rPr>
              <w:t xml:space="preserve">[Adjust </w:t>
            </w:r>
            <w:r w:rsidR="00217422" w:rsidRPr="001350E0">
              <w:rPr>
                <w:rFonts w:cs="Arial"/>
                <w:i/>
                <w:color w:val="FF0000"/>
                <w:szCs w:val="24"/>
              </w:rPr>
              <w:t>locally</w:t>
            </w:r>
            <w:r w:rsidR="00217422">
              <w:rPr>
                <w:rFonts w:cs="Arial"/>
                <w:i/>
                <w:color w:val="FF0000"/>
                <w:szCs w:val="24"/>
              </w:rPr>
              <w:t>]</w:t>
            </w:r>
          </w:p>
          <w:p w14:paraId="50806338" w14:textId="5ED2250F" w:rsidR="00C00C64" w:rsidRDefault="00970BD6" w:rsidP="00822294">
            <w:pPr>
              <w:rPr>
                <w:rFonts w:cs="Arial"/>
                <w:i/>
                <w:color w:val="FF0000"/>
                <w:szCs w:val="24"/>
              </w:rPr>
            </w:pPr>
            <w:r w:rsidRPr="00970BD6">
              <w:rPr>
                <w:rFonts w:cs="Arial"/>
                <w:szCs w:val="24"/>
              </w:rPr>
              <w:t>One/two</w:t>
            </w:r>
            <w:r w:rsidRPr="00970BD6">
              <w:rPr>
                <w:rFonts w:cs="Arial"/>
                <w:i/>
                <w:szCs w:val="24"/>
              </w:rPr>
              <w:t xml:space="preserve"> </w:t>
            </w:r>
            <w:r w:rsidR="00D95C75" w:rsidRPr="00D95C75">
              <w:rPr>
                <w:rFonts w:cs="Arial"/>
                <w:szCs w:val="24"/>
              </w:rPr>
              <w:t>years</w:t>
            </w:r>
            <w:r>
              <w:rPr>
                <w:rFonts w:cs="Arial"/>
                <w:i/>
                <w:color w:val="FF0000"/>
                <w:szCs w:val="24"/>
              </w:rPr>
              <w:t xml:space="preserve"> </w:t>
            </w:r>
            <w:r w:rsidR="00217422" w:rsidRPr="001459A2">
              <w:rPr>
                <w:rFonts w:cs="Arial"/>
                <w:i/>
                <w:color w:val="FF0000"/>
                <w:szCs w:val="24"/>
              </w:rPr>
              <w:t xml:space="preserve">[Adjust </w:t>
            </w:r>
            <w:r w:rsidR="00217422" w:rsidRPr="001350E0">
              <w:rPr>
                <w:rFonts w:cs="Arial"/>
                <w:i/>
                <w:color w:val="FF0000"/>
                <w:szCs w:val="24"/>
              </w:rPr>
              <w:t>locally</w:t>
            </w:r>
            <w:r w:rsidR="00217422">
              <w:rPr>
                <w:rFonts w:cs="Arial"/>
                <w:i/>
                <w:color w:val="FF0000"/>
                <w:szCs w:val="24"/>
              </w:rPr>
              <w:t>]</w:t>
            </w:r>
          </w:p>
          <w:p w14:paraId="686B41C5" w14:textId="77777777" w:rsidR="00C00C64" w:rsidRPr="000412A1" w:rsidRDefault="00C00C64" w:rsidP="00822294">
            <w:pPr>
              <w:rPr>
                <w:rFonts w:cs="Arial"/>
                <w:szCs w:val="24"/>
              </w:rPr>
            </w:pPr>
          </w:p>
        </w:tc>
      </w:tr>
      <w:tr w:rsidR="00154269" w:rsidRPr="000412A1" w14:paraId="461D3DE1" w14:textId="77777777" w:rsidTr="003038EC">
        <w:tc>
          <w:tcPr>
            <w:tcW w:w="1579" w:type="pct"/>
            <w:shd w:val="clear" w:color="auto" w:fill="D9D9D9" w:themeFill="background1" w:themeFillShade="D9"/>
          </w:tcPr>
          <w:p w14:paraId="6F8B7F68" w14:textId="77777777" w:rsidR="00154269" w:rsidRPr="000412A1" w:rsidRDefault="00970BD6" w:rsidP="00326B23">
            <w:pPr>
              <w:rPr>
                <w:rFonts w:cs="Arial"/>
                <w:szCs w:val="24"/>
                <w:u w:val="single"/>
              </w:rPr>
            </w:pPr>
            <w:r w:rsidRPr="00D95C75">
              <w:rPr>
                <w:rFonts w:cs="Arial"/>
                <w:b/>
                <w:szCs w:val="24"/>
                <w:u w:val="single"/>
              </w:rPr>
              <w:t>B</w:t>
            </w:r>
            <w:r w:rsidR="00511229" w:rsidRPr="00D95C75">
              <w:rPr>
                <w:rFonts w:cs="Arial"/>
                <w:b/>
                <w:szCs w:val="24"/>
                <w:u w:val="single"/>
              </w:rPr>
              <w:t>3.</w:t>
            </w:r>
            <w:r w:rsidR="00511229">
              <w:rPr>
                <w:rFonts w:cs="Arial"/>
                <w:b/>
                <w:szCs w:val="24"/>
                <w:u w:val="single"/>
              </w:rPr>
              <w:t xml:space="preserve"> Indicator</w:t>
            </w:r>
            <w:r w:rsidR="00154269" w:rsidRPr="00D95C75">
              <w:rPr>
                <w:rFonts w:cs="Arial"/>
                <w:b/>
                <w:szCs w:val="24"/>
                <w:u w:val="single"/>
              </w:rPr>
              <w:t xml:space="preserve"> </w:t>
            </w:r>
            <w:r w:rsidR="00CA40CD" w:rsidRPr="00D95C75">
              <w:rPr>
                <w:rFonts w:cs="Arial"/>
                <w:b/>
                <w:szCs w:val="24"/>
                <w:u w:val="single"/>
              </w:rPr>
              <w:t xml:space="preserve">Target </w:t>
            </w:r>
            <w:r w:rsidR="00154269" w:rsidRPr="00D95C75">
              <w:rPr>
                <w:rFonts w:cs="Arial"/>
                <w:b/>
                <w:szCs w:val="24"/>
                <w:u w:val="single"/>
              </w:rPr>
              <w:t>Payment</w:t>
            </w:r>
            <w:r w:rsidR="00154269" w:rsidRPr="000412A1">
              <w:rPr>
                <w:rFonts w:cs="Arial"/>
                <w:szCs w:val="24"/>
              </w:rPr>
              <w:t xml:space="preserve"> </w:t>
            </w:r>
            <w:r w:rsidR="003759F0">
              <w:rPr>
                <w:rFonts w:cs="Arial"/>
                <w:szCs w:val="24"/>
              </w:rPr>
              <w:t xml:space="preserve">(see Section </w:t>
            </w:r>
            <w:r w:rsidR="00326B23">
              <w:rPr>
                <w:rFonts w:cs="Arial"/>
                <w:szCs w:val="24"/>
              </w:rPr>
              <w:t>C</w:t>
            </w:r>
            <w:r>
              <w:rPr>
                <w:rFonts w:cs="Arial"/>
                <w:szCs w:val="24"/>
              </w:rPr>
              <w:t>3</w:t>
            </w:r>
            <w:r w:rsidR="003759F0">
              <w:rPr>
                <w:rFonts w:cs="Arial"/>
                <w:szCs w:val="24"/>
              </w:rPr>
              <w:t xml:space="preserve"> for rules to determine target payment)</w:t>
            </w:r>
          </w:p>
        </w:tc>
        <w:tc>
          <w:tcPr>
            <w:tcW w:w="3421" w:type="pct"/>
            <w:gridSpan w:val="6"/>
            <w:shd w:val="clear" w:color="auto" w:fill="FFFF00"/>
          </w:tcPr>
          <w:p w14:paraId="55A39FA8" w14:textId="77777777" w:rsidR="00CA40CD" w:rsidRDefault="00CA40CD" w:rsidP="0084461B">
            <w:pPr>
              <w:rPr>
                <w:rFonts w:cs="Arial"/>
                <w:szCs w:val="24"/>
              </w:rPr>
            </w:pPr>
            <w:r>
              <w:rPr>
                <w:rFonts w:cs="Arial"/>
                <w:szCs w:val="24"/>
              </w:rPr>
              <w:t xml:space="preserve">Full compliance with this </w:t>
            </w:r>
            <w:r w:rsidR="00154269" w:rsidRPr="000412A1">
              <w:rPr>
                <w:rFonts w:cs="Arial"/>
                <w:szCs w:val="24"/>
              </w:rPr>
              <w:t xml:space="preserve">CQUIN </w:t>
            </w:r>
            <w:r w:rsidR="001F421F">
              <w:rPr>
                <w:rFonts w:cs="Arial"/>
                <w:szCs w:val="24"/>
              </w:rPr>
              <w:t>indicator</w:t>
            </w:r>
            <w:r>
              <w:rPr>
                <w:rFonts w:cs="Arial"/>
                <w:szCs w:val="24"/>
              </w:rPr>
              <w:t xml:space="preserve"> </w:t>
            </w:r>
            <w:r w:rsidR="00154269" w:rsidRPr="000412A1">
              <w:rPr>
                <w:rFonts w:cs="Arial"/>
                <w:szCs w:val="24"/>
              </w:rPr>
              <w:t>should achieve payment of</w:t>
            </w:r>
            <w:r w:rsidR="00970BD6">
              <w:rPr>
                <w:rFonts w:cs="Arial"/>
                <w:szCs w:val="24"/>
              </w:rPr>
              <w:t>:</w:t>
            </w:r>
            <w:r w:rsidR="00154269" w:rsidRPr="000412A1">
              <w:rPr>
                <w:rFonts w:cs="Arial"/>
                <w:szCs w:val="24"/>
              </w:rPr>
              <w:t xml:space="preserve"> </w:t>
            </w:r>
          </w:p>
          <w:p w14:paraId="0130D903" w14:textId="77777777" w:rsidR="00154269" w:rsidRPr="000412A1" w:rsidRDefault="00154269" w:rsidP="0084461B">
            <w:pPr>
              <w:keepNext/>
              <w:rPr>
                <w:rFonts w:cs="Arial"/>
                <w:color w:val="000000"/>
                <w:szCs w:val="24"/>
              </w:rPr>
            </w:pPr>
            <w:r w:rsidRPr="000412A1">
              <w:rPr>
                <w:rFonts w:cs="Arial"/>
                <w:color w:val="000000"/>
                <w:szCs w:val="24"/>
              </w:rPr>
              <w:t>Target Value</w:t>
            </w:r>
            <w:r w:rsidR="00511229" w:rsidRPr="000412A1">
              <w:rPr>
                <w:rFonts w:cs="Arial"/>
                <w:szCs w:val="24"/>
              </w:rPr>
              <w:t>: [</w:t>
            </w:r>
            <w:r w:rsidRPr="003759F0">
              <w:rPr>
                <w:rFonts w:cs="Arial"/>
                <w:i/>
                <w:color w:val="FF0000"/>
                <w:szCs w:val="24"/>
              </w:rPr>
              <w:t>Add locally</w:t>
            </w:r>
            <w:r w:rsidR="003759F0" w:rsidRPr="003759F0">
              <w:rPr>
                <w:rFonts w:cs="Arial"/>
                <w:i/>
                <w:color w:val="FF0000"/>
                <w:szCs w:val="24"/>
              </w:rPr>
              <w:t xml:space="preserve"> ££s]</w:t>
            </w:r>
          </w:p>
          <w:p w14:paraId="4A01E78F" w14:textId="77777777" w:rsidR="000E33C9" w:rsidRPr="00EE0EE9" w:rsidRDefault="000E33C9" w:rsidP="003759F0">
            <w:pPr>
              <w:keepNext/>
              <w:rPr>
                <w:rFonts w:cs="Arial"/>
                <w:color w:val="FF0000"/>
                <w:szCs w:val="24"/>
              </w:rPr>
            </w:pPr>
          </w:p>
        </w:tc>
      </w:tr>
      <w:tr w:rsidR="00D54163" w:rsidRPr="000412A1" w14:paraId="006DCBB9" w14:textId="77777777" w:rsidTr="003038EC">
        <w:tc>
          <w:tcPr>
            <w:tcW w:w="5000" w:type="pct"/>
            <w:gridSpan w:val="7"/>
            <w:shd w:val="clear" w:color="auto" w:fill="FFFF00"/>
          </w:tcPr>
          <w:p w14:paraId="6ADBB960" w14:textId="77777777" w:rsidR="00D54163" w:rsidRPr="00D95C75" w:rsidRDefault="00D54163" w:rsidP="0084461B">
            <w:pPr>
              <w:rPr>
                <w:rFonts w:cs="Arial"/>
                <w:b/>
                <w:szCs w:val="24"/>
                <w:u w:val="single"/>
              </w:rPr>
            </w:pPr>
            <w:r w:rsidRPr="00D95C75">
              <w:rPr>
                <w:rFonts w:cs="Arial"/>
                <w:b/>
                <w:szCs w:val="24"/>
                <w:u w:val="single"/>
              </w:rPr>
              <w:t>B4. Payment Triggers.</w:t>
            </w:r>
          </w:p>
          <w:p w14:paraId="0A639383" w14:textId="77777777" w:rsidR="00650494" w:rsidRDefault="00EC3C9D" w:rsidP="0084461B">
            <w:pPr>
              <w:rPr>
                <w:rFonts w:cs="Arial"/>
                <w:szCs w:val="24"/>
              </w:rPr>
            </w:pPr>
            <w:r>
              <w:rPr>
                <w:rFonts w:cs="Arial"/>
                <w:szCs w:val="24"/>
              </w:rPr>
              <w:t xml:space="preserve">The </w:t>
            </w:r>
            <w:r w:rsidR="003A0C63">
              <w:rPr>
                <w:rFonts w:cs="Arial"/>
                <w:szCs w:val="24"/>
              </w:rPr>
              <w:t>t</w:t>
            </w:r>
            <w:r w:rsidR="00650494">
              <w:rPr>
                <w:rFonts w:cs="Arial"/>
                <w:szCs w:val="24"/>
              </w:rPr>
              <w:t>riggers</w:t>
            </w:r>
            <w:r>
              <w:rPr>
                <w:rFonts w:cs="Arial"/>
                <w:szCs w:val="24"/>
              </w:rPr>
              <w:t xml:space="preserve">, and the proportion of the target payment that each trigger determines, and any partial payment rules, for each year of the </w:t>
            </w:r>
            <w:r w:rsidR="001F421F">
              <w:rPr>
                <w:rFonts w:cs="Arial"/>
                <w:szCs w:val="24"/>
              </w:rPr>
              <w:t>indicator</w:t>
            </w:r>
            <w:r w:rsidR="003A0C63">
              <w:rPr>
                <w:rFonts w:cs="Arial"/>
                <w:szCs w:val="24"/>
              </w:rPr>
              <w:t>,</w:t>
            </w:r>
            <w:r>
              <w:rPr>
                <w:rFonts w:cs="Arial"/>
                <w:szCs w:val="24"/>
              </w:rPr>
              <w:t xml:space="preserve"> are set out in Section C4.</w:t>
            </w:r>
          </w:p>
          <w:p w14:paraId="291EB0FA" w14:textId="77777777" w:rsidR="00EC3C9D" w:rsidRPr="002F5C2B" w:rsidRDefault="00EC3C9D" w:rsidP="0084461B">
            <w:pPr>
              <w:rPr>
                <w:rFonts w:cs="Arial"/>
                <w:sz w:val="10"/>
                <w:szCs w:val="24"/>
              </w:rPr>
            </w:pPr>
          </w:p>
          <w:p w14:paraId="19783CFE" w14:textId="77777777" w:rsidR="00EC3C9D" w:rsidRDefault="00EC3C9D" w:rsidP="0084461B">
            <w:pPr>
              <w:rPr>
                <w:rFonts w:cs="Arial"/>
                <w:szCs w:val="24"/>
              </w:rPr>
            </w:pPr>
            <w:r>
              <w:rPr>
                <w:rFonts w:cs="Arial"/>
                <w:szCs w:val="24"/>
              </w:rPr>
              <w:t xml:space="preserve">Relevant provider-specific </w:t>
            </w:r>
            <w:r w:rsidR="00F506AC">
              <w:rPr>
                <w:rFonts w:cs="Arial"/>
                <w:szCs w:val="24"/>
              </w:rPr>
              <w:t>variation, if any,</w:t>
            </w:r>
            <w:r>
              <w:rPr>
                <w:rFonts w:cs="Arial"/>
                <w:szCs w:val="24"/>
              </w:rPr>
              <w:t xml:space="preserve"> is set out in this table.</w:t>
            </w:r>
          </w:p>
          <w:p w14:paraId="34C88B68" w14:textId="77777777" w:rsidR="00650494" w:rsidRPr="00C60578" w:rsidRDefault="00C60578" w:rsidP="0084461B">
            <w:pPr>
              <w:rPr>
                <w:rFonts w:cs="Arial"/>
                <w:b/>
                <w:i/>
                <w:szCs w:val="24"/>
              </w:rPr>
            </w:pPr>
            <w:r w:rsidRPr="003A0C63">
              <w:rPr>
                <w:rFonts w:cs="Arial"/>
                <w:i/>
                <w:color w:val="FF0000"/>
                <w:szCs w:val="24"/>
              </w:rPr>
              <w:t xml:space="preserve">[Adjust table as required for this </w:t>
            </w:r>
            <w:r w:rsidR="001F421F" w:rsidRPr="003A0C63">
              <w:rPr>
                <w:rFonts w:cs="Arial"/>
                <w:i/>
                <w:color w:val="FF0000"/>
                <w:szCs w:val="24"/>
              </w:rPr>
              <w:t>indicator</w:t>
            </w:r>
            <w:r w:rsidRPr="003A0C63">
              <w:rPr>
                <w:rFonts w:cs="Arial"/>
                <w:i/>
                <w:color w:val="FF0000"/>
                <w:szCs w:val="24"/>
              </w:rPr>
              <w:t xml:space="preserve"> – or delete if no provider-specific information is required.]</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3811"/>
              <w:gridCol w:w="4014"/>
            </w:tblGrid>
            <w:tr w:rsidR="00D54163" w:rsidRPr="00C0263E" w14:paraId="41771F0C" w14:textId="77777777" w:rsidTr="00EC3C9D">
              <w:tc>
                <w:tcPr>
                  <w:tcW w:w="1593" w:type="dxa"/>
                  <w:tcBorders>
                    <w:top w:val="single" w:sz="4" w:space="0" w:color="auto"/>
                    <w:left w:val="single" w:sz="4" w:space="0" w:color="auto"/>
                    <w:bottom w:val="single" w:sz="4" w:space="0" w:color="auto"/>
                    <w:right w:val="single" w:sz="4" w:space="0" w:color="auto"/>
                  </w:tcBorders>
                  <w:shd w:val="clear" w:color="auto" w:fill="F2F2F2"/>
                </w:tcPr>
                <w:p w14:paraId="0C98D1ED" w14:textId="77777777" w:rsidR="00D54163" w:rsidRPr="00C0263E" w:rsidRDefault="00EC3C9D" w:rsidP="0084461B">
                  <w:pPr>
                    <w:spacing w:before="40" w:after="40"/>
                    <w:rPr>
                      <w:rFonts w:cs="Arial"/>
                      <w:b/>
                      <w:szCs w:val="24"/>
                    </w:rPr>
                  </w:pPr>
                  <w:r>
                    <w:rPr>
                      <w:rFonts w:cs="Arial"/>
                      <w:b/>
                      <w:szCs w:val="24"/>
                    </w:rPr>
                    <w:t>Provider specific triggers</w:t>
                  </w:r>
                </w:p>
              </w:tc>
              <w:tc>
                <w:tcPr>
                  <w:tcW w:w="38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BA2CF7" w14:textId="77777777" w:rsidR="00D54163" w:rsidRPr="00EC3C9D" w:rsidRDefault="00650494" w:rsidP="00F506AC">
                  <w:pPr>
                    <w:spacing w:before="40" w:after="40"/>
                    <w:rPr>
                      <w:rFonts w:cs="Arial"/>
                      <w:b/>
                      <w:szCs w:val="24"/>
                    </w:rPr>
                  </w:pPr>
                  <w:r w:rsidRPr="00EC3C9D">
                    <w:rPr>
                      <w:rFonts w:cs="Arial"/>
                      <w:b/>
                      <w:szCs w:val="24"/>
                    </w:rPr>
                    <w:t>201</w:t>
                  </w:r>
                  <w:r w:rsidR="00F506AC">
                    <w:rPr>
                      <w:rFonts w:cs="Arial"/>
                      <w:b/>
                      <w:szCs w:val="24"/>
                    </w:rPr>
                    <w:t>9</w:t>
                  </w:r>
                  <w:r w:rsidRPr="00EC3C9D">
                    <w:rPr>
                      <w:rFonts w:cs="Arial"/>
                      <w:b/>
                      <w:szCs w:val="24"/>
                    </w:rPr>
                    <w:t>/</w:t>
                  </w:r>
                  <w:r w:rsidR="00F506AC">
                    <w:rPr>
                      <w:rFonts w:cs="Arial"/>
                      <w:b/>
                      <w:szCs w:val="24"/>
                    </w:rPr>
                    <w:t>20</w:t>
                  </w:r>
                </w:p>
              </w:tc>
              <w:tc>
                <w:tcPr>
                  <w:tcW w:w="40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5BDE97" w14:textId="77777777" w:rsidR="00D54163" w:rsidRPr="00EC3C9D" w:rsidRDefault="00EC3C9D" w:rsidP="00F506AC">
                  <w:pPr>
                    <w:spacing w:before="40" w:after="40"/>
                    <w:rPr>
                      <w:rFonts w:cs="Arial"/>
                      <w:b/>
                      <w:szCs w:val="24"/>
                    </w:rPr>
                  </w:pPr>
                  <w:r w:rsidRPr="00EC3C9D">
                    <w:rPr>
                      <w:rFonts w:cs="Arial"/>
                      <w:b/>
                      <w:szCs w:val="24"/>
                    </w:rPr>
                    <w:t>20</w:t>
                  </w:r>
                  <w:r w:rsidR="00F506AC">
                    <w:rPr>
                      <w:rFonts w:cs="Arial"/>
                      <w:b/>
                      <w:szCs w:val="24"/>
                    </w:rPr>
                    <w:t>20</w:t>
                  </w:r>
                  <w:r w:rsidRPr="00EC3C9D">
                    <w:rPr>
                      <w:rFonts w:cs="Arial"/>
                      <w:b/>
                      <w:szCs w:val="24"/>
                    </w:rPr>
                    <w:t>/</w:t>
                  </w:r>
                  <w:r w:rsidR="00F506AC">
                    <w:rPr>
                      <w:rFonts w:cs="Arial"/>
                      <w:b/>
                      <w:szCs w:val="24"/>
                    </w:rPr>
                    <w:t>21</w:t>
                  </w:r>
                </w:p>
              </w:tc>
            </w:tr>
            <w:tr w:rsidR="00D54163" w:rsidRPr="00C0263E" w14:paraId="26DA31DB" w14:textId="77777777" w:rsidTr="00EC3C9D">
              <w:tc>
                <w:tcPr>
                  <w:tcW w:w="1593" w:type="dxa"/>
                  <w:tcBorders>
                    <w:top w:val="single" w:sz="4" w:space="0" w:color="auto"/>
                    <w:left w:val="single" w:sz="4" w:space="0" w:color="auto"/>
                    <w:bottom w:val="single" w:sz="4" w:space="0" w:color="auto"/>
                    <w:right w:val="single" w:sz="4" w:space="0" w:color="auto"/>
                  </w:tcBorders>
                  <w:shd w:val="clear" w:color="auto" w:fill="F2F2F2"/>
                  <w:hideMark/>
                </w:tcPr>
                <w:p w14:paraId="11EEE12F" w14:textId="77777777" w:rsidR="00D54163" w:rsidRDefault="00650494" w:rsidP="0084461B">
                  <w:pPr>
                    <w:spacing w:before="40" w:after="40"/>
                    <w:rPr>
                      <w:rFonts w:cs="Arial"/>
                      <w:b/>
                      <w:szCs w:val="24"/>
                    </w:rPr>
                  </w:pPr>
                  <w:r>
                    <w:rPr>
                      <w:rFonts w:cs="Arial"/>
                      <w:b/>
                      <w:szCs w:val="24"/>
                    </w:rPr>
                    <w:t>Trigger 1:</w:t>
                  </w:r>
                </w:p>
                <w:p w14:paraId="1441890A" w14:textId="6821A618" w:rsidR="00650494" w:rsidRPr="00C0263E" w:rsidRDefault="00650494" w:rsidP="0084461B">
                  <w:pPr>
                    <w:spacing w:before="40" w:after="40"/>
                    <w:rPr>
                      <w:rFonts w:cs="Arial"/>
                      <w:b/>
                      <w:szCs w:val="24"/>
                    </w:rPr>
                  </w:pPr>
                </w:p>
              </w:tc>
              <w:tc>
                <w:tcPr>
                  <w:tcW w:w="3811" w:type="dxa"/>
                  <w:tcBorders>
                    <w:top w:val="single" w:sz="4" w:space="0" w:color="auto"/>
                    <w:left w:val="single" w:sz="4" w:space="0" w:color="auto"/>
                    <w:bottom w:val="single" w:sz="4" w:space="0" w:color="auto"/>
                    <w:right w:val="single" w:sz="4" w:space="0" w:color="auto"/>
                  </w:tcBorders>
                </w:tcPr>
                <w:p w14:paraId="31330A9E" w14:textId="77777777" w:rsidR="00D54163" w:rsidRPr="00C0263E" w:rsidRDefault="00D43ACA" w:rsidP="0084461B">
                  <w:pPr>
                    <w:spacing w:before="40" w:after="40"/>
                    <w:rPr>
                      <w:rFonts w:cs="Arial"/>
                      <w:szCs w:val="24"/>
                    </w:rPr>
                  </w:pPr>
                  <w:r>
                    <w:rPr>
                      <w:rFonts w:cs="Arial"/>
                      <w:szCs w:val="24"/>
                    </w:rPr>
                    <w:t>TBC</w:t>
                  </w: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0E2B1BE7" w14:textId="77777777" w:rsidR="00D54163" w:rsidRPr="00C0263E" w:rsidRDefault="00D43ACA" w:rsidP="0084461B">
                  <w:pPr>
                    <w:spacing w:before="40" w:after="40"/>
                    <w:rPr>
                      <w:rFonts w:cs="Arial"/>
                      <w:szCs w:val="24"/>
                    </w:rPr>
                  </w:pPr>
                  <w:r>
                    <w:rPr>
                      <w:rFonts w:cs="Arial"/>
                      <w:szCs w:val="24"/>
                    </w:rPr>
                    <w:t>TBC</w:t>
                  </w:r>
                </w:p>
              </w:tc>
            </w:tr>
            <w:tr w:rsidR="00D54163" w:rsidRPr="00C0263E" w14:paraId="13CF03B6" w14:textId="77777777" w:rsidTr="00EC3C9D">
              <w:trPr>
                <w:trHeight w:val="619"/>
              </w:trPr>
              <w:tc>
                <w:tcPr>
                  <w:tcW w:w="1593" w:type="dxa"/>
                  <w:tcBorders>
                    <w:top w:val="single" w:sz="4" w:space="0" w:color="auto"/>
                    <w:left w:val="single" w:sz="4" w:space="0" w:color="auto"/>
                    <w:bottom w:val="single" w:sz="4" w:space="0" w:color="auto"/>
                    <w:right w:val="single" w:sz="4" w:space="0" w:color="auto"/>
                  </w:tcBorders>
                  <w:shd w:val="clear" w:color="auto" w:fill="F2F2F2"/>
                  <w:hideMark/>
                </w:tcPr>
                <w:p w14:paraId="1BB7563C" w14:textId="56401144" w:rsidR="00D54163" w:rsidRDefault="00650494" w:rsidP="0084461B">
                  <w:pPr>
                    <w:spacing w:before="40" w:after="40"/>
                    <w:rPr>
                      <w:rFonts w:cs="Arial"/>
                      <w:b/>
                      <w:szCs w:val="24"/>
                    </w:rPr>
                  </w:pPr>
                  <w:r>
                    <w:rPr>
                      <w:rFonts w:cs="Arial"/>
                      <w:b/>
                      <w:szCs w:val="24"/>
                    </w:rPr>
                    <w:t xml:space="preserve">Trigger </w:t>
                  </w:r>
                  <w:r w:rsidR="00D10967">
                    <w:rPr>
                      <w:rFonts w:cs="Arial"/>
                      <w:b/>
                      <w:szCs w:val="24"/>
                    </w:rPr>
                    <w:t>2</w:t>
                  </w:r>
                  <w:r w:rsidR="00EC3C9D">
                    <w:rPr>
                      <w:rFonts w:cs="Arial"/>
                      <w:b/>
                      <w:szCs w:val="24"/>
                    </w:rPr>
                    <w:t>:</w:t>
                  </w:r>
                </w:p>
                <w:p w14:paraId="6373EDB3" w14:textId="031203A9" w:rsidR="00EC3C9D" w:rsidRPr="00C0263E" w:rsidRDefault="00EC3C9D" w:rsidP="0084461B">
                  <w:pPr>
                    <w:spacing w:before="40" w:after="40"/>
                    <w:rPr>
                      <w:rFonts w:cs="Arial"/>
                      <w:b/>
                      <w:szCs w:val="24"/>
                    </w:rPr>
                  </w:pPr>
                </w:p>
              </w:tc>
              <w:tc>
                <w:tcPr>
                  <w:tcW w:w="3811" w:type="dxa"/>
                  <w:tcBorders>
                    <w:top w:val="single" w:sz="4" w:space="0" w:color="auto"/>
                    <w:left w:val="single" w:sz="4" w:space="0" w:color="auto"/>
                    <w:bottom w:val="single" w:sz="4" w:space="0" w:color="auto"/>
                    <w:right w:val="single" w:sz="4" w:space="0" w:color="auto"/>
                  </w:tcBorders>
                </w:tcPr>
                <w:p w14:paraId="7172C4D1" w14:textId="77777777" w:rsidR="00D54163" w:rsidRPr="00C0263E" w:rsidRDefault="00D43ACA" w:rsidP="0084461B">
                  <w:pPr>
                    <w:spacing w:before="40" w:after="40"/>
                    <w:rPr>
                      <w:rFonts w:cs="Arial"/>
                      <w:szCs w:val="24"/>
                    </w:rPr>
                  </w:pPr>
                  <w:r>
                    <w:rPr>
                      <w:rFonts w:cs="Arial"/>
                      <w:szCs w:val="24"/>
                    </w:rPr>
                    <w:t>TBC</w:t>
                  </w: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5AF56921" w14:textId="77777777" w:rsidR="00D54163" w:rsidRPr="00C0263E" w:rsidRDefault="00D43ACA" w:rsidP="0084461B">
                  <w:pPr>
                    <w:spacing w:before="40" w:after="40"/>
                    <w:rPr>
                      <w:rFonts w:cs="Arial"/>
                      <w:szCs w:val="24"/>
                    </w:rPr>
                  </w:pPr>
                  <w:r>
                    <w:rPr>
                      <w:rFonts w:cs="Arial"/>
                      <w:szCs w:val="24"/>
                    </w:rPr>
                    <w:t>TBC</w:t>
                  </w:r>
                </w:p>
              </w:tc>
            </w:tr>
            <w:tr w:rsidR="00D54163" w:rsidRPr="00C0263E" w14:paraId="758E75B1" w14:textId="77777777" w:rsidTr="00EC3C9D">
              <w:trPr>
                <w:trHeight w:val="812"/>
              </w:trPr>
              <w:tc>
                <w:tcPr>
                  <w:tcW w:w="1593" w:type="dxa"/>
                  <w:tcBorders>
                    <w:top w:val="single" w:sz="4" w:space="0" w:color="auto"/>
                    <w:left w:val="single" w:sz="4" w:space="0" w:color="auto"/>
                    <w:bottom w:val="single" w:sz="4" w:space="0" w:color="auto"/>
                    <w:right w:val="single" w:sz="4" w:space="0" w:color="auto"/>
                  </w:tcBorders>
                  <w:shd w:val="clear" w:color="auto" w:fill="F2F2F2"/>
                </w:tcPr>
                <w:p w14:paraId="0A9863C7" w14:textId="08FA6EBB" w:rsidR="00D54163" w:rsidRDefault="00D10967" w:rsidP="00087952">
                  <w:pPr>
                    <w:spacing w:before="40" w:after="40"/>
                    <w:rPr>
                      <w:rFonts w:cs="Arial"/>
                      <w:b/>
                      <w:szCs w:val="24"/>
                    </w:rPr>
                  </w:pPr>
                  <w:r>
                    <w:rPr>
                      <w:rFonts w:cs="Arial"/>
                      <w:b/>
                      <w:szCs w:val="24"/>
                    </w:rPr>
                    <w:t>Trigger 3</w:t>
                  </w:r>
                  <w:r w:rsidR="00EC3C9D">
                    <w:rPr>
                      <w:rFonts w:cs="Arial"/>
                      <w:b/>
                      <w:szCs w:val="24"/>
                    </w:rPr>
                    <w:t>:</w:t>
                  </w:r>
                </w:p>
              </w:tc>
              <w:tc>
                <w:tcPr>
                  <w:tcW w:w="3811" w:type="dxa"/>
                  <w:tcBorders>
                    <w:top w:val="single" w:sz="4" w:space="0" w:color="auto"/>
                    <w:left w:val="single" w:sz="4" w:space="0" w:color="auto"/>
                    <w:bottom w:val="single" w:sz="4" w:space="0" w:color="auto"/>
                    <w:right w:val="single" w:sz="4" w:space="0" w:color="auto"/>
                  </w:tcBorders>
                </w:tcPr>
                <w:p w14:paraId="133882D7" w14:textId="77777777" w:rsidR="00D54163" w:rsidRPr="00C0263E" w:rsidRDefault="00D43ACA" w:rsidP="0084461B">
                  <w:pPr>
                    <w:spacing w:before="40" w:after="40"/>
                    <w:rPr>
                      <w:rFonts w:cs="Arial"/>
                      <w:szCs w:val="24"/>
                    </w:rPr>
                  </w:pPr>
                  <w:r>
                    <w:rPr>
                      <w:rFonts w:cs="Arial"/>
                      <w:szCs w:val="24"/>
                    </w:rPr>
                    <w:t>TBC</w:t>
                  </w: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7A0038C2" w14:textId="77777777" w:rsidR="00D54163" w:rsidRPr="00C0263E" w:rsidRDefault="00D43ACA" w:rsidP="0084461B">
                  <w:pPr>
                    <w:spacing w:before="40" w:after="40"/>
                    <w:rPr>
                      <w:rFonts w:cs="Arial"/>
                      <w:szCs w:val="24"/>
                    </w:rPr>
                  </w:pPr>
                  <w:r>
                    <w:rPr>
                      <w:rFonts w:cs="Arial"/>
                      <w:szCs w:val="24"/>
                    </w:rPr>
                    <w:t>TBC</w:t>
                  </w:r>
                </w:p>
              </w:tc>
            </w:tr>
            <w:tr w:rsidR="00D54163" w:rsidRPr="00C0263E" w14:paraId="2682FE2A" w14:textId="77777777" w:rsidTr="00EC3C9D">
              <w:trPr>
                <w:trHeight w:val="619"/>
              </w:trPr>
              <w:tc>
                <w:tcPr>
                  <w:tcW w:w="1593" w:type="dxa"/>
                  <w:tcBorders>
                    <w:top w:val="single" w:sz="4" w:space="0" w:color="auto"/>
                    <w:left w:val="single" w:sz="4" w:space="0" w:color="auto"/>
                    <w:bottom w:val="single" w:sz="4" w:space="0" w:color="auto"/>
                    <w:right w:val="single" w:sz="4" w:space="0" w:color="auto"/>
                  </w:tcBorders>
                  <w:shd w:val="clear" w:color="auto" w:fill="F2F2F2"/>
                </w:tcPr>
                <w:p w14:paraId="7545F405" w14:textId="1F2B7C6A" w:rsidR="00D54163" w:rsidRDefault="00D10967" w:rsidP="0084461B">
                  <w:pPr>
                    <w:spacing w:before="40" w:after="40"/>
                    <w:rPr>
                      <w:rFonts w:cs="Arial"/>
                      <w:b/>
                      <w:szCs w:val="24"/>
                    </w:rPr>
                  </w:pPr>
                  <w:r>
                    <w:rPr>
                      <w:rFonts w:cs="Arial"/>
                      <w:b/>
                      <w:szCs w:val="24"/>
                    </w:rPr>
                    <w:t>Trigger 4:</w:t>
                  </w:r>
                </w:p>
              </w:tc>
              <w:tc>
                <w:tcPr>
                  <w:tcW w:w="3811" w:type="dxa"/>
                  <w:tcBorders>
                    <w:top w:val="single" w:sz="4" w:space="0" w:color="auto"/>
                    <w:left w:val="single" w:sz="4" w:space="0" w:color="auto"/>
                    <w:bottom w:val="single" w:sz="4" w:space="0" w:color="auto"/>
                    <w:right w:val="single" w:sz="4" w:space="0" w:color="auto"/>
                  </w:tcBorders>
                </w:tcPr>
                <w:p w14:paraId="17AF533D" w14:textId="77777777" w:rsidR="00D54163" w:rsidRPr="00C0263E" w:rsidRDefault="00D43ACA" w:rsidP="0084461B">
                  <w:pPr>
                    <w:spacing w:before="40" w:after="40"/>
                    <w:rPr>
                      <w:rFonts w:cs="Arial"/>
                      <w:szCs w:val="24"/>
                    </w:rPr>
                  </w:pPr>
                  <w:r>
                    <w:rPr>
                      <w:rFonts w:cs="Arial"/>
                      <w:szCs w:val="24"/>
                    </w:rPr>
                    <w:t>TBC</w:t>
                  </w: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3C190288" w14:textId="77777777" w:rsidR="00D54163" w:rsidRPr="00C0263E" w:rsidRDefault="00D43ACA" w:rsidP="0084461B">
                  <w:pPr>
                    <w:spacing w:before="40" w:after="40"/>
                    <w:rPr>
                      <w:rFonts w:cs="Arial"/>
                      <w:szCs w:val="24"/>
                    </w:rPr>
                  </w:pPr>
                  <w:r>
                    <w:rPr>
                      <w:rFonts w:cs="Arial"/>
                      <w:szCs w:val="24"/>
                    </w:rPr>
                    <w:t>TBC</w:t>
                  </w:r>
                </w:p>
              </w:tc>
            </w:tr>
            <w:tr w:rsidR="00D54163" w:rsidRPr="00C0263E" w14:paraId="060EFD0C" w14:textId="77777777" w:rsidTr="00326B23">
              <w:trPr>
                <w:trHeight w:val="619"/>
              </w:trPr>
              <w:tc>
                <w:tcPr>
                  <w:tcW w:w="1593" w:type="dxa"/>
                  <w:tcBorders>
                    <w:top w:val="single" w:sz="4" w:space="0" w:color="auto"/>
                    <w:left w:val="single" w:sz="4" w:space="0" w:color="auto"/>
                    <w:bottom w:val="single" w:sz="4" w:space="0" w:color="auto"/>
                    <w:right w:val="single" w:sz="4" w:space="0" w:color="auto"/>
                  </w:tcBorders>
                  <w:shd w:val="clear" w:color="auto" w:fill="F2F2F2"/>
                </w:tcPr>
                <w:p w14:paraId="0A5D542C" w14:textId="6F0399DF" w:rsidR="00D54163" w:rsidRDefault="00D10967" w:rsidP="0084461B">
                  <w:pPr>
                    <w:spacing w:before="40" w:after="40"/>
                    <w:rPr>
                      <w:rFonts w:cs="Arial"/>
                      <w:b/>
                      <w:szCs w:val="24"/>
                    </w:rPr>
                  </w:pPr>
                  <w:r>
                    <w:rPr>
                      <w:rFonts w:cs="Arial"/>
                      <w:b/>
                      <w:szCs w:val="24"/>
                    </w:rPr>
                    <w:t>Trigger 5:</w:t>
                  </w:r>
                </w:p>
              </w:tc>
              <w:tc>
                <w:tcPr>
                  <w:tcW w:w="3811" w:type="dxa"/>
                  <w:tcBorders>
                    <w:top w:val="single" w:sz="4" w:space="0" w:color="auto"/>
                    <w:left w:val="single" w:sz="4" w:space="0" w:color="auto"/>
                    <w:bottom w:val="single" w:sz="4" w:space="0" w:color="auto"/>
                    <w:right w:val="single" w:sz="4" w:space="0" w:color="auto"/>
                  </w:tcBorders>
                </w:tcPr>
                <w:p w14:paraId="3972D754" w14:textId="77777777" w:rsidR="00D54163" w:rsidRPr="00C0263E" w:rsidRDefault="00D43ACA" w:rsidP="0084461B">
                  <w:pPr>
                    <w:spacing w:before="40" w:after="40"/>
                    <w:rPr>
                      <w:rFonts w:cs="Arial"/>
                      <w:szCs w:val="24"/>
                    </w:rPr>
                  </w:pPr>
                  <w:r>
                    <w:rPr>
                      <w:rFonts w:cs="Arial"/>
                      <w:szCs w:val="24"/>
                    </w:rPr>
                    <w:t>TBC</w:t>
                  </w: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05BB85F7" w14:textId="77777777" w:rsidR="00D54163" w:rsidRPr="00C0263E" w:rsidRDefault="00D43ACA" w:rsidP="0084461B">
                  <w:pPr>
                    <w:spacing w:before="40" w:after="40"/>
                    <w:rPr>
                      <w:rFonts w:cs="Arial"/>
                      <w:szCs w:val="24"/>
                    </w:rPr>
                  </w:pPr>
                  <w:r>
                    <w:rPr>
                      <w:rFonts w:cs="Arial"/>
                      <w:szCs w:val="24"/>
                    </w:rPr>
                    <w:t>TBC</w:t>
                  </w:r>
                </w:p>
              </w:tc>
            </w:tr>
          </w:tbl>
          <w:p w14:paraId="03C6E5E2" w14:textId="77777777" w:rsidR="002F5C2B" w:rsidRDefault="002F5C2B" w:rsidP="0084461B">
            <w:pPr>
              <w:rPr>
                <w:rFonts w:cs="Arial"/>
                <w:szCs w:val="24"/>
              </w:rPr>
            </w:pPr>
          </w:p>
        </w:tc>
      </w:tr>
      <w:tr w:rsidR="00D95C75" w:rsidRPr="000412A1" w14:paraId="52A40DBD" w14:textId="77777777" w:rsidTr="003038EC">
        <w:tc>
          <w:tcPr>
            <w:tcW w:w="5000" w:type="pct"/>
            <w:gridSpan w:val="7"/>
            <w:shd w:val="clear" w:color="auto" w:fill="BFBFBF" w:themeFill="background1" w:themeFillShade="BF"/>
          </w:tcPr>
          <w:p w14:paraId="0F2D29AA" w14:textId="77777777" w:rsidR="00D95C75" w:rsidRPr="00C0263E" w:rsidRDefault="00D95C75" w:rsidP="00A536ED">
            <w:pPr>
              <w:rPr>
                <w:rFonts w:cs="Arial"/>
                <w:szCs w:val="24"/>
              </w:rPr>
            </w:pPr>
            <w:r>
              <w:rPr>
                <w:rFonts w:cs="Arial"/>
                <w:b/>
                <w:color w:val="000000"/>
                <w:szCs w:val="24"/>
              </w:rPr>
              <w:t xml:space="preserve">B5. </w:t>
            </w:r>
            <w:r w:rsidR="00A536ED">
              <w:rPr>
                <w:rFonts w:cs="Arial"/>
                <w:b/>
                <w:color w:val="000000"/>
                <w:szCs w:val="24"/>
              </w:rPr>
              <w:t xml:space="preserve">Information </w:t>
            </w:r>
            <w:r w:rsidR="00CF3963">
              <w:rPr>
                <w:rFonts w:cs="Arial"/>
                <w:b/>
                <w:color w:val="000000"/>
                <w:szCs w:val="24"/>
              </w:rPr>
              <w:t>Requirements</w:t>
            </w:r>
          </w:p>
        </w:tc>
      </w:tr>
      <w:tr w:rsidR="00D95C75" w:rsidRPr="000412A1" w14:paraId="4A1994A7" w14:textId="77777777" w:rsidTr="003038EC">
        <w:tc>
          <w:tcPr>
            <w:tcW w:w="5000" w:type="pct"/>
            <w:gridSpan w:val="7"/>
            <w:shd w:val="clear" w:color="auto" w:fill="D9D9D9" w:themeFill="background1" w:themeFillShade="D9"/>
          </w:tcPr>
          <w:p w14:paraId="7AAFECBA" w14:textId="77777777" w:rsidR="00D95C75" w:rsidRPr="000412A1" w:rsidRDefault="00A536ED" w:rsidP="00A536ED">
            <w:pPr>
              <w:rPr>
                <w:rFonts w:cs="Arial"/>
                <w:b/>
                <w:color w:val="000000"/>
                <w:szCs w:val="24"/>
              </w:rPr>
            </w:pPr>
            <w:r>
              <w:rPr>
                <w:rFonts w:cs="Arial"/>
                <w:b/>
                <w:color w:val="000000"/>
                <w:szCs w:val="24"/>
              </w:rPr>
              <w:t xml:space="preserve">Obligations under the </w:t>
            </w:r>
            <w:r w:rsidR="001F421F">
              <w:rPr>
                <w:rFonts w:cs="Arial"/>
                <w:b/>
                <w:color w:val="000000"/>
                <w:szCs w:val="24"/>
              </w:rPr>
              <w:t>indicator</w:t>
            </w:r>
            <w:r>
              <w:rPr>
                <w:rFonts w:cs="Arial"/>
                <w:b/>
                <w:color w:val="000000"/>
                <w:szCs w:val="24"/>
              </w:rPr>
              <w:t xml:space="preserve"> to report against achievement of the Triggers, to enable benchmarking, and to facilitate evaluation, are as set out in Section C5.</w:t>
            </w:r>
          </w:p>
        </w:tc>
      </w:tr>
      <w:tr w:rsidR="00CF3963" w:rsidRPr="000412A1" w14:paraId="3D403334" w14:textId="77777777" w:rsidTr="003038EC">
        <w:tc>
          <w:tcPr>
            <w:tcW w:w="1919" w:type="pct"/>
            <w:gridSpan w:val="3"/>
            <w:shd w:val="clear" w:color="auto" w:fill="D9D9D9" w:themeFill="background1" w:themeFillShade="D9"/>
          </w:tcPr>
          <w:p w14:paraId="5268B8E3" w14:textId="77777777" w:rsidR="00CF3963" w:rsidRDefault="00CF3963" w:rsidP="00CA40CD">
            <w:pPr>
              <w:rPr>
                <w:rFonts w:cs="Arial"/>
                <w:color w:val="000000"/>
                <w:szCs w:val="24"/>
              </w:rPr>
            </w:pPr>
            <w:r w:rsidRPr="000412A1">
              <w:rPr>
                <w:rFonts w:cs="Arial"/>
                <w:color w:val="000000"/>
                <w:szCs w:val="24"/>
              </w:rPr>
              <w:t>Final indicator reporting date</w:t>
            </w:r>
            <w:r>
              <w:rPr>
                <w:rFonts w:cs="Arial"/>
                <w:color w:val="000000"/>
                <w:szCs w:val="24"/>
              </w:rPr>
              <w:t xml:space="preserve"> for each year.</w:t>
            </w:r>
          </w:p>
        </w:tc>
        <w:tc>
          <w:tcPr>
            <w:tcW w:w="3081" w:type="pct"/>
            <w:gridSpan w:val="4"/>
            <w:shd w:val="clear" w:color="auto" w:fill="FFFF00"/>
          </w:tcPr>
          <w:p w14:paraId="1689BDBA" w14:textId="77777777" w:rsidR="00CF3963" w:rsidRDefault="00CF3963" w:rsidP="0084461B">
            <w:pPr>
              <w:rPr>
                <w:rFonts w:cs="Arial"/>
                <w:szCs w:val="24"/>
              </w:rPr>
            </w:pPr>
            <w:r w:rsidRPr="000412A1">
              <w:rPr>
                <w:rFonts w:cs="Arial"/>
                <w:szCs w:val="24"/>
              </w:rPr>
              <w:t>Month 12 Contract Flex reporting date as per contract</w:t>
            </w:r>
            <w:r>
              <w:rPr>
                <w:rFonts w:cs="Arial"/>
                <w:szCs w:val="24"/>
              </w:rPr>
              <w:t xml:space="preserve">. </w:t>
            </w:r>
            <w:r w:rsidRPr="004E377A">
              <w:rPr>
                <w:rFonts w:cs="Arial"/>
                <w:i/>
                <w:color w:val="FF0000"/>
                <w:szCs w:val="24"/>
              </w:rPr>
              <w:t>[Vary if necessary.]</w:t>
            </w:r>
          </w:p>
        </w:tc>
      </w:tr>
      <w:tr w:rsidR="006B2327" w:rsidRPr="000412A1" w14:paraId="0E17BF33" w14:textId="77777777" w:rsidTr="003038EC">
        <w:tc>
          <w:tcPr>
            <w:tcW w:w="5000" w:type="pct"/>
            <w:gridSpan w:val="7"/>
            <w:shd w:val="clear" w:color="auto" w:fill="BFBFBF" w:themeFill="background1" w:themeFillShade="BF"/>
          </w:tcPr>
          <w:p w14:paraId="62F9394A" w14:textId="77777777" w:rsidR="006B2327" w:rsidRDefault="00CF3963" w:rsidP="00CF3963">
            <w:pPr>
              <w:spacing w:before="40" w:after="40"/>
              <w:rPr>
                <w:rFonts w:cs="Arial"/>
                <w:b/>
                <w:color w:val="000000"/>
                <w:szCs w:val="24"/>
              </w:rPr>
            </w:pPr>
            <w:r>
              <w:rPr>
                <w:rFonts w:cs="Arial"/>
                <w:b/>
                <w:color w:val="000000"/>
                <w:szCs w:val="24"/>
              </w:rPr>
              <w:t xml:space="preserve">B6. </w:t>
            </w:r>
            <w:r w:rsidRPr="000412A1">
              <w:rPr>
                <w:rFonts w:cs="Arial"/>
                <w:b/>
                <w:color w:val="000000"/>
                <w:szCs w:val="24"/>
              </w:rPr>
              <w:t>In Year Payment Phasing &amp; Profiling</w:t>
            </w:r>
          </w:p>
        </w:tc>
      </w:tr>
      <w:tr w:rsidR="006B2327" w:rsidRPr="000412A1" w14:paraId="3AF18528" w14:textId="77777777" w:rsidTr="003038EC">
        <w:trPr>
          <w:trHeight w:val="938"/>
        </w:trPr>
        <w:tc>
          <w:tcPr>
            <w:tcW w:w="5000" w:type="pct"/>
            <w:gridSpan w:val="7"/>
            <w:shd w:val="clear" w:color="auto" w:fill="FFFF00"/>
          </w:tcPr>
          <w:p w14:paraId="400ECFE9" w14:textId="77777777" w:rsidR="00CF3963" w:rsidRDefault="00CF3963" w:rsidP="00CF3963">
            <w:r>
              <w:lastRenderedPageBreak/>
              <w:t xml:space="preserve">Default arrangement: half payment of target CQUIN payment each month, reconciliation end of each year depending upon achievement. </w:t>
            </w:r>
          </w:p>
          <w:p w14:paraId="134AE2F5" w14:textId="77777777" w:rsidR="006B2327" w:rsidRDefault="00CF3963" w:rsidP="00EC0939">
            <w:pPr>
              <w:rPr>
                <w:rFonts w:cs="Arial"/>
                <w:b/>
                <w:color w:val="000000"/>
                <w:szCs w:val="24"/>
              </w:rPr>
            </w:pPr>
            <w:r w:rsidRPr="004E377A">
              <w:rPr>
                <w:i/>
                <w:color w:val="FF0000"/>
              </w:rPr>
              <w:t>[Specify variation of this approach if required]</w:t>
            </w:r>
          </w:p>
        </w:tc>
      </w:tr>
      <w:tr w:rsidR="00CF3963" w:rsidRPr="000412A1" w14:paraId="0B831978" w14:textId="77777777" w:rsidTr="003038EC">
        <w:trPr>
          <w:gridAfter w:val="1"/>
          <w:wAfter w:w="11" w:type="pct"/>
        </w:trPr>
        <w:tc>
          <w:tcPr>
            <w:tcW w:w="4989" w:type="pct"/>
            <w:gridSpan w:val="6"/>
            <w:shd w:val="clear" w:color="auto" w:fill="BFBFBF" w:themeFill="background1" w:themeFillShade="BF"/>
          </w:tcPr>
          <w:p w14:paraId="5E8E1331" w14:textId="77777777" w:rsidR="00CF3963" w:rsidRPr="004B2DC0" w:rsidRDefault="00CF3963" w:rsidP="0084461B">
            <w:pPr>
              <w:spacing w:before="40" w:after="40"/>
              <w:rPr>
                <w:rFonts w:cs="Arial"/>
                <w:b/>
                <w:szCs w:val="24"/>
              </w:rPr>
            </w:pPr>
            <w:r>
              <w:rPr>
                <w:rFonts w:cs="Arial"/>
                <w:b/>
                <w:szCs w:val="24"/>
              </w:rPr>
              <w:t xml:space="preserve">C. </w:t>
            </w:r>
            <w:r w:rsidR="001F421F">
              <w:rPr>
                <w:rFonts w:cs="Arial"/>
                <w:b/>
                <w:szCs w:val="24"/>
              </w:rPr>
              <w:t>INDICATOR</w:t>
            </w:r>
            <w:r>
              <w:rPr>
                <w:rFonts w:cs="Arial"/>
                <w:b/>
                <w:szCs w:val="24"/>
              </w:rPr>
              <w:t xml:space="preserve"> SPECIFICATION GUIDE</w:t>
            </w:r>
            <w:r w:rsidR="00F506AC">
              <w:rPr>
                <w:rFonts w:cs="Arial"/>
                <w:b/>
                <w:szCs w:val="24"/>
              </w:rPr>
              <w:t>: STEP CHANGE INDICATORS</w:t>
            </w:r>
          </w:p>
        </w:tc>
      </w:tr>
      <w:tr w:rsidR="00CF3963" w:rsidRPr="000412A1" w14:paraId="7C56866F" w14:textId="77777777" w:rsidTr="003038EC">
        <w:trPr>
          <w:gridAfter w:val="1"/>
          <w:wAfter w:w="11" w:type="pct"/>
        </w:trPr>
        <w:tc>
          <w:tcPr>
            <w:tcW w:w="4989" w:type="pct"/>
            <w:gridSpan w:val="6"/>
            <w:shd w:val="clear" w:color="auto" w:fill="BFBFBF" w:themeFill="background1" w:themeFillShade="BF"/>
          </w:tcPr>
          <w:p w14:paraId="3F74BBD4" w14:textId="77777777" w:rsidR="00CF3963" w:rsidRPr="004B2DC0" w:rsidRDefault="00CF3963" w:rsidP="004E377A">
            <w:pPr>
              <w:spacing w:before="40" w:after="40"/>
              <w:rPr>
                <w:rFonts w:cs="Arial"/>
                <w:b/>
                <w:color w:val="000000"/>
                <w:szCs w:val="24"/>
              </w:rPr>
            </w:pPr>
            <w:r>
              <w:rPr>
                <w:rFonts w:cs="Arial"/>
                <w:b/>
                <w:szCs w:val="24"/>
              </w:rPr>
              <w:t xml:space="preserve">C1. </w:t>
            </w:r>
            <w:r w:rsidRPr="004B2DC0">
              <w:rPr>
                <w:rFonts w:cs="Arial"/>
                <w:b/>
                <w:szCs w:val="24"/>
              </w:rPr>
              <w:t>Providers</w:t>
            </w:r>
            <w:r w:rsidR="004E377A">
              <w:rPr>
                <w:rFonts w:cs="Arial"/>
                <w:b/>
                <w:szCs w:val="24"/>
              </w:rPr>
              <w:t xml:space="preserve"> to whom Applicable</w:t>
            </w:r>
          </w:p>
        </w:tc>
      </w:tr>
      <w:tr w:rsidR="00F506AC" w:rsidRPr="000412A1" w14:paraId="04A6C8E5" w14:textId="77777777" w:rsidTr="003038EC">
        <w:trPr>
          <w:gridAfter w:val="1"/>
          <w:wAfter w:w="11" w:type="pct"/>
        </w:trPr>
        <w:tc>
          <w:tcPr>
            <w:tcW w:w="2247" w:type="pct"/>
            <w:gridSpan w:val="4"/>
            <w:shd w:val="clear" w:color="auto" w:fill="D9D9D9" w:themeFill="background1" w:themeFillShade="D9"/>
          </w:tcPr>
          <w:p w14:paraId="1E704909" w14:textId="77777777" w:rsidR="00F506AC" w:rsidRDefault="00F506AC" w:rsidP="0084461B">
            <w:pPr>
              <w:rPr>
                <w:rFonts w:cs="Arial"/>
                <w:b/>
                <w:i/>
                <w:szCs w:val="24"/>
              </w:rPr>
            </w:pPr>
            <w:r w:rsidRPr="00F506AC">
              <w:rPr>
                <w:rFonts w:cs="Arial"/>
                <w:b/>
                <w:szCs w:val="24"/>
              </w:rPr>
              <w:t>Nature of Adoption Ambition</w:t>
            </w:r>
            <w:r>
              <w:rPr>
                <w:rFonts w:cs="Arial"/>
                <w:b/>
                <w:i/>
                <w:szCs w:val="24"/>
              </w:rPr>
              <w:t xml:space="preserve">: </w:t>
            </w:r>
          </w:p>
          <w:p w14:paraId="54AEA9B9" w14:textId="77777777" w:rsidR="00F506AC" w:rsidRDefault="00F506AC" w:rsidP="001F6AA3">
            <w:pPr>
              <w:rPr>
                <w:rFonts w:cs="Arial"/>
                <w:szCs w:val="24"/>
              </w:rPr>
            </w:pPr>
          </w:p>
        </w:tc>
        <w:tc>
          <w:tcPr>
            <w:tcW w:w="2742" w:type="pct"/>
            <w:gridSpan w:val="2"/>
          </w:tcPr>
          <w:p w14:paraId="4BB1F4AD" w14:textId="77777777" w:rsidR="003038EC" w:rsidRDefault="003038EC" w:rsidP="00B652BC">
            <w:pPr>
              <w:rPr>
                <w:rFonts w:cs="Arial"/>
                <w:szCs w:val="24"/>
              </w:rPr>
            </w:pPr>
            <w:r w:rsidRPr="003038EC">
              <w:rPr>
                <w:rFonts w:cs="Arial"/>
                <w:szCs w:val="24"/>
              </w:rPr>
              <w:t xml:space="preserve">This CQUIN indicator is a priority indicator for providers with high cost drug spend more than £5m. </w:t>
            </w:r>
          </w:p>
          <w:p w14:paraId="05045BDB" w14:textId="77777777" w:rsidR="003038EC" w:rsidRPr="003038EC" w:rsidRDefault="003038EC" w:rsidP="00B652BC">
            <w:pPr>
              <w:rPr>
                <w:rFonts w:cs="Arial"/>
                <w:sz w:val="10"/>
                <w:szCs w:val="24"/>
              </w:rPr>
            </w:pPr>
          </w:p>
          <w:p w14:paraId="47EA5AB6" w14:textId="16D4A915" w:rsidR="001B4BC9" w:rsidRPr="00792526" w:rsidRDefault="003038EC" w:rsidP="008734CB">
            <w:pPr>
              <w:rPr>
                <w:rFonts w:cs="Arial"/>
                <w:szCs w:val="24"/>
              </w:rPr>
            </w:pPr>
            <w:r w:rsidRPr="003038EC">
              <w:rPr>
                <w:rFonts w:cs="Arial"/>
                <w:szCs w:val="24"/>
              </w:rPr>
              <w:t xml:space="preserve">The </w:t>
            </w:r>
            <w:r w:rsidR="001B3E9D">
              <w:rPr>
                <w:rFonts w:cs="Arial"/>
                <w:szCs w:val="24"/>
              </w:rPr>
              <w:t xml:space="preserve">anti-fungal </w:t>
            </w:r>
            <w:r w:rsidRPr="003038EC">
              <w:rPr>
                <w:rFonts w:cs="Arial"/>
                <w:szCs w:val="24"/>
              </w:rPr>
              <w:t xml:space="preserve">indicator </w:t>
            </w:r>
            <w:r w:rsidR="00EC0939" w:rsidRPr="00EC0939">
              <w:rPr>
                <w:rFonts w:cs="Arial"/>
                <w:szCs w:val="24"/>
              </w:rPr>
              <w:t xml:space="preserve">should be offered to </w:t>
            </w:r>
            <w:r w:rsidR="003B3F4A">
              <w:rPr>
                <w:rFonts w:cs="Arial"/>
                <w:szCs w:val="24"/>
              </w:rPr>
              <w:t>p</w:t>
            </w:r>
            <w:r w:rsidR="005E403E">
              <w:rPr>
                <w:rFonts w:cs="Arial"/>
                <w:szCs w:val="24"/>
              </w:rPr>
              <w:t xml:space="preserve">roviders </w:t>
            </w:r>
            <w:r w:rsidR="00EC0939" w:rsidRPr="00EC0939">
              <w:rPr>
                <w:rFonts w:cs="Arial"/>
                <w:szCs w:val="24"/>
              </w:rPr>
              <w:t xml:space="preserve">with an overall spend of £100k or more within 2018/19. </w:t>
            </w:r>
          </w:p>
        </w:tc>
      </w:tr>
      <w:tr w:rsidR="00CF3963" w:rsidRPr="000412A1" w14:paraId="3B53D4DA" w14:textId="77777777" w:rsidTr="003038EC">
        <w:trPr>
          <w:gridAfter w:val="1"/>
          <w:wAfter w:w="11" w:type="pct"/>
        </w:trPr>
        <w:tc>
          <w:tcPr>
            <w:tcW w:w="2247" w:type="pct"/>
            <w:gridSpan w:val="4"/>
            <w:shd w:val="clear" w:color="auto" w:fill="D9D9D9" w:themeFill="background1" w:themeFillShade="D9"/>
          </w:tcPr>
          <w:p w14:paraId="0D75A554" w14:textId="77777777" w:rsidR="00CF3963" w:rsidRPr="000412A1" w:rsidRDefault="002C4571" w:rsidP="00305C7E">
            <w:pPr>
              <w:rPr>
                <w:rFonts w:cs="Arial"/>
                <w:szCs w:val="24"/>
              </w:rPr>
            </w:pPr>
            <w:r w:rsidRPr="002C4571">
              <w:rPr>
                <w:rFonts w:cs="Arial"/>
                <w:b/>
                <w:szCs w:val="24"/>
              </w:rPr>
              <w:t xml:space="preserve">List of </w:t>
            </w:r>
            <w:r w:rsidR="004E377A">
              <w:rPr>
                <w:rFonts w:cs="Arial"/>
                <w:b/>
                <w:szCs w:val="24"/>
              </w:rPr>
              <w:t xml:space="preserve">Providers for whom Indicator is </w:t>
            </w:r>
            <w:r w:rsidR="004E377A" w:rsidRPr="002C4571">
              <w:rPr>
                <w:rFonts w:cs="Arial"/>
                <w:b/>
                <w:szCs w:val="24"/>
              </w:rPr>
              <w:t>Applicable</w:t>
            </w:r>
          </w:p>
        </w:tc>
        <w:tc>
          <w:tcPr>
            <w:tcW w:w="2742" w:type="pct"/>
            <w:gridSpan w:val="2"/>
          </w:tcPr>
          <w:p w14:paraId="75543A77" w14:textId="77777777" w:rsidR="00CF3963" w:rsidRPr="00B235E2" w:rsidRDefault="003B2C85" w:rsidP="005B1691">
            <w:pPr>
              <w:rPr>
                <w:rFonts w:cs="Arial"/>
                <w:szCs w:val="24"/>
              </w:rPr>
            </w:pPr>
            <w:r>
              <w:rPr>
                <w:rFonts w:cs="Arial"/>
                <w:szCs w:val="24"/>
              </w:rPr>
              <w:t>List is available separately to commissioners.</w:t>
            </w:r>
          </w:p>
        </w:tc>
      </w:tr>
      <w:tr w:rsidR="00CF3963" w:rsidRPr="000412A1" w14:paraId="5F2F8103" w14:textId="77777777" w:rsidTr="003038EC">
        <w:trPr>
          <w:gridAfter w:val="1"/>
          <w:wAfter w:w="11" w:type="pct"/>
        </w:trPr>
        <w:tc>
          <w:tcPr>
            <w:tcW w:w="4989" w:type="pct"/>
            <w:gridSpan w:val="6"/>
            <w:shd w:val="clear" w:color="auto" w:fill="BFBFBF" w:themeFill="background1" w:themeFillShade="BF"/>
          </w:tcPr>
          <w:p w14:paraId="1A197F25" w14:textId="77777777" w:rsidR="00CF3963" w:rsidRPr="004B2DC0" w:rsidRDefault="00CF3963" w:rsidP="00C25612">
            <w:pPr>
              <w:spacing w:before="40" w:after="40"/>
              <w:rPr>
                <w:rFonts w:cs="Arial"/>
                <w:b/>
                <w:color w:val="000000"/>
                <w:szCs w:val="24"/>
              </w:rPr>
            </w:pPr>
            <w:r>
              <w:rPr>
                <w:rFonts w:cs="Arial"/>
                <w:b/>
                <w:szCs w:val="24"/>
              </w:rPr>
              <w:t xml:space="preserve">C2. </w:t>
            </w:r>
            <w:r w:rsidR="00C25612">
              <w:rPr>
                <w:rFonts w:cs="Arial"/>
                <w:b/>
                <w:szCs w:val="24"/>
              </w:rPr>
              <w:t>Provider Specific Parameters</w:t>
            </w:r>
          </w:p>
        </w:tc>
      </w:tr>
      <w:tr w:rsidR="00C25612" w:rsidRPr="000412A1" w14:paraId="5EA5859B" w14:textId="77777777" w:rsidTr="003038EC">
        <w:trPr>
          <w:gridAfter w:val="1"/>
          <w:wAfter w:w="11" w:type="pct"/>
          <w:trHeight w:val="1818"/>
        </w:trPr>
        <w:tc>
          <w:tcPr>
            <w:tcW w:w="2279" w:type="pct"/>
            <w:gridSpan w:val="5"/>
            <w:shd w:val="clear" w:color="auto" w:fill="D9D9D9" w:themeFill="background1" w:themeFillShade="D9"/>
          </w:tcPr>
          <w:p w14:paraId="3C753060" w14:textId="77777777" w:rsidR="00C25612" w:rsidRDefault="00C25612" w:rsidP="003038EC">
            <w:pPr>
              <w:rPr>
                <w:rFonts w:cs="Arial"/>
                <w:szCs w:val="24"/>
                <w:u w:val="single"/>
              </w:rPr>
            </w:pPr>
            <w:r w:rsidRPr="001F6AA3">
              <w:rPr>
                <w:rFonts w:cs="Arial"/>
                <w:b/>
                <w:szCs w:val="24"/>
              </w:rPr>
              <w:t xml:space="preserve">The </w:t>
            </w:r>
            <w:r w:rsidR="001F421F" w:rsidRPr="001F6AA3">
              <w:rPr>
                <w:rFonts w:cs="Arial"/>
                <w:b/>
                <w:szCs w:val="24"/>
              </w:rPr>
              <w:t>indicator</w:t>
            </w:r>
            <w:r w:rsidRPr="001F6AA3">
              <w:rPr>
                <w:rFonts w:cs="Arial"/>
                <w:b/>
                <w:szCs w:val="24"/>
              </w:rPr>
              <w:t xml:space="preserve"> requires the following parameters to be set for each provider in advance of contract, </w:t>
            </w:r>
            <w:r w:rsidR="00511229" w:rsidRPr="001F6AA3">
              <w:rPr>
                <w:rFonts w:cs="Arial"/>
                <w:b/>
                <w:szCs w:val="24"/>
              </w:rPr>
              <w:t>to</w:t>
            </w:r>
            <w:r w:rsidRPr="001F6AA3">
              <w:rPr>
                <w:rFonts w:cs="Arial"/>
                <w:b/>
                <w:szCs w:val="24"/>
              </w:rPr>
              <w:t xml:space="preserve"> determine precisely what is required of each provider, and/or to determine appropriate target payment (as per C3.)</w:t>
            </w:r>
          </w:p>
        </w:tc>
        <w:tc>
          <w:tcPr>
            <w:tcW w:w="2710" w:type="pct"/>
          </w:tcPr>
          <w:p w14:paraId="76CD9602" w14:textId="77777777" w:rsidR="005B1691" w:rsidRDefault="005B1691" w:rsidP="007944CC">
            <w:pPr>
              <w:rPr>
                <w:rFonts w:cs="Arial"/>
                <w:i/>
                <w:szCs w:val="24"/>
              </w:rPr>
            </w:pPr>
          </w:p>
          <w:p w14:paraId="4800C156" w14:textId="77777777" w:rsidR="009731AD" w:rsidRPr="00B652BC" w:rsidRDefault="00F226A7" w:rsidP="00C25612">
            <w:pPr>
              <w:rPr>
                <w:rFonts w:cs="Arial"/>
                <w:szCs w:val="24"/>
              </w:rPr>
            </w:pPr>
            <w:r>
              <w:rPr>
                <w:rFonts w:cs="Arial"/>
                <w:szCs w:val="24"/>
              </w:rPr>
              <w:t>N/A</w:t>
            </w:r>
          </w:p>
          <w:p w14:paraId="6005EEC3" w14:textId="77777777" w:rsidR="009731AD" w:rsidRDefault="009731AD" w:rsidP="00C25612">
            <w:pPr>
              <w:rPr>
                <w:rFonts w:cs="Arial"/>
                <w:i/>
                <w:szCs w:val="24"/>
              </w:rPr>
            </w:pPr>
          </w:p>
        </w:tc>
      </w:tr>
      <w:tr w:rsidR="00CF3963" w:rsidRPr="000412A1" w14:paraId="12405DFA" w14:textId="77777777" w:rsidTr="003038EC">
        <w:trPr>
          <w:gridAfter w:val="1"/>
          <w:wAfter w:w="11" w:type="pct"/>
        </w:trPr>
        <w:tc>
          <w:tcPr>
            <w:tcW w:w="4989" w:type="pct"/>
            <w:gridSpan w:val="6"/>
            <w:shd w:val="clear" w:color="auto" w:fill="BFBFBF" w:themeFill="background1" w:themeFillShade="BF"/>
          </w:tcPr>
          <w:p w14:paraId="0F037230" w14:textId="77777777" w:rsidR="00CF3963" w:rsidRPr="000412A1" w:rsidRDefault="00CF3963" w:rsidP="0084461B">
            <w:pPr>
              <w:rPr>
                <w:rFonts w:eastAsiaTheme="minorEastAsia" w:cs="Arial"/>
                <w:b/>
                <w:szCs w:val="24"/>
              </w:rPr>
            </w:pPr>
            <w:r>
              <w:rPr>
                <w:rFonts w:eastAsiaTheme="minorEastAsia" w:cs="Arial"/>
                <w:b/>
                <w:szCs w:val="24"/>
              </w:rPr>
              <w:t xml:space="preserve">C3. Calculating the Target </w:t>
            </w:r>
            <w:r w:rsidRPr="00C0210F">
              <w:rPr>
                <w:rFonts w:eastAsiaTheme="minorEastAsia" w:cs="Arial"/>
                <w:b/>
                <w:szCs w:val="24"/>
              </w:rPr>
              <w:t xml:space="preserve">Payment </w:t>
            </w:r>
            <w:r>
              <w:rPr>
                <w:rFonts w:eastAsiaTheme="minorEastAsia" w:cs="Arial"/>
                <w:b/>
                <w:szCs w:val="24"/>
              </w:rPr>
              <w:t>for a Provider</w:t>
            </w:r>
            <w:r w:rsidRPr="000412A1">
              <w:rPr>
                <w:rFonts w:eastAsiaTheme="minorEastAsia" w:cs="Arial"/>
                <w:b/>
                <w:szCs w:val="24"/>
              </w:rPr>
              <w:t xml:space="preserve"> </w:t>
            </w:r>
          </w:p>
        </w:tc>
      </w:tr>
      <w:tr w:rsidR="00CF3963" w:rsidRPr="000412A1" w14:paraId="20A07DEC" w14:textId="77777777" w:rsidTr="003038EC">
        <w:trPr>
          <w:gridAfter w:val="1"/>
          <w:wAfter w:w="11" w:type="pct"/>
        </w:trPr>
        <w:tc>
          <w:tcPr>
            <w:tcW w:w="4989" w:type="pct"/>
            <w:gridSpan w:val="6"/>
          </w:tcPr>
          <w:p w14:paraId="2C7468A0" w14:textId="77777777" w:rsidR="001D65DE" w:rsidRPr="009731AD" w:rsidRDefault="001D65DE" w:rsidP="001D65DE">
            <w:pPr>
              <w:rPr>
                <w:rFonts w:eastAsiaTheme="minorEastAsia" w:cs="Arial"/>
                <w:sz w:val="8"/>
                <w:szCs w:val="24"/>
              </w:rPr>
            </w:pPr>
          </w:p>
          <w:p w14:paraId="08DE8EEE" w14:textId="77777777" w:rsidR="004716C0" w:rsidRPr="00E93A29" w:rsidRDefault="004716C0" w:rsidP="001D65DE">
            <w:pPr>
              <w:rPr>
                <w:rFonts w:eastAsiaTheme="minorEastAsia" w:cs="Arial"/>
                <w:sz w:val="8"/>
                <w:szCs w:val="24"/>
              </w:rPr>
            </w:pPr>
          </w:p>
          <w:p w14:paraId="5D1DFAE7" w14:textId="77777777" w:rsidR="001D65DE" w:rsidRPr="001D65DE" w:rsidRDefault="001D65DE" w:rsidP="001D65DE">
            <w:pPr>
              <w:rPr>
                <w:rFonts w:eastAsiaTheme="minorEastAsia" w:cs="Arial"/>
                <w:szCs w:val="24"/>
              </w:rPr>
            </w:pPr>
            <w:r w:rsidRPr="001D65DE">
              <w:rPr>
                <w:rFonts w:eastAsiaTheme="minorEastAsia" w:cs="Arial"/>
                <w:szCs w:val="24"/>
              </w:rPr>
              <w:t xml:space="preserve">The target overall payment for this scheme (the payment if the requirements of the scheme are fully met, to be set in Section B3 above) should be calculated for each provider, according to the following algorithm: </w:t>
            </w:r>
          </w:p>
          <w:p w14:paraId="622F63D5" w14:textId="77777777" w:rsidR="00BC1307" w:rsidRPr="00E93A29" w:rsidRDefault="00BC1307" w:rsidP="001D65DE">
            <w:pPr>
              <w:rPr>
                <w:rFonts w:cs="Arial"/>
                <w:color w:val="FF0000"/>
                <w:sz w:val="10"/>
                <w:szCs w:val="24"/>
                <w:u w:val="single"/>
              </w:rPr>
            </w:pPr>
          </w:p>
          <w:p w14:paraId="4F15BC24" w14:textId="40510608" w:rsidR="004716C0" w:rsidRDefault="00B55293" w:rsidP="00BC1307">
            <w:pPr>
              <w:pStyle w:val="ListParagraph"/>
              <w:numPr>
                <w:ilvl w:val="0"/>
                <w:numId w:val="22"/>
              </w:numPr>
              <w:rPr>
                <w:rFonts w:cs="Arial"/>
                <w:color w:val="000000" w:themeColor="text1"/>
                <w:szCs w:val="24"/>
              </w:rPr>
            </w:pPr>
            <w:r>
              <w:rPr>
                <w:rFonts w:cs="Arial"/>
                <w:color w:val="000000" w:themeColor="text1"/>
                <w:szCs w:val="24"/>
              </w:rPr>
              <w:t>1</w:t>
            </w:r>
            <w:r w:rsidR="00610216">
              <w:rPr>
                <w:rFonts w:cs="Arial"/>
                <w:color w:val="000000" w:themeColor="text1"/>
                <w:szCs w:val="24"/>
              </w:rPr>
              <w:t>.2</w:t>
            </w:r>
            <w:r>
              <w:rPr>
                <w:rFonts w:cs="Arial"/>
                <w:color w:val="000000" w:themeColor="text1"/>
                <w:szCs w:val="24"/>
              </w:rPr>
              <w:t xml:space="preserve">% of </w:t>
            </w:r>
            <w:r w:rsidR="004716C0" w:rsidRPr="00BC1307">
              <w:rPr>
                <w:rFonts w:cs="Arial"/>
                <w:color w:val="000000" w:themeColor="text1"/>
                <w:szCs w:val="24"/>
              </w:rPr>
              <w:t xml:space="preserve">the </w:t>
            </w:r>
            <w:r w:rsidR="00187BDA">
              <w:rPr>
                <w:rFonts w:cs="Arial"/>
                <w:color w:val="000000" w:themeColor="text1"/>
                <w:szCs w:val="24"/>
              </w:rPr>
              <w:t>p</w:t>
            </w:r>
            <w:r w:rsidR="00187BDA" w:rsidRPr="00BC1307">
              <w:rPr>
                <w:rFonts w:cs="Arial"/>
                <w:color w:val="000000" w:themeColor="text1"/>
                <w:szCs w:val="24"/>
              </w:rPr>
              <w:t>rovider</w:t>
            </w:r>
            <w:r w:rsidR="00D10967">
              <w:rPr>
                <w:rFonts w:cs="Arial"/>
                <w:color w:val="000000" w:themeColor="text1"/>
                <w:szCs w:val="24"/>
              </w:rPr>
              <w:t>’</w:t>
            </w:r>
            <w:r w:rsidR="00187BDA">
              <w:rPr>
                <w:rFonts w:cs="Arial"/>
                <w:color w:val="000000" w:themeColor="text1"/>
                <w:szCs w:val="24"/>
              </w:rPr>
              <w:t>s</w:t>
            </w:r>
            <w:r w:rsidR="004716C0" w:rsidRPr="00BC1307">
              <w:rPr>
                <w:rFonts w:cs="Arial"/>
                <w:color w:val="000000" w:themeColor="text1"/>
                <w:szCs w:val="24"/>
              </w:rPr>
              <w:t xml:space="preserve"> spend upon high cost drugs</w:t>
            </w:r>
            <w:r w:rsidR="00394229">
              <w:rPr>
                <w:rFonts w:cs="Arial"/>
                <w:color w:val="000000" w:themeColor="text1"/>
                <w:szCs w:val="24"/>
              </w:rPr>
              <w:t xml:space="preserve"> up to £50m, plus 0.</w:t>
            </w:r>
            <w:r w:rsidR="00610216">
              <w:rPr>
                <w:rFonts w:cs="Arial"/>
                <w:color w:val="000000" w:themeColor="text1"/>
                <w:szCs w:val="24"/>
              </w:rPr>
              <w:t>6</w:t>
            </w:r>
            <w:r w:rsidR="00394229">
              <w:rPr>
                <w:rFonts w:cs="Arial"/>
                <w:color w:val="000000" w:themeColor="text1"/>
                <w:szCs w:val="24"/>
              </w:rPr>
              <w:t xml:space="preserve">% of the </w:t>
            </w:r>
            <w:r w:rsidR="00527E16">
              <w:rPr>
                <w:rFonts w:cs="Arial"/>
                <w:color w:val="000000" w:themeColor="text1"/>
                <w:szCs w:val="24"/>
              </w:rPr>
              <w:t>provider</w:t>
            </w:r>
            <w:r w:rsidR="00D10967">
              <w:rPr>
                <w:rFonts w:cs="Arial"/>
                <w:color w:val="000000" w:themeColor="text1"/>
                <w:szCs w:val="24"/>
              </w:rPr>
              <w:t>’</w:t>
            </w:r>
            <w:r w:rsidR="00527E16">
              <w:rPr>
                <w:rFonts w:cs="Arial"/>
                <w:color w:val="000000" w:themeColor="text1"/>
                <w:szCs w:val="24"/>
              </w:rPr>
              <w:t>s</w:t>
            </w:r>
            <w:r w:rsidR="00394229">
              <w:rPr>
                <w:rFonts w:cs="Arial"/>
                <w:color w:val="000000" w:themeColor="text1"/>
                <w:szCs w:val="24"/>
              </w:rPr>
              <w:t xml:space="preserve"> spend upon high cost drugs in excess of £50m</w:t>
            </w:r>
            <w:r w:rsidR="004716C0" w:rsidRPr="00BC1307">
              <w:rPr>
                <w:rFonts w:cs="Arial"/>
                <w:color w:val="000000" w:themeColor="text1"/>
                <w:szCs w:val="24"/>
              </w:rPr>
              <w:t>.</w:t>
            </w:r>
          </w:p>
          <w:p w14:paraId="2D62F004" w14:textId="43E43C3E" w:rsidR="00DA6899" w:rsidRDefault="00DA6899" w:rsidP="00BC1307">
            <w:pPr>
              <w:pStyle w:val="ListParagraph"/>
              <w:numPr>
                <w:ilvl w:val="0"/>
                <w:numId w:val="22"/>
              </w:numPr>
              <w:rPr>
                <w:rFonts w:cs="Arial"/>
                <w:color w:val="000000" w:themeColor="text1"/>
                <w:szCs w:val="24"/>
              </w:rPr>
            </w:pPr>
            <w:r>
              <w:rPr>
                <w:rFonts w:cs="Arial"/>
                <w:color w:val="000000" w:themeColor="text1"/>
                <w:szCs w:val="24"/>
              </w:rPr>
              <w:t xml:space="preserve">Sum </w:t>
            </w:r>
            <w:r w:rsidR="00D66E6D">
              <w:rPr>
                <w:rFonts w:cs="Arial"/>
                <w:color w:val="000000" w:themeColor="text1"/>
                <w:szCs w:val="24"/>
              </w:rPr>
              <w:t xml:space="preserve">may </w:t>
            </w:r>
            <w:r>
              <w:rPr>
                <w:rFonts w:cs="Arial"/>
                <w:color w:val="000000" w:themeColor="text1"/>
                <w:szCs w:val="24"/>
              </w:rPr>
              <w:t>be scaled according to number of triggers applicable.</w:t>
            </w:r>
          </w:p>
          <w:p w14:paraId="0FDFA226" w14:textId="77777777" w:rsidR="00087952" w:rsidRPr="00087952" w:rsidRDefault="00087952" w:rsidP="00087952">
            <w:pPr>
              <w:pStyle w:val="ListParagraph"/>
              <w:rPr>
                <w:rFonts w:cs="Arial"/>
                <w:color w:val="000000" w:themeColor="text1"/>
                <w:sz w:val="10"/>
                <w:szCs w:val="24"/>
              </w:rPr>
            </w:pPr>
          </w:p>
          <w:p w14:paraId="4D3D09C5" w14:textId="77777777" w:rsidR="00DA6899" w:rsidRPr="008734CB" w:rsidRDefault="00DA6899" w:rsidP="004716C0">
            <w:pPr>
              <w:rPr>
                <w:rFonts w:cs="Arial"/>
                <w:color w:val="000000" w:themeColor="text1"/>
                <w:sz w:val="2"/>
                <w:szCs w:val="24"/>
                <w:u w:val="single"/>
              </w:rPr>
            </w:pPr>
          </w:p>
          <w:p w14:paraId="115C42F5" w14:textId="3D34F431" w:rsidR="004716C0" w:rsidRPr="00087952" w:rsidRDefault="00087952" w:rsidP="004716C0">
            <w:pPr>
              <w:rPr>
                <w:rFonts w:cs="Arial"/>
                <w:color w:val="000000" w:themeColor="text1"/>
                <w:szCs w:val="24"/>
                <w:u w:val="single"/>
              </w:rPr>
            </w:pPr>
            <w:r w:rsidRPr="00087952">
              <w:rPr>
                <w:rFonts w:cs="Arial"/>
                <w:color w:val="000000" w:themeColor="text1"/>
                <w:szCs w:val="24"/>
                <w:u w:val="single"/>
              </w:rPr>
              <w:t>Example:</w:t>
            </w:r>
          </w:p>
          <w:p w14:paraId="1B81587E" w14:textId="5E9125AD" w:rsidR="001D65DE" w:rsidRPr="001D65DE" w:rsidRDefault="001D65DE" w:rsidP="001D65DE">
            <w:pPr>
              <w:rPr>
                <w:rFonts w:eastAsiaTheme="minorEastAsia" w:cs="Arial"/>
                <w:szCs w:val="24"/>
              </w:rPr>
            </w:pPr>
            <w:r w:rsidRPr="001D65DE">
              <w:rPr>
                <w:rFonts w:eastAsiaTheme="minorEastAsia" w:cs="Arial"/>
                <w:szCs w:val="24"/>
              </w:rPr>
              <w:t>If a hospital has anticipated spending on high cost drugs of £</w:t>
            </w:r>
            <w:r w:rsidR="00BC1307">
              <w:rPr>
                <w:rFonts w:eastAsiaTheme="minorEastAsia" w:cs="Arial"/>
                <w:szCs w:val="24"/>
              </w:rPr>
              <w:t>1</w:t>
            </w:r>
            <w:r w:rsidRPr="001D65DE">
              <w:rPr>
                <w:rFonts w:eastAsiaTheme="minorEastAsia" w:cs="Arial"/>
                <w:szCs w:val="24"/>
              </w:rPr>
              <w:t xml:space="preserve">25m, this CQUIN </w:t>
            </w:r>
            <w:r w:rsidR="00781658">
              <w:rPr>
                <w:rFonts w:eastAsiaTheme="minorEastAsia" w:cs="Arial"/>
                <w:szCs w:val="24"/>
              </w:rPr>
              <w:t>indicator</w:t>
            </w:r>
            <w:r w:rsidRPr="001D65DE">
              <w:rPr>
                <w:rFonts w:eastAsiaTheme="minorEastAsia" w:cs="Arial"/>
                <w:szCs w:val="24"/>
              </w:rPr>
              <w:t xml:space="preserve"> would attract a target payment of £</w:t>
            </w:r>
            <w:r w:rsidR="00B672AB">
              <w:rPr>
                <w:rFonts w:eastAsiaTheme="minorEastAsia" w:cs="Arial"/>
                <w:szCs w:val="24"/>
              </w:rPr>
              <w:t>6</w:t>
            </w:r>
            <w:r w:rsidR="00394229">
              <w:rPr>
                <w:rFonts w:eastAsiaTheme="minorEastAsia" w:cs="Arial"/>
                <w:szCs w:val="24"/>
              </w:rPr>
              <w:t>00</w:t>
            </w:r>
            <w:r w:rsidR="004716C0">
              <w:rPr>
                <w:rFonts w:eastAsiaTheme="minorEastAsia" w:cs="Arial"/>
                <w:szCs w:val="24"/>
              </w:rPr>
              <w:t>,</w:t>
            </w:r>
            <w:r w:rsidR="00BC1307">
              <w:rPr>
                <w:rFonts w:eastAsiaTheme="minorEastAsia" w:cs="Arial"/>
                <w:szCs w:val="24"/>
              </w:rPr>
              <w:t>0</w:t>
            </w:r>
            <w:r w:rsidR="004716C0">
              <w:rPr>
                <w:rFonts w:eastAsiaTheme="minorEastAsia" w:cs="Arial"/>
                <w:szCs w:val="24"/>
              </w:rPr>
              <w:t>00 + £</w:t>
            </w:r>
            <w:r w:rsidR="00B672AB">
              <w:rPr>
                <w:rFonts w:eastAsiaTheme="minorEastAsia" w:cs="Arial"/>
                <w:szCs w:val="24"/>
              </w:rPr>
              <w:t>450</w:t>
            </w:r>
            <w:r w:rsidR="004716C0">
              <w:rPr>
                <w:rFonts w:eastAsiaTheme="minorEastAsia" w:cs="Arial"/>
                <w:szCs w:val="24"/>
              </w:rPr>
              <w:t>,000</w:t>
            </w:r>
            <w:r w:rsidR="00BC1307">
              <w:rPr>
                <w:rFonts w:eastAsiaTheme="minorEastAsia" w:cs="Arial"/>
                <w:szCs w:val="24"/>
              </w:rPr>
              <w:t xml:space="preserve"> = £</w:t>
            </w:r>
            <w:r w:rsidR="003162B8">
              <w:rPr>
                <w:rFonts w:eastAsiaTheme="minorEastAsia" w:cs="Arial"/>
                <w:szCs w:val="24"/>
              </w:rPr>
              <w:t>1,0</w:t>
            </w:r>
            <w:r w:rsidR="0040381D">
              <w:rPr>
                <w:rFonts w:eastAsiaTheme="minorEastAsia" w:cs="Arial"/>
                <w:szCs w:val="24"/>
              </w:rPr>
              <w:t>5</w:t>
            </w:r>
            <w:r w:rsidR="003162B8">
              <w:rPr>
                <w:rFonts w:eastAsiaTheme="minorEastAsia" w:cs="Arial"/>
                <w:szCs w:val="24"/>
              </w:rPr>
              <w:t>0</w:t>
            </w:r>
            <w:r w:rsidR="0040381D">
              <w:rPr>
                <w:rFonts w:eastAsiaTheme="minorEastAsia" w:cs="Arial"/>
                <w:szCs w:val="24"/>
              </w:rPr>
              <w:t>,000</w:t>
            </w:r>
            <w:r w:rsidR="004716C0">
              <w:rPr>
                <w:rFonts w:eastAsiaTheme="minorEastAsia" w:cs="Arial"/>
                <w:szCs w:val="24"/>
              </w:rPr>
              <w:t>.</w:t>
            </w:r>
          </w:p>
          <w:p w14:paraId="4C2CA90C" w14:textId="77777777" w:rsidR="001D65DE" w:rsidRPr="00E93A29" w:rsidRDefault="001D65DE" w:rsidP="001D65DE">
            <w:pPr>
              <w:rPr>
                <w:rFonts w:eastAsiaTheme="minorEastAsia" w:cs="Arial"/>
                <w:sz w:val="2"/>
                <w:szCs w:val="24"/>
                <w:u w:val="single"/>
              </w:rPr>
            </w:pPr>
          </w:p>
          <w:p w14:paraId="685E11F1" w14:textId="134D86AC" w:rsidR="001D65DE" w:rsidRDefault="001D65DE" w:rsidP="001D65DE">
            <w:pPr>
              <w:rPr>
                <w:rFonts w:eastAsiaTheme="minorEastAsia" w:cs="Arial"/>
                <w:sz w:val="10"/>
                <w:szCs w:val="24"/>
                <w:u w:val="single"/>
              </w:rPr>
            </w:pPr>
          </w:p>
          <w:p w14:paraId="20342EB5" w14:textId="037C7BDE" w:rsidR="00DA6899" w:rsidRPr="00590990" w:rsidRDefault="00DA6899" w:rsidP="001D65DE">
            <w:pPr>
              <w:rPr>
                <w:rFonts w:cs="Arial"/>
                <w:b/>
                <w:szCs w:val="24"/>
              </w:rPr>
            </w:pPr>
            <w:r w:rsidRPr="00590990">
              <w:rPr>
                <w:rFonts w:cs="Arial"/>
                <w:b/>
                <w:szCs w:val="24"/>
              </w:rPr>
              <w:t xml:space="preserve">Not all triggers will be relevant </w:t>
            </w:r>
            <w:r w:rsidR="00CB1E15" w:rsidRPr="00590990">
              <w:rPr>
                <w:rFonts w:cs="Arial"/>
                <w:b/>
                <w:szCs w:val="24"/>
              </w:rPr>
              <w:t xml:space="preserve">or a priority </w:t>
            </w:r>
            <w:r w:rsidRPr="00590990">
              <w:rPr>
                <w:rFonts w:cs="Arial"/>
                <w:b/>
                <w:szCs w:val="24"/>
              </w:rPr>
              <w:t xml:space="preserve">for every </w:t>
            </w:r>
            <w:proofErr w:type="gramStart"/>
            <w:r w:rsidRPr="00590990">
              <w:rPr>
                <w:rFonts w:cs="Arial"/>
                <w:b/>
                <w:szCs w:val="24"/>
              </w:rPr>
              <w:t>provider</w:t>
            </w:r>
            <w:proofErr w:type="gramEnd"/>
            <w:r w:rsidRPr="00590990">
              <w:rPr>
                <w:rFonts w:cs="Arial"/>
                <w:b/>
                <w:szCs w:val="24"/>
              </w:rPr>
              <w:t xml:space="preserve"> so resource requirements </w:t>
            </w:r>
            <w:r w:rsidR="00CB1E15" w:rsidRPr="00590990">
              <w:rPr>
                <w:rFonts w:cs="Arial"/>
                <w:b/>
                <w:szCs w:val="24"/>
              </w:rPr>
              <w:t>may</w:t>
            </w:r>
            <w:r w:rsidRPr="00590990">
              <w:rPr>
                <w:rFonts w:cs="Arial"/>
                <w:b/>
                <w:szCs w:val="24"/>
              </w:rPr>
              <w:t xml:space="preserve"> be adjusted accordingly. </w:t>
            </w:r>
          </w:p>
          <w:p w14:paraId="0664286C" w14:textId="7AF551F9" w:rsidR="00DA6899" w:rsidRDefault="00DA6899" w:rsidP="001D65DE">
            <w:pPr>
              <w:rPr>
                <w:rFonts w:cs="Arial"/>
                <w:szCs w:val="24"/>
              </w:rPr>
            </w:pPr>
            <w:r>
              <w:rPr>
                <w:rFonts w:cs="Arial"/>
                <w:szCs w:val="24"/>
              </w:rPr>
              <w:t xml:space="preserve">Example: </w:t>
            </w:r>
          </w:p>
          <w:p w14:paraId="1AA5CA46" w14:textId="6D82FD38" w:rsidR="00DA6899" w:rsidRDefault="00DA6899" w:rsidP="001D65DE">
            <w:pPr>
              <w:rPr>
                <w:rFonts w:cs="Arial"/>
                <w:szCs w:val="24"/>
              </w:rPr>
            </w:pPr>
            <w:r>
              <w:rPr>
                <w:rFonts w:cs="Arial"/>
                <w:szCs w:val="24"/>
              </w:rPr>
              <w:t xml:space="preserve">If the above hospital is not doing trigger 5, which is allocated 20% of CQUIN value, then the target overall payment </w:t>
            </w:r>
            <w:r w:rsidR="00CB1E15">
              <w:rPr>
                <w:rFonts w:cs="Arial"/>
                <w:szCs w:val="24"/>
              </w:rPr>
              <w:t>may</w:t>
            </w:r>
            <w:r>
              <w:rPr>
                <w:rFonts w:cs="Arial"/>
                <w:szCs w:val="24"/>
              </w:rPr>
              <w:t xml:space="preserve"> be reduced by 20% to £</w:t>
            </w:r>
            <w:r w:rsidR="003162B8">
              <w:rPr>
                <w:rFonts w:cs="Arial"/>
                <w:szCs w:val="24"/>
              </w:rPr>
              <w:t>1,050</w:t>
            </w:r>
            <w:r>
              <w:rPr>
                <w:rFonts w:cs="Arial"/>
                <w:szCs w:val="24"/>
              </w:rPr>
              <w:t xml:space="preserve">,000 x 80% = </w:t>
            </w:r>
            <w:r w:rsidR="00C45C12">
              <w:rPr>
                <w:rFonts w:cs="Arial"/>
                <w:szCs w:val="24"/>
              </w:rPr>
              <w:t>£</w:t>
            </w:r>
            <w:r w:rsidR="003162B8">
              <w:rPr>
                <w:rFonts w:cs="Arial"/>
                <w:szCs w:val="24"/>
              </w:rPr>
              <w:t>84</w:t>
            </w:r>
            <w:r w:rsidR="00C45C12">
              <w:rPr>
                <w:rFonts w:cs="Arial"/>
                <w:szCs w:val="24"/>
              </w:rPr>
              <w:t>0,000.</w:t>
            </w:r>
          </w:p>
          <w:p w14:paraId="553942D5" w14:textId="4299D8B2" w:rsidR="00CB1E15" w:rsidRPr="00B84576" w:rsidRDefault="00CB1E15" w:rsidP="001D65DE">
            <w:pPr>
              <w:rPr>
                <w:rFonts w:cs="Arial"/>
                <w:sz w:val="6"/>
                <w:szCs w:val="24"/>
              </w:rPr>
            </w:pPr>
          </w:p>
          <w:p w14:paraId="1459DD2A" w14:textId="7B8E9542" w:rsidR="00CB1E15" w:rsidRDefault="00CB1E15" w:rsidP="00CB1E15">
            <w:pPr>
              <w:rPr>
                <w:rFonts w:eastAsiaTheme="minorEastAsia" w:cs="Arial"/>
                <w:sz w:val="10"/>
                <w:szCs w:val="24"/>
                <w:u w:val="single"/>
              </w:rPr>
            </w:pPr>
            <w:r>
              <w:rPr>
                <w:rFonts w:cs="Arial"/>
                <w:szCs w:val="24"/>
              </w:rPr>
              <w:t>Note however that whether to adjust the target payment where not all triggers are applicable, and to what extent, is subject to local commissioner discretion. This should be based on judgment of the onerousness of the implementation of the remaining triggers (in comparison to other providers to whom all triggers apply).</w:t>
            </w:r>
          </w:p>
          <w:p w14:paraId="337B92B8" w14:textId="08EC5F4F" w:rsidR="00CB1E15" w:rsidRDefault="00CB1E15" w:rsidP="001D65DE">
            <w:pPr>
              <w:rPr>
                <w:rFonts w:eastAsiaTheme="minorEastAsia" w:cs="Arial"/>
                <w:sz w:val="10"/>
                <w:szCs w:val="24"/>
                <w:u w:val="single"/>
              </w:rPr>
            </w:pPr>
          </w:p>
          <w:p w14:paraId="6F110947" w14:textId="11DCD498" w:rsidR="008734CB" w:rsidRDefault="008734CB" w:rsidP="001D65DE">
            <w:pPr>
              <w:rPr>
                <w:rFonts w:eastAsiaTheme="minorEastAsia" w:cs="Arial"/>
                <w:sz w:val="10"/>
                <w:szCs w:val="24"/>
                <w:u w:val="single"/>
              </w:rPr>
            </w:pPr>
          </w:p>
          <w:p w14:paraId="5FD4739A" w14:textId="7816F863" w:rsidR="008734CB" w:rsidRDefault="008734CB" w:rsidP="001D65DE">
            <w:pPr>
              <w:rPr>
                <w:rFonts w:eastAsiaTheme="minorEastAsia" w:cs="Arial"/>
                <w:sz w:val="10"/>
                <w:szCs w:val="24"/>
                <w:u w:val="single"/>
              </w:rPr>
            </w:pPr>
          </w:p>
          <w:p w14:paraId="44E372CB" w14:textId="77777777" w:rsidR="00187BDA" w:rsidRDefault="00B84576" w:rsidP="00B84576">
            <w:pPr>
              <w:rPr>
                <w:rFonts w:eastAsiaTheme="minorEastAsia" w:cs="Arial"/>
                <w:b/>
                <w:szCs w:val="24"/>
              </w:rPr>
            </w:pPr>
            <w:r>
              <w:rPr>
                <w:rFonts w:eastAsiaTheme="minorEastAsia" w:cs="Arial"/>
                <w:b/>
                <w:szCs w:val="24"/>
              </w:rPr>
              <w:t>S</w:t>
            </w:r>
            <w:r w:rsidR="00CF3963" w:rsidRPr="00512E30">
              <w:rPr>
                <w:rFonts w:eastAsiaTheme="minorEastAsia" w:cs="Arial"/>
                <w:b/>
                <w:szCs w:val="24"/>
              </w:rPr>
              <w:t>ee Section D3 for the justification of the targeted payment</w:t>
            </w:r>
            <w:r w:rsidR="00512E30" w:rsidRPr="00512E30">
              <w:rPr>
                <w:rFonts w:eastAsiaTheme="minorEastAsia" w:cs="Arial"/>
                <w:b/>
                <w:szCs w:val="24"/>
              </w:rPr>
              <w:t xml:space="preserve">, including justification of </w:t>
            </w:r>
            <w:r w:rsidR="00CF3963" w:rsidRPr="00512E30">
              <w:rPr>
                <w:rFonts w:eastAsiaTheme="minorEastAsia" w:cs="Arial"/>
                <w:b/>
                <w:szCs w:val="24"/>
              </w:rPr>
              <w:t xml:space="preserve">the costing of the </w:t>
            </w:r>
            <w:r w:rsidR="001F421F">
              <w:rPr>
                <w:rFonts w:eastAsiaTheme="minorEastAsia" w:cs="Arial"/>
                <w:b/>
                <w:szCs w:val="24"/>
              </w:rPr>
              <w:t>indicator</w:t>
            </w:r>
            <w:r w:rsidR="00CF3963" w:rsidRPr="00512E30">
              <w:rPr>
                <w:rFonts w:eastAsiaTheme="minorEastAsia" w:cs="Arial"/>
                <w:b/>
                <w:szCs w:val="24"/>
              </w:rPr>
              <w:t>,</w:t>
            </w:r>
            <w:r w:rsidR="004716C0">
              <w:rPr>
                <w:rFonts w:eastAsiaTheme="minorEastAsia" w:cs="Arial"/>
                <w:b/>
                <w:szCs w:val="24"/>
              </w:rPr>
              <w:t xml:space="preserve"> which will underpin the payment</w:t>
            </w:r>
            <w:r w:rsidR="00E93A29">
              <w:rPr>
                <w:rFonts w:eastAsiaTheme="minorEastAsia" w:cs="Arial"/>
                <w:b/>
                <w:szCs w:val="24"/>
              </w:rPr>
              <w:t>.</w:t>
            </w:r>
          </w:p>
          <w:p w14:paraId="37BADC9C" w14:textId="77777777" w:rsidR="003B36C2" w:rsidRDefault="003B36C2" w:rsidP="00B84576">
            <w:pPr>
              <w:rPr>
                <w:rFonts w:eastAsiaTheme="minorEastAsia" w:cs="Arial"/>
                <w:b/>
                <w:szCs w:val="24"/>
              </w:rPr>
            </w:pPr>
          </w:p>
          <w:p w14:paraId="03033B71" w14:textId="77777777" w:rsidR="003B36C2" w:rsidRDefault="003B36C2" w:rsidP="00B84576">
            <w:pPr>
              <w:rPr>
                <w:rFonts w:eastAsiaTheme="minorEastAsia" w:cs="Arial"/>
                <w:b/>
                <w:szCs w:val="24"/>
              </w:rPr>
            </w:pPr>
          </w:p>
          <w:p w14:paraId="422966DF" w14:textId="77777777" w:rsidR="003B36C2" w:rsidRDefault="003B36C2" w:rsidP="00B84576">
            <w:pPr>
              <w:rPr>
                <w:rFonts w:eastAsiaTheme="minorEastAsia" w:cs="Arial"/>
                <w:b/>
                <w:szCs w:val="24"/>
              </w:rPr>
            </w:pPr>
          </w:p>
          <w:p w14:paraId="54BE3913" w14:textId="1200C244" w:rsidR="003B36C2" w:rsidRPr="001350E0" w:rsidRDefault="003B36C2" w:rsidP="00B84576">
            <w:pPr>
              <w:rPr>
                <w:rFonts w:cs="Arial"/>
                <w:szCs w:val="24"/>
              </w:rPr>
            </w:pPr>
          </w:p>
        </w:tc>
      </w:tr>
      <w:tr w:rsidR="00CF3963" w:rsidRPr="00C0210F" w14:paraId="7E89B6B0" w14:textId="77777777" w:rsidTr="003038EC">
        <w:trPr>
          <w:gridAfter w:val="1"/>
          <w:wAfter w:w="11" w:type="pct"/>
        </w:trPr>
        <w:tc>
          <w:tcPr>
            <w:tcW w:w="4989" w:type="pct"/>
            <w:gridSpan w:val="6"/>
            <w:shd w:val="clear" w:color="auto" w:fill="D9D9D9" w:themeFill="background1" w:themeFillShade="D9"/>
          </w:tcPr>
          <w:p w14:paraId="480B8F6A" w14:textId="77777777" w:rsidR="00CF3963" w:rsidRPr="00292053" w:rsidRDefault="00CF3963" w:rsidP="005931C4">
            <w:pPr>
              <w:rPr>
                <w:rFonts w:eastAsiaTheme="minorEastAsia" w:cs="Arial"/>
                <w:b/>
                <w:szCs w:val="24"/>
              </w:rPr>
            </w:pPr>
            <w:r>
              <w:rPr>
                <w:rFonts w:eastAsiaTheme="minorEastAsia" w:cs="Arial"/>
                <w:b/>
                <w:szCs w:val="24"/>
              </w:rPr>
              <w:lastRenderedPageBreak/>
              <w:t xml:space="preserve">C4. </w:t>
            </w:r>
            <w:r w:rsidRPr="00292053">
              <w:rPr>
                <w:rFonts w:eastAsiaTheme="minorEastAsia" w:cs="Arial"/>
                <w:b/>
                <w:szCs w:val="24"/>
              </w:rPr>
              <w:t>Payment Triggers and Partial Achievement Rules</w:t>
            </w:r>
          </w:p>
        </w:tc>
      </w:tr>
      <w:tr w:rsidR="00CF3963" w:rsidRPr="000412A1" w14:paraId="070AAF7E" w14:textId="77777777" w:rsidTr="003038EC">
        <w:trPr>
          <w:gridAfter w:val="1"/>
          <w:wAfter w:w="11" w:type="pct"/>
        </w:trPr>
        <w:tc>
          <w:tcPr>
            <w:tcW w:w="4989" w:type="pct"/>
            <w:gridSpan w:val="6"/>
            <w:shd w:val="clear" w:color="auto" w:fill="auto"/>
          </w:tcPr>
          <w:p w14:paraId="04326E55" w14:textId="77777777" w:rsidR="00CF3963" w:rsidRDefault="00CF3963" w:rsidP="0084461B">
            <w:pPr>
              <w:rPr>
                <w:rFonts w:eastAsiaTheme="minorEastAsia" w:cs="Arial"/>
                <w:b/>
                <w:szCs w:val="24"/>
                <w:u w:val="single"/>
              </w:rPr>
            </w:pPr>
            <w:r w:rsidRPr="005931C4">
              <w:rPr>
                <w:rFonts w:eastAsiaTheme="minorEastAsia" w:cs="Arial"/>
                <w:b/>
                <w:szCs w:val="24"/>
                <w:u w:val="single"/>
              </w:rPr>
              <w:t>Payment Triggers</w:t>
            </w:r>
          </w:p>
          <w:p w14:paraId="1DBF780A" w14:textId="77777777" w:rsidR="00CF3963" w:rsidRDefault="00CF3963" w:rsidP="0084461B">
            <w:pPr>
              <w:rPr>
                <w:rFonts w:cs="Arial"/>
                <w:szCs w:val="24"/>
              </w:rPr>
            </w:pPr>
            <w:r w:rsidRPr="001F6AA3">
              <w:rPr>
                <w:rFonts w:eastAsiaTheme="minorEastAsia" w:cs="Arial"/>
                <w:b/>
                <w:szCs w:val="24"/>
              </w:rPr>
              <w:t xml:space="preserve">The interventions or achievements required for payment under this CQUIN </w:t>
            </w:r>
            <w:r w:rsidR="001F421F" w:rsidRPr="001F6AA3">
              <w:rPr>
                <w:rFonts w:eastAsiaTheme="minorEastAsia" w:cs="Arial"/>
                <w:b/>
                <w:szCs w:val="24"/>
              </w:rPr>
              <w:t>indicator</w:t>
            </w:r>
            <w:r w:rsidRPr="001F6AA3">
              <w:rPr>
                <w:rFonts w:eastAsiaTheme="minorEastAsia" w:cs="Arial"/>
                <w:b/>
                <w:szCs w:val="24"/>
              </w:rPr>
              <w:t xml:space="preserv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963"/>
              <w:gridCol w:w="3258"/>
            </w:tblGrid>
            <w:tr w:rsidR="00711887" w:rsidRPr="00C0263E" w14:paraId="08EC0714" w14:textId="77777777" w:rsidTr="00C95A16">
              <w:trPr>
                <w:trHeight w:val="840"/>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CE435" w14:textId="77777777" w:rsidR="00711887" w:rsidRPr="00C0263E" w:rsidRDefault="00711887" w:rsidP="0084461B">
                  <w:pPr>
                    <w:spacing w:before="40" w:after="40"/>
                    <w:rPr>
                      <w:rFonts w:cs="Arial"/>
                      <w:b/>
                      <w:szCs w:val="24"/>
                    </w:rPr>
                  </w:pPr>
                  <w:r>
                    <w:rPr>
                      <w:rFonts w:cs="Arial"/>
                      <w:b/>
                      <w:szCs w:val="24"/>
                    </w:rPr>
                    <w:t>Descriptions</w:t>
                  </w:r>
                </w:p>
              </w:tc>
              <w:tc>
                <w:tcPr>
                  <w:tcW w:w="49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7BB785" w14:textId="77777777" w:rsidR="00711887" w:rsidRPr="00EC3C9D" w:rsidRDefault="00711887" w:rsidP="0084461B">
                  <w:pPr>
                    <w:spacing w:before="40" w:after="40"/>
                    <w:rPr>
                      <w:rFonts w:cs="Arial"/>
                      <w:b/>
                      <w:szCs w:val="24"/>
                    </w:rPr>
                  </w:pPr>
                  <w:r>
                    <w:rPr>
                      <w:rFonts w:cs="Arial"/>
                      <w:b/>
                      <w:szCs w:val="24"/>
                    </w:rPr>
                    <w:t>First Year of indicator</w:t>
                  </w:r>
                </w:p>
              </w:tc>
              <w:tc>
                <w:tcPr>
                  <w:tcW w:w="3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3C433C" w14:textId="77777777" w:rsidR="00711887" w:rsidRPr="00EC3C9D" w:rsidRDefault="00711887" w:rsidP="0084461B">
                  <w:pPr>
                    <w:spacing w:before="40" w:after="40"/>
                    <w:rPr>
                      <w:rFonts w:cs="Arial"/>
                      <w:b/>
                      <w:szCs w:val="24"/>
                    </w:rPr>
                  </w:pPr>
                  <w:r>
                    <w:rPr>
                      <w:rFonts w:cs="Arial"/>
                      <w:b/>
                      <w:szCs w:val="24"/>
                    </w:rPr>
                    <w:t>Second Year</w:t>
                  </w:r>
                </w:p>
              </w:tc>
            </w:tr>
            <w:tr w:rsidR="00711887" w:rsidRPr="00C0263E" w14:paraId="6E31AAFF" w14:textId="77777777" w:rsidTr="00C95A16">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D8392B" w14:textId="77777777" w:rsidR="00711887" w:rsidRDefault="00711887" w:rsidP="0084461B">
                  <w:pPr>
                    <w:spacing w:before="40" w:after="40"/>
                    <w:rPr>
                      <w:rFonts w:cs="Arial"/>
                      <w:b/>
                      <w:szCs w:val="24"/>
                    </w:rPr>
                  </w:pPr>
                  <w:r>
                    <w:rPr>
                      <w:rFonts w:cs="Arial"/>
                      <w:b/>
                      <w:szCs w:val="24"/>
                    </w:rPr>
                    <w:t>Trigger 1:</w:t>
                  </w:r>
                </w:p>
                <w:p w14:paraId="3F161B96" w14:textId="77777777" w:rsidR="003B6634" w:rsidRPr="00C0263E" w:rsidRDefault="001D65DE" w:rsidP="007C2F03">
                  <w:pPr>
                    <w:spacing w:before="40" w:after="40"/>
                    <w:rPr>
                      <w:rFonts w:cs="Arial"/>
                      <w:b/>
                      <w:szCs w:val="24"/>
                    </w:rPr>
                  </w:pPr>
                  <w:r w:rsidRPr="001D65DE">
                    <w:rPr>
                      <w:rFonts w:cs="Arial"/>
                      <w:b/>
                      <w:szCs w:val="24"/>
                    </w:rPr>
                    <w:t xml:space="preserve">Improving efficiency in the IV chemotherapy pathway from pharmacy to patient. </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4E2D11B9" w14:textId="5321EA36" w:rsidR="0040381D" w:rsidRPr="00312501" w:rsidRDefault="00312501" w:rsidP="0082528B">
                  <w:pPr>
                    <w:spacing w:before="40" w:after="40"/>
                    <w:rPr>
                      <w:rFonts w:cs="Arial"/>
                      <w:color w:val="000000"/>
                      <w:szCs w:val="24"/>
                    </w:rPr>
                  </w:pPr>
                  <w:r w:rsidRPr="00312501">
                    <w:rPr>
                      <w:rFonts w:cs="Arial"/>
                      <w:b/>
                      <w:color w:val="000000"/>
                      <w:szCs w:val="24"/>
                    </w:rPr>
                    <w:t>Quarter 1</w:t>
                  </w:r>
                  <w:r w:rsidR="003A68C0">
                    <w:rPr>
                      <w:rFonts w:cs="Arial"/>
                      <w:b/>
                      <w:color w:val="000000"/>
                      <w:szCs w:val="24"/>
                    </w:rPr>
                    <w:t xml:space="preserve"> target</w:t>
                  </w:r>
                  <w:r w:rsidRPr="00312501">
                    <w:rPr>
                      <w:rFonts w:cs="Arial"/>
                      <w:b/>
                      <w:color w:val="000000"/>
                      <w:szCs w:val="24"/>
                    </w:rPr>
                    <w:t xml:space="preserve"> -</w:t>
                  </w:r>
                  <w:r>
                    <w:rPr>
                      <w:rFonts w:cs="Arial"/>
                      <w:color w:val="000000"/>
                      <w:szCs w:val="24"/>
                    </w:rPr>
                    <w:t xml:space="preserve"> E</w:t>
                  </w:r>
                  <w:r w:rsidRPr="00312501">
                    <w:rPr>
                      <w:rFonts w:cs="Arial"/>
                      <w:color w:val="000000"/>
                      <w:szCs w:val="24"/>
                    </w:rPr>
                    <w:t xml:space="preserve">nsure that </w:t>
                  </w:r>
                  <w:r w:rsidRPr="002954D7">
                    <w:rPr>
                      <w:rFonts w:cs="Arial"/>
                      <w:color w:val="000000"/>
                      <w:szCs w:val="24"/>
                    </w:rPr>
                    <w:t xml:space="preserve">the </w:t>
                  </w:r>
                  <w:r w:rsidR="002954D7" w:rsidRPr="002954D7">
                    <w:rPr>
                      <w:rFonts w:cs="Arial"/>
                      <w:color w:val="000000"/>
                      <w:szCs w:val="24"/>
                    </w:rPr>
                    <w:t>Waste Calculator</w:t>
                  </w:r>
                  <w:r w:rsidRPr="002954D7">
                    <w:rPr>
                      <w:rFonts w:cs="Arial"/>
                      <w:color w:val="000000"/>
                      <w:szCs w:val="24"/>
                    </w:rPr>
                    <w:t xml:space="preserve"> tool</w:t>
                  </w:r>
                  <w:r w:rsidRPr="00312501">
                    <w:rPr>
                      <w:rFonts w:cs="Arial"/>
                      <w:color w:val="000000"/>
                      <w:szCs w:val="24"/>
                    </w:rPr>
                    <w:t xml:space="preserve"> i</w:t>
                  </w:r>
                  <w:r w:rsidR="003A68C0">
                    <w:rPr>
                      <w:rFonts w:cs="Arial"/>
                      <w:color w:val="000000"/>
                      <w:szCs w:val="24"/>
                    </w:rPr>
                    <w:t>s embedded within the relevant p</w:t>
                  </w:r>
                  <w:r w:rsidRPr="00312501">
                    <w:rPr>
                      <w:rFonts w:cs="Arial"/>
                      <w:color w:val="000000"/>
                      <w:szCs w:val="24"/>
                    </w:rPr>
                    <w:t>harmacy systems and supporting staff training initiated ready for implementation</w:t>
                  </w:r>
                  <w:r w:rsidR="003F2B43">
                    <w:rPr>
                      <w:rFonts w:cs="Arial"/>
                      <w:color w:val="000000"/>
                      <w:szCs w:val="24"/>
                    </w:rPr>
                    <w:t xml:space="preserve"> with effect from 1st July 2019</w:t>
                  </w:r>
                  <w:r w:rsidRPr="00312501">
                    <w:rPr>
                      <w:rFonts w:cs="Arial"/>
                      <w:color w:val="000000"/>
                      <w:szCs w:val="24"/>
                    </w:rPr>
                    <w:t>.</w:t>
                  </w:r>
                </w:p>
                <w:p w14:paraId="320DC3F2" w14:textId="77777777" w:rsidR="00312501" w:rsidRPr="002F5C2B" w:rsidRDefault="00312501" w:rsidP="0082528B">
                  <w:pPr>
                    <w:spacing w:before="40" w:after="40"/>
                    <w:rPr>
                      <w:rFonts w:cs="Arial"/>
                      <w:color w:val="000000"/>
                      <w:sz w:val="10"/>
                      <w:szCs w:val="24"/>
                    </w:rPr>
                  </w:pPr>
                </w:p>
                <w:p w14:paraId="5522D74E" w14:textId="32CCAF8C" w:rsidR="00FC375A" w:rsidRDefault="00FC375A" w:rsidP="0082528B">
                  <w:pPr>
                    <w:spacing w:before="40" w:after="40"/>
                    <w:rPr>
                      <w:rFonts w:cs="Arial"/>
                      <w:szCs w:val="24"/>
                    </w:rPr>
                  </w:pPr>
                  <w:r w:rsidRPr="00521E3D">
                    <w:rPr>
                      <w:rFonts w:cs="Arial"/>
                      <w:b/>
                      <w:szCs w:val="24"/>
                    </w:rPr>
                    <w:t xml:space="preserve">Quarter </w:t>
                  </w:r>
                  <w:r w:rsidR="00C226F8" w:rsidRPr="00521E3D">
                    <w:rPr>
                      <w:rFonts w:cs="Arial"/>
                      <w:b/>
                      <w:szCs w:val="24"/>
                    </w:rPr>
                    <w:t>2</w:t>
                  </w:r>
                  <w:r w:rsidR="003A68C0">
                    <w:rPr>
                      <w:rFonts w:cs="Arial"/>
                      <w:b/>
                      <w:szCs w:val="24"/>
                    </w:rPr>
                    <w:t xml:space="preserve"> target</w:t>
                  </w:r>
                  <w:r w:rsidR="00C226F8">
                    <w:rPr>
                      <w:rFonts w:cs="Arial"/>
                      <w:szCs w:val="24"/>
                    </w:rPr>
                    <w:t xml:space="preserve"> </w:t>
                  </w:r>
                  <w:r>
                    <w:rPr>
                      <w:rFonts w:cs="Arial"/>
                      <w:szCs w:val="24"/>
                    </w:rPr>
                    <w:t>- I</w:t>
                  </w:r>
                  <w:r w:rsidR="0082528B">
                    <w:rPr>
                      <w:rFonts w:cs="Arial"/>
                      <w:szCs w:val="24"/>
                    </w:rPr>
                    <w:t>mplement</w:t>
                  </w:r>
                  <w:r w:rsidR="00B652BC">
                    <w:rPr>
                      <w:rFonts w:cs="Arial"/>
                      <w:szCs w:val="24"/>
                    </w:rPr>
                    <w:t xml:space="preserve">ation of </w:t>
                  </w:r>
                  <w:r w:rsidR="002954D7" w:rsidRPr="002954D7">
                    <w:rPr>
                      <w:rFonts w:cs="Arial"/>
                      <w:color w:val="000000"/>
                      <w:szCs w:val="24"/>
                    </w:rPr>
                    <w:t>the Waste Calculator tool</w:t>
                  </w:r>
                  <w:r w:rsidR="004716C0">
                    <w:rPr>
                      <w:rFonts w:cs="Arial"/>
                      <w:szCs w:val="24"/>
                    </w:rPr>
                    <w:t>,</w:t>
                  </w:r>
                  <w:r w:rsidR="0082528B">
                    <w:rPr>
                      <w:rFonts w:cs="Arial"/>
                      <w:szCs w:val="24"/>
                    </w:rPr>
                    <w:t xml:space="preserve"> </w:t>
                  </w:r>
                  <w:r>
                    <w:rPr>
                      <w:rFonts w:cs="Arial"/>
                      <w:szCs w:val="24"/>
                    </w:rPr>
                    <w:t xml:space="preserve">reporting </w:t>
                  </w:r>
                  <w:r w:rsidR="00087952">
                    <w:rPr>
                      <w:rFonts w:cs="Arial"/>
                      <w:szCs w:val="24"/>
                    </w:rPr>
                    <w:t xml:space="preserve">of </w:t>
                  </w:r>
                  <w:r>
                    <w:rPr>
                      <w:rFonts w:cs="Arial"/>
                      <w:szCs w:val="24"/>
                    </w:rPr>
                    <w:t xml:space="preserve">waste </w:t>
                  </w:r>
                  <w:r w:rsidR="00BB1E02">
                    <w:rPr>
                      <w:rFonts w:cs="Arial"/>
                      <w:szCs w:val="24"/>
                    </w:rPr>
                    <w:t xml:space="preserve">using </w:t>
                  </w:r>
                  <w:r w:rsidR="0082528B">
                    <w:rPr>
                      <w:rFonts w:cs="Arial"/>
                      <w:szCs w:val="24"/>
                    </w:rPr>
                    <w:t>mg</w:t>
                  </w:r>
                  <w:r>
                    <w:rPr>
                      <w:rFonts w:cs="Arial"/>
                      <w:szCs w:val="24"/>
                    </w:rPr>
                    <w:t>.</w:t>
                  </w:r>
                </w:p>
                <w:p w14:paraId="34AAB49C" w14:textId="77777777" w:rsidR="00312501" w:rsidRDefault="00312501" w:rsidP="0082528B">
                  <w:pPr>
                    <w:spacing w:before="40" w:after="40"/>
                    <w:rPr>
                      <w:rFonts w:cs="Arial"/>
                      <w:szCs w:val="24"/>
                    </w:rPr>
                  </w:pPr>
                </w:p>
                <w:p w14:paraId="13DFA662" w14:textId="0DAC2D5F" w:rsidR="00312501" w:rsidRDefault="00312501" w:rsidP="0082528B">
                  <w:pPr>
                    <w:spacing w:before="40" w:after="40"/>
                    <w:rPr>
                      <w:rFonts w:cs="Arial"/>
                      <w:szCs w:val="24"/>
                    </w:rPr>
                  </w:pPr>
                  <w:r w:rsidRPr="00312501">
                    <w:rPr>
                      <w:rFonts w:cs="Arial"/>
                      <w:b/>
                      <w:szCs w:val="24"/>
                    </w:rPr>
                    <w:t>Q3 target</w:t>
                  </w:r>
                  <w:r>
                    <w:rPr>
                      <w:rFonts w:cs="Arial"/>
                      <w:szCs w:val="24"/>
                    </w:rPr>
                    <w:t xml:space="preserve"> – E</w:t>
                  </w:r>
                  <w:r w:rsidRPr="00312501">
                    <w:rPr>
                      <w:rFonts w:cs="Arial"/>
                      <w:szCs w:val="24"/>
                    </w:rPr>
                    <w:t xml:space="preserve">nsure that </w:t>
                  </w:r>
                  <w:r w:rsidR="002954D7" w:rsidRPr="002954D7">
                    <w:rPr>
                      <w:rFonts w:cs="Arial"/>
                      <w:color w:val="000000"/>
                      <w:szCs w:val="24"/>
                    </w:rPr>
                    <w:t>the Waste Calculator tool with Costs</w:t>
                  </w:r>
                  <w:r w:rsidRPr="00312501">
                    <w:rPr>
                      <w:rFonts w:cs="Arial"/>
                      <w:szCs w:val="24"/>
                    </w:rPr>
                    <w:t xml:space="preserve"> is embedded within the relevant Pharmacy systems and supporting staff training initiated ready for implementation wit</w:t>
                  </w:r>
                  <w:r>
                    <w:rPr>
                      <w:rFonts w:cs="Arial"/>
                      <w:szCs w:val="24"/>
                    </w:rPr>
                    <w:t xml:space="preserve">h effect from 1st </w:t>
                  </w:r>
                  <w:r w:rsidR="003F2B43">
                    <w:rPr>
                      <w:rFonts w:cs="Arial"/>
                      <w:szCs w:val="24"/>
                    </w:rPr>
                    <w:t>January</w:t>
                  </w:r>
                  <w:r>
                    <w:rPr>
                      <w:rFonts w:cs="Arial"/>
                      <w:szCs w:val="24"/>
                    </w:rPr>
                    <w:t xml:space="preserve"> 2020</w:t>
                  </w:r>
                  <w:r w:rsidRPr="00312501">
                    <w:rPr>
                      <w:rFonts w:cs="Arial"/>
                      <w:szCs w:val="24"/>
                    </w:rPr>
                    <w:t>.</w:t>
                  </w:r>
                </w:p>
                <w:p w14:paraId="05FEABB0" w14:textId="77777777" w:rsidR="00312501" w:rsidRDefault="00312501" w:rsidP="0082528B">
                  <w:pPr>
                    <w:spacing w:before="40" w:after="40"/>
                    <w:rPr>
                      <w:rFonts w:cs="Arial"/>
                      <w:szCs w:val="24"/>
                    </w:rPr>
                  </w:pPr>
                </w:p>
                <w:p w14:paraId="160D2740" w14:textId="77777777" w:rsidR="0040381D" w:rsidRPr="002F5C2B" w:rsidRDefault="0040381D" w:rsidP="0082528B">
                  <w:pPr>
                    <w:spacing w:before="40" w:after="40"/>
                    <w:rPr>
                      <w:rFonts w:cs="Arial"/>
                      <w:sz w:val="10"/>
                      <w:szCs w:val="24"/>
                    </w:rPr>
                  </w:pPr>
                </w:p>
                <w:p w14:paraId="11A79174" w14:textId="0857849F" w:rsidR="00BB1E02" w:rsidRDefault="00FC375A" w:rsidP="0082528B">
                  <w:pPr>
                    <w:spacing w:before="40" w:after="40"/>
                    <w:rPr>
                      <w:rFonts w:cs="Arial"/>
                      <w:szCs w:val="24"/>
                    </w:rPr>
                  </w:pPr>
                  <w:r w:rsidRPr="00521E3D">
                    <w:rPr>
                      <w:rFonts w:cs="Arial"/>
                      <w:b/>
                      <w:szCs w:val="24"/>
                    </w:rPr>
                    <w:t xml:space="preserve">Quarter </w:t>
                  </w:r>
                  <w:r w:rsidR="00C226F8" w:rsidRPr="00521E3D">
                    <w:rPr>
                      <w:rFonts w:cs="Arial"/>
                      <w:b/>
                      <w:szCs w:val="24"/>
                    </w:rPr>
                    <w:t>4</w:t>
                  </w:r>
                  <w:r w:rsidR="00C226F8">
                    <w:rPr>
                      <w:rFonts w:cs="Arial"/>
                      <w:szCs w:val="24"/>
                    </w:rPr>
                    <w:t xml:space="preserve"> </w:t>
                  </w:r>
                  <w:r w:rsidR="003A68C0" w:rsidRPr="00F130AE">
                    <w:rPr>
                      <w:rFonts w:cs="Arial"/>
                      <w:b/>
                      <w:szCs w:val="24"/>
                    </w:rPr>
                    <w:t>target</w:t>
                  </w:r>
                  <w:r w:rsidR="00F130AE">
                    <w:rPr>
                      <w:rFonts w:cs="Arial"/>
                      <w:b/>
                      <w:szCs w:val="24"/>
                    </w:rPr>
                    <w:t xml:space="preserve"> </w:t>
                  </w:r>
                  <w:r w:rsidR="004716C0">
                    <w:rPr>
                      <w:rFonts w:cs="Arial"/>
                      <w:szCs w:val="24"/>
                    </w:rPr>
                    <w:t xml:space="preserve">– Implementation of </w:t>
                  </w:r>
                  <w:r w:rsidR="004716C0" w:rsidRPr="002954D7">
                    <w:rPr>
                      <w:rFonts w:cs="Arial"/>
                      <w:szCs w:val="24"/>
                    </w:rPr>
                    <w:t xml:space="preserve">the </w:t>
                  </w:r>
                  <w:r w:rsidR="002954D7" w:rsidRPr="002954D7">
                    <w:rPr>
                      <w:rFonts w:cs="Arial"/>
                      <w:color w:val="000000"/>
                      <w:szCs w:val="24"/>
                    </w:rPr>
                    <w:t>Waste Calculator tool with Costs</w:t>
                  </w:r>
                  <w:r w:rsidR="004716C0" w:rsidRPr="002954D7">
                    <w:rPr>
                      <w:rFonts w:cs="Arial"/>
                      <w:szCs w:val="24"/>
                    </w:rPr>
                    <w:t>,</w:t>
                  </w:r>
                  <w:r w:rsidR="004716C0">
                    <w:rPr>
                      <w:rFonts w:cs="Arial"/>
                      <w:szCs w:val="24"/>
                    </w:rPr>
                    <w:t xml:space="preserve"> </w:t>
                  </w:r>
                  <w:r>
                    <w:rPr>
                      <w:rFonts w:cs="Arial"/>
                      <w:szCs w:val="24"/>
                    </w:rPr>
                    <w:t xml:space="preserve">reporting </w:t>
                  </w:r>
                  <w:r w:rsidR="00087952">
                    <w:rPr>
                      <w:rFonts w:cs="Arial"/>
                      <w:szCs w:val="24"/>
                    </w:rPr>
                    <w:t xml:space="preserve">of </w:t>
                  </w:r>
                  <w:r>
                    <w:rPr>
                      <w:rFonts w:cs="Arial"/>
                      <w:szCs w:val="24"/>
                    </w:rPr>
                    <w:t xml:space="preserve">waste </w:t>
                  </w:r>
                  <w:r w:rsidR="00D92F82">
                    <w:rPr>
                      <w:rFonts w:cs="Arial"/>
                      <w:szCs w:val="24"/>
                    </w:rPr>
                    <w:t xml:space="preserve">using </w:t>
                  </w:r>
                  <w:r w:rsidR="002F5C2B">
                    <w:rPr>
                      <w:rFonts w:cs="Arial"/>
                      <w:szCs w:val="24"/>
                    </w:rPr>
                    <w:t>mg and costs, and;</w:t>
                  </w:r>
                </w:p>
                <w:p w14:paraId="6483C264" w14:textId="77777777" w:rsidR="0040381D" w:rsidRPr="002F5C2B" w:rsidRDefault="0040381D" w:rsidP="0082528B">
                  <w:pPr>
                    <w:spacing w:before="40" w:after="40"/>
                    <w:rPr>
                      <w:rFonts w:cs="Arial"/>
                      <w:sz w:val="10"/>
                      <w:szCs w:val="24"/>
                    </w:rPr>
                  </w:pPr>
                </w:p>
                <w:p w14:paraId="2DC55976" w14:textId="77777777" w:rsidR="00461E25" w:rsidRDefault="0040381D" w:rsidP="00305C7E">
                  <w:pPr>
                    <w:spacing w:before="40" w:after="40"/>
                    <w:rPr>
                      <w:rFonts w:cs="Arial"/>
                      <w:szCs w:val="24"/>
                    </w:rPr>
                  </w:pPr>
                  <w:r w:rsidRPr="00F130AE">
                    <w:rPr>
                      <w:rFonts w:cs="Arial"/>
                      <w:szCs w:val="24"/>
                    </w:rPr>
                    <w:t>Development of an i</w:t>
                  </w:r>
                  <w:r w:rsidR="00C226F8" w:rsidRPr="00F130AE">
                    <w:rPr>
                      <w:rFonts w:cs="Arial"/>
                      <w:szCs w:val="24"/>
                    </w:rPr>
                    <w:t xml:space="preserve">mplementation plan </w:t>
                  </w:r>
                  <w:r w:rsidR="002F5C2B" w:rsidRPr="00F130AE">
                    <w:rPr>
                      <w:rFonts w:cs="Arial"/>
                      <w:szCs w:val="24"/>
                    </w:rPr>
                    <w:t>for waste reduction in year 2</w:t>
                  </w:r>
                  <w:r w:rsidR="004904E9" w:rsidRPr="00F130AE">
                    <w:rPr>
                      <w:rFonts w:cs="Arial"/>
                      <w:szCs w:val="24"/>
                    </w:rPr>
                    <w:t xml:space="preserve">. </w:t>
                  </w:r>
                </w:p>
                <w:p w14:paraId="0705C343" w14:textId="77777777" w:rsidR="00461E25" w:rsidRDefault="00461E25" w:rsidP="00305C7E">
                  <w:pPr>
                    <w:spacing w:before="40" w:after="40"/>
                    <w:rPr>
                      <w:rFonts w:cs="Arial"/>
                      <w:szCs w:val="24"/>
                    </w:rPr>
                  </w:pPr>
                </w:p>
                <w:p w14:paraId="03208815" w14:textId="77777777" w:rsidR="003B3F4A" w:rsidRDefault="003A68C0" w:rsidP="00305C7E">
                  <w:pPr>
                    <w:spacing w:before="40" w:after="40"/>
                    <w:rPr>
                      <w:rFonts w:cs="Arial"/>
                      <w:szCs w:val="24"/>
                    </w:rPr>
                  </w:pPr>
                  <w:r>
                    <w:rPr>
                      <w:rFonts w:cs="Arial"/>
                      <w:szCs w:val="24"/>
                    </w:rPr>
                    <w:t xml:space="preserve">Guidance on targets </w:t>
                  </w:r>
                  <w:r w:rsidR="004904E9">
                    <w:rPr>
                      <w:rFonts w:cs="Arial"/>
                      <w:szCs w:val="24"/>
                    </w:rPr>
                    <w:t>will be provided by the commissioner prior to the commencement of year 2</w:t>
                  </w:r>
                  <w:r>
                    <w:rPr>
                      <w:rFonts w:cs="Arial"/>
                      <w:szCs w:val="24"/>
                    </w:rPr>
                    <w:t>, these will be agreed locally</w:t>
                  </w:r>
                  <w:r w:rsidR="004904E9">
                    <w:rPr>
                      <w:rFonts w:cs="Arial"/>
                      <w:szCs w:val="24"/>
                    </w:rPr>
                    <w:t>.</w:t>
                  </w:r>
                  <w:r>
                    <w:rPr>
                      <w:rFonts w:cs="Arial"/>
                      <w:szCs w:val="24"/>
                    </w:rPr>
                    <w:t xml:space="preserve"> </w:t>
                  </w:r>
                </w:p>
                <w:p w14:paraId="12113D96" w14:textId="77777777" w:rsidR="00EB4A02" w:rsidRDefault="00EB4A02" w:rsidP="00305C7E">
                  <w:pPr>
                    <w:spacing w:before="40" w:after="40"/>
                    <w:rPr>
                      <w:rFonts w:cs="Arial"/>
                      <w:b/>
                      <w:szCs w:val="24"/>
                    </w:rPr>
                  </w:pPr>
                </w:p>
                <w:p w14:paraId="3A746090" w14:textId="0F41534C" w:rsidR="003F2B43" w:rsidRDefault="003A68C0" w:rsidP="00305C7E">
                  <w:pPr>
                    <w:spacing w:before="40" w:after="40"/>
                    <w:rPr>
                      <w:rFonts w:cs="Arial"/>
                      <w:szCs w:val="24"/>
                    </w:rPr>
                  </w:pPr>
                  <w:r w:rsidRPr="003B3F4A">
                    <w:rPr>
                      <w:rFonts w:cs="Arial"/>
                      <w:b/>
                      <w:szCs w:val="24"/>
                    </w:rPr>
                    <w:t>(</w:t>
                  </w:r>
                  <w:r w:rsidR="003B3F4A" w:rsidRPr="003B3F4A">
                    <w:rPr>
                      <w:rFonts w:cs="Arial"/>
                      <w:b/>
                      <w:szCs w:val="24"/>
                    </w:rPr>
                    <w:t>Note:</w:t>
                  </w:r>
                  <w:r w:rsidR="003B3F4A">
                    <w:rPr>
                      <w:rFonts w:cs="Arial"/>
                      <w:szCs w:val="24"/>
                    </w:rPr>
                    <w:t xml:space="preserve"> </w:t>
                  </w:r>
                  <w:r w:rsidRPr="00F130AE">
                    <w:rPr>
                      <w:rFonts w:cs="Arial"/>
                      <w:b/>
                      <w:szCs w:val="24"/>
                    </w:rPr>
                    <w:t xml:space="preserve">Setting targets in year 1 is </w:t>
                  </w:r>
                  <w:r w:rsidR="00B578CF" w:rsidRPr="00F130AE">
                    <w:rPr>
                      <w:rFonts w:cs="Arial"/>
                      <w:b/>
                      <w:szCs w:val="24"/>
                    </w:rPr>
                    <w:t>optional</w:t>
                  </w:r>
                  <w:r w:rsidR="00B578CF">
                    <w:rPr>
                      <w:rFonts w:cs="Arial"/>
                      <w:b/>
                      <w:szCs w:val="24"/>
                    </w:rPr>
                    <w:t xml:space="preserve"> but</w:t>
                  </w:r>
                  <w:r w:rsidR="00EB4A02">
                    <w:rPr>
                      <w:rFonts w:cs="Arial"/>
                      <w:b/>
                      <w:szCs w:val="24"/>
                    </w:rPr>
                    <w:t xml:space="preserve"> </w:t>
                  </w:r>
                  <w:r w:rsidRPr="00F130AE">
                    <w:rPr>
                      <w:rFonts w:cs="Arial"/>
                      <w:b/>
                      <w:szCs w:val="24"/>
                    </w:rPr>
                    <w:t>will be required for year 2</w:t>
                  </w:r>
                  <w:r w:rsidRPr="00F130AE">
                    <w:rPr>
                      <w:rFonts w:cs="Arial"/>
                      <w:szCs w:val="24"/>
                    </w:rPr>
                    <w:t>).</w:t>
                  </w:r>
                </w:p>
                <w:p w14:paraId="4FC10AA3" w14:textId="582532FF" w:rsidR="00EB4A02" w:rsidRDefault="00EB4A02" w:rsidP="00305C7E">
                  <w:pPr>
                    <w:spacing w:before="40" w:after="40"/>
                    <w:rPr>
                      <w:rFonts w:cs="Arial"/>
                      <w:szCs w:val="24"/>
                    </w:rPr>
                  </w:pPr>
                </w:p>
                <w:p w14:paraId="26224DCF" w14:textId="0D0FCAA1" w:rsidR="00B578CF" w:rsidRDefault="00B578CF" w:rsidP="00305C7E">
                  <w:pPr>
                    <w:spacing w:before="40" w:after="40"/>
                    <w:rPr>
                      <w:rFonts w:cs="Arial"/>
                      <w:szCs w:val="24"/>
                    </w:rPr>
                  </w:pPr>
                </w:p>
                <w:p w14:paraId="31DD4075" w14:textId="77777777" w:rsidR="00B578CF" w:rsidRDefault="00B578CF" w:rsidP="00305C7E">
                  <w:pPr>
                    <w:spacing w:before="40" w:after="40"/>
                    <w:rPr>
                      <w:rFonts w:cs="Arial"/>
                      <w:szCs w:val="24"/>
                    </w:rPr>
                  </w:pPr>
                </w:p>
                <w:p w14:paraId="31D09A82" w14:textId="77777777" w:rsidR="003B36C2" w:rsidRDefault="003B36C2" w:rsidP="00305C7E">
                  <w:pPr>
                    <w:spacing w:before="40" w:after="40"/>
                    <w:rPr>
                      <w:rFonts w:cs="Arial"/>
                      <w:szCs w:val="24"/>
                    </w:rPr>
                  </w:pPr>
                </w:p>
                <w:p w14:paraId="42847CD5" w14:textId="77777777" w:rsidR="003B36C2" w:rsidRDefault="003B36C2" w:rsidP="00305C7E">
                  <w:pPr>
                    <w:spacing w:before="40" w:after="40"/>
                    <w:rPr>
                      <w:rFonts w:cs="Arial"/>
                      <w:szCs w:val="24"/>
                    </w:rPr>
                  </w:pPr>
                </w:p>
                <w:p w14:paraId="569A0698" w14:textId="77777777" w:rsidR="003B36C2" w:rsidRDefault="003B36C2" w:rsidP="00305C7E">
                  <w:pPr>
                    <w:spacing w:before="40" w:after="40"/>
                    <w:rPr>
                      <w:rFonts w:cs="Arial"/>
                      <w:szCs w:val="24"/>
                    </w:rPr>
                  </w:pPr>
                </w:p>
                <w:p w14:paraId="66E3E011" w14:textId="77777777" w:rsidR="003B36C2" w:rsidRDefault="003B36C2" w:rsidP="00305C7E">
                  <w:pPr>
                    <w:spacing w:before="40" w:after="40"/>
                    <w:rPr>
                      <w:rFonts w:cs="Arial"/>
                      <w:szCs w:val="24"/>
                    </w:rPr>
                  </w:pPr>
                </w:p>
                <w:p w14:paraId="011157E6" w14:textId="289B3F9B" w:rsidR="003B36C2" w:rsidRPr="00C0263E" w:rsidRDefault="003B36C2" w:rsidP="00305C7E">
                  <w:pPr>
                    <w:spacing w:before="40" w:after="40"/>
                    <w:rPr>
                      <w:rFonts w:cs="Arial"/>
                      <w:szCs w:val="24"/>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1165C4D6" w14:textId="77777777" w:rsidR="0040381D" w:rsidRDefault="00521E3D" w:rsidP="0040381D">
                  <w:pPr>
                    <w:rPr>
                      <w:rFonts w:cs="Arial"/>
                      <w:szCs w:val="24"/>
                    </w:rPr>
                  </w:pPr>
                  <w:r w:rsidRPr="00F4645C">
                    <w:rPr>
                      <w:rFonts w:cs="Arial"/>
                      <w:b/>
                      <w:szCs w:val="24"/>
                    </w:rPr>
                    <w:t xml:space="preserve">Quarterly </w:t>
                  </w:r>
                  <w:r>
                    <w:rPr>
                      <w:rFonts w:cs="Arial"/>
                      <w:szCs w:val="24"/>
                    </w:rPr>
                    <w:t>d</w:t>
                  </w:r>
                  <w:r w:rsidR="0040381D" w:rsidRPr="00B652BC">
                    <w:rPr>
                      <w:rFonts w:cs="Arial"/>
                      <w:szCs w:val="24"/>
                    </w:rPr>
                    <w:t>ata reporting for the 20 identified drugs (10 highest volume and 10 highest spend), to include:</w:t>
                  </w:r>
                </w:p>
                <w:p w14:paraId="083CF4A7" w14:textId="77777777" w:rsidR="0040381D" w:rsidRPr="005365D3" w:rsidRDefault="0040381D" w:rsidP="0040381D">
                  <w:pPr>
                    <w:rPr>
                      <w:rFonts w:cs="Arial"/>
                      <w:sz w:val="10"/>
                      <w:szCs w:val="24"/>
                    </w:rPr>
                  </w:pPr>
                </w:p>
                <w:p w14:paraId="25825E68" w14:textId="77777777" w:rsidR="0040381D" w:rsidRPr="00B652BC" w:rsidRDefault="0040381D" w:rsidP="002F5C2B">
                  <w:pPr>
                    <w:pStyle w:val="ListParagraph"/>
                    <w:numPr>
                      <w:ilvl w:val="0"/>
                      <w:numId w:val="18"/>
                    </w:numPr>
                    <w:ind w:left="315" w:hanging="283"/>
                    <w:rPr>
                      <w:rFonts w:cs="Arial"/>
                      <w:szCs w:val="24"/>
                    </w:rPr>
                  </w:pPr>
                  <w:r w:rsidRPr="00B652BC">
                    <w:rPr>
                      <w:rFonts w:cs="Arial"/>
                      <w:szCs w:val="24"/>
                    </w:rPr>
                    <w:t>Mg of drug used to provide the prescribed dose</w:t>
                  </w:r>
                  <w:r>
                    <w:rPr>
                      <w:rFonts w:cs="Arial"/>
                      <w:szCs w:val="24"/>
                    </w:rPr>
                    <w:t>;</w:t>
                  </w:r>
                </w:p>
                <w:p w14:paraId="156C92AA" w14:textId="77777777" w:rsidR="0040381D" w:rsidRPr="00B652BC" w:rsidRDefault="0040381D" w:rsidP="002F5C2B">
                  <w:pPr>
                    <w:pStyle w:val="ListParagraph"/>
                    <w:numPr>
                      <w:ilvl w:val="0"/>
                      <w:numId w:val="18"/>
                    </w:numPr>
                    <w:ind w:left="315" w:hanging="283"/>
                    <w:rPr>
                      <w:rFonts w:cs="Arial"/>
                      <w:szCs w:val="24"/>
                    </w:rPr>
                  </w:pPr>
                  <w:r w:rsidRPr="00B652BC">
                    <w:rPr>
                      <w:rFonts w:cs="Arial"/>
                      <w:szCs w:val="24"/>
                    </w:rPr>
                    <w:t>Mg prescribed that has been entered on SACT</w:t>
                  </w:r>
                  <w:r>
                    <w:rPr>
                      <w:rFonts w:cs="Arial"/>
                      <w:szCs w:val="24"/>
                    </w:rPr>
                    <w:t>;</w:t>
                  </w:r>
                </w:p>
                <w:p w14:paraId="01433B8C" w14:textId="77777777" w:rsidR="0040381D" w:rsidRDefault="0040381D" w:rsidP="002F5C2B">
                  <w:pPr>
                    <w:pStyle w:val="ListParagraph"/>
                    <w:numPr>
                      <w:ilvl w:val="0"/>
                      <w:numId w:val="18"/>
                    </w:numPr>
                    <w:ind w:left="315" w:hanging="283"/>
                    <w:rPr>
                      <w:rFonts w:cs="Arial"/>
                      <w:szCs w:val="24"/>
                    </w:rPr>
                  </w:pPr>
                  <w:r w:rsidRPr="00B652BC">
                    <w:rPr>
                      <w:rFonts w:cs="Arial"/>
                      <w:szCs w:val="24"/>
                    </w:rPr>
                    <w:t>Cost of both</w:t>
                  </w:r>
                  <w:r>
                    <w:rPr>
                      <w:rFonts w:cs="Arial"/>
                      <w:szCs w:val="24"/>
                    </w:rPr>
                    <w:t>.</w:t>
                  </w:r>
                </w:p>
                <w:p w14:paraId="0B501309" w14:textId="77777777" w:rsidR="0040381D" w:rsidRPr="005365D3" w:rsidRDefault="0040381D" w:rsidP="0040381D">
                  <w:pPr>
                    <w:pStyle w:val="ListParagraph"/>
                    <w:rPr>
                      <w:rFonts w:cs="Arial"/>
                      <w:sz w:val="10"/>
                      <w:szCs w:val="24"/>
                    </w:rPr>
                  </w:pPr>
                </w:p>
                <w:p w14:paraId="19F6FFB3" w14:textId="77777777" w:rsidR="0040381D" w:rsidRDefault="0040381D" w:rsidP="0040381D">
                  <w:pPr>
                    <w:spacing w:before="40" w:after="40"/>
                    <w:rPr>
                      <w:rFonts w:cs="Arial"/>
                      <w:color w:val="000000"/>
                      <w:szCs w:val="24"/>
                    </w:rPr>
                  </w:pPr>
                  <w:r>
                    <w:rPr>
                      <w:rFonts w:cs="Arial"/>
                      <w:color w:val="000000"/>
                      <w:szCs w:val="24"/>
                    </w:rPr>
                    <w:t>M</w:t>
                  </w:r>
                  <w:r w:rsidRPr="00B652BC">
                    <w:rPr>
                      <w:rFonts w:cs="Arial"/>
                      <w:color w:val="000000"/>
                      <w:szCs w:val="24"/>
                    </w:rPr>
                    <w:t>ore judicial management of chemotherapy by implementation of standard products rather than bespoke chemotherapy.</w:t>
                  </w:r>
                </w:p>
                <w:p w14:paraId="33BC3EEF" w14:textId="77777777" w:rsidR="00F226A7" w:rsidRPr="00B652BC" w:rsidRDefault="00F226A7" w:rsidP="0040381D">
                  <w:pPr>
                    <w:spacing w:before="40" w:after="40"/>
                    <w:rPr>
                      <w:rFonts w:cs="Arial"/>
                      <w:color w:val="000000"/>
                      <w:szCs w:val="24"/>
                    </w:rPr>
                  </w:pPr>
                </w:p>
                <w:p w14:paraId="57C7268C" w14:textId="77777777" w:rsidR="0035773A" w:rsidRDefault="00521E3D" w:rsidP="009731AD">
                  <w:pPr>
                    <w:spacing w:before="40" w:after="40"/>
                    <w:rPr>
                      <w:rFonts w:cs="Arial"/>
                      <w:szCs w:val="24"/>
                    </w:rPr>
                  </w:pPr>
                  <w:r w:rsidRPr="00521E3D">
                    <w:rPr>
                      <w:rFonts w:cs="Arial"/>
                      <w:b/>
                      <w:szCs w:val="24"/>
                    </w:rPr>
                    <w:t>Quarter 4</w:t>
                  </w:r>
                  <w:r>
                    <w:rPr>
                      <w:rFonts w:cs="Arial"/>
                      <w:szCs w:val="24"/>
                    </w:rPr>
                    <w:t xml:space="preserve"> - </w:t>
                  </w:r>
                  <w:r w:rsidR="0040381D">
                    <w:rPr>
                      <w:rFonts w:cs="Arial"/>
                      <w:szCs w:val="24"/>
                    </w:rPr>
                    <w:t>Achievement of waste reduction target agreed in year 1.</w:t>
                  </w:r>
                </w:p>
                <w:p w14:paraId="0E1EACE4" w14:textId="77777777" w:rsidR="003F2B43" w:rsidRDefault="003F2B43" w:rsidP="009731AD">
                  <w:pPr>
                    <w:spacing w:before="40" w:after="40"/>
                    <w:rPr>
                      <w:rFonts w:cs="Arial"/>
                      <w:szCs w:val="24"/>
                    </w:rPr>
                  </w:pPr>
                </w:p>
                <w:p w14:paraId="49DB6D1C" w14:textId="77777777" w:rsidR="003F2B43" w:rsidRPr="003F2B43" w:rsidRDefault="003F2B43" w:rsidP="003F2B43">
                  <w:pPr>
                    <w:rPr>
                      <w:rFonts w:cs="Arial"/>
                      <w:szCs w:val="24"/>
                    </w:rPr>
                  </w:pPr>
                </w:p>
                <w:p w14:paraId="01F5B38D" w14:textId="77777777" w:rsidR="003F2B43" w:rsidRPr="003F2B43" w:rsidRDefault="003F2B43" w:rsidP="003F2B43">
                  <w:pPr>
                    <w:rPr>
                      <w:rFonts w:cs="Arial"/>
                      <w:szCs w:val="24"/>
                    </w:rPr>
                  </w:pPr>
                </w:p>
                <w:p w14:paraId="49F5DCAC" w14:textId="77777777" w:rsidR="003F2B43" w:rsidRDefault="003F2B43" w:rsidP="003F2B43">
                  <w:pPr>
                    <w:rPr>
                      <w:rFonts w:cs="Arial"/>
                      <w:szCs w:val="24"/>
                    </w:rPr>
                  </w:pPr>
                </w:p>
                <w:p w14:paraId="781F9204" w14:textId="77777777" w:rsidR="00521E3D" w:rsidRPr="003F2B43" w:rsidRDefault="00521E3D" w:rsidP="003F2B43">
                  <w:pPr>
                    <w:jc w:val="center"/>
                    <w:rPr>
                      <w:rFonts w:cs="Arial"/>
                      <w:szCs w:val="24"/>
                    </w:rPr>
                  </w:pPr>
                </w:p>
              </w:tc>
            </w:tr>
            <w:tr w:rsidR="00711887" w:rsidRPr="00C0263E" w14:paraId="1B62169B" w14:textId="77777777" w:rsidTr="00C95A16">
              <w:trPr>
                <w:trHeight w:val="619"/>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79E91C" w14:textId="77777777" w:rsidR="00711887" w:rsidRDefault="00711887" w:rsidP="0084461B">
                  <w:pPr>
                    <w:spacing w:before="40" w:after="40"/>
                    <w:rPr>
                      <w:rFonts w:cs="Arial"/>
                      <w:b/>
                      <w:szCs w:val="24"/>
                    </w:rPr>
                  </w:pPr>
                  <w:r>
                    <w:rPr>
                      <w:rFonts w:cs="Arial"/>
                      <w:b/>
                      <w:szCs w:val="24"/>
                    </w:rPr>
                    <w:lastRenderedPageBreak/>
                    <w:t>Trigger 2</w:t>
                  </w:r>
                </w:p>
                <w:p w14:paraId="19F07D03" w14:textId="77777777" w:rsidR="001D65DE" w:rsidRPr="001D65DE" w:rsidRDefault="001D65DE" w:rsidP="001D65DE">
                  <w:pPr>
                    <w:spacing w:before="40" w:after="40"/>
                    <w:rPr>
                      <w:rFonts w:cs="Arial"/>
                      <w:b/>
                      <w:szCs w:val="24"/>
                    </w:rPr>
                  </w:pPr>
                  <w:r w:rsidRPr="001D65DE">
                    <w:rPr>
                      <w:rFonts w:cs="Arial"/>
                      <w:b/>
                      <w:szCs w:val="24"/>
                    </w:rPr>
                    <w:t>Managed access agreement compliance.</w:t>
                  </w:r>
                </w:p>
                <w:p w14:paraId="39F8AB84" w14:textId="77777777" w:rsidR="001D65DE" w:rsidRPr="001D65DE" w:rsidRDefault="001D65DE" w:rsidP="001D65DE">
                  <w:pPr>
                    <w:spacing w:before="40" w:after="40"/>
                    <w:rPr>
                      <w:rFonts w:cs="Arial"/>
                      <w:b/>
                      <w:szCs w:val="24"/>
                    </w:rPr>
                  </w:pPr>
                  <w:r w:rsidRPr="001D65DE">
                    <w:rPr>
                      <w:rFonts w:cs="Arial"/>
                      <w:b/>
                      <w:szCs w:val="24"/>
                    </w:rPr>
                    <w:tab/>
                  </w:r>
                </w:p>
                <w:p w14:paraId="13D8C61D" w14:textId="77777777" w:rsidR="001D65DE" w:rsidRPr="00C0263E" w:rsidRDefault="001D65DE" w:rsidP="0084461B">
                  <w:pPr>
                    <w:spacing w:before="40" w:after="40"/>
                    <w:rPr>
                      <w:rFonts w:cs="Arial"/>
                      <w:b/>
                      <w:szCs w:val="24"/>
                    </w:rPr>
                  </w:pP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E35143B" w14:textId="77777777" w:rsidR="00B57CE6" w:rsidRPr="00B57CE6" w:rsidRDefault="00D46E69" w:rsidP="00B57CE6">
                  <w:r w:rsidRPr="00B57CE6">
                    <w:rPr>
                      <w:b/>
                    </w:rPr>
                    <w:t>Quarterly</w:t>
                  </w:r>
                  <w:r>
                    <w:t xml:space="preserve"> reporting </w:t>
                  </w:r>
                  <w:r w:rsidR="00F130AE">
                    <w:t xml:space="preserve">by completion of the Medicines Optimisation tool </w:t>
                  </w:r>
                  <w:r w:rsidR="003B3F4A">
                    <w:t>of</w:t>
                  </w:r>
                  <w:r w:rsidR="00F130AE">
                    <w:t xml:space="preserve"> </w:t>
                  </w:r>
                  <w:r>
                    <w:t>all</w:t>
                  </w:r>
                  <w:r w:rsidR="00573850">
                    <w:t xml:space="preserve"> </w:t>
                  </w:r>
                  <w:r w:rsidR="00B57CE6" w:rsidRPr="003A68C0">
                    <w:rPr>
                      <w:b/>
                    </w:rPr>
                    <w:t xml:space="preserve">new </w:t>
                  </w:r>
                  <w:r w:rsidR="005B1691">
                    <w:t>patient</w:t>
                  </w:r>
                  <w:r w:rsidR="00FC375A">
                    <w:t>s requiring treatment under a managed access agreement</w:t>
                  </w:r>
                  <w:r w:rsidR="005B1691">
                    <w:t xml:space="preserve"> </w:t>
                  </w:r>
                  <w:r w:rsidR="00B57CE6">
                    <w:t xml:space="preserve">for </w:t>
                  </w:r>
                  <w:r w:rsidR="003B3F4A">
                    <w:t>Asfotase,</w:t>
                  </w:r>
                  <w:r w:rsidR="00B57CE6">
                    <w:t xml:space="preserve"> </w:t>
                  </w:r>
                  <w:r w:rsidR="003B3F4A">
                    <w:t xml:space="preserve">Ataluren </w:t>
                  </w:r>
                  <w:r w:rsidR="00B57CE6" w:rsidRPr="00B57CE6">
                    <w:t>and Elosulfase</w:t>
                  </w:r>
                </w:p>
                <w:p w14:paraId="5556297F" w14:textId="77777777" w:rsidR="005B1691" w:rsidRDefault="005B1691" w:rsidP="00CD3F25">
                  <w:r>
                    <w:t xml:space="preserve">are: </w:t>
                  </w:r>
                </w:p>
                <w:p w14:paraId="6582D5F6" w14:textId="77777777" w:rsidR="00CD3F25" w:rsidRDefault="005B1691" w:rsidP="0049068B">
                  <w:pPr>
                    <w:pStyle w:val="ListParagraph"/>
                    <w:numPr>
                      <w:ilvl w:val="0"/>
                      <w:numId w:val="20"/>
                    </w:numPr>
                    <w:ind w:left="315" w:hanging="315"/>
                  </w:pPr>
                  <w:r>
                    <w:t>S</w:t>
                  </w:r>
                  <w:r w:rsidR="00CD3F25">
                    <w:t>igned up</w:t>
                  </w:r>
                  <w:r>
                    <w:t>;</w:t>
                  </w:r>
                </w:p>
                <w:p w14:paraId="67571CA0" w14:textId="77777777" w:rsidR="00CD3F25" w:rsidRDefault="0082528B" w:rsidP="00B652BC">
                  <w:pPr>
                    <w:pStyle w:val="ListParagraph"/>
                    <w:numPr>
                      <w:ilvl w:val="0"/>
                      <w:numId w:val="20"/>
                    </w:numPr>
                    <w:ind w:left="351" w:hanging="351"/>
                  </w:pPr>
                  <w:r>
                    <w:t>Eligible</w:t>
                  </w:r>
                  <w:r w:rsidR="005B1691">
                    <w:t>;</w:t>
                  </w:r>
                </w:p>
                <w:p w14:paraId="13F2134C" w14:textId="77777777" w:rsidR="00CD3F25" w:rsidRDefault="00573850" w:rsidP="00B652BC">
                  <w:pPr>
                    <w:pStyle w:val="ListParagraph"/>
                    <w:numPr>
                      <w:ilvl w:val="0"/>
                      <w:numId w:val="20"/>
                    </w:numPr>
                    <w:ind w:left="351" w:hanging="351"/>
                  </w:pPr>
                  <w:r>
                    <w:t>M</w:t>
                  </w:r>
                  <w:r w:rsidR="00CD3F25">
                    <w:t>ade aware of start and stop criteria</w:t>
                  </w:r>
                  <w:r w:rsidR="005B1691">
                    <w:t>;</w:t>
                  </w:r>
                  <w:r w:rsidR="00B57CE6">
                    <w:t xml:space="preserve"> and</w:t>
                  </w:r>
                </w:p>
                <w:p w14:paraId="48DB1709" w14:textId="77777777" w:rsidR="00FB59A1" w:rsidRDefault="004716C0" w:rsidP="00B652BC">
                  <w:pPr>
                    <w:pStyle w:val="ListParagraph"/>
                    <w:numPr>
                      <w:ilvl w:val="0"/>
                      <w:numId w:val="20"/>
                    </w:numPr>
                    <w:ind w:left="351" w:hanging="351"/>
                  </w:pPr>
                  <w:r>
                    <w:t>Approved</w:t>
                  </w:r>
                  <w:r w:rsidR="00305C7E">
                    <w:t>.</w:t>
                  </w:r>
                </w:p>
                <w:p w14:paraId="180F989A" w14:textId="77777777" w:rsidR="00EB4A02" w:rsidRPr="00023FEB" w:rsidRDefault="00EB4A02" w:rsidP="00EB4A02">
                  <w:pPr>
                    <w:pStyle w:val="ListParagraph"/>
                    <w:ind w:left="351"/>
                    <w:rPr>
                      <w:sz w:val="10"/>
                    </w:rPr>
                  </w:pPr>
                </w:p>
                <w:p w14:paraId="295E07BD" w14:textId="77777777" w:rsidR="00B57CE6" w:rsidRDefault="0049068B" w:rsidP="00B57CE6">
                  <w:r w:rsidRPr="0049068B">
                    <w:rPr>
                      <w:b/>
                    </w:rPr>
                    <w:t>Quarterly</w:t>
                  </w:r>
                  <w:r w:rsidR="00F130AE">
                    <w:t xml:space="preserve"> reporting by completion of the Medicines Optimisation tool that </w:t>
                  </w:r>
                  <w:r w:rsidR="00B57CE6">
                    <w:t xml:space="preserve">all </w:t>
                  </w:r>
                  <w:r w:rsidR="00B57CE6" w:rsidRPr="003A68C0">
                    <w:rPr>
                      <w:b/>
                    </w:rPr>
                    <w:t>existing</w:t>
                  </w:r>
                  <w:r w:rsidR="003A68C0">
                    <w:rPr>
                      <w:b/>
                    </w:rPr>
                    <w:t xml:space="preserve"> and new</w:t>
                  </w:r>
                  <w:r w:rsidR="00B57CE6">
                    <w:t xml:space="preserve"> patients eligible are:</w:t>
                  </w:r>
                </w:p>
                <w:p w14:paraId="175BB58E" w14:textId="77777777" w:rsidR="003A68C0" w:rsidRPr="00F130AE" w:rsidRDefault="003A68C0" w:rsidP="00B57CE6">
                  <w:pPr>
                    <w:rPr>
                      <w:sz w:val="10"/>
                    </w:rPr>
                  </w:pPr>
                </w:p>
                <w:p w14:paraId="3450BE89" w14:textId="77777777" w:rsidR="00B57CE6" w:rsidRDefault="00B57CE6" w:rsidP="00B57CE6">
                  <w:r>
                    <w:t>1.</w:t>
                  </w:r>
                  <w:r w:rsidR="00573850">
                    <w:t>R</w:t>
                  </w:r>
                  <w:r w:rsidR="00CD3F25">
                    <w:t xml:space="preserve">eviewed in line with </w:t>
                  </w:r>
                  <w:r w:rsidR="00573850">
                    <w:t xml:space="preserve">the </w:t>
                  </w:r>
                  <w:r w:rsidR="00CD3F25">
                    <w:t>MAA</w:t>
                  </w:r>
                  <w:r w:rsidR="005B1691">
                    <w:t>;</w:t>
                  </w:r>
                </w:p>
                <w:p w14:paraId="18AA5F38" w14:textId="77777777" w:rsidR="00CD3F25" w:rsidRDefault="00B57CE6" w:rsidP="00B57CE6">
                  <w:r>
                    <w:t>2.</w:t>
                  </w:r>
                  <w:r w:rsidR="00CD3F25">
                    <w:t>Data is collected and entered in the required format/database/registry in line with the MAA</w:t>
                  </w:r>
                  <w:r w:rsidR="00FC375A">
                    <w:t>, within one month of the review being undertaken.</w:t>
                  </w:r>
                </w:p>
                <w:p w14:paraId="5B13ABD4" w14:textId="77777777" w:rsidR="00315308" w:rsidRPr="00EE3CA3" w:rsidRDefault="00315308" w:rsidP="00B57CE6">
                  <w:pPr>
                    <w:rPr>
                      <w:sz w:val="10"/>
                    </w:rPr>
                  </w:pPr>
                </w:p>
                <w:p w14:paraId="1CB3BE9B" w14:textId="77777777" w:rsidR="00315308" w:rsidRPr="00F130AE" w:rsidRDefault="00315308" w:rsidP="00B57CE6">
                  <w:r w:rsidRPr="00F130AE">
                    <w:t>Ataluren – NorthStar database</w:t>
                  </w:r>
                </w:p>
                <w:p w14:paraId="36A40AF0" w14:textId="77777777" w:rsidR="00315308" w:rsidRPr="00F130AE" w:rsidRDefault="00315308" w:rsidP="00B57CE6">
                  <w:r w:rsidRPr="00F130AE">
                    <w:t>Asfotase – Alexion database</w:t>
                  </w:r>
                </w:p>
                <w:p w14:paraId="4E446FBB" w14:textId="77777777" w:rsidR="00315308" w:rsidRDefault="00315308" w:rsidP="00B57CE6">
                  <w:r w:rsidRPr="00F130AE">
                    <w:t>Elosulfase – NHSE database</w:t>
                  </w:r>
                </w:p>
                <w:p w14:paraId="327F2AE8" w14:textId="77777777" w:rsidR="00B57CE6" w:rsidRPr="00EE3CA3" w:rsidRDefault="00B57CE6" w:rsidP="00CD3F25">
                  <w:pPr>
                    <w:rPr>
                      <w:sz w:val="10"/>
                    </w:rPr>
                  </w:pPr>
                </w:p>
                <w:p w14:paraId="539DD52E" w14:textId="77777777" w:rsidR="00CD3F25" w:rsidRPr="00B57CE6" w:rsidRDefault="00B57CE6" w:rsidP="00CD3F25">
                  <w:pPr>
                    <w:rPr>
                      <w:b/>
                    </w:rPr>
                  </w:pPr>
                  <w:r w:rsidRPr="00B57CE6">
                    <w:rPr>
                      <w:b/>
                    </w:rPr>
                    <w:t>O</w:t>
                  </w:r>
                  <w:r w:rsidR="00CD3F25" w:rsidRPr="00B57CE6">
                    <w:rPr>
                      <w:b/>
                    </w:rPr>
                    <w:t>ther drugs covered by a MAA may be added as they become available</w:t>
                  </w:r>
                  <w:r w:rsidR="002547C9" w:rsidRPr="00B57CE6">
                    <w:rPr>
                      <w:b/>
                    </w:rPr>
                    <w:t xml:space="preserve"> and will be published on the CQUIN website.</w:t>
                  </w:r>
                </w:p>
                <w:p w14:paraId="690829D0" w14:textId="77777777" w:rsidR="00D46E69" w:rsidRPr="00D561B2" w:rsidRDefault="00D46E69" w:rsidP="00CD3F25"/>
              </w:tc>
              <w:tc>
                <w:tcPr>
                  <w:tcW w:w="3258" w:type="dxa"/>
                  <w:tcBorders>
                    <w:top w:val="single" w:sz="4" w:space="0" w:color="auto"/>
                    <w:left w:val="single" w:sz="4" w:space="0" w:color="auto"/>
                    <w:bottom w:val="single" w:sz="4" w:space="0" w:color="auto"/>
                    <w:right w:val="single" w:sz="4" w:space="0" w:color="auto"/>
                  </w:tcBorders>
                  <w:shd w:val="clear" w:color="auto" w:fill="auto"/>
                </w:tcPr>
                <w:p w14:paraId="7939042C" w14:textId="77777777" w:rsidR="00CD3F25" w:rsidRDefault="00521E3D" w:rsidP="00D43ACA">
                  <w:r>
                    <w:t>N/A</w:t>
                  </w:r>
                </w:p>
              </w:tc>
            </w:tr>
            <w:tr w:rsidR="007C2F03" w:rsidRPr="00C0263E" w14:paraId="1F5F741E" w14:textId="77777777" w:rsidTr="00C95A16">
              <w:trPr>
                <w:trHeight w:val="619"/>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9ED49" w14:textId="77777777" w:rsidR="007C2F03" w:rsidRDefault="007C2F03" w:rsidP="0084461B">
                  <w:pPr>
                    <w:spacing w:before="40" w:after="40"/>
                    <w:rPr>
                      <w:rFonts w:cs="Arial"/>
                      <w:b/>
                      <w:szCs w:val="24"/>
                    </w:rPr>
                  </w:pPr>
                  <w:r>
                    <w:rPr>
                      <w:rFonts w:cs="Arial"/>
                      <w:b/>
                      <w:szCs w:val="24"/>
                    </w:rPr>
                    <w:t>Trigger 3</w:t>
                  </w:r>
                </w:p>
                <w:p w14:paraId="20E0CD1B" w14:textId="77777777" w:rsidR="001B4BC9" w:rsidRPr="001B4BC9" w:rsidRDefault="001B4BC9" w:rsidP="001B4BC9">
                  <w:pPr>
                    <w:rPr>
                      <w:rFonts w:cs="Arial"/>
                      <w:b/>
                      <w:color w:val="000000"/>
                      <w:szCs w:val="24"/>
                      <w:lang w:eastAsia="en-GB"/>
                    </w:rPr>
                  </w:pPr>
                  <w:r w:rsidRPr="001B4BC9">
                    <w:rPr>
                      <w:rFonts w:cs="Arial"/>
                      <w:b/>
                      <w:szCs w:val="24"/>
                      <w:lang w:eastAsia="en-GB"/>
                    </w:rPr>
                    <w:t xml:space="preserve">Supporting national treatment criteria through accurate </w:t>
                  </w:r>
                  <w:r w:rsidRPr="001B4BC9">
                    <w:rPr>
                      <w:rFonts w:cs="Arial"/>
                      <w:b/>
                      <w:color w:val="000000"/>
                      <w:szCs w:val="24"/>
                      <w:lang w:eastAsia="en-GB"/>
                    </w:rPr>
                    <w:t xml:space="preserve">completion of prior approval </w:t>
                  </w:r>
                </w:p>
                <w:p w14:paraId="6B295880" w14:textId="77777777" w:rsidR="001B4BC9" w:rsidRDefault="001B4BC9" w:rsidP="001B4BC9">
                  <w:pPr>
                    <w:spacing w:before="40" w:after="40"/>
                    <w:rPr>
                      <w:rFonts w:cs="Arial"/>
                      <w:b/>
                      <w:szCs w:val="24"/>
                    </w:rPr>
                  </w:pPr>
                  <w:r>
                    <w:rPr>
                      <w:rFonts w:cs="Arial"/>
                      <w:b/>
                      <w:color w:val="000000"/>
                      <w:szCs w:val="24"/>
                      <w:lang w:eastAsia="en-GB"/>
                    </w:rPr>
                    <w:t>p</w:t>
                  </w:r>
                  <w:r w:rsidRPr="001B4BC9">
                    <w:rPr>
                      <w:rFonts w:cs="Arial"/>
                      <w:b/>
                      <w:color w:val="000000"/>
                      <w:szCs w:val="24"/>
                      <w:lang w:eastAsia="en-GB"/>
                    </w:rPr>
                    <w:t>roformas</w:t>
                  </w:r>
                  <w:r>
                    <w:rPr>
                      <w:rFonts w:cs="Arial"/>
                      <w:b/>
                      <w:color w:val="000000"/>
                      <w:szCs w:val="24"/>
                      <w:lang w:eastAsia="en-GB"/>
                    </w:rPr>
                    <w:t>.</w:t>
                  </w:r>
                </w:p>
                <w:p w14:paraId="2C352295" w14:textId="77777777" w:rsidR="007C2F03" w:rsidRDefault="001B4BC9" w:rsidP="0084461B">
                  <w:pPr>
                    <w:spacing w:before="40" w:after="40"/>
                    <w:rPr>
                      <w:rFonts w:cs="Arial"/>
                      <w:b/>
                      <w:szCs w:val="24"/>
                    </w:rPr>
                  </w:pPr>
                  <w:r>
                    <w:rPr>
                      <w:rFonts w:cs="Arial"/>
                      <w:b/>
                      <w:szCs w:val="24"/>
                    </w:rPr>
                    <w:t xml:space="preserve"> </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65149C20" w14:textId="77777777" w:rsidR="00946AF4" w:rsidRDefault="00946AF4" w:rsidP="00946AF4">
                  <w:pPr>
                    <w:rPr>
                      <w:rFonts w:cs="Arial"/>
                      <w:color w:val="000000"/>
                      <w:szCs w:val="24"/>
                    </w:rPr>
                  </w:pPr>
                  <w:bookmarkStart w:id="3" w:name="_Hlk536003670"/>
                  <w:r>
                    <w:rPr>
                      <w:rFonts w:cs="Arial"/>
                      <w:color w:val="000000"/>
                      <w:szCs w:val="24"/>
                    </w:rPr>
                    <w:t xml:space="preserve">Quarterly reporting by completion of the Medicines Optimisation reporting template on the number of audits (Sample size, relevant to each trust) undertaken, </w:t>
                  </w:r>
                  <w:r w:rsidRPr="003625A7">
                    <w:rPr>
                      <w:rFonts w:cs="Arial"/>
                      <w:color w:val="000000"/>
                      <w:szCs w:val="24"/>
                    </w:rPr>
                    <w:t xml:space="preserve">targeted at </w:t>
                  </w:r>
                  <w:r>
                    <w:rPr>
                      <w:rFonts w:cs="Arial"/>
                      <w:color w:val="000000"/>
                      <w:szCs w:val="24"/>
                    </w:rPr>
                    <w:t>the specific drug/s identified each quarter.</w:t>
                  </w:r>
                </w:p>
                <w:p w14:paraId="62B66039" w14:textId="77777777" w:rsidR="00946AF4" w:rsidRDefault="00946AF4" w:rsidP="00946AF4">
                  <w:pPr>
                    <w:rPr>
                      <w:rFonts w:cs="Arial"/>
                      <w:color w:val="000000"/>
                      <w:szCs w:val="24"/>
                    </w:rPr>
                  </w:pPr>
                </w:p>
                <w:p w14:paraId="099665E5" w14:textId="77777777" w:rsidR="00946AF4" w:rsidRDefault="00946AF4" w:rsidP="00946AF4">
                  <w:pPr>
                    <w:rPr>
                      <w:rFonts w:cs="Arial"/>
                      <w:color w:val="000000"/>
                      <w:szCs w:val="24"/>
                    </w:rPr>
                  </w:pPr>
                  <w:r>
                    <w:rPr>
                      <w:rFonts w:cs="Arial"/>
                      <w:color w:val="000000"/>
                      <w:szCs w:val="24"/>
                    </w:rPr>
                    <w:t>Where variation against national criteria exists, an action plan is to be developed, shared and implemented over the remaining quarters as agreed with the regional team, e.g. quarter 1 variation is identified – quarter 2 implementation plan embedded to remedy.</w:t>
                  </w:r>
                </w:p>
                <w:p w14:paraId="69CFA6FB" w14:textId="77777777" w:rsidR="00946AF4" w:rsidRDefault="00946AF4" w:rsidP="00946AF4">
                  <w:pPr>
                    <w:rPr>
                      <w:rFonts w:cs="Arial"/>
                      <w:color w:val="000000"/>
                      <w:szCs w:val="24"/>
                    </w:rPr>
                  </w:pPr>
                </w:p>
                <w:p w14:paraId="5E45CC24" w14:textId="77777777" w:rsidR="00946AF4" w:rsidRDefault="00946AF4" w:rsidP="00946AF4">
                  <w:r>
                    <w:rPr>
                      <w:rFonts w:cs="Arial"/>
                      <w:color w:val="000000"/>
                      <w:szCs w:val="24"/>
                    </w:rPr>
                    <w:t>*Quarter 1 – D</w:t>
                  </w:r>
                  <w:r>
                    <w:t>aratumumab/ Abiraterone (Q3 18/19 patient numbers will be used for audit purposes and supplied by the regional specialised commissioning team).</w:t>
                  </w:r>
                </w:p>
                <w:p w14:paraId="5A6A61F6" w14:textId="101EBBE1" w:rsidR="003F2B43" w:rsidRDefault="001B4BC9" w:rsidP="001B4BC9">
                  <w:r>
                    <w:rPr>
                      <w:rFonts w:cs="Arial"/>
                      <w:color w:val="000000"/>
                      <w:szCs w:val="24"/>
                    </w:rPr>
                    <w:t xml:space="preserve">Quarter 1 – </w:t>
                  </w:r>
                  <w:bookmarkEnd w:id="3"/>
                  <w:r>
                    <w:rPr>
                      <w:rFonts w:cs="Arial"/>
                      <w:color w:val="000000"/>
                      <w:szCs w:val="24"/>
                    </w:rPr>
                    <w:t>D</w:t>
                  </w:r>
                  <w:r>
                    <w:t>aratumumab</w:t>
                  </w:r>
                  <w:r w:rsidR="00944888">
                    <w:t>/</w:t>
                  </w:r>
                  <w:r w:rsidR="006E0A40">
                    <w:t>A</w:t>
                  </w:r>
                  <w:r w:rsidR="00944888">
                    <w:t>biraterone</w:t>
                  </w:r>
                </w:p>
                <w:p w14:paraId="18D08598" w14:textId="0FFE844D" w:rsidR="00484B72" w:rsidRDefault="00484B72" w:rsidP="001B4BC9"/>
                <w:p w14:paraId="32262F80" w14:textId="7DF91DCF" w:rsidR="00B578CF" w:rsidRDefault="00B578CF" w:rsidP="001B4BC9"/>
                <w:p w14:paraId="58F98602" w14:textId="77777777" w:rsidR="00B578CF" w:rsidRDefault="00B578CF" w:rsidP="001B4BC9"/>
                <w:p w14:paraId="6B24C101" w14:textId="73C6484C" w:rsidR="00484B72" w:rsidRDefault="001B4BC9" w:rsidP="001B4BC9">
                  <w:r>
                    <w:lastRenderedPageBreak/>
                    <w:t xml:space="preserve">Quarter 2 – </w:t>
                  </w:r>
                </w:p>
                <w:p w14:paraId="63B4F149" w14:textId="7BE7D4D6" w:rsidR="00484B72" w:rsidRDefault="00484B72" w:rsidP="00C95A16">
                  <w:pPr>
                    <w:pStyle w:val="ListParagraph"/>
                    <w:numPr>
                      <w:ilvl w:val="0"/>
                      <w:numId w:val="27"/>
                    </w:numPr>
                    <w:ind w:left="319" w:hanging="319"/>
                  </w:pPr>
                  <w:r w:rsidRPr="00484B72">
                    <w:t xml:space="preserve">Pembrolizumab (urothelial) </w:t>
                  </w:r>
                  <w:r w:rsidRPr="00C95A16">
                    <w:rPr>
                      <w:b/>
                    </w:rPr>
                    <w:t>or</w:t>
                  </w:r>
                  <w:r w:rsidRPr="00484B72">
                    <w:t xml:space="preserve"> Ixazomib</w:t>
                  </w:r>
                </w:p>
                <w:p w14:paraId="28C1D5B5" w14:textId="5637460B" w:rsidR="00484B72" w:rsidRDefault="00484B72" w:rsidP="00C95A16">
                  <w:pPr>
                    <w:pStyle w:val="ListParagraph"/>
                    <w:numPr>
                      <w:ilvl w:val="0"/>
                      <w:numId w:val="27"/>
                    </w:numPr>
                    <w:ind w:left="319" w:hanging="319"/>
                  </w:pPr>
                  <w:r w:rsidRPr="00484B72">
                    <w:t xml:space="preserve">Ocrelizumab </w:t>
                  </w:r>
                  <w:r w:rsidRPr="00C95A16">
                    <w:rPr>
                      <w:b/>
                    </w:rPr>
                    <w:t>or</w:t>
                  </w:r>
                  <w:r w:rsidRPr="00484B72">
                    <w:t xml:space="preserve"> Omalizumab</w:t>
                  </w:r>
                </w:p>
                <w:p w14:paraId="68268E42" w14:textId="63A9773A" w:rsidR="00484B72" w:rsidRDefault="00484B72" w:rsidP="001B4BC9"/>
                <w:p w14:paraId="60082503" w14:textId="2CA2CDC8" w:rsidR="00946AF4" w:rsidRDefault="001B4BC9" w:rsidP="001B4BC9">
                  <w:r>
                    <w:t>Quarter 3</w:t>
                  </w:r>
                </w:p>
                <w:p w14:paraId="03EBA5FD" w14:textId="77777777" w:rsidR="00C95A16" w:rsidRDefault="00484B72" w:rsidP="00C95A16">
                  <w:pPr>
                    <w:pStyle w:val="ListParagraph"/>
                    <w:numPr>
                      <w:ilvl w:val="0"/>
                      <w:numId w:val="29"/>
                    </w:numPr>
                    <w:ind w:left="319" w:hanging="284"/>
                  </w:pPr>
                  <w:r w:rsidRPr="00484B72">
                    <w:t>Nivolumab (</w:t>
                  </w:r>
                  <w:r w:rsidR="00C95A16">
                    <w:t>h</w:t>
                  </w:r>
                  <w:r>
                    <w:t xml:space="preserve">ead </w:t>
                  </w:r>
                  <w:r w:rsidRPr="00484B72">
                    <w:t>&amp;</w:t>
                  </w:r>
                  <w:r>
                    <w:t xml:space="preserve"> </w:t>
                  </w:r>
                  <w:r w:rsidR="00C95A16">
                    <w:t>n</w:t>
                  </w:r>
                  <w:r>
                    <w:t>eck</w:t>
                  </w:r>
                  <w:r w:rsidRPr="00484B72">
                    <w:t xml:space="preserve">) </w:t>
                  </w:r>
                  <w:r w:rsidRPr="00C95A16">
                    <w:rPr>
                      <w:b/>
                    </w:rPr>
                    <w:t>or</w:t>
                  </w:r>
                  <w:r w:rsidRPr="00484B72">
                    <w:t xml:space="preserve"> Pembro</w:t>
                  </w:r>
                  <w:r>
                    <w:t>lizumab</w:t>
                  </w:r>
                  <w:r w:rsidRPr="00484B72">
                    <w:t xml:space="preserve"> (</w:t>
                  </w:r>
                  <w:r w:rsidR="00C95A16">
                    <w:t>n</w:t>
                  </w:r>
                  <w:r>
                    <w:t>on-small cell lung cancer</w:t>
                  </w:r>
                  <w:r w:rsidRPr="00484B72">
                    <w:t>)</w:t>
                  </w:r>
                </w:p>
                <w:p w14:paraId="23563C2C" w14:textId="2CE5B8B4" w:rsidR="00484B72" w:rsidRDefault="00484B72" w:rsidP="00C95A16">
                  <w:pPr>
                    <w:pStyle w:val="ListParagraph"/>
                    <w:numPr>
                      <w:ilvl w:val="0"/>
                      <w:numId w:val="29"/>
                    </w:numPr>
                    <w:ind w:left="319" w:hanging="284"/>
                  </w:pPr>
                  <w:r w:rsidRPr="00484B72">
                    <w:t xml:space="preserve">Dimethyl fumarate </w:t>
                  </w:r>
                  <w:r w:rsidRPr="00C95A16">
                    <w:rPr>
                      <w:b/>
                    </w:rPr>
                    <w:t>or</w:t>
                  </w:r>
                  <w:r w:rsidRPr="00484B72">
                    <w:t xml:space="preserve"> Mepolizumab</w:t>
                  </w:r>
                </w:p>
                <w:p w14:paraId="32E38E4E" w14:textId="5ED70F8A" w:rsidR="00484B72" w:rsidRDefault="00484B72" w:rsidP="00C95A16">
                  <w:pPr>
                    <w:ind w:firstLine="283"/>
                  </w:pPr>
                </w:p>
                <w:p w14:paraId="0F491EB6" w14:textId="60F7F483" w:rsidR="00946AF4" w:rsidRDefault="001B4BC9" w:rsidP="00023FEB">
                  <w:r>
                    <w:t>Quarter 4</w:t>
                  </w:r>
                </w:p>
                <w:p w14:paraId="236C3144" w14:textId="6D251688" w:rsidR="00484B72" w:rsidRDefault="00484B72" w:rsidP="00C95A16">
                  <w:pPr>
                    <w:pStyle w:val="ListParagraph"/>
                    <w:numPr>
                      <w:ilvl w:val="0"/>
                      <w:numId w:val="30"/>
                    </w:numPr>
                    <w:ind w:left="319" w:hanging="284"/>
                  </w:pPr>
                  <w:r w:rsidRPr="00484B72">
                    <w:t xml:space="preserve">Atezolizumab (urothelial) </w:t>
                  </w:r>
                  <w:r w:rsidRPr="00C95A16">
                    <w:rPr>
                      <w:b/>
                    </w:rPr>
                    <w:t xml:space="preserve">or </w:t>
                  </w:r>
                  <w:r w:rsidRPr="00484B72">
                    <w:t>Niraparib (ovarian cancer)</w:t>
                  </w:r>
                </w:p>
                <w:p w14:paraId="42DE586A" w14:textId="660605F0" w:rsidR="00484B72" w:rsidRDefault="00484B72" w:rsidP="00C95A16">
                  <w:pPr>
                    <w:pStyle w:val="ListParagraph"/>
                    <w:numPr>
                      <w:ilvl w:val="0"/>
                      <w:numId w:val="30"/>
                    </w:numPr>
                    <w:ind w:left="319" w:hanging="284"/>
                  </w:pPr>
                  <w:r w:rsidRPr="00484B72">
                    <w:t xml:space="preserve">Palivizumab </w:t>
                  </w:r>
                  <w:r w:rsidRPr="00C95A16">
                    <w:rPr>
                      <w:b/>
                    </w:rPr>
                    <w:t xml:space="preserve">or </w:t>
                  </w:r>
                  <w:r w:rsidRPr="00484B72">
                    <w:t>Interferon beta RRMS (initiation)</w:t>
                  </w:r>
                </w:p>
                <w:p w14:paraId="34C4292B" w14:textId="46A2CE3D" w:rsidR="00946AF4" w:rsidRDefault="00946AF4" w:rsidP="00023FEB"/>
                <w:p w14:paraId="6ECED57F" w14:textId="5E124A48" w:rsidR="00C95A16" w:rsidRDefault="00C95A16" w:rsidP="00023FEB">
                  <w:r>
                    <w:t>Providers must choose one drug from each option listed</w:t>
                  </w:r>
                  <w:r w:rsidR="00A82ACA">
                    <w:t>,</w:t>
                  </w:r>
                  <w:r>
                    <w:t xml:space="preserve"> for each quarter.</w:t>
                  </w:r>
                </w:p>
                <w:p w14:paraId="6B82A462" w14:textId="0DE93785" w:rsidR="00C95A16" w:rsidRDefault="00C95A16" w:rsidP="00023FEB"/>
                <w:p w14:paraId="47039CCB" w14:textId="48F8A724" w:rsidR="00C95A16" w:rsidRDefault="00C95A16" w:rsidP="00023FEB">
                  <w:r>
                    <w:t xml:space="preserve">Example – Quarter 2, Ixazomib and Omalizumab.   </w:t>
                  </w:r>
                </w:p>
                <w:p w14:paraId="0B0507CA" w14:textId="19F70694" w:rsidR="00EB4A02" w:rsidRDefault="001B4BC9" w:rsidP="00023FEB">
                  <w:r>
                    <w:t xml:space="preserve"> </w:t>
                  </w:r>
                </w:p>
                <w:p w14:paraId="4373081C" w14:textId="20EE4021" w:rsidR="00946AF4" w:rsidRPr="00946AF4" w:rsidRDefault="00946AF4" w:rsidP="00590990">
                  <w:r w:rsidRPr="00946AF4">
                    <w:t xml:space="preserve">*For </w:t>
                  </w:r>
                  <w:r w:rsidR="003B36C2" w:rsidRPr="00946AF4">
                    <w:t>non-commissioned</w:t>
                  </w:r>
                  <w:r w:rsidRPr="00946AF4">
                    <w:t xml:space="preserve"> centres</w:t>
                  </w:r>
                  <w:r w:rsidR="00C95A16">
                    <w:t>,</w:t>
                  </w:r>
                  <w:r w:rsidRPr="00946AF4">
                    <w:t xml:space="preserve"> alternative </w:t>
                  </w:r>
                  <w:r w:rsidR="003B36C2" w:rsidRPr="00946AF4">
                    <w:t>medicines</w:t>
                  </w:r>
                  <w:r w:rsidRPr="00946AF4">
                    <w:t xml:space="preserve"> may be chosen by the regional specialised commissioning team</w:t>
                  </w:r>
                  <w:r w:rsidR="003B36C2">
                    <w:t>.</w:t>
                  </w:r>
                </w:p>
                <w:p w14:paraId="34CB3138" w14:textId="54383149" w:rsidR="00187BDA" w:rsidRDefault="00187BDA" w:rsidP="00023FEB"/>
              </w:tc>
              <w:tc>
                <w:tcPr>
                  <w:tcW w:w="3258" w:type="dxa"/>
                  <w:tcBorders>
                    <w:top w:val="single" w:sz="4" w:space="0" w:color="auto"/>
                    <w:left w:val="single" w:sz="4" w:space="0" w:color="auto"/>
                    <w:bottom w:val="single" w:sz="4" w:space="0" w:color="auto"/>
                    <w:right w:val="single" w:sz="4" w:space="0" w:color="auto"/>
                  </w:tcBorders>
                  <w:shd w:val="clear" w:color="auto" w:fill="auto"/>
                </w:tcPr>
                <w:p w14:paraId="722C0F9A" w14:textId="77777777" w:rsidR="007C2F03" w:rsidRDefault="00D46E69" w:rsidP="00D43ACA">
                  <w:r>
                    <w:lastRenderedPageBreak/>
                    <w:t>N/A</w:t>
                  </w:r>
                </w:p>
              </w:tc>
            </w:tr>
            <w:tr w:rsidR="00D46E69" w:rsidRPr="00C0263E" w14:paraId="50BF15A7" w14:textId="77777777" w:rsidTr="00C95A16">
              <w:trPr>
                <w:trHeight w:val="619"/>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F66F67" w14:textId="77777777" w:rsidR="00D46E69" w:rsidRDefault="00D46E69" w:rsidP="00D46E69">
                  <w:pPr>
                    <w:spacing w:before="40" w:after="40"/>
                    <w:rPr>
                      <w:rFonts w:cs="Arial"/>
                      <w:b/>
                      <w:szCs w:val="24"/>
                    </w:rPr>
                  </w:pPr>
                  <w:r>
                    <w:rPr>
                      <w:rFonts w:cs="Arial"/>
                      <w:b/>
                      <w:szCs w:val="24"/>
                    </w:rPr>
                    <w:t>Trigger 4</w:t>
                  </w:r>
                </w:p>
                <w:p w14:paraId="281C875B" w14:textId="77777777" w:rsidR="00D46E69" w:rsidRPr="001D65DE" w:rsidRDefault="00D46E69" w:rsidP="00D46E69">
                  <w:pPr>
                    <w:spacing w:before="40" w:after="40"/>
                    <w:rPr>
                      <w:rFonts w:cs="Arial"/>
                      <w:b/>
                      <w:szCs w:val="24"/>
                    </w:rPr>
                  </w:pPr>
                  <w:r w:rsidRPr="001D65DE">
                    <w:rPr>
                      <w:rFonts w:cs="Arial"/>
                      <w:b/>
                      <w:szCs w:val="24"/>
                    </w:rPr>
                    <w:t>Faster adoption of prioritised best value medicines and treatment.</w:t>
                  </w:r>
                </w:p>
                <w:p w14:paraId="698165BA" w14:textId="77777777" w:rsidR="00D46E69" w:rsidRDefault="00D46E69" w:rsidP="00D46E69">
                  <w:pPr>
                    <w:spacing w:before="40" w:after="40"/>
                    <w:rPr>
                      <w:rFonts w:cs="Arial"/>
                      <w:b/>
                      <w:szCs w:val="24"/>
                    </w:rPr>
                  </w:pP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24288F33" w14:textId="77777777" w:rsidR="00D46E69" w:rsidRPr="003B6634" w:rsidRDefault="00D46E69" w:rsidP="00D46E69">
                  <w:pPr>
                    <w:spacing w:before="40" w:after="40"/>
                    <w:rPr>
                      <w:rFonts w:cs="Arial"/>
                      <w:szCs w:val="24"/>
                    </w:rPr>
                  </w:pPr>
                  <w:r w:rsidRPr="003B6634">
                    <w:rPr>
                      <w:rFonts w:cs="Arial"/>
                      <w:szCs w:val="24"/>
                    </w:rPr>
                    <w:t xml:space="preserve">1a) Adoption of best value generic/ biologic products in 90% of </w:t>
                  </w:r>
                  <w:r w:rsidRPr="001844AF">
                    <w:rPr>
                      <w:rFonts w:cs="Arial"/>
                      <w:b/>
                      <w:szCs w:val="24"/>
                    </w:rPr>
                    <w:t>new patients</w:t>
                  </w:r>
                  <w:r w:rsidRPr="003B6634">
                    <w:rPr>
                      <w:rFonts w:cs="Arial"/>
                      <w:szCs w:val="24"/>
                    </w:rPr>
                    <w:t xml:space="preserve"> </w:t>
                  </w:r>
                  <w:r w:rsidR="001E210A">
                    <w:rPr>
                      <w:rFonts w:cs="Arial"/>
                      <w:szCs w:val="24"/>
                    </w:rPr>
                    <w:t>by the end of the following quarter</w:t>
                  </w:r>
                  <w:r w:rsidRPr="003B6634">
                    <w:rPr>
                      <w:rFonts w:cs="Arial"/>
                      <w:szCs w:val="24"/>
                    </w:rPr>
                    <w:t xml:space="preserve"> of guidance being made available. </w:t>
                  </w:r>
                </w:p>
                <w:p w14:paraId="430A7051" w14:textId="77777777" w:rsidR="00D46E69" w:rsidRDefault="00D46E69" w:rsidP="00D46E69">
                  <w:pPr>
                    <w:spacing w:before="40" w:after="40"/>
                    <w:rPr>
                      <w:rFonts w:cs="Arial"/>
                      <w:sz w:val="10"/>
                      <w:szCs w:val="24"/>
                    </w:rPr>
                  </w:pPr>
                </w:p>
                <w:p w14:paraId="0283B6A3" w14:textId="77777777" w:rsidR="003F2B43" w:rsidRPr="00087952" w:rsidRDefault="003F2B43" w:rsidP="00D46E69">
                  <w:pPr>
                    <w:spacing w:before="40" w:after="40"/>
                    <w:rPr>
                      <w:rFonts w:cs="Arial"/>
                      <w:sz w:val="10"/>
                      <w:szCs w:val="24"/>
                    </w:rPr>
                  </w:pPr>
                </w:p>
                <w:p w14:paraId="12022B36" w14:textId="77777777" w:rsidR="003F2B43" w:rsidRDefault="00D46E69" w:rsidP="00D46E69">
                  <w:pPr>
                    <w:spacing w:before="40" w:after="40"/>
                    <w:rPr>
                      <w:rFonts w:cs="Arial"/>
                      <w:szCs w:val="24"/>
                    </w:rPr>
                  </w:pPr>
                  <w:r w:rsidRPr="003B6634">
                    <w:rPr>
                      <w:rFonts w:cs="Arial"/>
                      <w:szCs w:val="24"/>
                    </w:rPr>
                    <w:t xml:space="preserve">1b) Adoption of best value generic/ biologic products in 80% of </w:t>
                  </w:r>
                  <w:r w:rsidRPr="001844AF">
                    <w:rPr>
                      <w:rFonts w:cs="Arial"/>
                      <w:b/>
                      <w:szCs w:val="24"/>
                    </w:rPr>
                    <w:t>applicable existing patients</w:t>
                  </w:r>
                  <w:r w:rsidRPr="003B6634">
                    <w:rPr>
                      <w:rFonts w:cs="Arial"/>
                      <w:szCs w:val="24"/>
                    </w:rPr>
                    <w:t xml:space="preserve"> within one year of </w:t>
                  </w:r>
                  <w:r w:rsidR="001E210A">
                    <w:rPr>
                      <w:rFonts w:cs="Arial"/>
                      <w:szCs w:val="24"/>
                    </w:rPr>
                    <w:t xml:space="preserve">guidance </w:t>
                  </w:r>
                  <w:r w:rsidRPr="003B6634">
                    <w:rPr>
                      <w:rFonts w:cs="Arial"/>
                      <w:szCs w:val="24"/>
                    </w:rPr>
                    <w:t>being made available (except if standard treatment course is &lt; 6 months).</w:t>
                  </w:r>
                </w:p>
                <w:p w14:paraId="78407F99" w14:textId="77777777" w:rsidR="00D46E69" w:rsidRPr="00087952" w:rsidRDefault="00D46E69" w:rsidP="00087952">
                  <w:pPr>
                    <w:spacing w:before="40" w:after="40"/>
                    <w:rPr>
                      <w:rFonts w:cs="Arial"/>
                      <w:sz w:val="10"/>
                      <w:szCs w:val="24"/>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5D6BFE47" w14:textId="77777777" w:rsidR="00D46E69" w:rsidRDefault="00D46E69" w:rsidP="00D46E69">
                  <w:pPr>
                    <w:spacing w:before="40" w:after="40"/>
                    <w:rPr>
                      <w:rFonts w:cs="Arial"/>
                      <w:szCs w:val="24"/>
                    </w:rPr>
                  </w:pPr>
                  <w:r w:rsidRPr="003B6634">
                    <w:rPr>
                      <w:rFonts w:cs="Arial"/>
                      <w:szCs w:val="24"/>
                    </w:rPr>
                    <w:t xml:space="preserve">1a) Adoption of best value generic/ biologic products in 90% of </w:t>
                  </w:r>
                  <w:r w:rsidRPr="001844AF">
                    <w:rPr>
                      <w:rFonts w:cs="Arial"/>
                      <w:b/>
                      <w:szCs w:val="24"/>
                    </w:rPr>
                    <w:t>new patients</w:t>
                  </w:r>
                  <w:r w:rsidRPr="003B6634">
                    <w:rPr>
                      <w:rFonts w:cs="Arial"/>
                      <w:szCs w:val="24"/>
                    </w:rPr>
                    <w:t xml:space="preserve"> </w:t>
                  </w:r>
                  <w:r w:rsidR="001E210A" w:rsidRPr="001E210A">
                    <w:rPr>
                      <w:rFonts w:cs="Arial"/>
                      <w:szCs w:val="24"/>
                    </w:rPr>
                    <w:t>by the end of the following quarter of guidance being made available.</w:t>
                  </w:r>
                </w:p>
                <w:p w14:paraId="1306C0A3" w14:textId="77777777" w:rsidR="00D46E69" w:rsidRPr="001E210A" w:rsidRDefault="00D46E69" w:rsidP="00D46E69">
                  <w:pPr>
                    <w:spacing w:before="40" w:after="40"/>
                    <w:rPr>
                      <w:rFonts w:cs="Arial"/>
                      <w:sz w:val="20"/>
                      <w:szCs w:val="24"/>
                    </w:rPr>
                  </w:pPr>
                </w:p>
                <w:p w14:paraId="0518F4B3" w14:textId="7796E5A5" w:rsidR="00D46E69" w:rsidRDefault="00D46E69" w:rsidP="00D46E69">
                  <w:pPr>
                    <w:spacing w:before="40" w:after="40"/>
                    <w:rPr>
                      <w:rFonts w:cs="Arial"/>
                      <w:szCs w:val="24"/>
                    </w:rPr>
                  </w:pPr>
                  <w:r w:rsidRPr="003B6634">
                    <w:rPr>
                      <w:rFonts w:cs="Arial"/>
                      <w:szCs w:val="24"/>
                    </w:rPr>
                    <w:t xml:space="preserve">1b) Adoption of best value generic/ biologic products in 80% of </w:t>
                  </w:r>
                  <w:r w:rsidRPr="001844AF">
                    <w:rPr>
                      <w:rFonts w:cs="Arial"/>
                      <w:b/>
                      <w:szCs w:val="24"/>
                    </w:rPr>
                    <w:t>applicable existing patients</w:t>
                  </w:r>
                  <w:r w:rsidRPr="003B6634">
                    <w:rPr>
                      <w:rFonts w:cs="Arial"/>
                      <w:szCs w:val="24"/>
                    </w:rPr>
                    <w:t xml:space="preserve"> within one year of </w:t>
                  </w:r>
                  <w:r w:rsidR="001E210A">
                    <w:rPr>
                      <w:rFonts w:cs="Arial"/>
                      <w:szCs w:val="24"/>
                    </w:rPr>
                    <w:t xml:space="preserve">guidance </w:t>
                  </w:r>
                  <w:r w:rsidRPr="003B6634">
                    <w:rPr>
                      <w:rFonts w:cs="Arial"/>
                      <w:szCs w:val="24"/>
                    </w:rPr>
                    <w:t>being made available (except if standard treatment course is &lt; 6 months).</w:t>
                  </w:r>
                </w:p>
                <w:p w14:paraId="72F4F2DC" w14:textId="3A15CEF1" w:rsidR="00B578CF" w:rsidRDefault="00B578CF" w:rsidP="00D46E69">
                  <w:pPr>
                    <w:spacing w:before="40" w:after="40"/>
                    <w:rPr>
                      <w:rFonts w:cs="Arial"/>
                      <w:szCs w:val="24"/>
                    </w:rPr>
                  </w:pPr>
                </w:p>
                <w:p w14:paraId="71B0D87A" w14:textId="286DB3DD" w:rsidR="00B578CF" w:rsidRDefault="00B578CF" w:rsidP="00D46E69">
                  <w:pPr>
                    <w:spacing w:before="40" w:after="40"/>
                    <w:rPr>
                      <w:rFonts w:cs="Arial"/>
                      <w:szCs w:val="24"/>
                    </w:rPr>
                  </w:pPr>
                </w:p>
                <w:p w14:paraId="1399DC5C" w14:textId="10A77C4F" w:rsidR="00B578CF" w:rsidRDefault="00B578CF" w:rsidP="00D46E69">
                  <w:pPr>
                    <w:spacing w:before="40" w:after="40"/>
                    <w:rPr>
                      <w:rFonts w:cs="Arial"/>
                      <w:szCs w:val="24"/>
                    </w:rPr>
                  </w:pPr>
                </w:p>
                <w:p w14:paraId="04588FBC" w14:textId="548ED924" w:rsidR="00B578CF" w:rsidRDefault="00B578CF" w:rsidP="00D46E69">
                  <w:pPr>
                    <w:spacing w:before="40" w:after="40"/>
                    <w:rPr>
                      <w:rFonts w:cs="Arial"/>
                      <w:szCs w:val="24"/>
                    </w:rPr>
                  </w:pPr>
                </w:p>
                <w:p w14:paraId="072D1C9D" w14:textId="68AF610A" w:rsidR="00B578CF" w:rsidRDefault="00B578CF" w:rsidP="00D46E69">
                  <w:pPr>
                    <w:spacing w:before="40" w:after="40"/>
                    <w:rPr>
                      <w:rFonts w:cs="Arial"/>
                      <w:szCs w:val="24"/>
                    </w:rPr>
                  </w:pPr>
                </w:p>
                <w:p w14:paraId="2B2AAAB4" w14:textId="77777777" w:rsidR="00B578CF" w:rsidRDefault="00B578CF" w:rsidP="00D46E69">
                  <w:pPr>
                    <w:spacing w:before="40" w:after="40"/>
                    <w:rPr>
                      <w:rFonts w:cs="Arial"/>
                      <w:szCs w:val="24"/>
                    </w:rPr>
                  </w:pPr>
                </w:p>
                <w:p w14:paraId="29703572" w14:textId="77777777" w:rsidR="00D46E69" w:rsidRPr="00087952" w:rsidRDefault="00D46E69" w:rsidP="00087952">
                  <w:pPr>
                    <w:spacing w:before="40" w:after="40"/>
                    <w:rPr>
                      <w:rFonts w:cs="Arial"/>
                      <w:sz w:val="10"/>
                      <w:szCs w:val="24"/>
                    </w:rPr>
                  </w:pPr>
                </w:p>
              </w:tc>
            </w:tr>
            <w:tr w:rsidR="00D46E69" w:rsidRPr="00C0263E" w14:paraId="24370607" w14:textId="77777777" w:rsidTr="00C95A16">
              <w:trPr>
                <w:trHeight w:val="619"/>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E8D32" w14:textId="77777777" w:rsidR="00D46E69" w:rsidRDefault="00D46E69" w:rsidP="00D46E69">
                  <w:pPr>
                    <w:spacing w:before="40" w:after="40"/>
                    <w:rPr>
                      <w:rFonts w:cs="Arial"/>
                      <w:b/>
                      <w:szCs w:val="24"/>
                    </w:rPr>
                  </w:pPr>
                  <w:r>
                    <w:rPr>
                      <w:rFonts w:cs="Arial"/>
                      <w:b/>
                      <w:szCs w:val="24"/>
                    </w:rPr>
                    <w:lastRenderedPageBreak/>
                    <w:t>Trigger 5</w:t>
                  </w:r>
                </w:p>
                <w:p w14:paraId="3C6B95B9" w14:textId="77777777" w:rsidR="00D46E69" w:rsidRDefault="00D46E69" w:rsidP="00D46E69">
                  <w:pPr>
                    <w:spacing w:before="40" w:after="40"/>
                    <w:rPr>
                      <w:rFonts w:cs="Arial"/>
                      <w:b/>
                      <w:szCs w:val="24"/>
                    </w:rPr>
                  </w:pPr>
                  <w:r>
                    <w:rPr>
                      <w:rFonts w:cs="Arial"/>
                      <w:b/>
                      <w:szCs w:val="24"/>
                    </w:rPr>
                    <w:t>Anti-fungal stewardship</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086A32C6" w14:textId="5A7E1977" w:rsidR="00087952" w:rsidRDefault="00D46E69" w:rsidP="00D46E69">
                  <w:pPr>
                    <w:spacing w:before="40" w:after="40"/>
                    <w:rPr>
                      <w:rFonts w:cs="Arial"/>
                      <w:szCs w:val="24"/>
                    </w:rPr>
                  </w:pPr>
                  <w:r w:rsidRPr="00D46E69">
                    <w:rPr>
                      <w:rFonts w:cs="Arial"/>
                      <w:b/>
                      <w:szCs w:val="24"/>
                    </w:rPr>
                    <w:t xml:space="preserve">Quarter 1 </w:t>
                  </w:r>
                  <w:r w:rsidR="00E42CA9">
                    <w:rPr>
                      <w:rFonts w:cs="Arial"/>
                      <w:szCs w:val="24"/>
                    </w:rPr>
                    <w:t xml:space="preserve">– </w:t>
                  </w:r>
                  <w:r w:rsidR="00E42CA9" w:rsidRPr="00E42CA9">
                    <w:rPr>
                      <w:rFonts w:cs="Arial"/>
                      <w:szCs w:val="24"/>
                    </w:rPr>
                    <w:t xml:space="preserve">Start </w:t>
                  </w:r>
                  <w:r w:rsidR="00E42CA9">
                    <w:rPr>
                      <w:rFonts w:cs="Arial"/>
                      <w:szCs w:val="24"/>
                    </w:rPr>
                    <w:t>r</w:t>
                  </w:r>
                  <w:r w:rsidR="00E42CA9" w:rsidRPr="00E42CA9">
                    <w:rPr>
                      <w:rFonts w:cs="Arial"/>
                      <w:szCs w:val="24"/>
                    </w:rPr>
                    <w:t>eview of Anti-Fungal guidelines</w:t>
                  </w:r>
                  <w:r w:rsidR="00E42CA9">
                    <w:rPr>
                      <w:rFonts w:cs="Arial"/>
                      <w:szCs w:val="24"/>
                    </w:rPr>
                    <w:t>.</w:t>
                  </w:r>
                </w:p>
                <w:p w14:paraId="6D098AB3" w14:textId="77777777" w:rsidR="00E42CA9" w:rsidRPr="00087952" w:rsidRDefault="00E42CA9" w:rsidP="00D46E69">
                  <w:pPr>
                    <w:spacing w:before="40" w:after="40"/>
                    <w:rPr>
                      <w:rFonts w:cs="Arial"/>
                      <w:b/>
                      <w:sz w:val="10"/>
                      <w:szCs w:val="24"/>
                    </w:rPr>
                  </w:pPr>
                </w:p>
                <w:p w14:paraId="6D2A9564" w14:textId="65F324A1" w:rsidR="00D46E69" w:rsidRDefault="00D46E69" w:rsidP="00D46E69">
                  <w:pPr>
                    <w:spacing w:before="40" w:after="40"/>
                    <w:rPr>
                      <w:rFonts w:cs="Arial"/>
                      <w:szCs w:val="24"/>
                    </w:rPr>
                  </w:pPr>
                  <w:r w:rsidRPr="00D46E69">
                    <w:rPr>
                      <w:rFonts w:cs="Arial"/>
                      <w:b/>
                      <w:szCs w:val="24"/>
                    </w:rPr>
                    <w:t>Quarter 2</w:t>
                  </w:r>
                  <w:r>
                    <w:rPr>
                      <w:rFonts w:cs="Arial"/>
                      <w:szCs w:val="24"/>
                    </w:rPr>
                    <w:t xml:space="preserve"> </w:t>
                  </w:r>
                  <w:bookmarkStart w:id="4" w:name="_Hlk532976795"/>
                  <w:r w:rsidR="00E42CA9">
                    <w:rPr>
                      <w:rFonts w:cs="Arial"/>
                      <w:szCs w:val="24"/>
                    </w:rPr>
                    <w:t xml:space="preserve">- </w:t>
                  </w:r>
                  <w:r w:rsidR="00E42CA9" w:rsidRPr="00E42CA9">
                    <w:rPr>
                      <w:rFonts w:cs="Arial"/>
                      <w:szCs w:val="24"/>
                    </w:rPr>
                    <w:t>Identification of an Anti-Fungal Stewardship team that meets the standards as set out in the NHS England Antifungal Stewardship Implementation Pack.</w:t>
                  </w:r>
                </w:p>
                <w:p w14:paraId="336C0C81" w14:textId="5D39897A" w:rsidR="00E42CA9" w:rsidRDefault="00E42CA9" w:rsidP="00D46E69">
                  <w:pPr>
                    <w:spacing w:before="40" w:after="40"/>
                    <w:rPr>
                      <w:rFonts w:cs="Arial"/>
                      <w:szCs w:val="24"/>
                    </w:rPr>
                  </w:pPr>
                </w:p>
                <w:p w14:paraId="035BF999" w14:textId="492FB0C5" w:rsidR="00E42CA9" w:rsidRPr="00E42CA9" w:rsidRDefault="00E42CA9" w:rsidP="00D46E69">
                  <w:pPr>
                    <w:spacing w:before="40" w:after="40"/>
                    <w:rPr>
                      <w:rFonts w:cs="Arial"/>
                      <w:szCs w:val="24"/>
                    </w:rPr>
                  </w:pPr>
                  <w:r w:rsidRPr="00E42CA9">
                    <w:rPr>
                      <w:rFonts w:cs="Arial"/>
                      <w:b/>
                      <w:szCs w:val="24"/>
                    </w:rPr>
                    <w:t xml:space="preserve">Quarter 3 - </w:t>
                  </w:r>
                  <w:r w:rsidRPr="00E42CA9">
                    <w:rPr>
                      <w:rFonts w:cs="Arial"/>
                      <w:szCs w:val="24"/>
                    </w:rPr>
                    <w:t>Diagnostic Gap Analysis Survey completed.</w:t>
                  </w:r>
                </w:p>
                <w:p w14:paraId="15B217C4" w14:textId="77777777" w:rsidR="00E93A29" w:rsidRPr="005365D3" w:rsidRDefault="00E93A29" w:rsidP="00D46E69">
                  <w:pPr>
                    <w:spacing w:before="40" w:after="40"/>
                    <w:rPr>
                      <w:rFonts w:cs="Arial"/>
                      <w:sz w:val="10"/>
                      <w:szCs w:val="24"/>
                    </w:rPr>
                  </w:pPr>
                </w:p>
                <w:bookmarkEnd w:id="4"/>
                <w:p w14:paraId="21F1646A" w14:textId="1B277D11" w:rsidR="00B84576" w:rsidRDefault="00D46E69" w:rsidP="005365D3">
                  <w:pPr>
                    <w:spacing w:before="40" w:after="40"/>
                    <w:rPr>
                      <w:rFonts w:cs="Arial"/>
                      <w:szCs w:val="24"/>
                    </w:rPr>
                  </w:pPr>
                  <w:r w:rsidRPr="00D46E69">
                    <w:rPr>
                      <w:rFonts w:cs="Arial"/>
                      <w:b/>
                      <w:szCs w:val="24"/>
                    </w:rPr>
                    <w:t>Quarter 4</w:t>
                  </w:r>
                  <w:r>
                    <w:rPr>
                      <w:rFonts w:cs="Arial"/>
                      <w:szCs w:val="24"/>
                    </w:rPr>
                    <w:t xml:space="preserve"> - </w:t>
                  </w:r>
                  <w:r w:rsidR="00E42CA9" w:rsidRPr="00E42CA9">
                    <w:rPr>
                      <w:rFonts w:cs="Arial"/>
                      <w:szCs w:val="24"/>
                    </w:rPr>
                    <w:t>Audits undertaken as per local agreement and as set out in the NHS England Antifungal Stewardship Implementation Pack, with the first audit being the baseline audit and Blueteq forms completed as per contract.</w:t>
                  </w:r>
                </w:p>
                <w:p w14:paraId="72080E45" w14:textId="77777777" w:rsidR="00B84576" w:rsidRDefault="00B84576" w:rsidP="005365D3">
                  <w:pPr>
                    <w:spacing w:before="40" w:after="40"/>
                    <w:rPr>
                      <w:rFonts w:cs="Arial"/>
                      <w:szCs w:val="24"/>
                    </w:rPr>
                  </w:pPr>
                </w:p>
                <w:p w14:paraId="11535F83" w14:textId="059C0EC5" w:rsidR="003B36C2" w:rsidRDefault="00E42CA9" w:rsidP="005365D3">
                  <w:pPr>
                    <w:spacing w:before="40" w:after="40"/>
                    <w:rPr>
                      <w:rFonts w:cs="Arial"/>
                      <w:szCs w:val="24"/>
                    </w:rPr>
                  </w:pPr>
                  <w:r w:rsidRPr="00E42CA9">
                    <w:rPr>
                      <w:rFonts w:cs="Arial"/>
                      <w:szCs w:val="24"/>
                    </w:rPr>
                    <w:t>Complete the Report of review of Antifungal Stewardship guidelines and submit them to NHS England</w:t>
                  </w:r>
                  <w:r>
                    <w:rPr>
                      <w:rFonts w:cs="Arial"/>
                      <w:szCs w:val="24"/>
                    </w:rPr>
                    <w:t>.</w:t>
                  </w:r>
                </w:p>
                <w:p w14:paraId="09C81AC9" w14:textId="77777777" w:rsidR="003B36C2" w:rsidRDefault="003B36C2" w:rsidP="005365D3">
                  <w:pPr>
                    <w:spacing w:before="40" w:after="40"/>
                    <w:rPr>
                      <w:rFonts w:cs="Arial"/>
                      <w:szCs w:val="24"/>
                    </w:rPr>
                  </w:pPr>
                </w:p>
                <w:p w14:paraId="30BF3689" w14:textId="0F1D8A31" w:rsidR="003B36C2" w:rsidRPr="003B6634" w:rsidRDefault="003B36C2" w:rsidP="005365D3">
                  <w:pPr>
                    <w:spacing w:before="40" w:after="40"/>
                    <w:rPr>
                      <w:rFonts w:cs="Arial"/>
                      <w:szCs w:val="24"/>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329BF5F2" w14:textId="77777777" w:rsidR="00D46E69" w:rsidRDefault="00D46E69" w:rsidP="00D46E69">
                  <w:pPr>
                    <w:spacing w:before="40" w:after="40"/>
                    <w:rPr>
                      <w:rFonts w:cs="Arial"/>
                      <w:szCs w:val="24"/>
                    </w:rPr>
                  </w:pPr>
                  <w:r>
                    <w:rPr>
                      <w:rFonts w:cs="Arial"/>
                      <w:szCs w:val="24"/>
                    </w:rPr>
                    <w:t>T</w:t>
                  </w:r>
                  <w:r w:rsidRPr="00B55D63">
                    <w:rPr>
                      <w:rFonts w:cs="Arial"/>
                      <w:szCs w:val="24"/>
                    </w:rPr>
                    <w:t>o close the gap on key diagnostics that can be utilised in A</w:t>
                  </w:r>
                  <w:r>
                    <w:rPr>
                      <w:rFonts w:cs="Arial"/>
                      <w:szCs w:val="24"/>
                    </w:rPr>
                    <w:t>nti-</w:t>
                  </w:r>
                  <w:r w:rsidRPr="00B55D63">
                    <w:rPr>
                      <w:rFonts w:cs="Arial"/>
                      <w:szCs w:val="24"/>
                    </w:rPr>
                    <w:t>F</w:t>
                  </w:r>
                  <w:r>
                    <w:rPr>
                      <w:rFonts w:cs="Arial"/>
                      <w:szCs w:val="24"/>
                    </w:rPr>
                    <w:t xml:space="preserve">ungal </w:t>
                  </w:r>
                  <w:r w:rsidRPr="00B55D63">
                    <w:rPr>
                      <w:rFonts w:cs="Arial"/>
                      <w:szCs w:val="24"/>
                    </w:rPr>
                    <w:t>S</w:t>
                  </w:r>
                  <w:r>
                    <w:rPr>
                      <w:rFonts w:cs="Arial"/>
                      <w:szCs w:val="24"/>
                    </w:rPr>
                    <w:t>tewardship</w:t>
                  </w:r>
                  <w:r w:rsidRPr="00B55D63">
                    <w:rPr>
                      <w:rFonts w:cs="Arial"/>
                      <w:szCs w:val="24"/>
                    </w:rPr>
                    <w:t>. By increasing the use of diagnostics this will improve turnaround time and reduce overall costs.</w:t>
                  </w:r>
                </w:p>
              </w:tc>
            </w:tr>
          </w:tbl>
          <w:p w14:paraId="6DEF0E76" w14:textId="77777777" w:rsidR="00711887" w:rsidRPr="00C0210F" w:rsidRDefault="00711887" w:rsidP="005931C4">
            <w:pPr>
              <w:rPr>
                <w:rFonts w:eastAsiaTheme="minorEastAsia" w:cs="Arial"/>
                <w:szCs w:val="24"/>
              </w:rPr>
            </w:pPr>
          </w:p>
        </w:tc>
      </w:tr>
      <w:tr w:rsidR="00CF3963" w:rsidRPr="000412A1" w14:paraId="43726A80" w14:textId="77777777" w:rsidTr="003038EC">
        <w:trPr>
          <w:gridAfter w:val="1"/>
          <w:wAfter w:w="11" w:type="pct"/>
        </w:trPr>
        <w:tc>
          <w:tcPr>
            <w:tcW w:w="4989" w:type="pct"/>
            <w:gridSpan w:val="6"/>
          </w:tcPr>
          <w:p w14:paraId="3FFB3A88" w14:textId="77777777" w:rsidR="00CF3963" w:rsidRDefault="00CF3963" w:rsidP="005931C4">
            <w:pPr>
              <w:rPr>
                <w:rFonts w:cs="Arial"/>
                <w:b/>
                <w:szCs w:val="24"/>
                <w:u w:val="single"/>
              </w:rPr>
            </w:pPr>
            <w:r w:rsidRPr="005931C4">
              <w:rPr>
                <w:rFonts w:cs="Arial"/>
                <w:b/>
                <w:szCs w:val="24"/>
                <w:u w:val="single"/>
              </w:rPr>
              <w:lastRenderedPageBreak/>
              <w:t>Percentages of Target Payment per Payment Trigger</w:t>
            </w:r>
          </w:p>
          <w:p w14:paraId="2401515E" w14:textId="77777777" w:rsidR="00711887" w:rsidRPr="005931C4" w:rsidRDefault="00711887" w:rsidP="005931C4">
            <w:pPr>
              <w:rPr>
                <w:rFonts w:eastAsiaTheme="minorEastAsia" w:cs="Arial"/>
                <w:szCs w:val="24"/>
                <w:u w:val="single"/>
              </w:rPr>
            </w:pPr>
          </w:p>
          <w:p w14:paraId="619B5472" w14:textId="77777777" w:rsidR="00CF3963" w:rsidRDefault="00CF3963" w:rsidP="005931C4">
            <w:pPr>
              <w:rPr>
                <w:rFonts w:eastAsiaTheme="minorEastAsia" w:cs="Arial"/>
                <w:b/>
                <w:szCs w:val="24"/>
              </w:rPr>
            </w:pPr>
            <w:r w:rsidRPr="001F6AA3">
              <w:rPr>
                <w:rFonts w:eastAsiaTheme="minorEastAsia" w:cs="Arial"/>
                <w:b/>
                <w:szCs w:val="24"/>
              </w:rPr>
              <w:t xml:space="preserve">The following table sets out the proportion of the Target payment that is payable on achievement of each of the Payment Triggers.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108"/>
              <w:gridCol w:w="4135"/>
            </w:tblGrid>
            <w:tr w:rsidR="00711887" w:rsidRPr="00C0263E" w14:paraId="35151C2F" w14:textId="77777777" w:rsidTr="001E210A">
              <w:trPr>
                <w:trHeight w:val="1198"/>
              </w:trPr>
              <w:tc>
                <w:tcPr>
                  <w:tcW w:w="1948" w:type="dxa"/>
                  <w:tcBorders>
                    <w:top w:val="single" w:sz="4" w:space="0" w:color="auto"/>
                    <w:left w:val="single" w:sz="4" w:space="0" w:color="auto"/>
                    <w:bottom w:val="single" w:sz="4" w:space="0" w:color="auto"/>
                    <w:right w:val="single" w:sz="4" w:space="0" w:color="auto"/>
                  </w:tcBorders>
                  <w:shd w:val="clear" w:color="auto" w:fill="F2F2F2"/>
                </w:tcPr>
                <w:p w14:paraId="1F037654" w14:textId="77777777" w:rsidR="00711887" w:rsidRPr="00C0263E" w:rsidRDefault="00711887" w:rsidP="00E17A0D">
                  <w:pPr>
                    <w:spacing w:before="40" w:after="40"/>
                    <w:rPr>
                      <w:rFonts w:cs="Arial"/>
                      <w:b/>
                      <w:szCs w:val="24"/>
                    </w:rPr>
                  </w:pPr>
                  <w:r>
                    <w:rPr>
                      <w:rFonts w:cs="Arial"/>
                      <w:b/>
                      <w:szCs w:val="24"/>
                    </w:rPr>
                    <w:t>Percentages of Target Payment per Trigger</w:t>
                  </w:r>
                </w:p>
              </w:tc>
              <w:tc>
                <w:tcPr>
                  <w:tcW w:w="41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DF30FB" w14:textId="77777777" w:rsidR="00711887" w:rsidRPr="00EC3C9D" w:rsidRDefault="00711887" w:rsidP="00E17A0D">
                  <w:pPr>
                    <w:spacing w:before="40" w:after="40"/>
                    <w:rPr>
                      <w:rFonts w:cs="Arial"/>
                      <w:b/>
                      <w:szCs w:val="24"/>
                    </w:rPr>
                  </w:pPr>
                  <w:r>
                    <w:rPr>
                      <w:rFonts w:cs="Arial"/>
                      <w:b/>
                      <w:szCs w:val="24"/>
                    </w:rPr>
                    <w:t>First Year of indicator</w:t>
                  </w:r>
                </w:p>
              </w:tc>
              <w:tc>
                <w:tcPr>
                  <w:tcW w:w="4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66FD6E" w14:textId="77777777" w:rsidR="00711887" w:rsidRPr="00EC3C9D" w:rsidRDefault="00711887" w:rsidP="00E17A0D">
                  <w:pPr>
                    <w:spacing w:before="40" w:after="40"/>
                    <w:rPr>
                      <w:rFonts w:cs="Arial"/>
                      <w:b/>
                      <w:szCs w:val="24"/>
                    </w:rPr>
                  </w:pPr>
                  <w:r>
                    <w:rPr>
                      <w:rFonts w:cs="Arial"/>
                      <w:b/>
                      <w:szCs w:val="24"/>
                    </w:rPr>
                    <w:t>Second Year</w:t>
                  </w:r>
                </w:p>
              </w:tc>
            </w:tr>
            <w:tr w:rsidR="00711887" w:rsidRPr="00C0263E" w14:paraId="04CC6297" w14:textId="77777777" w:rsidTr="00CB5639">
              <w:trPr>
                <w:trHeight w:val="331"/>
              </w:trPr>
              <w:tc>
                <w:tcPr>
                  <w:tcW w:w="1948" w:type="dxa"/>
                  <w:tcBorders>
                    <w:top w:val="single" w:sz="4" w:space="0" w:color="auto"/>
                    <w:left w:val="single" w:sz="4" w:space="0" w:color="auto"/>
                    <w:bottom w:val="single" w:sz="4" w:space="0" w:color="auto"/>
                    <w:right w:val="single" w:sz="4" w:space="0" w:color="auto"/>
                  </w:tcBorders>
                  <w:shd w:val="clear" w:color="auto" w:fill="F2F2F2"/>
                  <w:hideMark/>
                </w:tcPr>
                <w:p w14:paraId="05E70BE6" w14:textId="77777777" w:rsidR="00711887" w:rsidRPr="00C0263E" w:rsidRDefault="00711887" w:rsidP="00CB5639">
                  <w:pPr>
                    <w:spacing w:before="40" w:after="40"/>
                    <w:rPr>
                      <w:rFonts w:cs="Arial"/>
                      <w:b/>
                      <w:szCs w:val="24"/>
                    </w:rPr>
                  </w:pPr>
                  <w:r>
                    <w:rPr>
                      <w:rFonts w:cs="Arial"/>
                      <w:b/>
                      <w:szCs w:val="24"/>
                    </w:rPr>
                    <w:t>Trigger 1</w:t>
                  </w:r>
                </w:p>
              </w:tc>
              <w:tc>
                <w:tcPr>
                  <w:tcW w:w="4108" w:type="dxa"/>
                  <w:tcBorders>
                    <w:top w:val="single" w:sz="4" w:space="0" w:color="auto"/>
                    <w:left w:val="single" w:sz="4" w:space="0" w:color="auto"/>
                    <w:bottom w:val="single" w:sz="4" w:space="0" w:color="auto"/>
                    <w:right w:val="single" w:sz="4" w:space="0" w:color="auto"/>
                  </w:tcBorders>
                </w:tcPr>
                <w:p w14:paraId="0BC01B59" w14:textId="77777777" w:rsidR="00711887" w:rsidRPr="00C0263E" w:rsidRDefault="00B652BC" w:rsidP="00D43ACA">
                  <w:pPr>
                    <w:spacing w:before="40" w:after="40"/>
                    <w:rPr>
                      <w:rFonts w:cs="Arial"/>
                      <w:szCs w:val="24"/>
                    </w:rPr>
                  </w:pPr>
                  <w:r>
                    <w:rPr>
                      <w:rFonts w:cs="Arial"/>
                      <w:szCs w:val="24"/>
                    </w:rPr>
                    <w:t>*</w:t>
                  </w:r>
                  <w:r w:rsidR="0082528B">
                    <w:rPr>
                      <w:rFonts w:cs="Arial"/>
                      <w:szCs w:val="24"/>
                    </w:rPr>
                    <w:t>M</w:t>
                  </w:r>
                  <w:r w:rsidR="0035773A">
                    <w:rPr>
                      <w:rFonts w:cs="Arial"/>
                      <w:szCs w:val="24"/>
                    </w:rPr>
                    <w:t xml:space="preserve">inimum </w:t>
                  </w:r>
                  <w:r w:rsidR="00022717">
                    <w:rPr>
                      <w:rFonts w:cs="Arial"/>
                      <w:szCs w:val="24"/>
                    </w:rPr>
                    <w:t>2</w:t>
                  </w:r>
                  <w:r w:rsidR="007944CC">
                    <w:rPr>
                      <w:rFonts w:cs="Arial"/>
                      <w:szCs w:val="24"/>
                    </w:rPr>
                    <w:t>0</w:t>
                  </w:r>
                  <w:r w:rsidR="00F062D3">
                    <w:rPr>
                      <w:rFonts w:cs="Arial"/>
                      <w:szCs w:val="24"/>
                    </w:rPr>
                    <w:t>%</w:t>
                  </w:r>
                </w:p>
              </w:tc>
              <w:tc>
                <w:tcPr>
                  <w:tcW w:w="4134" w:type="dxa"/>
                  <w:tcBorders>
                    <w:top w:val="single" w:sz="4" w:space="0" w:color="auto"/>
                    <w:left w:val="single" w:sz="4" w:space="0" w:color="auto"/>
                    <w:bottom w:val="single" w:sz="4" w:space="0" w:color="auto"/>
                    <w:right w:val="single" w:sz="4" w:space="0" w:color="auto"/>
                  </w:tcBorders>
                  <w:shd w:val="clear" w:color="auto" w:fill="auto"/>
                </w:tcPr>
                <w:p w14:paraId="63E5DFED" w14:textId="77777777" w:rsidR="00711887" w:rsidRPr="00C0263E" w:rsidRDefault="00022717" w:rsidP="00F062D3">
                  <w:pPr>
                    <w:spacing w:before="40" w:after="40"/>
                    <w:rPr>
                      <w:rFonts w:cs="Arial"/>
                      <w:szCs w:val="24"/>
                    </w:rPr>
                  </w:pPr>
                  <w:r>
                    <w:rPr>
                      <w:rFonts w:cs="Arial"/>
                      <w:szCs w:val="24"/>
                    </w:rPr>
                    <w:t>TBC</w:t>
                  </w:r>
                </w:p>
              </w:tc>
            </w:tr>
            <w:tr w:rsidR="00711887" w:rsidRPr="00C0263E" w14:paraId="6E0284E7" w14:textId="77777777" w:rsidTr="00CB5639">
              <w:trPr>
                <w:trHeight w:val="369"/>
              </w:trPr>
              <w:tc>
                <w:tcPr>
                  <w:tcW w:w="1948" w:type="dxa"/>
                  <w:tcBorders>
                    <w:top w:val="single" w:sz="4" w:space="0" w:color="auto"/>
                    <w:left w:val="single" w:sz="4" w:space="0" w:color="auto"/>
                    <w:bottom w:val="single" w:sz="4" w:space="0" w:color="auto"/>
                    <w:right w:val="single" w:sz="4" w:space="0" w:color="auto"/>
                  </w:tcBorders>
                  <w:shd w:val="clear" w:color="auto" w:fill="F2F2F2"/>
                  <w:hideMark/>
                </w:tcPr>
                <w:p w14:paraId="2FEEE604" w14:textId="77777777" w:rsidR="00711887" w:rsidRPr="00C0263E" w:rsidRDefault="00711887" w:rsidP="00E17A0D">
                  <w:pPr>
                    <w:spacing w:before="40" w:after="40"/>
                    <w:rPr>
                      <w:rFonts w:cs="Arial"/>
                      <w:b/>
                      <w:szCs w:val="24"/>
                    </w:rPr>
                  </w:pPr>
                  <w:r>
                    <w:rPr>
                      <w:rFonts w:cs="Arial"/>
                      <w:b/>
                      <w:szCs w:val="24"/>
                    </w:rPr>
                    <w:t>Trigger 2</w:t>
                  </w:r>
                </w:p>
              </w:tc>
              <w:tc>
                <w:tcPr>
                  <w:tcW w:w="4108" w:type="dxa"/>
                  <w:tcBorders>
                    <w:top w:val="single" w:sz="4" w:space="0" w:color="auto"/>
                    <w:left w:val="single" w:sz="4" w:space="0" w:color="auto"/>
                    <w:bottom w:val="single" w:sz="4" w:space="0" w:color="auto"/>
                    <w:right w:val="single" w:sz="4" w:space="0" w:color="auto"/>
                  </w:tcBorders>
                </w:tcPr>
                <w:p w14:paraId="7AFAF2E7" w14:textId="77777777" w:rsidR="00711887" w:rsidRPr="00D561B2" w:rsidRDefault="00B652BC" w:rsidP="00B652BC">
                  <w:r>
                    <w:t>*</w:t>
                  </w:r>
                  <w:r w:rsidR="0082528B">
                    <w:t>M</w:t>
                  </w:r>
                  <w:r w:rsidR="007944CC">
                    <w:t xml:space="preserve">inimum </w:t>
                  </w:r>
                  <w:r w:rsidR="004716C0">
                    <w:t>1</w:t>
                  </w:r>
                  <w:r w:rsidR="0035773A">
                    <w:t>0%</w:t>
                  </w:r>
                </w:p>
              </w:tc>
              <w:tc>
                <w:tcPr>
                  <w:tcW w:w="4134" w:type="dxa"/>
                  <w:tcBorders>
                    <w:top w:val="single" w:sz="4" w:space="0" w:color="auto"/>
                    <w:left w:val="single" w:sz="4" w:space="0" w:color="auto"/>
                    <w:bottom w:val="single" w:sz="4" w:space="0" w:color="auto"/>
                    <w:right w:val="single" w:sz="4" w:space="0" w:color="auto"/>
                  </w:tcBorders>
                  <w:shd w:val="clear" w:color="auto" w:fill="auto"/>
                </w:tcPr>
                <w:p w14:paraId="084584C1" w14:textId="77777777" w:rsidR="00711887" w:rsidRDefault="00022717" w:rsidP="00D43ACA">
                  <w:r>
                    <w:t>N/A</w:t>
                  </w:r>
                </w:p>
              </w:tc>
            </w:tr>
            <w:tr w:rsidR="00022717" w:rsidRPr="00C0263E" w14:paraId="299B5D4E" w14:textId="77777777" w:rsidTr="00CB5639">
              <w:trPr>
                <w:trHeight w:val="313"/>
              </w:trPr>
              <w:tc>
                <w:tcPr>
                  <w:tcW w:w="1948" w:type="dxa"/>
                  <w:tcBorders>
                    <w:top w:val="single" w:sz="4" w:space="0" w:color="auto"/>
                    <w:left w:val="single" w:sz="4" w:space="0" w:color="auto"/>
                    <w:bottom w:val="single" w:sz="4" w:space="0" w:color="auto"/>
                    <w:right w:val="single" w:sz="4" w:space="0" w:color="auto"/>
                  </w:tcBorders>
                  <w:shd w:val="clear" w:color="auto" w:fill="F2F2F2"/>
                </w:tcPr>
                <w:p w14:paraId="71B172DF" w14:textId="77777777" w:rsidR="00022717" w:rsidRDefault="00022717" w:rsidP="00CB5639">
                  <w:pPr>
                    <w:spacing w:before="40" w:after="40"/>
                    <w:rPr>
                      <w:rFonts w:cs="Arial"/>
                      <w:b/>
                      <w:szCs w:val="24"/>
                    </w:rPr>
                  </w:pPr>
                  <w:r>
                    <w:rPr>
                      <w:rFonts w:cs="Arial"/>
                      <w:b/>
                      <w:szCs w:val="24"/>
                    </w:rPr>
                    <w:t>Trigger 3</w:t>
                  </w:r>
                </w:p>
              </w:tc>
              <w:tc>
                <w:tcPr>
                  <w:tcW w:w="4108" w:type="dxa"/>
                  <w:tcBorders>
                    <w:top w:val="single" w:sz="4" w:space="0" w:color="auto"/>
                    <w:left w:val="single" w:sz="4" w:space="0" w:color="auto"/>
                    <w:bottom w:val="single" w:sz="4" w:space="0" w:color="auto"/>
                    <w:right w:val="single" w:sz="4" w:space="0" w:color="auto"/>
                  </w:tcBorders>
                </w:tcPr>
                <w:p w14:paraId="3F90D703" w14:textId="77777777" w:rsidR="00022717" w:rsidRPr="00D561B2" w:rsidRDefault="00022717" w:rsidP="00022717">
                  <w:r>
                    <w:t>*Minimum 20%</w:t>
                  </w:r>
                </w:p>
              </w:tc>
              <w:tc>
                <w:tcPr>
                  <w:tcW w:w="4134" w:type="dxa"/>
                  <w:tcBorders>
                    <w:top w:val="single" w:sz="4" w:space="0" w:color="auto"/>
                    <w:left w:val="single" w:sz="4" w:space="0" w:color="auto"/>
                    <w:bottom w:val="single" w:sz="4" w:space="0" w:color="auto"/>
                    <w:right w:val="single" w:sz="4" w:space="0" w:color="auto"/>
                  </w:tcBorders>
                  <w:shd w:val="clear" w:color="auto" w:fill="auto"/>
                </w:tcPr>
                <w:p w14:paraId="32956DA0" w14:textId="77777777" w:rsidR="00022717" w:rsidRDefault="00022717" w:rsidP="00022717">
                  <w:r>
                    <w:t>N/A</w:t>
                  </w:r>
                </w:p>
              </w:tc>
            </w:tr>
            <w:tr w:rsidR="00022717" w:rsidRPr="00C0263E" w14:paraId="7A1FD13A" w14:textId="77777777" w:rsidTr="00CB5639">
              <w:trPr>
                <w:trHeight w:val="299"/>
              </w:trPr>
              <w:tc>
                <w:tcPr>
                  <w:tcW w:w="1948" w:type="dxa"/>
                  <w:tcBorders>
                    <w:top w:val="single" w:sz="4" w:space="0" w:color="auto"/>
                    <w:left w:val="single" w:sz="4" w:space="0" w:color="auto"/>
                    <w:bottom w:val="single" w:sz="4" w:space="0" w:color="auto"/>
                    <w:right w:val="single" w:sz="4" w:space="0" w:color="auto"/>
                  </w:tcBorders>
                  <w:shd w:val="clear" w:color="auto" w:fill="F2F2F2"/>
                </w:tcPr>
                <w:p w14:paraId="48574C6E" w14:textId="77777777" w:rsidR="00022717" w:rsidRDefault="00022717" w:rsidP="00022717">
                  <w:pPr>
                    <w:spacing w:before="40" w:after="40"/>
                    <w:rPr>
                      <w:rFonts w:cs="Arial"/>
                      <w:b/>
                      <w:szCs w:val="24"/>
                    </w:rPr>
                  </w:pPr>
                  <w:r>
                    <w:rPr>
                      <w:rFonts w:cs="Arial"/>
                      <w:b/>
                      <w:szCs w:val="24"/>
                    </w:rPr>
                    <w:t>Trigger 4</w:t>
                  </w:r>
                </w:p>
              </w:tc>
              <w:tc>
                <w:tcPr>
                  <w:tcW w:w="4108" w:type="dxa"/>
                  <w:tcBorders>
                    <w:top w:val="single" w:sz="4" w:space="0" w:color="auto"/>
                    <w:left w:val="single" w:sz="4" w:space="0" w:color="auto"/>
                    <w:bottom w:val="single" w:sz="4" w:space="0" w:color="auto"/>
                    <w:right w:val="single" w:sz="4" w:space="0" w:color="auto"/>
                  </w:tcBorders>
                </w:tcPr>
                <w:p w14:paraId="581C02A8" w14:textId="77777777" w:rsidR="00022717" w:rsidRPr="00C0263E" w:rsidRDefault="00022717" w:rsidP="00022717">
                  <w:pPr>
                    <w:spacing w:before="40" w:after="40"/>
                    <w:rPr>
                      <w:rFonts w:cs="Arial"/>
                      <w:szCs w:val="24"/>
                    </w:rPr>
                  </w:pPr>
                  <w:r>
                    <w:rPr>
                      <w:rFonts w:cs="Arial"/>
                      <w:szCs w:val="24"/>
                    </w:rPr>
                    <w:t>*Minimum 30%</w:t>
                  </w:r>
                </w:p>
              </w:tc>
              <w:tc>
                <w:tcPr>
                  <w:tcW w:w="4134" w:type="dxa"/>
                  <w:tcBorders>
                    <w:top w:val="single" w:sz="4" w:space="0" w:color="auto"/>
                    <w:left w:val="single" w:sz="4" w:space="0" w:color="auto"/>
                    <w:bottom w:val="single" w:sz="4" w:space="0" w:color="auto"/>
                    <w:right w:val="single" w:sz="4" w:space="0" w:color="auto"/>
                  </w:tcBorders>
                  <w:shd w:val="clear" w:color="auto" w:fill="auto"/>
                </w:tcPr>
                <w:p w14:paraId="459EDA0C" w14:textId="77777777" w:rsidR="00022717" w:rsidRPr="00C0263E" w:rsidRDefault="00022717" w:rsidP="00022717">
                  <w:pPr>
                    <w:spacing w:before="40" w:after="40"/>
                    <w:rPr>
                      <w:rFonts w:cs="Arial"/>
                      <w:szCs w:val="24"/>
                    </w:rPr>
                  </w:pPr>
                  <w:r>
                    <w:rPr>
                      <w:rFonts w:cs="Arial"/>
                      <w:szCs w:val="24"/>
                    </w:rPr>
                    <w:t>TBC</w:t>
                  </w:r>
                </w:p>
              </w:tc>
            </w:tr>
            <w:tr w:rsidR="00022717" w:rsidRPr="00C0263E" w14:paraId="120881E9" w14:textId="77777777" w:rsidTr="00CB5639">
              <w:trPr>
                <w:trHeight w:val="423"/>
              </w:trPr>
              <w:tc>
                <w:tcPr>
                  <w:tcW w:w="1948" w:type="dxa"/>
                  <w:tcBorders>
                    <w:top w:val="single" w:sz="4" w:space="0" w:color="auto"/>
                    <w:left w:val="single" w:sz="4" w:space="0" w:color="auto"/>
                    <w:bottom w:val="single" w:sz="4" w:space="0" w:color="auto"/>
                    <w:right w:val="single" w:sz="4" w:space="0" w:color="auto"/>
                  </w:tcBorders>
                  <w:shd w:val="clear" w:color="auto" w:fill="F2F2F2"/>
                </w:tcPr>
                <w:p w14:paraId="31AA9A3A" w14:textId="77777777" w:rsidR="00022717" w:rsidRDefault="00022717" w:rsidP="00022717">
                  <w:pPr>
                    <w:spacing w:before="40" w:after="40"/>
                    <w:rPr>
                      <w:rFonts w:cs="Arial"/>
                      <w:b/>
                      <w:szCs w:val="24"/>
                    </w:rPr>
                  </w:pPr>
                  <w:r>
                    <w:rPr>
                      <w:rFonts w:cs="Arial"/>
                      <w:b/>
                      <w:szCs w:val="24"/>
                    </w:rPr>
                    <w:t>Trigger 5</w:t>
                  </w:r>
                </w:p>
              </w:tc>
              <w:tc>
                <w:tcPr>
                  <w:tcW w:w="4108" w:type="dxa"/>
                  <w:tcBorders>
                    <w:top w:val="single" w:sz="4" w:space="0" w:color="auto"/>
                    <w:left w:val="single" w:sz="4" w:space="0" w:color="auto"/>
                    <w:bottom w:val="single" w:sz="4" w:space="0" w:color="auto"/>
                    <w:right w:val="single" w:sz="4" w:space="0" w:color="auto"/>
                  </w:tcBorders>
                </w:tcPr>
                <w:p w14:paraId="78EB7C28" w14:textId="77777777" w:rsidR="00022717" w:rsidRDefault="00022717" w:rsidP="00022717">
                  <w:pPr>
                    <w:spacing w:before="40" w:after="40"/>
                    <w:rPr>
                      <w:rFonts w:cs="Arial"/>
                      <w:szCs w:val="24"/>
                    </w:rPr>
                  </w:pPr>
                  <w:r>
                    <w:t>*Minimum 20%</w:t>
                  </w:r>
                </w:p>
              </w:tc>
              <w:tc>
                <w:tcPr>
                  <w:tcW w:w="4134" w:type="dxa"/>
                  <w:tcBorders>
                    <w:top w:val="single" w:sz="4" w:space="0" w:color="auto"/>
                    <w:left w:val="single" w:sz="4" w:space="0" w:color="auto"/>
                    <w:bottom w:val="single" w:sz="4" w:space="0" w:color="auto"/>
                    <w:right w:val="single" w:sz="4" w:space="0" w:color="auto"/>
                  </w:tcBorders>
                  <w:shd w:val="clear" w:color="auto" w:fill="auto"/>
                </w:tcPr>
                <w:p w14:paraId="7D07099B" w14:textId="77777777" w:rsidR="00022717" w:rsidRPr="00C0263E" w:rsidRDefault="00022717" w:rsidP="00022717">
                  <w:pPr>
                    <w:spacing w:before="40" w:after="40"/>
                    <w:rPr>
                      <w:rFonts w:cs="Arial"/>
                      <w:szCs w:val="24"/>
                    </w:rPr>
                  </w:pPr>
                  <w:r>
                    <w:rPr>
                      <w:rFonts w:cs="Arial"/>
                      <w:szCs w:val="24"/>
                    </w:rPr>
                    <w:t>TBC</w:t>
                  </w:r>
                </w:p>
              </w:tc>
            </w:tr>
            <w:tr w:rsidR="00022717" w:rsidRPr="00C0263E" w14:paraId="15DF1967" w14:textId="77777777" w:rsidTr="00CB5639">
              <w:trPr>
                <w:trHeight w:val="417"/>
              </w:trPr>
              <w:tc>
                <w:tcPr>
                  <w:tcW w:w="1948" w:type="dxa"/>
                  <w:tcBorders>
                    <w:top w:val="single" w:sz="4" w:space="0" w:color="auto"/>
                    <w:left w:val="single" w:sz="4" w:space="0" w:color="auto"/>
                    <w:bottom w:val="single" w:sz="4" w:space="0" w:color="auto"/>
                    <w:right w:val="single" w:sz="4" w:space="0" w:color="auto"/>
                  </w:tcBorders>
                  <w:shd w:val="clear" w:color="auto" w:fill="F2F2F2"/>
                </w:tcPr>
                <w:p w14:paraId="6B6C9232" w14:textId="77777777" w:rsidR="00022717" w:rsidRDefault="00022717" w:rsidP="00022717">
                  <w:pPr>
                    <w:spacing w:before="40" w:after="40"/>
                    <w:rPr>
                      <w:rFonts w:cs="Arial"/>
                      <w:b/>
                      <w:szCs w:val="24"/>
                    </w:rPr>
                  </w:pPr>
                  <w:r>
                    <w:rPr>
                      <w:rFonts w:cs="Arial"/>
                      <w:b/>
                      <w:szCs w:val="24"/>
                    </w:rPr>
                    <w:t>TOTAL</w:t>
                  </w:r>
                </w:p>
              </w:tc>
              <w:tc>
                <w:tcPr>
                  <w:tcW w:w="4108" w:type="dxa"/>
                  <w:tcBorders>
                    <w:top w:val="single" w:sz="4" w:space="0" w:color="auto"/>
                    <w:left w:val="single" w:sz="4" w:space="0" w:color="auto"/>
                    <w:bottom w:val="single" w:sz="4" w:space="0" w:color="auto"/>
                    <w:right w:val="single" w:sz="4" w:space="0" w:color="auto"/>
                  </w:tcBorders>
                </w:tcPr>
                <w:p w14:paraId="3F317E1A" w14:textId="77777777" w:rsidR="00022717" w:rsidRPr="00C0263E" w:rsidRDefault="00022717" w:rsidP="00022717">
                  <w:pPr>
                    <w:spacing w:before="40" w:after="40"/>
                    <w:rPr>
                      <w:rFonts w:cs="Arial"/>
                      <w:szCs w:val="24"/>
                    </w:rPr>
                  </w:pPr>
                  <w:r>
                    <w:rPr>
                      <w:rFonts w:cs="Arial"/>
                      <w:szCs w:val="24"/>
                    </w:rPr>
                    <w:t>100%</w:t>
                  </w:r>
                </w:p>
              </w:tc>
              <w:tc>
                <w:tcPr>
                  <w:tcW w:w="4134" w:type="dxa"/>
                  <w:tcBorders>
                    <w:top w:val="single" w:sz="4" w:space="0" w:color="auto"/>
                    <w:left w:val="single" w:sz="4" w:space="0" w:color="auto"/>
                    <w:bottom w:val="single" w:sz="4" w:space="0" w:color="auto"/>
                    <w:right w:val="single" w:sz="4" w:space="0" w:color="auto"/>
                  </w:tcBorders>
                  <w:shd w:val="clear" w:color="auto" w:fill="auto"/>
                </w:tcPr>
                <w:p w14:paraId="68BF81B0" w14:textId="77777777" w:rsidR="00022717" w:rsidRPr="00C0263E" w:rsidRDefault="00022717" w:rsidP="00022717">
                  <w:pPr>
                    <w:spacing w:before="40" w:after="40"/>
                    <w:rPr>
                      <w:rFonts w:cs="Arial"/>
                      <w:szCs w:val="24"/>
                    </w:rPr>
                  </w:pPr>
                </w:p>
              </w:tc>
            </w:tr>
            <w:tr w:rsidR="00022717" w:rsidRPr="00C0263E" w14:paraId="4E573716" w14:textId="77777777" w:rsidTr="001E210A">
              <w:trPr>
                <w:trHeight w:val="293"/>
              </w:trPr>
              <w:tc>
                <w:tcPr>
                  <w:tcW w:w="10191" w:type="dxa"/>
                  <w:gridSpan w:val="3"/>
                  <w:tcBorders>
                    <w:top w:val="single" w:sz="4" w:space="0" w:color="auto"/>
                    <w:left w:val="single" w:sz="4" w:space="0" w:color="auto"/>
                    <w:right w:val="single" w:sz="4" w:space="0" w:color="auto"/>
                  </w:tcBorders>
                  <w:shd w:val="clear" w:color="auto" w:fill="F2F2F2"/>
                </w:tcPr>
                <w:p w14:paraId="2ADE3D71" w14:textId="77777777" w:rsidR="00CB5639" w:rsidRDefault="00022717" w:rsidP="00022717">
                  <w:pPr>
                    <w:spacing w:before="40" w:after="40"/>
                    <w:rPr>
                      <w:rFonts w:eastAsiaTheme="minorEastAsia" w:cs="Arial"/>
                      <w:b/>
                      <w:sz w:val="22"/>
                      <w:szCs w:val="18"/>
                    </w:rPr>
                  </w:pPr>
                  <w:r>
                    <w:rPr>
                      <w:rFonts w:eastAsiaTheme="minorEastAsia" w:cs="Arial"/>
                      <w:szCs w:val="24"/>
                    </w:rPr>
                    <w:t>*</w:t>
                  </w:r>
                  <w:r w:rsidRPr="00CB5639">
                    <w:rPr>
                      <w:rFonts w:eastAsiaTheme="minorEastAsia" w:cs="Arial"/>
                      <w:b/>
                      <w:sz w:val="22"/>
                      <w:szCs w:val="18"/>
                    </w:rPr>
                    <w:t xml:space="preserve">The percentage of target payment has been set at a minimum, recognising not all triggers will </w:t>
                  </w:r>
                </w:p>
                <w:p w14:paraId="2AE7D44B" w14:textId="5D7FA431" w:rsidR="00CB5639" w:rsidRDefault="00CB5639" w:rsidP="00022717">
                  <w:pPr>
                    <w:spacing w:before="40" w:after="40"/>
                    <w:rPr>
                      <w:rFonts w:eastAsiaTheme="minorEastAsia" w:cs="Arial"/>
                      <w:b/>
                      <w:sz w:val="22"/>
                      <w:szCs w:val="18"/>
                    </w:rPr>
                  </w:pPr>
                  <w:r>
                    <w:rPr>
                      <w:rFonts w:eastAsiaTheme="minorEastAsia" w:cs="Arial"/>
                      <w:b/>
                      <w:sz w:val="22"/>
                      <w:szCs w:val="18"/>
                    </w:rPr>
                    <w:t xml:space="preserve"> </w:t>
                  </w:r>
                  <w:r w:rsidR="00CB1E15">
                    <w:rPr>
                      <w:rFonts w:eastAsiaTheme="minorEastAsia" w:cs="Arial"/>
                      <w:b/>
                      <w:sz w:val="22"/>
                      <w:szCs w:val="18"/>
                    </w:rPr>
                    <w:t>be applied</w:t>
                  </w:r>
                  <w:r w:rsidR="00022717" w:rsidRPr="00CB5639">
                    <w:rPr>
                      <w:rFonts w:eastAsiaTheme="minorEastAsia" w:cs="Arial"/>
                      <w:b/>
                      <w:sz w:val="22"/>
                      <w:szCs w:val="18"/>
                    </w:rPr>
                    <w:t xml:space="preserve"> to all providers, there will be a requirement for local agreement based on the </w:t>
                  </w:r>
                </w:p>
                <w:p w14:paraId="59DB54F6" w14:textId="4AD4574E" w:rsidR="00022717" w:rsidRPr="00B652BC" w:rsidRDefault="00CB5639" w:rsidP="00CB1E15">
                  <w:pPr>
                    <w:spacing w:before="40" w:after="40"/>
                    <w:rPr>
                      <w:rFonts w:cs="Arial"/>
                      <w:szCs w:val="24"/>
                    </w:rPr>
                  </w:pPr>
                  <w:r>
                    <w:rPr>
                      <w:rFonts w:eastAsiaTheme="minorEastAsia" w:cs="Arial"/>
                      <w:b/>
                      <w:sz w:val="22"/>
                      <w:szCs w:val="18"/>
                    </w:rPr>
                    <w:t xml:space="preserve"> </w:t>
                  </w:r>
                  <w:r w:rsidR="00022717" w:rsidRPr="00CB5639">
                    <w:rPr>
                      <w:rFonts w:eastAsiaTheme="minorEastAsia" w:cs="Arial"/>
                      <w:b/>
                      <w:sz w:val="22"/>
                      <w:szCs w:val="18"/>
                    </w:rPr>
                    <w:t>number of triggers for each trust.</w:t>
                  </w:r>
                  <w:r>
                    <w:rPr>
                      <w:rFonts w:eastAsiaTheme="minorEastAsia" w:cs="Arial"/>
                      <w:b/>
                      <w:sz w:val="22"/>
                      <w:szCs w:val="18"/>
                    </w:rPr>
                    <w:t xml:space="preserve"> </w:t>
                  </w:r>
                  <w:r w:rsidR="00CB1E15">
                    <w:rPr>
                      <w:rFonts w:eastAsiaTheme="minorEastAsia" w:cs="Arial"/>
                      <w:b/>
                      <w:sz w:val="22"/>
                      <w:szCs w:val="18"/>
                    </w:rPr>
                    <w:t>W</w:t>
                  </w:r>
                  <w:r w:rsidR="00CB1E15" w:rsidRPr="00F96BEC">
                    <w:rPr>
                      <w:rFonts w:eastAsiaTheme="minorEastAsia" w:cs="Arial"/>
                      <w:b/>
                      <w:sz w:val="22"/>
                      <w:szCs w:val="18"/>
                    </w:rPr>
                    <w:t xml:space="preserve">here providers cannot sign up to a trigger/s, the aligned percentage </w:t>
                  </w:r>
                  <w:r w:rsidR="00CB1E15">
                    <w:rPr>
                      <w:rFonts w:eastAsiaTheme="minorEastAsia" w:cs="Arial"/>
                      <w:b/>
                      <w:sz w:val="22"/>
                      <w:szCs w:val="18"/>
                    </w:rPr>
                    <w:t>should</w:t>
                  </w:r>
                  <w:r w:rsidR="00CB1E15" w:rsidRPr="00F96BEC">
                    <w:rPr>
                      <w:rFonts w:eastAsiaTheme="minorEastAsia" w:cs="Arial"/>
                      <w:b/>
                      <w:sz w:val="22"/>
                      <w:szCs w:val="18"/>
                    </w:rPr>
                    <w:t xml:space="preserve"> be allocated to</w:t>
                  </w:r>
                  <w:r w:rsidR="00CB1E15">
                    <w:rPr>
                      <w:rFonts w:eastAsiaTheme="minorEastAsia" w:cs="Arial"/>
                      <w:b/>
                      <w:sz w:val="22"/>
                      <w:szCs w:val="18"/>
                    </w:rPr>
                    <w:t xml:space="preserve"> the remaining</w:t>
                  </w:r>
                  <w:r w:rsidR="00CB1E15" w:rsidRPr="00F96BEC">
                    <w:rPr>
                      <w:rFonts w:eastAsiaTheme="minorEastAsia" w:cs="Arial"/>
                      <w:b/>
                      <w:sz w:val="22"/>
                      <w:szCs w:val="18"/>
                    </w:rPr>
                    <w:t xml:space="preserve"> trigger/s that are agreed</w:t>
                  </w:r>
                  <w:r w:rsidR="00CB1E15">
                    <w:rPr>
                      <w:rFonts w:eastAsiaTheme="minorEastAsia" w:cs="Arial"/>
                      <w:b/>
                      <w:sz w:val="22"/>
                      <w:szCs w:val="18"/>
                    </w:rPr>
                    <w:t>, irrespective of whether the overall target payment is also adjusted (see section C3, above)</w:t>
                  </w:r>
                  <w:r w:rsidR="00CB1E15" w:rsidRPr="00F96BEC">
                    <w:rPr>
                      <w:rFonts w:eastAsiaTheme="minorEastAsia" w:cs="Arial"/>
                      <w:b/>
                      <w:sz w:val="22"/>
                      <w:szCs w:val="18"/>
                    </w:rPr>
                    <w:t>.</w:t>
                  </w:r>
                </w:p>
              </w:tc>
            </w:tr>
          </w:tbl>
          <w:p w14:paraId="02E9190B" w14:textId="77777777" w:rsidR="00CF3963" w:rsidRDefault="00CF3963" w:rsidP="00711887">
            <w:pPr>
              <w:rPr>
                <w:rFonts w:eastAsiaTheme="minorEastAsia" w:cs="Arial"/>
                <w:szCs w:val="24"/>
              </w:rPr>
            </w:pPr>
          </w:p>
        </w:tc>
      </w:tr>
      <w:tr w:rsidR="00CF3963" w:rsidRPr="000412A1" w14:paraId="45E9907E" w14:textId="77777777" w:rsidTr="003038EC">
        <w:trPr>
          <w:gridAfter w:val="1"/>
          <w:wAfter w:w="11" w:type="pct"/>
        </w:trPr>
        <w:tc>
          <w:tcPr>
            <w:tcW w:w="4989" w:type="pct"/>
            <w:gridSpan w:val="6"/>
          </w:tcPr>
          <w:p w14:paraId="176C907D" w14:textId="1EE38EB7" w:rsidR="00EE3CA3" w:rsidRDefault="00EE3CA3" w:rsidP="005931C4">
            <w:pPr>
              <w:rPr>
                <w:rFonts w:cs="Arial"/>
                <w:b/>
                <w:color w:val="000000"/>
                <w:szCs w:val="24"/>
                <w:u w:val="single"/>
              </w:rPr>
            </w:pPr>
          </w:p>
          <w:p w14:paraId="1AE6B55C" w14:textId="1FC84AB6" w:rsidR="00B578CF" w:rsidRDefault="00B578CF" w:rsidP="005931C4">
            <w:pPr>
              <w:rPr>
                <w:rFonts w:cs="Arial"/>
                <w:b/>
                <w:color w:val="000000"/>
                <w:szCs w:val="24"/>
                <w:u w:val="single"/>
              </w:rPr>
            </w:pPr>
          </w:p>
          <w:p w14:paraId="61E6FC1C" w14:textId="7562AFC3" w:rsidR="00B578CF" w:rsidRDefault="00B578CF" w:rsidP="005931C4">
            <w:pPr>
              <w:rPr>
                <w:rFonts w:cs="Arial"/>
                <w:b/>
                <w:color w:val="000000"/>
                <w:szCs w:val="24"/>
                <w:u w:val="single"/>
              </w:rPr>
            </w:pPr>
          </w:p>
          <w:p w14:paraId="65FDB3C3" w14:textId="77777777" w:rsidR="00B578CF" w:rsidRDefault="00B578CF" w:rsidP="005931C4">
            <w:pPr>
              <w:rPr>
                <w:rFonts w:cs="Arial"/>
                <w:b/>
                <w:color w:val="000000"/>
                <w:szCs w:val="24"/>
                <w:u w:val="single"/>
              </w:rPr>
            </w:pPr>
          </w:p>
          <w:p w14:paraId="3AEFC9AD" w14:textId="77777777" w:rsidR="00CF3963" w:rsidRPr="001E210A" w:rsidRDefault="001E210A" w:rsidP="005931C4">
            <w:pPr>
              <w:rPr>
                <w:rFonts w:cs="Arial"/>
                <w:b/>
                <w:color w:val="000000"/>
                <w:szCs w:val="24"/>
                <w:u w:val="single"/>
              </w:rPr>
            </w:pPr>
            <w:r>
              <w:rPr>
                <w:rFonts w:cs="Arial"/>
                <w:b/>
                <w:color w:val="000000"/>
                <w:szCs w:val="24"/>
                <w:u w:val="single"/>
              </w:rPr>
              <w:lastRenderedPageBreak/>
              <w:t xml:space="preserve">Partial achievement rules - </w:t>
            </w:r>
            <w:r w:rsidR="00CF3963" w:rsidRPr="001F6AA3">
              <w:rPr>
                <w:rFonts w:eastAsiaTheme="minorEastAsia" w:cs="Arial"/>
                <w:b/>
                <w:szCs w:val="24"/>
                <w:u w:val="single"/>
              </w:rPr>
              <w:t>Year One</w:t>
            </w:r>
          </w:p>
          <w:p w14:paraId="1C18C984" w14:textId="77777777" w:rsidR="007944CC" w:rsidRPr="00EE3CA3" w:rsidRDefault="007944CC" w:rsidP="005931C4">
            <w:pPr>
              <w:rPr>
                <w:rFonts w:eastAsiaTheme="minorEastAsia" w:cs="Arial"/>
                <w:b/>
                <w:sz w:val="12"/>
                <w:szCs w:val="24"/>
                <w:u w:val="single"/>
              </w:rPr>
            </w:pPr>
          </w:p>
          <w:p w14:paraId="7DF7945B" w14:textId="77777777" w:rsidR="007944CC" w:rsidRDefault="00CF3963" w:rsidP="005931C4">
            <w:pPr>
              <w:rPr>
                <w:rFonts w:eastAsiaTheme="minorEastAsia" w:cs="Arial"/>
                <w:b/>
                <w:szCs w:val="24"/>
                <w:u w:val="single"/>
              </w:rPr>
            </w:pPr>
            <w:r w:rsidRPr="001F6AA3">
              <w:rPr>
                <w:rFonts w:eastAsiaTheme="minorEastAsia" w:cs="Arial"/>
                <w:b/>
                <w:szCs w:val="24"/>
                <w:u w:val="single"/>
              </w:rPr>
              <w:t>Trigger 1:</w:t>
            </w:r>
            <w:r w:rsidR="00512E30" w:rsidRPr="001F6AA3">
              <w:rPr>
                <w:rFonts w:eastAsiaTheme="minorEastAsia" w:cs="Arial"/>
                <w:b/>
                <w:szCs w:val="24"/>
                <w:u w:val="single"/>
              </w:rPr>
              <w:t xml:space="preserve"> </w:t>
            </w:r>
          </w:p>
          <w:p w14:paraId="1E036B3C" w14:textId="77777777" w:rsidR="00D46E69" w:rsidRDefault="00D46E69" w:rsidP="005931C4">
            <w:pPr>
              <w:rPr>
                <w:rFonts w:eastAsiaTheme="minorEastAsia" w:cs="Arial"/>
                <w:b/>
                <w:szCs w:val="24"/>
                <w:u w:val="single"/>
              </w:rPr>
            </w:pPr>
          </w:p>
          <w:tbl>
            <w:tblPr>
              <w:tblW w:w="6946" w:type="dxa"/>
              <w:tblInd w:w="33" w:type="dxa"/>
              <w:tblLook w:val="04A0" w:firstRow="1" w:lastRow="0" w:firstColumn="1" w:lastColumn="0" w:noHBand="0" w:noVBand="1"/>
            </w:tblPr>
            <w:tblGrid>
              <w:gridCol w:w="5460"/>
              <w:gridCol w:w="1486"/>
            </w:tblGrid>
            <w:tr w:rsidR="004E06A0" w:rsidRPr="00E65B35" w14:paraId="03F032A9" w14:textId="77777777" w:rsidTr="00CB5639">
              <w:trPr>
                <w:trHeight w:val="300"/>
              </w:trPr>
              <w:tc>
                <w:tcPr>
                  <w:tcW w:w="5460" w:type="dxa"/>
                  <w:tcBorders>
                    <w:top w:val="nil"/>
                    <w:left w:val="nil"/>
                    <w:bottom w:val="nil"/>
                    <w:right w:val="nil"/>
                  </w:tcBorders>
                  <w:shd w:val="clear" w:color="auto" w:fill="auto"/>
                  <w:vAlign w:val="bottom"/>
                  <w:hideMark/>
                </w:tcPr>
                <w:p w14:paraId="0435A029" w14:textId="77777777" w:rsidR="004E06A0" w:rsidRPr="004E06A0" w:rsidRDefault="004E06A0" w:rsidP="004E06A0">
                  <w:pPr>
                    <w:ind w:left="-30"/>
                    <w:rPr>
                      <w:rFonts w:cs="Arial"/>
                      <w:color w:val="000000"/>
                      <w:lang w:eastAsia="en-GB"/>
                    </w:rPr>
                  </w:pPr>
                  <w:r w:rsidRPr="004E06A0">
                    <w:rPr>
                      <w:rFonts w:cs="Arial"/>
                      <w:color w:val="000000"/>
                      <w:lang w:eastAsia="en-GB"/>
                    </w:rPr>
                    <w:t xml:space="preserve">Overall Weighting </w:t>
                  </w:r>
                </w:p>
              </w:tc>
              <w:tc>
                <w:tcPr>
                  <w:tcW w:w="1486" w:type="dxa"/>
                  <w:tcBorders>
                    <w:top w:val="nil"/>
                    <w:left w:val="nil"/>
                    <w:bottom w:val="nil"/>
                    <w:right w:val="nil"/>
                  </w:tcBorders>
                  <w:shd w:val="clear" w:color="auto" w:fill="auto"/>
                  <w:noWrap/>
                  <w:vAlign w:val="bottom"/>
                  <w:hideMark/>
                </w:tcPr>
                <w:p w14:paraId="184E03B0" w14:textId="5926C68B" w:rsidR="004E06A0" w:rsidRPr="004E06A0" w:rsidRDefault="00DA6899" w:rsidP="00DA6899">
                  <w:pPr>
                    <w:jc w:val="center"/>
                    <w:rPr>
                      <w:rFonts w:cs="Arial"/>
                      <w:b/>
                      <w:bCs w:val="0"/>
                      <w:color w:val="000000"/>
                      <w:lang w:eastAsia="en-GB"/>
                    </w:rPr>
                  </w:pPr>
                  <w:r>
                    <w:rPr>
                      <w:rFonts w:cs="Arial"/>
                      <w:szCs w:val="24"/>
                    </w:rPr>
                    <w:t>(As above</w:t>
                  </w:r>
                  <w:r w:rsidR="002B5FA9">
                    <w:rPr>
                      <w:rFonts w:cs="Arial"/>
                      <w:szCs w:val="24"/>
                    </w:rPr>
                    <w:t>:</w:t>
                  </w:r>
                  <w:r>
                    <w:rPr>
                      <w:rFonts w:cs="Arial"/>
                      <w:szCs w:val="24"/>
                    </w:rPr>
                    <w:t xml:space="preserve"> m</w:t>
                  </w:r>
                  <w:r w:rsidR="0016328A">
                    <w:rPr>
                      <w:rFonts w:cs="Arial"/>
                      <w:szCs w:val="24"/>
                    </w:rPr>
                    <w:t>inimum 20%</w:t>
                  </w:r>
                  <w:r w:rsidR="004E06A0" w:rsidRPr="004E06A0">
                    <w:rPr>
                      <w:rFonts w:cs="Arial"/>
                      <w:b/>
                      <w:color w:val="000000"/>
                      <w:lang w:eastAsia="en-GB"/>
                    </w:rPr>
                    <w:t>%</w:t>
                  </w:r>
                  <w:r>
                    <w:rPr>
                      <w:rFonts w:cs="Arial"/>
                      <w:b/>
                      <w:color w:val="000000"/>
                      <w:lang w:eastAsia="en-GB"/>
                    </w:rPr>
                    <w:t>)</w:t>
                  </w:r>
                </w:p>
              </w:tc>
            </w:tr>
            <w:tr w:rsidR="004E06A0" w:rsidRPr="00E65B35" w14:paraId="632955F9" w14:textId="77777777" w:rsidTr="00CB5639">
              <w:trPr>
                <w:trHeight w:val="300"/>
              </w:trPr>
              <w:tc>
                <w:tcPr>
                  <w:tcW w:w="5460" w:type="dxa"/>
                  <w:tcBorders>
                    <w:top w:val="nil"/>
                    <w:left w:val="nil"/>
                    <w:bottom w:val="nil"/>
                    <w:right w:val="nil"/>
                  </w:tcBorders>
                  <w:shd w:val="clear" w:color="auto" w:fill="auto"/>
                  <w:vAlign w:val="bottom"/>
                  <w:hideMark/>
                </w:tcPr>
                <w:p w14:paraId="100634DD" w14:textId="77777777" w:rsidR="002B5FA9" w:rsidRDefault="002B5FA9" w:rsidP="004E06A0">
                  <w:pPr>
                    <w:ind w:left="-30"/>
                    <w:rPr>
                      <w:rFonts w:cs="Arial"/>
                      <w:color w:val="000000"/>
                      <w:lang w:eastAsia="en-GB"/>
                    </w:rPr>
                  </w:pPr>
                </w:p>
                <w:p w14:paraId="30D427F4" w14:textId="122AD3A6" w:rsidR="004E06A0" w:rsidRPr="004E06A0" w:rsidRDefault="004E06A0" w:rsidP="004E06A0">
                  <w:pPr>
                    <w:ind w:left="-30"/>
                    <w:rPr>
                      <w:rFonts w:cs="Arial"/>
                      <w:color w:val="000000"/>
                      <w:lang w:eastAsia="en-GB"/>
                    </w:rPr>
                  </w:pPr>
                  <w:r w:rsidRPr="004E06A0">
                    <w:rPr>
                      <w:rFonts w:cs="Arial"/>
                      <w:color w:val="000000"/>
                      <w:lang w:eastAsia="en-GB"/>
                    </w:rPr>
                    <w:t xml:space="preserve">Split </w:t>
                  </w:r>
                </w:p>
              </w:tc>
              <w:tc>
                <w:tcPr>
                  <w:tcW w:w="1486" w:type="dxa"/>
                  <w:tcBorders>
                    <w:top w:val="nil"/>
                    <w:left w:val="nil"/>
                    <w:bottom w:val="nil"/>
                    <w:right w:val="nil"/>
                  </w:tcBorders>
                  <w:shd w:val="clear" w:color="auto" w:fill="auto"/>
                  <w:noWrap/>
                  <w:vAlign w:val="bottom"/>
                  <w:hideMark/>
                </w:tcPr>
                <w:p w14:paraId="560D9C13" w14:textId="77777777" w:rsidR="004E06A0" w:rsidRPr="004E06A0" w:rsidRDefault="004E06A0" w:rsidP="004E06A0">
                  <w:pPr>
                    <w:rPr>
                      <w:rFonts w:cs="Arial"/>
                      <w:color w:val="000000"/>
                      <w:lang w:eastAsia="en-GB"/>
                    </w:rPr>
                  </w:pPr>
                </w:p>
              </w:tc>
            </w:tr>
            <w:tr w:rsidR="004E06A0" w:rsidRPr="00E65B35" w14:paraId="14B9DD97" w14:textId="77777777" w:rsidTr="00CB5639">
              <w:trPr>
                <w:trHeight w:val="300"/>
              </w:trPr>
              <w:tc>
                <w:tcPr>
                  <w:tcW w:w="5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41FD4" w14:textId="67417185" w:rsidR="004E06A0" w:rsidRPr="004E06A0" w:rsidRDefault="004E06A0" w:rsidP="004E06A0">
                  <w:pPr>
                    <w:rPr>
                      <w:rFonts w:cs="Arial"/>
                      <w:color w:val="000000"/>
                      <w:lang w:eastAsia="en-GB"/>
                    </w:rPr>
                  </w:pPr>
                  <w:r w:rsidRPr="004E06A0">
                    <w:rPr>
                      <w:rFonts w:cs="Arial"/>
                      <w:color w:val="000000"/>
                      <w:lang w:eastAsia="en-GB"/>
                    </w:rPr>
                    <w:t xml:space="preserve">Implementation of </w:t>
                  </w:r>
                  <w:r w:rsidR="00364A73">
                    <w:rPr>
                      <w:rFonts w:cs="Arial"/>
                      <w:color w:val="000000"/>
                      <w:lang w:eastAsia="en-GB"/>
                    </w:rPr>
                    <w:t>Waste Calculator</w:t>
                  </w:r>
                  <w:r w:rsidR="002954D7">
                    <w:rPr>
                      <w:rFonts w:cs="Arial"/>
                      <w:color w:val="000000"/>
                      <w:lang w:eastAsia="en-GB"/>
                    </w:rPr>
                    <w:t xml:space="preserve"> tool</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14:paraId="3BD5D0D9" w14:textId="77777777" w:rsidR="004E06A0" w:rsidRPr="004E06A0" w:rsidRDefault="004E06A0" w:rsidP="004E06A0">
                  <w:pPr>
                    <w:jc w:val="right"/>
                    <w:rPr>
                      <w:rFonts w:cs="Arial"/>
                      <w:color w:val="000000"/>
                      <w:lang w:eastAsia="en-GB"/>
                    </w:rPr>
                  </w:pPr>
                  <w:r w:rsidRPr="004E06A0">
                    <w:rPr>
                      <w:rFonts w:cs="Arial"/>
                      <w:color w:val="000000"/>
                      <w:lang w:eastAsia="en-GB"/>
                    </w:rPr>
                    <w:t>40%</w:t>
                  </w:r>
                </w:p>
              </w:tc>
            </w:tr>
            <w:tr w:rsidR="004E06A0" w:rsidRPr="00E65B35" w14:paraId="5811D6BA" w14:textId="77777777" w:rsidTr="00CB5639">
              <w:trPr>
                <w:trHeight w:val="600"/>
              </w:trPr>
              <w:tc>
                <w:tcPr>
                  <w:tcW w:w="5460" w:type="dxa"/>
                  <w:tcBorders>
                    <w:top w:val="nil"/>
                    <w:left w:val="single" w:sz="4" w:space="0" w:color="auto"/>
                    <w:bottom w:val="single" w:sz="4" w:space="0" w:color="auto"/>
                    <w:right w:val="single" w:sz="4" w:space="0" w:color="auto"/>
                  </w:tcBorders>
                  <w:shd w:val="clear" w:color="auto" w:fill="auto"/>
                  <w:vAlign w:val="bottom"/>
                  <w:hideMark/>
                </w:tcPr>
                <w:p w14:paraId="3976ABA5" w14:textId="5D6D8B4D" w:rsidR="004E06A0" w:rsidRPr="004E06A0" w:rsidRDefault="004E06A0" w:rsidP="004E06A0">
                  <w:pPr>
                    <w:rPr>
                      <w:rFonts w:cs="Arial"/>
                      <w:color w:val="000000"/>
                      <w:lang w:eastAsia="en-GB"/>
                    </w:rPr>
                  </w:pPr>
                  <w:r w:rsidRPr="004E06A0">
                    <w:rPr>
                      <w:rFonts w:cs="Arial"/>
                      <w:color w:val="000000"/>
                      <w:lang w:eastAsia="en-GB"/>
                    </w:rPr>
                    <w:t xml:space="preserve">Implementation of </w:t>
                  </w:r>
                  <w:r w:rsidR="002954D7">
                    <w:rPr>
                      <w:rFonts w:cs="Arial"/>
                      <w:color w:val="000000"/>
                      <w:lang w:eastAsia="en-GB"/>
                    </w:rPr>
                    <w:t>Waste Calculator tool with Costs</w:t>
                  </w:r>
                  <w:r w:rsidRPr="004E06A0">
                    <w:rPr>
                      <w:rFonts w:cs="Arial"/>
                      <w:color w:val="000000"/>
                      <w:lang w:eastAsia="en-GB"/>
                    </w:rPr>
                    <w:t>, reporting waste using mg and costs</w:t>
                  </w:r>
                </w:p>
              </w:tc>
              <w:tc>
                <w:tcPr>
                  <w:tcW w:w="1486" w:type="dxa"/>
                  <w:tcBorders>
                    <w:top w:val="nil"/>
                    <w:left w:val="nil"/>
                    <w:bottom w:val="single" w:sz="4" w:space="0" w:color="auto"/>
                    <w:right w:val="single" w:sz="4" w:space="0" w:color="auto"/>
                  </w:tcBorders>
                  <w:shd w:val="clear" w:color="auto" w:fill="auto"/>
                  <w:noWrap/>
                  <w:vAlign w:val="bottom"/>
                  <w:hideMark/>
                </w:tcPr>
                <w:p w14:paraId="18A39EDA" w14:textId="77777777" w:rsidR="004E06A0" w:rsidRPr="004E06A0" w:rsidRDefault="004E06A0" w:rsidP="004E06A0">
                  <w:pPr>
                    <w:jc w:val="right"/>
                    <w:rPr>
                      <w:rFonts w:cs="Arial"/>
                      <w:color w:val="000000"/>
                      <w:lang w:eastAsia="en-GB"/>
                    </w:rPr>
                  </w:pPr>
                  <w:r w:rsidRPr="004E06A0">
                    <w:rPr>
                      <w:rFonts w:cs="Arial"/>
                      <w:color w:val="000000"/>
                      <w:lang w:eastAsia="en-GB"/>
                    </w:rPr>
                    <w:t>40%</w:t>
                  </w:r>
                </w:p>
              </w:tc>
            </w:tr>
            <w:tr w:rsidR="004E06A0" w:rsidRPr="00E65B35" w14:paraId="34C7F3D4" w14:textId="77777777" w:rsidTr="00CB5639">
              <w:trPr>
                <w:trHeight w:val="600"/>
              </w:trPr>
              <w:tc>
                <w:tcPr>
                  <w:tcW w:w="5460" w:type="dxa"/>
                  <w:tcBorders>
                    <w:top w:val="nil"/>
                    <w:left w:val="single" w:sz="4" w:space="0" w:color="auto"/>
                    <w:bottom w:val="single" w:sz="4" w:space="0" w:color="auto"/>
                    <w:right w:val="single" w:sz="4" w:space="0" w:color="auto"/>
                  </w:tcBorders>
                  <w:shd w:val="clear" w:color="auto" w:fill="auto"/>
                  <w:vAlign w:val="bottom"/>
                  <w:hideMark/>
                </w:tcPr>
                <w:p w14:paraId="3F678CFD" w14:textId="77777777" w:rsidR="004E06A0" w:rsidRPr="00F96BEC" w:rsidRDefault="004E06A0" w:rsidP="004E06A0">
                  <w:pPr>
                    <w:rPr>
                      <w:rFonts w:cs="Arial"/>
                      <w:color w:val="000000"/>
                      <w:lang w:eastAsia="en-GB"/>
                    </w:rPr>
                  </w:pPr>
                  <w:r w:rsidRPr="00F96BEC">
                    <w:rPr>
                      <w:rFonts w:cs="Arial"/>
                      <w:color w:val="000000"/>
                      <w:lang w:eastAsia="en-GB"/>
                    </w:rPr>
                    <w:t>Development of an implementation plan for waste reduction in Year 2</w:t>
                  </w:r>
                </w:p>
              </w:tc>
              <w:tc>
                <w:tcPr>
                  <w:tcW w:w="1486" w:type="dxa"/>
                  <w:tcBorders>
                    <w:top w:val="nil"/>
                    <w:left w:val="nil"/>
                    <w:bottom w:val="single" w:sz="4" w:space="0" w:color="auto"/>
                    <w:right w:val="single" w:sz="4" w:space="0" w:color="auto"/>
                  </w:tcBorders>
                  <w:shd w:val="clear" w:color="auto" w:fill="auto"/>
                  <w:noWrap/>
                  <w:vAlign w:val="bottom"/>
                  <w:hideMark/>
                </w:tcPr>
                <w:p w14:paraId="0298A393" w14:textId="77777777" w:rsidR="004E06A0" w:rsidRPr="00F96BEC" w:rsidRDefault="004E06A0" w:rsidP="004E06A0">
                  <w:pPr>
                    <w:jc w:val="right"/>
                    <w:rPr>
                      <w:rFonts w:cs="Arial"/>
                      <w:color w:val="000000"/>
                      <w:lang w:eastAsia="en-GB"/>
                    </w:rPr>
                  </w:pPr>
                  <w:r w:rsidRPr="00F96BEC">
                    <w:rPr>
                      <w:rFonts w:cs="Arial"/>
                      <w:color w:val="000000"/>
                      <w:lang w:eastAsia="en-GB"/>
                    </w:rPr>
                    <w:t>20%</w:t>
                  </w:r>
                </w:p>
              </w:tc>
            </w:tr>
            <w:tr w:rsidR="00CB5639" w:rsidRPr="00E65B35" w14:paraId="54B25AB6" w14:textId="77777777" w:rsidTr="00CB5639">
              <w:trPr>
                <w:trHeight w:val="600"/>
              </w:trPr>
              <w:tc>
                <w:tcPr>
                  <w:tcW w:w="5460" w:type="dxa"/>
                  <w:tcBorders>
                    <w:top w:val="single" w:sz="4" w:space="0" w:color="auto"/>
                    <w:left w:val="single" w:sz="4" w:space="0" w:color="auto"/>
                    <w:bottom w:val="single" w:sz="4" w:space="0" w:color="auto"/>
                    <w:right w:val="single" w:sz="4" w:space="0" w:color="auto"/>
                  </w:tcBorders>
                  <w:shd w:val="clear" w:color="auto" w:fill="auto"/>
                  <w:vAlign w:val="bottom"/>
                </w:tcPr>
                <w:p w14:paraId="75E1D30C" w14:textId="1E97C38E" w:rsidR="00CB5639" w:rsidRPr="00F96BEC" w:rsidRDefault="00CB5639" w:rsidP="004E06A0">
                  <w:pPr>
                    <w:rPr>
                      <w:rFonts w:cs="Arial"/>
                      <w:b/>
                      <w:color w:val="000000"/>
                      <w:lang w:eastAsia="en-GB"/>
                    </w:rPr>
                  </w:pPr>
                  <w:r w:rsidRPr="00F96BEC">
                    <w:rPr>
                      <w:rFonts w:cs="Arial"/>
                      <w:b/>
                      <w:color w:val="000000"/>
                      <w:lang w:eastAsia="en-GB"/>
                    </w:rPr>
                    <w:t>Total</w:t>
                  </w:r>
                  <w:r w:rsidR="00EE3CA3" w:rsidRPr="00F96BEC">
                    <w:rPr>
                      <w:rFonts w:cs="Arial"/>
                      <w:b/>
                      <w:color w:val="000000"/>
                      <w:lang w:eastAsia="en-GB"/>
                    </w:rPr>
                    <w:t xml:space="preserve"> (N</w:t>
                  </w:r>
                  <w:r w:rsidRPr="00F96BEC">
                    <w:rPr>
                      <w:rFonts w:cs="Arial"/>
                      <w:b/>
                      <w:color w:val="000000"/>
                      <w:lang w:eastAsia="en-GB"/>
                    </w:rPr>
                    <w:t xml:space="preserve">ote: The total is of the </w:t>
                  </w:r>
                  <w:r w:rsidR="002B5FA9">
                    <w:rPr>
                      <w:rFonts w:cs="Arial"/>
                      <w:b/>
                      <w:color w:val="000000"/>
                      <w:lang w:eastAsia="en-GB"/>
                    </w:rPr>
                    <w:t>percentage (as above, minimum 2</w:t>
                  </w:r>
                  <w:r w:rsidRPr="00F96BEC">
                    <w:rPr>
                      <w:rFonts w:cs="Arial"/>
                      <w:b/>
                      <w:color w:val="000000"/>
                      <w:lang w:eastAsia="en-GB"/>
                    </w:rPr>
                    <w:t>0%</w:t>
                  </w:r>
                  <w:r w:rsidR="002B5FA9">
                    <w:rPr>
                      <w:rFonts w:cs="Arial"/>
                      <w:b/>
                      <w:color w:val="000000"/>
                      <w:lang w:eastAsia="en-GB"/>
                    </w:rPr>
                    <w:t>)</w:t>
                  </w:r>
                  <w:r w:rsidRPr="00F96BEC">
                    <w:rPr>
                      <w:rFonts w:cs="Arial"/>
                      <w:b/>
                      <w:color w:val="000000"/>
                      <w:lang w:eastAsia="en-GB"/>
                    </w:rPr>
                    <w:t xml:space="preserve"> allocated to this trigger).</w:t>
                  </w:r>
                </w:p>
              </w:tc>
              <w:tc>
                <w:tcPr>
                  <w:tcW w:w="1486" w:type="dxa"/>
                  <w:tcBorders>
                    <w:top w:val="single" w:sz="4" w:space="0" w:color="auto"/>
                    <w:left w:val="nil"/>
                    <w:bottom w:val="single" w:sz="4" w:space="0" w:color="auto"/>
                    <w:right w:val="single" w:sz="4" w:space="0" w:color="auto"/>
                  </w:tcBorders>
                  <w:shd w:val="clear" w:color="auto" w:fill="auto"/>
                  <w:noWrap/>
                  <w:vAlign w:val="bottom"/>
                </w:tcPr>
                <w:p w14:paraId="736A6BB1" w14:textId="77777777" w:rsidR="00CB5639" w:rsidRPr="00F96BEC" w:rsidRDefault="00CB5639" w:rsidP="004E06A0">
                  <w:pPr>
                    <w:jc w:val="right"/>
                    <w:rPr>
                      <w:rFonts w:cs="Arial"/>
                      <w:b/>
                      <w:color w:val="000000"/>
                      <w:lang w:eastAsia="en-GB"/>
                    </w:rPr>
                  </w:pPr>
                  <w:r w:rsidRPr="00F96BEC">
                    <w:rPr>
                      <w:rFonts w:cs="Arial"/>
                      <w:b/>
                      <w:color w:val="000000"/>
                      <w:lang w:eastAsia="en-GB"/>
                    </w:rPr>
                    <w:t>100%</w:t>
                  </w:r>
                </w:p>
              </w:tc>
            </w:tr>
          </w:tbl>
          <w:p w14:paraId="594EEA3B" w14:textId="77777777" w:rsidR="00CB5639" w:rsidRPr="007944CC" w:rsidRDefault="00CB5639" w:rsidP="005931C4">
            <w:pPr>
              <w:rPr>
                <w:rFonts w:eastAsiaTheme="minorEastAsia" w:cs="Arial"/>
                <w:szCs w:val="24"/>
              </w:rPr>
            </w:pPr>
          </w:p>
          <w:p w14:paraId="437CCBC6" w14:textId="77777777" w:rsidR="009C73FC" w:rsidRDefault="00CF3963" w:rsidP="005931C4">
            <w:pPr>
              <w:rPr>
                <w:rFonts w:eastAsiaTheme="minorEastAsia" w:cs="Arial"/>
                <w:b/>
                <w:szCs w:val="24"/>
                <w:u w:val="single"/>
              </w:rPr>
            </w:pPr>
            <w:r w:rsidRPr="001F6AA3">
              <w:rPr>
                <w:rFonts w:eastAsiaTheme="minorEastAsia" w:cs="Arial"/>
                <w:b/>
                <w:szCs w:val="24"/>
                <w:u w:val="single"/>
              </w:rPr>
              <w:t>Trigger 2:</w:t>
            </w:r>
            <w:r w:rsidR="00376C8C">
              <w:rPr>
                <w:rFonts w:eastAsiaTheme="minorEastAsia" w:cs="Arial"/>
                <w:b/>
                <w:szCs w:val="24"/>
                <w:u w:val="single"/>
              </w:rPr>
              <w:t xml:space="preserve"> </w:t>
            </w:r>
          </w:p>
          <w:p w14:paraId="25A24BD0" w14:textId="77777777" w:rsidR="009C73FC" w:rsidRDefault="009C73FC" w:rsidP="005931C4">
            <w:pPr>
              <w:rPr>
                <w:rFonts w:eastAsiaTheme="minorEastAsia" w:cs="Arial"/>
                <w:b/>
                <w:szCs w:val="24"/>
                <w:u w:val="single"/>
              </w:rPr>
            </w:pPr>
          </w:p>
          <w:p w14:paraId="5E433F15" w14:textId="77777777" w:rsidR="004E06A0" w:rsidRPr="004E06A0" w:rsidRDefault="00305C7E" w:rsidP="004E06A0">
            <w:pPr>
              <w:rPr>
                <w:rFonts w:eastAsiaTheme="minorEastAsia" w:cs="Arial"/>
                <w:szCs w:val="24"/>
              </w:rPr>
            </w:pPr>
            <w:r>
              <w:rPr>
                <w:rFonts w:eastAsiaTheme="minorEastAsia" w:cs="Arial"/>
                <w:szCs w:val="24"/>
              </w:rPr>
              <w:t>Quarterly payment based on</w:t>
            </w:r>
            <w:r w:rsidR="00CB5639">
              <w:rPr>
                <w:rFonts w:eastAsiaTheme="minorEastAsia" w:cs="Arial"/>
                <w:szCs w:val="24"/>
              </w:rPr>
              <w:t xml:space="preserve"> </w:t>
            </w:r>
            <w:r w:rsidR="00CB5639" w:rsidRPr="003B3F4A">
              <w:rPr>
                <w:rFonts w:eastAsiaTheme="minorEastAsia" w:cs="Arial"/>
                <w:szCs w:val="24"/>
              </w:rPr>
              <w:t>95</w:t>
            </w:r>
            <w:r w:rsidR="004E06A0" w:rsidRPr="003B3F4A">
              <w:rPr>
                <w:rFonts w:eastAsiaTheme="minorEastAsia" w:cs="Arial"/>
                <w:szCs w:val="24"/>
              </w:rPr>
              <w:t>%</w:t>
            </w:r>
            <w:r w:rsidR="004E06A0">
              <w:rPr>
                <w:rFonts w:eastAsiaTheme="minorEastAsia" w:cs="Arial"/>
                <w:szCs w:val="24"/>
              </w:rPr>
              <w:t xml:space="preserve"> submission of </w:t>
            </w:r>
            <w:r w:rsidR="00B146CB">
              <w:rPr>
                <w:rFonts w:eastAsiaTheme="minorEastAsia" w:cs="Arial"/>
                <w:szCs w:val="24"/>
              </w:rPr>
              <w:t xml:space="preserve">accurate </w:t>
            </w:r>
            <w:r w:rsidR="004E06A0">
              <w:rPr>
                <w:rFonts w:eastAsiaTheme="minorEastAsia" w:cs="Arial"/>
                <w:szCs w:val="24"/>
              </w:rPr>
              <w:t xml:space="preserve">data </w:t>
            </w:r>
            <w:r w:rsidR="004E06A0" w:rsidRPr="004E06A0">
              <w:rPr>
                <w:rFonts w:eastAsiaTheme="minorEastAsia" w:cs="Arial"/>
                <w:szCs w:val="24"/>
              </w:rPr>
              <w:t>for every</w:t>
            </w:r>
            <w:r w:rsidR="004E06A0">
              <w:rPr>
                <w:rFonts w:eastAsiaTheme="minorEastAsia" w:cs="Arial"/>
                <w:szCs w:val="24"/>
              </w:rPr>
              <w:t xml:space="preserve"> eligible</w:t>
            </w:r>
            <w:r w:rsidR="0049068B">
              <w:rPr>
                <w:rFonts w:eastAsiaTheme="minorEastAsia" w:cs="Arial"/>
                <w:szCs w:val="24"/>
              </w:rPr>
              <w:t xml:space="preserve"> </w:t>
            </w:r>
            <w:r w:rsidR="001E210A">
              <w:rPr>
                <w:rFonts w:eastAsiaTheme="minorEastAsia" w:cs="Arial"/>
                <w:szCs w:val="24"/>
              </w:rPr>
              <w:t>patient and</w:t>
            </w:r>
            <w:r w:rsidR="00B146CB">
              <w:rPr>
                <w:rFonts w:eastAsiaTheme="minorEastAsia" w:cs="Arial"/>
                <w:szCs w:val="24"/>
              </w:rPr>
              <w:t xml:space="preserve"> </w:t>
            </w:r>
            <w:r w:rsidR="000D70F6">
              <w:rPr>
                <w:rFonts w:eastAsiaTheme="minorEastAsia" w:cs="Arial"/>
                <w:szCs w:val="24"/>
              </w:rPr>
              <w:t>reviewed in line with</w:t>
            </w:r>
            <w:r>
              <w:rPr>
                <w:rFonts w:eastAsiaTheme="minorEastAsia" w:cs="Arial"/>
                <w:szCs w:val="24"/>
              </w:rPr>
              <w:t xml:space="preserve"> </w:t>
            </w:r>
            <w:r w:rsidR="00CB5639">
              <w:rPr>
                <w:rFonts w:eastAsiaTheme="minorEastAsia" w:cs="Arial"/>
                <w:szCs w:val="24"/>
              </w:rPr>
              <w:t>the managed access agreement</w:t>
            </w:r>
            <w:r w:rsidR="000D70F6">
              <w:rPr>
                <w:rFonts w:eastAsiaTheme="minorEastAsia" w:cs="Arial"/>
                <w:szCs w:val="24"/>
              </w:rPr>
              <w:t>.</w:t>
            </w:r>
          </w:p>
          <w:p w14:paraId="15D5BFF3" w14:textId="77777777" w:rsidR="00B84576" w:rsidRDefault="00B84576" w:rsidP="005931C4">
            <w:pPr>
              <w:rPr>
                <w:rFonts w:eastAsiaTheme="minorEastAsia" w:cs="Arial"/>
                <w:szCs w:val="24"/>
              </w:rPr>
            </w:pPr>
          </w:p>
          <w:p w14:paraId="18863DE0" w14:textId="77777777" w:rsidR="00CF3963" w:rsidRPr="00023FEB" w:rsidRDefault="00CF3963" w:rsidP="005931C4">
            <w:pPr>
              <w:rPr>
                <w:rFonts w:eastAsiaTheme="minorEastAsia" w:cs="Arial"/>
                <w:b/>
                <w:szCs w:val="24"/>
                <w:u w:val="single"/>
              </w:rPr>
            </w:pPr>
            <w:r w:rsidRPr="00023FEB">
              <w:rPr>
                <w:rFonts w:eastAsiaTheme="minorEastAsia" w:cs="Arial"/>
                <w:b/>
                <w:szCs w:val="24"/>
                <w:u w:val="single"/>
              </w:rPr>
              <w:t xml:space="preserve">Trigger 3: </w:t>
            </w:r>
          </w:p>
          <w:p w14:paraId="7100853A" w14:textId="77777777" w:rsidR="00711887" w:rsidRPr="007944CC" w:rsidRDefault="00711887" w:rsidP="005931C4">
            <w:pPr>
              <w:rPr>
                <w:rFonts w:eastAsiaTheme="minorEastAsia" w:cs="Arial"/>
                <w:b/>
                <w:i/>
                <w:szCs w:val="24"/>
                <w:u w:val="single"/>
              </w:rPr>
            </w:pPr>
          </w:p>
          <w:p w14:paraId="6C63FA59" w14:textId="77777777" w:rsidR="00946AF4" w:rsidRPr="00946AF4" w:rsidRDefault="00946AF4" w:rsidP="00946AF4">
            <w:pPr>
              <w:tabs>
                <w:tab w:val="left" w:pos="8172"/>
              </w:tabs>
              <w:rPr>
                <w:rFonts w:eastAsiaTheme="minorEastAsia" w:cs="Arial"/>
                <w:szCs w:val="24"/>
              </w:rPr>
            </w:pPr>
            <w:r w:rsidRPr="00946AF4">
              <w:rPr>
                <w:rFonts w:eastAsiaTheme="minorEastAsia" w:cs="Arial"/>
                <w:szCs w:val="24"/>
              </w:rPr>
              <w:t>Quarterly payment based on 100% completion of the number of audits requested to be carried out, with evidence that any change sought, an action plan has been developed and embedded.</w:t>
            </w:r>
          </w:p>
          <w:p w14:paraId="16B402BC" w14:textId="77777777" w:rsidR="00711887" w:rsidRDefault="00CF3963" w:rsidP="00711887">
            <w:pPr>
              <w:rPr>
                <w:rFonts w:eastAsiaTheme="minorEastAsia" w:cs="Arial"/>
                <w:b/>
                <w:szCs w:val="24"/>
                <w:u w:val="single"/>
              </w:rPr>
            </w:pPr>
            <w:r w:rsidRPr="001F6AA3">
              <w:rPr>
                <w:rFonts w:eastAsiaTheme="minorEastAsia" w:cs="Arial"/>
                <w:b/>
                <w:szCs w:val="24"/>
                <w:u w:val="single"/>
              </w:rPr>
              <w:t xml:space="preserve">Trigger 4: </w:t>
            </w:r>
          </w:p>
          <w:p w14:paraId="12D9AAC9" w14:textId="77777777" w:rsidR="005365D3" w:rsidRDefault="005365D3" w:rsidP="00711887">
            <w:pPr>
              <w:rPr>
                <w:rFonts w:eastAsiaTheme="minorEastAsia" w:cs="Arial"/>
                <w:szCs w:val="24"/>
              </w:rPr>
            </w:pPr>
          </w:p>
          <w:p w14:paraId="4379953F" w14:textId="77777777" w:rsidR="002547C9" w:rsidRDefault="00711887" w:rsidP="00711887">
            <w:pPr>
              <w:rPr>
                <w:rFonts w:eastAsiaTheme="minorEastAsia" w:cs="Arial"/>
                <w:szCs w:val="24"/>
              </w:rPr>
            </w:pPr>
            <w:r w:rsidRPr="00711887">
              <w:rPr>
                <w:rFonts w:eastAsiaTheme="minorEastAsia" w:cs="Arial"/>
                <w:szCs w:val="24"/>
              </w:rPr>
              <w:t xml:space="preserve">New patients </w:t>
            </w:r>
          </w:p>
          <w:p w14:paraId="2A5F5C84" w14:textId="77777777" w:rsidR="000D70F6" w:rsidRDefault="002547C9" w:rsidP="00711887">
            <w:pPr>
              <w:rPr>
                <w:rFonts w:eastAsiaTheme="minorEastAsia" w:cs="Arial"/>
                <w:szCs w:val="24"/>
              </w:rPr>
            </w:pPr>
            <w:r>
              <w:rPr>
                <w:rFonts w:eastAsiaTheme="minorEastAsia" w:cs="Arial"/>
                <w:szCs w:val="24"/>
              </w:rPr>
              <w:t>Quarterly payments based on a</w:t>
            </w:r>
            <w:r w:rsidR="000D70F6">
              <w:rPr>
                <w:rFonts w:eastAsiaTheme="minorEastAsia" w:cs="Arial"/>
                <w:szCs w:val="24"/>
              </w:rPr>
              <w:t>chievement of:</w:t>
            </w:r>
          </w:p>
          <w:p w14:paraId="276D0A7F" w14:textId="77777777" w:rsidR="00711887" w:rsidRPr="00711887" w:rsidRDefault="00711887" w:rsidP="00711887">
            <w:pPr>
              <w:rPr>
                <w:rFonts w:eastAsiaTheme="minorEastAsia" w:cs="Arial"/>
                <w:szCs w:val="24"/>
              </w:rPr>
            </w:pPr>
            <w:r w:rsidRPr="00711887">
              <w:rPr>
                <w:rFonts w:eastAsiaTheme="minorEastAsia" w:cs="Arial"/>
                <w:szCs w:val="24"/>
              </w:rPr>
              <w:t>90%</w:t>
            </w:r>
            <w:r w:rsidR="002547C9">
              <w:rPr>
                <w:rFonts w:eastAsiaTheme="minorEastAsia" w:cs="Arial"/>
                <w:szCs w:val="24"/>
              </w:rPr>
              <w:t xml:space="preserve"> </w:t>
            </w:r>
            <w:r w:rsidRPr="00711887">
              <w:rPr>
                <w:rFonts w:eastAsiaTheme="minorEastAsia" w:cs="Arial"/>
                <w:szCs w:val="24"/>
              </w:rPr>
              <w:t xml:space="preserve">patients =&gt; 100% of target payment </w:t>
            </w:r>
          </w:p>
          <w:p w14:paraId="1D387C1C" w14:textId="77777777" w:rsidR="00711887" w:rsidRPr="00711887" w:rsidRDefault="00711887" w:rsidP="00711887">
            <w:pPr>
              <w:rPr>
                <w:rFonts w:eastAsiaTheme="minorEastAsia" w:cs="Arial"/>
                <w:szCs w:val="24"/>
              </w:rPr>
            </w:pPr>
            <w:r w:rsidRPr="00711887">
              <w:rPr>
                <w:rFonts w:eastAsiaTheme="minorEastAsia" w:cs="Arial"/>
                <w:szCs w:val="24"/>
              </w:rPr>
              <w:t>80% patients =&gt; 75% of target payment</w:t>
            </w:r>
          </w:p>
          <w:p w14:paraId="1AFE0D13" w14:textId="77777777" w:rsidR="00711887" w:rsidRDefault="00711887" w:rsidP="00711887">
            <w:pPr>
              <w:rPr>
                <w:rFonts w:eastAsiaTheme="minorEastAsia" w:cs="Arial"/>
                <w:szCs w:val="24"/>
              </w:rPr>
            </w:pPr>
            <w:r w:rsidRPr="00711887">
              <w:rPr>
                <w:rFonts w:eastAsiaTheme="minorEastAsia" w:cs="Arial"/>
                <w:szCs w:val="24"/>
              </w:rPr>
              <w:t>70% patients =&gt; 50% of target payment</w:t>
            </w:r>
          </w:p>
          <w:p w14:paraId="1F484FA5" w14:textId="77777777" w:rsidR="008C4BC6" w:rsidRDefault="008C4BC6" w:rsidP="00711887">
            <w:pPr>
              <w:rPr>
                <w:rFonts w:eastAsiaTheme="minorEastAsia" w:cs="Arial"/>
                <w:szCs w:val="24"/>
              </w:rPr>
            </w:pPr>
          </w:p>
          <w:p w14:paraId="34243A32" w14:textId="77777777" w:rsidR="00711887" w:rsidRPr="00711887" w:rsidRDefault="00711887" w:rsidP="00711887">
            <w:pPr>
              <w:rPr>
                <w:rFonts w:eastAsiaTheme="minorEastAsia" w:cs="Arial"/>
                <w:szCs w:val="24"/>
              </w:rPr>
            </w:pPr>
            <w:r w:rsidRPr="00711887">
              <w:rPr>
                <w:rFonts w:eastAsiaTheme="minorEastAsia" w:cs="Arial"/>
                <w:szCs w:val="24"/>
              </w:rPr>
              <w:t>Existing patients</w:t>
            </w:r>
          </w:p>
          <w:p w14:paraId="6CD94E0D" w14:textId="77777777" w:rsidR="000D70F6" w:rsidRDefault="002547C9" w:rsidP="00711887">
            <w:pPr>
              <w:rPr>
                <w:rFonts w:eastAsiaTheme="minorEastAsia" w:cs="Arial"/>
                <w:szCs w:val="24"/>
              </w:rPr>
            </w:pPr>
            <w:r>
              <w:rPr>
                <w:rFonts w:eastAsiaTheme="minorEastAsia" w:cs="Arial"/>
                <w:szCs w:val="24"/>
              </w:rPr>
              <w:t>Quarterly payments based on a</w:t>
            </w:r>
            <w:r w:rsidR="00711887" w:rsidRPr="00711887">
              <w:rPr>
                <w:rFonts w:eastAsiaTheme="minorEastAsia" w:cs="Arial"/>
                <w:szCs w:val="24"/>
              </w:rPr>
              <w:t>chievement of</w:t>
            </w:r>
            <w:r w:rsidR="000D70F6">
              <w:rPr>
                <w:rFonts w:eastAsiaTheme="minorEastAsia" w:cs="Arial"/>
                <w:szCs w:val="24"/>
              </w:rPr>
              <w:t>:</w:t>
            </w:r>
          </w:p>
          <w:p w14:paraId="67944A46" w14:textId="77777777" w:rsidR="00711887" w:rsidRPr="003B3F4A" w:rsidRDefault="00EE339B" w:rsidP="00711887">
            <w:pPr>
              <w:rPr>
                <w:rFonts w:eastAsiaTheme="minorEastAsia" w:cs="Arial"/>
                <w:szCs w:val="24"/>
              </w:rPr>
            </w:pPr>
            <w:r w:rsidRPr="003B3F4A">
              <w:rPr>
                <w:rFonts w:eastAsiaTheme="minorEastAsia" w:cs="Arial"/>
                <w:szCs w:val="24"/>
              </w:rPr>
              <w:t>95</w:t>
            </w:r>
            <w:r w:rsidR="00D170A2" w:rsidRPr="003B3F4A">
              <w:rPr>
                <w:rFonts w:eastAsiaTheme="minorEastAsia" w:cs="Arial"/>
                <w:szCs w:val="24"/>
              </w:rPr>
              <w:t xml:space="preserve">% </w:t>
            </w:r>
            <w:r w:rsidR="00711887" w:rsidRPr="003B3F4A">
              <w:rPr>
                <w:rFonts w:eastAsiaTheme="minorEastAsia" w:cs="Arial"/>
                <w:szCs w:val="24"/>
              </w:rPr>
              <w:t>= 100% of target payment</w:t>
            </w:r>
          </w:p>
          <w:p w14:paraId="3EF23B84" w14:textId="77777777" w:rsidR="00711887" w:rsidRPr="003B3F4A" w:rsidRDefault="00EE339B" w:rsidP="00711887">
            <w:pPr>
              <w:rPr>
                <w:rFonts w:eastAsiaTheme="minorEastAsia" w:cs="Arial"/>
                <w:szCs w:val="24"/>
              </w:rPr>
            </w:pPr>
            <w:r w:rsidRPr="003B3F4A">
              <w:rPr>
                <w:rFonts w:eastAsiaTheme="minorEastAsia" w:cs="Arial"/>
                <w:szCs w:val="24"/>
              </w:rPr>
              <w:t>85%-94</w:t>
            </w:r>
            <w:r w:rsidR="00711887" w:rsidRPr="003B3F4A">
              <w:rPr>
                <w:rFonts w:eastAsiaTheme="minorEastAsia" w:cs="Arial"/>
                <w:szCs w:val="24"/>
              </w:rPr>
              <w:t>% = 75% of target payment</w:t>
            </w:r>
          </w:p>
          <w:p w14:paraId="6DE219DB" w14:textId="77777777" w:rsidR="005B1691" w:rsidRDefault="00711887" w:rsidP="00711887">
            <w:pPr>
              <w:rPr>
                <w:rFonts w:eastAsiaTheme="minorEastAsia" w:cs="Arial"/>
                <w:b/>
                <w:szCs w:val="24"/>
                <w:u w:val="single"/>
              </w:rPr>
            </w:pPr>
            <w:r w:rsidRPr="003B3F4A">
              <w:rPr>
                <w:rFonts w:eastAsiaTheme="minorEastAsia" w:cs="Arial"/>
                <w:szCs w:val="24"/>
              </w:rPr>
              <w:t>7</w:t>
            </w:r>
            <w:r w:rsidR="00CB5639" w:rsidRPr="003B3F4A">
              <w:rPr>
                <w:rFonts w:eastAsiaTheme="minorEastAsia" w:cs="Arial"/>
                <w:szCs w:val="24"/>
              </w:rPr>
              <w:t>5%-8</w:t>
            </w:r>
            <w:r w:rsidR="00D170A2" w:rsidRPr="003B3F4A">
              <w:rPr>
                <w:rFonts w:eastAsiaTheme="minorEastAsia" w:cs="Arial"/>
                <w:szCs w:val="24"/>
              </w:rPr>
              <w:t>4</w:t>
            </w:r>
            <w:r w:rsidRPr="003B3F4A">
              <w:rPr>
                <w:rFonts w:eastAsiaTheme="minorEastAsia" w:cs="Arial"/>
                <w:szCs w:val="24"/>
              </w:rPr>
              <w:t>% = 50% of target payment</w:t>
            </w:r>
          </w:p>
          <w:p w14:paraId="1606DDC6" w14:textId="77777777" w:rsidR="00D92F82" w:rsidRDefault="00D92F82" w:rsidP="00D92F82">
            <w:pPr>
              <w:rPr>
                <w:rFonts w:eastAsiaTheme="minorEastAsia" w:cs="Arial"/>
                <w:b/>
                <w:color w:val="FF0000"/>
                <w:szCs w:val="24"/>
              </w:rPr>
            </w:pPr>
          </w:p>
          <w:p w14:paraId="2076A81C" w14:textId="77777777" w:rsidR="005B1691" w:rsidRPr="00D92F82" w:rsidRDefault="00D92F82" w:rsidP="00D92F82">
            <w:pPr>
              <w:rPr>
                <w:rFonts w:eastAsiaTheme="minorEastAsia" w:cs="Arial"/>
                <w:sz w:val="20"/>
                <w:szCs w:val="24"/>
              </w:rPr>
            </w:pPr>
            <w:r w:rsidRPr="00D92F82">
              <w:rPr>
                <w:rFonts w:eastAsiaTheme="minorEastAsia" w:cs="Arial"/>
                <w:b/>
                <w:szCs w:val="24"/>
              </w:rPr>
              <w:t>*</w:t>
            </w:r>
            <w:r w:rsidR="009C73FC" w:rsidRPr="00D92F82">
              <w:rPr>
                <w:rFonts w:eastAsiaTheme="minorEastAsia" w:cs="Arial"/>
                <w:sz w:val="20"/>
                <w:szCs w:val="24"/>
              </w:rPr>
              <w:t>May have locally agreed targets</w:t>
            </w:r>
            <w:r w:rsidRPr="00D92F82">
              <w:rPr>
                <w:rFonts w:eastAsiaTheme="minorEastAsia" w:cs="Arial"/>
                <w:sz w:val="20"/>
                <w:szCs w:val="24"/>
              </w:rPr>
              <w:t xml:space="preserve"> against those best value drugs wh</w:t>
            </w:r>
            <w:r>
              <w:rPr>
                <w:rFonts w:eastAsiaTheme="minorEastAsia" w:cs="Arial"/>
                <w:sz w:val="20"/>
                <w:szCs w:val="24"/>
              </w:rPr>
              <w:t>ich transition in a</w:t>
            </w:r>
            <w:r w:rsidR="006662E3">
              <w:rPr>
                <w:rFonts w:eastAsiaTheme="minorEastAsia" w:cs="Arial"/>
                <w:sz w:val="20"/>
                <w:szCs w:val="24"/>
              </w:rPr>
              <w:t xml:space="preserve"> managed way, i.e. b</w:t>
            </w:r>
            <w:r>
              <w:rPr>
                <w:rFonts w:eastAsiaTheme="minorEastAsia" w:cs="Arial"/>
                <w:sz w:val="20"/>
                <w:szCs w:val="24"/>
              </w:rPr>
              <w:t>lood products.</w:t>
            </w:r>
          </w:p>
          <w:p w14:paraId="031BEFF9" w14:textId="77777777" w:rsidR="009731AD" w:rsidRDefault="00EE339B" w:rsidP="00EE339B">
            <w:pPr>
              <w:tabs>
                <w:tab w:val="left" w:pos="1260"/>
              </w:tabs>
              <w:rPr>
                <w:rFonts w:cs="Arial"/>
                <w:b/>
                <w:color w:val="000000"/>
                <w:szCs w:val="24"/>
              </w:rPr>
            </w:pPr>
            <w:r>
              <w:rPr>
                <w:rFonts w:cs="Arial"/>
                <w:b/>
                <w:color w:val="000000"/>
                <w:szCs w:val="24"/>
              </w:rPr>
              <w:tab/>
            </w:r>
          </w:p>
          <w:p w14:paraId="61D1E6F7" w14:textId="77777777" w:rsidR="00022717" w:rsidRDefault="00022717" w:rsidP="00022717">
            <w:pPr>
              <w:rPr>
                <w:rFonts w:eastAsiaTheme="minorEastAsia" w:cs="Arial"/>
                <w:b/>
                <w:szCs w:val="24"/>
                <w:u w:val="single"/>
              </w:rPr>
            </w:pPr>
            <w:r w:rsidRPr="008A5CA1">
              <w:rPr>
                <w:rFonts w:eastAsiaTheme="minorEastAsia" w:cs="Arial"/>
                <w:b/>
                <w:szCs w:val="24"/>
                <w:u w:val="single"/>
              </w:rPr>
              <w:t>Trigger 5</w:t>
            </w:r>
            <w:r>
              <w:rPr>
                <w:rFonts w:eastAsiaTheme="minorEastAsia" w:cs="Arial"/>
                <w:b/>
                <w:szCs w:val="24"/>
                <w:u w:val="single"/>
              </w:rPr>
              <w:t>:</w:t>
            </w:r>
          </w:p>
          <w:p w14:paraId="4C9684D2" w14:textId="77777777" w:rsidR="005365D3" w:rsidRDefault="005365D3" w:rsidP="00022717">
            <w:pPr>
              <w:rPr>
                <w:rFonts w:eastAsiaTheme="minorEastAsia" w:cs="Arial"/>
                <w:szCs w:val="24"/>
              </w:rPr>
            </w:pPr>
            <w:bookmarkStart w:id="5" w:name="_Hlk532716111"/>
          </w:p>
          <w:p w14:paraId="45725D22" w14:textId="77777777" w:rsidR="00305C7E" w:rsidRDefault="00305C7E" w:rsidP="00711887">
            <w:pPr>
              <w:rPr>
                <w:rFonts w:eastAsiaTheme="minorEastAsia" w:cs="Arial"/>
                <w:szCs w:val="24"/>
              </w:rPr>
            </w:pPr>
            <w:r>
              <w:rPr>
                <w:rFonts w:eastAsiaTheme="minorEastAsia" w:cs="Arial"/>
                <w:szCs w:val="24"/>
              </w:rPr>
              <w:t>No partial payment.</w:t>
            </w:r>
          </w:p>
          <w:p w14:paraId="4F6BA9F5" w14:textId="50E63DA5" w:rsidR="003A3992" w:rsidRDefault="00305C7E" w:rsidP="00711887">
            <w:pPr>
              <w:rPr>
                <w:rFonts w:eastAsiaTheme="minorEastAsia" w:cs="Arial"/>
                <w:szCs w:val="24"/>
              </w:rPr>
            </w:pPr>
            <w:r>
              <w:rPr>
                <w:rFonts w:eastAsiaTheme="minorEastAsia" w:cs="Arial"/>
                <w:szCs w:val="24"/>
              </w:rPr>
              <w:t>Quarterly payment based upon 100% compliance of target.</w:t>
            </w:r>
            <w:bookmarkEnd w:id="5"/>
          </w:p>
          <w:p w14:paraId="2BD7BBCF" w14:textId="77777777" w:rsidR="00B578CF" w:rsidRDefault="00B578CF" w:rsidP="00711887">
            <w:pPr>
              <w:rPr>
                <w:rFonts w:cs="Arial"/>
                <w:b/>
                <w:color w:val="000000"/>
                <w:szCs w:val="24"/>
              </w:rPr>
            </w:pPr>
          </w:p>
          <w:p w14:paraId="7063F637" w14:textId="77777777" w:rsidR="003A3992" w:rsidRPr="000412A1" w:rsidRDefault="003A3992" w:rsidP="00711887">
            <w:pPr>
              <w:rPr>
                <w:rFonts w:cs="Arial"/>
                <w:b/>
                <w:color w:val="000000"/>
                <w:szCs w:val="24"/>
              </w:rPr>
            </w:pPr>
          </w:p>
        </w:tc>
      </w:tr>
      <w:tr w:rsidR="00CF3963" w:rsidRPr="000412A1" w14:paraId="19AA5D8E" w14:textId="77777777" w:rsidTr="003038EC">
        <w:trPr>
          <w:gridAfter w:val="1"/>
          <w:wAfter w:w="11" w:type="pct"/>
        </w:trPr>
        <w:tc>
          <w:tcPr>
            <w:tcW w:w="4989" w:type="pct"/>
            <w:gridSpan w:val="6"/>
            <w:shd w:val="clear" w:color="auto" w:fill="auto"/>
          </w:tcPr>
          <w:p w14:paraId="2C591CFF" w14:textId="77777777" w:rsidR="00CF3963" w:rsidRDefault="00CF3963" w:rsidP="0084461B">
            <w:pPr>
              <w:rPr>
                <w:rFonts w:cs="Arial"/>
                <w:b/>
                <w:color w:val="000000"/>
                <w:szCs w:val="24"/>
                <w:u w:val="single"/>
              </w:rPr>
            </w:pPr>
            <w:r w:rsidRPr="00CF3963">
              <w:rPr>
                <w:rFonts w:cs="Arial"/>
                <w:b/>
                <w:color w:val="000000"/>
                <w:szCs w:val="24"/>
                <w:u w:val="single"/>
              </w:rPr>
              <w:lastRenderedPageBreak/>
              <w:t>Definitions</w:t>
            </w:r>
          </w:p>
          <w:p w14:paraId="71BA39B3" w14:textId="77777777" w:rsidR="003B6634" w:rsidRDefault="003B6634" w:rsidP="003B6634">
            <w:pPr>
              <w:rPr>
                <w:rFonts w:eastAsiaTheme="minorEastAsia" w:cs="Arial"/>
                <w:szCs w:val="24"/>
              </w:rPr>
            </w:pPr>
          </w:p>
          <w:p w14:paraId="10448AC8" w14:textId="77777777" w:rsidR="003B6634" w:rsidRPr="003B6634" w:rsidRDefault="003B6634" w:rsidP="003B6634">
            <w:pPr>
              <w:rPr>
                <w:rFonts w:eastAsiaTheme="minorEastAsia" w:cs="Arial"/>
                <w:szCs w:val="24"/>
              </w:rPr>
            </w:pPr>
            <w:r>
              <w:rPr>
                <w:rFonts w:eastAsiaTheme="minorEastAsia" w:cs="Arial"/>
                <w:szCs w:val="24"/>
              </w:rPr>
              <w:t>Trigger 1</w:t>
            </w:r>
          </w:p>
          <w:tbl>
            <w:tblPr>
              <w:tblW w:w="9810" w:type="dxa"/>
              <w:tblLook w:val="04A0" w:firstRow="1" w:lastRow="0" w:firstColumn="1" w:lastColumn="0" w:noHBand="0" w:noVBand="1"/>
            </w:tblPr>
            <w:tblGrid>
              <w:gridCol w:w="1838"/>
              <w:gridCol w:w="7972"/>
            </w:tblGrid>
            <w:tr w:rsidR="003B6634" w:rsidRPr="003B6634" w14:paraId="0CA02E9E" w14:textId="77777777" w:rsidTr="003B6634">
              <w:trPr>
                <w:trHeight w:val="578"/>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308CCCC9" w14:textId="77777777" w:rsidR="003B6634" w:rsidRPr="003B6634" w:rsidRDefault="003B6634" w:rsidP="003B6634">
                  <w:pPr>
                    <w:rPr>
                      <w:rFonts w:eastAsiaTheme="minorEastAsia" w:cs="Arial"/>
                      <w:b/>
                      <w:szCs w:val="24"/>
                      <w:lang w:eastAsia="en-GB"/>
                    </w:rPr>
                  </w:pPr>
                  <w:r w:rsidRPr="003B6634">
                    <w:rPr>
                      <w:rFonts w:eastAsiaTheme="minorEastAsia" w:cs="Arial"/>
                      <w:b/>
                      <w:szCs w:val="24"/>
                      <w:lang w:eastAsia="en-GB"/>
                    </w:rPr>
                    <w:t>Numerator</w:t>
                  </w:r>
                </w:p>
              </w:tc>
              <w:tc>
                <w:tcPr>
                  <w:tcW w:w="7972" w:type="dxa"/>
                  <w:tcBorders>
                    <w:top w:val="single" w:sz="4" w:space="0" w:color="auto"/>
                    <w:left w:val="nil"/>
                    <w:bottom w:val="single" w:sz="4" w:space="0" w:color="auto"/>
                    <w:right w:val="single" w:sz="4" w:space="0" w:color="auto"/>
                  </w:tcBorders>
                  <w:shd w:val="clear" w:color="000000" w:fill="C0C0C0"/>
                </w:tcPr>
                <w:p w14:paraId="2499025A" w14:textId="24D192E9" w:rsidR="003B6634" w:rsidRDefault="00376C8C" w:rsidP="003B6634">
                  <w:pPr>
                    <w:rPr>
                      <w:rFonts w:cs="Arial"/>
                      <w:szCs w:val="24"/>
                      <w:lang w:eastAsia="en-GB"/>
                    </w:rPr>
                  </w:pPr>
                  <w:r w:rsidRPr="00750DC7">
                    <w:rPr>
                      <w:rFonts w:cs="Arial"/>
                      <w:szCs w:val="24"/>
                      <w:lang w:eastAsia="en-GB"/>
                    </w:rPr>
                    <w:t xml:space="preserve">Number of </w:t>
                  </w:r>
                  <w:r w:rsidR="00B578CF" w:rsidRPr="00750DC7">
                    <w:rPr>
                      <w:rFonts w:cs="Arial"/>
                      <w:szCs w:val="24"/>
                      <w:lang w:eastAsia="en-GB"/>
                    </w:rPr>
                    <w:t>milligrams</w:t>
                  </w:r>
                  <w:r w:rsidR="00B578CF">
                    <w:rPr>
                      <w:rFonts w:cs="Arial"/>
                      <w:szCs w:val="24"/>
                      <w:lang w:eastAsia="en-GB"/>
                    </w:rPr>
                    <w:t>/costs</w:t>
                  </w:r>
                  <w:r w:rsidR="007944CC">
                    <w:rPr>
                      <w:rFonts w:cs="Arial"/>
                      <w:szCs w:val="24"/>
                      <w:lang w:eastAsia="en-GB"/>
                    </w:rPr>
                    <w:t xml:space="preserve"> </w:t>
                  </w:r>
                  <w:r w:rsidRPr="00750DC7">
                    <w:rPr>
                      <w:rFonts w:cs="Arial"/>
                      <w:szCs w:val="24"/>
                      <w:lang w:eastAsia="en-GB"/>
                    </w:rPr>
                    <w:t>of each drug submitted to SACT as ‘administered’</w:t>
                  </w:r>
                  <w:r w:rsidR="00D51F36">
                    <w:rPr>
                      <w:rFonts w:cs="Arial"/>
                      <w:szCs w:val="24"/>
                      <w:lang w:eastAsia="en-GB"/>
                    </w:rPr>
                    <w:t>.</w:t>
                  </w:r>
                </w:p>
                <w:p w14:paraId="1CFC0D8A" w14:textId="77777777" w:rsidR="00D92F82" w:rsidRPr="003B6634" w:rsidRDefault="00D92F82" w:rsidP="003B6634">
                  <w:pPr>
                    <w:rPr>
                      <w:rFonts w:eastAsiaTheme="minorEastAsia" w:cs="Arial"/>
                      <w:szCs w:val="24"/>
                      <w:lang w:eastAsia="en-GB"/>
                    </w:rPr>
                  </w:pPr>
                </w:p>
              </w:tc>
            </w:tr>
            <w:tr w:rsidR="003B6634" w:rsidRPr="003B6634" w14:paraId="04FF6B95" w14:textId="77777777" w:rsidTr="003B6634">
              <w:trPr>
                <w:trHeight w:val="600"/>
              </w:trPr>
              <w:tc>
                <w:tcPr>
                  <w:tcW w:w="1838" w:type="dxa"/>
                  <w:tcBorders>
                    <w:top w:val="nil"/>
                    <w:left w:val="single" w:sz="4" w:space="0" w:color="auto"/>
                    <w:bottom w:val="single" w:sz="4" w:space="0" w:color="auto"/>
                    <w:right w:val="single" w:sz="4" w:space="0" w:color="auto"/>
                  </w:tcBorders>
                  <w:shd w:val="clear" w:color="auto" w:fill="auto"/>
                  <w:hideMark/>
                </w:tcPr>
                <w:p w14:paraId="782921D0" w14:textId="77777777" w:rsidR="003B6634" w:rsidRPr="003B6634" w:rsidRDefault="009C73FC" w:rsidP="003B6634">
                  <w:pPr>
                    <w:rPr>
                      <w:rFonts w:eastAsiaTheme="minorEastAsia" w:cs="Arial"/>
                      <w:b/>
                      <w:szCs w:val="24"/>
                      <w:lang w:eastAsia="en-GB"/>
                    </w:rPr>
                  </w:pPr>
                  <w:r w:rsidRPr="003B6634">
                    <w:rPr>
                      <w:rFonts w:eastAsiaTheme="minorEastAsia" w:cs="Arial"/>
                      <w:b/>
                      <w:szCs w:val="24"/>
                      <w:lang w:eastAsia="en-GB"/>
                    </w:rPr>
                    <w:t>Denominator</w:t>
                  </w:r>
                </w:p>
              </w:tc>
              <w:tc>
                <w:tcPr>
                  <w:tcW w:w="7972" w:type="dxa"/>
                  <w:tcBorders>
                    <w:top w:val="nil"/>
                    <w:left w:val="nil"/>
                    <w:bottom w:val="single" w:sz="4" w:space="0" w:color="auto"/>
                    <w:right w:val="single" w:sz="4" w:space="0" w:color="auto"/>
                  </w:tcBorders>
                  <w:shd w:val="clear" w:color="000000" w:fill="C0C0C0"/>
                </w:tcPr>
                <w:p w14:paraId="5D030E2A" w14:textId="1F3EF62F" w:rsidR="003B6634" w:rsidRDefault="00D51F36" w:rsidP="003B6634">
                  <w:pPr>
                    <w:rPr>
                      <w:rFonts w:cs="Arial"/>
                      <w:szCs w:val="24"/>
                      <w:lang w:eastAsia="en-GB"/>
                    </w:rPr>
                  </w:pPr>
                  <w:r>
                    <w:rPr>
                      <w:rFonts w:cs="Arial"/>
                      <w:szCs w:val="24"/>
                      <w:lang w:eastAsia="en-GB"/>
                    </w:rPr>
                    <w:t>N</w:t>
                  </w:r>
                  <w:r w:rsidR="00376C8C" w:rsidRPr="00750DC7">
                    <w:rPr>
                      <w:rFonts w:cs="Arial"/>
                      <w:szCs w:val="24"/>
                      <w:lang w:eastAsia="en-GB"/>
                    </w:rPr>
                    <w:t xml:space="preserve">umber of </w:t>
                  </w:r>
                  <w:r w:rsidR="00B578CF" w:rsidRPr="00750DC7">
                    <w:rPr>
                      <w:rFonts w:cs="Arial"/>
                      <w:szCs w:val="24"/>
                      <w:lang w:eastAsia="en-GB"/>
                    </w:rPr>
                    <w:t>milligrams</w:t>
                  </w:r>
                  <w:r w:rsidR="00B578CF">
                    <w:rPr>
                      <w:rFonts w:cs="Arial"/>
                      <w:szCs w:val="24"/>
                      <w:lang w:eastAsia="en-GB"/>
                    </w:rPr>
                    <w:t>/costs</w:t>
                  </w:r>
                  <w:r w:rsidR="007944CC">
                    <w:rPr>
                      <w:rFonts w:cs="Arial"/>
                      <w:szCs w:val="24"/>
                      <w:lang w:eastAsia="en-GB"/>
                    </w:rPr>
                    <w:t xml:space="preserve"> </w:t>
                  </w:r>
                  <w:r w:rsidR="00376C8C" w:rsidRPr="00750DC7">
                    <w:rPr>
                      <w:rFonts w:cs="Arial"/>
                      <w:szCs w:val="24"/>
                      <w:lang w:eastAsia="en-GB"/>
                    </w:rPr>
                    <w:t xml:space="preserve">of each drug ‘used’ by the pharmacy department (excluding use </w:t>
                  </w:r>
                  <w:r>
                    <w:rPr>
                      <w:rFonts w:cs="Arial"/>
                      <w:szCs w:val="24"/>
                      <w:lang w:eastAsia="en-GB"/>
                    </w:rPr>
                    <w:t xml:space="preserve">for </w:t>
                  </w:r>
                  <w:r w:rsidR="007944CC">
                    <w:rPr>
                      <w:rFonts w:cs="Arial"/>
                      <w:szCs w:val="24"/>
                      <w:lang w:eastAsia="en-GB"/>
                    </w:rPr>
                    <w:t>non-cancer</w:t>
                  </w:r>
                  <w:r>
                    <w:rPr>
                      <w:rFonts w:cs="Arial"/>
                      <w:szCs w:val="24"/>
                      <w:lang w:eastAsia="en-GB"/>
                    </w:rPr>
                    <w:t xml:space="preserve"> </w:t>
                  </w:r>
                  <w:r w:rsidR="007944CC">
                    <w:rPr>
                      <w:rFonts w:cs="Arial"/>
                      <w:szCs w:val="24"/>
                      <w:lang w:eastAsia="en-GB"/>
                    </w:rPr>
                    <w:t>e.g.</w:t>
                  </w:r>
                  <w:r>
                    <w:rPr>
                      <w:rFonts w:cs="Arial"/>
                      <w:szCs w:val="24"/>
                      <w:lang w:eastAsia="en-GB"/>
                    </w:rPr>
                    <w:t xml:space="preserve"> renal services &amp;</w:t>
                  </w:r>
                  <w:r w:rsidR="007944CC">
                    <w:rPr>
                      <w:rFonts w:cs="Arial"/>
                      <w:szCs w:val="24"/>
                      <w:lang w:eastAsia="en-GB"/>
                    </w:rPr>
                    <w:t xml:space="preserve"> </w:t>
                  </w:r>
                  <w:r w:rsidR="00B92748">
                    <w:rPr>
                      <w:rFonts w:cs="Arial"/>
                      <w:szCs w:val="24"/>
                      <w:lang w:eastAsia="en-GB"/>
                    </w:rPr>
                    <w:t>rheu</w:t>
                  </w:r>
                  <w:r>
                    <w:rPr>
                      <w:rFonts w:cs="Arial"/>
                      <w:szCs w:val="24"/>
                      <w:lang w:eastAsia="en-GB"/>
                    </w:rPr>
                    <w:t>matology</w:t>
                  </w:r>
                  <w:r w:rsidR="00B92748">
                    <w:rPr>
                      <w:rFonts w:cs="Arial"/>
                      <w:szCs w:val="24"/>
                      <w:lang w:eastAsia="en-GB"/>
                    </w:rPr>
                    <w:t>)</w:t>
                  </w:r>
                  <w:r>
                    <w:rPr>
                      <w:rFonts w:cs="Arial"/>
                      <w:szCs w:val="24"/>
                      <w:lang w:eastAsia="en-GB"/>
                    </w:rPr>
                    <w:t>.</w:t>
                  </w:r>
                </w:p>
                <w:p w14:paraId="594346C9" w14:textId="77777777" w:rsidR="00D92F82" w:rsidRPr="003B6634" w:rsidRDefault="00D92F82" w:rsidP="003B6634">
                  <w:pPr>
                    <w:rPr>
                      <w:rFonts w:eastAsiaTheme="minorEastAsia" w:cs="Arial"/>
                      <w:szCs w:val="24"/>
                      <w:lang w:eastAsia="en-GB"/>
                    </w:rPr>
                  </w:pPr>
                </w:p>
              </w:tc>
            </w:tr>
          </w:tbl>
          <w:p w14:paraId="55CEEF72" w14:textId="77777777" w:rsidR="00711887" w:rsidRDefault="00711887" w:rsidP="00711887">
            <w:pPr>
              <w:rPr>
                <w:rFonts w:eastAsiaTheme="minorEastAsia" w:cs="Arial"/>
                <w:szCs w:val="24"/>
              </w:rPr>
            </w:pPr>
          </w:p>
          <w:p w14:paraId="7EC4CAB7" w14:textId="77777777" w:rsidR="003B6634" w:rsidRPr="003B6634" w:rsidRDefault="003B6634" w:rsidP="003B6634">
            <w:pPr>
              <w:rPr>
                <w:rFonts w:eastAsiaTheme="minorEastAsia" w:cs="Arial"/>
                <w:szCs w:val="24"/>
              </w:rPr>
            </w:pPr>
            <w:r>
              <w:rPr>
                <w:rFonts w:eastAsiaTheme="minorEastAsia" w:cs="Arial"/>
                <w:szCs w:val="24"/>
              </w:rPr>
              <w:t>Trigger 2</w:t>
            </w:r>
          </w:p>
          <w:tbl>
            <w:tblPr>
              <w:tblW w:w="9810" w:type="dxa"/>
              <w:tblLook w:val="04A0" w:firstRow="1" w:lastRow="0" w:firstColumn="1" w:lastColumn="0" w:noHBand="0" w:noVBand="1"/>
            </w:tblPr>
            <w:tblGrid>
              <w:gridCol w:w="1838"/>
              <w:gridCol w:w="7972"/>
            </w:tblGrid>
            <w:tr w:rsidR="003B6634" w:rsidRPr="003B6634" w14:paraId="2504875B" w14:textId="77777777" w:rsidTr="00D43ACA">
              <w:trPr>
                <w:trHeight w:val="578"/>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5EA1DAAB" w14:textId="77777777" w:rsidR="003B6634" w:rsidRPr="003B6634" w:rsidRDefault="003B6634" w:rsidP="003B6634">
                  <w:pPr>
                    <w:rPr>
                      <w:rFonts w:eastAsiaTheme="minorEastAsia" w:cs="Arial"/>
                      <w:b/>
                      <w:szCs w:val="24"/>
                      <w:lang w:eastAsia="en-GB"/>
                    </w:rPr>
                  </w:pPr>
                  <w:r w:rsidRPr="003B6634">
                    <w:rPr>
                      <w:rFonts w:eastAsiaTheme="minorEastAsia" w:cs="Arial"/>
                      <w:b/>
                      <w:szCs w:val="24"/>
                      <w:lang w:eastAsia="en-GB"/>
                    </w:rPr>
                    <w:t>Numerator</w:t>
                  </w:r>
                </w:p>
              </w:tc>
              <w:tc>
                <w:tcPr>
                  <w:tcW w:w="7972" w:type="dxa"/>
                  <w:tcBorders>
                    <w:top w:val="single" w:sz="4" w:space="0" w:color="auto"/>
                    <w:left w:val="nil"/>
                    <w:bottom w:val="single" w:sz="4" w:space="0" w:color="auto"/>
                    <w:right w:val="single" w:sz="4" w:space="0" w:color="auto"/>
                  </w:tcBorders>
                  <w:shd w:val="clear" w:color="000000" w:fill="C0C0C0"/>
                </w:tcPr>
                <w:p w14:paraId="024ECCA2" w14:textId="77777777" w:rsidR="003B6634" w:rsidRDefault="00376C8C" w:rsidP="003B6634">
                  <w:pPr>
                    <w:rPr>
                      <w:rFonts w:eastAsiaTheme="minorEastAsia" w:cs="Arial"/>
                      <w:szCs w:val="24"/>
                      <w:lang w:eastAsia="en-GB"/>
                    </w:rPr>
                  </w:pPr>
                  <w:r>
                    <w:rPr>
                      <w:rFonts w:eastAsiaTheme="minorEastAsia" w:cs="Arial"/>
                      <w:szCs w:val="24"/>
                      <w:lang w:eastAsia="en-GB"/>
                    </w:rPr>
                    <w:t xml:space="preserve">Number of </w:t>
                  </w:r>
                  <w:r w:rsidR="009F559A">
                    <w:rPr>
                      <w:rFonts w:eastAsiaTheme="minorEastAsia" w:cs="Arial"/>
                      <w:szCs w:val="24"/>
                      <w:lang w:eastAsia="en-GB"/>
                    </w:rPr>
                    <w:t>patients</w:t>
                  </w:r>
                  <w:r w:rsidR="009C73FC">
                    <w:rPr>
                      <w:rFonts w:eastAsiaTheme="minorEastAsia" w:cs="Arial"/>
                      <w:szCs w:val="24"/>
                      <w:lang w:eastAsia="en-GB"/>
                    </w:rPr>
                    <w:t xml:space="preserve"> who have had all assessments completed within year.</w:t>
                  </w:r>
                </w:p>
                <w:p w14:paraId="240D15A8" w14:textId="77777777" w:rsidR="00D92F82" w:rsidRPr="003B6634" w:rsidRDefault="00D92F82" w:rsidP="003B6634">
                  <w:pPr>
                    <w:rPr>
                      <w:rFonts w:eastAsiaTheme="minorEastAsia" w:cs="Arial"/>
                      <w:szCs w:val="24"/>
                      <w:lang w:eastAsia="en-GB"/>
                    </w:rPr>
                  </w:pPr>
                </w:p>
              </w:tc>
            </w:tr>
            <w:tr w:rsidR="009C73FC" w:rsidRPr="003B6634" w14:paraId="43E324DD" w14:textId="77777777" w:rsidTr="00D43ACA">
              <w:trPr>
                <w:trHeight w:val="600"/>
              </w:trPr>
              <w:tc>
                <w:tcPr>
                  <w:tcW w:w="1838" w:type="dxa"/>
                  <w:tcBorders>
                    <w:top w:val="nil"/>
                    <w:left w:val="single" w:sz="4" w:space="0" w:color="auto"/>
                    <w:bottom w:val="single" w:sz="4" w:space="0" w:color="auto"/>
                    <w:right w:val="single" w:sz="4" w:space="0" w:color="auto"/>
                  </w:tcBorders>
                  <w:shd w:val="clear" w:color="auto" w:fill="auto"/>
                  <w:hideMark/>
                </w:tcPr>
                <w:p w14:paraId="39C976D1" w14:textId="77777777" w:rsidR="009C73FC" w:rsidRPr="003B6634" w:rsidRDefault="009C73FC" w:rsidP="009C73FC">
                  <w:pPr>
                    <w:rPr>
                      <w:rFonts w:eastAsiaTheme="minorEastAsia" w:cs="Arial"/>
                      <w:b/>
                      <w:szCs w:val="24"/>
                      <w:lang w:eastAsia="en-GB"/>
                    </w:rPr>
                  </w:pPr>
                  <w:r w:rsidRPr="003B6634">
                    <w:rPr>
                      <w:rFonts w:eastAsiaTheme="minorEastAsia" w:cs="Arial"/>
                      <w:b/>
                      <w:szCs w:val="24"/>
                      <w:lang w:eastAsia="en-GB"/>
                    </w:rPr>
                    <w:t>Denominator</w:t>
                  </w:r>
                </w:p>
              </w:tc>
              <w:tc>
                <w:tcPr>
                  <w:tcW w:w="7972" w:type="dxa"/>
                  <w:tcBorders>
                    <w:top w:val="nil"/>
                    <w:left w:val="nil"/>
                    <w:bottom w:val="single" w:sz="4" w:space="0" w:color="auto"/>
                    <w:right w:val="single" w:sz="4" w:space="0" w:color="auto"/>
                  </w:tcBorders>
                  <w:shd w:val="clear" w:color="000000" w:fill="C0C0C0"/>
                </w:tcPr>
                <w:p w14:paraId="00DFF1B8" w14:textId="77777777" w:rsidR="009C73FC" w:rsidRDefault="009C73FC" w:rsidP="009C73FC">
                  <w:pPr>
                    <w:rPr>
                      <w:rFonts w:eastAsiaTheme="minorEastAsia" w:cs="Arial"/>
                      <w:szCs w:val="24"/>
                      <w:lang w:eastAsia="en-GB"/>
                    </w:rPr>
                  </w:pPr>
                  <w:r>
                    <w:rPr>
                      <w:rFonts w:eastAsiaTheme="minorEastAsia" w:cs="Arial"/>
                      <w:szCs w:val="24"/>
                      <w:lang w:eastAsia="en-GB"/>
                    </w:rPr>
                    <w:t>Number of patients, which the Provider Trust is commissioned to treat, meeting the requirements of the Managed Access Agreement.</w:t>
                  </w:r>
                </w:p>
                <w:p w14:paraId="2A48BF64" w14:textId="77777777" w:rsidR="00D92F82" w:rsidRPr="003B6634" w:rsidRDefault="00D92F82" w:rsidP="009C73FC">
                  <w:pPr>
                    <w:rPr>
                      <w:rFonts w:eastAsiaTheme="minorEastAsia" w:cs="Arial"/>
                      <w:szCs w:val="24"/>
                      <w:lang w:eastAsia="en-GB"/>
                    </w:rPr>
                  </w:pPr>
                </w:p>
              </w:tc>
            </w:tr>
          </w:tbl>
          <w:p w14:paraId="7C0A06D7" w14:textId="77777777" w:rsidR="003B6634" w:rsidRDefault="003B6634" w:rsidP="003B6634">
            <w:pPr>
              <w:rPr>
                <w:rFonts w:eastAsiaTheme="minorEastAsia" w:cs="Arial"/>
                <w:szCs w:val="24"/>
              </w:rPr>
            </w:pPr>
          </w:p>
          <w:p w14:paraId="27B55274" w14:textId="77777777" w:rsidR="003B6634" w:rsidRPr="003B6634" w:rsidRDefault="003B6634" w:rsidP="003B6634">
            <w:pPr>
              <w:rPr>
                <w:rFonts w:eastAsiaTheme="minorEastAsia" w:cs="Arial"/>
                <w:szCs w:val="24"/>
              </w:rPr>
            </w:pPr>
            <w:r>
              <w:rPr>
                <w:rFonts w:eastAsiaTheme="minorEastAsia" w:cs="Arial"/>
                <w:szCs w:val="24"/>
              </w:rPr>
              <w:t>Trigger 3</w:t>
            </w:r>
          </w:p>
          <w:tbl>
            <w:tblPr>
              <w:tblW w:w="9810" w:type="dxa"/>
              <w:tblLook w:val="04A0" w:firstRow="1" w:lastRow="0" w:firstColumn="1" w:lastColumn="0" w:noHBand="0" w:noVBand="1"/>
            </w:tblPr>
            <w:tblGrid>
              <w:gridCol w:w="1838"/>
              <w:gridCol w:w="7972"/>
            </w:tblGrid>
            <w:tr w:rsidR="003B6634" w:rsidRPr="003B6634" w14:paraId="0B160D8F" w14:textId="77777777" w:rsidTr="007944CC">
              <w:trPr>
                <w:trHeight w:val="57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228F8CA" w14:textId="77777777" w:rsidR="003B6634" w:rsidRPr="003B6634" w:rsidRDefault="003B6634" w:rsidP="003B6634">
                  <w:pPr>
                    <w:rPr>
                      <w:rFonts w:eastAsiaTheme="minorEastAsia" w:cs="Arial"/>
                      <w:b/>
                      <w:szCs w:val="24"/>
                      <w:lang w:eastAsia="en-GB"/>
                    </w:rPr>
                  </w:pPr>
                  <w:r w:rsidRPr="003B6634">
                    <w:rPr>
                      <w:rFonts w:eastAsiaTheme="minorEastAsia" w:cs="Arial"/>
                      <w:b/>
                      <w:szCs w:val="24"/>
                      <w:lang w:eastAsia="en-GB"/>
                    </w:rPr>
                    <w:t>Numerator</w:t>
                  </w:r>
                </w:p>
              </w:tc>
              <w:tc>
                <w:tcPr>
                  <w:tcW w:w="7972" w:type="dxa"/>
                  <w:tcBorders>
                    <w:top w:val="single" w:sz="4" w:space="0" w:color="auto"/>
                    <w:left w:val="nil"/>
                    <w:bottom w:val="single" w:sz="4" w:space="0" w:color="auto"/>
                    <w:right w:val="single" w:sz="4" w:space="0" w:color="auto"/>
                  </w:tcBorders>
                  <w:shd w:val="clear" w:color="000000" w:fill="C0C0C0"/>
                </w:tcPr>
                <w:p w14:paraId="28DD569E" w14:textId="77777777" w:rsidR="00B146CB" w:rsidRPr="00B146CB" w:rsidRDefault="004831F7" w:rsidP="00B146CB">
                  <w:pPr>
                    <w:rPr>
                      <w:rFonts w:eastAsiaTheme="minorEastAsia" w:cs="Arial"/>
                      <w:szCs w:val="24"/>
                      <w:lang w:eastAsia="en-GB"/>
                    </w:rPr>
                  </w:pPr>
                  <w:r w:rsidRPr="004831F7">
                    <w:rPr>
                      <w:rFonts w:eastAsiaTheme="minorEastAsia" w:cs="Arial"/>
                      <w:szCs w:val="24"/>
                      <w:lang w:eastAsia="en-GB"/>
                    </w:rPr>
                    <w:t xml:space="preserve">Number </w:t>
                  </w:r>
                  <w:r w:rsidR="001B4BC9">
                    <w:rPr>
                      <w:rFonts w:eastAsiaTheme="minorEastAsia" w:cs="Arial"/>
                      <w:szCs w:val="24"/>
                      <w:lang w:eastAsia="en-GB"/>
                    </w:rPr>
                    <w:t xml:space="preserve">of </w:t>
                  </w:r>
                  <w:r w:rsidR="00B146CB" w:rsidRPr="00B146CB">
                    <w:rPr>
                      <w:rFonts w:eastAsiaTheme="minorEastAsia" w:cs="Arial"/>
                      <w:szCs w:val="24"/>
                      <w:lang w:eastAsia="en-GB"/>
                    </w:rPr>
                    <w:t>audits of prior approval compliance undertaken by the Provider Trust</w:t>
                  </w:r>
                  <w:r w:rsidR="004F2B0D">
                    <w:rPr>
                      <w:rFonts w:eastAsiaTheme="minorEastAsia" w:cs="Arial"/>
                      <w:szCs w:val="24"/>
                      <w:lang w:eastAsia="en-GB"/>
                    </w:rPr>
                    <w:t>.</w:t>
                  </w:r>
                </w:p>
                <w:p w14:paraId="4E50C157" w14:textId="77777777" w:rsidR="008A795A" w:rsidRPr="007C4B76" w:rsidRDefault="008A795A" w:rsidP="008A795A">
                  <w:pPr>
                    <w:rPr>
                      <w:rFonts w:eastAsiaTheme="minorEastAsia" w:cs="Arial"/>
                      <w:i/>
                      <w:szCs w:val="24"/>
                      <w:lang w:eastAsia="en-GB"/>
                    </w:rPr>
                  </w:pPr>
                </w:p>
              </w:tc>
            </w:tr>
            <w:tr w:rsidR="003B6634" w:rsidRPr="003B6634" w14:paraId="35152150" w14:textId="77777777" w:rsidTr="007944CC">
              <w:trPr>
                <w:trHeight w:val="600"/>
              </w:trPr>
              <w:tc>
                <w:tcPr>
                  <w:tcW w:w="1838" w:type="dxa"/>
                  <w:tcBorders>
                    <w:top w:val="nil"/>
                    <w:left w:val="single" w:sz="4" w:space="0" w:color="auto"/>
                    <w:bottom w:val="single" w:sz="4" w:space="0" w:color="auto"/>
                    <w:right w:val="single" w:sz="4" w:space="0" w:color="auto"/>
                  </w:tcBorders>
                  <w:shd w:val="clear" w:color="auto" w:fill="auto"/>
                </w:tcPr>
                <w:p w14:paraId="6812F074" w14:textId="77777777" w:rsidR="003B6634" w:rsidRPr="003B6634" w:rsidRDefault="003B6634" w:rsidP="003B6634">
                  <w:pPr>
                    <w:rPr>
                      <w:rFonts w:eastAsiaTheme="minorEastAsia" w:cs="Arial"/>
                      <w:b/>
                      <w:szCs w:val="24"/>
                      <w:lang w:eastAsia="en-GB"/>
                    </w:rPr>
                  </w:pPr>
                  <w:r w:rsidRPr="003B6634">
                    <w:rPr>
                      <w:rFonts w:eastAsiaTheme="minorEastAsia" w:cs="Arial"/>
                      <w:b/>
                      <w:szCs w:val="24"/>
                      <w:lang w:eastAsia="en-GB"/>
                    </w:rPr>
                    <w:t>Denominator</w:t>
                  </w:r>
                </w:p>
              </w:tc>
              <w:tc>
                <w:tcPr>
                  <w:tcW w:w="7972" w:type="dxa"/>
                  <w:tcBorders>
                    <w:top w:val="nil"/>
                    <w:left w:val="nil"/>
                    <w:bottom w:val="single" w:sz="4" w:space="0" w:color="auto"/>
                    <w:right w:val="single" w:sz="4" w:space="0" w:color="auto"/>
                  </w:tcBorders>
                  <w:shd w:val="clear" w:color="000000" w:fill="C0C0C0"/>
                </w:tcPr>
                <w:p w14:paraId="399F7340" w14:textId="75A9F0F0" w:rsidR="00D92F82" w:rsidRPr="003B6634" w:rsidRDefault="00376C8C" w:rsidP="008A795A">
                  <w:pPr>
                    <w:rPr>
                      <w:rFonts w:eastAsiaTheme="minorEastAsia" w:cs="Arial"/>
                      <w:szCs w:val="24"/>
                      <w:lang w:eastAsia="en-GB"/>
                    </w:rPr>
                  </w:pPr>
                  <w:r>
                    <w:rPr>
                      <w:rFonts w:eastAsiaTheme="minorEastAsia" w:cs="Arial"/>
                      <w:szCs w:val="24"/>
                      <w:lang w:eastAsia="en-GB"/>
                    </w:rPr>
                    <w:t xml:space="preserve">Number </w:t>
                  </w:r>
                  <w:r w:rsidR="001B4BC9">
                    <w:rPr>
                      <w:rFonts w:eastAsiaTheme="minorEastAsia" w:cs="Arial"/>
                      <w:szCs w:val="24"/>
                      <w:lang w:eastAsia="en-GB"/>
                    </w:rPr>
                    <w:t xml:space="preserve">of </w:t>
                  </w:r>
                  <w:r w:rsidR="00E93A29" w:rsidRPr="00E93A29">
                    <w:rPr>
                      <w:rFonts w:eastAsiaTheme="minorEastAsia" w:cs="Arial"/>
                      <w:szCs w:val="24"/>
                      <w:lang w:eastAsia="en-GB"/>
                    </w:rPr>
                    <w:t>audi</w:t>
                  </w:r>
                  <w:r w:rsidR="008A795A">
                    <w:rPr>
                      <w:rFonts w:eastAsiaTheme="minorEastAsia" w:cs="Arial"/>
                      <w:szCs w:val="24"/>
                      <w:lang w:eastAsia="en-GB"/>
                    </w:rPr>
                    <w:t xml:space="preserve">ts of prior approval </w:t>
                  </w:r>
                  <w:r w:rsidR="00187BDA">
                    <w:rPr>
                      <w:rFonts w:eastAsiaTheme="minorEastAsia" w:cs="Arial"/>
                      <w:szCs w:val="24"/>
                      <w:lang w:eastAsia="en-GB"/>
                    </w:rPr>
                    <w:t>requested with NHS England</w:t>
                  </w:r>
                </w:p>
              </w:tc>
            </w:tr>
          </w:tbl>
          <w:p w14:paraId="06ABC359" w14:textId="6AA56461" w:rsidR="003B6634" w:rsidRDefault="003B6634" w:rsidP="003B6634">
            <w:pPr>
              <w:rPr>
                <w:rFonts w:eastAsiaTheme="minorEastAsia" w:cs="Arial"/>
                <w:szCs w:val="24"/>
              </w:rPr>
            </w:pPr>
          </w:p>
          <w:p w14:paraId="6608C982" w14:textId="6D6EE550" w:rsidR="003B36C2" w:rsidRDefault="003B36C2" w:rsidP="003B6634">
            <w:pPr>
              <w:rPr>
                <w:rFonts w:eastAsiaTheme="minorEastAsia" w:cs="Arial"/>
                <w:szCs w:val="24"/>
              </w:rPr>
            </w:pPr>
          </w:p>
          <w:p w14:paraId="526029FE" w14:textId="77777777" w:rsidR="003B36C2" w:rsidRPr="003B6634" w:rsidRDefault="003B36C2" w:rsidP="003B6634">
            <w:pPr>
              <w:rPr>
                <w:rFonts w:eastAsiaTheme="minorEastAsia" w:cs="Arial"/>
                <w:szCs w:val="24"/>
              </w:rPr>
            </w:pPr>
          </w:p>
          <w:p w14:paraId="0671D32D" w14:textId="77777777" w:rsidR="00711887" w:rsidRPr="00711887" w:rsidRDefault="00711887" w:rsidP="00711887">
            <w:pPr>
              <w:rPr>
                <w:rFonts w:eastAsiaTheme="minorEastAsia" w:cs="Arial"/>
                <w:szCs w:val="24"/>
              </w:rPr>
            </w:pPr>
            <w:r w:rsidRPr="00711887">
              <w:rPr>
                <w:rFonts w:eastAsiaTheme="minorEastAsia" w:cs="Arial"/>
                <w:szCs w:val="24"/>
              </w:rPr>
              <w:t xml:space="preserve">Trigger </w:t>
            </w:r>
            <w:r w:rsidR="00E618E1">
              <w:rPr>
                <w:rFonts w:eastAsiaTheme="minorEastAsia" w:cs="Arial"/>
                <w:szCs w:val="24"/>
              </w:rPr>
              <w:t>4</w:t>
            </w:r>
          </w:p>
          <w:tbl>
            <w:tblPr>
              <w:tblW w:w="9810" w:type="dxa"/>
              <w:tblLook w:val="04A0" w:firstRow="1" w:lastRow="0" w:firstColumn="1" w:lastColumn="0" w:noHBand="0" w:noVBand="1"/>
            </w:tblPr>
            <w:tblGrid>
              <w:gridCol w:w="1838"/>
              <w:gridCol w:w="7972"/>
            </w:tblGrid>
            <w:tr w:rsidR="00711887" w:rsidRPr="0038032D" w14:paraId="67C70389" w14:textId="77777777" w:rsidTr="00711887">
              <w:trPr>
                <w:trHeight w:val="578"/>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57BF0E68" w14:textId="77777777" w:rsidR="00711887" w:rsidRPr="0038032D" w:rsidRDefault="00711887" w:rsidP="00D43ACA">
                  <w:pPr>
                    <w:rPr>
                      <w:rFonts w:cs="Arial"/>
                      <w:b/>
                      <w:color w:val="000000"/>
                      <w:szCs w:val="24"/>
                      <w:lang w:eastAsia="en-GB"/>
                    </w:rPr>
                  </w:pPr>
                  <w:r w:rsidRPr="0038032D">
                    <w:rPr>
                      <w:rFonts w:cs="Arial"/>
                      <w:b/>
                      <w:color w:val="000000"/>
                      <w:szCs w:val="24"/>
                      <w:lang w:eastAsia="en-GB"/>
                    </w:rPr>
                    <w:t>Numerator</w:t>
                  </w:r>
                </w:p>
              </w:tc>
              <w:tc>
                <w:tcPr>
                  <w:tcW w:w="7972" w:type="dxa"/>
                  <w:tcBorders>
                    <w:top w:val="single" w:sz="4" w:space="0" w:color="auto"/>
                    <w:left w:val="nil"/>
                    <w:bottom w:val="single" w:sz="4" w:space="0" w:color="auto"/>
                    <w:right w:val="single" w:sz="4" w:space="0" w:color="auto"/>
                  </w:tcBorders>
                  <w:shd w:val="clear" w:color="000000" w:fill="C0C0C0"/>
                  <w:hideMark/>
                </w:tcPr>
                <w:p w14:paraId="57989A4D" w14:textId="77777777" w:rsidR="00711887" w:rsidRDefault="00711887" w:rsidP="00711887">
                  <w:pPr>
                    <w:rPr>
                      <w:rFonts w:cs="Arial"/>
                      <w:bCs w:val="0"/>
                      <w:color w:val="000000"/>
                      <w:szCs w:val="24"/>
                      <w:lang w:eastAsia="en-GB"/>
                    </w:rPr>
                  </w:pPr>
                  <w:r w:rsidRPr="0038032D">
                    <w:rPr>
                      <w:rFonts w:cs="Arial"/>
                      <w:bCs w:val="0"/>
                      <w:color w:val="000000"/>
                      <w:szCs w:val="24"/>
                      <w:lang w:eastAsia="en-GB"/>
                    </w:rPr>
                    <w:t>Eligible patients receiving drugs available as best value generic/ biologic (list will be updated quarterly) -   new patients and existing patients</w:t>
                  </w:r>
                  <w:r>
                    <w:rPr>
                      <w:rFonts w:cs="Arial"/>
                      <w:bCs w:val="0"/>
                      <w:color w:val="000000"/>
                      <w:szCs w:val="24"/>
                      <w:lang w:eastAsia="en-GB"/>
                    </w:rPr>
                    <w:t xml:space="preserve">. </w:t>
                  </w:r>
                </w:p>
                <w:p w14:paraId="146452BE" w14:textId="77777777" w:rsidR="00D92F82" w:rsidRPr="0038032D" w:rsidRDefault="00D92F82" w:rsidP="00711887">
                  <w:pPr>
                    <w:rPr>
                      <w:rFonts w:cs="Arial"/>
                      <w:bCs w:val="0"/>
                      <w:color w:val="000000"/>
                      <w:szCs w:val="24"/>
                      <w:lang w:eastAsia="en-GB"/>
                    </w:rPr>
                  </w:pPr>
                </w:p>
              </w:tc>
            </w:tr>
            <w:tr w:rsidR="00711887" w:rsidRPr="0038032D" w14:paraId="78436F66" w14:textId="77777777" w:rsidTr="00D43ACA">
              <w:trPr>
                <w:trHeight w:val="600"/>
              </w:trPr>
              <w:tc>
                <w:tcPr>
                  <w:tcW w:w="1838" w:type="dxa"/>
                  <w:tcBorders>
                    <w:top w:val="nil"/>
                    <w:left w:val="single" w:sz="4" w:space="0" w:color="auto"/>
                    <w:bottom w:val="single" w:sz="4" w:space="0" w:color="auto"/>
                    <w:right w:val="single" w:sz="4" w:space="0" w:color="auto"/>
                  </w:tcBorders>
                  <w:shd w:val="clear" w:color="auto" w:fill="auto"/>
                  <w:hideMark/>
                </w:tcPr>
                <w:p w14:paraId="58DF87AB" w14:textId="77777777" w:rsidR="00711887" w:rsidRPr="0038032D" w:rsidRDefault="00711887" w:rsidP="00D43ACA">
                  <w:pPr>
                    <w:rPr>
                      <w:rFonts w:ascii="Calibri" w:hAnsi="Calibri" w:cs="Calibri"/>
                      <w:b/>
                      <w:color w:val="000000"/>
                      <w:szCs w:val="24"/>
                      <w:lang w:eastAsia="en-GB"/>
                    </w:rPr>
                  </w:pPr>
                  <w:r w:rsidRPr="0038032D">
                    <w:rPr>
                      <w:rFonts w:cs="Arial"/>
                      <w:b/>
                      <w:color w:val="000000"/>
                      <w:szCs w:val="24"/>
                      <w:lang w:eastAsia="en-GB"/>
                    </w:rPr>
                    <w:t>Denominator</w:t>
                  </w:r>
                </w:p>
              </w:tc>
              <w:tc>
                <w:tcPr>
                  <w:tcW w:w="7972" w:type="dxa"/>
                  <w:tcBorders>
                    <w:top w:val="nil"/>
                    <w:left w:val="nil"/>
                    <w:bottom w:val="single" w:sz="4" w:space="0" w:color="auto"/>
                    <w:right w:val="single" w:sz="4" w:space="0" w:color="auto"/>
                  </w:tcBorders>
                  <w:shd w:val="clear" w:color="000000" w:fill="C0C0C0"/>
                  <w:hideMark/>
                </w:tcPr>
                <w:p w14:paraId="1264905A" w14:textId="77777777" w:rsidR="00711887" w:rsidRDefault="00711887" w:rsidP="00711887">
                  <w:pPr>
                    <w:rPr>
                      <w:rFonts w:cs="Arial"/>
                      <w:bCs w:val="0"/>
                      <w:color w:val="000000"/>
                      <w:szCs w:val="24"/>
                      <w:lang w:eastAsia="en-GB"/>
                    </w:rPr>
                  </w:pPr>
                  <w:r w:rsidRPr="0038032D">
                    <w:rPr>
                      <w:rFonts w:cs="Arial"/>
                      <w:bCs w:val="0"/>
                      <w:color w:val="000000"/>
                      <w:szCs w:val="24"/>
                      <w:lang w:eastAsia="en-GB"/>
                    </w:rPr>
                    <w:t>Patients eligible to receive drugs available as best value generic/ biologic (list will be updated quarterly) -   new patients and existing patients</w:t>
                  </w:r>
                  <w:r>
                    <w:rPr>
                      <w:rFonts w:cs="Arial"/>
                      <w:bCs w:val="0"/>
                      <w:color w:val="000000"/>
                      <w:szCs w:val="24"/>
                      <w:lang w:eastAsia="en-GB"/>
                    </w:rPr>
                    <w:t>.</w:t>
                  </w:r>
                </w:p>
                <w:p w14:paraId="37028F62" w14:textId="77777777" w:rsidR="00D92F82" w:rsidRPr="0038032D" w:rsidRDefault="00D92F82" w:rsidP="00711887">
                  <w:pPr>
                    <w:rPr>
                      <w:rFonts w:cs="Arial"/>
                      <w:bCs w:val="0"/>
                      <w:color w:val="000000"/>
                      <w:szCs w:val="24"/>
                      <w:lang w:eastAsia="en-GB"/>
                    </w:rPr>
                  </w:pPr>
                </w:p>
              </w:tc>
            </w:tr>
          </w:tbl>
          <w:p w14:paraId="4E15A33A" w14:textId="77777777" w:rsidR="00711887" w:rsidRDefault="00711887" w:rsidP="00711887">
            <w:pPr>
              <w:rPr>
                <w:rFonts w:eastAsiaTheme="minorEastAsia" w:cs="Arial"/>
                <w:i/>
                <w:color w:val="FF0000"/>
                <w:szCs w:val="24"/>
              </w:rPr>
            </w:pPr>
          </w:p>
          <w:p w14:paraId="2F23B59F" w14:textId="77777777" w:rsidR="00B2577C" w:rsidRPr="00E31B2E" w:rsidRDefault="00B2577C" w:rsidP="00B2577C">
            <w:pPr>
              <w:rPr>
                <w:rFonts w:eastAsiaTheme="minorEastAsia" w:cs="Arial"/>
                <w:szCs w:val="24"/>
              </w:rPr>
            </w:pPr>
            <w:r w:rsidRPr="00E31B2E">
              <w:rPr>
                <w:rFonts w:eastAsiaTheme="minorEastAsia" w:cs="Arial"/>
                <w:szCs w:val="24"/>
              </w:rPr>
              <w:t>Trigger 5</w:t>
            </w:r>
          </w:p>
          <w:tbl>
            <w:tblPr>
              <w:tblW w:w="9810" w:type="dxa"/>
              <w:tblLook w:val="04A0" w:firstRow="1" w:lastRow="0" w:firstColumn="1" w:lastColumn="0" w:noHBand="0" w:noVBand="1"/>
            </w:tblPr>
            <w:tblGrid>
              <w:gridCol w:w="1838"/>
              <w:gridCol w:w="7972"/>
            </w:tblGrid>
            <w:tr w:rsidR="00B2577C" w:rsidRPr="00E31B2E" w14:paraId="5385ABE5" w14:textId="77777777" w:rsidTr="003625A7">
              <w:trPr>
                <w:trHeight w:val="578"/>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07FB6E88" w14:textId="77777777" w:rsidR="00B2577C" w:rsidRPr="00E31B2E" w:rsidRDefault="00B2577C" w:rsidP="00B2577C">
                  <w:pPr>
                    <w:rPr>
                      <w:rFonts w:cs="Arial"/>
                      <w:b/>
                      <w:color w:val="000000"/>
                      <w:szCs w:val="24"/>
                      <w:lang w:eastAsia="en-GB"/>
                    </w:rPr>
                  </w:pPr>
                  <w:r w:rsidRPr="00E31B2E">
                    <w:rPr>
                      <w:rFonts w:cs="Arial"/>
                      <w:b/>
                      <w:color w:val="000000"/>
                      <w:szCs w:val="24"/>
                      <w:lang w:eastAsia="en-GB"/>
                    </w:rPr>
                    <w:t>Numerator</w:t>
                  </w:r>
                </w:p>
              </w:tc>
              <w:tc>
                <w:tcPr>
                  <w:tcW w:w="7972" w:type="dxa"/>
                  <w:tcBorders>
                    <w:top w:val="single" w:sz="4" w:space="0" w:color="auto"/>
                    <w:left w:val="nil"/>
                    <w:bottom w:val="single" w:sz="4" w:space="0" w:color="auto"/>
                    <w:right w:val="single" w:sz="4" w:space="0" w:color="auto"/>
                  </w:tcBorders>
                  <w:shd w:val="clear" w:color="000000" w:fill="C0C0C0"/>
                </w:tcPr>
                <w:p w14:paraId="53CBFBBF" w14:textId="77777777" w:rsidR="00B2577C" w:rsidRPr="00E31B2E" w:rsidRDefault="00B2577C" w:rsidP="00B2577C">
                  <w:pPr>
                    <w:rPr>
                      <w:rFonts w:cs="Arial"/>
                      <w:bCs w:val="0"/>
                      <w:color w:val="000000"/>
                      <w:szCs w:val="24"/>
                      <w:lang w:eastAsia="en-GB"/>
                    </w:rPr>
                  </w:pPr>
                  <w:r w:rsidRPr="00E31B2E">
                    <w:rPr>
                      <w:rFonts w:cs="Arial"/>
                      <w:bCs w:val="0"/>
                      <w:color w:val="000000"/>
                      <w:szCs w:val="24"/>
                      <w:lang w:eastAsia="en-GB"/>
                    </w:rPr>
                    <w:t>No of completed audits of patients receiving antifungals</w:t>
                  </w:r>
                  <w:r>
                    <w:rPr>
                      <w:rFonts w:cs="Arial"/>
                      <w:bCs w:val="0"/>
                      <w:color w:val="000000"/>
                      <w:szCs w:val="24"/>
                      <w:lang w:eastAsia="en-GB"/>
                    </w:rPr>
                    <w:t>.</w:t>
                  </w:r>
                </w:p>
              </w:tc>
            </w:tr>
            <w:tr w:rsidR="00B2577C" w:rsidRPr="0038032D" w14:paraId="64A02EAB" w14:textId="77777777" w:rsidTr="003625A7">
              <w:trPr>
                <w:trHeight w:val="600"/>
              </w:trPr>
              <w:tc>
                <w:tcPr>
                  <w:tcW w:w="1838" w:type="dxa"/>
                  <w:tcBorders>
                    <w:top w:val="nil"/>
                    <w:left w:val="single" w:sz="4" w:space="0" w:color="auto"/>
                    <w:bottom w:val="single" w:sz="4" w:space="0" w:color="auto"/>
                    <w:right w:val="single" w:sz="4" w:space="0" w:color="auto"/>
                  </w:tcBorders>
                  <w:shd w:val="clear" w:color="auto" w:fill="auto"/>
                  <w:hideMark/>
                </w:tcPr>
                <w:p w14:paraId="4A206468" w14:textId="77777777" w:rsidR="00B2577C" w:rsidRPr="00E31B2E" w:rsidRDefault="00B2577C" w:rsidP="00B2577C">
                  <w:pPr>
                    <w:rPr>
                      <w:rFonts w:ascii="Calibri" w:hAnsi="Calibri" w:cs="Calibri"/>
                      <w:b/>
                      <w:color w:val="000000"/>
                      <w:szCs w:val="24"/>
                      <w:lang w:eastAsia="en-GB"/>
                    </w:rPr>
                  </w:pPr>
                  <w:r w:rsidRPr="00E31B2E">
                    <w:rPr>
                      <w:rFonts w:cs="Arial"/>
                      <w:b/>
                      <w:color w:val="000000"/>
                      <w:szCs w:val="24"/>
                      <w:lang w:eastAsia="en-GB"/>
                    </w:rPr>
                    <w:t>Denominator</w:t>
                  </w:r>
                </w:p>
              </w:tc>
              <w:tc>
                <w:tcPr>
                  <w:tcW w:w="7972" w:type="dxa"/>
                  <w:tcBorders>
                    <w:top w:val="nil"/>
                    <w:left w:val="nil"/>
                    <w:bottom w:val="single" w:sz="4" w:space="0" w:color="auto"/>
                    <w:right w:val="single" w:sz="4" w:space="0" w:color="auto"/>
                  </w:tcBorders>
                  <w:shd w:val="clear" w:color="000000" w:fill="C0C0C0"/>
                </w:tcPr>
                <w:p w14:paraId="57B8B90E" w14:textId="650C6B0C" w:rsidR="00B2577C" w:rsidRPr="00E31B2E" w:rsidRDefault="00B2577C" w:rsidP="00B2577C">
                  <w:pPr>
                    <w:rPr>
                      <w:rFonts w:cs="Arial"/>
                      <w:bCs w:val="0"/>
                      <w:color w:val="000000"/>
                      <w:szCs w:val="24"/>
                      <w:lang w:eastAsia="en-GB"/>
                    </w:rPr>
                  </w:pPr>
                  <w:r w:rsidRPr="00E31B2E">
                    <w:rPr>
                      <w:rFonts w:cs="Arial"/>
                      <w:bCs w:val="0"/>
                      <w:color w:val="000000"/>
                      <w:szCs w:val="24"/>
                      <w:lang w:eastAsia="en-GB"/>
                    </w:rPr>
                    <w:t>Target number of audits required per quarter</w:t>
                  </w:r>
                  <w:r w:rsidR="00187BDA">
                    <w:rPr>
                      <w:rFonts w:cs="Arial"/>
                      <w:bCs w:val="0"/>
                      <w:color w:val="000000"/>
                      <w:szCs w:val="24"/>
                      <w:lang w:eastAsia="en-GB"/>
                    </w:rPr>
                    <w:t xml:space="preserve"> </w:t>
                  </w:r>
                  <w:r w:rsidR="00AD724D">
                    <w:rPr>
                      <w:rFonts w:cs="Arial"/>
                      <w:bCs w:val="0"/>
                      <w:color w:val="000000"/>
                      <w:szCs w:val="24"/>
                      <w:lang w:eastAsia="en-GB"/>
                    </w:rPr>
                    <w:t>as agreed with commissioner?</w:t>
                  </w:r>
                </w:p>
              </w:tc>
            </w:tr>
          </w:tbl>
          <w:p w14:paraId="702B3521" w14:textId="77777777" w:rsidR="006662E3" w:rsidRDefault="006662E3" w:rsidP="00711887">
            <w:pPr>
              <w:rPr>
                <w:rFonts w:eastAsiaTheme="minorEastAsia" w:cs="Arial"/>
                <w:i/>
                <w:color w:val="FF0000"/>
                <w:szCs w:val="24"/>
              </w:rPr>
            </w:pPr>
          </w:p>
          <w:p w14:paraId="44A2191E" w14:textId="77777777" w:rsidR="00D46E69" w:rsidRPr="00711887" w:rsidRDefault="00D46E69" w:rsidP="00711887">
            <w:pPr>
              <w:rPr>
                <w:rFonts w:eastAsiaTheme="minorEastAsia" w:cs="Arial"/>
                <w:i/>
                <w:color w:val="FF0000"/>
                <w:szCs w:val="24"/>
              </w:rPr>
            </w:pPr>
          </w:p>
        </w:tc>
      </w:tr>
      <w:tr w:rsidR="00CF3963" w:rsidRPr="00CF3963" w14:paraId="5542E6E2" w14:textId="77777777" w:rsidTr="003038EC">
        <w:trPr>
          <w:gridAfter w:val="1"/>
          <w:wAfter w:w="11" w:type="pct"/>
        </w:trPr>
        <w:tc>
          <w:tcPr>
            <w:tcW w:w="4989" w:type="pct"/>
            <w:gridSpan w:val="6"/>
            <w:shd w:val="clear" w:color="auto" w:fill="BFBFBF" w:themeFill="background1" w:themeFillShade="BF"/>
          </w:tcPr>
          <w:p w14:paraId="37D3D944" w14:textId="77777777" w:rsidR="00CF3963" w:rsidRPr="00CF3963" w:rsidRDefault="00CF3963" w:rsidP="00A536ED">
            <w:pPr>
              <w:spacing w:before="40" w:after="40"/>
              <w:rPr>
                <w:rFonts w:cs="Arial"/>
                <w:b/>
                <w:color w:val="000000"/>
                <w:szCs w:val="24"/>
              </w:rPr>
            </w:pPr>
            <w:r w:rsidRPr="00CF3963">
              <w:rPr>
                <w:rFonts w:cs="Arial"/>
                <w:b/>
                <w:color w:val="000000"/>
                <w:szCs w:val="24"/>
              </w:rPr>
              <w:t>C5. Information Flows</w:t>
            </w:r>
            <w:r w:rsidR="00A536ED">
              <w:rPr>
                <w:rFonts w:cs="Arial"/>
                <w:b/>
                <w:color w:val="000000"/>
                <w:szCs w:val="24"/>
              </w:rPr>
              <w:t xml:space="preserve">: for benchmarking, for evaluation, and for reporting against the triggers. </w:t>
            </w:r>
          </w:p>
        </w:tc>
      </w:tr>
      <w:tr w:rsidR="00CF3963" w:rsidRPr="000412A1" w14:paraId="68B95B33" w14:textId="77777777" w:rsidTr="003038EC">
        <w:trPr>
          <w:gridAfter w:val="1"/>
          <w:wAfter w:w="11" w:type="pct"/>
        </w:trPr>
        <w:tc>
          <w:tcPr>
            <w:tcW w:w="4989" w:type="pct"/>
            <w:gridSpan w:val="6"/>
            <w:shd w:val="clear" w:color="auto" w:fill="auto"/>
          </w:tcPr>
          <w:p w14:paraId="02A05C80" w14:textId="77E9EF95" w:rsidR="00D51F36" w:rsidRPr="007C4B76" w:rsidRDefault="007C4B76" w:rsidP="003A0C63">
            <w:pPr>
              <w:spacing w:before="40" w:after="40"/>
              <w:rPr>
                <w:rFonts w:cs="Arial"/>
                <w:szCs w:val="24"/>
              </w:rPr>
            </w:pPr>
            <w:r w:rsidRPr="007C4B76">
              <w:rPr>
                <w:rFonts w:cs="Arial"/>
                <w:szCs w:val="24"/>
              </w:rPr>
              <w:t>Trigger 1</w:t>
            </w:r>
            <w:r w:rsidR="006662E3">
              <w:rPr>
                <w:rFonts w:cs="Arial"/>
                <w:szCs w:val="24"/>
              </w:rPr>
              <w:t>:</w:t>
            </w:r>
            <w:r w:rsidR="00DD114B">
              <w:rPr>
                <w:rFonts w:cs="Arial"/>
                <w:szCs w:val="24"/>
              </w:rPr>
              <w:t xml:space="preserve"> </w:t>
            </w:r>
            <w:r w:rsidR="0051058D">
              <w:rPr>
                <w:rFonts w:cs="Arial"/>
                <w:color w:val="000000"/>
                <w:szCs w:val="24"/>
              </w:rPr>
              <w:t>Chemotherapy</w:t>
            </w:r>
            <w:r w:rsidR="0051058D" w:rsidRPr="002954D7">
              <w:rPr>
                <w:rFonts w:cs="Arial"/>
                <w:color w:val="000000"/>
                <w:szCs w:val="24"/>
              </w:rPr>
              <w:t xml:space="preserve"> Waste Calculator tool with Costs</w:t>
            </w:r>
            <w:r w:rsidR="0051058D" w:rsidRPr="00312501">
              <w:rPr>
                <w:rFonts w:cs="Arial"/>
                <w:szCs w:val="24"/>
              </w:rPr>
              <w:t xml:space="preserve"> </w:t>
            </w:r>
            <w:r w:rsidR="006662E3">
              <w:rPr>
                <w:rFonts w:cs="Arial"/>
                <w:szCs w:val="24"/>
              </w:rPr>
              <w:t>co</w:t>
            </w:r>
            <w:r w:rsidR="00D46E69">
              <w:rPr>
                <w:rFonts w:cs="Arial"/>
                <w:szCs w:val="24"/>
              </w:rPr>
              <w:t>mpleted and submitted quarterly.</w:t>
            </w:r>
          </w:p>
          <w:p w14:paraId="5D09394B" w14:textId="77777777" w:rsidR="004831F7" w:rsidRDefault="004831F7" w:rsidP="007C4B76">
            <w:pPr>
              <w:spacing w:before="40" w:after="40"/>
              <w:rPr>
                <w:rFonts w:cs="Arial"/>
                <w:szCs w:val="24"/>
              </w:rPr>
            </w:pPr>
          </w:p>
          <w:p w14:paraId="45E7E530" w14:textId="77777777" w:rsidR="003A3992" w:rsidRDefault="003A3992" w:rsidP="007C4B76">
            <w:pPr>
              <w:spacing w:before="40" w:after="40"/>
              <w:rPr>
                <w:rFonts w:cs="Arial"/>
                <w:szCs w:val="24"/>
              </w:rPr>
            </w:pPr>
            <w:r>
              <w:rPr>
                <w:rFonts w:cs="Arial"/>
                <w:szCs w:val="24"/>
              </w:rPr>
              <w:lastRenderedPageBreak/>
              <w:t>Trigger 2: Reporting of evidence of providers compliance to submission of data to relevant reporting systems.</w:t>
            </w:r>
          </w:p>
          <w:p w14:paraId="6C504557" w14:textId="77777777" w:rsidR="003A3992" w:rsidRDefault="003A3992" w:rsidP="007C4B76">
            <w:pPr>
              <w:spacing w:before="40" w:after="40"/>
              <w:rPr>
                <w:rFonts w:cs="Arial"/>
                <w:szCs w:val="24"/>
              </w:rPr>
            </w:pPr>
          </w:p>
          <w:p w14:paraId="3A16F029" w14:textId="138D1483" w:rsidR="00187BDA" w:rsidRPr="00187BDA" w:rsidRDefault="00187BDA" w:rsidP="00187BDA">
            <w:pPr>
              <w:spacing w:before="40" w:after="40"/>
              <w:rPr>
                <w:rFonts w:cs="Arial"/>
                <w:i/>
                <w:szCs w:val="24"/>
              </w:rPr>
            </w:pPr>
            <w:r>
              <w:rPr>
                <w:rFonts w:cs="Arial"/>
                <w:szCs w:val="24"/>
              </w:rPr>
              <w:t>Trigger 3: Medicines Optimisation reporting template submitted quarterly.</w:t>
            </w:r>
          </w:p>
          <w:p w14:paraId="5F152709" w14:textId="77777777" w:rsidR="00187BDA" w:rsidRDefault="00187BDA" w:rsidP="00D46E69">
            <w:pPr>
              <w:spacing w:before="40" w:after="40"/>
              <w:rPr>
                <w:rFonts w:cs="Arial"/>
                <w:szCs w:val="24"/>
              </w:rPr>
            </w:pPr>
          </w:p>
          <w:p w14:paraId="5E8111D1" w14:textId="1D08363B" w:rsidR="00D46E69" w:rsidRPr="00D46E69" w:rsidRDefault="006662E3" w:rsidP="00D46E69">
            <w:pPr>
              <w:spacing w:before="40" w:after="40"/>
              <w:rPr>
                <w:rFonts w:cs="Arial"/>
                <w:szCs w:val="24"/>
              </w:rPr>
            </w:pPr>
            <w:r>
              <w:rPr>
                <w:rFonts w:cs="Arial"/>
                <w:szCs w:val="24"/>
              </w:rPr>
              <w:t xml:space="preserve">Trigger </w:t>
            </w:r>
            <w:r w:rsidR="00187BDA">
              <w:rPr>
                <w:rFonts w:cs="Arial"/>
                <w:szCs w:val="24"/>
              </w:rPr>
              <w:t>4</w:t>
            </w:r>
            <w:r>
              <w:rPr>
                <w:rFonts w:cs="Arial"/>
                <w:szCs w:val="24"/>
              </w:rPr>
              <w:t>:</w:t>
            </w:r>
            <w:r w:rsidR="00D92F82">
              <w:rPr>
                <w:rFonts w:cs="Arial"/>
                <w:szCs w:val="24"/>
              </w:rPr>
              <w:t xml:space="preserve"> </w:t>
            </w:r>
            <w:r w:rsidR="00EE3CA3">
              <w:rPr>
                <w:rFonts w:cs="Arial"/>
                <w:szCs w:val="24"/>
              </w:rPr>
              <w:t>Medicines Optimisation r</w:t>
            </w:r>
            <w:r w:rsidR="003A3992">
              <w:rPr>
                <w:rFonts w:cs="Arial"/>
                <w:szCs w:val="24"/>
              </w:rPr>
              <w:t>eporting template</w:t>
            </w:r>
            <w:r w:rsidR="00D92F82">
              <w:rPr>
                <w:rFonts w:cs="Arial"/>
                <w:szCs w:val="24"/>
              </w:rPr>
              <w:t xml:space="preserve"> c</w:t>
            </w:r>
            <w:r w:rsidR="00D46E69">
              <w:rPr>
                <w:rFonts w:cs="Arial"/>
                <w:szCs w:val="24"/>
              </w:rPr>
              <w:t xml:space="preserve">ompleted and </w:t>
            </w:r>
            <w:r w:rsidR="003A3992">
              <w:rPr>
                <w:rFonts w:cs="Arial"/>
                <w:szCs w:val="24"/>
              </w:rPr>
              <w:t>submitted</w:t>
            </w:r>
            <w:r w:rsidR="00D46E69">
              <w:rPr>
                <w:rFonts w:cs="Arial"/>
                <w:szCs w:val="24"/>
              </w:rPr>
              <w:t xml:space="preserve"> quarterly.</w:t>
            </w:r>
          </w:p>
          <w:p w14:paraId="3AC24B34" w14:textId="77777777" w:rsidR="00D92F82" w:rsidRPr="007C4B76" w:rsidRDefault="00D92F82" w:rsidP="007C4B76">
            <w:pPr>
              <w:spacing w:before="40" w:after="40"/>
              <w:rPr>
                <w:rFonts w:cs="Arial"/>
                <w:szCs w:val="24"/>
              </w:rPr>
            </w:pPr>
          </w:p>
          <w:p w14:paraId="4ACBD69E" w14:textId="77777777" w:rsidR="00E537C9" w:rsidRPr="007C4B76" w:rsidRDefault="00B2577C" w:rsidP="00E537C9">
            <w:pPr>
              <w:spacing w:before="40" w:after="40"/>
              <w:rPr>
                <w:rFonts w:cs="Arial"/>
                <w:szCs w:val="24"/>
              </w:rPr>
            </w:pPr>
            <w:r>
              <w:rPr>
                <w:rFonts w:cs="Arial"/>
                <w:szCs w:val="24"/>
              </w:rPr>
              <w:t xml:space="preserve">Trigger 5: </w:t>
            </w:r>
            <w:r w:rsidR="00E537C9">
              <w:rPr>
                <w:rFonts w:cs="Arial"/>
                <w:szCs w:val="24"/>
              </w:rPr>
              <w:t>Audit tool/KPI template completed and reported quarterly. A quarterly audit would need to be submitted to Fingertips to facilitate payment.</w:t>
            </w:r>
          </w:p>
          <w:p w14:paraId="53BBDA7A" w14:textId="77777777" w:rsidR="00E550FD" w:rsidRPr="00F42905" w:rsidRDefault="00E550FD" w:rsidP="003A0C63">
            <w:pPr>
              <w:spacing w:before="40" w:after="40"/>
              <w:rPr>
                <w:rFonts w:cs="Arial"/>
                <w:i/>
                <w:szCs w:val="24"/>
              </w:rPr>
            </w:pPr>
          </w:p>
        </w:tc>
      </w:tr>
      <w:tr w:rsidR="009D54C2" w:rsidRPr="000412A1" w14:paraId="2B5C5B76" w14:textId="77777777" w:rsidTr="003038EC">
        <w:trPr>
          <w:gridAfter w:val="1"/>
          <w:wAfter w:w="11" w:type="pct"/>
        </w:trPr>
        <w:tc>
          <w:tcPr>
            <w:tcW w:w="4989" w:type="pct"/>
            <w:gridSpan w:val="6"/>
            <w:shd w:val="clear" w:color="auto" w:fill="D9D9D9" w:themeFill="background1" w:themeFillShade="D9"/>
          </w:tcPr>
          <w:p w14:paraId="29ECAE69" w14:textId="77777777" w:rsidR="009D54C2" w:rsidRDefault="009D54C2" w:rsidP="00D43ACA">
            <w:pPr>
              <w:rPr>
                <w:rFonts w:cs="Arial"/>
                <w:b/>
                <w:szCs w:val="24"/>
              </w:rPr>
            </w:pPr>
            <w:r w:rsidRPr="009D54C2">
              <w:rPr>
                <w:rFonts w:cs="Arial"/>
                <w:b/>
                <w:szCs w:val="24"/>
              </w:rPr>
              <w:lastRenderedPageBreak/>
              <w:t>Reporting of Achievement against Triggers:</w:t>
            </w:r>
          </w:p>
          <w:p w14:paraId="77EBC7C9" w14:textId="77777777" w:rsidR="00C46E03" w:rsidRPr="009D54C2" w:rsidRDefault="00C46E03" w:rsidP="00D43ACA">
            <w:pPr>
              <w:rPr>
                <w:rFonts w:cs="Arial"/>
                <w:b/>
                <w:szCs w:val="24"/>
              </w:rPr>
            </w:pPr>
          </w:p>
        </w:tc>
      </w:tr>
      <w:tr w:rsidR="009D54C2" w:rsidRPr="00C46E03" w14:paraId="6DC5F28C" w14:textId="77777777" w:rsidTr="003038EC">
        <w:trPr>
          <w:gridAfter w:val="1"/>
          <w:wAfter w:w="11" w:type="pct"/>
        </w:trPr>
        <w:tc>
          <w:tcPr>
            <w:tcW w:w="4989" w:type="pct"/>
            <w:gridSpan w:val="6"/>
            <w:shd w:val="clear" w:color="auto" w:fill="auto"/>
          </w:tcPr>
          <w:p w14:paraId="112D9802" w14:textId="0630F4A3" w:rsidR="00711887" w:rsidRDefault="00D92F82" w:rsidP="008A4053">
            <w:pPr>
              <w:rPr>
                <w:rFonts w:eastAsiaTheme="minorEastAsia" w:cs="Arial"/>
                <w:szCs w:val="24"/>
              </w:rPr>
            </w:pPr>
            <w:r>
              <w:rPr>
                <w:rFonts w:eastAsiaTheme="minorEastAsia" w:cs="Arial"/>
                <w:szCs w:val="24"/>
              </w:rPr>
              <w:t>As above</w:t>
            </w:r>
          </w:p>
          <w:p w14:paraId="1F25BB8D" w14:textId="77777777" w:rsidR="00C95A16" w:rsidRDefault="00C95A16" w:rsidP="008A4053">
            <w:pPr>
              <w:rPr>
                <w:rFonts w:eastAsiaTheme="minorEastAsia" w:cs="Arial"/>
                <w:szCs w:val="24"/>
              </w:rPr>
            </w:pPr>
          </w:p>
          <w:p w14:paraId="1D2D4BE9" w14:textId="77777777" w:rsidR="00D46E69" w:rsidRPr="00C46E03" w:rsidRDefault="00D46E69" w:rsidP="008A4053">
            <w:pPr>
              <w:rPr>
                <w:rFonts w:eastAsiaTheme="minorEastAsia" w:cs="Arial"/>
                <w:szCs w:val="24"/>
              </w:rPr>
            </w:pPr>
          </w:p>
        </w:tc>
      </w:tr>
      <w:tr w:rsidR="00CF3963" w:rsidRPr="000412A1" w14:paraId="623A59F1" w14:textId="77777777" w:rsidTr="003038EC">
        <w:trPr>
          <w:gridAfter w:val="1"/>
          <w:wAfter w:w="11" w:type="pct"/>
        </w:trPr>
        <w:tc>
          <w:tcPr>
            <w:tcW w:w="4989" w:type="pct"/>
            <w:gridSpan w:val="6"/>
            <w:shd w:val="clear" w:color="auto" w:fill="D9D9D9" w:themeFill="background1" w:themeFillShade="D9"/>
          </w:tcPr>
          <w:p w14:paraId="5DF6DAF2" w14:textId="77777777" w:rsidR="00CF3963" w:rsidRPr="009D54C2" w:rsidRDefault="00A536ED" w:rsidP="0084461B">
            <w:pPr>
              <w:rPr>
                <w:rFonts w:eastAsiaTheme="minorEastAsia" w:cs="Arial"/>
                <w:b/>
                <w:szCs w:val="24"/>
              </w:rPr>
            </w:pPr>
            <w:r w:rsidRPr="009D54C2">
              <w:rPr>
                <w:rFonts w:eastAsiaTheme="minorEastAsia" w:cs="Arial"/>
                <w:b/>
                <w:szCs w:val="24"/>
              </w:rPr>
              <w:t>Information for Benchmarking</w:t>
            </w:r>
            <w:r w:rsidR="009D54C2" w:rsidRPr="009D54C2">
              <w:rPr>
                <w:rFonts w:eastAsiaTheme="minorEastAsia" w:cs="Arial"/>
                <w:b/>
                <w:szCs w:val="24"/>
              </w:rPr>
              <w:t>:</w:t>
            </w:r>
          </w:p>
        </w:tc>
      </w:tr>
      <w:tr w:rsidR="009D54C2" w:rsidRPr="000412A1" w14:paraId="583D2E05" w14:textId="77777777" w:rsidTr="003038EC">
        <w:trPr>
          <w:gridAfter w:val="1"/>
          <w:wAfter w:w="11" w:type="pct"/>
        </w:trPr>
        <w:tc>
          <w:tcPr>
            <w:tcW w:w="4989" w:type="pct"/>
            <w:gridSpan w:val="6"/>
          </w:tcPr>
          <w:p w14:paraId="73995F32" w14:textId="1117E907" w:rsidR="00D46E69" w:rsidRDefault="00F062D3" w:rsidP="00D46E69">
            <w:pPr>
              <w:spacing w:before="40" w:after="40"/>
              <w:rPr>
                <w:rFonts w:eastAsiaTheme="minorEastAsia" w:cs="Arial"/>
                <w:szCs w:val="24"/>
              </w:rPr>
            </w:pPr>
            <w:r>
              <w:rPr>
                <w:rFonts w:eastAsiaTheme="minorEastAsia" w:cs="Arial"/>
                <w:szCs w:val="24"/>
              </w:rPr>
              <w:t>TBC</w:t>
            </w:r>
          </w:p>
          <w:p w14:paraId="5DE5E98A" w14:textId="77777777" w:rsidR="005365D3" w:rsidRPr="009D54C2" w:rsidRDefault="005365D3" w:rsidP="00D46E69">
            <w:pPr>
              <w:spacing w:before="40" w:after="40"/>
              <w:rPr>
                <w:rFonts w:cs="Arial"/>
                <w:b/>
                <w:szCs w:val="24"/>
              </w:rPr>
            </w:pPr>
          </w:p>
        </w:tc>
      </w:tr>
      <w:tr w:rsidR="00CF3963" w:rsidRPr="000412A1" w14:paraId="3AB17BD9" w14:textId="77777777" w:rsidTr="003038EC">
        <w:trPr>
          <w:gridAfter w:val="1"/>
          <w:wAfter w:w="11" w:type="pct"/>
        </w:trPr>
        <w:tc>
          <w:tcPr>
            <w:tcW w:w="4989" w:type="pct"/>
            <w:gridSpan w:val="6"/>
            <w:shd w:val="clear" w:color="auto" w:fill="D9D9D9" w:themeFill="background1" w:themeFillShade="D9"/>
          </w:tcPr>
          <w:p w14:paraId="3E1B5C52" w14:textId="77777777" w:rsidR="00CF3963" w:rsidRPr="009D54C2" w:rsidRDefault="00A536ED" w:rsidP="00CF3963">
            <w:pPr>
              <w:spacing w:before="40" w:after="40"/>
              <w:rPr>
                <w:rFonts w:cs="Arial"/>
                <w:b/>
                <w:szCs w:val="24"/>
              </w:rPr>
            </w:pPr>
            <w:r w:rsidRPr="009D54C2">
              <w:rPr>
                <w:rFonts w:cs="Arial"/>
                <w:b/>
                <w:szCs w:val="24"/>
              </w:rPr>
              <w:t>Information Governance</w:t>
            </w:r>
            <w:r w:rsidR="009D54C2" w:rsidRPr="009D54C2">
              <w:rPr>
                <w:rFonts w:cs="Arial"/>
                <w:b/>
                <w:szCs w:val="24"/>
              </w:rPr>
              <w:t>:</w:t>
            </w:r>
          </w:p>
        </w:tc>
      </w:tr>
      <w:tr w:rsidR="009D54C2" w:rsidRPr="000412A1" w14:paraId="3ADB1C37" w14:textId="77777777" w:rsidTr="003038EC">
        <w:trPr>
          <w:gridAfter w:val="1"/>
          <w:wAfter w:w="11" w:type="pct"/>
        </w:trPr>
        <w:tc>
          <w:tcPr>
            <w:tcW w:w="4989" w:type="pct"/>
            <w:gridSpan w:val="6"/>
          </w:tcPr>
          <w:p w14:paraId="45E9074D" w14:textId="77777777" w:rsidR="00711887" w:rsidRDefault="00711887" w:rsidP="00D46E69">
            <w:pPr>
              <w:rPr>
                <w:rFonts w:cs="Arial"/>
                <w:color w:val="000000"/>
                <w:szCs w:val="24"/>
              </w:rPr>
            </w:pPr>
            <w:r w:rsidRPr="00711887">
              <w:rPr>
                <w:rFonts w:cs="Arial"/>
                <w:color w:val="000000"/>
                <w:szCs w:val="24"/>
              </w:rPr>
              <w:t>Not Applicable</w:t>
            </w:r>
          </w:p>
          <w:p w14:paraId="17C9FC27" w14:textId="77777777" w:rsidR="005365D3" w:rsidRPr="009D54C2" w:rsidRDefault="005365D3" w:rsidP="00D46E69">
            <w:pPr>
              <w:rPr>
                <w:rFonts w:cs="Arial"/>
                <w:b/>
                <w:color w:val="000000"/>
                <w:szCs w:val="24"/>
              </w:rPr>
            </w:pPr>
          </w:p>
        </w:tc>
      </w:tr>
      <w:tr w:rsidR="00CF3963" w:rsidRPr="000412A1" w14:paraId="703129C1" w14:textId="77777777" w:rsidTr="003038EC">
        <w:trPr>
          <w:gridAfter w:val="1"/>
          <w:wAfter w:w="11" w:type="pct"/>
        </w:trPr>
        <w:tc>
          <w:tcPr>
            <w:tcW w:w="4989" w:type="pct"/>
            <w:gridSpan w:val="6"/>
            <w:shd w:val="clear" w:color="auto" w:fill="D9D9D9" w:themeFill="background1" w:themeFillShade="D9"/>
          </w:tcPr>
          <w:p w14:paraId="02D63EBA" w14:textId="77777777" w:rsidR="00CF3963" w:rsidRPr="009D54C2" w:rsidRDefault="00A536ED" w:rsidP="0084461B">
            <w:pPr>
              <w:rPr>
                <w:rFonts w:cs="Arial"/>
                <w:b/>
                <w:color w:val="000000"/>
                <w:szCs w:val="24"/>
              </w:rPr>
            </w:pPr>
            <w:r w:rsidRPr="009D54C2">
              <w:rPr>
                <w:rFonts w:cs="Arial"/>
                <w:b/>
                <w:color w:val="000000"/>
                <w:szCs w:val="24"/>
              </w:rPr>
              <w:t>Reporting Template requirement</w:t>
            </w:r>
            <w:r w:rsidR="009D54C2" w:rsidRPr="009D54C2">
              <w:rPr>
                <w:rFonts w:cs="Arial"/>
                <w:b/>
                <w:color w:val="000000"/>
                <w:szCs w:val="24"/>
              </w:rPr>
              <w:t>:</w:t>
            </w:r>
          </w:p>
        </w:tc>
      </w:tr>
      <w:tr w:rsidR="009D54C2" w:rsidRPr="000412A1" w14:paraId="1099F405" w14:textId="77777777" w:rsidTr="003038EC">
        <w:trPr>
          <w:gridAfter w:val="1"/>
          <w:wAfter w:w="11" w:type="pct"/>
        </w:trPr>
        <w:tc>
          <w:tcPr>
            <w:tcW w:w="4989" w:type="pct"/>
            <w:gridSpan w:val="6"/>
          </w:tcPr>
          <w:p w14:paraId="291BB632" w14:textId="77777777" w:rsidR="009D54C2" w:rsidRDefault="009D54C2" w:rsidP="0084461B">
            <w:pPr>
              <w:rPr>
                <w:rFonts w:cs="Arial"/>
                <w:b/>
                <w:color w:val="000000"/>
                <w:szCs w:val="24"/>
                <w:u w:val="single"/>
              </w:rPr>
            </w:pPr>
          </w:p>
          <w:p w14:paraId="272967EB" w14:textId="21DC7DDC" w:rsidR="00D46E69" w:rsidRDefault="009B2F9C" w:rsidP="00D46E69">
            <w:pPr>
              <w:spacing w:before="40" w:after="40"/>
              <w:rPr>
                <w:rFonts w:cs="Arial"/>
                <w:szCs w:val="24"/>
              </w:rPr>
            </w:pPr>
            <w:r w:rsidRPr="00DD114B">
              <w:rPr>
                <w:rFonts w:cs="Arial"/>
                <w:b/>
                <w:color w:val="000000"/>
                <w:szCs w:val="24"/>
              </w:rPr>
              <w:t>Trigger 1 –</w:t>
            </w:r>
            <w:r w:rsidR="00A1782E">
              <w:rPr>
                <w:rFonts w:cs="Arial"/>
                <w:color w:val="000000"/>
                <w:szCs w:val="24"/>
              </w:rPr>
              <w:t xml:space="preserve"> </w:t>
            </w:r>
            <w:r w:rsidR="0051058D">
              <w:rPr>
                <w:rFonts w:cs="Arial"/>
                <w:color w:val="000000"/>
                <w:szCs w:val="24"/>
              </w:rPr>
              <w:t>Chemotherapy</w:t>
            </w:r>
            <w:r w:rsidR="0051058D" w:rsidRPr="002954D7">
              <w:rPr>
                <w:rFonts w:cs="Arial"/>
                <w:color w:val="000000"/>
                <w:szCs w:val="24"/>
              </w:rPr>
              <w:t xml:space="preserve"> Waste Calculator tool with Costs</w:t>
            </w:r>
            <w:r w:rsidR="0051058D" w:rsidRPr="00312501">
              <w:rPr>
                <w:rFonts w:cs="Arial"/>
                <w:szCs w:val="24"/>
              </w:rPr>
              <w:t xml:space="preserve"> </w:t>
            </w:r>
          </w:p>
          <w:p w14:paraId="7A846E58" w14:textId="77777777" w:rsidR="003A3992" w:rsidRDefault="003A3992" w:rsidP="00D46E69">
            <w:pPr>
              <w:spacing w:before="40" w:after="40"/>
              <w:rPr>
                <w:rFonts w:cs="Arial"/>
                <w:szCs w:val="24"/>
              </w:rPr>
            </w:pPr>
          </w:p>
          <w:p w14:paraId="458A2D37" w14:textId="77777777" w:rsidR="003A3992" w:rsidRPr="003B3F4A" w:rsidRDefault="003A3992" w:rsidP="00D46E69">
            <w:pPr>
              <w:spacing w:before="40" w:after="40"/>
              <w:rPr>
                <w:rFonts w:cs="Arial"/>
                <w:szCs w:val="24"/>
              </w:rPr>
            </w:pPr>
            <w:r w:rsidRPr="003A3992">
              <w:rPr>
                <w:rFonts w:cs="Arial"/>
                <w:b/>
                <w:szCs w:val="24"/>
              </w:rPr>
              <w:t>Trigger 2 –</w:t>
            </w:r>
            <w:r>
              <w:rPr>
                <w:rFonts w:cs="Arial"/>
                <w:szCs w:val="24"/>
              </w:rPr>
              <w:t xml:space="preserve"> </w:t>
            </w:r>
            <w:r w:rsidR="00EE339B" w:rsidRPr="003B3F4A">
              <w:rPr>
                <w:rFonts w:cs="Arial"/>
                <w:szCs w:val="24"/>
              </w:rPr>
              <w:t>M</w:t>
            </w:r>
            <w:r w:rsidR="003B3F4A">
              <w:rPr>
                <w:rFonts w:cs="Arial"/>
                <w:szCs w:val="24"/>
              </w:rPr>
              <w:t xml:space="preserve">edicines </w:t>
            </w:r>
            <w:r w:rsidR="00EE339B" w:rsidRPr="003B3F4A">
              <w:rPr>
                <w:rFonts w:cs="Arial"/>
                <w:szCs w:val="24"/>
              </w:rPr>
              <w:t>O</w:t>
            </w:r>
            <w:r w:rsidR="003B3F4A">
              <w:rPr>
                <w:rFonts w:cs="Arial"/>
                <w:szCs w:val="24"/>
              </w:rPr>
              <w:t>ptimisation</w:t>
            </w:r>
            <w:r w:rsidR="00EE339B" w:rsidRPr="003B3F4A">
              <w:rPr>
                <w:rFonts w:cs="Arial"/>
                <w:szCs w:val="24"/>
              </w:rPr>
              <w:t xml:space="preserve"> </w:t>
            </w:r>
            <w:r w:rsidR="003B3F4A">
              <w:rPr>
                <w:rFonts w:cs="Arial"/>
                <w:szCs w:val="24"/>
              </w:rPr>
              <w:t>r</w:t>
            </w:r>
            <w:r w:rsidR="00EE339B" w:rsidRPr="003B3F4A">
              <w:rPr>
                <w:rFonts w:cs="Arial"/>
                <w:szCs w:val="24"/>
              </w:rPr>
              <w:t>eporting template</w:t>
            </w:r>
            <w:r w:rsidR="00EE3CA3" w:rsidRPr="003B3F4A">
              <w:rPr>
                <w:rFonts w:cs="Arial"/>
                <w:szCs w:val="24"/>
              </w:rPr>
              <w:t xml:space="preserve"> </w:t>
            </w:r>
          </w:p>
          <w:p w14:paraId="60F56B93" w14:textId="77777777" w:rsidR="00D46E69" w:rsidRPr="003B3F4A" w:rsidRDefault="00D46E69" w:rsidP="00D46E69">
            <w:pPr>
              <w:spacing w:before="40" w:after="40"/>
              <w:rPr>
                <w:rFonts w:cs="Arial"/>
                <w:szCs w:val="24"/>
              </w:rPr>
            </w:pPr>
          </w:p>
          <w:p w14:paraId="422CC304" w14:textId="5152CC24" w:rsidR="00D46E69" w:rsidRPr="003B3F4A" w:rsidRDefault="004831F7" w:rsidP="00D46E69">
            <w:pPr>
              <w:rPr>
                <w:rFonts w:cs="Arial"/>
                <w:color w:val="000000"/>
                <w:szCs w:val="24"/>
              </w:rPr>
            </w:pPr>
            <w:r w:rsidRPr="003B3F4A">
              <w:rPr>
                <w:rFonts w:cs="Arial"/>
                <w:b/>
                <w:color w:val="000000"/>
                <w:szCs w:val="24"/>
              </w:rPr>
              <w:t>Trigger 3 –</w:t>
            </w:r>
            <w:r w:rsidR="00B0739E" w:rsidRPr="003B3F4A">
              <w:rPr>
                <w:rFonts w:cs="Arial"/>
                <w:color w:val="000000"/>
                <w:szCs w:val="24"/>
              </w:rPr>
              <w:t>M</w:t>
            </w:r>
            <w:r w:rsidR="003B3F4A">
              <w:rPr>
                <w:rFonts w:cs="Arial"/>
                <w:color w:val="000000"/>
                <w:szCs w:val="24"/>
              </w:rPr>
              <w:t xml:space="preserve">edicines </w:t>
            </w:r>
            <w:r w:rsidR="00B0739E" w:rsidRPr="003B3F4A">
              <w:rPr>
                <w:rFonts w:cs="Arial"/>
                <w:color w:val="000000"/>
                <w:szCs w:val="24"/>
              </w:rPr>
              <w:t>O</w:t>
            </w:r>
            <w:r w:rsidR="003B3F4A">
              <w:rPr>
                <w:rFonts w:cs="Arial"/>
                <w:color w:val="000000"/>
                <w:szCs w:val="24"/>
              </w:rPr>
              <w:t>ptimisation r</w:t>
            </w:r>
            <w:r w:rsidR="00EE339B" w:rsidRPr="003B3F4A">
              <w:rPr>
                <w:rFonts w:cs="Arial"/>
                <w:color w:val="000000"/>
                <w:szCs w:val="24"/>
              </w:rPr>
              <w:t>eporting template</w:t>
            </w:r>
          </w:p>
          <w:p w14:paraId="4A423769" w14:textId="77777777" w:rsidR="009B2F9C" w:rsidRPr="003B3F4A" w:rsidRDefault="009B2F9C" w:rsidP="0084461B">
            <w:pPr>
              <w:rPr>
                <w:rFonts w:cs="Arial"/>
                <w:color w:val="000000"/>
                <w:szCs w:val="24"/>
              </w:rPr>
            </w:pPr>
          </w:p>
          <w:p w14:paraId="69549181" w14:textId="77777777" w:rsidR="00711887" w:rsidRDefault="00711887" w:rsidP="0084461B">
            <w:pPr>
              <w:rPr>
                <w:rFonts w:cs="Arial"/>
                <w:color w:val="000000"/>
                <w:szCs w:val="24"/>
              </w:rPr>
            </w:pPr>
            <w:r w:rsidRPr="003B3F4A">
              <w:rPr>
                <w:rFonts w:cs="Arial"/>
                <w:b/>
                <w:color w:val="000000"/>
                <w:szCs w:val="24"/>
              </w:rPr>
              <w:t>Trigger 4 –</w:t>
            </w:r>
            <w:r w:rsidRPr="003B3F4A">
              <w:rPr>
                <w:rFonts w:cs="Arial"/>
                <w:color w:val="000000"/>
                <w:szCs w:val="24"/>
              </w:rPr>
              <w:t xml:space="preserve"> </w:t>
            </w:r>
            <w:r w:rsidR="00EE339B" w:rsidRPr="003B3F4A">
              <w:rPr>
                <w:rFonts w:cs="Arial"/>
                <w:color w:val="000000"/>
                <w:szCs w:val="24"/>
              </w:rPr>
              <w:t>M</w:t>
            </w:r>
            <w:r w:rsidR="003B3F4A">
              <w:rPr>
                <w:rFonts w:cs="Arial"/>
                <w:color w:val="000000"/>
                <w:szCs w:val="24"/>
              </w:rPr>
              <w:t xml:space="preserve">edicines </w:t>
            </w:r>
            <w:r w:rsidR="00EE339B" w:rsidRPr="003B3F4A">
              <w:rPr>
                <w:rFonts w:cs="Arial"/>
                <w:color w:val="000000"/>
                <w:szCs w:val="24"/>
              </w:rPr>
              <w:t>O</w:t>
            </w:r>
            <w:r w:rsidR="003B3F4A">
              <w:rPr>
                <w:rFonts w:cs="Arial"/>
                <w:color w:val="000000"/>
                <w:szCs w:val="24"/>
              </w:rPr>
              <w:t>ptimisation r</w:t>
            </w:r>
            <w:r w:rsidR="00EE339B" w:rsidRPr="003B3F4A">
              <w:rPr>
                <w:rFonts w:cs="Arial"/>
                <w:color w:val="000000"/>
                <w:szCs w:val="24"/>
              </w:rPr>
              <w:t>eporting template</w:t>
            </w:r>
          </w:p>
          <w:p w14:paraId="6C5F0450" w14:textId="77777777" w:rsidR="00D46E69" w:rsidRDefault="00D46E69" w:rsidP="0084461B">
            <w:pPr>
              <w:rPr>
                <w:rFonts w:cs="Arial"/>
                <w:color w:val="000000"/>
                <w:szCs w:val="24"/>
              </w:rPr>
            </w:pPr>
          </w:p>
          <w:p w14:paraId="143553F9" w14:textId="5492EE6D" w:rsidR="00E537C9" w:rsidRDefault="00B2577C" w:rsidP="00E537C9">
            <w:pPr>
              <w:rPr>
                <w:rFonts w:cs="Arial"/>
                <w:b/>
                <w:color w:val="000000"/>
                <w:szCs w:val="24"/>
                <w:u w:val="single"/>
              </w:rPr>
            </w:pPr>
            <w:r w:rsidRPr="008A5CA1">
              <w:rPr>
                <w:rFonts w:cs="Arial"/>
                <w:b/>
                <w:color w:val="000000"/>
                <w:szCs w:val="24"/>
              </w:rPr>
              <w:t>Trigger 5</w:t>
            </w:r>
            <w:r>
              <w:rPr>
                <w:rFonts w:cs="Arial"/>
                <w:color w:val="000000"/>
                <w:szCs w:val="24"/>
              </w:rPr>
              <w:t xml:space="preserve"> </w:t>
            </w:r>
            <w:r w:rsidR="00E42CA9">
              <w:rPr>
                <w:rFonts w:cs="Arial"/>
                <w:color w:val="000000"/>
                <w:szCs w:val="24"/>
              </w:rPr>
              <w:t xml:space="preserve">- </w:t>
            </w:r>
            <w:r w:rsidR="00E42CA9">
              <w:rPr>
                <w:rFonts w:cs="Arial"/>
                <w:szCs w:val="24"/>
              </w:rPr>
              <w:t>Antifungal</w:t>
            </w:r>
            <w:r w:rsidR="005365D3" w:rsidRPr="005365D3">
              <w:rPr>
                <w:rFonts w:cs="Arial"/>
                <w:color w:val="000000" w:themeColor="text1"/>
                <w:szCs w:val="24"/>
              </w:rPr>
              <w:t xml:space="preserve"> stewardship audit tool/KPI template </w:t>
            </w:r>
            <w:r w:rsidR="00921BB3">
              <w:rPr>
                <w:rFonts w:cs="Arial"/>
                <w:color w:val="000000" w:themeColor="text1"/>
                <w:szCs w:val="24"/>
              </w:rPr>
              <w:t>(</w:t>
            </w:r>
            <w:r w:rsidR="003A3992">
              <w:rPr>
                <w:rFonts w:cs="Arial"/>
                <w:color w:val="000000" w:themeColor="text1"/>
                <w:szCs w:val="24"/>
              </w:rPr>
              <w:t>S</w:t>
            </w:r>
            <w:r w:rsidR="005365D3" w:rsidRPr="005365D3">
              <w:rPr>
                <w:rFonts w:cs="Arial"/>
                <w:color w:val="000000" w:themeColor="text1"/>
                <w:szCs w:val="24"/>
              </w:rPr>
              <w:t xml:space="preserve">imilar to that used with the antimicrobial stewardship CQUIN. </w:t>
            </w:r>
            <w:r w:rsidR="00E537C9">
              <w:rPr>
                <w:rFonts w:cs="Arial"/>
                <w:color w:val="000000" w:themeColor="text1"/>
                <w:szCs w:val="24"/>
              </w:rPr>
              <w:t>Fingertips “</w:t>
            </w:r>
            <w:r w:rsidR="005365D3">
              <w:rPr>
                <w:rFonts w:cs="Arial"/>
                <w:color w:val="000000" w:themeColor="text1"/>
                <w:szCs w:val="24"/>
              </w:rPr>
              <w:t>Select “Survey</w:t>
            </w:r>
            <w:r w:rsidR="00E537C9">
              <w:rPr>
                <w:rFonts w:cs="Arial"/>
                <w:color w:val="000000" w:themeColor="text1"/>
                <w:szCs w:val="24"/>
              </w:rPr>
              <w:t xml:space="preserve"> and antifungal usage data</w:t>
            </w:r>
            <w:r w:rsidR="00921BB3">
              <w:rPr>
                <w:rFonts w:cs="Arial"/>
                <w:color w:val="000000" w:themeColor="text1"/>
                <w:szCs w:val="24"/>
              </w:rPr>
              <w:t>)</w:t>
            </w:r>
            <w:r w:rsidR="00E537C9">
              <w:rPr>
                <w:rFonts w:cs="Arial"/>
                <w:color w:val="000000" w:themeColor="text1"/>
                <w:szCs w:val="24"/>
              </w:rPr>
              <w:t xml:space="preserve">. </w:t>
            </w:r>
          </w:p>
          <w:p w14:paraId="5CE321F1" w14:textId="77777777" w:rsidR="005365D3" w:rsidRPr="00512E30" w:rsidRDefault="005365D3" w:rsidP="0084461B">
            <w:pPr>
              <w:rPr>
                <w:rFonts w:cs="Arial"/>
                <w:b/>
                <w:color w:val="000000"/>
                <w:szCs w:val="24"/>
                <w:u w:val="single"/>
              </w:rPr>
            </w:pPr>
          </w:p>
        </w:tc>
      </w:tr>
      <w:tr w:rsidR="00CF3963" w:rsidRPr="000412A1" w14:paraId="7E0B9089" w14:textId="77777777" w:rsidTr="003038EC">
        <w:trPr>
          <w:gridAfter w:val="1"/>
          <w:wAfter w:w="11" w:type="pct"/>
        </w:trPr>
        <w:tc>
          <w:tcPr>
            <w:tcW w:w="4989" w:type="pct"/>
            <w:gridSpan w:val="6"/>
            <w:shd w:val="clear" w:color="auto" w:fill="A6A6A6" w:themeFill="background1" w:themeFillShade="A6"/>
          </w:tcPr>
          <w:p w14:paraId="7D3312A5" w14:textId="77777777" w:rsidR="00970018" w:rsidRDefault="00970018" w:rsidP="00970018">
            <w:pPr>
              <w:rPr>
                <w:rFonts w:cs="Arial"/>
                <w:b/>
                <w:szCs w:val="24"/>
              </w:rPr>
            </w:pPr>
            <w:r>
              <w:rPr>
                <w:rFonts w:cs="Arial"/>
                <w:b/>
                <w:szCs w:val="24"/>
              </w:rPr>
              <w:t xml:space="preserve">C6. </w:t>
            </w:r>
            <w:r w:rsidRPr="009B60A2">
              <w:rPr>
                <w:rFonts w:cs="Arial"/>
                <w:b/>
                <w:szCs w:val="24"/>
              </w:rPr>
              <w:t>Supporting Guidance and References</w:t>
            </w:r>
          </w:p>
          <w:p w14:paraId="2B5F31F0" w14:textId="77777777" w:rsidR="00CF3963" w:rsidRPr="000412A1" w:rsidRDefault="00CF3963" w:rsidP="0084461B">
            <w:pPr>
              <w:rPr>
                <w:rFonts w:cs="Arial"/>
                <w:color w:val="000000"/>
                <w:szCs w:val="24"/>
              </w:rPr>
            </w:pPr>
          </w:p>
        </w:tc>
      </w:tr>
      <w:tr w:rsidR="00970018" w:rsidRPr="000412A1" w14:paraId="54D43D0D" w14:textId="77777777" w:rsidTr="003038EC">
        <w:trPr>
          <w:gridAfter w:val="1"/>
          <w:wAfter w:w="11" w:type="pct"/>
        </w:trPr>
        <w:tc>
          <w:tcPr>
            <w:tcW w:w="4989" w:type="pct"/>
            <w:gridSpan w:val="6"/>
          </w:tcPr>
          <w:p w14:paraId="1CB4DB7F" w14:textId="77777777" w:rsidR="00970018" w:rsidRDefault="00970018" w:rsidP="00970018">
            <w:pPr>
              <w:rPr>
                <w:rFonts w:cs="Arial"/>
                <w:b/>
                <w:szCs w:val="24"/>
              </w:rPr>
            </w:pPr>
            <w:r>
              <w:rPr>
                <w:rFonts w:cs="Arial"/>
                <w:b/>
                <w:szCs w:val="24"/>
              </w:rPr>
              <w:t>Further details on implementation, and references to documents that will support implementation</w:t>
            </w:r>
            <w:r w:rsidR="004429A4">
              <w:rPr>
                <w:rFonts w:cs="Arial"/>
                <w:b/>
                <w:szCs w:val="24"/>
              </w:rPr>
              <w:t>:</w:t>
            </w:r>
          </w:p>
          <w:p w14:paraId="61555733" w14:textId="6D892CD5" w:rsidR="00970018" w:rsidRDefault="00970018" w:rsidP="00970018">
            <w:pPr>
              <w:rPr>
                <w:rFonts w:cs="Arial"/>
                <w:b/>
                <w:szCs w:val="24"/>
              </w:rPr>
            </w:pPr>
          </w:p>
          <w:p w14:paraId="49C9CB2F" w14:textId="77777777" w:rsidR="00217422" w:rsidRDefault="00217422" w:rsidP="00217422">
            <w:pPr>
              <w:rPr>
                <w:rFonts w:cs="Arial"/>
                <w:b/>
                <w:szCs w:val="24"/>
              </w:rPr>
            </w:pPr>
            <w:r>
              <w:rPr>
                <w:rFonts w:cs="Arial"/>
                <w:b/>
                <w:szCs w:val="24"/>
              </w:rPr>
              <w:t xml:space="preserve">See: PSS1 Meds Optimisation Supporting Documentation at </w:t>
            </w:r>
          </w:p>
          <w:p w14:paraId="5D84A3B0" w14:textId="77777777" w:rsidR="00217422" w:rsidRDefault="00A014E1" w:rsidP="00217422">
            <w:pPr>
              <w:rPr>
                <w:rFonts w:cs="Arial"/>
                <w:b/>
                <w:szCs w:val="24"/>
              </w:rPr>
            </w:pPr>
            <w:hyperlink r:id="rId11" w:history="1">
              <w:r w:rsidR="00217422">
                <w:rPr>
                  <w:rStyle w:val="Hyperlink"/>
                </w:rPr>
                <w:t>https://www.england.nhs.uk/nhs-standard-contract/cquin/cquin-19-20/</w:t>
              </w:r>
            </w:hyperlink>
          </w:p>
          <w:p w14:paraId="1AE1FAF1" w14:textId="77777777" w:rsidR="00217422" w:rsidRDefault="00217422" w:rsidP="00970018">
            <w:pPr>
              <w:rPr>
                <w:rFonts w:cs="Arial"/>
                <w:b/>
                <w:szCs w:val="24"/>
              </w:rPr>
            </w:pPr>
          </w:p>
          <w:p w14:paraId="21FF24FB" w14:textId="64990C81" w:rsidR="009B2F9C" w:rsidRDefault="009B2F9C" w:rsidP="00970018">
            <w:pPr>
              <w:rPr>
                <w:rFonts w:cs="Arial"/>
                <w:szCs w:val="24"/>
              </w:rPr>
            </w:pPr>
            <w:r w:rsidRPr="007944CC">
              <w:rPr>
                <w:rFonts w:cs="Arial"/>
                <w:szCs w:val="24"/>
              </w:rPr>
              <w:t>Trigger 1</w:t>
            </w:r>
            <w:r>
              <w:rPr>
                <w:rFonts w:cs="Arial"/>
                <w:b/>
                <w:szCs w:val="24"/>
              </w:rPr>
              <w:t xml:space="preserve"> – </w:t>
            </w:r>
            <w:r w:rsidR="00D51F36" w:rsidRPr="00D51F36">
              <w:rPr>
                <w:rFonts w:cs="Arial"/>
                <w:szCs w:val="24"/>
              </w:rPr>
              <w:t>Reporting tool guidance and b</w:t>
            </w:r>
            <w:r w:rsidR="00C226F8">
              <w:rPr>
                <w:rFonts w:cs="Arial"/>
                <w:szCs w:val="24"/>
              </w:rPr>
              <w:t xml:space="preserve">ackground information </w:t>
            </w:r>
          </w:p>
          <w:p w14:paraId="543A88C6" w14:textId="77777777" w:rsidR="001A120F" w:rsidRDefault="001A120F" w:rsidP="00970018">
            <w:pPr>
              <w:rPr>
                <w:rFonts w:cs="Arial"/>
                <w:szCs w:val="24"/>
              </w:rPr>
            </w:pPr>
          </w:p>
          <w:p w14:paraId="649DFABB" w14:textId="77777777" w:rsidR="001A120F" w:rsidRDefault="001A120F" w:rsidP="00970018">
            <w:pPr>
              <w:rPr>
                <w:rFonts w:cs="Arial"/>
                <w:szCs w:val="24"/>
              </w:rPr>
            </w:pPr>
            <w:r>
              <w:rPr>
                <w:rFonts w:cs="Arial"/>
                <w:szCs w:val="24"/>
              </w:rPr>
              <w:t xml:space="preserve">Trigger 2 </w:t>
            </w:r>
            <w:r w:rsidR="00DD114B">
              <w:rPr>
                <w:rFonts w:cs="Arial"/>
                <w:szCs w:val="24"/>
              </w:rPr>
              <w:t>–</w:t>
            </w:r>
            <w:r>
              <w:rPr>
                <w:rFonts w:cs="Arial"/>
                <w:szCs w:val="24"/>
              </w:rPr>
              <w:t xml:space="preserve"> </w:t>
            </w:r>
            <w:r w:rsidR="00C226F8">
              <w:rPr>
                <w:rFonts w:cs="Arial"/>
                <w:szCs w:val="24"/>
              </w:rPr>
              <w:t>Managed access agreements</w:t>
            </w:r>
            <w:r w:rsidR="006662E3">
              <w:rPr>
                <w:rFonts w:cs="Arial"/>
                <w:szCs w:val="24"/>
              </w:rPr>
              <w:t xml:space="preserve"> </w:t>
            </w:r>
          </w:p>
          <w:p w14:paraId="1BA8B9DE" w14:textId="77777777" w:rsidR="00E550FD" w:rsidRDefault="00E550FD" w:rsidP="00970018">
            <w:pPr>
              <w:rPr>
                <w:rFonts w:cs="Arial"/>
                <w:szCs w:val="24"/>
              </w:rPr>
            </w:pPr>
            <w:r>
              <w:rPr>
                <w:rFonts w:cs="Arial"/>
                <w:szCs w:val="24"/>
              </w:rPr>
              <w:t xml:space="preserve">                  Ataluren - </w:t>
            </w:r>
            <w:hyperlink r:id="rId12" w:history="1">
              <w:r w:rsidRPr="003155D9">
                <w:rPr>
                  <w:rStyle w:val="Hyperlink"/>
                  <w:rFonts w:cs="Arial"/>
                  <w:szCs w:val="24"/>
                </w:rPr>
                <w:t>https://www.nice.org.uk/guidance/hst3/resources</w:t>
              </w:r>
            </w:hyperlink>
          </w:p>
          <w:p w14:paraId="32EF3CA3" w14:textId="77777777" w:rsidR="00E550FD" w:rsidRDefault="00E550FD" w:rsidP="00E550FD">
            <w:r>
              <w:rPr>
                <w:rFonts w:cs="Arial"/>
                <w:szCs w:val="24"/>
              </w:rPr>
              <w:t xml:space="preserve">                  </w:t>
            </w:r>
            <w:r w:rsidR="00511229" w:rsidRPr="00F130AE">
              <w:t xml:space="preserve">Asfotase </w:t>
            </w:r>
            <w:r w:rsidR="00511229">
              <w:t>-</w:t>
            </w:r>
            <w:r>
              <w:t xml:space="preserve"> </w:t>
            </w:r>
            <w:hyperlink r:id="rId13" w:history="1">
              <w:r w:rsidRPr="003155D9">
                <w:rPr>
                  <w:rStyle w:val="Hyperlink"/>
                </w:rPr>
                <w:t>https://www.nice.org.uk/guidance/hst6/chapter/6-Implementation</w:t>
              </w:r>
            </w:hyperlink>
          </w:p>
          <w:p w14:paraId="1EF5FB87" w14:textId="77777777" w:rsidR="00E550FD" w:rsidRDefault="00E550FD" w:rsidP="00E550FD">
            <w:r>
              <w:lastRenderedPageBreak/>
              <w:t xml:space="preserve">                  </w:t>
            </w:r>
            <w:r w:rsidRPr="00F130AE">
              <w:t>Elosulfase</w:t>
            </w:r>
            <w:r>
              <w:t xml:space="preserve"> - </w:t>
            </w:r>
            <w:hyperlink r:id="rId14" w:history="1">
              <w:r w:rsidRPr="003155D9">
                <w:rPr>
                  <w:rStyle w:val="Hyperlink"/>
                </w:rPr>
                <w:t>https://www.nice.org.uk/guidance/HST2/resources</w:t>
              </w:r>
            </w:hyperlink>
          </w:p>
          <w:p w14:paraId="5DBF3A5D" w14:textId="77777777" w:rsidR="00DD114B" w:rsidRDefault="00DD114B" w:rsidP="00970018">
            <w:pPr>
              <w:rPr>
                <w:rFonts w:cs="Arial"/>
                <w:szCs w:val="24"/>
              </w:rPr>
            </w:pPr>
          </w:p>
          <w:p w14:paraId="00CE2B36" w14:textId="6E384E60" w:rsidR="00AD724D" w:rsidRPr="001E7821" w:rsidRDefault="00187BDA" w:rsidP="00970018">
            <w:pPr>
              <w:rPr>
                <w:rFonts w:cs="Arial"/>
                <w:szCs w:val="24"/>
              </w:rPr>
            </w:pPr>
            <w:r w:rsidRPr="001E7821">
              <w:rPr>
                <w:rFonts w:cs="Arial"/>
                <w:szCs w:val="24"/>
              </w:rPr>
              <w:t>Trigger 3</w:t>
            </w:r>
            <w:r>
              <w:rPr>
                <w:rFonts w:cs="Arial"/>
                <w:i/>
                <w:szCs w:val="24"/>
              </w:rPr>
              <w:t xml:space="preserve"> – </w:t>
            </w:r>
            <w:r w:rsidRPr="001E7821">
              <w:rPr>
                <w:rFonts w:cs="Arial"/>
                <w:szCs w:val="24"/>
              </w:rPr>
              <w:t>Bluet</w:t>
            </w:r>
            <w:r w:rsidR="001E7821" w:rsidRPr="001E7821">
              <w:rPr>
                <w:rFonts w:cs="Arial"/>
                <w:szCs w:val="24"/>
              </w:rPr>
              <w:t>e</w:t>
            </w:r>
            <w:r w:rsidRPr="001E7821">
              <w:rPr>
                <w:rFonts w:cs="Arial"/>
                <w:szCs w:val="24"/>
              </w:rPr>
              <w:t xml:space="preserve">q audit </w:t>
            </w:r>
            <w:r w:rsidR="001E7821" w:rsidRPr="001E7821">
              <w:rPr>
                <w:rFonts w:cs="Arial"/>
                <w:szCs w:val="24"/>
              </w:rPr>
              <w:t>tool</w:t>
            </w:r>
            <w:r w:rsidR="001E7821">
              <w:rPr>
                <w:rFonts w:cs="Arial"/>
                <w:szCs w:val="24"/>
              </w:rPr>
              <w:t>.</w:t>
            </w:r>
          </w:p>
          <w:p w14:paraId="4BA403F3" w14:textId="77777777" w:rsidR="001E7821" w:rsidRPr="00187BDA" w:rsidRDefault="001E7821" w:rsidP="00970018">
            <w:pPr>
              <w:rPr>
                <w:rFonts w:cs="Arial"/>
                <w:i/>
                <w:szCs w:val="24"/>
              </w:rPr>
            </w:pPr>
          </w:p>
          <w:p w14:paraId="005C5544" w14:textId="1DBF3DB2" w:rsidR="00C46E03" w:rsidRDefault="00C46E03" w:rsidP="00970018">
            <w:pPr>
              <w:rPr>
                <w:rFonts w:cs="Arial"/>
                <w:b/>
                <w:szCs w:val="24"/>
              </w:rPr>
            </w:pPr>
            <w:r w:rsidRPr="00C46E03">
              <w:rPr>
                <w:rFonts w:cs="Arial"/>
                <w:szCs w:val="24"/>
              </w:rPr>
              <w:t>Trigger 4</w:t>
            </w:r>
            <w:r w:rsidR="00D92F82">
              <w:rPr>
                <w:rFonts w:cs="Arial"/>
                <w:szCs w:val="24"/>
              </w:rPr>
              <w:t xml:space="preserve"> </w:t>
            </w:r>
            <w:r w:rsidR="00E42CA9">
              <w:rPr>
                <w:rFonts w:cs="Arial"/>
                <w:szCs w:val="24"/>
              </w:rPr>
              <w:t>- Best</w:t>
            </w:r>
            <w:r w:rsidR="007944CC">
              <w:rPr>
                <w:rFonts w:cs="Arial"/>
                <w:szCs w:val="24"/>
              </w:rPr>
              <w:t xml:space="preserve"> Value </w:t>
            </w:r>
            <w:r w:rsidR="00C226F8">
              <w:rPr>
                <w:rFonts w:cs="Arial"/>
                <w:szCs w:val="24"/>
              </w:rPr>
              <w:t>supporting information (Available December 2018)</w:t>
            </w:r>
            <w:r w:rsidR="001E7821">
              <w:rPr>
                <w:rFonts w:cs="Arial"/>
                <w:szCs w:val="24"/>
              </w:rPr>
              <w:t>.</w:t>
            </w:r>
          </w:p>
          <w:p w14:paraId="713FD057" w14:textId="77777777" w:rsidR="00C46E03" w:rsidRDefault="00C46E03" w:rsidP="00970018">
            <w:pPr>
              <w:rPr>
                <w:rFonts w:cs="Arial"/>
                <w:b/>
                <w:szCs w:val="24"/>
              </w:rPr>
            </w:pPr>
          </w:p>
          <w:p w14:paraId="38289F9D" w14:textId="77777777" w:rsidR="006662E3" w:rsidRDefault="00B2577C" w:rsidP="00D46E69">
            <w:pPr>
              <w:rPr>
                <w:rFonts w:cs="Arial"/>
                <w:color w:val="000000" w:themeColor="text1"/>
                <w:szCs w:val="24"/>
              </w:rPr>
            </w:pPr>
            <w:r>
              <w:rPr>
                <w:rFonts w:cs="Arial"/>
                <w:szCs w:val="24"/>
              </w:rPr>
              <w:t>Trigger 5 - A</w:t>
            </w:r>
            <w:r w:rsidRPr="004A2900">
              <w:rPr>
                <w:rFonts w:cs="Arial"/>
                <w:color w:val="000000" w:themeColor="text1"/>
                <w:szCs w:val="24"/>
              </w:rPr>
              <w:t>nti</w:t>
            </w:r>
            <w:r>
              <w:rPr>
                <w:rFonts w:cs="Arial"/>
                <w:color w:val="000000" w:themeColor="text1"/>
                <w:szCs w:val="24"/>
              </w:rPr>
              <w:t>-f</w:t>
            </w:r>
            <w:r w:rsidRPr="004A2900">
              <w:rPr>
                <w:rFonts w:cs="Arial"/>
                <w:color w:val="000000" w:themeColor="text1"/>
                <w:szCs w:val="24"/>
              </w:rPr>
              <w:t>ungal stewardship audit tool</w:t>
            </w:r>
            <w:r w:rsidR="00E537C9">
              <w:rPr>
                <w:rFonts w:cs="Arial"/>
                <w:color w:val="000000" w:themeColor="text1"/>
                <w:szCs w:val="24"/>
              </w:rPr>
              <w:t>/KPI template (NHSE Web). Fingertips database of antifungal audits and the Improving Value Implementation Packs.</w:t>
            </w:r>
          </w:p>
          <w:p w14:paraId="09801DBC" w14:textId="77777777" w:rsidR="005365D3" w:rsidRDefault="005365D3" w:rsidP="00D46E69">
            <w:pPr>
              <w:rPr>
                <w:rFonts w:cs="Arial"/>
                <w:b/>
                <w:szCs w:val="24"/>
              </w:rPr>
            </w:pPr>
          </w:p>
          <w:p w14:paraId="3CDBBC51" w14:textId="77777777" w:rsidR="00B146CB" w:rsidRDefault="00B146CB" w:rsidP="00D46E69">
            <w:pPr>
              <w:rPr>
                <w:rFonts w:cs="Arial"/>
                <w:b/>
                <w:szCs w:val="24"/>
              </w:rPr>
            </w:pPr>
          </w:p>
        </w:tc>
      </w:tr>
      <w:tr w:rsidR="00234135" w:rsidRPr="000412A1" w14:paraId="717FDB15" w14:textId="77777777" w:rsidTr="003038EC">
        <w:trPr>
          <w:gridAfter w:val="1"/>
          <w:wAfter w:w="11" w:type="pct"/>
        </w:trPr>
        <w:tc>
          <w:tcPr>
            <w:tcW w:w="4989" w:type="pct"/>
            <w:gridSpan w:val="6"/>
            <w:shd w:val="clear" w:color="auto" w:fill="BFBFBF" w:themeFill="background1" w:themeFillShade="BF"/>
          </w:tcPr>
          <w:p w14:paraId="6D36FC74" w14:textId="77777777" w:rsidR="00234135" w:rsidRPr="000412A1" w:rsidRDefault="00234135" w:rsidP="0084461B">
            <w:pPr>
              <w:spacing w:before="40" w:after="40"/>
              <w:rPr>
                <w:rFonts w:cs="Arial"/>
                <w:b/>
                <w:color w:val="000000"/>
                <w:szCs w:val="24"/>
              </w:rPr>
            </w:pPr>
            <w:r>
              <w:rPr>
                <w:rFonts w:cs="Arial"/>
                <w:b/>
                <w:color w:val="000000"/>
                <w:szCs w:val="24"/>
              </w:rPr>
              <w:lastRenderedPageBreak/>
              <w:t xml:space="preserve">D. </w:t>
            </w:r>
            <w:r w:rsidR="001F421F">
              <w:rPr>
                <w:rFonts w:cs="Arial"/>
                <w:b/>
                <w:color w:val="000000"/>
                <w:szCs w:val="24"/>
              </w:rPr>
              <w:t>Indicator</w:t>
            </w:r>
            <w:r>
              <w:rPr>
                <w:rFonts w:cs="Arial"/>
                <w:b/>
                <w:color w:val="000000"/>
                <w:szCs w:val="24"/>
              </w:rPr>
              <w:t xml:space="preserve"> Justification</w:t>
            </w:r>
            <w:r w:rsidR="001F6AA3">
              <w:rPr>
                <w:rFonts w:cs="Arial"/>
                <w:b/>
                <w:color w:val="000000"/>
                <w:szCs w:val="24"/>
              </w:rPr>
              <w:t xml:space="preserve"> and Evaluation</w:t>
            </w:r>
          </w:p>
        </w:tc>
      </w:tr>
      <w:tr w:rsidR="00234135" w:rsidRPr="000412A1" w14:paraId="3D3B19E2" w14:textId="77777777" w:rsidTr="003038EC">
        <w:trPr>
          <w:gridAfter w:val="1"/>
          <w:wAfter w:w="11" w:type="pct"/>
        </w:trPr>
        <w:tc>
          <w:tcPr>
            <w:tcW w:w="4989" w:type="pct"/>
            <w:gridSpan w:val="6"/>
            <w:shd w:val="clear" w:color="auto" w:fill="D9D9D9" w:themeFill="background1" w:themeFillShade="D9"/>
          </w:tcPr>
          <w:p w14:paraId="5104B907" w14:textId="77777777" w:rsidR="00234135" w:rsidRPr="00C0263E" w:rsidRDefault="00234135" w:rsidP="0026417D">
            <w:pPr>
              <w:spacing w:before="40" w:after="40"/>
              <w:rPr>
                <w:rFonts w:cs="Arial"/>
                <w:szCs w:val="24"/>
              </w:rPr>
            </w:pPr>
            <w:r>
              <w:rPr>
                <w:rFonts w:cs="Arial"/>
                <w:b/>
                <w:color w:val="000000"/>
                <w:szCs w:val="24"/>
              </w:rPr>
              <w:t xml:space="preserve">D1. </w:t>
            </w:r>
            <w:r w:rsidR="0026417D">
              <w:rPr>
                <w:rFonts w:cs="Arial"/>
                <w:b/>
                <w:color w:val="000000"/>
                <w:szCs w:val="24"/>
              </w:rPr>
              <w:t xml:space="preserve">Evidence and </w:t>
            </w:r>
            <w:r w:rsidRPr="000412A1">
              <w:rPr>
                <w:rFonts w:cs="Arial"/>
                <w:b/>
                <w:color w:val="000000"/>
                <w:szCs w:val="24"/>
              </w:rPr>
              <w:t xml:space="preserve">Rationale for </w:t>
            </w:r>
            <w:r w:rsidR="0026417D">
              <w:rPr>
                <w:rFonts w:cs="Arial"/>
                <w:b/>
                <w:color w:val="000000"/>
                <w:szCs w:val="24"/>
              </w:rPr>
              <w:t>I</w:t>
            </w:r>
            <w:r w:rsidRPr="000412A1">
              <w:rPr>
                <w:rFonts w:cs="Arial"/>
                <w:b/>
                <w:color w:val="000000"/>
                <w:szCs w:val="24"/>
              </w:rPr>
              <w:t>nclusion</w:t>
            </w:r>
            <w:r w:rsidR="0026417D">
              <w:rPr>
                <w:rFonts w:cs="Arial"/>
                <w:b/>
                <w:color w:val="000000"/>
                <w:szCs w:val="24"/>
              </w:rPr>
              <w:t xml:space="preserve"> </w:t>
            </w:r>
          </w:p>
        </w:tc>
      </w:tr>
      <w:tr w:rsidR="00234135" w:rsidRPr="000412A1" w14:paraId="0CC76CFB" w14:textId="77777777" w:rsidTr="003038EC">
        <w:trPr>
          <w:gridAfter w:val="1"/>
          <w:wAfter w:w="11" w:type="pct"/>
        </w:trPr>
        <w:tc>
          <w:tcPr>
            <w:tcW w:w="4989" w:type="pct"/>
            <w:gridSpan w:val="6"/>
            <w:shd w:val="clear" w:color="auto" w:fill="auto"/>
          </w:tcPr>
          <w:p w14:paraId="1F5CD2DD" w14:textId="77777777" w:rsidR="0026417D" w:rsidRPr="0026417D" w:rsidRDefault="0026417D" w:rsidP="0026417D">
            <w:pPr>
              <w:rPr>
                <w:rFonts w:cs="Arial"/>
                <w:b/>
                <w:color w:val="000000"/>
                <w:szCs w:val="24"/>
                <w:u w:val="single"/>
              </w:rPr>
            </w:pPr>
            <w:r w:rsidRPr="0026417D">
              <w:rPr>
                <w:rFonts w:cs="Arial"/>
                <w:b/>
                <w:color w:val="000000"/>
                <w:szCs w:val="24"/>
                <w:u w:val="single"/>
              </w:rPr>
              <w:t>Evidence Supporting Intervention Sought</w:t>
            </w:r>
          </w:p>
          <w:p w14:paraId="47122101" w14:textId="7E510AB6" w:rsidR="00711887" w:rsidRPr="00711887" w:rsidRDefault="00711887" w:rsidP="00945B1E">
            <w:pPr>
              <w:rPr>
                <w:rFonts w:cs="Arial"/>
                <w:szCs w:val="24"/>
              </w:rPr>
            </w:pPr>
            <w:r w:rsidRPr="00711887">
              <w:rPr>
                <w:rFonts w:cs="Arial"/>
                <w:szCs w:val="24"/>
              </w:rPr>
              <w:t xml:space="preserve">The </w:t>
            </w:r>
            <w:hyperlink r:id="rId15" w:history="1">
              <w:r w:rsidRPr="007F6B9B">
                <w:rPr>
                  <w:rStyle w:val="Hyperlink"/>
                  <w:rFonts w:cs="Arial"/>
                  <w:szCs w:val="24"/>
                </w:rPr>
                <w:t>Carter Review</w:t>
              </w:r>
            </w:hyperlink>
            <w:r w:rsidRPr="00711887">
              <w:rPr>
                <w:rFonts w:cs="Arial"/>
                <w:szCs w:val="24"/>
              </w:rPr>
              <w:t xml:space="preserve"> found significant variation in total pharmacy and medicines costs across acute trusts. It states that some of this variation may be explained by the presence of teaching or specialist services, however, at this high level, if all</w:t>
            </w:r>
            <w:r w:rsidR="00B2577C">
              <w:rPr>
                <w:rFonts w:cs="Arial"/>
                <w:szCs w:val="24"/>
              </w:rPr>
              <w:t xml:space="preserve"> above-average-cost</w:t>
            </w:r>
            <w:r w:rsidRPr="00711887">
              <w:rPr>
                <w:rFonts w:cs="Arial"/>
                <w:szCs w:val="24"/>
              </w:rPr>
              <w:t xml:space="preserve"> trusts achieve</w:t>
            </w:r>
            <w:r w:rsidR="00B2577C">
              <w:rPr>
                <w:rFonts w:cs="Arial"/>
                <w:szCs w:val="24"/>
              </w:rPr>
              <w:t>d</w:t>
            </w:r>
            <w:r w:rsidRPr="00711887">
              <w:rPr>
                <w:rFonts w:cs="Arial"/>
                <w:szCs w:val="24"/>
              </w:rPr>
              <w:t xml:space="preserve"> average cost then the NHS could save £800m. </w:t>
            </w:r>
          </w:p>
          <w:p w14:paraId="1D891076" w14:textId="77777777" w:rsidR="00711887" w:rsidRPr="00711887" w:rsidRDefault="00711887" w:rsidP="00711887">
            <w:pPr>
              <w:rPr>
                <w:rFonts w:cs="Arial"/>
                <w:szCs w:val="24"/>
              </w:rPr>
            </w:pPr>
          </w:p>
          <w:p w14:paraId="2E494454" w14:textId="77777777" w:rsidR="00711887" w:rsidRPr="00711887" w:rsidRDefault="00711887" w:rsidP="00945B1E">
            <w:pPr>
              <w:rPr>
                <w:rFonts w:cs="Arial"/>
                <w:szCs w:val="24"/>
              </w:rPr>
            </w:pPr>
            <w:r w:rsidRPr="00711887">
              <w:rPr>
                <w:rFonts w:cs="Arial"/>
                <w:szCs w:val="24"/>
              </w:rPr>
              <w:t>The National Audit Office report on the commissioning of specialised services in the NHS has also highlighted issues which need to be addressed to allow NHS England to achieve better control of rising drug costs</w:t>
            </w:r>
            <w:r w:rsidR="00B2577C">
              <w:rPr>
                <w:rFonts w:cs="Arial"/>
                <w:szCs w:val="24"/>
              </w:rPr>
              <w:t>.</w:t>
            </w:r>
            <w:r w:rsidRPr="00711887">
              <w:rPr>
                <w:rFonts w:cs="Arial"/>
                <w:szCs w:val="24"/>
              </w:rPr>
              <w:t xml:space="preserve"> </w:t>
            </w:r>
          </w:p>
          <w:p w14:paraId="4BCF0C9A" w14:textId="77777777" w:rsidR="00711887" w:rsidRPr="00945B1E" w:rsidRDefault="00711887" w:rsidP="00711887">
            <w:pPr>
              <w:rPr>
                <w:rFonts w:cs="Arial"/>
                <w:b/>
                <w:szCs w:val="24"/>
              </w:rPr>
            </w:pPr>
          </w:p>
          <w:p w14:paraId="612351BA" w14:textId="77777777" w:rsidR="00945B1E" w:rsidRPr="00945B1E" w:rsidRDefault="00945B1E" w:rsidP="00711887">
            <w:pPr>
              <w:rPr>
                <w:rFonts w:cs="Arial"/>
                <w:b/>
                <w:szCs w:val="24"/>
              </w:rPr>
            </w:pPr>
            <w:r w:rsidRPr="00945B1E">
              <w:rPr>
                <w:rFonts w:cs="Arial"/>
                <w:b/>
                <w:szCs w:val="24"/>
              </w:rPr>
              <w:t xml:space="preserve">Trigger 1 - </w:t>
            </w:r>
          </w:p>
          <w:p w14:paraId="230327FC" w14:textId="77777777" w:rsidR="00711887" w:rsidRPr="00711887" w:rsidRDefault="00711887" w:rsidP="00711887">
            <w:pPr>
              <w:rPr>
                <w:rFonts w:cs="Arial"/>
                <w:szCs w:val="24"/>
              </w:rPr>
            </w:pPr>
            <w:r w:rsidRPr="00711887">
              <w:rPr>
                <w:rFonts w:cs="Arial"/>
                <w:szCs w:val="24"/>
              </w:rPr>
              <w:t>Approx. £1.7billion is spent on systemic anticancer therapy (SACT) in England, with annual growth of around 8%. Approx. £1 billion is spent on IV chemotherapy. Case studies suggest levels of waste of around 2% of provider spend on IV SACT (approx. £34</w:t>
            </w:r>
            <w:r w:rsidR="00557E71">
              <w:rPr>
                <w:rFonts w:cs="Arial"/>
                <w:szCs w:val="24"/>
              </w:rPr>
              <w:t>m</w:t>
            </w:r>
            <w:r w:rsidRPr="00711887">
              <w:rPr>
                <w:rFonts w:cs="Arial"/>
                <w:szCs w:val="24"/>
              </w:rPr>
              <w:t xml:space="preserve">). </w:t>
            </w:r>
          </w:p>
          <w:p w14:paraId="5433322F" w14:textId="77777777" w:rsidR="00C95A16" w:rsidRDefault="00C95A16" w:rsidP="00945B1E">
            <w:pPr>
              <w:spacing w:before="40" w:after="40"/>
              <w:rPr>
                <w:rFonts w:cs="Arial"/>
                <w:b/>
                <w:color w:val="000000"/>
                <w:szCs w:val="24"/>
              </w:rPr>
            </w:pPr>
          </w:p>
          <w:p w14:paraId="67C6EA04" w14:textId="0598DBC1" w:rsidR="00945B1E" w:rsidRPr="00945B1E" w:rsidRDefault="00945B1E" w:rsidP="00945B1E">
            <w:pPr>
              <w:spacing w:before="40" w:after="40"/>
              <w:rPr>
                <w:rFonts w:cs="Arial"/>
                <w:color w:val="000000"/>
                <w:szCs w:val="24"/>
              </w:rPr>
            </w:pPr>
            <w:r w:rsidRPr="00945B1E">
              <w:rPr>
                <w:rFonts w:cs="Arial"/>
                <w:b/>
                <w:color w:val="000000"/>
                <w:szCs w:val="24"/>
              </w:rPr>
              <w:t xml:space="preserve">Trigger </w:t>
            </w:r>
            <w:r w:rsidR="00D2525F">
              <w:rPr>
                <w:rFonts w:cs="Arial"/>
                <w:b/>
                <w:color w:val="000000"/>
                <w:szCs w:val="24"/>
              </w:rPr>
              <w:t xml:space="preserve">2 </w:t>
            </w:r>
            <w:r w:rsidRPr="00945B1E">
              <w:rPr>
                <w:rFonts w:cs="Arial"/>
                <w:color w:val="000000"/>
                <w:szCs w:val="24"/>
              </w:rPr>
              <w:t xml:space="preserve">– </w:t>
            </w:r>
          </w:p>
          <w:p w14:paraId="550C97E8" w14:textId="77777777" w:rsidR="00443C51" w:rsidRDefault="00945B1E" w:rsidP="007944CC">
            <w:pPr>
              <w:spacing w:before="40" w:after="40"/>
              <w:rPr>
                <w:rFonts w:cs="Arial"/>
                <w:bCs w:val="0"/>
                <w:color w:val="000000"/>
                <w:szCs w:val="24"/>
                <w:lang w:eastAsia="en-US"/>
              </w:rPr>
            </w:pPr>
            <w:r w:rsidRPr="00945B1E">
              <w:rPr>
                <w:rFonts w:cs="Arial"/>
                <w:color w:val="000000"/>
                <w:szCs w:val="24"/>
              </w:rPr>
              <w:t>NHS England has three managed access agreements (MAAs) in place for Highly Specialised Technologies.</w:t>
            </w:r>
            <w:r w:rsidR="00443C51">
              <w:rPr>
                <w:rFonts w:cs="Arial"/>
                <w:color w:val="000000"/>
                <w:szCs w:val="24"/>
              </w:rPr>
              <w:t xml:space="preserve"> These agreements allow for early access to treatments where clinical and cost effectiveness is yet to be determined by NICE.</w:t>
            </w:r>
          </w:p>
          <w:p w14:paraId="5F2C942B" w14:textId="77777777" w:rsidR="00DD114B" w:rsidRDefault="00DD114B" w:rsidP="007944CC">
            <w:pPr>
              <w:spacing w:before="40" w:after="40"/>
              <w:rPr>
                <w:rFonts w:eastAsiaTheme="minorHAnsi" w:cstheme="minorBidi"/>
                <w:bCs w:val="0"/>
                <w:szCs w:val="24"/>
                <w:lang w:eastAsia="en-US"/>
              </w:rPr>
            </w:pPr>
          </w:p>
          <w:p w14:paraId="4C3D1D3F" w14:textId="77777777" w:rsidR="00443C51" w:rsidRDefault="00443C51" w:rsidP="007944CC">
            <w:pPr>
              <w:spacing w:before="40" w:after="40"/>
              <w:rPr>
                <w:rFonts w:eastAsiaTheme="minorHAnsi" w:cstheme="minorBidi"/>
                <w:bCs w:val="0"/>
                <w:szCs w:val="24"/>
                <w:lang w:eastAsia="en-US"/>
              </w:rPr>
            </w:pPr>
            <w:r w:rsidRPr="00443C51">
              <w:rPr>
                <w:rFonts w:eastAsiaTheme="minorHAnsi" w:cstheme="minorBidi"/>
                <w:bCs w:val="0"/>
                <w:szCs w:val="24"/>
                <w:lang w:eastAsia="en-US"/>
              </w:rPr>
              <w:t>Data on effectiveness</w:t>
            </w:r>
            <w:r>
              <w:rPr>
                <w:rFonts w:eastAsiaTheme="minorHAnsi" w:cstheme="minorBidi"/>
                <w:bCs w:val="0"/>
                <w:szCs w:val="24"/>
                <w:lang w:eastAsia="en-US"/>
              </w:rPr>
              <w:t xml:space="preserve"> of these technologies for patients </w:t>
            </w:r>
            <w:r w:rsidRPr="00443C51">
              <w:rPr>
                <w:rFonts w:eastAsiaTheme="minorHAnsi" w:cstheme="minorBidi"/>
                <w:bCs w:val="0"/>
                <w:szCs w:val="24"/>
                <w:lang w:eastAsia="en-US"/>
              </w:rPr>
              <w:t>is collected during the period of the agreement</w:t>
            </w:r>
            <w:r w:rsidR="00B2577C">
              <w:rPr>
                <w:rFonts w:eastAsiaTheme="minorHAnsi" w:cstheme="minorBidi"/>
                <w:bCs w:val="0"/>
                <w:szCs w:val="24"/>
                <w:lang w:eastAsia="en-US"/>
              </w:rPr>
              <w:t>,</w:t>
            </w:r>
            <w:r w:rsidRPr="00443C51">
              <w:rPr>
                <w:rFonts w:eastAsiaTheme="minorHAnsi" w:cstheme="minorBidi"/>
                <w:bCs w:val="0"/>
                <w:szCs w:val="24"/>
                <w:lang w:eastAsia="en-US"/>
              </w:rPr>
              <w:t xml:space="preserve"> after which point the drug is re-evaluated (usually five years but depends on NICE’s assessment of how much data is required to make a final decision). The drug may be ceased if patients meet the agreed ‘Stop’ criteria at defined points.</w:t>
            </w:r>
          </w:p>
          <w:p w14:paraId="5F97DBBE" w14:textId="77777777" w:rsidR="00443C51" w:rsidRPr="00443C51" w:rsidRDefault="00443C51" w:rsidP="007944CC">
            <w:pPr>
              <w:spacing w:before="40" w:after="40"/>
              <w:rPr>
                <w:rFonts w:eastAsiaTheme="minorHAnsi" w:cstheme="minorBidi"/>
                <w:bCs w:val="0"/>
                <w:szCs w:val="24"/>
                <w:lang w:eastAsia="en-US"/>
              </w:rPr>
            </w:pPr>
          </w:p>
          <w:p w14:paraId="5FD5EA67" w14:textId="77777777" w:rsidR="00443C51" w:rsidRPr="00443C51" w:rsidRDefault="00443C51" w:rsidP="00443C51">
            <w:pPr>
              <w:spacing w:after="200" w:line="276" w:lineRule="auto"/>
              <w:contextualSpacing/>
              <w:rPr>
                <w:rFonts w:eastAsiaTheme="minorHAnsi" w:cstheme="minorBidi"/>
                <w:bCs w:val="0"/>
                <w:szCs w:val="24"/>
                <w:lang w:eastAsia="en-US"/>
              </w:rPr>
            </w:pPr>
            <w:r w:rsidRPr="00443C51">
              <w:rPr>
                <w:rFonts w:eastAsiaTheme="minorHAnsi" w:cstheme="minorBidi"/>
                <w:bCs w:val="0"/>
                <w:szCs w:val="24"/>
                <w:lang w:eastAsia="en-US"/>
              </w:rPr>
              <w:t>Experience to date shows that providers of highly specialised technologies are struggling with capacity to:</w:t>
            </w:r>
          </w:p>
          <w:p w14:paraId="2C8E5E37" w14:textId="77777777" w:rsidR="00443C51" w:rsidRPr="00443C51" w:rsidRDefault="00443C51" w:rsidP="00443C51">
            <w:pPr>
              <w:numPr>
                <w:ilvl w:val="0"/>
                <w:numId w:val="15"/>
              </w:numPr>
              <w:spacing w:after="200" w:line="276" w:lineRule="auto"/>
              <w:contextualSpacing/>
              <w:rPr>
                <w:rFonts w:eastAsiaTheme="minorHAnsi" w:cstheme="minorBidi"/>
                <w:bCs w:val="0"/>
                <w:szCs w:val="24"/>
                <w:lang w:eastAsia="en-US"/>
              </w:rPr>
            </w:pPr>
            <w:r w:rsidRPr="00443C51">
              <w:rPr>
                <w:rFonts w:eastAsiaTheme="minorHAnsi" w:cstheme="minorBidi"/>
                <w:bCs w:val="0"/>
                <w:szCs w:val="24"/>
                <w:lang w:eastAsia="en-US"/>
              </w:rPr>
              <w:t>Review patients in line with the MAA</w:t>
            </w:r>
          </w:p>
          <w:p w14:paraId="6CC133ED" w14:textId="77777777" w:rsidR="00443C51" w:rsidRDefault="00443C51" w:rsidP="00443C51">
            <w:pPr>
              <w:numPr>
                <w:ilvl w:val="0"/>
                <w:numId w:val="15"/>
              </w:numPr>
              <w:spacing w:after="200" w:line="276" w:lineRule="auto"/>
              <w:contextualSpacing/>
              <w:rPr>
                <w:rFonts w:eastAsiaTheme="minorHAnsi" w:cstheme="minorBidi"/>
                <w:bCs w:val="0"/>
                <w:szCs w:val="24"/>
                <w:lang w:eastAsia="en-US"/>
              </w:rPr>
            </w:pPr>
            <w:r w:rsidRPr="00443C51">
              <w:rPr>
                <w:rFonts w:eastAsiaTheme="minorHAnsi" w:cstheme="minorBidi"/>
                <w:bCs w:val="0"/>
                <w:szCs w:val="24"/>
                <w:lang w:eastAsia="en-US"/>
              </w:rPr>
              <w:t>Report data as per the MAA</w:t>
            </w:r>
            <w:r w:rsidR="00B2577C">
              <w:rPr>
                <w:rFonts w:eastAsiaTheme="minorHAnsi" w:cstheme="minorBidi"/>
                <w:bCs w:val="0"/>
                <w:szCs w:val="24"/>
                <w:lang w:eastAsia="en-US"/>
              </w:rPr>
              <w:t>.</w:t>
            </w:r>
          </w:p>
          <w:p w14:paraId="4AF20408" w14:textId="77777777" w:rsidR="0093342B" w:rsidRPr="001844AF" w:rsidRDefault="0093342B" w:rsidP="001844AF">
            <w:pPr>
              <w:spacing w:after="200" w:line="276" w:lineRule="auto"/>
              <w:rPr>
                <w:rFonts w:eastAsiaTheme="minorHAnsi" w:cstheme="minorBidi"/>
                <w:bCs w:val="0"/>
                <w:sz w:val="2"/>
                <w:szCs w:val="24"/>
                <w:lang w:eastAsia="en-US"/>
              </w:rPr>
            </w:pPr>
          </w:p>
          <w:p w14:paraId="41918757" w14:textId="77777777" w:rsidR="00443C51" w:rsidRDefault="00443C51" w:rsidP="001844AF">
            <w:pPr>
              <w:spacing w:after="200" w:line="276" w:lineRule="auto"/>
              <w:rPr>
                <w:rFonts w:cs="Arial"/>
                <w:bCs w:val="0"/>
                <w:color w:val="000000"/>
                <w:szCs w:val="24"/>
                <w:lang w:eastAsia="en-US"/>
              </w:rPr>
            </w:pPr>
            <w:r w:rsidRPr="00443C51">
              <w:rPr>
                <w:rFonts w:eastAsiaTheme="minorHAnsi" w:cstheme="minorBidi"/>
                <w:bCs w:val="0"/>
                <w:szCs w:val="24"/>
                <w:lang w:eastAsia="en-US"/>
              </w:rPr>
              <w:t xml:space="preserve">The information from the patient reviews and data collection is required to ensure that NHSE receives the appropriate value from the schemes </w:t>
            </w:r>
            <w:r w:rsidR="0093342B">
              <w:rPr>
                <w:rFonts w:eastAsiaTheme="minorHAnsi" w:cstheme="minorBidi"/>
                <w:bCs w:val="0"/>
                <w:szCs w:val="24"/>
                <w:lang w:eastAsia="en-US"/>
              </w:rPr>
              <w:t xml:space="preserve">and so the technologies can be assessed </w:t>
            </w:r>
            <w:r w:rsidR="00DD114B">
              <w:rPr>
                <w:rFonts w:eastAsiaTheme="minorHAnsi" w:cstheme="minorBidi"/>
                <w:bCs w:val="0"/>
                <w:szCs w:val="24"/>
                <w:lang w:eastAsia="en-US"/>
              </w:rPr>
              <w:t>by NICE.</w:t>
            </w:r>
          </w:p>
          <w:p w14:paraId="0701E5AF" w14:textId="77777777" w:rsidR="00443C51" w:rsidRDefault="0093342B" w:rsidP="001844AF">
            <w:pPr>
              <w:spacing w:before="40" w:after="40"/>
              <w:rPr>
                <w:rFonts w:cs="Arial"/>
                <w:bCs w:val="0"/>
                <w:szCs w:val="24"/>
                <w:lang w:eastAsia="en-US"/>
              </w:rPr>
            </w:pPr>
            <w:r>
              <w:rPr>
                <w:rFonts w:cs="Arial"/>
                <w:color w:val="000000"/>
                <w:szCs w:val="24"/>
              </w:rPr>
              <w:t>There are c</w:t>
            </w:r>
            <w:r w:rsidR="00443C51" w:rsidRPr="00443C51">
              <w:rPr>
                <w:rFonts w:cs="Arial"/>
                <w:szCs w:val="24"/>
                <w:lang w:eastAsia="en-US"/>
              </w:rPr>
              <w:t xml:space="preserve">urrently less than 100 patients </w:t>
            </w:r>
            <w:r>
              <w:rPr>
                <w:rFonts w:cs="Arial"/>
                <w:szCs w:val="24"/>
                <w:lang w:eastAsia="en-US"/>
              </w:rPr>
              <w:t xml:space="preserve">accessing an MAA, however, </w:t>
            </w:r>
            <w:r w:rsidR="00443C51" w:rsidRPr="00443C51">
              <w:rPr>
                <w:rFonts w:cs="Arial"/>
                <w:szCs w:val="24"/>
                <w:lang w:eastAsia="en-US"/>
              </w:rPr>
              <w:t xml:space="preserve">there </w:t>
            </w:r>
            <w:r w:rsidR="001775F3">
              <w:rPr>
                <w:rFonts w:cs="Arial"/>
                <w:szCs w:val="24"/>
                <w:lang w:eastAsia="en-US"/>
              </w:rPr>
              <w:t>are</w:t>
            </w:r>
            <w:r w:rsidR="00443C51" w:rsidRPr="00443C51">
              <w:rPr>
                <w:rFonts w:cs="Arial"/>
                <w:szCs w:val="24"/>
                <w:lang w:eastAsia="en-US"/>
              </w:rPr>
              <w:t xml:space="preserve"> </w:t>
            </w:r>
            <w:r>
              <w:rPr>
                <w:rFonts w:cs="Arial"/>
                <w:szCs w:val="24"/>
                <w:lang w:eastAsia="en-US"/>
              </w:rPr>
              <w:t>a</w:t>
            </w:r>
            <w:r w:rsidR="00443C51">
              <w:rPr>
                <w:rFonts w:cs="Arial"/>
                <w:szCs w:val="24"/>
                <w:lang w:eastAsia="en-US"/>
              </w:rPr>
              <w:t xml:space="preserve"> further</w:t>
            </w:r>
            <w:r>
              <w:rPr>
                <w:rFonts w:cs="Arial"/>
                <w:szCs w:val="24"/>
                <w:lang w:eastAsia="en-US"/>
              </w:rPr>
              <w:t xml:space="preserve"> </w:t>
            </w:r>
            <w:r w:rsidR="001775F3">
              <w:rPr>
                <w:rFonts w:cs="Arial"/>
                <w:szCs w:val="24"/>
                <w:lang w:eastAsia="en-US"/>
              </w:rPr>
              <w:t>ten</w:t>
            </w:r>
            <w:r w:rsidR="00443C51">
              <w:rPr>
                <w:rFonts w:cs="Arial"/>
                <w:szCs w:val="24"/>
                <w:lang w:eastAsia="en-US"/>
              </w:rPr>
              <w:t xml:space="preserve"> HSTs in the pipeline.</w:t>
            </w:r>
          </w:p>
          <w:p w14:paraId="6ED50C37" w14:textId="77777777" w:rsidR="0093342B" w:rsidRPr="003A3992" w:rsidRDefault="0093342B" w:rsidP="001844AF">
            <w:pPr>
              <w:spacing w:before="40" w:after="40"/>
              <w:rPr>
                <w:rFonts w:cs="Arial"/>
                <w:bCs w:val="0"/>
                <w:sz w:val="10"/>
                <w:szCs w:val="24"/>
                <w:lang w:eastAsia="en-US"/>
              </w:rPr>
            </w:pPr>
          </w:p>
          <w:p w14:paraId="7E42892C" w14:textId="77777777" w:rsidR="00443C51" w:rsidRPr="00443C51" w:rsidRDefault="0093342B" w:rsidP="00443C51">
            <w:pPr>
              <w:rPr>
                <w:rFonts w:cs="Arial"/>
                <w:szCs w:val="24"/>
                <w:lang w:eastAsia="en-US"/>
              </w:rPr>
            </w:pPr>
            <w:r>
              <w:rPr>
                <w:rFonts w:cs="Arial"/>
                <w:szCs w:val="24"/>
                <w:lang w:eastAsia="en-US"/>
              </w:rPr>
              <w:t>The s</w:t>
            </w:r>
            <w:r w:rsidR="00443C51" w:rsidRPr="00443C51">
              <w:rPr>
                <w:rFonts w:cs="Arial"/>
                <w:szCs w:val="24"/>
                <w:lang w:eastAsia="en-US"/>
              </w:rPr>
              <w:t xml:space="preserve">cale of service to which </w:t>
            </w:r>
            <w:r>
              <w:rPr>
                <w:rFonts w:cs="Arial"/>
                <w:szCs w:val="24"/>
                <w:lang w:eastAsia="en-US"/>
              </w:rPr>
              <w:t xml:space="preserve">the trigger </w:t>
            </w:r>
            <w:r w:rsidR="00443C51" w:rsidRPr="00443C51">
              <w:rPr>
                <w:rFonts w:cs="Arial"/>
                <w:szCs w:val="24"/>
                <w:lang w:eastAsia="en-US"/>
              </w:rPr>
              <w:t xml:space="preserve">is </w:t>
            </w:r>
            <w:r>
              <w:rPr>
                <w:rFonts w:cs="Arial"/>
                <w:szCs w:val="24"/>
                <w:lang w:eastAsia="en-US"/>
              </w:rPr>
              <w:t>applicable is</w:t>
            </w:r>
            <w:r w:rsidR="00443C51" w:rsidRPr="00443C51">
              <w:rPr>
                <w:rFonts w:cs="Arial"/>
                <w:szCs w:val="24"/>
                <w:lang w:eastAsia="en-US"/>
              </w:rPr>
              <w:t xml:space="preserve"> currently £30m p</w:t>
            </w:r>
            <w:r>
              <w:rPr>
                <w:rFonts w:cs="Arial"/>
                <w:szCs w:val="24"/>
                <w:lang w:eastAsia="en-US"/>
              </w:rPr>
              <w:t>er annum</w:t>
            </w:r>
            <w:r w:rsidR="00443C51" w:rsidRPr="00443C51">
              <w:rPr>
                <w:rFonts w:cs="Arial"/>
                <w:szCs w:val="24"/>
                <w:lang w:eastAsia="en-US"/>
              </w:rPr>
              <w:t>. Likely to increase as number of HSTs increases</w:t>
            </w:r>
            <w:r>
              <w:rPr>
                <w:rFonts w:cs="Arial"/>
                <w:szCs w:val="24"/>
                <w:lang w:eastAsia="en-US"/>
              </w:rPr>
              <w:t>.</w:t>
            </w:r>
          </w:p>
          <w:p w14:paraId="59954C1A" w14:textId="77777777" w:rsidR="00443C51" w:rsidRDefault="00443C51" w:rsidP="00443C51">
            <w:pPr>
              <w:rPr>
                <w:rFonts w:cs="Arial"/>
                <w:szCs w:val="24"/>
                <w:lang w:eastAsia="en-US"/>
              </w:rPr>
            </w:pPr>
          </w:p>
          <w:p w14:paraId="53C48932" w14:textId="77777777" w:rsidR="00557E71" w:rsidRDefault="00DD114B" w:rsidP="00DD114B">
            <w:pPr>
              <w:rPr>
                <w:rFonts w:cs="Arial"/>
                <w:b/>
                <w:szCs w:val="24"/>
                <w:lang w:eastAsia="en-US"/>
              </w:rPr>
            </w:pPr>
            <w:r>
              <w:rPr>
                <w:rFonts w:cs="Arial"/>
                <w:b/>
                <w:szCs w:val="24"/>
                <w:lang w:eastAsia="en-US"/>
              </w:rPr>
              <w:t>Trigger 3</w:t>
            </w:r>
            <w:r w:rsidRPr="00DD114B">
              <w:rPr>
                <w:rFonts w:cs="Arial"/>
                <w:b/>
                <w:szCs w:val="24"/>
                <w:lang w:eastAsia="en-US"/>
              </w:rPr>
              <w:t xml:space="preserve"> </w:t>
            </w:r>
          </w:p>
          <w:p w14:paraId="35D032F5" w14:textId="77777777" w:rsidR="00557E71" w:rsidRDefault="000916D7" w:rsidP="000916D7">
            <w:pPr>
              <w:rPr>
                <w:rFonts w:cs="Arial"/>
                <w:b/>
                <w:szCs w:val="24"/>
              </w:rPr>
            </w:pPr>
            <w:r>
              <w:rPr>
                <w:rFonts w:cs="Arial"/>
                <w:b/>
                <w:szCs w:val="24"/>
                <w:lang w:eastAsia="en-US"/>
              </w:rPr>
              <w:t>National Treatment Criteria and prior</w:t>
            </w:r>
            <w:r w:rsidR="00557E71" w:rsidRPr="0006298B">
              <w:rPr>
                <w:rFonts w:cs="Arial"/>
                <w:b/>
                <w:szCs w:val="24"/>
              </w:rPr>
              <w:t xml:space="preserve"> approval </w:t>
            </w:r>
          </w:p>
          <w:p w14:paraId="0F3FBB25" w14:textId="77777777" w:rsidR="00404D5D" w:rsidRPr="00511229" w:rsidRDefault="00557E71" w:rsidP="00404D5D">
            <w:pPr>
              <w:autoSpaceDE w:val="0"/>
              <w:autoSpaceDN w:val="0"/>
              <w:adjustRightInd w:val="0"/>
              <w:rPr>
                <w:rFonts w:eastAsiaTheme="minorHAnsi" w:cs="Arial"/>
                <w:bCs w:val="0"/>
                <w:color w:val="000000"/>
                <w:szCs w:val="24"/>
              </w:rPr>
            </w:pPr>
            <w:r w:rsidRPr="00511229">
              <w:rPr>
                <w:rFonts w:eastAsiaTheme="minorHAnsi" w:cs="Arial"/>
                <w:bCs w:val="0"/>
                <w:color w:val="000000"/>
                <w:szCs w:val="24"/>
              </w:rPr>
              <w:t xml:space="preserve">The online clinical decision support tool (Blueteq) was implemented in 2015/16 as NHS England’s standard electronic contractual prior approval system, covering a range of high cost drugs excluded from tariff. The scope of items covered includes all high cost drugs excluded from tariff where NHS England Clinical Commissioning Policies or NICE TAs exist and / or where there is variation in uptake, or significant financial risk. </w:t>
            </w:r>
          </w:p>
          <w:p w14:paraId="1AFB41A0" w14:textId="77777777" w:rsidR="00404D5D" w:rsidRPr="00511229" w:rsidRDefault="00404D5D" w:rsidP="00404D5D">
            <w:pPr>
              <w:autoSpaceDE w:val="0"/>
              <w:autoSpaceDN w:val="0"/>
              <w:adjustRightInd w:val="0"/>
              <w:rPr>
                <w:rFonts w:eastAsiaTheme="minorHAnsi" w:cs="Arial"/>
                <w:bCs w:val="0"/>
                <w:color w:val="000000"/>
                <w:szCs w:val="24"/>
              </w:rPr>
            </w:pPr>
          </w:p>
          <w:p w14:paraId="34116008" w14:textId="77777777" w:rsidR="00557E71" w:rsidRPr="00511229" w:rsidRDefault="00404D5D" w:rsidP="00404D5D">
            <w:pPr>
              <w:rPr>
                <w:rFonts w:eastAsiaTheme="minorHAnsi" w:cs="Arial"/>
                <w:bCs w:val="0"/>
                <w:color w:val="000000"/>
                <w:szCs w:val="24"/>
              </w:rPr>
            </w:pPr>
            <w:r w:rsidRPr="00511229">
              <w:rPr>
                <w:rFonts w:eastAsiaTheme="minorHAnsi" w:cs="Arial"/>
                <w:bCs w:val="0"/>
                <w:color w:val="000000"/>
                <w:szCs w:val="24"/>
              </w:rPr>
              <w:t>The rationale</w:t>
            </w:r>
            <w:r w:rsidR="003038EC" w:rsidRPr="00511229">
              <w:rPr>
                <w:rFonts w:eastAsiaTheme="minorHAnsi" w:cs="Arial"/>
                <w:bCs w:val="0"/>
                <w:color w:val="000000"/>
                <w:szCs w:val="24"/>
              </w:rPr>
              <w:t xml:space="preserve"> for</w:t>
            </w:r>
            <w:r w:rsidRPr="00511229">
              <w:rPr>
                <w:rFonts w:eastAsiaTheme="minorHAnsi" w:cs="Arial"/>
                <w:bCs w:val="0"/>
                <w:color w:val="000000"/>
                <w:szCs w:val="24"/>
              </w:rPr>
              <w:t xml:space="preserve"> the scheme is to ensure that treatment decisions are made in line with agreed commissioning policy or NICE TA and that </w:t>
            </w:r>
            <w:r w:rsidRPr="00511229">
              <w:rPr>
                <w:rFonts w:eastAsiaTheme="minorHAnsi" w:cs="Arial"/>
                <w:bCs w:val="0"/>
                <w:color w:val="000000"/>
                <w:szCs w:val="24"/>
                <w:lang w:eastAsia="en-US"/>
              </w:rPr>
              <w:t>clinical resource is being utilised in line with commissioning policy and evidence base.</w:t>
            </w:r>
          </w:p>
          <w:p w14:paraId="199DE2A2" w14:textId="3E7A4D45" w:rsidR="00E93A29" w:rsidRDefault="00E93A29" w:rsidP="00E93A29">
            <w:pPr>
              <w:autoSpaceDE w:val="0"/>
              <w:autoSpaceDN w:val="0"/>
              <w:adjustRightInd w:val="0"/>
              <w:rPr>
                <w:rFonts w:eastAsiaTheme="minorHAnsi" w:cs="Arial"/>
                <w:bCs w:val="0"/>
                <w:color w:val="000000"/>
                <w:szCs w:val="24"/>
              </w:rPr>
            </w:pPr>
          </w:p>
          <w:p w14:paraId="4C0288D5" w14:textId="77777777" w:rsidR="00946AF4" w:rsidRPr="00946AF4" w:rsidRDefault="00946AF4" w:rsidP="00946AF4">
            <w:pPr>
              <w:autoSpaceDE w:val="0"/>
              <w:autoSpaceDN w:val="0"/>
              <w:adjustRightInd w:val="0"/>
              <w:rPr>
                <w:rFonts w:eastAsiaTheme="minorHAnsi" w:cs="Arial"/>
                <w:bCs w:val="0"/>
                <w:color w:val="000000"/>
                <w:szCs w:val="24"/>
              </w:rPr>
            </w:pPr>
            <w:r w:rsidRPr="00946AF4">
              <w:rPr>
                <w:rFonts w:eastAsiaTheme="minorHAnsi" w:cs="Arial"/>
                <w:bCs w:val="0"/>
                <w:color w:val="000000"/>
                <w:szCs w:val="24"/>
              </w:rPr>
              <w:t xml:space="preserve">To support trigger 3 in supporting uptake of national treatment criteria Trusts will be required to demonstrate that prior approval forms are being completed for a number of high cost drugs, this will be communicated ahead of each quarter. </w:t>
            </w:r>
          </w:p>
          <w:p w14:paraId="18482A39" w14:textId="77777777" w:rsidR="00946AF4" w:rsidRPr="00946AF4" w:rsidRDefault="00946AF4" w:rsidP="00946AF4">
            <w:pPr>
              <w:autoSpaceDE w:val="0"/>
              <w:autoSpaceDN w:val="0"/>
              <w:adjustRightInd w:val="0"/>
              <w:rPr>
                <w:rFonts w:eastAsiaTheme="minorHAnsi" w:cs="Arial"/>
                <w:bCs w:val="0"/>
                <w:color w:val="000000"/>
                <w:szCs w:val="24"/>
              </w:rPr>
            </w:pPr>
          </w:p>
          <w:p w14:paraId="23889431" w14:textId="77777777" w:rsidR="00946AF4" w:rsidRPr="00946AF4" w:rsidRDefault="00946AF4" w:rsidP="00946AF4">
            <w:pPr>
              <w:autoSpaceDE w:val="0"/>
              <w:autoSpaceDN w:val="0"/>
              <w:adjustRightInd w:val="0"/>
              <w:rPr>
                <w:rFonts w:eastAsiaTheme="minorHAnsi" w:cs="Arial"/>
                <w:bCs w:val="0"/>
                <w:color w:val="000000"/>
                <w:szCs w:val="24"/>
              </w:rPr>
            </w:pPr>
            <w:r w:rsidRPr="00946AF4">
              <w:rPr>
                <w:rFonts w:eastAsiaTheme="minorHAnsi" w:cs="Arial"/>
                <w:bCs w:val="0"/>
                <w:color w:val="000000"/>
                <w:szCs w:val="24"/>
              </w:rPr>
              <w:t>To assess compliance, Trusts will be required to undertake an internal audit on a sample of forms identified by NHS England as being completed accurately. The results and action plans will be shared to assure themselves and NHS England that there is not unwarranted variation in access to these medicines.</w:t>
            </w:r>
          </w:p>
          <w:p w14:paraId="2E358064" w14:textId="77777777" w:rsidR="003B36C2" w:rsidRDefault="003B36C2" w:rsidP="00DD114B">
            <w:pPr>
              <w:rPr>
                <w:rFonts w:cs="Arial"/>
                <w:szCs w:val="24"/>
                <w:lang w:eastAsia="en-US"/>
              </w:rPr>
            </w:pPr>
          </w:p>
          <w:p w14:paraId="0F66C7F6" w14:textId="77777777" w:rsidR="00234135" w:rsidRDefault="00945B1E" w:rsidP="00945B1E">
            <w:pPr>
              <w:spacing w:before="40" w:after="40"/>
              <w:rPr>
                <w:rFonts w:cs="Arial"/>
                <w:b/>
                <w:color w:val="000000"/>
                <w:szCs w:val="24"/>
              </w:rPr>
            </w:pPr>
            <w:r w:rsidRPr="00945B1E">
              <w:rPr>
                <w:rFonts w:cs="Arial"/>
                <w:b/>
                <w:color w:val="000000"/>
                <w:szCs w:val="24"/>
              </w:rPr>
              <w:t xml:space="preserve">Trigger </w:t>
            </w:r>
            <w:r w:rsidR="00DD114B">
              <w:rPr>
                <w:rFonts w:cs="Arial"/>
                <w:b/>
                <w:color w:val="000000"/>
                <w:szCs w:val="24"/>
              </w:rPr>
              <w:t>4</w:t>
            </w:r>
            <w:r w:rsidR="0093342B" w:rsidRPr="00945B1E">
              <w:rPr>
                <w:rFonts w:cs="Arial"/>
                <w:b/>
                <w:color w:val="000000"/>
                <w:szCs w:val="24"/>
              </w:rPr>
              <w:t xml:space="preserve"> -</w:t>
            </w:r>
            <w:r>
              <w:rPr>
                <w:rFonts w:cs="Arial"/>
                <w:b/>
                <w:color w:val="000000"/>
                <w:szCs w:val="24"/>
              </w:rPr>
              <w:t xml:space="preserve"> </w:t>
            </w:r>
          </w:p>
          <w:p w14:paraId="7511DCD0" w14:textId="77777777" w:rsidR="0093342B" w:rsidRDefault="00945B1E" w:rsidP="00945B1E">
            <w:pPr>
              <w:contextualSpacing/>
              <w:rPr>
                <w:rFonts w:cs="Arial"/>
                <w:szCs w:val="24"/>
              </w:rPr>
            </w:pPr>
            <w:r w:rsidRPr="00945B1E">
              <w:rPr>
                <w:rFonts w:cs="Arial"/>
                <w:szCs w:val="24"/>
              </w:rPr>
              <w:t>Trusts should seek to reduce their medicines bill through best choices and from actively monitoring market developments, such as the launch of biosimilar products</w:t>
            </w:r>
            <w:r w:rsidR="0093342B">
              <w:rPr>
                <w:rFonts w:cs="Arial"/>
                <w:szCs w:val="24"/>
              </w:rPr>
              <w:t xml:space="preserve"> and generic alternatives.</w:t>
            </w:r>
          </w:p>
          <w:p w14:paraId="49511D76" w14:textId="77777777" w:rsidR="0093342B" w:rsidRDefault="0093342B" w:rsidP="00945B1E">
            <w:pPr>
              <w:contextualSpacing/>
              <w:rPr>
                <w:rFonts w:cs="Arial"/>
                <w:szCs w:val="24"/>
              </w:rPr>
            </w:pPr>
          </w:p>
          <w:p w14:paraId="47E4021F" w14:textId="77777777" w:rsidR="009731AD" w:rsidRDefault="00856E9B" w:rsidP="00DD114B">
            <w:pPr>
              <w:contextualSpacing/>
              <w:rPr>
                <w:rFonts w:cs="Arial"/>
                <w:szCs w:val="24"/>
              </w:rPr>
            </w:pPr>
            <w:r>
              <w:rPr>
                <w:rFonts w:cs="Arial"/>
                <w:szCs w:val="24"/>
              </w:rPr>
              <w:t xml:space="preserve">The current annual expenditure </w:t>
            </w:r>
            <w:r w:rsidR="0093342B">
              <w:rPr>
                <w:rFonts w:cs="Arial"/>
                <w:szCs w:val="24"/>
              </w:rPr>
              <w:t>for</w:t>
            </w:r>
            <w:r>
              <w:rPr>
                <w:rFonts w:cs="Arial"/>
                <w:szCs w:val="24"/>
              </w:rPr>
              <w:t xml:space="preserve"> high cost drugs is approx. £3.6b. </w:t>
            </w:r>
            <w:r w:rsidR="0093342B">
              <w:rPr>
                <w:rFonts w:cs="Arial"/>
                <w:szCs w:val="24"/>
              </w:rPr>
              <w:t xml:space="preserve">Achievements </w:t>
            </w:r>
            <w:r>
              <w:rPr>
                <w:rFonts w:cs="Arial"/>
                <w:szCs w:val="24"/>
              </w:rPr>
              <w:t xml:space="preserve">from previous implementation </w:t>
            </w:r>
            <w:r w:rsidR="0093342B">
              <w:rPr>
                <w:rFonts w:cs="Arial"/>
                <w:szCs w:val="24"/>
              </w:rPr>
              <w:t>of the best value trigger</w:t>
            </w:r>
            <w:r>
              <w:rPr>
                <w:rFonts w:cs="Arial"/>
                <w:szCs w:val="24"/>
              </w:rPr>
              <w:t xml:space="preserve"> has seen benefits of </w:t>
            </w:r>
            <w:r w:rsidR="0093342B">
              <w:rPr>
                <w:rFonts w:cs="Arial"/>
                <w:szCs w:val="24"/>
              </w:rPr>
              <w:t>around</w:t>
            </w:r>
            <w:r>
              <w:rPr>
                <w:rFonts w:cs="Arial"/>
                <w:szCs w:val="24"/>
              </w:rPr>
              <w:t xml:space="preserve"> £220M per annum.</w:t>
            </w:r>
          </w:p>
          <w:p w14:paraId="11323954" w14:textId="77777777" w:rsidR="0093352C" w:rsidRDefault="0093352C" w:rsidP="00DD114B">
            <w:pPr>
              <w:contextualSpacing/>
              <w:rPr>
                <w:rFonts w:cs="Arial"/>
                <w:szCs w:val="24"/>
              </w:rPr>
            </w:pPr>
          </w:p>
          <w:p w14:paraId="4ECE0BBB" w14:textId="77777777" w:rsidR="0093352C" w:rsidRPr="0002271D" w:rsidRDefault="0093352C" w:rsidP="0093352C">
            <w:pPr>
              <w:contextualSpacing/>
              <w:rPr>
                <w:rFonts w:cs="Arial"/>
                <w:b/>
                <w:color w:val="000000"/>
                <w:szCs w:val="24"/>
              </w:rPr>
            </w:pPr>
            <w:r w:rsidRPr="0002271D">
              <w:rPr>
                <w:rFonts w:cs="Arial"/>
                <w:b/>
                <w:color w:val="000000"/>
                <w:szCs w:val="24"/>
              </w:rPr>
              <w:t>Trigger 5 -</w:t>
            </w:r>
          </w:p>
          <w:p w14:paraId="51A4D1F6" w14:textId="77777777" w:rsidR="0093352C" w:rsidRPr="00D140E0" w:rsidRDefault="0093352C" w:rsidP="0093352C">
            <w:pPr>
              <w:contextualSpacing/>
              <w:rPr>
                <w:rFonts w:cs="Arial"/>
                <w:color w:val="000000"/>
                <w:szCs w:val="24"/>
              </w:rPr>
            </w:pPr>
            <w:r w:rsidRPr="00D140E0">
              <w:rPr>
                <w:rFonts w:cs="Arial"/>
                <w:color w:val="000000"/>
                <w:szCs w:val="24"/>
              </w:rPr>
              <w:t>NHS England Specialised commissioning has commissioning responsibility for antifungal drugs that are excluded from national tariff. The overall NHS England drug spend for antifungals is more than £80 million per annum. We estimate that there is an overall financial opportunity of between £4m-8m per annum through improved anti-fungal stewardship.</w:t>
            </w:r>
          </w:p>
          <w:p w14:paraId="3B1799B8" w14:textId="77777777" w:rsidR="0093352C" w:rsidRPr="00D140E0" w:rsidRDefault="0093352C" w:rsidP="0093352C">
            <w:pPr>
              <w:contextualSpacing/>
              <w:rPr>
                <w:rFonts w:cs="Arial"/>
                <w:color w:val="000000"/>
                <w:szCs w:val="24"/>
              </w:rPr>
            </w:pPr>
          </w:p>
          <w:p w14:paraId="1370E909" w14:textId="77777777" w:rsidR="0093352C" w:rsidRPr="00D140E0" w:rsidRDefault="0093352C" w:rsidP="0093352C">
            <w:pPr>
              <w:contextualSpacing/>
              <w:rPr>
                <w:rFonts w:cs="Arial"/>
                <w:color w:val="000000"/>
                <w:szCs w:val="24"/>
              </w:rPr>
            </w:pPr>
            <w:r w:rsidRPr="00D140E0">
              <w:rPr>
                <w:rFonts w:cs="Arial"/>
                <w:color w:val="000000"/>
                <w:szCs w:val="24"/>
              </w:rPr>
              <w:t>Invasive fungal infections (IFI) has a lower hospital incidence in comparison to infections caused by multi-resistant bacteria, but its health and financial burden are substantial. The incidence of IFI is increasing in Western countries each year because of improving medicine and an increase in survival rates from previously fatal diseases.</w:t>
            </w:r>
          </w:p>
          <w:p w14:paraId="6DA8B2CB" w14:textId="77777777" w:rsidR="0093352C" w:rsidRPr="00D140E0" w:rsidRDefault="0093352C" w:rsidP="0093352C">
            <w:pPr>
              <w:contextualSpacing/>
              <w:rPr>
                <w:rFonts w:cs="Arial"/>
                <w:color w:val="000000"/>
                <w:szCs w:val="24"/>
              </w:rPr>
            </w:pPr>
          </w:p>
          <w:p w14:paraId="7BDFFC3F" w14:textId="77777777" w:rsidR="008638B5" w:rsidRPr="00D140E0" w:rsidRDefault="0093352C" w:rsidP="008638B5">
            <w:pPr>
              <w:contextualSpacing/>
              <w:rPr>
                <w:rFonts w:cs="Arial"/>
                <w:color w:val="000000"/>
                <w:szCs w:val="24"/>
              </w:rPr>
            </w:pPr>
            <w:r w:rsidRPr="00D140E0">
              <w:rPr>
                <w:rFonts w:cs="Arial"/>
                <w:color w:val="000000"/>
                <w:szCs w:val="24"/>
              </w:rPr>
              <w:t>The emergence of a wider selection of immunosuppressive agents, especially those used in haemato-oncology patients, significantly increases the risk of developing a serious fungal</w:t>
            </w:r>
            <w:r w:rsidR="008638B5" w:rsidRPr="00D140E0">
              <w:rPr>
                <w:rFonts w:cs="Arial"/>
                <w:color w:val="000000"/>
                <w:szCs w:val="24"/>
              </w:rPr>
              <w:t xml:space="preserve"> infection. The risk of invasive fungal infections increases with the duration and severity of neutropenia, prolonged antimicrobial use and number of chemotherapy cycles.</w:t>
            </w:r>
          </w:p>
          <w:p w14:paraId="5ADCE94F" w14:textId="77777777" w:rsidR="008638B5" w:rsidRPr="00D140E0" w:rsidRDefault="008638B5" w:rsidP="008638B5">
            <w:pPr>
              <w:contextualSpacing/>
              <w:rPr>
                <w:rFonts w:cs="Arial"/>
                <w:color w:val="000000"/>
                <w:szCs w:val="24"/>
              </w:rPr>
            </w:pPr>
          </w:p>
          <w:p w14:paraId="67EF4F3E" w14:textId="1F7DA295" w:rsidR="008638B5" w:rsidRPr="00D140E0" w:rsidRDefault="008638B5" w:rsidP="008638B5">
            <w:pPr>
              <w:contextualSpacing/>
              <w:rPr>
                <w:rFonts w:cs="Arial"/>
                <w:color w:val="000000"/>
                <w:szCs w:val="24"/>
              </w:rPr>
            </w:pPr>
            <w:r w:rsidRPr="00D140E0">
              <w:rPr>
                <w:rFonts w:cs="Arial"/>
                <w:color w:val="000000"/>
                <w:szCs w:val="24"/>
              </w:rPr>
              <w:t>The high drug costs and toxicities</w:t>
            </w:r>
            <w:r w:rsidR="000D70E4">
              <w:rPr>
                <w:rFonts w:cs="Arial"/>
                <w:color w:val="000000"/>
                <w:szCs w:val="24"/>
              </w:rPr>
              <w:t xml:space="preserve"> and the potential for patient harm from using</w:t>
            </w:r>
            <w:r w:rsidRPr="00D140E0">
              <w:rPr>
                <w:rFonts w:cs="Arial"/>
                <w:color w:val="000000"/>
                <w:szCs w:val="24"/>
              </w:rPr>
              <w:t xml:space="preserve"> antifungal agents are the principal rationale for antifungal stewardship, while antifungal </w:t>
            </w:r>
            <w:r w:rsidR="000D70E4">
              <w:rPr>
                <w:rFonts w:cs="Arial"/>
                <w:color w:val="000000"/>
                <w:szCs w:val="24"/>
              </w:rPr>
              <w:t xml:space="preserve">resistance is an emerging </w:t>
            </w:r>
            <w:r w:rsidR="000D70E4">
              <w:rPr>
                <w:rFonts w:cs="Arial"/>
                <w:color w:val="000000"/>
                <w:szCs w:val="24"/>
              </w:rPr>
              <w:lastRenderedPageBreak/>
              <w:t xml:space="preserve">issue, identified in the </w:t>
            </w:r>
            <w:proofErr w:type="gramStart"/>
            <w:r w:rsidR="000D70E4">
              <w:rPr>
                <w:rFonts w:cs="Arial"/>
                <w:color w:val="000000"/>
                <w:szCs w:val="24"/>
              </w:rPr>
              <w:t>5 year</w:t>
            </w:r>
            <w:proofErr w:type="gramEnd"/>
            <w:r w:rsidR="000D70E4">
              <w:rPr>
                <w:rFonts w:cs="Arial"/>
                <w:color w:val="000000"/>
                <w:szCs w:val="24"/>
              </w:rPr>
              <w:t xml:space="preserve"> AMR national action plan for 2019-24.</w:t>
            </w:r>
            <w:r w:rsidRPr="00D140E0">
              <w:rPr>
                <w:rFonts w:cs="Arial"/>
                <w:color w:val="000000"/>
                <w:szCs w:val="24"/>
              </w:rPr>
              <w:t xml:space="preserve"> Until recently there have been suboptimal diagnostic tools, which have driven the overuse of antifungal agents. </w:t>
            </w:r>
          </w:p>
          <w:p w14:paraId="62BFEBAB" w14:textId="77777777" w:rsidR="008638B5" w:rsidRPr="00D140E0" w:rsidRDefault="008638B5" w:rsidP="008638B5">
            <w:pPr>
              <w:contextualSpacing/>
              <w:rPr>
                <w:rFonts w:cs="Arial"/>
                <w:color w:val="000000"/>
                <w:szCs w:val="24"/>
              </w:rPr>
            </w:pPr>
            <w:r w:rsidRPr="00D140E0">
              <w:rPr>
                <w:rFonts w:cs="Arial"/>
                <w:color w:val="000000"/>
                <w:szCs w:val="24"/>
              </w:rPr>
              <w:t>One of the most challenging parts of antifungal stewardship to implement is de-escalation of empirical treatment, i.e. reduce treatment where there is not a definitive diagnosis. Incorporating non-culture-based tests into clinical pathways may enhance antifungal stewardship. Antifungal stewardship efforts can improve the appropriate and effective use of antifungal agents. Recognising the risk factors can guide the optimal use of antifungal prophylaxis and treatment for at risk patients.</w:t>
            </w:r>
          </w:p>
          <w:p w14:paraId="77C0D968" w14:textId="77777777" w:rsidR="008638B5" w:rsidRPr="00D140E0" w:rsidRDefault="008638B5" w:rsidP="008638B5">
            <w:pPr>
              <w:contextualSpacing/>
              <w:rPr>
                <w:rFonts w:cs="Arial"/>
                <w:color w:val="000000"/>
                <w:szCs w:val="24"/>
              </w:rPr>
            </w:pPr>
          </w:p>
          <w:p w14:paraId="3C616643" w14:textId="77777777" w:rsidR="008638B5" w:rsidRDefault="008638B5" w:rsidP="008638B5">
            <w:pPr>
              <w:contextualSpacing/>
              <w:rPr>
                <w:rFonts w:cs="Arial"/>
                <w:color w:val="000000"/>
                <w:szCs w:val="24"/>
              </w:rPr>
            </w:pPr>
            <w:r w:rsidRPr="00D140E0">
              <w:rPr>
                <w:rFonts w:cs="Arial"/>
                <w:color w:val="000000"/>
                <w:szCs w:val="24"/>
              </w:rPr>
              <w:t xml:space="preserve">Recent long- and short- term evidence from UK practice has demonstrated that drug costs can be reduced significantly along with improved clinical benefit for patients. This evidence is supported by a growing evidence base from Europe and North America where antifungal stewardship programmes have been implemented. </w:t>
            </w:r>
          </w:p>
          <w:p w14:paraId="7F9CFF5D" w14:textId="77777777" w:rsidR="008638B5" w:rsidRDefault="008638B5" w:rsidP="008638B5">
            <w:pPr>
              <w:contextualSpacing/>
              <w:rPr>
                <w:rFonts w:cs="Arial"/>
                <w:color w:val="000000"/>
                <w:szCs w:val="24"/>
              </w:rPr>
            </w:pPr>
          </w:p>
          <w:p w14:paraId="44FD899F" w14:textId="77777777" w:rsidR="008638B5" w:rsidRDefault="008638B5" w:rsidP="008638B5">
            <w:pPr>
              <w:contextualSpacing/>
              <w:rPr>
                <w:rFonts w:cs="Arial"/>
                <w:color w:val="000000"/>
                <w:szCs w:val="24"/>
              </w:rPr>
            </w:pPr>
            <w:r w:rsidRPr="00D140E0">
              <w:rPr>
                <w:rFonts w:cs="Arial"/>
                <w:color w:val="000000"/>
                <w:szCs w:val="24"/>
              </w:rPr>
              <w:t>(Andruszko B, Ashley ED. Antifungal Stewardship: An Emerging practice in Antimicrobial Stewardship. Current Clinical Microbiology Reports 2016;3(3):111-9)</w:t>
            </w:r>
          </w:p>
          <w:p w14:paraId="4D9575E6" w14:textId="77777777" w:rsidR="001A002A" w:rsidRDefault="001A002A" w:rsidP="008638B5">
            <w:pPr>
              <w:contextualSpacing/>
              <w:rPr>
                <w:rFonts w:cs="Arial"/>
                <w:b/>
                <w:i/>
                <w:color w:val="000000"/>
                <w:szCs w:val="24"/>
              </w:rPr>
            </w:pPr>
          </w:p>
          <w:p w14:paraId="7C4B0961" w14:textId="77777777" w:rsidR="005365D3" w:rsidRDefault="00E537C9" w:rsidP="00EE339B">
            <w:pPr>
              <w:contextualSpacing/>
              <w:rPr>
                <w:rFonts w:cs="Arial"/>
                <w:color w:val="000000"/>
                <w:szCs w:val="24"/>
              </w:rPr>
            </w:pPr>
            <w:r w:rsidRPr="00C52BB0">
              <w:rPr>
                <w:rFonts w:cs="Arial"/>
                <w:color w:val="000000"/>
                <w:szCs w:val="24"/>
              </w:rPr>
              <w:t xml:space="preserve">Anti-fungal Stewardship will be a major tool for NHS England/NHS improvement and Public Health England in the fight against antifungal resistance.  If the World Health Organisation is correct and there is a worldwide build-up of resistance.  The costs associated with treating patients who have developed fungal resistance will increase rapidly.  Stewardship is a clear proven way of ensuring that the anti-fungals the NHS has at </w:t>
            </w:r>
            <w:r w:rsidR="005365D3" w:rsidRPr="00C52BB0">
              <w:rPr>
                <w:rFonts w:cs="Arial"/>
                <w:color w:val="000000"/>
                <w:szCs w:val="24"/>
              </w:rPr>
              <w:t>its</w:t>
            </w:r>
            <w:r w:rsidRPr="00C52BB0">
              <w:rPr>
                <w:rFonts w:cs="Arial"/>
                <w:color w:val="000000"/>
                <w:szCs w:val="24"/>
              </w:rPr>
              <w:t xml:space="preserve"> disposal will be more effective for longer</w:t>
            </w:r>
            <w:r>
              <w:rPr>
                <w:rFonts w:cs="Arial"/>
                <w:color w:val="000000"/>
                <w:szCs w:val="24"/>
              </w:rPr>
              <w:t>.</w:t>
            </w:r>
          </w:p>
          <w:p w14:paraId="79D8C9EC" w14:textId="79BA18E0" w:rsidR="003B36C2" w:rsidRPr="000E33C9" w:rsidRDefault="003B36C2" w:rsidP="00EE339B">
            <w:pPr>
              <w:contextualSpacing/>
              <w:rPr>
                <w:rFonts w:cs="Arial"/>
                <w:b/>
                <w:i/>
                <w:color w:val="000000"/>
                <w:szCs w:val="24"/>
              </w:rPr>
            </w:pPr>
          </w:p>
        </w:tc>
      </w:tr>
      <w:tr w:rsidR="0026417D" w:rsidRPr="000412A1" w14:paraId="0FF2115F" w14:textId="77777777" w:rsidTr="003038EC">
        <w:trPr>
          <w:gridAfter w:val="1"/>
          <w:wAfter w:w="11" w:type="pct"/>
        </w:trPr>
        <w:tc>
          <w:tcPr>
            <w:tcW w:w="4989" w:type="pct"/>
            <w:gridSpan w:val="6"/>
            <w:shd w:val="clear" w:color="auto" w:fill="auto"/>
          </w:tcPr>
          <w:p w14:paraId="59AC919A" w14:textId="77777777" w:rsidR="00511229" w:rsidRDefault="00511229" w:rsidP="0026417D">
            <w:pPr>
              <w:rPr>
                <w:rFonts w:cs="Arial"/>
                <w:b/>
                <w:color w:val="000000"/>
                <w:szCs w:val="24"/>
                <w:u w:val="single"/>
              </w:rPr>
            </w:pPr>
          </w:p>
          <w:p w14:paraId="4C5AB888" w14:textId="77777777" w:rsidR="0026417D" w:rsidRPr="0026417D" w:rsidRDefault="0026417D" w:rsidP="0026417D">
            <w:pPr>
              <w:rPr>
                <w:rFonts w:cs="Arial"/>
                <w:b/>
                <w:color w:val="000000"/>
                <w:szCs w:val="24"/>
                <w:u w:val="single"/>
              </w:rPr>
            </w:pPr>
            <w:r w:rsidRPr="0026417D">
              <w:rPr>
                <w:rFonts w:cs="Arial"/>
                <w:b/>
                <w:color w:val="000000"/>
                <w:szCs w:val="24"/>
                <w:u w:val="single"/>
              </w:rPr>
              <w:t>Rationale of Use of CQUIN</w:t>
            </w:r>
            <w:r>
              <w:rPr>
                <w:rFonts w:cs="Arial"/>
                <w:b/>
                <w:color w:val="000000"/>
                <w:szCs w:val="24"/>
                <w:u w:val="single"/>
              </w:rPr>
              <w:t xml:space="preserve"> incentive</w:t>
            </w:r>
          </w:p>
          <w:p w14:paraId="4F660F59" w14:textId="77777777" w:rsidR="00F726C2" w:rsidRPr="005365D3" w:rsidRDefault="00F726C2" w:rsidP="00F726C2">
            <w:pPr>
              <w:spacing w:before="40" w:after="40"/>
              <w:rPr>
                <w:rFonts w:cs="Arial"/>
                <w:color w:val="000000"/>
                <w:szCs w:val="24"/>
              </w:rPr>
            </w:pPr>
            <w:r w:rsidRPr="005365D3">
              <w:rPr>
                <w:rFonts w:cs="Arial"/>
                <w:color w:val="000000"/>
                <w:szCs w:val="24"/>
              </w:rPr>
              <w:t>CQUIN as an instrument is justified if net costs beyond normal service requirements are incurred by providers whilst benefits and cost savings accrue to patients and commissioners.</w:t>
            </w:r>
          </w:p>
          <w:p w14:paraId="1967B049" w14:textId="77777777" w:rsidR="007C2F03" w:rsidRPr="00F726C2" w:rsidRDefault="007C2F03" w:rsidP="00F726C2">
            <w:pPr>
              <w:spacing w:before="40" w:after="40"/>
              <w:rPr>
                <w:rFonts w:cs="Arial"/>
                <w:b/>
                <w:color w:val="000000"/>
                <w:szCs w:val="24"/>
              </w:rPr>
            </w:pPr>
          </w:p>
          <w:p w14:paraId="39E2AA06" w14:textId="77777777" w:rsidR="00751227" w:rsidRDefault="00751227" w:rsidP="00DD114B">
            <w:pPr>
              <w:spacing w:before="40" w:after="40"/>
              <w:rPr>
                <w:rFonts w:cs="Arial"/>
                <w:color w:val="000000"/>
                <w:szCs w:val="24"/>
              </w:rPr>
            </w:pPr>
            <w:r w:rsidRPr="006E6261">
              <w:rPr>
                <w:rFonts w:cs="Arial"/>
                <w:color w:val="000000"/>
                <w:szCs w:val="24"/>
              </w:rPr>
              <w:t xml:space="preserve">This CQUIN aims to support the procedural and cultural changes required </w:t>
            </w:r>
            <w:r w:rsidR="008638B5" w:rsidRPr="006E6261">
              <w:rPr>
                <w:rFonts w:cs="Arial"/>
                <w:color w:val="000000"/>
                <w:szCs w:val="24"/>
              </w:rPr>
              <w:t xml:space="preserve">fully </w:t>
            </w:r>
            <w:r w:rsidRPr="006E6261">
              <w:rPr>
                <w:rFonts w:cs="Arial"/>
                <w:color w:val="000000"/>
                <w:szCs w:val="24"/>
              </w:rPr>
              <w:t>to optimise use of medicines commissioned by specialised services</w:t>
            </w:r>
            <w:r>
              <w:rPr>
                <w:rFonts w:cs="Arial"/>
                <w:color w:val="000000"/>
                <w:szCs w:val="24"/>
              </w:rPr>
              <w:t xml:space="preserve">, ensuring that hospital plans reflect NHS England priorities to improve value from medicines and reduce unwarranted variation. The CQUIN monies </w:t>
            </w:r>
            <w:r w:rsidR="008638B5">
              <w:rPr>
                <w:rFonts w:cs="Arial"/>
                <w:color w:val="000000"/>
                <w:szCs w:val="24"/>
              </w:rPr>
              <w:t>may</w:t>
            </w:r>
            <w:r>
              <w:rPr>
                <w:rFonts w:cs="Arial"/>
                <w:color w:val="000000"/>
                <w:szCs w:val="24"/>
              </w:rPr>
              <w:t xml:space="preserve"> be used to f</w:t>
            </w:r>
            <w:r w:rsidR="008638B5">
              <w:rPr>
                <w:rFonts w:cs="Arial"/>
                <w:color w:val="000000"/>
                <w:szCs w:val="24"/>
              </w:rPr>
              <w:t xml:space="preserve">ocus work of </w:t>
            </w:r>
            <w:r>
              <w:rPr>
                <w:rFonts w:cs="Arial"/>
                <w:color w:val="000000"/>
                <w:szCs w:val="24"/>
              </w:rPr>
              <w:t xml:space="preserve">pharmacy staff to deliver the initiatives </w:t>
            </w:r>
            <w:r w:rsidR="006662E3">
              <w:rPr>
                <w:rFonts w:cs="Arial"/>
                <w:color w:val="000000"/>
                <w:szCs w:val="24"/>
              </w:rPr>
              <w:t>and</w:t>
            </w:r>
            <w:r>
              <w:rPr>
                <w:rFonts w:cs="Arial"/>
                <w:color w:val="000000"/>
                <w:szCs w:val="24"/>
              </w:rPr>
              <w:t xml:space="preserve"> to ensure that each Trust’s plan is supported at Trust Board level.</w:t>
            </w:r>
          </w:p>
          <w:p w14:paraId="47A18949" w14:textId="77777777" w:rsidR="00751227" w:rsidRDefault="00751227" w:rsidP="00751227">
            <w:pPr>
              <w:rPr>
                <w:rFonts w:cs="Arial"/>
                <w:color w:val="000000"/>
                <w:szCs w:val="24"/>
              </w:rPr>
            </w:pPr>
          </w:p>
          <w:p w14:paraId="1B1C9EF2" w14:textId="77777777" w:rsidR="00751227" w:rsidRDefault="00751227" w:rsidP="00751227">
            <w:pPr>
              <w:rPr>
                <w:rFonts w:cs="Arial"/>
                <w:color w:val="000000"/>
                <w:szCs w:val="24"/>
              </w:rPr>
            </w:pPr>
            <w:r>
              <w:rPr>
                <w:rFonts w:cs="Arial"/>
                <w:color w:val="000000"/>
                <w:szCs w:val="24"/>
              </w:rPr>
              <w:t>Changes required will materially reduce commissioner costs; hence it is appropriate for CQUIN support in its funding.</w:t>
            </w:r>
          </w:p>
          <w:p w14:paraId="340A7332" w14:textId="77777777" w:rsidR="00A1782E" w:rsidRDefault="00A1782E" w:rsidP="007C2F03">
            <w:pPr>
              <w:spacing w:before="40" w:after="40"/>
              <w:rPr>
                <w:rFonts w:cs="Arial"/>
                <w:i/>
                <w:color w:val="000000"/>
                <w:szCs w:val="24"/>
              </w:rPr>
            </w:pPr>
          </w:p>
        </w:tc>
      </w:tr>
      <w:tr w:rsidR="00C25612" w:rsidRPr="000412A1" w14:paraId="5C82598F" w14:textId="77777777" w:rsidTr="003038EC">
        <w:trPr>
          <w:gridAfter w:val="1"/>
          <w:wAfter w:w="11" w:type="pct"/>
        </w:trPr>
        <w:tc>
          <w:tcPr>
            <w:tcW w:w="4989" w:type="pct"/>
            <w:gridSpan w:val="6"/>
            <w:shd w:val="clear" w:color="auto" w:fill="D9D9D9" w:themeFill="background1" w:themeFillShade="D9"/>
          </w:tcPr>
          <w:p w14:paraId="54911292" w14:textId="77777777" w:rsidR="00C25612" w:rsidRPr="0026417D" w:rsidRDefault="00C25612" w:rsidP="001F6AA3">
            <w:pPr>
              <w:rPr>
                <w:rFonts w:cs="Arial"/>
                <w:b/>
                <w:color w:val="000000"/>
                <w:szCs w:val="24"/>
                <w:u w:val="single"/>
              </w:rPr>
            </w:pPr>
            <w:r>
              <w:rPr>
                <w:rFonts w:cs="Arial"/>
                <w:b/>
                <w:szCs w:val="24"/>
              </w:rPr>
              <w:t xml:space="preserve">D2. </w:t>
            </w:r>
            <w:r w:rsidR="001F421F">
              <w:rPr>
                <w:rFonts w:cs="Arial"/>
                <w:b/>
                <w:szCs w:val="24"/>
              </w:rPr>
              <w:t>Indicator</w:t>
            </w:r>
            <w:r>
              <w:rPr>
                <w:rFonts w:cs="Arial"/>
                <w:b/>
                <w:szCs w:val="24"/>
              </w:rPr>
              <w:t xml:space="preserve"> Duration and Exit Route</w:t>
            </w:r>
          </w:p>
        </w:tc>
      </w:tr>
      <w:tr w:rsidR="00C25612" w:rsidRPr="000412A1" w14:paraId="7B76AE20" w14:textId="77777777" w:rsidTr="003038EC">
        <w:trPr>
          <w:gridAfter w:val="1"/>
          <w:wAfter w:w="11" w:type="pct"/>
        </w:trPr>
        <w:tc>
          <w:tcPr>
            <w:tcW w:w="4989" w:type="pct"/>
            <w:gridSpan w:val="6"/>
            <w:shd w:val="clear" w:color="auto" w:fill="auto"/>
          </w:tcPr>
          <w:p w14:paraId="0FB299B8" w14:textId="77777777" w:rsidR="00C25612" w:rsidRDefault="00C25612" w:rsidP="001F6AA3">
            <w:pPr>
              <w:spacing w:before="40" w:after="40"/>
              <w:rPr>
                <w:rFonts w:cs="Arial"/>
                <w:b/>
                <w:color w:val="000000"/>
                <w:szCs w:val="24"/>
              </w:rPr>
            </w:pPr>
            <w:r w:rsidRPr="00B0183E">
              <w:rPr>
                <w:rFonts w:cs="Arial"/>
                <w:b/>
                <w:color w:val="000000"/>
                <w:szCs w:val="24"/>
              </w:rPr>
              <w:t xml:space="preserve">The appropriate duration of </w:t>
            </w:r>
            <w:r w:rsidR="00B0183E" w:rsidRPr="00B0183E">
              <w:rPr>
                <w:rFonts w:cs="Arial"/>
                <w:b/>
                <w:color w:val="000000"/>
                <w:szCs w:val="24"/>
              </w:rPr>
              <w:t>an</w:t>
            </w:r>
            <w:r w:rsidRPr="00B0183E">
              <w:rPr>
                <w:rFonts w:cs="Arial"/>
                <w:b/>
                <w:color w:val="000000"/>
                <w:szCs w:val="24"/>
              </w:rPr>
              <w:t xml:space="preserve"> </w:t>
            </w:r>
            <w:r w:rsidR="001F421F" w:rsidRPr="00B0183E">
              <w:rPr>
                <w:rFonts w:cs="Arial"/>
                <w:b/>
                <w:color w:val="000000"/>
                <w:szCs w:val="24"/>
              </w:rPr>
              <w:t>indicator</w:t>
            </w:r>
            <w:r w:rsidRPr="00B0183E">
              <w:rPr>
                <w:rFonts w:cs="Arial"/>
                <w:b/>
                <w:color w:val="000000"/>
                <w:szCs w:val="24"/>
              </w:rPr>
              <w:t xml:space="preserve"> depends upon how long CQUIN support is required before the change in behaviour sought can be embedded in services specification or otherwise.</w:t>
            </w:r>
          </w:p>
          <w:p w14:paraId="51BFE85B" w14:textId="77777777" w:rsidR="00DD114B" w:rsidRPr="00B0183E" w:rsidRDefault="00DD114B" w:rsidP="001F6AA3">
            <w:pPr>
              <w:spacing w:before="40" w:after="40"/>
              <w:rPr>
                <w:rFonts w:cs="Arial"/>
                <w:b/>
                <w:color w:val="000000"/>
                <w:szCs w:val="24"/>
              </w:rPr>
            </w:pPr>
          </w:p>
          <w:p w14:paraId="4A41D3F5" w14:textId="77777777" w:rsidR="00D92F82" w:rsidRDefault="00DD114B" w:rsidP="00DD114B">
            <w:pPr>
              <w:spacing w:before="40" w:after="40"/>
              <w:rPr>
                <w:rFonts w:cs="Arial"/>
                <w:color w:val="000000"/>
                <w:szCs w:val="24"/>
              </w:rPr>
            </w:pPr>
            <w:r>
              <w:rPr>
                <w:rFonts w:cs="Arial"/>
                <w:color w:val="000000"/>
                <w:szCs w:val="24"/>
              </w:rPr>
              <w:t xml:space="preserve">The proposal is for </w:t>
            </w:r>
            <w:r w:rsidR="00511229">
              <w:rPr>
                <w:rFonts w:cs="Arial"/>
                <w:color w:val="000000"/>
                <w:szCs w:val="24"/>
              </w:rPr>
              <w:t xml:space="preserve">some of </w:t>
            </w:r>
            <w:r>
              <w:rPr>
                <w:rFonts w:cs="Arial"/>
                <w:color w:val="000000"/>
                <w:szCs w:val="24"/>
              </w:rPr>
              <w:t>these triggers to move into year 2.</w:t>
            </w:r>
          </w:p>
          <w:p w14:paraId="0A47B1A5" w14:textId="77777777" w:rsidR="00B146CB" w:rsidRPr="0026417D" w:rsidRDefault="00B146CB" w:rsidP="00DD114B">
            <w:pPr>
              <w:spacing w:before="40" w:after="40"/>
              <w:rPr>
                <w:rFonts w:cs="Arial"/>
                <w:b/>
                <w:color w:val="000000"/>
                <w:szCs w:val="24"/>
                <w:u w:val="single"/>
              </w:rPr>
            </w:pPr>
          </w:p>
        </w:tc>
      </w:tr>
      <w:tr w:rsidR="00234135" w:rsidRPr="00BB243E" w14:paraId="756713F7" w14:textId="77777777" w:rsidTr="003038EC">
        <w:trPr>
          <w:gridAfter w:val="1"/>
          <w:wAfter w:w="11" w:type="pct"/>
        </w:trPr>
        <w:tc>
          <w:tcPr>
            <w:tcW w:w="4989" w:type="pct"/>
            <w:gridSpan w:val="6"/>
            <w:shd w:val="clear" w:color="auto" w:fill="D9D9D9" w:themeFill="background1" w:themeFillShade="D9"/>
          </w:tcPr>
          <w:p w14:paraId="130301C1" w14:textId="77777777" w:rsidR="00234135" w:rsidRPr="00BB243E" w:rsidRDefault="00234135" w:rsidP="00162909">
            <w:pPr>
              <w:rPr>
                <w:rFonts w:eastAsiaTheme="minorEastAsia" w:cs="Arial"/>
                <w:b/>
                <w:szCs w:val="24"/>
              </w:rPr>
            </w:pPr>
            <w:r w:rsidRPr="00BB243E">
              <w:rPr>
                <w:rFonts w:eastAsiaTheme="minorEastAsia" w:cs="Arial"/>
                <w:b/>
                <w:szCs w:val="24"/>
              </w:rPr>
              <w:t xml:space="preserve">D3. Justification of </w:t>
            </w:r>
            <w:r w:rsidR="00162909">
              <w:rPr>
                <w:rFonts w:eastAsiaTheme="minorEastAsia" w:cs="Arial"/>
                <w:b/>
                <w:szCs w:val="24"/>
              </w:rPr>
              <w:t xml:space="preserve">Size of </w:t>
            </w:r>
            <w:r w:rsidRPr="00BB243E">
              <w:rPr>
                <w:rFonts w:eastAsiaTheme="minorEastAsia" w:cs="Arial"/>
                <w:b/>
                <w:szCs w:val="24"/>
              </w:rPr>
              <w:t>Target Payment</w:t>
            </w:r>
          </w:p>
        </w:tc>
      </w:tr>
      <w:tr w:rsidR="008638B5" w:rsidRPr="000412A1" w14:paraId="66EF7909" w14:textId="77777777" w:rsidTr="003038EC">
        <w:trPr>
          <w:gridAfter w:val="1"/>
          <w:wAfter w:w="11" w:type="pct"/>
        </w:trPr>
        <w:tc>
          <w:tcPr>
            <w:tcW w:w="4989" w:type="pct"/>
            <w:gridSpan w:val="6"/>
          </w:tcPr>
          <w:p w14:paraId="0E75D62E" w14:textId="77777777" w:rsidR="008638B5" w:rsidRDefault="008638B5" w:rsidP="008638B5">
            <w:pPr>
              <w:rPr>
                <w:rFonts w:cs="Arial"/>
                <w:szCs w:val="24"/>
              </w:rPr>
            </w:pPr>
            <w:r w:rsidRPr="008C2400">
              <w:rPr>
                <w:rFonts w:cs="Arial"/>
                <w:szCs w:val="24"/>
              </w:rPr>
              <w:t>The evidence and assumptions upon whic</w:t>
            </w:r>
            <w:r>
              <w:rPr>
                <w:rFonts w:cs="Arial"/>
                <w:szCs w:val="24"/>
              </w:rPr>
              <w:t>h the target payment was based</w:t>
            </w:r>
            <w:r w:rsidRPr="008C2400">
              <w:rPr>
                <w:rFonts w:cs="Arial"/>
                <w:szCs w:val="24"/>
              </w:rPr>
              <w:t xml:space="preserve"> </w:t>
            </w:r>
            <w:r>
              <w:rPr>
                <w:rFonts w:cs="Arial"/>
                <w:szCs w:val="24"/>
              </w:rPr>
              <w:t>is that a dedicated resource is required for each of the schemes, as detailed below:</w:t>
            </w:r>
          </w:p>
          <w:p w14:paraId="59A66878" w14:textId="77777777" w:rsidR="008638B5" w:rsidRDefault="008638B5" w:rsidP="008638B5">
            <w:pPr>
              <w:rPr>
                <w:rFonts w:cs="Arial"/>
                <w:szCs w:val="24"/>
              </w:rPr>
            </w:pPr>
          </w:p>
          <w:tbl>
            <w:tblPr>
              <w:tblW w:w="9385" w:type="dxa"/>
              <w:tblLook w:val="04A0" w:firstRow="1" w:lastRow="0" w:firstColumn="1" w:lastColumn="0" w:noHBand="0" w:noVBand="1"/>
            </w:tblPr>
            <w:tblGrid>
              <w:gridCol w:w="4848"/>
              <w:gridCol w:w="4537"/>
            </w:tblGrid>
            <w:tr w:rsidR="008638B5" w:rsidRPr="00B66ABB" w14:paraId="780EDC02" w14:textId="77777777" w:rsidTr="00023FEB">
              <w:trPr>
                <w:trHeight w:val="864"/>
              </w:trPr>
              <w:tc>
                <w:tcPr>
                  <w:tcW w:w="4848"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6002A18D" w14:textId="77777777" w:rsidR="008638B5" w:rsidRPr="00B66ABB" w:rsidRDefault="008638B5" w:rsidP="008638B5">
                  <w:pPr>
                    <w:rPr>
                      <w:rFonts w:cs="Arial"/>
                      <w:b/>
                      <w:color w:val="FFFFFF"/>
                      <w:sz w:val="22"/>
                      <w:szCs w:val="22"/>
                      <w:lang w:eastAsia="en-GB"/>
                    </w:rPr>
                  </w:pPr>
                  <w:r w:rsidRPr="00B66ABB">
                    <w:rPr>
                      <w:rFonts w:cs="Arial"/>
                      <w:b/>
                      <w:color w:val="FFFFFF"/>
                      <w:sz w:val="22"/>
                      <w:szCs w:val="22"/>
                      <w:lang w:eastAsia="en-GB"/>
                    </w:rPr>
                    <w:lastRenderedPageBreak/>
                    <w:t>CQUIN Scheme</w:t>
                  </w:r>
                </w:p>
              </w:tc>
              <w:tc>
                <w:tcPr>
                  <w:tcW w:w="4537" w:type="dxa"/>
                  <w:tcBorders>
                    <w:top w:val="single" w:sz="4" w:space="0" w:color="auto"/>
                    <w:left w:val="nil"/>
                    <w:bottom w:val="single" w:sz="4" w:space="0" w:color="auto"/>
                    <w:right w:val="single" w:sz="4" w:space="0" w:color="auto"/>
                  </w:tcBorders>
                  <w:shd w:val="clear" w:color="000000" w:fill="4472C4"/>
                  <w:noWrap/>
                  <w:vAlign w:val="bottom"/>
                  <w:hideMark/>
                </w:tcPr>
                <w:p w14:paraId="5FFC95E2" w14:textId="77777777" w:rsidR="008638B5" w:rsidRPr="00B66ABB" w:rsidRDefault="008638B5" w:rsidP="008638B5">
                  <w:pPr>
                    <w:rPr>
                      <w:rFonts w:cs="Arial"/>
                      <w:b/>
                      <w:color w:val="FFFFFF"/>
                      <w:sz w:val="22"/>
                      <w:szCs w:val="22"/>
                      <w:lang w:eastAsia="en-GB"/>
                    </w:rPr>
                  </w:pPr>
                  <w:r w:rsidRPr="00B66ABB">
                    <w:rPr>
                      <w:rFonts w:cs="Arial"/>
                      <w:b/>
                      <w:color w:val="FFFFFF"/>
                      <w:sz w:val="22"/>
                      <w:szCs w:val="22"/>
                      <w:lang w:eastAsia="en-GB"/>
                    </w:rPr>
                    <w:t>Suggested resource required</w:t>
                  </w:r>
                </w:p>
              </w:tc>
            </w:tr>
            <w:tr w:rsidR="008638B5" w:rsidRPr="00B66ABB" w14:paraId="69D27890" w14:textId="77777777" w:rsidTr="00023FEB">
              <w:trPr>
                <w:trHeight w:val="288"/>
              </w:trPr>
              <w:tc>
                <w:tcPr>
                  <w:tcW w:w="4848" w:type="dxa"/>
                  <w:tcBorders>
                    <w:top w:val="nil"/>
                    <w:left w:val="single" w:sz="4" w:space="0" w:color="auto"/>
                    <w:bottom w:val="single" w:sz="4" w:space="0" w:color="auto"/>
                    <w:right w:val="single" w:sz="4" w:space="0" w:color="auto"/>
                  </w:tcBorders>
                  <w:shd w:val="clear" w:color="auto" w:fill="auto"/>
                  <w:noWrap/>
                  <w:vAlign w:val="bottom"/>
                  <w:hideMark/>
                </w:tcPr>
                <w:p w14:paraId="6D1B41EB" w14:textId="77777777" w:rsidR="008638B5" w:rsidRPr="00B66ABB" w:rsidRDefault="008638B5" w:rsidP="008638B5">
                  <w:pPr>
                    <w:rPr>
                      <w:rFonts w:cs="Arial"/>
                      <w:bCs w:val="0"/>
                      <w:color w:val="000000"/>
                      <w:sz w:val="22"/>
                      <w:szCs w:val="22"/>
                      <w:lang w:eastAsia="en-GB"/>
                    </w:rPr>
                  </w:pPr>
                  <w:r w:rsidRPr="00B66ABB">
                    <w:rPr>
                      <w:rFonts w:cs="Arial"/>
                      <w:bCs w:val="0"/>
                      <w:color w:val="000000"/>
                      <w:sz w:val="22"/>
                      <w:szCs w:val="22"/>
                      <w:lang w:eastAsia="en-GB"/>
                    </w:rPr>
                    <w:t>H</w:t>
                  </w:r>
                  <w:r>
                    <w:rPr>
                      <w:rFonts w:cs="Arial"/>
                      <w:bCs w:val="0"/>
                      <w:color w:val="000000"/>
                      <w:sz w:val="22"/>
                      <w:szCs w:val="22"/>
                      <w:lang w:eastAsia="en-GB"/>
                    </w:rPr>
                    <w:t xml:space="preserve">ighly </w:t>
                  </w:r>
                  <w:r w:rsidRPr="00B66ABB">
                    <w:rPr>
                      <w:rFonts w:cs="Arial"/>
                      <w:bCs w:val="0"/>
                      <w:color w:val="000000"/>
                      <w:sz w:val="22"/>
                      <w:szCs w:val="22"/>
                      <w:lang w:eastAsia="en-GB"/>
                    </w:rPr>
                    <w:t>S</w:t>
                  </w:r>
                  <w:r>
                    <w:rPr>
                      <w:rFonts w:cs="Arial"/>
                      <w:bCs w:val="0"/>
                      <w:color w:val="000000"/>
                      <w:sz w:val="22"/>
                      <w:szCs w:val="22"/>
                      <w:lang w:eastAsia="en-GB"/>
                    </w:rPr>
                    <w:t xml:space="preserve">pecialised </w:t>
                  </w:r>
                  <w:r w:rsidRPr="00B66ABB">
                    <w:rPr>
                      <w:rFonts w:cs="Arial"/>
                      <w:bCs w:val="0"/>
                      <w:color w:val="000000"/>
                      <w:sz w:val="22"/>
                      <w:szCs w:val="22"/>
                      <w:lang w:eastAsia="en-GB"/>
                    </w:rPr>
                    <w:t>T</w:t>
                  </w:r>
                  <w:r>
                    <w:rPr>
                      <w:rFonts w:cs="Arial"/>
                      <w:bCs w:val="0"/>
                      <w:color w:val="000000"/>
                      <w:sz w:val="22"/>
                      <w:szCs w:val="22"/>
                      <w:lang w:eastAsia="en-GB"/>
                    </w:rPr>
                    <w:t>echnologies</w:t>
                  </w:r>
                </w:p>
              </w:tc>
              <w:tc>
                <w:tcPr>
                  <w:tcW w:w="4537" w:type="dxa"/>
                  <w:tcBorders>
                    <w:top w:val="nil"/>
                    <w:left w:val="nil"/>
                    <w:bottom w:val="single" w:sz="4" w:space="0" w:color="auto"/>
                    <w:right w:val="single" w:sz="4" w:space="0" w:color="auto"/>
                  </w:tcBorders>
                  <w:shd w:val="clear" w:color="auto" w:fill="auto"/>
                  <w:noWrap/>
                  <w:vAlign w:val="bottom"/>
                  <w:hideMark/>
                </w:tcPr>
                <w:p w14:paraId="49BCC4B0" w14:textId="77777777" w:rsidR="008638B5" w:rsidRPr="00B66ABB" w:rsidRDefault="008638B5" w:rsidP="008638B5">
                  <w:pPr>
                    <w:rPr>
                      <w:rFonts w:cs="Arial"/>
                      <w:bCs w:val="0"/>
                      <w:color w:val="000000"/>
                      <w:sz w:val="22"/>
                      <w:szCs w:val="22"/>
                      <w:lang w:eastAsia="en-GB"/>
                    </w:rPr>
                  </w:pPr>
                  <w:r w:rsidRPr="00B66ABB">
                    <w:rPr>
                      <w:rFonts w:cs="Arial"/>
                      <w:bCs w:val="0"/>
                      <w:color w:val="000000"/>
                      <w:sz w:val="22"/>
                      <w:szCs w:val="22"/>
                      <w:lang w:eastAsia="en-GB"/>
                    </w:rPr>
                    <w:t>P</w:t>
                  </w:r>
                  <w:r w:rsidR="00E93A29">
                    <w:rPr>
                      <w:rFonts w:cs="Arial"/>
                      <w:bCs w:val="0"/>
                      <w:color w:val="000000"/>
                      <w:sz w:val="22"/>
                      <w:szCs w:val="22"/>
                      <w:lang w:eastAsia="en-GB"/>
                    </w:rPr>
                    <w:t xml:space="preserve">rogramme </w:t>
                  </w:r>
                  <w:r w:rsidRPr="00B66ABB">
                    <w:rPr>
                      <w:rFonts w:cs="Arial"/>
                      <w:bCs w:val="0"/>
                      <w:color w:val="000000"/>
                      <w:sz w:val="22"/>
                      <w:szCs w:val="22"/>
                      <w:lang w:eastAsia="en-GB"/>
                    </w:rPr>
                    <w:t>M</w:t>
                  </w:r>
                  <w:r w:rsidR="00E93A29">
                    <w:rPr>
                      <w:rFonts w:cs="Arial"/>
                      <w:bCs w:val="0"/>
                      <w:color w:val="000000"/>
                      <w:sz w:val="22"/>
                      <w:szCs w:val="22"/>
                      <w:lang w:eastAsia="en-GB"/>
                    </w:rPr>
                    <w:t>anager</w:t>
                  </w:r>
                  <w:r w:rsidRPr="00B66ABB">
                    <w:rPr>
                      <w:rFonts w:cs="Arial"/>
                      <w:bCs w:val="0"/>
                      <w:color w:val="000000"/>
                      <w:sz w:val="22"/>
                      <w:szCs w:val="22"/>
                      <w:lang w:eastAsia="en-GB"/>
                    </w:rPr>
                    <w:t xml:space="preserve">   </w:t>
                  </w:r>
                </w:p>
              </w:tc>
            </w:tr>
            <w:tr w:rsidR="008638B5" w:rsidRPr="00B66ABB" w14:paraId="76FEF5AF" w14:textId="77777777" w:rsidTr="00023FEB">
              <w:trPr>
                <w:trHeight w:val="288"/>
              </w:trPr>
              <w:tc>
                <w:tcPr>
                  <w:tcW w:w="4848" w:type="dxa"/>
                  <w:tcBorders>
                    <w:top w:val="nil"/>
                    <w:left w:val="single" w:sz="4" w:space="0" w:color="auto"/>
                    <w:bottom w:val="single" w:sz="4" w:space="0" w:color="auto"/>
                    <w:right w:val="single" w:sz="4" w:space="0" w:color="auto"/>
                  </w:tcBorders>
                  <w:shd w:val="clear" w:color="auto" w:fill="auto"/>
                  <w:noWrap/>
                  <w:vAlign w:val="bottom"/>
                  <w:hideMark/>
                </w:tcPr>
                <w:p w14:paraId="4A682A57" w14:textId="77777777" w:rsidR="008638B5" w:rsidRPr="00B66ABB" w:rsidRDefault="008638B5" w:rsidP="008638B5">
                  <w:pPr>
                    <w:rPr>
                      <w:rFonts w:cs="Arial"/>
                      <w:bCs w:val="0"/>
                      <w:color w:val="000000"/>
                      <w:sz w:val="22"/>
                      <w:szCs w:val="22"/>
                      <w:lang w:eastAsia="en-GB"/>
                    </w:rPr>
                  </w:pPr>
                  <w:r w:rsidRPr="00B66ABB">
                    <w:rPr>
                      <w:rFonts w:cs="Arial"/>
                      <w:bCs w:val="0"/>
                      <w:color w:val="000000"/>
                      <w:sz w:val="22"/>
                      <w:szCs w:val="22"/>
                      <w:lang w:eastAsia="en-GB"/>
                    </w:rPr>
                    <w:t>C</w:t>
                  </w:r>
                  <w:r>
                    <w:rPr>
                      <w:rFonts w:cs="Arial"/>
                      <w:bCs w:val="0"/>
                      <w:color w:val="000000"/>
                      <w:sz w:val="22"/>
                      <w:szCs w:val="22"/>
                      <w:lang w:eastAsia="en-GB"/>
                    </w:rPr>
                    <w:t xml:space="preserve">hemotherapy </w:t>
                  </w:r>
                  <w:r w:rsidRPr="00B66ABB">
                    <w:rPr>
                      <w:rFonts w:cs="Arial"/>
                      <w:bCs w:val="0"/>
                      <w:color w:val="000000"/>
                      <w:sz w:val="22"/>
                      <w:szCs w:val="22"/>
                      <w:lang w:eastAsia="en-GB"/>
                    </w:rPr>
                    <w:t>Waste</w:t>
                  </w:r>
                </w:p>
              </w:tc>
              <w:tc>
                <w:tcPr>
                  <w:tcW w:w="4537" w:type="dxa"/>
                  <w:tcBorders>
                    <w:top w:val="nil"/>
                    <w:left w:val="nil"/>
                    <w:bottom w:val="single" w:sz="4" w:space="0" w:color="auto"/>
                    <w:right w:val="single" w:sz="4" w:space="0" w:color="auto"/>
                  </w:tcBorders>
                  <w:shd w:val="clear" w:color="auto" w:fill="auto"/>
                  <w:noWrap/>
                  <w:vAlign w:val="bottom"/>
                  <w:hideMark/>
                </w:tcPr>
                <w:p w14:paraId="192D3961" w14:textId="77777777" w:rsidR="008638B5" w:rsidRPr="00B66ABB" w:rsidRDefault="008638B5" w:rsidP="008638B5">
                  <w:pPr>
                    <w:rPr>
                      <w:rFonts w:cs="Arial"/>
                      <w:bCs w:val="0"/>
                      <w:color w:val="000000"/>
                      <w:sz w:val="22"/>
                      <w:szCs w:val="22"/>
                      <w:lang w:eastAsia="en-GB"/>
                    </w:rPr>
                  </w:pPr>
                  <w:r w:rsidRPr="00B66ABB">
                    <w:rPr>
                      <w:rFonts w:cs="Arial"/>
                      <w:bCs w:val="0"/>
                      <w:color w:val="000000"/>
                      <w:sz w:val="22"/>
                      <w:szCs w:val="22"/>
                      <w:lang w:eastAsia="en-GB"/>
                    </w:rPr>
                    <w:t>Pharmacy Technician</w:t>
                  </w:r>
                </w:p>
              </w:tc>
            </w:tr>
            <w:tr w:rsidR="008638B5" w:rsidRPr="00B66ABB" w14:paraId="52A366CA" w14:textId="77777777" w:rsidTr="00023FEB">
              <w:trPr>
                <w:trHeight w:val="288"/>
              </w:trPr>
              <w:tc>
                <w:tcPr>
                  <w:tcW w:w="4848" w:type="dxa"/>
                  <w:tcBorders>
                    <w:top w:val="nil"/>
                    <w:left w:val="single" w:sz="4" w:space="0" w:color="auto"/>
                    <w:bottom w:val="single" w:sz="4" w:space="0" w:color="auto"/>
                    <w:right w:val="single" w:sz="4" w:space="0" w:color="auto"/>
                  </w:tcBorders>
                  <w:shd w:val="clear" w:color="auto" w:fill="auto"/>
                  <w:noWrap/>
                  <w:vAlign w:val="bottom"/>
                  <w:hideMark/>
                </w:tcPr>
                <w:p w14:paraId="2E24244D" w14:textId="77777777" w:rsidR="008638B5" w:rsidRPr="00B66ABB" w:rsidRDefault="008638B5" w:rsidP="008638B5">
                  <w:pPr>
                    <w:rPr>
                      <w:rFonts w:cs="Arial"/>
                      <w:bCs w:val="0"/>
                      <w:color w:val="000000"/>
                      <w:sz w:val="22"/>
                      <w:szCs w:val="22"/>
                      <w:lang w:eastAsia="en-GB"/>
                    </w:rPr>
                  </w:pPr>
                  <w:r w:rsidRPr="00B66ABB">
                    <w:rPr>
                      <w:rFonts w:cs="Arial"/>
                      <w:bCs w:val="0"/>
                      <w:color w:val="000000"/>
                      <w:sz w:val="22"/>
                      <w:szCs w:val="22"/>
                      <w:lang w:eastAsia="en-GB"/>
                    </w:rPr>
                    <w:t>Best Value</w:t>
                  </w:r>
                </w:p>
              </w:tc>
              <w:tc>
                <w:tcPr>
                  <w:tcW w:w="4537" w:type="dxa"/>
                  <w:tcBorders>
                    <w:top w:val="nil"/>
                    <w:left w:val="nil"/>
                    <w:bottom w:val="single" w:sz="4" w:space="0" w:color="auto"/>
                    <w:right w:val="single" w:sz="4" w:space="0" w:color="auto"/>
                  </w:tcBorders>
                  <w:shd w:val="clear" w:color="auto" w:fill="auto"/>
                  <w:noWrap/>
                  <w:vAlign w:val="bottom"/>
                  <w:hideMark/>
                </w:tcPr>
                <w:p w14:paraId="3B915CD7" w14:textId="77777777" w:rsidR="008638B5" w:rsidRPr="00B66ABB" w:rsidRDefault="008638B5" w:rsidP="008638B5">
                  <w:pPr>
                    <w:rPr>
                      <w:rFonts w:cs="Arial"/>
                      <w:bCs w:val="0"/>
                      <w:color w:val="000000"/>
                      <w:sz w:val="22"/>
                      <w:szCs w:val="22"/>
                      <w:lang w:eastAsia="en-GB"/>
                    </w:rPr>
                  </w:pPr>
                  <w:r w:rsidRPr="00B66ABB">
                    <w:rPr>
                      <w:rFonts w:cs="Arial"/>
                      <w:bCs w:val="0"/>
                      <w:color w:val="000000"/>
                      <w:sz w:val="22"/>
                      <w:szCs w:val="22"/>
                      <w:lang w:eastAsia="en-GB"/>
                    </w:rPr>
                    <w:t>Pharmacist</w:t>
                  </w:r>
                </w:p>
              </w:tc>
            </w:tr>
            <w:tr w:rsidR="008638B5" w:rsidRPr="00B66ABB" w14:paraId="591CF2AC" w14:textId="77777777" w:rsidTr="00023FEB">
              <w:trPr>
                <w:trHeight w:val="288"/>
              </w:trPr>
              <w:tc>
                <w:tcPr>
                  <w:tcW w:w="4848" w:type="dxa"/>
                  <w:tcBorders>
                    <w:top w:val="nil"/>
                    <w:left w:val="single" w:sz="4" w:space="0" w:color="auto"/>
                    <w:bottom w:val="single" w:sz="4" w:space="0" w:color="auto"/>
                    <w:right w:val="single" w:sz="4" w:space="0" w:color="auto"/>
                  </w:tcBorders>
                  <w:shd w:val="clear" w:color="auto" w:fill="auto"/>
                  <w:noWrap/>
                  <w:vAlign w:val="bottom"/>
                  <w:hideMark/>
                </w:tcPr>
                <w:p w14:paraId="61AB468C" w14:textId="77777777" w:rsidR="008638B5" w:rsidRPr="00B66ABB" w:rsidRDefault="008638B5" w:rsidP="008638B5">
                  <w:pPr>
                    <w:rPr>
                      <w:rFonts w:cs="Arial"/>
                      <w:bCs w:val="0"/>
                      <w:color w:val="000000"/>
                      <w:sz w:val="22"/>
                      <w:szCs w:val="22"/>
                      <w:lang w:eastAsia="en-GB"/>
                    </w:rPr>
                  </w:pPr>
                  <w:r>
                    <w:rPr>
                      <w:rFonts w:cs="Arial"/>
                      <w:bCs w:val="0"/>
                      <w:color w:val="000000"/>
                      <w:sz w:val="22"/>
                      <w:szCs w:val="22"/>
                      <w:lang w:eastAsia="en-GB"/>
                    </w:rPr>
                    <w:t xml:space="preserve">National </w:t>
                  </w:r>
                  <w:r w:rsidR="000916D7">
                    <w:rPr>
                      <w:rFonts w:cs="Arial"/>
                      <w:bCs w:val="0"/>
                      <w:color w:val="000000"/>
                      <w:sz w:val="22"/>
                      <w:szCs w:val="22"/>
                      <w:lang w:eastAsia="en-GB"/>
                    </w:rPr>
                    <w:t>Treatment Criteria and prior approval</w:t>
                  </w:r>
                </w:p>
              </w:tc>
              <w:tc>
                <w:tcPr>
                  <w:tcW w:w="4537" w:type="dxa"/>
                  <w:tcBorders>
                    <w:top w:val="nil"/>
                    <w:left w:val="nil"/>
                    <w:bottom w:val="single" w:sz="4" w:space="0" w:color="auto"/>
                    <w:right w:val="single" w:sz="4" w:space="0" w:color="auto"/>
                  </w:tcBorders>
                  <w:shd w:val="clear" w:color="auto" w:fill="auto"/>
                  <w:noWrap/>
                  <w:vAlign w:val="bottom"/>
                  <w:hideMark/>
                </w:tcPr>
                <w:p w14:paraId="02BE49AC" w14:textId="77777777" w:rsidR="008638B5" w:rsidRPr="00B66ABB" w:rsidRDefault="008638B5" w:rsidP="008638B5">
                  <w:pPr>
                    <w:rPr>
                      <w:rFonts w:cs="Arial"/>
                      <w:bCs w:val="0"/>
                      <w:color w:val="000000"/>
                      <w:sz w:val="22"/>
                      <w:szCs w:val="22"/>
                      <w:lang w:eastAsia="en-GB"/>
                    </w:rPr>
                  </w:pPr>
                  <w:r w:rsidRPr="00B66ABB">
                    <w:rPr>
                      <w:rFonts w:cs="Arial"/>
                      <w:bCs w:val="0"/>
                      <w:color w:val="000000"/>
                      <w:sz w:val="22"/>
                      <w:szCs w:val="22"/>
                      <w:lang w:eastAsia="en-GB"/>
                    </w:rPr>
                    <w:t xml:space="preserve">PMO Lead </w:t>
                  </w:r>
                </w:p>
              </w:tc>
            </w:tr>
            <w:tr w:rsidR="008638B5" w:rsidRPr="00B66ABB" w14:paraId="4E3F7D73" w14:textId="77777777" w:rsidTr="00023FEB">
              <w:trPr>
                <w:trHeight w:val="288"/>
              </w:trPr>
              <w:tc>
                <w:tcPr>
                  <w:tcW w:w="4848" w:type="dxa"/>
                  <w:tcBorders>
                    <w:top w:val="nil"/>
                    <w:left w:val="single" w:sz="4" w:space="0" w:color="auto"/>
                    <w:bottom w:val="single" w:sz="4" w:space="0" w:color="auto"/>
                    <w:right w:val="single" w:sz="4" w:space="0" w:color="auto"/>
                  </w:tcBorders>
                  <w:shd w:val="clear" w:color="auto" w:fill="auto"/>
                  <w:noWrap/>
                  <w:vAlign w:val="bottom"/>
                  <w:hideMark/>
                </w:tcPr>
                <w:p w14:paraId="46968A40" w14:textId="77777777" w:rsidR="008638B5" w:rsidRPr="00B66ABB" w:rsidRDefault="008638B5" w:rsidP="008638B5">
                  <w:pPr>
                    <w:rPr>
                      <w:rFonts w:cs="Arial"/>
                      <w:bCs w:val="0"/>
                      <w:color w:val="000000"/>
                      <w:sz w:val="22"/>
                      <w:szCs w:val="22"/>
                      <w:lang w:eastAsia="en-GB"/>
                    </w:rPr>
                  </w:pPr>
                  <w:r>
                    <w:rPr>
                      <w:rFonts w:cs="Arial"/>
                      <w:bCs w:val="0"/>
                      <w:color w:val="000000"/>
                      <w:sz w:val="22"/>
                      <w:szCs w:val="22"/>
                      <w:lang w:eastAsia="en-GB"/>
                    </w:rPr>
                    <w:t xml:space="preserve">National </w:t>
                  </w:r>
                  <w:r w:rsidR="000916D7">
                    <w:rPr>
                      <w:rFonts w:cs="Arial"/>
                      <w:bCs w:val="0"/>
                      <w:color w:val="000000"/>
                      <w:sz w:val="22"/>
                      <w:szCs w:val="22"/>
                      <w:lang w:eastAsia="en-GB"/>
                    </w:rPr>
                    <w:t>treatment criteria and prior approval</w:t>
                  </w:r>
                </w:p>
              </w:tc>
              <w:tc>
                <w:tcPr>
                  <w:tcW w:w="4537" w:type="dxa"/>
                  <w:tcBorders>
                    <w:top w:val="nil"/>
                    <w:left w:val="nil"/>
                    <w:bottom w:val="single" w:sz="4" w:space="0" w:color="auto"/>
                    <w:right w:val="single" w:sz="4" w:space="0" w:color="auto"/>
                  </w:tcBorders>
                  <w:shd w:val="clear" w:color="auto" w:fill="auto"/>
                  <w:noWrap/>
                  <w:vAlign w:val="bottom"/>
                  <w:hideMark/>
                </w:tcPr>
                <w:p w14:paraId="18429AF6" w14:textId="77777777" w:rsidR="008638B5" w:rsidRPr="00B66ABB" w:rsidRDefault="008638B5" w:rsidP="008638B5">
                  <w:pPr>
                    <w:rPr>
                      <w:rFonts w:cs="Arial"/>
                      <w:bCs w:val="0"/>
                      <w:color w:val="000000"/>
                      <w:sz w:val="22"/>
                      <w:szCs w:val="22"/>
                      <w:lang w:eastAsia="en-GB"/>
                    </w:rPr>
                  </w:pPr>
                  <w:r w:rsidRPr="00B66ABB">
                    <w:rPr>
                      <w:rFonts w:cs="Arial"/>
                      <w:bCs w:val="0"/>
                      <w:color w:val="000000"/>
                      <w:sz w:val="22"/>
                      <w:szCs w:val="22"/>
                      <w:lang w:eastAsia="en-GB"/>
                    </w:rPr>
                    <w:t>Pharmacist</w:t>
                  </w:r>
                </w:p>
              </w:tc>
            </w:tr>
            <w:tr w:rsidR="008638B5" w:rsidRPr="00B66ABB" w14:paraId="0634FB4C" w14:textId="77777777" w:rsidTr="00023FEB">
              <w:trPr>
                <w:trHeight w:val="288"/>
              </w:trPr>
              <w:tc>
                <w:tcPr>
                  <w:tcW w:w="4848" w:type="dxa"/>
                  <w:tcBorders>
                    <w:top w:val="nil"/>
                    <w:left w:val="single" w:sz="4" w:space="0" w:color="auto"/>
                    <w:bottom w:val="single" w:sz="4" w:space="0" w:color="auto"/>
                    <w:right w:val="single" w:sz="4" w:space="0" w:color="auto"/>
                  </w:tcBorders>
                  <w:shd w:val="clear" w:color="auto" w:fill="auto"/>
                  <w:noWrap/>
                  <w:vAlign w:val="bottom"/>
                </w:tcPr>
                <w:p w14:paraId="74BC7373" w14:textId="77777777" w:rsidR="008638B5" w:rsidRDefault="008638B5" w:rsidP="008638B5">
                  <w:pPr>
                    <w:rPr>
                      <w:rFonts w:cs="Arial"/>
                      <w:bCs w:val="0"/>
                      <w:color w:val="000000"/>
                      <w:sz w:val="22"/>
                      <w:szCs w:val="22"/>
                      <w:lang w:eastAsia="en-GB"/>
                    </w:rPr>
                  </w:pPr>
                  <w:r>
                    <w:rPr>
                      <w:rFonts w:cs="Arial"/>
                      <w:bCs w:val="0"/>
                      <w:color w:val="000000"/>
                      <w:sz w:val="22"/>
                      <w:szCs w:val="22"/>
                      <w:lang w:eastAsia="en-GB"/>
                    </w:rPr>
                    <w:t>Anti-Fungal Stewardship</w:t>
                  </w:r>
                </w:p>
              </w:tc>
              <w:tc>
                <w:tcPr>
                  <w:tcW w:w="4537" w:type="dxa"/>
                  <w:tcBorders>
                    <w:top w:val="nil"/>
                    <w:left w:val="single" w:sz="4" w:space="0" w:color="auto"/>
                    <w:bottom w:val="single" w:sz="4" w:space="0" w:color="auto"/>
                    <w:right w:val="single" w:sz="4" w:space="0" w:color="auto"/>
                  </w:tcBorders>
                  <w:shd w:val="clear" w:color="auto" w:fill="auto"/>
                  <w:noWrap/>
                  <w:vAlign w:val="bottom"/>
                </w:tcPr>
                <w:p w14:paraId="7CA5F856" w14:textId="77777777" w:rsidR="008638B5" w:rsidRPr="00B66ABB" w:rsidRDefault="008638B5" w:rsidP="008638B5">
                  <w:pPr>
                    <w:rPr>
                      <w:rFonts w:cs="Arial"/>
                      <w:bCs w:val="0"/>
                      <w:color w:val="000000"/>
                      <w:sz w:val="22"/>
                      <w:szCs w:val="22"/>
                      <w:lang w:eastAsia="en-GB"/>
                    </w:rPr>
                  </w:pPr>
                  <w:r>
                    <w:rPr>
                      <w:rFonts w:cs="Arial"/>
                      <w:bCs w:val="0"/>
                      <w:color w:val="000000"/>
                      <w:sz w:val="22"/>
                      <w:szCs w:val="22"/>
                      <w:lang w:eastAsia="en-GB"/>
                    </w:rPr>
                    <w:t xml:space="preserve">Consultant </w:t>
                  </w:r>
                  <w:proofErr w:type="gramStart"/>
                  <w:r>
                    <w:rPr>
                      <w:rFonts w:cs="Arial"/>
                      <w:bCs w:val="0"/>
                      <w:color w:val="000000"/>
                      <w:sz w:val="22"/>
                      <w:szCs w:val="22"/>
                      <w:lang w:eastAsia="en-GB"/>
                    </w:rPr>
                    <w:t>-  Infectious</w:t>
                  </w:r>
                  <w:proofErr w:type="gramEnd"/>
                  <w:r>
                    <w:rPr>
                      <w:rFonts w:cs="Arial"/>
                      <w:bCs w:val="0"/>
                      <w:color w:val="000000"/>
                      <w:sz w:val="22"/>
                      <w:szCs w:val="22"/>
                      <w:lang w:eastAsia="en-GB"/>
                    </w:rPr>
                    <w:t xml:space="preserve"> diseases</w:t>
                  </w:r>
                </w:p>
              </w:tc>
            </w:tr>
            <w:tr w:rsidR="008638B5" w:rsidRPr="00B66ABB" w14:paraId="584AFE50" w14:textId="77777777" w:rsidTr="00023FEB">
              <w:trPr>
                <w:trHeight w:val="288"/>
              </w:trPr>
              <w:tc>
                <w:tcPr>
                  <w:tcW w:w="4848" w:type="dxa"/>
                  <w:tcBorders>
                    <w:top w:val="nil"/>
                    <w:left w:val="single" w:sz="4" w:space="0" w:color="auto"/>
                    <w:bottom w:val="single" w:sz="4" w:space="0" w:color="auto"/>
                    <w:right w:val="single" w:sz="4" w:space="0" w:color="auto"/>
                  </w:tcBorders>
                  <w:shd w:val="clear" w:color="auto" w:fill="auto"/>
                  <w:noWrap/>
                  <w:vAlign w:val="bottom"/>
                </w:tcPr>
                <w:p w14:paraId="3999566C" w14:textId="77777777" w:rsidR="008638B5" w:rsidRDefault="008638B5" w:rsidP="008638B5">
                  <w:pPr>
                    <w:rPr>
                      <w:rFonts w:cs="Arial"/>
                      <w:bCs w:val="0"/>
                      <w:color w:val="000000"/>
                      <w:sz w:val="22"/>
                      <w:szCs w:val="22"/>
                      <w:lang w:eastAsia="en-GB"/>
                    </w:rPr>
                  </w:pPr>
                  <w:r>
                    <w:rPr>
                      <w:rFonts w:cs="Arial"/>
                      <w:bCs w:val="0"/>
                      <w:color w:val="000000"/>
                      <w:sz w:val="22"/>
                      <w:szCs w:val="22"/>
                      <w:lang w:eastAsia="en-GB"/>
                    </w:rPr>
                    <w:t>Anti-Fungal Stewardship</w:t>
                  </w:r>
                </w:p>
              </w:tc>
              <w:tc>
                <w:tcPr>
                  <w:tcW w:w="4537" w:type="dxa"/>
                  <w:tcBorders>
                    <w:top w:val="nil"/>
                    <w:left w:val="single" w:sz="4" w:space="0" w:color="auto"/>
                    <w:bottom w:val="single" w:sz="4" w:space="0" w:color="auto"/>
                    <w:right w:val="single" w:sz="4" w:space="0" w:color="auto"/>
                  </w:tcBorders>
                  <w:shd w:val="clear" w:color="auto" w:fill="auto"/>
                  <w:noWrap/>
                  <w:vAlign w:val="bottom"/>
                </w:tcPr>
                <w:p w14:paraId="4A952F78" w14:textId="77777777" w:rsidR="008638B5" w:rsidRPr="00B66ABB" w:rsidRDefault="008638B5" w:rsidP="008638B5">
                  <w:pPr>
                    <w:rPr>
                      <w:rFonts w:cs="Arial"/>
                      <w:bCs w:val="0"/>
                      <w:color w:val="000000"/>
                      <w:sz w:val="22"/>
                      <w:szCs w:val="22"/>
                      <w:lang w:eastAsia="en-GB"/>
                    </w:rPr>
                  </w:pPr>
                  <w:r>
                    <w:rPr>
                      <w:rFonts w:cs="Arial"/>
                      <w:bCs w:val="0"/>
                      <w:color w:val="000000"/>
                      <w:sz w:val="22"/>
                      <w:szCs w:val="22"/>
                      <w:lang w:eastAsia="en-GB"/>
                    </w:rPr>
                    <w:t>Antibiotic Pharmacist</w:t>
                  </w:r>
                </w:p>
              </w:tc>
            </w:tr>
            <w:tr w:rsidR="008638B5" w:rsidRPr="00B66ABB" w14:paraId="1FC2F8FA" w14:textId="77777777" w:rsidTr="00023FEB">
              <w:trPr>
                <w:trHeight w:val="288"/>
              </w:trPr>
              <w:tc>
                <w:tcPr>
                  <w:tcW w:w="4848" w:type="dxa"/>
                  <w:tcBorders>
                    <w:top w:val="nil"/>
                    <w:left w:val="single" w:sz="4" w:space="0" w:color="auto"/>
                    <w:bottom w:val="single" w:sz="4" w:space="0" w:color="auto"/>
                    <w:right w:val="single" w:sz="4" w:space="0" w:color="auto"/>
                  </w:tcBorders>
                  <w:shd w:val="clear" w:color="auto" w:fill="auto"/>
                  <w:noWrap/>
                  <w:vAlign w:val="bottom"/>
                  <w:hideMark/>
                </w:tcPr>
                <w:p w14:paraId="500B163B" w14:textId="77777777" w:rsidR="008638B5" w:rsidRPr="00B66ABB" w:rsidRDefault="008638B5" w:rsidP="008638B5">
                  <w:pPr>
                    <w:rPr>
                      <w:rFonts w:cs="Arial"/>
                      <w:bCs w:val="0"/>
                      <w:color w:val="000000"/>
                      <w:sz w:val="22"/>
                      <w:szCs w:val="22"/>
                      <w:lang w:eastAsia="en-GB"/>
                    </w:rPr>
                  </w:pPr>
                  <w:r w:rsidRPr="00B66ABB">
                    <w:rPr>
                      <w:rFonts w:cs="Arial"/>
                      <w:bCs w:val="0"/>
                      <w:color w:val="000000"/>
                      <w:sz w:val="22"/>
                      <w:szCs w:val="22"/>
                      <w:lang w:eastAsia="en-GB"/>
                    </w:rPr>
                    <w:t>All</w:t>
                  </w:r>
                  <w:r>
                    <w:rPr>
                      <w:rFonts w:cs="Arial"/>
                      <w:bCs w:val="0"/>
                      <w:color w:val="000000"/>
                      <w:sz w:val="22"/>
                      <w:szCs w:val="22"/>
                      <w:lang w:eastAsia="en-GB"/>
                    </w:rPr>
                    <w:t xml:space="preserve"> Schemes</w:t>
                  </w:r>
                </w:p>
              </w:tc>
              <w:tc>
                <w:tcPr>
                  <w:tcW w:w="4537" w:type="dxa"/>
                  <w:tcBorders>
                    <w:top w:val="nil"/>
                    <w:left w:val="nil"/>
                    <w:bottom w:val="single" w:sz="4" w:space="0" w:color="auto"/>
                    <w:right w:val="single" w:sz="4" w:space="0" w:color="auto"/>
                  </w:tcBorders>
                  <w:shd w:val="clear" w:color="auto" w:fill="auto"/>
                  <w:noWrap/>
                  <w:vAlign w:val="bottom"/>
                  <w:hideMark/>
                </w:tcPr>
                <w:p w14:paraId="5460C719" w14:textId="77777777" w:rsidR="008638B5" w:rsidRPr="00B66ABB" w:rsidRDefault="008638B5" w:rsidP="008638B5">
                  <w:pPr>
                    <w:rPr>
                      <w:rFonts w:cs="Arial"/>
                      <w:bCs w:val="0"/>
                      <w:color w:val="000000"/>
                      <w:sz w:val="22"/>
                      <w:szCs w:val="22"/>
                      <w:lang w:eastAsia="en-GB"/>
                    </w:rPr>
                  </w:pPr>
                  <w:r w:rsidRPr="00B66ABB">
                    <w:rPr>
                      <w:rFonts w:cs="Arial"/>
                      <w:bCs w:val="0"/>
                      <w:color w:val="000000"/>
                      <w:sz w:val="22"/>
                      <w:szCs w:val="22"/>
                      <w:lang w:eastAsia="en-GB"/>
                    </w:rPr>
                    <w:t>Administration</w:t>
                  </w:r>
                </w:p>
              </w:tc>
            </w:tr>
            <w:tr w:rsidR="008638B5" w:rsidRPr="00B66ABB" w14:paraId="41541830" w14:textId="77777777" w:rsidTr="00023FEB">
              <w:trPr>
                <w:trHeight w:val="288"/>
              </w:trPr>
              <w:tc>
                <w:tcPr>
                  <w:tcW w:w="4848" w:type="dxa"/>
                  <w:tcBorders>
                    <w:top w:val="nil"/>
                    <w:left w:val="single" w:sz="4" w:space="0" w:color="auto"/>
                    <w:bottom w:val="single" w:sz="4" w:space="0" w:color="auto"/>
                    <w:right w:val="single" w:sz="4" w:space="0" w:color="auto"/>
                  </w:tcBorders>
                  <w:shd w:val="clear" w:color="auto" w:fill="auto"/>
                  <w:noWrap/>
                  <w:vAlign w:val="bottom"/>
                  <w:hideMark/>
                </w:tcPr>
                <w:p w14:paraId="15D66212" w14:textId="77777777" w:rsidR="008638B5" w:rsidRPr="00B66ABB" w:rsidRDefault="008638B5" w:rsidP="008638B5">
                  <w:pPr>
                    <w:rPr>
                      <w:rFonts w:cs="Arial"/>
                      <w:bCs w:val="0"/>
                      <w:color w:val="000000"/>
                      <w:sz w:val="22"/>
                      <w:szCs w:val="22"/>
                      <w:lang w:eastAsia="en-GB"/>
                    </w:rPr>
                  </w:pPr>
                  <w:r>
                    <w:rPr>
                      <w:rFonts w:cs="Arial"/>
                      <w:bCs w:val="0"/>
                      <w:color w:val="000000"/>
                      <w:sz w:val="22"/>
                      <w:szCs w:val="22"/>
                      <w:lang w:eastAsia="en-GB"/>
                    </w:rPr>
                    <w:t>All Schemes</w:t>
                  </w:r>
                </w:p>
              </w:tc>
              <w:tc>
                <w:tcPr>
                  <w:tcW w:w="4537" w:type="dxa"/>
                  <w:tcBorders>
                    <w:top w:val="nil"/>
                    <w:left w:val="nil"/>
                    <w:bottom w:val="single" w:sz="4" w:space="0" w:color="auto"/>
                    <w:right w:val="single" w:sz="4" w:space="0" w:color="auto"/>
                  </w:tcBorders>
                  <w:shd w:val="clear" w:color="auto" w:fill="auto"/>
                  <w:noWrap/>
                  <w:vAlign w:val="bottom"/>
                  <w:hideMark/>
                </w:tcPr>
                <w:p w14:paraId="5C7CF872" w14:textId="77777777" w:rsidR="008638B5" w:rsidRPr="00B66ABB" w:rsidRDefault="008638B5" w:rsidP="008638B5">
                  <w:pPr>
                    <w:rPr>
                      <w:rFonts w:cs="Arial"/>
                      <w:bCs w:val="0"/>
                      <w:color w:val="000000"/>
                      <w:sz w:val="22"/>
                      <w:szCs w:val="22"/>
                      <w:lang w:eastAsia="en-GB"/>
                    </w:rPr>
                  </w:pPr>
                  <w:r w:rsidRPr="00B66ABB">
                    <w:rPr>
                      <w:rFonts w:cs="Arial"/>
                      <w:bCs w:val="0"/>
                      <w:color w:val="000000"/>
                      <w:sz w:val="22"/>
                      <w:szCs w:val="22"/>
                      <w:lang w:eastAsia="en-GB"/>
                    </w:rPr>
                    <w:t>Business Intelligence</w:t>
                  </w:r>
                </w:p>
              </w:tc>
            </w:tr>
          </w:tbl>
          <w:p w14:paraId="5230BD0F" w14:textId="77777777" w:rsidR="008638B5" w:rsidRDefault="008638B5" w:rsidP="008638B5">
            <w:pPr>
              <w:rPr>
                <w:rFonts w:cs="Arial"/>
                <w:szCs w:val="24"/>
              </w:rPr>
            </w:pPr>
          </w:p>
          <w:p w14:paraId="32D1B733" w14:textId="77777777" w:rsidR="008638B5" w:rsidRDefault="008638B5" w:rsidP="008638B5">
            <w:pPr>
              <w:rPr>
                <w:rFonts w:cs="Arial"/>
                <w:szCs w:val="24"/>
              </w:rPr>
            </w:pPr>
            <w:r w:rsidRPr="008C2400">
              <w:rPr>
                <w:rFonts w:cs="Arial"/>
                <w:szCs w:val="24"/>
              </w:rPr>
              <w:t xml:space="preserve">There are however economies of scale that enable larger providers to make progress </w:t>
            </w:r>
            <w:r>
              <w:rPr>
                <w:rFonts w:cs="Arial"/>
                <w:szCs w:val="24"/>
              </w:rPr>
              <w:t>with proportionally fewer staff.</w:t>
            </w:r>
          </w:p>
          <w:p w14:paraId="326DF5B2" w14:textId="77777777" w:rsidR="008638B5" w:rsidRDefault="008638B5" w:rsidP="008638B5">
            <w:pPr>
              <w:rPr>
                <w:rFonts w:cs="Arial"/>
                <w:szCs w:val="24"/>
              </w:rPr>
            </w:pPr>
          </w:p>
          <w:p w14:paraId="7CCE77DB" w14:textId="77777777" w:rsidR="008638B5" w:rsidRDefault="008638B5" w:rsidP="00023FEB">
            <w:pPr>
              <w:rPr>
                <w:rFonts w:cs="Arial"/>
                <w:szCs w:val="24"/>
              </w:rPr>
            </w:pPr>
            <w:r>
              <w:rPr>
                <w:rFonts w:cs="Arial"/>
                <w:szCs w:val="24"/>
              </w:rPr>
              <w:t xml:space="preserve">Not all </w:t>
            </w:r>
            <w:r w:rsidR="00DA6899">
              <w:rPr>
                <w:rFonts w:cs="Arial"/>
                <w:szCs w:val="24"/>
              </w:rPr>
              <w:t>triggers</w:t>
            </w:r>
            <w:r>
              <w:rPr>
                <w:rFonts w:cs="Arial"/>
                <w:szCs w:val="24"/>
              </w:rPr>
              <w:t xml:space="preserve"> will be relevant for every </w:t>
            </w:r>
            <w:proofErr w:type="gramStart"/>
            <w:r>
              <w:rPr>
                <w:rFonts w:cs="Arial"/>
                <w:szCs w:val="24"/>
              </w:rPr>
              <w:t>provider</w:t>
            </w:r>
            <w:proofErr w:type="gramEnd"/>
            <w:r>
              <w:rPr>
                <w:rFonts w:cs="Arial"/>
                <w:szCs w:val="24"/>
              </w:rPr>
              <w:t xml:space="preserve"> so resource requirements can be adjusted accordingly.</w:t>
            </w:r>
          </w:p>
          <w:p w14:paraId="3F778328" w14:textId="4167C19D" w:rsidR="003B36C2" w:rsidRDefault="003B36C2" w:rsidP="00023FEB">
            <w:pPr>
              <w:rPr>
                <w:rFonts w:eastAsiaTheme="minorEastAsia" w:cs="Arial"/>
                <w:szCs w:val="24"/>
              </w:rPr>
            </w:pPr>
          </w:p>
        </w:tc>
      </w:tr>
      <w:tr w:rsidR="008638B5" w:rsidRPr="00970018" w14:paraId="71687D5B" w14:textId="77777777" w:rsidTr="003038EC">
        <w:trPr>
          <w:gridAfter w:val="1"/>
          <w:wAfter w:w="11" w:type="pct"/>
        </w:trPr>
        <w:tc>
          <w:tcPr>
            <w:tcW w:w="4989" w:type="pct"/>
            <w:gridSpan w:val="6"/>
            <w:shd w:val="clear" w:color="auto" w:fill="BFBFBF" w:themeFill="background1" w:themeFillShade="BF"/>
          </w:tcPr>
          <w:p w14:paraId="0C033081" w14:textId="77777777" w:rsidR="008638B5" w:rsidRPr="00970018" w:rsidRDefault="008638B5" w:rsidP="008638B5">
            <w:pPr>
              <w:rPr>
                <w:rFonts w:cs="Arial"/>
                <w:b/>
                <w:szCs w:val="24"/>
              </w:rPr>
            </w:pPr>
            <w:r w:rsidRPr="00970018">
              <w:rPr>
                <w:rFonts w:cs="Arial"/>
                <w:b/>
                <w:szCs w:val="24"/>
              </w:rPr>
              <w:lastRenderedPageBreak/>
              <w:t>D</w:t>
            </w:r>
            <w:r>
              <w:rPr>
                <w:rFonts w:cs="Arial"/>
                <w:b/>
                <w:szCs w:val="24"/>
              </w:rPr>
              <w:t>4</w:t>
            </w:r>
            <w:r w:rsidRPr="00970018">
              <w:rPr>
                <w:rFonts w:cs="Arial"/>
                <w:b/>
                <w:szCs w:val="24"/>
              </w:rPr>
              <w:t>. Evaluation</w:t>
            </w:r>
            <w:r>
              <w:rPr>
                <w:rFonts w:cs="Arial"/>
                <w:b/>
                <w:szCs w:val="24"/>
              </w:rPr>
              <w:t xml:space="preserve">: </w:t>
            </w:r>
            <w:r w:rsidR="005365D3">
              <w:rPr>
                <w:rFonts w:cs="Arial"/>
                <w:b/>
                <w:szCs w:val="24"/>
              </w:rPr>
              <w:t>Approach</w:t>
            </w:r>
            <w:r w:rsidR="005365D3" w:rsidRPr="004429A4">
              <w:rPr>
                <w:rFonts w:cs="Arial"/>
                <w:b/>
                <w:szCs w:val="24"/>
              </w:rPr>
              <w:t>, data</w:t>
            </w:r>
            <w:r w:rsidRPr="004429A4">
              <w:rPr>
                <w:rFonts w:cs="Arial"/>
                <w:b/>
                <w:szCs w:val="24"/>
              </w:rPr>
              <w:t xml:space="preserve"> and resources</w:t>
            </w:r>
          </w:p>
        </w:tc>
      </w:tr>
      <w:tr w:rsidR="008638B5" w:rsidRPr="000412A1" w14:paraId="6BA5147B" w14:textId="77777777" w:rsidTr="003038EC">
        <w:trPr>
          <w:gridAfter w:val="1"/>
          <w:wAfter w:w="11" w:type="pct"/>
        </w:trPr>
        <w:tc>
          <w:tcPr>
            <w:tcW w:w="4989" w:type="pct"/>
            <w:gridSpan w:val="6"/>
          </w:tcPr>
          <w:p w14:paraId="509E0A9D" w14:textId="77777777" w:rsidR="008638B5" w:rsidRDefault="008638B5" w:rsidP="008638B5">
            <w:pPr>
              <w:rPr>
                <w:rFonts w:cs="Arial"/>
                <w:b/>
                <w:szCs w:val="24"/>
                <w:u w:val="single"/>
              </w:rPr>
            </w:pPr>
          </w:p>
          <w:p w14:paraId="5A09FAEE" w14:textId="77777777" w:rsidR="008638B5" w:rsidRPr="0026417D" w:rsidRDefault="008638B5" w:rsidP="008638B5">
            <w:pPr>
              <w:rPr>
                <w:rFonts w:cs="Arial"/>
                <w:b/>
                <w:szCs w:val="24"/>
                <w:u w:val="single"/>
              </w:rPr>
            </w:pPr>
            <w:r w:rsidRPr="0026417D">
              <w:rPr>
                <w:rFonts w:cs="Arial"/>
                <w:b/>
                <w:szCs w:val="24"/>
                <w:u w:val="single"/>
              </w:rPr>
              <w:t>Evaluation</w:t>
            </w:r>
            <w:r>
              <w:rPr>
                <w:rFonts w:cs="Arial"/>
                <w:b/>
                <w:szCs w:val="24"/>
                <w:u w:val="single"/>
              </w:rPr>
              <w:t xml:space="preserve"> Approach: </w:t>
            </w:r>
          </w:p>
          <w:p w14:paraId="4BEC6AC1" w14:textId="77777777" w:rsidR="008638B5" w:rsidRDefault="008638B5" w:rsidP="008638B5">
            <w:pPr>
              <w:rPr>
                <w:rFonts w:cs="Arial"/>
                <w:i/>
                <w:color w:val="FF0000"/>
                <w:szCs w:val="24"/>
              </w:rPr>
            </w:pPr>
            <w:r w:rsidRPr="00BC4EA9">
              <w:rPr>
                <w:rFonts w:cs="Arial"/>
                <w:i/>
                <w:color w:val="FF0000"/>
                <w:szCs w:val="24"/>
              </w:rPr>
              <w:t>[Where the indicator is to some extent uncertain of impact, set out the approach to evaluation.]</w:t>
            </w:r>
          </w:p>
          <w:p w14:paraId="47C85657" w14:textId="77777777" w:rsidR="008638B5" w:rsidRPr="00BB243E" w:rsidRDefault="008638B5" w:rsidP="008638B5">
            <w:pPr>
              <w:rPr>
                <w:rFonts w:cs="Arial"/>
                <w:szCs w:val="24"/>
              </w:rPr>
            </w:pPr>
          </w:p>
        </w:tc>
      </w:tr>
      <w:tr w:rsidR="008638B5" w:rsidRPr="000412A1" w14:paraId="20EE9F9F" w14:textId="77777777" w:rsidTr="003038EC">
        <w:trPr>
          <w:gridAfter w:val="1"/>
          <w:wAfter w:w="11" w:type="pct"/>
          <w:trHeight w:val="135"/>
        </w:trPr>
        <w:tc>
          <w:tcPr>
            <w:tcW w:w="1615" w:type="pct"/>
            <w:gridSpan w:val="2"/>
            <w:shd w:val="clear" w:color="auto" w:fill="D9D9D9" w:themeFill="background1" w:themeFillShade="D9"/>
          </w:tcPr>
          <w:p w14:paraId="370F9A76" w14:textId="77777777" w:rsidR="008638B5" w:rsidRPr="0026417D" w:rsidRDefault="008638B5" w:rsidP="008638B5">
            <w:pPr>
              <w:rPr>
                <w:rFonts w:cs="Arial"/>
                <w:b/>
                <w:szCs w:val="24"/>
                <w:u w:val="single"/>
              </w:rPr>
            </w:pPr>
            <w:r>
              <w:rPr>
                <w:rFonts w:cs="Arial"/>
                <w:b/>
                <w:szCs w:val="24"/>
                <w:u w:val="single"/>
              </w:rPr>
              <w:t>Information for Evaluation</w:t>
            </w:r>
          </w:p>
        </w:tc>
        <w:tc>
          <w:tcPr>
            <w:tcW w:w="3375" w:type="pct"/>
            <w:gridSpan w:val="4"/>
          </w:tcPr>
          <w:p w14:paraId="6CA56A5F" w14:textId="77777777" w:rsidR="008638B5" w:rsidRPr="00BC4EA9" w:rsidRDefault="008638B5" w:rsidP="008638B5">
            <w:pPr>
              <w:rPr>
                <w:rFonts w:cs="Arial"/>
                <w:color w:val="FF0000"/>
                <w:szCs w:val="24"/>
                <w:u w:val="single"/>
              </w:rPr>
            </w:pPr>
            <w:r w:rsidRPr="00BC4EA9">
              <w:rPr>
                <w:rFonts w:cs="Arial"/>
                <w:i/>
                <w:color w:val="FF0000"/>
                <w:szCs w:val="24"/>
              </w:rPr>
              <w:t>[Information flows required for evaluation should be referenced here, building on those set out at C5]</w:t>
            </w:r>
          </w:p>
        </w:tc>
      </w:tr>
      <w:tr w:rsidR="008638B5" w:rsidRPr="000412A1" w14:paraId="6BF4E92C" w14:textId="77777777" w:rsidTr="003038EC">
        <w:trPr>
          <w:gridAfter w:val="1"/>
          <w:wAfter w:w="11" w:type="pct"/>
          <w:trHeight w:val="135"/>
        </w:trPr>
        <w:tc>
          <w:tcPr>
            <w:tcW w:w="1615" w:type="pct"/>
            <w:gridSpan w:val="2"/>
            <w:shd w:val="clear" w:color="auto" w:fill="D9D9D9" w:themeFill="background1" w:themeFillShade="D9"/>
          </w:tcPr>
          <w:p w14:paraId="7D6E59D2" w14:textId="77777777" w:rsidR="008638B5" w:rsidRPr="0026417D" w:rsidRDefault="008638B5" w:rsidP="008638B5">
            <w:pPr>
              <w:rPr>
                <w:rFonts w:cs="Arial"/>
                <w:b/>
                <w:szCs w:val="24"/>
                <w:u w:val="single"/>
              </w:rPr>
            </w:pPr>
            <w:r>
              <w:rPr>
                <w:rFonts w:cs="Arial"/>
                <w:b/>
                <w:szCs w:val="24"/>
                <w:u w:val="single"/>
              </w:rPr>
              <w:t>Resources for Evaluation</w:t>
            </w:r>
          </w:p>
        </w:tc>
        <w:tc>
          <w:tcPr>
            <w:tcW w:w="3375" w:type="pct"/>
            <w:gridSpan w:val="4"/>
          </w:tcPr>
          <w:p w14:paraId="0D78BCF0" w14:textId="54111EB7" w:rsidR="00E537C9" w:rsidRPr="00BC4EA9" w:rsidRDefault="00E537C9" w:rsidP="00023FEB">
            <w:pPr>
              <w:rPr>
                <w:rFonts w:cs="Arial"/>
                <w:color w:val="FF0000"/>
                <w:szCs w:val="24"/>
                <w:u w:val="single"/>
              </w:rPr>
            </w:pPr>
            <w:r w:rsidRPr="00087952">
              <w:rPr>
                <w:rFonts w:cs="Arial"/>
                <w:color w:val="000000" w:themeColor="text1"/>
                <w:szCs w:val="24"/>
              </w:rPr>
              <w:t xml:space="preserve">The Fingertips database was commissioned by NHS Improvement to audit and evaluate the use of antimicrobial stewardship through quarterly surveys of providers audits and drug usage.  The costs of adapting this tool to audit and evaluate the use of anti-fungal stewardship have been requested.  For </w:t>
            </w:r>
            <w:r w:rsidR="00AD724D">
              <w:rPr>
                <w:rFonts w:cs="Arial"/>
                <w:color w:val="000000" w:themeColor="text1"/>
                <w:szCs w:val="24"/>
              </w:rPr>
              <w:t>p</w:t>
            </w:r>
            <w:r w:rsidRPr="00087952">
              <w:rPr>
                <w:rFonts w:cs="Arial"/>
                <w:color w:val="000000" w:themeColor="text1"/>
                <w:szCs w:val="24"/>
              </w:rPr>
              <w:t>harmacist</w:t>
            </w:r>
            <w:r w:rsidR="00AD724D">
              <w:rPr>
                <w:rFonts w:cs="Arial"/>
                <w:color w:val="000000" w:themeColor="text1"/>
                <w:szCs w:val="24"/>
              </w:rPr>
              <w:t>s</w:t>
            </w:r>
            <w:r w:rsidRPr="00087952">
              <w:rPr>
                <w:rFonts w:cs="Arial"/>
                <w:color w:val="000000" w:themeColor="text1"/>
                <w:szCs w:val="24"/>
              </w:rPr>
              <w:t xml:space="preserve"> to use a survey that they already complete, with key performance indicator question</w:t>
            </w:r>
            <w:r w:rsidR="00AD724D">
              <w:rPr>
                <w:rFonts w:cs="Arial"/>
                <w:color w:val="000000" w:themeColor="text1"/>
                <w:szCs w:val="24"/>
              </w:rPr>
              <w:t>s</w:t>
            </w:r>
            <w:r w:rsidRPr="00087952">
              <w:rPr>
                <w:rFonts w:cs="Arial"/>
                <w:color w:val="000000" w:themeColor="text1"/>
                <w:szCs w:val="24"/>
              </w:rPr>
              <w:t xml:space="preserve"> included, that relate to anti-fungal stewardship makes sound clinical sense because pharmacists will be familiar with the tool and compliance is more likely.</w:t>
            </w:r>
          </w:p>
        </w:tc>
      </w:tr>
    </w:tbl>
    <w:p w14:paraId="2DA240B6" w14:textId="77777777" w:rsidR="006B2327" w:rsidRDefault="006B2327" w:rsidP="00154269">
      <w:pPr>
        <w:rPr>
          <w:rFonts w:cs="Arial"/>
          <w:b/>
          <w:szCs w:val="24"/>
        </w:rPr>
      </w:pPr>
    </w:p>
    <w:p w14:paraId="4499462E" w14:textId="77777777" w:rsidR="006B2327" w:rsidRDefault="006B2327" w:rsidP="00154269">
      <w:pPr>
        <w:rPr>
          <w:rFonts w:cs="Arial"/>
          <w:b/>
          <w:szCs w:val="24"/>
        </w:rPr>
      </w:pPr>
    </w:p>
    <w:p w14:paraId="4726382A" w14:textId="77777777" w:rsidR="005931C4" w:rsidRDefault="005931C4" w:rsidP="006F038B">
      <w:pPr>
        <w:rPr>
          <w:rFonts w:cs="Arial"/>
          <w:b/>
          <w:i/>
          <w:szCs w:val="24"/>
        </w:rPr>
      </w:pPr>
    </w:p>
    <w:p w14:paraId="20457ADA" w14:textId="77777777" w:rsidR="005931C4" w:rsidRPr="006F038B" w:rsidRDefault="005931C4" w:rsidP="006F038B">
      <w:pPr>
        <w:rPr>
          <w:rFonts w:cs="Arial"/>
          <w:b/>
          <w:i/>
          <w:szCs w:val="24"/>
        </w:rPr>
      </w:pPr>
    </w:p>
    <w:sectPr w:rsidR="005931C4" w:rsidRPr="006F038B" w:rsidSect="008734CB">
      <w:headerReference w:type="even" r:id="rId16"/>
      <w:headerReference w:type="default" r:id="rId17"/>
      <w:footerReference w:type="default" r:id="rId18"/>
      <w:headerReference w:type="first" r:id="rId19"/>
      <w:pgSz w:w="11906" w:h="16838"/>
      <w:pgMar w:top="12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79418" w14:textId="77777777" w:rsidR="00484B72" w:rsidRDefault="00484B72" w:rsidP="00AD55CE">
      <w:r>
        <w:separator/>
      </w:r>
    </w:p>
  </w:endnote>
  <w:endnote w:type="continuationSeparator" w:id="0">
    <w:p w14:paraId="1B8C7E62" w14:textId="77777777" w:rsidR="00484B72" w:rsidRDefault="00484B72" w:rsidP="00AD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GSMinchoE">
    <w:altName w:val="Yu Gothic"/>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066991"/>
      <w:docPartObj>
        <w:docPartGallery w:val="Page Numbers (Bottom of Page)"/>
        <w:docPartUnique/>
      </w:docPartObj>
    </w:sdtPr>
    <w:sdtEndPr>
      <w:rPr>
        <w:noProof/>
      </w:rPr>
    </w:sdtEndPr>
    <w:sdtContent>
      <w:p w14:paraId="33B0BFB9" w14:textId="03C068C2" w:rsidR="00484B72" w:rsidRDefault="00484B7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0AB4532A" w14:textId="77777777" w:rsidR="00484B72" w:rsidRDefault="00484B72" w:rsidP="00217422">
    <w:pPr>
      <w:pStyle w:val="Footer"/>
      <w:rPr>
        <w:sz w:val="16"/>
        <w:szCs w:val="16"/>
        <w:lang w:val="en-US"/>
      </w:rPr>
    </w:pPr>
    <w:r w:rsidRPr="00805D9C">
      <w:rPr>
        <w:sz w:val="16"/>
        <w:szCs w:val="16"/>
        <w:lang w:val="en-US"/>
      </w:rPr>
      <w:t>NHS England and NHS Improvement – Working together for the NHS</w:t>
    </w:r>
  </w:p>
  <w:p w14:paraId="42E71C38" w14:textId="77777777" w:rsidR="00484B72" w:rsidRPr="00805D9C" w:rsidRDefault="00484B72" w:rsidP="00217422">
    <w:pPr>
      <w:pStyle w:val="Footer"/>
      <w:rPr>
        <w:color w:val="00B0F0"/>
        <w:sz w:val="16"/>
        <w:szCs w:val="16"/>
        <w:lang w:val="en-US"/>
      </w:rPr>
    </w:pPr>
    <w:r w:rsidRPr="00805D9C">
      <w:rPr>
        <w:color w:val="00B0F0"/>
        <w:sz w:val="16"/>
        <w:szCs w:val="16"/>
        <w:lang w:val="en-US"/>
      </w:rPr>
      <w:t>March 2019</w:t>
    </w:r>
  </w:p>
  <w:p w14:paraId="37325F65" w14:textId="77777777" w:rsidR="00484B72" w:rsidRPr="00805D9C" w:rsidRDefault="00484B72" w:rsidP="00217422">
    <w:pPr>
      <w:pStyle w:val="Footer"/>
      <w:rPr>
        <w:sz w:val="16"/>
        <w:szCs w:val="16"/>
      </w:rPr>
    </w:pPr>
    <w:r>
      <w:rPr>
        <w:sz w:val="16"/>
        <w:szCs w:val="16"/>
        <w:lang w:val="en-US"/>
      </w:rPr>
      <w:t>www.nhs.net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99B37" w14:textId="77777777" w:rsidR="00484B72" w:rsidRDefault="00484B72" w:rsidP="00AD55CE">
      <w:r>
        <w:separator/>
      </w:r>
    </w:p>
  </w:footnote>
  <w:footnote w:type="continuationSeparator" w:id="0">
    <w:p w14:paraId="1CB5E6E9" w14:textId="77777777" w:rsidR="00484B72" w:rsidRDefault="00484B72" w:rsidP="00AD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D378B" w14:textId="77777777" w:rsidR="00484B72" w:rsidRDefault="00A014E1">
    <w:pPr>
      <w:pStyle w:val="Header"/>
    </w:pPr>
    <w:r>
      <w:rPr>
        <w:noProof/>
      </w:rPr>
      <w:pict w14:anchorId="603BA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1337"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01A1" w14:textId="2B04DF86" w:rsidR="00484B72" w:rsidRDefault="00484B72" w:rsidP="00D4512E">
    <w:pPr>
      <w:pStyle w:val="Header"/>
      <w:tabs>
        <w:tab w:val="clear" w:pos="4513"/>
        <w:tab w:val="clear" w:pos="9026"/>
        <w:tab w:val="left" w:pos="7395"/>
      </w:tabs>
      <w:ind w:left="7395"/>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86DE" w14:textId="77777777" w:rsidR="00484B72" w:rsidRDefault="00A014E1">
    <w:pPr>
      <w:pStyle w:val="Header"/>
    </w:pPr>
    <w:r>
      <w:rPr>
        <w:noProof/>
      </w:rPr>
      <w:pict w14:anchorId="49122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1336"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2AD"/>
    <w:multiLevelType w:val="hybridMultilevel"/>
    <w:tmpl w:val="A7A0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1FA9"/>
    <w:multiLevelType w:val="hybridMultilevel"/>
    <w:tmpl w:val="AA54C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194B"/>
    <w:multiLevelType w:val="hybridMultilevel"/>
    <w:tmpl w:val="9D928DE6"/>
    <w:lvl w:ilvl="0" w:tplc="183E8482">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C36AD"/>
    <w:multiLevelType w:val="hybridMultilevel"/>
    <w:tmpl w:val="93D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14B27"/>
    <w:multiLevelType w:val="hybridMultilevel"/>
    <w:tmpl w:val="B40018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553ED"/>
    <w:multiLevelType w:val="hybridMultilevel"/>
    <w:tmpl w:val="02A6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A0BAE"/>
    <w:multiLevelType w:val="hybridMultilevel"/>
    <w:tmpl w:val="A81A57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5"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B551E54"/>
    <w:multiLevelType w:val="hybridMultilevel"/>
    <w:tmpl w:val="7620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41B67"/>
    <w:multiLevelType w:val="hybridMultilevel"/>
    <w:tmpl w:val="02A82912"/>
    <w:lvl w:ilvl="0" w:tplc="0809000B">
      <w:start w:val="1"/>
      <w:numFmt w:val="bullet"/>
      <w:lvlText w:val=""/>
      <w:lvlJc w:val="left"/>
      <w:pPr>
        <w:ind w:left="755" w:hanging="360"/>
      </w:pPr>
      <w:rPr>
        <w:rFonts w:ascii="Wingdings" w:hAnsi="Wingdings"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0" w15:restartNumberingAfterBreak="0">
    <w:nsid w:val="307C4FE3"/>
    <w:multiLevelType w:val="hybridMultilevel"/>
    <w:tmpl w:val="4914D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8F2469"/>
    <w:multiLevelType w:val="hybridMultilevel"/>
    <w:tmpl w:val="1186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F6289"/>
    <w:multiLevelType w:val="hybridMultilevel"/>
    <w:tmpl w:val="025831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0244A2"/>
    <w:multiLevelType w:val="hybridMultilevel"/>
    <w:tmpl w:val="FC781700"/>
    <w:lvl w:ilvl="0" w:tplc="35CC1DB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C0626"/>
    <w:multiLevelType w:val="hybridMultilevel"/>
    <w:tmpl w:val="E13C6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D80A33"/>
    <w:multiLevelType w:val="hybridMultilevel"/>
    <w:tmpl w:val="E1F64A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2C1B10"/>
    <w:multiLevelType w:val="hybridMultilevel"/>
    <w:tmpl w:val="A56CA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EF3100"/>
    <w:multiLevelType w:val="hybridMultilevel"/>
    <w:tmpl w:val="18C6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25B94"/>
    <w:multiLevelType w:val="hybridMultilevel"/>
    <w:tmpl w:val="81620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9D4325"/>
    <w:multiLevelType w:val="hybridMultilevel"/>
    <w:tmpl w:val="62A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72E50"/>
    <w:multiLevelType w:val="hybridMultilevel"/>
    <w:tmpl w:val="45BE04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A5484B"/>
    <w:multiLevelType w:val="hybridMultilevel"/>
    <w:tmpl w:val="AD82FFAE"/>
    <w:lvl w:ilvl="0" w:tplc="F642CD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6B5EB1"/>
    <w:multiLevelType w:val="hybridMultilevel"/>
    <w:tmpl w:val="0180FF6A"/>
    <w:lvl w:ilvl="0" w:tplc="44B8CCCA">
      <w:start w:val="1"/>
      <w:numFmt w:val="decimal"/>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23" w15:restartNumberingAfterBreak="0">
    <w:nsid w:val="60CA704B"/>
    <w:multiLevelType w:val="hybridMultilevel"/>
    <w:tmpl w:val="6D74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23737"/>
    <w:multiLevelType w:val="hybridMultilevel"/>
    <w:tmpl w:val="1F7AD25A"/>
    <w:lvl w:ilvl="0" w:tplc="1E8AF888">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193F2D"/>
    <w:multiLevelType w:val="hybridMultilevel"/>
    <w:tmpl w:val="5FCC6B6E"/>
    <w:lvl w:ilvl="0" w:tplc="419EB4E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9E2DB3"/>
    <w:multiLevelType w:val="hybridMultilevel"/>
    <w:tmpl w:val="D3784F18"/>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27" w15:restartNumberingAfterBreak="0">
    <w:nsid w:val="742E69B8"/>
    <w:multiLevelType w:val="hybridMultilevel"/>
    <w:tmpl w:val="D8C45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7016C"/>
    <w:multiLevelType w:val="hybridMultilevel"/>
    <w:tmpl w:val="60C4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14"/>
  </w:num>
  <w:num w:numId="5">
    <w:abstractNumId w:val="5"/>
  </w:num>
  <w:num w:numId="6">
    <w:abstractNumId w:val="24"/>
  </w:num>
  <w:num w:numId="7">
    <w:abstractNumId w:val="12"/>
  </w:num>
  <w:num w:numId="8">
    <w:abstractNumId w:val="4"/>
  </w:num>
  <w:num w:numId="9">
    <w:abstractNumId w:val="27"/>
  </w:num>
  <w:num w:numId="10">
    <w:abstractNumId w:val="7"/>
  </w:num>
  <w:num w:numId="11">
    <w:abstractNumId w:val="25"/>
  </w:num>
  <w:num w:numId="12">
    <w:abstractNumId w:val="23"/>
  </w:num>
  <w:num w:numId="13">
    <w:abstractNumId w:val="28"/>
  </w:num>
  <w:num w:numId="14">
    <w:abstractNumId w:val="17"/>
  </w:num>
  <w:num w:numId="15">
    <w:abstractNumId w:val="19"/>
  </w:num>
  <w:num w:numId="16">
    <w:abstractNumId w:val="16"/>
  </w:num>
  <w:num w:numId="17">
    <w:abstractNumId w:val="10"/>
  </w:num>
  <w:num w:numId="18">
    <w:abstractNumId w:val="0"/>
  </w:num>
  <w:num w:numId="19">
    <w:abstractNumId w:val="26"/>
  </w:num>
  <w:num w:numId="20">
    <w:abstractNumId w:val="2"/>
  </w:num>
  <w:num w:numId="21">
    <w:abstractNumId w:val="8"/>
  </w:num>
  <w:num w:numId="22">
    <w:abstractNumId w:val="3"/>
  </w:num>
  <w:num w:numId="23">
    <w:abstractNumId w:val="20"/>
  </w:num>
  <w:num w:numId="24">
    <w:abstractNumId w:val="18"/>
  </w:num>
  <w:num w:numId="25">
    <w:abstractNumId w:val="22"/>
  </w:num>
  <w:num w:numId="26">
    <w:abstractNumId w:val="21"/>
  </w:num>
  <w:num w:numId="27">
    <w:abstractNumId w:val="6"/>
  </w:num>
  <w:num w:numId="28">
    <w:abstractNumId w:val="1"/>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9"/>
    <w:rsid w:val="000146A0"/>
    <w:rsid w:val="00022717"/>
    <w:rsid w:val="00023708"/>
    <w:rsid w:val="00023FEB"/>
    <w:rsid w:val="000344CC"/>
    <w:rsid w:val="00052447"/>
    <w:rsid w:val="00087952"/>
    <w:rsid w:val="00090F4D"/>
    <w:rsid w:val="000916D7"/>
    <w:rsid w:val="000B1109"/>
    <w:rsid w:val="000C44E1"/>
    <w:rsid w:val="000C4BC9"/>
    <w:rsid w:val="000D3C4A"/>
    <w:rsid w:val="000D576D"/>
    <w:rsid w:val="000D70E4"/>
    <w:rsid w:val="000D70F6"/>
    <w:rsid w:val="000E0113"/>
    <w:rsid w:val="000E15FB"/>
    <w:rsid w:val="000E33C9"/>
    <w:rsid w:val="000F3C6A"/>
    <w:rsid w:val="000F6EA5"/>
    <w:rsid w:val="00104456"/>
    <w:rsid w:val="0012733A"/>
    <w:rsid w:val="0013166B"/>
    <w:rsid w:val="00132E21"/>
    <w:rsid w:val="001350E0"/>
    <w:rsid w:val="00150AC8"/>
    <w:rsid w:val="00153A66"/>
    <w:rsid w:val="00154269"/>
    <w:rsid w:val="00162909"/>
    <w:rsid w:val="0016328A"/>
    <w:rsid w:val="00165CA6"/>
    <w:rsid w:val="001775F3"/>
    <w:rsid w:val="00182AEF"/>
    <w:rsid w:val="001844AF"/>
    <w:rsid w:val="00187BDA"/>
    <w:rsid w:val="001A002A"/>
    <w:rsid w:val="001A120F"/>
    <w:rsid w:val="001B3E9D"/>
    <w:rsid w:val="001B4A36"/>
    <w:rsid w:val="001B4BC9"/>
    <w:rsid w:val="001D65DE"/>
    <w:rsid w:val="001E210A"/>
    <w:rsid w:val="001E7821"/>
    <w:rsid w:val="001F421F"/>
    <w:rsid w:val="001F6AA3"/>
    <w:rsid w:val="00207223"/>
    <w:rsid w:val="00217422"/>
    <w:rsid w:val="002221C1"/>
    <w:rsid w:val="00230385"/>
    <w:rsid w:val="00234135"/>
    <w:rsid w:val="002547C9"/>
    <w:rsid w:val="0026417D"/>
    <w:rsid w:val="00272562"/>
    <w:rsid w:val="0028079D"/>
    <w:rsid w:val="00281D3C"/>
    <w:rsid w:val="00292053"/>
    <w:rsid w:val="002954D7"/>
    <w:rsid w:val="002B5FA9"/>
    <w:rsid w:val="002C4571"/>
    <w:rsid w:val="002D4581"/>
    <w:rsid w:val="002E5E90"/>
    <w:rsid w:val="002F5C2B"/>
    <w:rsid w:val="003038EC"/>
    <w:rsid w:val="00304F3F"/>
    <w:rsid w:val="00305C7E"/>
    <w:rsid w:val="003123D3"/>
    <w:rsid w:val="00312501"/>
    <w:rsid w:val="00315308"/>
    <w:rsid w:val="003162B8"/>
    <w:rsid w:val="00321371"/>
    <w:rsid w:val="00326B23"/>
    <w:rsid w:val="0034775E"/>
    <w:rsid w:val="00350A25"/>
    <w:rsid w:val="0035773A"/>
    <w:rsid w:val="003625A7"/>
    <w:rsid w:val="00364A73"/>
    <w:rsid w:val="003759F0"/>
    <w:rsid w:val="00376C8C"/>
    <w:rsid w:val="00394229"/>
    <w:rsid w:val="003976BC"/>
    <w:rsid w:val="003A0C63"/>
    <w:rsid w:val="003A3992"/>
    <w:rsid w:val="003A68C0"/>
    <w:rsid w:val="003B2C85"/>
    <w:rsid w:val="003B36C2"/>
    <w:rsid w:val="003B3F4A"/>
    <w:rsid w:val="003B6634"/>
    <w:rsid w:val="003C6A9C"/>
    <w:rsid w:val="003F2B43"/>
    <w:rsid w:val="004008B4"/>
    <w:rsid w:val="0040381D"/>
    <w:rsid w:val="00404D5D"/>
    <w:rsid w:val="004429A4"/>
    <w:rsid w:val="00443C51"/>
    <w:rsid w:val="00461E25"/>
    <w:rsid w:val="004716C0"/>
    <w:rsid w:val="004831F7"/>
    <w:rsid w:val="00484B72"/>
    <w:rsid w:val="0048645B"/>
    <w:rsid w:val="004904E9"/>
    <w:rsid w:val="0049068B"/>
    <w:rsid w:val="004B2DC0"/>
    <w:rsid w:val="004B48A0"/>
    <w:rsid w:val="004B784D"/>
    <w:rsid w:val="004C4FB4"/>
    <w:rsid w:val="004D19C2"/>
    <w:rsid w:val="004E06A0"/>
    <w:rsid w:val="004E1225"/>
    <w:rsid w:val="004E377A"/>
    <w:rsid w:val="004F2B0D"/>
    <w:rsid w:val="0051058D"/>
    <w:rsid w:val="00511229"/>
    <w:rsid w:val="00512E30"/>
    <w:rsid w:val="00521E3D"/>
    <w:rsid w:val="00527E16"/>
    <w:rsid w:val="005365D3"/>
    <w:rsid w:val="0053771A"/>
    <w:rsid w:val="00544982"/>
    <w:rsid w:val="00557E71"/>
    <w:rsid w:val="005674F3"/>
    <w:rsid w:val="0057313B"/>
    <w:rsid w:val="00573850"/>
    <w:rsid w:val="00577764"/>
    <w:rsid w:val="00590990"/>
    <w:rsid w:val="005931C4"/>
    <w:rsid w:val="0059446D"/>
    <w:rsid w:val="005A5609"/>
    <w:rsid w:val="005A71F2"/>
    <w:rsid w:val="005B1691"/>
    <w:rsid w:val="005C109C"/>
    <w:rsid w:val="005D5854"/>
    <w:rsid w:val="005E2790"/>
    <w:rsid w:val="005E403E"/>
    <w:rsid w:val="005F7B6C"/>
    <w:rsid w:val="00610216"/>
    <w:rsid w:val="00620B0B"/>
    <w:rsid w:val="00624D4A"/>
    <w:rsid w:val="00631963"/>
    <w:rsid w:val="00650494"/>
    <w:rsid w:val="00662F60"/>
    <w:rsid w:val="006662E3"/>
    <w:rsid w:val="00667380"/>
    <w:rsid w:val="00677520"/>
    <w:rsid w:val="00683026"/>
    <w:rsid w:val="00696DE0"/>
    <w:rsid w:val="006A636E"/>
    <w:rsid w:val="006B2327"/>
    <w:rsid w:val="006C4346"/>
    <w:rsid w:val="006D5615"/>
    <w:rsid w:val="006E0A40"/>
    <w:rsid w:val="006F038B"/>
    <w:rsid w:val="006F0BDF"/>
    <w:rsid w:val="006F6784"/>
    <w:rsid w:val="0070403E"/>
    <w:rsid w:val="00711887"/>
    <w:rsid w:val="0071231C"/>
    <w:rsid w:val="00713854"/>
    <w:rsid w:val="00751227"/>
    <w:rsid w:val="007716A3"/>
    <w:rsid w:val="00781658"/>
    <w:rsid w:val="00792526"/>
    <w:rsid w:val="00793058"/>
    <w:rsid w:val="007940A1"/>
    <w:rsid w:val="007944CC"/>
    <w:rsid w:val="007B17DB"/>
    <w:rsid w:val="007C2F03"/>
    <w:rsid w:val="007C4B76"/>
    <w:rsid w:val="007C5E3A"/>
    <w:rsid w:val="007C6DE3"/>
    <w:rsid w:val="007C6EB4"/>
    <w:rsid w:val="007E7ADB"/>
    <w:rsid w:val="007F2479"/>
    <w:rsid w:val="007F6B9B"/>
    <w:rsid w:val="0080311E"/>
    <w:rsid w:val="00805C49"/>
    <w:rsid w:val="008112FC"/>
    <w:rsid w:val="00822294"/>
    <w:rsid w:val="008232B4"/>
    <w:rsid w:val="0082528B"/>
    <w:rsid w:val="00825DF1"/>
    <w:rsid w:val="00834843"/>
    <w:rsid w:val="0084461B"/>
    <w:rsid w:val="00856E9B"/>
    <w:rsid w:val="008638B5"/>
    <w:rsid w:val="008711A8"/>
    <w:rsid w:val="008711AD"/>
    <w:rsid w:val="008734CB"/>
    <w:rsid w:val="00884C4F"/>
    <w:rsid w:val="008A4053"/>
    <w:rsid w:val="008A795A"/>
    <w:rsid w:val="008C4BC6"/>
    <w:rsid w:val="008E6F90"/>
    <w:rsid w:val="008F63F4"/>
    <w:rsid w:val="008F7978"/>
    <w:rsid w:val="009105F1"/>
    <w:rsid w:val="00921BB3"/>
    <w:rsid w:val="0093342B"/>
    <w:rsid w:val="0093352C"/>
    <w:rsid w:val="00944888"/>
    <w:rsid w:val="00945B1E"/>
    <w:rsid w:val="00946AF4"/>
    <w:rsid w:val="00954EAA"/>
    <w:rsid w:val="009628DA"/>
    <w:rsid w:val="00967273"/>
    <w:rsid w:val="00970018"/>
    <w:rsid w:val="00970BD6"/>
    <w:rsid w:val="00971457"/>
    <w:rsid w:val="009731AD"/>
    <w:rsid w:val="009B04E5"/>
    <w:rsid w:val="009B2F9C"/>
    <w:rsid w:val="009C73FC"/>
    <w:rsid w:val="009C7E50"/>
    <w:rsid w:val="009D54C2"/>
    <w:rsid w:val="009F559A"/>
    <w:rsid w:val="00A005EB"/>
    <w:rsid w:val="00A014E1"/>
    <w:rsid w:val="00A1782E"/>
    <w:rsid w:val="00A202B4"/>
    <w:rsid w:val="00A536ED"/>
    <w:rsid w:val="00A72C71"/>
    <w:rsid w:val="00A72D38"/>
    <w:rsid w:val="00A82ACA"/>
    <w:rsid w:val="00A840AD"/>
    <w:rsid w:val="00A95BE1"/>
    <w:rsid w:val="00AC13A9"/>
    <w:rsid w:val="00AD55CE"/>
    <w:rsid w:val="00AD724D"/>
    <w:rsid w:val="00B00EA7"/>
    <w:rsid w:val="00B01629"/>
    <w:rsid w:val="00B0183E"/>
    <w:rsid w:val="00B0739E"/>
    <w:rsid w:val="00B146CB"/>
    <w:rsid w:val="00B235E2"/>
    <w:rsid w:val="00B2577C"/>
    <w:rsid w:val="00B33B72"/>
    <w:rsid w:val="00B36B25"/>
    <w:rsid w:val="00B522D2"/>
    <w:rsid w:val="00B55293"/>
    <w:rsid w:val="00B578CF"/>
    <w:rsid w:val="00B57CE6"/>
    <w:rsid w:val="00B63290"/>
    <w:rsid w:val="00B652BC"/>
    <w:rsid w:val="00B672AB"/>
    <w:rsid w:val="00B77154"/>
    <w:rsid w:val="00B82D71"/>
    <w:rsid w:val="00B84576"/>
    <w:rsid w:val="00B92748"/>
    <w:rsid w:val="00B9523C"/>
    <w:rsid w:val="00B96F6E"/>
    <w:rsid w:val="00BA054E"/>
    <w:rsid w:val="00BB1E02"/>
    <w:rsid w:val="00BB243E"/>
    <w:rsid w:val="00BC1307"/>
    <w:rsid w:val="00BC1E85"/>
    <w:rsid w:val="00BC4EA9"/>
    <w:rsid w:val="00BE042D"/>
    <w:rsid w:val="00C00C64"/>
    <w:rsid w:val="00C0210F"/>
    <w:rsid w:val="00C042DA"/>
    <w:rsid w:val="00C15027"/>
    <w:rsid w:val="00C226F8"/>
    <w:rsid w:val="00C25612"/>
    <w:rsid w:val="00C3159F"/>
    <w:rsid w:val="00C43A4E"/>
    <w:rsid w:val="00C45C12"/>
    <w:rsid w:val="00C46E03"/>
    <w:rsid w:val="00C60578"/>
    <w:rsid w:val="00C611FE"/>
    <w:rsid w:val="00C71A4E"/>
    <w:rsid w:val="00C95A16"/>
    <w:rsid w:val="00CA40CD"/>
    <w:rsid w:val="00CA6F27"/>
    <w:rsid w:val="00CB1E15"/>
    <w:rsid w:val="00CB5639"/>
    <w:rsid w:val="00CC244E"/>
    <w:rsid w:val="00CD3F25"/>
    <w:rsid w:val="00CF3963"/>
    <w:rsid w:val="00D048A6"/>
    <w:rsid w:val="00D10967"/>
    <w:rsid w:val="00D170A2"/>
    <w:rsid w:val="00D2525F"/>
    <w:rsid w:val="00D25A7C"/>
    <w:rsid w:val="00D43ACA"/>
    <w:rsid w:val="00D4512E"/>
    <w:rsid w:val="00D46E69"/>
    <w:rsid w:val="00D516FF"/>
    <w:rsid w:val="00D51F36"/>
    <w:rsid w:val="00D54163"/>
    <w:rsid w:val="00D57413"/>
    <w:rsid w:val="00D64516"/>
    <w:rsid w:val="00D66E6D"/>
    <w:rsid w:val="00D73F36"/>
    <w:rsid w:val="00D84FB8"/>
    <w:rsid w:val="00D92F82"/>
    <w:rsid w:val="00D95C75"/>
    <w:rsid w:val="00DA6899"/>
    <w:rsid w:val="00DB0C8E"/>
    <w:rsid w:val="00DD114B"/>
    <w:rsid w:val="00DF644F"/>
    <w:rsid w:val="00E17A0D"/>
    <w:rsid w:val="00E31734"/>
    <w:rsid w:val="00E42CA9"/>
    <w:rsid w:val="00E474F0"/>
    <w:rsid w:val="00E537C9"/>
    <w:rsid w:val="00E550FD"/>
    <w:rsid w:val="00E60507"/>
    <w:rsid w:val="00E618E1"/>
    <w:rsid w:val="00E730CA"/>
    <w:rsid w:val="00E81AE2"/>
    <w:rsid w:val="00E93A29"/>
    <w:rsid w:val="00EB47F7"/>
    <w:rsid w:val="00EB4A02"/>
    <w:rsid w:val="00EB74A9"/>
    <w:rsid w:val="00EC0939"/>
    <w:rsid w:val="00EC3C9D"/>
    <w:rsid w:val="00ED0E4C"/>
    <w:rsid w:val="00EE339B"/>
    <w:rsid w:val="00EE3CA3"/>
    <w:rsid w:val="00F01394"/>
    <w:rsid w:val="00F062D3"/>
    <w:rsid w:val="00F130AE"/>
    <w:rsid w:val="00F13613"/>
    <w:rsid w:val="00F226A7"/>
    <w:rsid w:val="00F31462"/>
    <w:rsid w:val="00F42905"/>
    <w:rsid w:val="00F4645C"/>
    <w:rsid w:val="00F506AC"/>
    <w:rsid w:val="00F6380C"/>
    <w:rsid w:val="00F6396E"/>
    <w:rsid w:val="00F726C2"/>
    <w:rsid w:val="00F96BEC"/>
    <w:rsid w:val="00F97E78"/>
    <w:rsid w:val="00FB59A1"/>
    <w:rsid w:val="00FC375A"/>
    <w:rsid w:val="00FE3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55FCA2"/>
  <w15:docId w15:val="{AC393397-328A-48F5-9572-86C8BAD4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E69"/>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54269"/>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54269"/>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154269"/>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154269"/>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542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42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42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6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5426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5426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15426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542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542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542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542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54269"/>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154269"/>
    <w:rPr>
      <w:color w:val="0000FF"/>
      <w:u w:val="single"/>
    </w:rPr>
  </w:style>
  <w:style w:type="table" w:styleId="TableGrid">
    <w:name w:val="Table Grid"/>
    <w:basedOn w:val="TableNormal"/>
    <w:uiPriority w:val="59"/>
    <w:rsid w:val="0015426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154269"/>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154269"/>
    <w:rPr>
      <w:rFonts w:ascii="Arial" w:eastAsia="Times New Roman" w:hAnsi="Arial" w:cs="Times New Roman"/>
      <w:bCs/>
      <w:sz w:val="24"/>
      <w:szCs w:val="26"/>
    </w:rPr>
  </w:style>
  <w:style w:type="paragraph" w:styleId="Header">
    <w:name w:val="header"/>
    <w:basedOn w:val="Normal"/>
    <w:link w:val="HeaderChar"/>
    <w:uiPriority w:val="99"/>
    <w:unhideWhenUsed/>
    <w:rsid w:val="00AD55CE"/>
    <w:pPr>
      <w:tabs>
        <w:tab w:val="center" w:pos="4513"/>
        <w:tab w:val="right" w:pos="9026"/>
      </w:tabs>
    </w:pPr>
  </w:style>
  <w:style w:type="character" w:customStyle="1" w:styleId="HeaderChar">
    <w:name w:val="Header Char"/>
    <w:basedOn w:val="DefaultParagraphFont"/>
    <w:link w:val="Header"/>
    <w:uiPriority w:val="99"/>
    <w:rsid w:val="00AD55CE"/>
    <w:rPr>
      <w:rFonts w:ascii="Arial" w:eastAsia="Times New Roman" w:hAnsi="Arial" w:cs="Times New Roman"/>
      <w:bCs/>
      <w:sz w:val="24"/>
      <w:szCs w:val="26"/>
    </w:rPr>
  </w:style>
  <w:style w:type="paragraph" w:styleId="Footer">
    <w:name w:val="footer"/>
    <w:basedOn w:val="Normal"/>
    <w:link w:val="FooterChar"/>
    <w:uiPriority w:val="99"/>
    <w:unhideWhenUsed/>
    <w:rsid w:val="00AD55CE"/>
    <w:pPr>
      <w:tabs>
        <w:tab w:val="center" w:pos="4513"/>
        <w:tab w:val="right" w:pos="9026"/>
      </w:tabs>
    </w:pPr>
  </w:style>
  <w:style w:type="character" w:customStyle="1" w:styleId="FooterChar">
    <w:name w:val="Footer Char"/>
    <w:basedOn w:val="DefaultParagraphFont"/>
    <w:link w:val="Footer"/>
    <w:uiPriority w:val="99"/>
    <w:rsid w:val="00AD55CE"/>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AD55CE"/>
    <w:rPr>
      <w:rFonts w:ascii="Tahoma" w:hAnsi="Tahoma" w:cs="Tahoma"/>
      <w:sz w:val="16"/>
      <w:szCs w:val="16"/>
    </w:rPr>
  </w:style>
  <w:style w:type="character" w:customStyle="1" w:styleId="BalloonTextChar">
    <w:name w:val="Balloon Text Char"/>
    <w:basedOn w:val="DefaultParagraphFont"/>
    <w:link w:val="BalloonText"/>
    <w:uiPriority w:val="99"/>
    <w:semiHidden/>
    <w:rsid w:val="00AD55CE"/>
    <w:rPr>
      <w:rFonts w:ascii="Tahoma" w:eastAsia="Times New Roman" w:hAnsi="Tahoma" w:cs="Tahoma"/>
      <w:bCs/>
      <w:sz w:val="16"/>
      <w:szCs w:val="16"/>
    </w:rPr>
  </w:style>
  <w:style w:type="paragraph" w:styleId="FootnoteText">
    <w:name w:val="footnote text"/>
    <w:basedOn w:val="Normal"/>
    <w:link w:val="FootnoteTextChar"/>
    <w:uiPriority w:val="99"/>
    <w:semiHidden/>
    <w:unhideWhenUsed/>
    <w:rsid w:val="00822294"/>
    <w:rPr>
      <w:sz w:val="20"/>
      <w:szCs w:val="20"/>
    </w:rPr>
  </w:style>
  <w:style w:type="character" w:customStyle="1" w:styleId="FootnoteTextChar">
    <w:name w:val="Footnote Text Char"/>
    <w:basedOn w:val="DefaultParagraphFont"/>
    <w:link w:val="FootnoteText"/>
    <w:uiPriority w:val="99"/>
    <w:semiHidden/>
    <w:rsid w:val="00822294"/>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822294"/>
    <w:rPr>
      <w:vertAlign w:val="superscript"/>
    </w:rPr>
  </w:style>
  <w:style w:type="paragraph" w:customStyle="1" w:styleId="Default">
    <w:name w:val="Default"/>
    <w:rsid w:val="000D576D"/>
    <w:pPr>
      <w:autoSpaceDE w:val="0"/>
      <w:autoSpaceDN w:val="0"/>
      <w:adjustRightInd w:val="0"/>
      <w:spacing w:after="0" w:line="240" w:lineRule="auto"/>
    </w:pPr>
    <w:rPr>
      <w:rFonts w:ascii="Arial" w:hAnsi="Arial" w:cs="Arial"/>
      <w:color w:val="000000"/>
      <w:sz w:val="24"/>
      <w:szCs w:val="24"/>
      <w:lang w:val="en-IE"/>
    </w:rPr>
  </w:style>
  <w:style w:type="character" w:styleId="CommentReference">
    <w:name w:val="annotation reference"/>
    <w:basedOn w:val="DefaultParagraphFont"/>
    <w:uiPriority w:val="99"/>
    <w:semiHidden/>
    <w:unhideWhenUsed/>
    <w:rsid w:val="001D65DE"/>
    <w:rPr>
      <w:sz w:val="16"/>
      <w:szCs w:val="16"/>
    </w:rPr>
  </w:style>
  <w:style w:type="paragraph" w:styleId="CommentText">
    <w:name w:val="annotation text"/>
    <w:basedOn w:val="Normal"/>
    <w:link w:val="CommentTextChar"/>
    <w:uiPriority w:val="99"/>
    <w:unhideWhenUsed/>
    <w:rsid w:val="001D65DE"/>
    <w:rPr>
      <w:sz w:val="20"/>
      <w:szCs w:val="20"/>
    </w:rPr>
  </w:style>
  <w:style w:type="character" w:customStyle="1" w:styleId="CommentTextChar">
    <w:name w:val="Comment Text Char"/>
    <w:basedOn w:val="DefaultParagraphFont"/>
    <w:link w:val="CommentText"/>
    <w:uiPriority w:val="99"/>
    <w:rsid w:val="001D65DE"/>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1D65DE"/>
    <w:rPr>
      <w:b/>
    </w:rPr>
  </w:style>
  <w:style w:type="character" w:customStyle="1" w:styleId="CommentSubjectChar">
    <w:name w:val="Comment Subject Char"/>
    <w:basedOn w:val="CommentTextChar"/>
    <w:link w:val="CommentSubject"/>
    <w:uiPriority w:val="99"/>
    <w:semiHidden/>
    <w:rsid w:val="001D65DE"/>
    <w:rPr>
      <w:rFonts w:ascii="Arial" w:eastAsia="Times New Roman" w:hAnsi="Arial" w:cs="Times New Roman"/>
      <w:b/>
      <w:bCs/>
      <w:sz w:val="20"/>
      <w:szCs w:val="20"/>
    </w:rPr>
  </w:style>
  <w:style w:type="paragraph" w:styleId="Revision">
    <w:name w:val="Revision"/>
    <w:hidden/>
    <w:uiPriority w:val="99"/>
    <w:semiHidden/>
    <w:rsid w:val="005B1691"/>
    <w:pPr>
      <w:spacing w:after="0" w:line="240" w:lineRule="auto"/>
    </w:pPr>
    <w:rPr>
      <w:rFonts w:ascii="Arial" w:eastAsia="Times New Roman" w:hAnsi="Arial" w:cs="Times New Roman"/>
      <w:bCs/>
      <w:sz w:val="24"/>
      <w:szCs w:val="26"/>
    </w:rPr>
  </w:style>
  <w:style w:type="character" w:styleId="UnresolvedMention">
    <w:name w:val="Unresolved Mention"/>
    <w:basedOn w:val="DefaultParagraphFont"/>
    <w:uiPriority w:val="99"/>
    <w:semiHidden/>
    <w:unhideWhenUsed/>
    <w:rsid w:val="007C2F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22914">
      <w:bodyDiv w:val="1"/>
      <w:marLeft w:val="0"/>
      <w:marRight w:val="0"/>
      <w:marTop w:val="0"/>
      <w:marBottom w:val="0"/>
      <w:divBdr>
        <w:top w:val="none" w:sz="0" w:space="0" w:color="auto"/>
        <w:left w:val="none" w:sz="0" w:space="0" w:color="auto"/>
        <w:bottom w:val="none" w:sz="0" w:space="0" w:color="auto"/>
        <w:right w:val="none" w:sz="0" w:space="0" w:color="auto"/>
      </w:divBdr>
    </w:div>
    <w:div w:id="1064179291">
      <w:bodyDiv w:val="1"/>
      <w:marLeft w:val="0"/>
      <w:marRight w:val="0"/>
      <w:marTop w:val="0"/>
      <w:marBottom w:val="0"/>
      <w:divBdr>
        <w:top w:val="none" w:sz="0" w:space="0" w:color="auto"/>
        <w:left w:val="none" w:sz="0" w:space="0" w:color="auto"/>
        <w:bottom w:val="none" w:sz="0" w:space="0" w:color="auto"/>
        <w:right w:val="none" w:sz="0" w:space="0" w:color="auto"/>
      </w:divBdr>
    </w:div>
    <w:div w:id="1231041852">
      <w:bodyDiv w:val="1"/>
      <w:marLeft w:val="0"/>
      <w:marRight w:val="0"/>
      <w:marTop w:val="0"/>
      <w:marBottom w:val="0"/>
      <w:divBdr>
        <w:top w:val="none" w:sz="0" w:space="0" w:color="auto"/>
        <w:left w:val="none" w:sz="0" w:space="0" w:color="auto"/>
        <w:bottom w:val="none" w:sz="0" w:space="0" w:color="auto"/>
        <w:right w:val="none" w:sz="0" w:space="0" w:color="auto"/>
      </w:divBdr>
    </w:div>
    <w:div w:id="1682703907">
      <w:bodyDiv w:val="1"/>
      <w:marLeft w:val="0"/>
      <w:marRight w:val="0"/>
      <w:marTop w:val="0"/>
      <w:marBottom w:val="0"/>
      <w:divBdr>
        <w:top w:val="none" w:sz="0" w:space="0" w:color="auto"/>
        <w:left w:val="none" w:sz="0" w:space="0" w:color="auto"/>
        <w:bottom w:val="none" w:sz="0" w:space="0" w:color="auto"/>
        <w:right w:val="none" w:sz="0" w:space="0" w:color="auto"/>
      </w:divBdr>
    </w:div>
    <w:div w:id="1693142157">
      <w:bodyDiv w:val="1"/>
      <w:marLeft w:val="0"/>
      <w:marRight w:val="0"/>
      <w:marTop w:val="0"/>
      <w:marBottom w:val="0"/>
      <w:divBdr>
        <w:top w:val="none" w:sz="0" w:space="0" w:color="auto"/>
        <w:left w:val="none" w:sz="0" w:space="0" w:color="auto"/>
        <w:bottom w:val="none" w:sz="0" w:space="0" w:color="auto"/>
        <w:right w:val="none" w:sz="0" w:space="0" w:color="auto"/>
      </w:divBdr>
    </w:div>
    <w:div w:id="1931309011">
      <w:bodyDiv w:val="1"/>
      <w:marLeft w:val="0"/>
      <w:marRight w:val="0"/>
      <w:marTop w:val="0"/>
      <w:marBottom w:val="0"/>
      <w:divBdr>
        <w:top w:val="none" w:sz="0" w:space="0" w:color="auto"/>
        <w:left w:val="none" w:sz="0" w:space="0" w:color="auto"/>
        <w:bottom w:val="none" w:sz="0" w:space="0" w:color="auto"/>
        <w:right w:val="none" w:sz="0" w:space="0" w:color="auto"/>
      </w:divBdr>
    </w:div>
    <w:div w:id="20996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ce.org.uk/guidance/hst6/chapter/6-Implement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ce.org.uk/guidance/hst3/resour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nhs-standard-contract/cquin/cquin-19-20/"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499229/Operational_productivity_A.pdf" TargetMode="External"/><Relationship Id="rId10" Type="http://schemas.openxmlformats.org/officeDocument/2006/relationships/hyperlink" Target="mailto:malcolm.qualie@nhs.n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uzy.heafield@nhs.net" TargetMode="External"/><Relationship Id="rId14" Type="http://schemas.openxmlformats.org/officeDocument/2006/relationships/hyperlink" Target="https://www.nice.org.uk/guidance/HST2/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1FD8B-6B41-45B9-B073-71687F24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Pirhabi, Nazmin</dc:creator>
  <cp:lastModifiedBy>Towers, Jennifer</cp:lastModifiedBy>
  <cp:revision>3</cp:revision>
  <cp:lastPrinted>2019-02-04T13:29:00Z</cp:lastPrinted>
  <dcterms:created xsi:type="dcterms:W3CDTF">2019-07-03T23:25:00Z</dcterms:created>
  <dcterms:modified xsi:type="dcterms:W3CDTF">2019-07-08T15:53:00Z</dcterms:modified>
</cp:coreProperties>
</file>