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003ACE62" w:rsidR="009275E2" w:rsidRDefault="79F2EE22" w:rsidP="79F2EE22">
      <w:pPr>
        <w:pStyle w:val="Heading2"/>
        <w:numPr>
          <w:ilvl w:val="1"/>
          <w:numId w:val="0"/>
        </w:numPr>
        <w:jc w:val="right"/>
        <w:rPr>
          <w:rFonts w:cs="Arial"/>
          <w:color w:val="auto"/>
        </w:rPr>
      </w:pPr>
      <w:bookmarkStart w:id="0" w:name="_Toc444592572"/>
      <w:r>
        <w:t xml:space="preserve"> </w:t>
      </w:r>
      <w:r w:rsidR="009275E2">
        <w:rPr>
          <w:noProof/>
        </w:rPr>
        <w:drawing>
          <wp:inline distT="0" distB="0" distL="0" distR="0" wp14:anchorId="5D7409ED" wp14:editId="4C78D414">
            <wp:extent cx="1038225" cy="420334"/>
            <wp:effectExtent l="0" t="0" r="0" b="0"/>
            <wp:docPr id="1275435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038225" cy="420334"/>
                    </a:xfrm>
                    <a:prstGeom prst="rect">
                      <a:avLst/>
                    </a:prstGeom>
                  </pic:spPr>
                </pic:pic>
              </a:graphicData>
            </a:graphic>
          </wp:inline>
        </w:drawing>
      </w:r>
    </w:p>
    <w:p w14:paraId="6183C83E" w14:textId="77777777"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06DA11D3"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1B5AA660" w14:textId="77777777" w:rsidR="00FF28AE"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3961B085" w14:textId="3CAD6CDB" w:rsidR="00154269" w:rsidRPr="00B339F9" w:rsidRDefault="00CF0E3F" w:rsidP="00AD55CE">
      <w:pPr>
        <w:pStyle w:val="Heading2"/>
        <w:numPr>
          <w:ilvl w:val="0"/>
          <w:numId w:val="0"/>
        </w:numPr>
        <w:rPr>
          <w:rFonts w:cs="Arial"/>
          <w:color w:val="auto"/>
        </w:rPr>
      </w:pPr>
      <w:r>
        <w:rPr>
          <w:rFonts w:cs="Arial"/>
          <w:color w:val="auto"/>
        </w:rPr>
        <w:t xml:space="preserve">PSS11 </w:t>
      </w:r>
      <w:r w:rsidR="00FF28AE" w:rsidRPr="00B339F9">
        <w:rPr>
          <w:rFonts w:cs="Arial"/>
          <w:color w:val="auto"/>
        </w:rPr>
        <w:t>Promoting Transplantation</w:t>
      </w:r>
      <w:r w:rsidR="00CA40CD" w:rsidRPr="00B339F9">
        <w:rPr>
          <w:rFonts w:cs="Arial"/>
          <w:color w:val="auto"/>
        </w:rPr>
        <w:t xml:space="preserve"> </w:t>
      </w:r>
      <w:bookmarkEnd w:id="0"/>
      <w:r w:rsidR="00D11E04" w:rsidRPr="00D11E04">
        <w:rPr>
          <w:rFonts w:cs="Arial"/>
          <w:color w:val="auto"/>
          <w:sz w:val="22"/>
        </w:rPr>
        <w:t>(v1 published 19 March 2019)</w:t>
      </w:r>
    </w:p>
    <w:tbl>
      <w:tblPr>
        <w:tblStyle w:val="TableGrid"/>
        <w:tblW w:w="5349" w:type="pct"/>
        <w:tblLook w:val="04A0" w:firstRow="1" w:lastRow="0" w:firstColumn="1" w:lastColumn="0" w:noHBand="0" w:noVBand="1"/>
      </w:tblPr>
      <w:tblGrid>
        <w:gridCol w:w="2319"/>
        <w:gridCol w:w="1103"/>
        <w:gridCol w:w="6090"/>
        <w:gridCol w:w="133"/>
      </w:tblGrid>
      <w:tr w:rsidR="00154269" w:rsidRPr="000412A1" w14:paraId="715F32A0" w14:textId="77777777" w:rsidTr="1A7183F4">
        <w:trPr>
          <w:gridAfter w:val="1"/>
          <w:wAfter w:w="70" w:type="pct"/>
        </w:trPr>
        <w:tc>
          <w:tcPr>
            <w:tcW w:w="1202" w:type="pct"/>
            <w:shd w:val="clear" w:color="auto" w:fill="4F81BD" w:themeFill="accent1"/>
          </w:tcPr>
          <w:p w14:paraId="1A93B9C2"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14:paraId="6E0787FE" w14:textId="77777777" w:rsidR="00154269" w:rsidRPr="00CA40CD" w:rsidRDefault="0023783E" w:rsidP="001F421F">
            <w:pPr>
              <w:rPr>
                <w:rFonts w:cs="Arial"/>
                <w:b/>
                <w:i/>
                <w:color w:val="FFFFFF" w:themeColor="background1"/>
                <w:szCs w:val="24"/>
              </w:rPr>
            </w:pPr>
            <w:r>
              <w:rPr>
                <w:rFonts w:cs="Arial"/>
                <w:b/>
                <w:i/>
                <w:color w:val="FFFFFF" w:themeColor="background1"/>
                <w:szCs w:val="24"/>
              </w:rPr>
              <w:t xml:space="preserve">Promoting Transplantation by </w:t>
            </w:r>
            <w:r w:rsidR="00F075FF">
              <w:rPr>
                <w:rFonts w:cs="Arial"/>
                <w:b/>
                <w:i/>
                <w:color w:val="FFFFFF" w:themeColor="background1"/>
                <w:szCs w:val="24"/>
              </w:rPr>
              <w:t>optimisation of the organ donation pathway and Living Kidney Donor pathway.</w:t>
            </w:r>
          </w:p>
        </w:tc>
      </w:tr>
      <w:tr w:rsidR="00326B23" w:rsidRPr="000412A1" w14:paraId="3B8C7676" w14:textId="77777777" w:rsidTr="1A7183F4">
        <w:trPr>
          <w:gridAfter w:val="1"/>
          <w:wAfter w:w="70" w:type="pct"/>
        </w:trPr>
        <w:tc>
          <w:tcPr>
            <w:tcW w:w="4930" w:type="pct"/>
            <w:gridSpan w:val="3"/>
            <w:shd w:val="clear" w:color="auto" w:fill="BFBFBF" w:themeFill="background1" w:themeFillShade="BF"/>
          </w:tcPr>
          <w:p w14:paraId="5C98FB7B" w14:textId="77777777" w:rsidR="00326B23" w:rsidRPr="00C042DA" w:rsidRDefault="00326B23" w:rsidP="001F421F">
            <w:pPr>
              <w:pStyle w:val="ListParagraph"/>
              <w:numPr>
                <w:ilvl w:val="0"/>
                <w:numId w:val="9"/>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619E2703" w14:textId="77777777" w:rsidTr="1A7183F4">
        <w:trPr>
          <w:gridAfter w:val="1"/>
          <w:wAfter w:w="70" w:type="pct"/>
        </w:trPr>
        <w:tc>
          <w:tcPr>
            <w:tcW w:w="1202" w:type="pct"/>
            <w:shd w:val="clear" w:color="auto" w:fill="D9D9D9" w:themeFill="background1" w:themeFillShade="D9"/>
          </w:tcPr>
          <w:p w14:paraId="4CC66A4F" w14:textId="77777777" w:rsidR="00023708" w:rsidRDefault="00023708" w:rsidP="0084461B">
            <w:pPr>
              <w:rPr>
                <w:rFonts w:cs="Arial"/>
                <w:szCs w:val="24"/>
              </w:rPr>
            </w:pPr>
            <w:r>
              <w:rPr>
                <w:rFonts w:cs="Arial"/>
                <w:szCs w:val="24"/>
              </w:rPr>
              <w:t>Indicator Sponsor (with email address)</w:t>
            </w:r>
          </w:p>
        </w:tc>
        <w:tc>
          <w:tcPr>
            <w:tcW w:w="3729" w:type="pct"/>
            <w:gridSpan w:val="2"/>
          </w:tcPr>
          <w:p w14:paraId="34F7301B" w14:textId="77777777" w:rsidR="005C1DEF" w:rsidRDefault="005C1DEF" w:rsidP="005C1DEF">
            <w:pPr>
              <w:rPr>
                <w:rFonts w:cs="Arial"/>
                <w:szCs w:val="24"/>
              </w:rPr>
            </w:pPr>
            <w:r>
              <w:rPr>
                <w:rFonts w:cs="Arial"/>
                <w:szCs w:val="24"/>
              </w:rPr>
              <w:t>Internal Medicine Programme of Care</w:t>
            </w:r>
          </w:p>
          <w:p w14:paraId="525F63D2" w14:textId="77777777" w:rsidR="005C1DEF" w:rsidRPr="005C1DEF" w:rsidRDefault="005C1DEF" w:rsidP="005C1DEF">
            <w:pPr>
              <w:rPr>
                <w:rFonts w:cs="Arial"/>
                <w:i/>
                <w:szCs w:val="24"/>
                <w:u w:val="single"/>
              </w:rPr>
            </w:pPr>
            <w:r w:rsidRPr="005C1DEF">
              <w:rPr>
                <w:rFonts w:cs="Arial"/>
                <w:szCs w:val="24"/>
              </w:rPr>
              <w:t>Sarah Watso</w:t>
            </w:r>
            <w:bookmarkStart w:id="1" w:name="_GoBack"/>
            <w:bookmarkEnd w:id="1"/>
            <w:r w:rsidRPr="005C1DEF">
              <w:rPr>
                <w:rFonts w:cs="Arial"/>
                <w:szCs w:val="24"/>
              </w:rPr>
              <w:t>n</w:t>
            </w:r>
            <w:r>
              <w:rPr>
                <w:rFonts w:cs="Arial"/>
                <w:i/>
                <w:szCs w:val="24"/>
              </w:rPr>
              <w:t xml:space="preserve">  </w:t>
            </w:r>
            <w:hyperlink r:id="rId12" w:history="1">
              <w:r w:rsidRPr="005C1DEF">
                <w:rPr>
                  <w:rStyle w:val="Hyperlink"/>
                  <w:rFonts w:cs="Arial"/>
                  <w:i/>
                  <w:szCs w:val="24"/>
                </w:rPr>
                <w:t>sarah.watson23@nhs.net</w:t>
              </w:r>
            </w:hyperlink>
            <w:r w:rsidRPr="005C1DEF">
              <w:rPr>
                <w:rFonts w:cs="Arial"/>
                <w:i/>
                <w:szCs w:val="24"/>
              </w:rPr>
              <w:t xml:space="preserve"> </w:t>
            </w:r>
            <w:r w:rsidRPr="005C1DEF">
              <w:rPr>
                <w:rFonts w:cs="Arial"/>
                <w:i/>
                <w:szCs w:val="24"/>
                <w:u w:val="single"/>
              </w:rPr>
              <w:t xml:space="preserve">; </w:t>
            </w:r>
          </w:p>
          <w:p w14:paraId="7CFC2364" w14:textId="77777777" w:rsidR="00023708" w:rsidRDefault="005C1DEF" w:rsidP="005C1DEF">
            <w:pPr>
              <w:rPr>
                <w:rFonts w:cs="Arial"/>
                <w:i/>
                <w:szCs w:val="24"/>
              </w:rPr>
            </w:pPr>
            <w:r w:rsidRPr="005C1DEF">
              <w:rPr>
                <w:rFonts w:cs="Arial"/>
                <w:szCs w:val="24"/>
              </w:rPr>
              <w:t xml:space="preserve">Jon Gulliver </w:t>
            </w:r>
            <w:hyperlink r:id="rId13" w:history="1">
              <w:r w:rsidRPr="005C1DEF">
                <w:rPr>
                  <w:rStyle w:val="Hyperlink"/>
                  <w:rFonts w:cs="Arial"/>
                  <w:i/>
                  <w:szCs w:val="24"/>
                </w:rPr>
                <w:t>Jon.gulliver@nhs.net</w:t>
              </w:r>
            </w:hyperlink>
          </w:p>
        </w:tc>
      </w:tr>
      <w:tr w:rsidR="00822294" w:rsidRPr="000412A1" w14:paraId="7A942C9D" w14:textId="77777777" w:rsidTr="1A7183F4">
        <w:trPr>
          <w:gridAfter w:val="1"/>
          <w:wAfter w:w="70" w:type="pct"/>
        </w:trPr>
        <w:tc>
          <w:tcPr>
            <w:tcW w:w="1202" w:type="pct"/>
            <w:shd w:val="clear" w:color="auto" w:fill="D9D9D9" w:themeFill="background1" w:themeFillShade="D9"/>
          </w:tcPr>
          <w:p w14:paraId="3369E8C7" w14:textId="77777777" w:rsidR="00822294" w:rsidRPr="000412A1" w:rsidRDefault="00A92DF6" w:rsidP="0084461B">
            <w:pPr>
              <w:rPr>
                <w:rFonts w:cs="Arial"/>
                <w:szCs w:val="24"/>
              </w:rPr>
            </w:pPr>
            <w:r>
              <w:rPr>
                <w:rFonts w:cs="Arial"/>
                <w:szCs w:val="24"/>
              </w:rPr>
              <w:t>Improving Value</w:t>
            </w:r>
            <w:r w:rsidR="00822294">
              <w:rPr>
                <w:rFonts w:cs="Arial"/>
                <w:szCs w:val="24"/>
              </w:rPr>
              <w:t xml:space="preserve"> Reference</w:t>
            </w:r>
          </w:p>
        </w:tc>
        <w:tc>
          <w:tcPr>
            <w:tcW w:w="3729" w:type="pct"/>
            <w:gridSpan w:val="2"/>
          </w:tcPr>
          <w:p w14:paraId="629D792A" w14:textId="77777777" w:rsidR="00822294" w:rsidRPr="00CA40CD" w:rsidRDefault="00A92DF6" w:rsidP="0084461B">
            <w:pPr>
              <w:rPr>
                <w:rFonts w:cs="Arial"/>
                <w:i/>
                <w:szCs w:val="24"/>
              </w:rPr>
            </w:pPr>
            <w:r>
              <w:rPr>
                <w:rFonts w:cs="Arial"/>
                <w:i/>
                <w:szCs w:val="24"/>
              </w:rPr>
              <w:t>N/A</w:t>
            </w:r>
          </w:p>
        </w:tc>
      </w:tr>
      <w:tr w:rsidR="00822294" w:rsidRPr="000412A1" w14:paraId="667F650F" w14:textId="77777777" w:rsidTr="1A7183F4">
        <w:trPr>
          <w:gridAfter w:val="1"/>
          <w:wAfter w:w="70" w:type="pct"/>
        </w:trPr>
        <w:tc>
          <w:tcPr>
            <w:tcW w:w="1202" w:type="pct"/>
            <w:shd w:val="clear" w:color="auto" w:fill="D9D9D9" w:themeFill="background1" w:themeFillShade="D9"/>
          </w:tcPr>
          <w:p w14:paraId="07ED5907" w14:textId="77777777" w:rsidR="00822294" w:rsidRPr="000412A1" w:rsidRDefault="00822294" w:rsidP="0084461B">
            <w:pPr>
              <w:rPr>
                <w:rFonts w:cs="Arial"/>
                <w:szCs w:val="24"/>
              </w:rPr>
            </w:pPr>
            <w:r w:rsidRPr="000412A1">
              <w:rPr>
                <w:rFonts w:cs="Arial"/>
                <w:szCs w:val="24"/>
              </w:rPr>
              <w:t>Duration</w:t>
            </w:r>
          </w:p>
        </w:tc>
        <w:tc>
          <w:tcPr>
            <w:tcW w:w="3729" w:type="pct"/>
            <w:gridSpan w:val="2"/>
          </w:tcPr>
          <w:p w14:paraId="3B2D9BF9" w14:textId="77777777" w:rsidR="00822294" w:rsidRPr="00CA40CD" w:rsidRDefault="00052447" w:rsidP="005C1DEF">
            <w:pPr>
              <w:rPr>
                <w:rFonts w:cs="Arial"/>
                <w:i/>
                <w:szCs w:val="24"/>
              </w:rPr>
            </w:pPr>
            <w:r>
              <w:rPr>
                <w:rFonts w:cs="Arial"/>
                <w:szCs w:val="24"/>
              </w:rPr>
              <w:t>One/Two/</w:t>
            </w:r>
            <w:r w:rsidR="00822294">
              <w:rPr>
                <w:rFonts w:cs="Arial"/>
                <w:szCs w:val="24"/>
              </w:rPr>
              <w:t>Three years</w:t>
            </w:r>
            <w:r w:rsidR="00822294" w:rsidRPr="009B60A2">
              <w:rPr>
                <w:rFonts w:cs="Arial"/>
                <w:szCs w:val="24"/>
              </w:rPr>
              <w:t>.</w:t>
            </w:r>
            <w:r w:rsidR="00822294" w:rsidRPr="00C0263E">
              <w:rPr>
                <w:rFonts w:cs="Arial"/>
                <w:szCs w:val="24"/>
              </w:rPr>
              <w:t xml:space="preserve"> </w:t>
            </w:r>
          </w:p>
        </w:tc>
      </w:tr>
      <w:tr w:rsidR="00B77154" w:rsidRPr="000412A1" w14:paraId="1782FC12" w14:textId="77777777" w:rsidTr="1A7183F4">
        <w:trPr>
          <w:gridAfter w:val="1"/>
          <w:wAfter w:w="70" w:type="pct"/>
        </w:trPr>
        <w:tc>
          <w:tcPr>
            <w:tcW w:w="1202" w:type="pct"/>
            <w:shd w:val="clear" w:color="auto" w:fill="D9D9D9" w:themeFill="background1" w:themeFillShade="D9"/>
          </w:tcPr>
          <w:p w14:paraId="6B67AC39" w14:textId="77777777" w:rsidR="00B77154" w:rsidRPr="000412A1" w:rsidRDefault="00B77154" w:rsidP="0084461B">
            <w:pPr>
              <w:rPr>
                <w:rFonts w:cs="Arial"/>
                <w:szCs w:val="24"/>
              </w:rPr>
            </w:pPr>
            <w:r>
              <w:rPr>
                <w:rFonts w:cs="Arial"/>
                <w:szCs w:val="24"/>
              </w:rPr>
              <w:t>CCG Complementarity</w:t>
            </w:r>
          </w:p>
        </w:tc>
        <w:tc>
          <w:tcPr>
            <w:tcW w:w="3729" w:type="pct"/>
            <w:gridSpan w:val="2"/>
          </w:tcPr>
          <w:p w14:paraId="34824FA9" w14:textId="77777777" w:rsidR="00B77154" w:rsidRPr="00B77154" w:rsidRDefault="00A92DF6" w:rsidP="00052447">
            <w:pPr>
              <w:rPr>
                <w:rFonts w:cs="Arial"/>
                <w:i/>
                <w:szCs w:val="24"/>
              </w:rPr>
            </w:pPr>
            <w:r>
              <w:rPr>
                <w:rFonts w:cs="Arial"/>
                <w:i/>
                <w:szCs w:val="24"/>
              </w:rPr>
              <w:t>N/A</w:t>
            </w:r>
          </w:p>
        </w:tc>
      </w:tr>
      <w:tr w:rsidR="00C042DA" w:rsidRPr="000412A1" w14:paraId="67883D54" w14:textId="77777777" w:rsidTr="1A7183F4">
        <w:trPr>
          <w:gridAfter w:val="1"/>
          <w:wAfter w:w="70" w:type="pct"/>
          <w:trHeight w:val="1365"/>
        </w:trPr>
        <w:tc>
          <w:tcPr>
            <w:tcW w:w="4930" w:type="pct"/>
            <w:gridSpan w:val="3"/>
          </w:tcPr>
          <w:p w14:paraId="4A3FA6B8" w14:textId="77777777" w:rsidR="00C042DA" w:rsidRDefault="00C042DA" w:rsidP="0084461B">
            <w:pPr>
              <w:rPr>
                <w:rFonts w:cs="Arial"/>
                <w:b/>
                <w:szCs w:val="24"/>
              </w:rPr>
            </w:pPr>
            <w:r w:rsidRPr="00326B23">
              <w:rPr>
                <w:rFonts w:cs="Arial"/>
                <w:b/>
                <w:szCs w:val="24"/>
                <w:u w:val="single"/>
              </w:rPr>
              <w:t>Problem to be addressed</w:t>
            </w:r>
            <w:r w:rsidR="000F3C6A">
              <w:rPr>
                <w:rFonts w:cs="Arial"/>
                <w:b/>
                <w:szCs w:val="24"/>
                <w:u w:val="single"/>
              </w:rPr>
              <w:t xml:space="preserve"> (maximum 1</w:t>
            </w:r>
            <w:r w:rsidR="003A0C63">
              <w:rPr>
                <w:rFonts w:cs="Arial"/>
                <w:b/>
                <w:szCs w:val="24"/>
                <w:u w:val="single"/>
              </w:rPr>
              <w:t>5</w:t>
            </w:r>
            <w:r w:rsidR="000F3C6A">
              <w:rPr>
                <w:rFonts w:cs="Arial"/>
                <w:b/>
                <w:szCs w:val="24"/>
                <w:u w:val="single"/>
              </w:rPr>
              <w:t>0 words)</w:t>
            </w:r>
            <w:r w:rsidRPr="00A95BE1">
              <w:rPr>
                <w:rFonts w:cs="Arial"/>
                <w:b/>
                <w:szCs w:val="24"/>
              </w:rPr>
              <w:t>:</w:t>
            </w:r>
          </w:p>
          <w:p w14:paraId="0D10790B" w14:textId="77777777" w:rsidR="005C1DEF" w:rsidRDefault="000F3C6A" w:rsidP="000F3C6A">
            <w:pPr>
              <w:rPr>
                <w:rFonts w:cs="Arial"/>
                <w:b/>
                <w:szCs w:val="24"/>
              </w:rPr>
            </w:pPr>
            <w:r w:rsidRPr="00A95BE1">
              <w:rPr>
                <w:rFonts w:cs="Arial"/>
                <w:b/>
                <w:i/>
                <w:szCs w:val="24"/>
              </w:rPr>
              <w:t>[</w:t>
            </w:r>
            <w:r w:rsidRPr="004E377A">
              <w:rPr>
                <w:rFonts w:cs="Arial"/>
                <w:i/>
                <w:color w:val="FF0000"/>
                <w:szCs w:val="24"/>
              </w:rPr>
              <w:t xml:space="preserve">Briefly characterise the shortfall in quality or efficiency that the </w:t>
            </w:r>
            <w:r w:rsidR="001F421F" w:rsidRPr="004E377A">
              <w:rPr>
                <w:rFonts w:cs="Arial"/>
                <w:i/>
                <w:color w:val="FF0000"/>
                <w:szCs w:val="24"/>
              </w:rPr>
              <w:t>indicator</w:t>
            </w:r>
            <w:r w:rsidRPr="004E377A">
              <w:rPr>
                <w:rFonts w:cs="Arial"/>
                <w:i/>
                <w:color w:val="FF0000"/>
                <w:szCs w:val="24"/>
              </w:rPr>
              <w:t xml:space="preserve"> is designed to address; detailed evidence should be placed in section</w:t>
            </w:r>
            <w:r w:rsidR="004E377A">
              <w:rPr>
                <w:rFonts w:cs="Arial"/>
                <w:i/>
                <w:color w:val="FF0000"/>
                <w:szCs w:val="24"/>
              </w:rPr>
              <w:t xml:space="preserve"> D1</w:t>
            </w:r>
            <w:r w:rsidRPr="00A95BE1">
              <w:rPr>
                <w:rFonts w:cs="Arial"/>
                <w:b/>
                <w:i/>
                <w:szCs w:val="24"/>
              </w:rPr>
              <w:t>]</w:t>
            </w:r>
            <w:r>
              <w:rPr>
                <w:rFonts w:cs="Arial"/>
                <w:b/>
                <w:szCs w:val="24"/>
              </w:rPr>
              <w:t xml:space="preserve"> </w:t>
            </w:r>
          </w:p>
          <w:p w14:paraId="2AB71FEA" w14:textId="77777777" w:rsidR="003C0B16" w:rsidRDefault="005C1DEF" w:rsidP="003C0B16">
            <w:pPr>
              <w:pStyle w:val="ListParagraph"/>
              <w:numPr>
                <w:ilvl w:val="0"/>
                <w:numId w:val="12"/>
              </w:numPr>
              <w:rPr>
                <w:rFonts w:cs="Arial"/>
                <w:szCs w:val="24"/>
              </w:rPr>
            </w:pPr>
            <w:r w:rsidRPr="003C0B16">
              <w:rPr>
                <w:rFonts w:cs="Arial"/>
                <w:szCs w:val="24"/>
              </w:rPr>
              <w:t>NHS Blood and Transplant wi</w:t>
            </w:r>
            <w:r w:rsidR="003C0B16" w:rsidRPr="003C0B16">
              <w:rPr>
                <w:rFonts w:cs="Arial"/>
                <w:szCs w:val="24"/>
              </w:rPr>
              <w:t>th NHS England have</w:t>
            </w:r>
            <w:r w:rsidRPr="003C0B16">
              <w:rPr>
                <w:rFonts w:cs="Arial"/>
                <w:szCs w:val="24"/>
              </w:rPr>
              <w:t xml:space="preserve"> targets for organ donation which are n</w:t>
            </w:r>
            <w:r w:rsidR="003C0B16" w:rsidRPr="003C0B16">
              <w:rPr>
                <w:rFonts w:cs="Arial"/>
                <w:szCs w:val="24"/>
              </w:rPr>
              <w:t>ot being met for 2020 and beyond</w:t>
            </w:r>
            <w:r w:rsidRPr="003C0B16">
              <w:rPr>
                <w:rFonts w:cs="Arial"/>
                <w:szCs w:val="24"/>
              </w:rPr>
              <w:t xml:space="preserve">. This </w:t>
            </w:r>
            <w:r w:rsidR="00B065DC">
              <w:rPr>
                <w:rFonts w:cs="Arial"/>
                <w:szCs w:val="24"/>
              </w:rPr>
              <w:t xml:space="preserve">may be the result of </w:t>
            </w:r>
            <w:proofErr w:type="gramStart"/>
            <w:r w:rsidR="00B065DC">
              <w:rPr>
                <w:rFonts w:cs="Arial"/>
                <w:szCs w:val="24"/>
              </w:rPr>
              <w:t>a number of</w:t>
            </w:r>
            <w:proofErr w:type="gramEnd"/>
            <w:r w:rsidR="00B065DC">
              <w:rPr>
                <w:rFonts w:cs="Arial"/>
                <w:szCs w:val="24"/>
              </w:rPr>
              <w:t xml:space="preserve"> factors</w:t>
            </w:r>
            <w:r w:rsidR="00CF2ABC">
              <w:rPr>
                <w:rFonts w:cs="Arial"/>
                <w:szCs w:val="24"/>
              </w:rPr>
              <w:t>:</w:t>
            </w:r>
            <w:r w:rsidR="003C0B16">
              <w:rPr>
                <w:rFonts w:cs="Arial"/>
                <w:szCs w:val="24"/>
              </w:rPr>
              <w:t xml:space="preserve"> </w:t>
            </w:r>
            <w:r w:rsidRPr="003C0B16">
              <w:rPr>
                <w:rFonts w:cs="Arial"/>
                <w:szCs w:val="24"/>
              </w:rPr>
              <w:t xml:space="preserve">clinical, organisational, work force </w:t>
            </w:r>
            <w:r w:rsidR="003C0B16" w:rsidRPr="003C0B16">
              <w:rPr>
                <w:rFonts w:cs="Arial"/>
                <w:szCs w:val="24"/>
              </w:rPr>
              <w:t>or cultural</w:t>
            </w:r>
            <w:r w:rsidRPr="003C0B16">
              <w:rPr>
                <w:rFonts w:cs="Arial"/>
                <w:szCs w:val="24"/>
              </w:rPr>
              <w:t>.</w:t>
            </w:r>
            <w:r w:rsidR="003C0B16">
              <w:rPr>
                <w:rFonts w:cs="Arial"/>
                <w:szCs w:val="24"/>
              </w:rPr>
              <w:t xml:space="preserve"> </w:t>
            </w:r>
            <w:r w:rsidR="00B065DC">
              <w:rPr>
                <w:rFonts w:cs="Arial"/>
                <w:szCs w:val="24"/>
              </w:rPr>
              <w:t>Other than for renal failure</w:t>
            </w:r>
            <w:r w:rsidR="00CF2ABC">
              <w:rPr>
                <w:rFonts w:cs="Arial"/>
                <w:szCs w:val="24"/>
              </w:rPr>
              <w:t>,</w:t>
            </w:r>
            <w:r w:rsidR="00B065DC">
              <w:rPr>
                <w:rFonts w:cs="Arial"/>
                <w:szCs w:val="24"/>
              </w:rPr>
              <w:t xml:space="preserve"> </w:t>
            </w:r>
            <w:r w:rsidR="00717512">
              <w:rPr>
                <w:rFonts w:cs="Arial"/>
                <w:szCs w:val="24"/>
              </w:rPr>
              <w:t>o</w:t>
            </w:r>
            <w:r w:rsidRPr="003C0B16">
              <w:rPr>
                <w:rFonts w:cs="Arial"/>
                <w:szCs w:val="24"/>
              </w:rPr>
              <w:t xml:space="preserve">rgan transplant offers patients the only </w:t>
            </w:r>
            <w:proofErr w:type="gramStart"/>
            <w:r w:rsidRPr="003C0B16">
              <w:rPr>
                <w:rFonts w:cs="Arial"/>
                <w:szCs w:val="24"/>
              </w:rPr>
              <w:t>long term</w:t>
            </w:r>
            <w:proofErr w:type="gramEnd"/>
            <w:r w:rsidRPr="003C0B16">
              <w:rPr>
                <w:rFonts w:cs="Arial"/>
                <w:szCs w:val="24"/>
              </w:rPr>
              <w:t xml:space="preserve"> option for treatment for their organ failure.  Patients die waiting for an organ.</w:t>
            </w:r>
            <w:r w:rsidR="003C0B16">
              <w:rPr>
                <w:rFonts w:cs="Arial"/>
                <w:szCs w:val="24"/>
              </w:rPr>
              <w:t xml:space="preserve"> </w:t>
            </w:r>
            <w:r w:rsidRPr="003C0B16">
              <w:rPr>
                <w:rFonts w:cs="Arial"/>
                <w:szCs w:val="24"/>
              </w:rPr>
              <w:t>A DH</w:t>
            </w:r>
            <w:r w:rsidR="00CF2ABC">
              <w:rPr>
                <w:rFonts w:cs="Arial"/>
                <w:szCs w:val="24"/>
              </w:rPr>
              <w:t>SC</w:t>
            </w:r>
            <w:r w:rsidRPr="003C0B16">
              <w:rPr>
                <w:rFonts w:cs="Arial"/>
                <w:szCs w:val="24"/>
              </w:rPr>
              <w:t xml:space="preserve"> led opt</w:t>
            </w:r>
            <w:r w:rsidR="00263708">
              <w:rPr>
                <w:rFonts w:cs="Arial"/>
                <w:szCs w:val="24"/>
              </w:rPr>
              <w:t>-</w:t>
            </w:r>
            <w:r w:rsidRPr="003C0B16">
              <w:rPr>
                <w:rFonts w:cs="Arial"/>
                <w:szCs w:val="24"/>
              </w:rPr>
              <w:t xml:space="preserve">out policy </w:t>
            </w:r>
            <w:r w:rsidR="00287380">
              <w:rPr>
                <w:rFonts w:cs="Arial"/>
                <w:szCs w:val="24"/>
              </w:rPr>
              <w:t xml:space="preserve">in England </w:t>
            </w:r>
            <w:r w:rsidRPr="003C0B16">
              <w:rPr>
                <w:rFonts w:cs="Arial"/>
                <w:szCs w:val="24"/>
              </w:rPr>
              <w:t>is under consideration but evidence highlight</w:t>
            </w:r>
            <w:r w:rsidR="00287380">
              <w:rPr>
                <w:rFonts w:cs="Arial"/>
                <w:szCs w:val="24"/>
              </w:rPr>
              <w:t>s</w:t>
            </w:r>
            <w:r w:rsidRPr="003C0B16">
              <w:rPr>
                <w:rFonts w:cs="Arial"/>
                <w:szCs w:val="24"/>
              </w:rPr>
              <w:t xml:space="preserve"> cultural differences </w:t>
            </w:r>
            <w:r w:rsidR="00263708">
              <w:rPr>
                <w:rFonts w:cs="Arial"/>
                <w:szCs w:val="24"/>
              </w:rPr>
              <w:t>as a</w:t>
            </w:r>
            <w:r w:rsidRPr="003C0B16">
              <w:rPr>
                <w:rFonts w:cs="Arial"/>
                <w:szCs w:val="24"/>
              </w:rPr>
              <w:t xml:space="preserve"> factor in </w:t>
            </w:r>
            <w:r w:rsidR="00263708" w:rsidRPr="003C0B16">
              <w:rPr>
                <w:rFonts w:cs="Arial"/>
                <w:szCs w:val="24"/>
              </w:rPr>
              <w:t>families’</w:t>
            </w:r>
            <w:r w:rsidRPr="003C0B16">
              <w:rPr>
                <w:rFonts w:cs="Arial"/>
                <w:szCs w:val="24"/>
              </w:rPr>
              <w:t xml:space="preserve"> </w:t>
            </w:r>
            <w:r w:rsidR="00263708" w:rsidRPr="003C0B16">
              <w:rPr>
                <w:rFonts w:cs="Arial"/>
                <w:szCs w:val="24"/>
              </w:rPr>
              <w:t xml:space="preserve">willingness </w:t>
            </w:r>
            <w:r w:rsidRPr="003C0B16">
              <w:rPr>
                <w:rFonts w:cs="Arial"/>
                <w:szCs w:val="24"/>
              </w:rPr>
              <w:t>to rele</w:t>
            </w:r>
            <w:r w:rsidR="003C0B16">
              <w:rPr>
                <w:rFonts w:cs="Arial"/>
                <w:szCs w:val="24"/>
              </w:rPr>
              <w:t>ase deceased relative’s organs.</w:t>
            </w:r>
            <w:r w:rsidR="00FE218D">
              <w:rPr>
                <w:rFonts w:cs="Arial"/>
                <w:szCs w:val="24"/>
              </w:rPr>
              <w:t xml:space="preserve"> </w:t>
            </w:r>
            <w:r w:rsidR="00B065DC">
              <w:rPr>
                <w:rFonts w:cs="Arial"/>
                <w:szCs w:val="24"/>
              </w:rPr>
              <w:t xml:space="preserve">NHS Blood and Transplant (NHSBT) and National Black and Ethnic Minority Transplant Association (NBTA) are undertaking </w:t>
            </w:r>
            <w:proofErr w:type="gramStart"/>
            <w:r w:rsidR="00B065DC">
              <w:rPr>
                <w:rFonts w:cs="Arial"/>
                <w:szCs w:val="24"/>
              </w:rPr>
              <w:t>a number of</w:t>
            </w:r>
            <w:proofErr w:type="gramEnd"/>
            <w:r w:rsidR="00B065DC">
              <w:rPr>
                <w:rFonts w:cs="Arial"/>
                <w:szCs w:val="24"/>
              </w:rPr>
              <w:t xml:space="preserve"> initiatives </w:t>
            </w:r>
            <w:r w:rsidR="00717512">
              <w:rPr>
                <w:rFonts w:cs="Arial"/>
                <w:szCs w:val="24"/>
              </w:rPr>
              <w:t xml:space="preserve">better </w:t>
            </w:r>
            <w:r w:rsidR="00B065DC">
              <w:rPr>
                <w:rFonts w:cs="Arial"/>
                <w:szCs w:val="24"/>
              </w:rPr>
              <w:t xml:space="preserve">to understand these issues and to promote donation in minority groups. </w:t>
            </w:r>
            <w:r w:rsidR="00263708">
              <w:rPr>
                <w:rFonts w:cs="Arial"/>
                <w:szCs w:val="24"/>
              </w:rPr>
              <w:t xml:space="preserve">There are also </w:t>
            </w:r>
            <w:r w:rsidR="00FE218D">
              <w:rPr>
                <w:rFonts w:cs="Arial"/>
                <w:szCs w:val="24"/>
              </w:rPr>
              <w:t xml:space="preserve">new technologies available that can increase use of available </w:t>
            </w:r>
            <w:proofErr w:type="gramStart"/>
            <w:r w:rsidR="00FE218D">
              <w:rPr>
                <w:rFonts w:cs="Arial"/>
                <w:szCs w:val="24"/>
              </w:rPr>
              <w:t>organs</w:t>
            </w:r>
            <w:proofErr w:type="gramEnd"/>
            <w:r w:rsidR="00287380">
              <w:rPr>
                <w:rFonts w:cs="Arial"/>
                <w:szCs w:val="24"/>
              </w:rPr>
              <w:t xml:space="preserve"> but </w:t>
            </w:r>
            <w:r w:rsidR="00263708">
              <w:rPr>
                <w:rFonts w:cs="Arial"/>
                <w:szCs w:val="24"/>
              </w:rPr>
              <w:t xml:space="preserve">which </w:t>
            </w:r>
            <w:r w:rsidR="00287380">
              <w:rPr>
                <w:rFonts w:cs="Arial"/>
                <w:szCs w:val="24"/>
              </w:rPr>
              <w:t>require service re-design</w:t>
            </w:r>
            <w:r w:rsidR="00FE218D">
              <w:rPr>
                <w:rFonts w:cs="Arial"/>
                <w:szCs w:val="24"/>
              </w:rPr>
              <w:t>.</w:t>
            </w:r>
          </w:p>
          <w:p w14:paraId="2C377EBF" w14:textId="77777777" w:rsidR="00C042DA" w:rsidRPr="003C0B16" w:rsidRDefault="005C1DEF" w:rsidP="003C0B16">
            <w:pPr>
              <w:pStyle w:val="ListParagraph"/>
              <w:numPr>
                <w:ilvl w:val="0"/>
                <w:numId w:val="12"/>
              </w:numPr>
              <w:rPr>
                <w:rFonts w:cs="Arial"/>
                <w:szCs w:val="24"/>
              </w:rPr>
            </w:pPr>
            <w:r w:rsidRPr="003C0B16">
              <w:rPr>
                <w:rFonts w:cs="Arial"/>
                <w:szCs w:val="24"/>
              </w:rPr>
              <w:t xml:space="preserve">Living Donor Kidney Transplant (LDKT) is well established in the UK </w:t>
            </w:r>
            <w:r w:rsidR="003C0B16" w:rsidRPr="003C0B16">
              <w:rPr>
                <w:rFonts w:cs="Arial"/>
                <w:szCs w:val="24"/>
              </w:rPr>
              <w:t xml:space="preserve">but </w:t>
            </w:r>
            <w:r w:rsidRPr="003C0B16">
              <w:rPr>
                <w:rFonts w:cs="Arial"/>
                <w:szCs w:val="24"/>
              </w:rPr>
              <w:t>rates of Live</w:t>
            </w:r>
            <w:r w:rsidR="00263708">
              <w:rPr>
                <w:rFonts w:cs="Arial"/>
                <w:szCs w:val="24"/>
              </w:rPr>
              <w:t>-</w:t>
            </w:r>
            <w:r w:rsidRPr="003C0B16">
              <w:rPr>
                <w:rFonts w:cs="Arial"/>
                <w:szCs w:val="24"/>
              </w:rPr>
              <w:t xml:space="preserve">Donor </w:t>
            </w:r>
            <w:proofErr w:type="gramStart"/>
            <w:r w:rsidRPr="003C0B16">
              <w:rPr>
                <w:rFonts w:cs="Arial"/>
                <w:szCs w:val="24"/>
              </w:rPr>
              <w:t>offers</w:t>
            </w:r>
            <w:proofErr w:type="gramEnd"/>
            <w:r w:rsidRPr="003C0B16">
              <w:rPr>
                <w:rFonts w:cs="Arial"/>
                <w:szCs w:val="24"/>
              </w:rPr>
              <w:t xml:space="preserve"> vary significantly across England and with international comparators. LDKT offers an optimal treatment for patients with kidney failure since it offers a better outcome than dialysis </w:t>
            </w:r>
            <w:proofErr w:type="gramStart"/>
            <w:r w:rsidRPr="003C0B16">
              <w:rPr>
                <w:rFonts w:cs="Arial"/>
                <w:szCs w:val="24"/>
              </w:rPr>
              <w:t>and also</w:t>
            </w:r>
            <w:proofErr w:type="gramEnd"/>
            <w:r w:rsidRPr="003C0B16">
              <w:rPr>
                <w:rFonts w:cs="Arial"/>
                <w:szCs w:val="24"/>
              </w:rPr>
              <w:t xml:space="preserve"> excellent long-term transplant and patient survival in comparison with deceased donor kidney transplantation (DDKT). Avoidance of dialysis also makes LDKT the most </w:t>
            </w:r>
            <w:proofErr w:type="gramStart"/>
            <w:r w:rsidRPr="003C0B16">
              <w:rPr>
                <w:rFonts w:cs="Arial"/>
                <w:szCs w:val="24"/>
              </w:rPr>
              <w:t>cost effective</w:t>
            </w:r>
            <w:proofErr w:type="gramEnd"/>
            <w:r w:rsidRPr="003C0B16">
              <w:rPr>
                <w:rFonts w:cs="Arial"/>
                <w:szCs w:val="24"/>
              </w:rPr>
              <w:t xml:space="preserve"> treatment option for patients with end stage kidney disease (ESKD).</w:t>
            </w:r>
          </w:p>
        </w:tc>
      </w:tr>
      <w:tr w:rsidR="00326B23" w:rsidRPr="000412A1" w14:paraId="27EF0DC7" w14:textId="77777777" w:rsidTr="1A7183F4">
        <w:trPr>
          <w:gridAfter w:val="1"/>
          <w:wAfter w:w="70" w:type="pct"/>
        </w:trPr>
        <w:tc>
          <w:tcPr>
            <w:tcW w:w="4930" w:type="pct"/>
            <w:gridSpan w:val="3"/>
          </w:tcPr>
          <w:p w14:paraId="102B21E6" w14:textId="77777777" w:rsidR="00326B23" w:rsidRPr="00326B23" w:rsidRDefault="00326B23" w:rsidP="00326B23">
            <w:pPr>
              <w:rPr>
                <w:rFonts w:cs="Arial"/>
                <w:b/>
                <w:szCs w:val="24"/>
                <w:u w:val="single"/>
              </w:rPr>
            </w:pPr>
            <w:r w:rsidRPr="00326B23">
              <w:rPr>
                <w:rFonts w:cs="Arial"/>
                <w:b/>
                <w:szCs w:val="24"/>
                <w:u w:val="single"/>
              </w:rPr>
              <w:t>Change sought:</w:t>
            </w:r>
          </w:p>
          <w:p w14:paraId="51D8FA03" w14:textId="77777777" w:rsidR="00326B23" w:rsidRDefault="00326B23" w:rsidP="00326B23">
            <w:pPr>
              <w:rPr>
                <w:rFonts w:cs="Arial"/>
                <w:b/>
                <w:i/>
                <w:szCs w:val="24"/>
              </w:rPr>
            </w:pPr>
            <w:r w:rsidRPr="004E377A">
              <w:rPr>
                <w:rFonts w:cs="Arial"/>
                <w:i/>
                <w:color w:val="FF0000"/>
                <w:szCs w:val="24"/>
              </w:rPr>
              <w:t>[Specify what change in behaviour is sought in general terms</w:t>
            </w:r>
            <w:r w:rsidR="004E377A">
              <w:rPr>
                <w:rFonts w:cs="Arial"/>
                <w:i/>
                <w:color w:val="FF0000"/>
                <w:szCs w:val="24"/>
              </w:rPr>
              <w:t>, with detailed specification set out in section C4</w:t>
            </w:r>
            <w:r w:rsidRPr="00A95BE1">
              <w:rPr>
                <w:rFonts w:cs="Arial"/>
                <w:b/>
                <w:i/>
                <w:szCs w:val="24"/>
              </w:rPr>
              <w:t xml:space="preserve">.] </w:t>
            </w:r>
          </w:p>
          <w:p w14:paraId="6EA5829F" w14:textId="77777777" w:rsidR="003C0B16" w:rsidRPr="00263708" w:rsidRDefault="003C0B16" w:rsidP="003C0B16">
            <w:pPr>
              <w:pStyle w:val="ListParagraph"/>
              <w:numPr>
                <w:ilvl w:val="0"/>
                <w:numId w:val="13"/>
              </w:numPr>
              <w:rPr>
                <w:rFonts w:cs="Arial"/>
                <w:b/>
                <w:szCs w:val="24"/>
                <w:u w:val="single"/>
              </w:rPr>
            </w:pPr>
            <w:r w:rsidRPr="00263708">
              <w:rPr>
                <w:rFonts w:cs="Arial"/>
                <w:b/>
                <w:szCs w:val="24"/>
                <w:u w:val="single"/>
              </w:rPr>
              <w:t>To i</w:t>
            </w:r>
            <w:r w:rsidR="00F075FF" w:rsidRPr="00263708">
              <w:rPr>
                <w:rFonts w:cs="Arial"/>
                <w:b/>
                <w:szCs w:val="24"/>
                <w:u w:val="single"/>
              </w:rPr>
              <w:t xml:space="preserve">ncrease </w:t>
            </w:r>
            <w:r w:rsidRPr="00263708">
              <w:rPr>
                <w:rFonts w:cs="Arial"/>
                <w:b/>
                <w:szCs w:val="24"/>
                <w:u w:val="single"/>
              </w:rPr>
              <w:t xml:space="preserve">the Organ transplantation rate </w:t>
            </w:r>
            <w:r w:rsidR="00F075FF" w:rsidRPr="00263708">
              <w:rPr>
                <w:rFonts w:cs="Arial"/>
                <w:b/>
                <w:szCs w:val="24"/>
                <w:u w:val="single"/>
              </w:rPr>
              <w:t>by addressing barriers to organ uptake and optimising the pathway.</w:t>
            </w:r>
          </w:p>
          <w:p w14:paraId="7C12EF67" w14:textId="77777777" w:rsidR="00717512" w:rsidRDefault="00717512" w:rsidP="00717512">
            <w:pPr>
              <w:rPr>
                <w:rFonts w:cs="Arial"/>
                <w:szCs w:val="24"/>
              </w:rPr>
            </w:pPr>
            <w:r w:rsidRPr="00B4402B">
              <w:rPr>
                <w:rFonts w:cs="Arial"/>
                <w:b/>
                <w:szCs w:val="24"/>
              </w:rPr>
              <w:t>Optimising Donor Rates</w:t>
            </w:r>
            <w:r>
              <w:rPr>
                <w:rFonts w:cs="Arial"/>
                <w:szCs w:val="24"/>
              </w:rPr>
              <w:t xml:space="preserve"> </w:t>
            </w:r>
          </w:p>
          <w:p w14:paraId="0F81EE71" w14:textId="77777777" w:rsidR="00717512" w:rsidRDefault="00717512" w:rsidP="00717512">
            <w:pPr>
              <w:rPr>
                <w:rFonts w:cs="Arial"/>
                <w:szCs w:val="24"/>
              </w:rPr>
            </w:pPr>
            <w:r>
              <w:rPr>
                <w:rFonts w:cs="Arial"/>
                <w:szCs w:val="24"/>
              </w:rPr>
              <w:lastRenderedPageBreak/>
              <w:t>Funding will support a menu of options relevant to the focus of the scheme</w:t>
            </w:r>
          </w:p>
          <w:p w14:paraId="4762875E" w14:textId="77777777" w:rsidR="00717512" w:rsidRDefault="00717512" w:rsidP="00717512">
            <w:pPr>
              <w:rPr>
                <w:rFonts w:cs="Arial"/>
                <w:szCs w:val="24"/>
              </w:rPr>
            </w:pPr>
            <w:r>
              <w:rPr>
                <w:rFonts w:cs="Arial"/>
                <w:szCs w:val="24"/>
              </w:rPr>
              <w:t>Potential for monies to be allocated depending on how many elements are addressed.</w:t>
            </w:r>
          </w:p>
          <w:p w14:paraId="0A37501D" w14:textId="77777777" w:rsidR="00717512" w:rsidRDefault="00717512" w:rsidP="00717512">
            <w:pPr>
              <w:rPr>
                <w:rFonts w:cs="Arial"/>
                <w:szCs w:val="24"/>
              </w:rPr>
            </w:pPr>
          </w:p>
          <w:p w14:paraId="21F34B8C" w14:textId="77777777" w:rsidR="00717512" w:rsidRPr="000877A4" w:rsidRDefault="00717512" w:rsidP="00717512">
            <w:pPr>
              <w:numPr>
                <w:ilvl w:val="0"/>
                <w:numId w:val="16"/>
              </w:numPr>
              <w:rPr>
                <w:rFonts w:cs="Arial"/>
                <w:szCs w:val="24"/>
              </w:rPr>
            </w:pPr>
            <w:r>
              <w:rPr>
                <w:rFonts w:cs="Arial"/>
                <w:szCs w:val="24"/>
              </w:rPr>
              <w:t>Cultural barriers to families releasing organs for transplant from deceased relatives.</w:t>
            </w:r>
          </w:p>
          <w:p w14:paraId="31A9F85E" w14:textId="77777777" w:rsidR="00717512" w:rsidRPr="009626CF" w:rsidRDefault="00717512" w:rsidP="00717512">
            <w:pPr>
              <w:numPr>
                <w:ilvl w:val="0"/>
                <w:numId w:val="16"/>
              </w:numPr>
              <w:rPr>
                <w:rFonts w:cs="Arial"/>
                <w:szCs w:val="24"/>
              </w:rPr>
            </w:pPr>
            <w:r>
              <w:rPr>
                <w:rFonts w:cs="Arial"/>
                <w:szCs w:val="24"/>
              </w:rPr>
              <w:t>System and team redesign to reduce decline of organs.</w:t>
            </w:r>
          </w:p>
          <w:p w14:paraId="5A62F39C" w14:textId="77777777" w:rsidR="00717512" w:rsidRDefault="00717512" w:rsidP="00717512">
            <w:pPr>
              <w:numPr>
                <w:ilvl w:val="0"/>
                <w:numId w:val="16"/>
              </w:numPr>
              <w:rPr>
                <w:rFonts w:cs="Arial"/>
                <w:szCs w:val="24"/>
              </w:rPr>
            </w:pPr>
            <w:r>
              <w:rPr>
                <w:rFonts w:cs="Arial"/>
                <w:szCs w:val="24"/>
              </w:rPr>
              <w:t>Addressing capacity constraints on donor acceptance.</w:t>
            </w:r>
          </w:p>
          <w:p w14:paraId="181FD10D" w14:textId="77777777" w:rsidR="00717512" w:rsidRDefault="00717512" w:rsidP="00717512">
            <w:pPr>
              <w:numPr>
                <w:ilvl w:val="0"/>
                <w:numId w:val="16"/>
              </w:numPr>
              <w:rPr>
                <w:rFonts w:cs="Arial"/>
                <w:szCs w:val="24"/>
              </w:rPr>
            </w:pPr>
            <w:r>
              <w:rPr>
                <w:rFonts w:cs="Arial"/>
                <w:szCs w:val="24"/>
              </w:rPr>
              <w:t>Service redesign to support innovative technologies e.g. regional perfusion.</w:t>
            </w:r>
          </w:p>
          <w:p w14:paraId="5DAB6C7B" w14:textId="77777777" w:rsidR="00263708" w:rsidRPr="00B4402B" w:rsidRDefault="00263708" w:rsidP="00263708">
            <w:pPr>
              <w:ind w:left="720"/>
              <w:rPr>
                <w:rFonts w:cs="Arial"/>
                <w:szCs w:val="24"/>
              </w:rPr>
            </w:pPr>
          </w:p>
          <w:p w14:paraId="45DD9473" w14:textId="77777777" w:rsidR="00263708" w:rsidRPr="004D51BE" w:rsidRDefault="00263708" w:rsidP="00263708">
            <w:pPr>
              <w:rPr>
                <w:rFonts w:cs="Arial"/>
                <w:b/>
                <w:szCs w:val="24"/>
              </w:rPr>
            </w:pPr>
            <w:r w:rsidRPr="004D51BE">
              <w:rPr>
                <w:rFonts w:cs="Arial"/>
                <w:b/>
                <w:szCs w:val="24"/>
              </w:rPr>
              <w:t>Change in behaviour</w:t>
            </w:r>
          </w:p>
          <w:p w14:paraId="57B89219" w14:textId="77777777" w:rsidR="00263708" w:rsidRDefault="00263708" w:rsidP="00263708">
            <w:pPr>
              <w:rPr>
                <w:rFonts w:cs="Arial"/>
                <w:szCs w:val="24"/>
              </w:rPr>
            </w:pPr>
            <w:r>
              <w:rPr>
                <w:rFonts w:cs="Arial"/>
                <w:szCs w:val="24"/>
              </w:rPr>
              <w:t xml:space="preserve">Clinical team to understand team / individual / system barriers and attitude to organ donation </w:t>
            </w:r>
          </w:p>
          <w:p w14:paraId="1C77D4B8" w14:textId="77777777" w:rsidR="00263708" w:rsidRDefault="00263708" w:rsidP="00263708">
            <w:pPr>
              <w:rPr>
                <w:rFonts w:cs="Arial"/>
                <w:szCs w:val="24"/>
              </w:rPr>
            </w:pPr>
            <w:r>
              <w:rPr>
                <w:rFonts w:cs="Arial"/>
                <w:szCs w:val="24"/>
              </w:rPr>
              <w:t>To ensure appropriate discussions with potential donors and families of donors.</w:t>
            </w:r>
          </w:p>
          <w:p w14:paraId="27ECA16F" w14:textId="77777777" w:rsidR="00263708" w:rsidRDefault="00263708" w:rsidP="00263708">
            <w:pPr>
              <w:rPr>
                <w:rFonts w:cs="Arial"/>
                <w:szCs w:val="24"/>
              </w:rPr>
            </w:pPr>
            <w:r>
              <w:rPr>
                <w:rFonts w:cs="Arial"/>
                <w:szCs w:val="24"/>
              </w:rPr>
              <w:t>Improve networks to widen the recruitment of donors and maximise timely resource use to ensure every opportunity to transplant is taken up.</w:t>
            </w:r>
          </w:p>
          <w:p w14:paraId="6496DEE7" w14:textId="77777777" w:rsidR="00263708" w:rsidRDefault="00263708" w:rsidP="00263708">
            <w:pPr>
              <w:rPr>
                <w:rFonts w:cs="Arial"/>
                <w:i/>
                <w:color w:val="FF0000"/>
                <w:szCs w:val="24"/>
              </w:rPr>
            </w:pPr>
            <w:r w:rsidRPr="00C30675">
              <w:rPr>
                <w:rFonts w:cs="Arial"/>
                <w:szCs w:val="24"/>
              </w:rPr>
              <w:t xml:space="preserve">Service and or workforce redesign to reduce decline </w:t>
            </w:r>
            <w:r>
              <w:rPr>
                <w:rFonts w:cs="Arial"/>
                <w:szCs w:val="24"/>
              </w:rPr>
              <w:t xml:space="preserve">rate </w:t>
            </w:r>
            <w:r w:rsidRPr="00C30675">
              <w:rPr>
                <w:rFonts w:cs="Arial"/>
                <w:szCs w:val="24"/>
              </w:rPr>
              <w:t>of organs</w:t>
            </w:r>
            <w:r>
              <w:rPr>
                <w:rFonts w:cs="Arial"/>
                <w:szCs w:val="24"/>
              </w:rPr>
              <w:t xml:space="preserve"> and maximise transplantation opportunities.</w:t>
            </w:r>
          </w:p>
          <w:p w14:paraId="02EB378F" w14:textId="77777777" w:rsidR="00263708" w:rsidRDefault="00263708" w:rsidP="00263708">
            <w:pPr>
              <w:rPr>
                <w:rFonts w:cs="Arial"/>
                <w:i/>
                <w:color w:val="FF0000"/>
                <w:szCs w:val="24"/>
              </w:rPr>
            </w:pPr>
          </w:p>
          <w:p w14:paraId="7F4B4D13" w14:textId="77777777" w:rsidR="00263708" w:rsidRDefault="00263708" w:rsidP="00263708">
            <w:pPr>
              <w:rPr>
                <w:rFonts w:cs="Arial"/>
                <w:b/>
                <w:szCs w:val="24"/>
              </w:rPr>
            </w:pPr>
            <w:r>
              <w:rPr>
                <w:rFonts w:cs="Arial"/>
                <w:b/>
                <w:szCs w:val="24"/>
              </w:rPr>
              <w:t>Change sought:</w:t>
            </w:r>
          </w:p>
          <w:p w14:paraId="5787FC75" w14:textId="77777777" w:rsidR="00263708" w:rsidRPr="00E66936" w:rsidRDefault="00263708" w:rsidP="00263708">
            <w:pPr>
              <w:pStyle w:val="ListParagraph"/>
              <w:numPr>
                <w:ilvl w:val="0"/>
                <w:numId w:val="18"/>
              </w:numPr>
              <w:rPr>
                <w:rFonts w:cs="Arial"/>
                <w:szCs w:val="24"/>
              </w:rPr>
            </w:pPr>
            <w:r>
              <w:rPr>
                <w:rFonts w:cs="Arial"/>
                <w:szCs w:val="24"/>
              </w:rPr>
              <w:t>To improve</w:t>
            </w:r>
            <w:r w:rsidRPr="00E66936">
              <w:rPr>
                <w:rFonts w:cs="Arial"/>
                <w:szCs w:val="24"/>
              </w:rPr>
              <w:t xml:space="preserve"> the rate of deceased donors per million population (</w:t>
            </w:r>
            <w:proofErr w:type="spellStart"/>
            <w:r w:rsidRPr="00E66936">
              <w:rPr>
                <w:rFonts w:cs="Arial"/>
                <w:szCs w:val="24"/>
              </w:rPr>
              <w:t>pmp</w:t>
            </w:r>
            <w:proofErr w:type="spellEnd"/>
            <w:r w:rsidRPr="00E66936">
              <w:rPr>
                <w:rFonts w:cs="Arial"/>
                <w:szCs w:val="24"/>
              </w:rPr>
              <w:t xml:space="preserve">) </w:t>
            </w:r>
            <w:r>
              <w:rPr>
                <w:rFonts w:cs="Arial"/>
                <w:szCs w:val="24"/>
              </w:rPr>
              <w:t xml:space="preserve">noting the national target is </w:t>
            </w:r>
            <w:r w:rsidRPr="00E66936">
              <w:rPr>
                <w:rFonts w:cs="Arial"/>
                <w:szCs w:val="24"/>
              </w:rPr>
              <w:t xml:space="preserve">26 </w:t>
            </w:r>
            <w:proofErr w:type="spellStart"/>
            <w:r w:rsidRPr="00E66936">
              <w:rPr>
                <w:rFonts w:cs="Arial"/>
                <w:szCs w:val="24"/>
              </w:rPr>
              <w:t>pmp</w:t>
            </w:r>
            <w:proofErr w:type="spellEnd"/>
            <w:r>
              <w:rPr>
                <w:rFonts w:cs="Arial"/>
                <w:szCs w:val="24"/>
              </w:rPr>
              <w:t xml:space="preserve"> by </w:t>
            </w:r>
            <w:r w:rsidRPr="009308DC">
              <w:rPr>
                <w:rFonts w:cs="Arial"/>
                <w:szCs w:val="24"/>
              </w:rPr>
              <w:t>2020.</w:t>
            </w:r>
          </w:p>
          <w:p w14:paraId="7B088408" w14:textId="77777777" w:rsidR="00263708" w:rsidRPr="00E66936" w:rsidRDefault="00263708" w:rsidP="00263708">
            <w:pPr>
              <w:pStyle w:val="ListParagraph"/>
              <w:numPr>
                <w:ilvl w:val="0"/>
                <w:numId w:val="18"/>
              </w:numPr>
              <w:rPr>
                <w:rFonts w:cs="Arial"/>
                <w:szCs w:val="24"/>
              </w:rPr>
            </w:pPr>
            <w:r>
              <w:rPr>
                <w:rFonts w:cs="Arial"/>
                <w:szCs w:val="24"/>
              </w:rPr>
              <w:t>To i</w:t>
            </w:r>
            <w:r w:rsidRPr="00E66936">
              <w:rPr>
                <w:rFonts w:cs="Arial"/>
                <w:szCs w:val="24"/>
              </w:rPr>
              <w:t xml:space="preserve">ncrease organ utilisation rate by </w:t>
            </w:r>
            <w:r>
              <w:rPr>
                <w:rFonts w:cs="Arial"/>
                <w:szCs w:val="24"/>
              </w:rPr>
              <w:t xml:space="preserve">a minimum of </w:t>
            </w:r>
            <w:r w:rsidRPr="00E66936">
              <w:rPr>
                <w:rFonts w:cs="Arial"/>
                <w:szCs w:val="24"/>
              </w:rPr>
              <w:t>5%</w:t>
            </w:r>
            <w:r>
              <w:rPr>
                <w:rFonts w:cs="Arial"/>
                <w:szCs w:val="24"/>
              </w:rPr>
              <w:t xml:space="preserve"> overall and for each organ type.</w:t>
            </w:r>
          </w:p>
          <w:p w14:paraId="1EFB65EC" w14:textId="77777777" w:rsidR="00263708" w:rsidRDefault="00263708" w:rsidP="00263708">
            <w:pPr>
              <w:pStyle w:val="ListParagraph"/>
              <w:numPr>
                <w:ilvl w:val="0"/>
                <w:numId w:val="18"/>
              </w:numPr>
              <w:rPr>
                <w:rFonts w:cs="Arial"/>
                <w:szCs w:val="24"/>
              </w:rPr>
            </w:pPr>
            <w:r>
              <w:rPr>
                <w:rFonts w:cs="Arial"/>
                <w:szCs w:val="24"/>
              </w:rPr>
              <w:t>To i</w:t>
            </w:r>
            <w:r w:rsidRPr="00E66936">
              <w:rPr>
                <w:rFonts w:cs="Arial"/>
                <w:szCs w:val="24"/>
              </w:rPr>
              <w:t>ncrease the rate of de</w:t>
            </w:r>
            <w:r>
              <w:rPr>
                <w:rFonts w:cs="Arial"/>
                <w:szCs w:val="24"/>
              </w:rPr>
              <w:t xml:space="preserve">ceased donor transplant rate noting national target is </w:t>
            </w:r>
            <w:r w:rsidRPr="00E66936">
              <w:rPr>
                <w:rFonts w:cs="Arial"/>
                <w:szCs w:val="24"/>
              </w:rPr>
              <w:t xml:space="preserve">74 </w:t>
            </w:r>
            <w:proofErr w:type="spellStart"/>
            <w:r w:rsidRPr="00E66936">
              <w:rPr>
                <w:rFonts w:cs="Arial"/>
                <w:szCs w:val="24"/>
              </w:rPr>
              <w:t>pmp</w:t>
            </w:r>
            <w:proofErr w:type="spellEnd"/>
          </w:p>
          <w:p w14:paraId="55287FA8" w14:textId="77777777" w:rsidR="00263708" w:rsidRPr="00E66936" w:rsidRDefault="00263708" w:rsidP="00263708">
            <w:pPr>
              <w:pStyle w:val="ListParagraph"/>
              <w:numPr>
                <w:ilvl w:val="0"/>
                <w:numId w:val="18"/>
              </w:numPr>
              <w:rPr>
                <w:rFonts w:cs="Arial"/>
                <w:szCs w:val="24"/>
              </w:rPr>
            </w:pPr>
            <w:r w:rsidRPr="00E66936">
              <w:rPr>
                <w:rFonts w:cs="Arial"/>
                <w:szCs w:val="24"/>
              </w:rPr>
              <w:t>Evi</w:t>
            </w:r>
            <w:r>
              <w:rPr>
                <w:rFonts w:cs="Arial"/>
                <w:szCs w:val="24"/>
              </w:rPr>
              <w:t>dence of improvement of the pathway</w:t>
            </w:r>
            <w:r w:rsidRPr="00E66936">
              <w:rPr>
                <w:rFonts w:cs="Arial"/>
                <w:szCs w:val="24"/>
              </w:rPr>
              <w:t xml:space="preserve"> in a specific organ transplant service  </w:t>
            </w:r>
          </w:p>
          <w:p w14:paraId="6A05A809" w14:textId="77777777" w:rsidR="00717512" w:rsidRDefault="00717512" w:rsidP="00717512">
            <w:pPr>
              <w:rPr>
                <w:rFonts w:eastAsiaTheme="minorEastAsia" w:cs="Arial"/>
                <w:i/>
                <w:color w:val="FF0000"/>
                <w:szCs w:val="24"/>
              </w:rPr>
            </w:pPr>
          </w:p>
          <w:p w14:paraId="2242FB7D" w14:textId="77777777" w:rsidR="00263708" w:rsidRPr="00263708" w:rsidRDefault="00263708" w:rsidP="00263708">
            <w:pPr>
              <w:pStyle w:val="ListParagraph"/>
              <w:numPr>
                <w:ilvl w:val="0"/>
                <w:numId w:val="13"/>
              </w:numPr>
              <w:rPr>
                <w:rFonts w:cs="Arial"/>
                <w:b/>
                <w:szCs w:val="24"/>
                <w:u w:val="single"/>
              </w:rPr>
            </w:pPr>
            <w:r w:rsidRPr="00263708">
              <w:rPr>
                <w:rFonts w:cs="Arial"/>
                <w:b/>
                <w:szCs w:val="24"/>
                <w:u w:val="single"/>
              </w:rPr>
              <w:t>To reduce the work up time for the live donor pathway to promote transplant rates.</w:t>
            </w:r>
          </w:p>
          <w:p w14:paraId="62DCB6DF" w14:textId="77777777" w:rsidR="00717512" w:rsidRPr="00022F2F" w:rsidRDefault="00717512" w:rsidP="00717512">
            <w:pPr>
              <w:rPr>
                <w:rFonts w:eastAsiaTheme="minorEastAsia" w:cs="Arial"/>
                <w:b/>
                <w:szCs w:val="24"/>
              </w:rPr>
            </w:pPr>
            <w:r w:rsidRPr="00022F2F">
              <w:rPr>
                <w:rFonts w:eastAsiaTheme="minorEastAsia" w:cs="Arial"/>
                <w:b/>
                <w:szCs w:val="24"/>
              </w:rPr>
              <w:t>Living Donor</w:t>
            </w:r>
          </w:p>
          <w:p w14:paraId="52EA6DC8" w14:textId="77777777" w:rsidR="00717512" w:rsidRDefault="00717512" w:rsidP="00717512">
            <w:pPr>
              <w:rPr>
                <w:rFonts w:cs="Arial"/>
                <w:szCs w:val="24"/>
              </w:rPr>
            </w:pPr>
            <w:r>
              <w:rPr>
                <w:rFonts w:cs="Arial"/>
                <w:szCs w:val="24"/>
              </w:rPr>
              <w:t>Each centre and referring unit will have to undertake one or more of the following:</w:t>
            </w:r>
          </w:p>
          <w:p w14:paraId="4DA1C922" w14:textId="77777777" w:rsidR="00717512" w:rsidRDefault="00717512" w:rsidP="00717512">
            <w:pPr>
              <w:numPr>
                <w:ilvl w:val="0"/>
                <w:numId w:val="16"/>
              </w:numPr>
              <w:rPr>
                <w:rFonts w:cs="Arial"/>
                <w:szCs w:val="24"/>
              </w:rPr>
            </w:pPr>
            <w:r>
              <w:rPr>
                <w:rFonts w:cs="Arial"/>
                <w:szCs w:val="24"/>
              </w:rPr>
              <w:t>Determining cultural barriers to families releasing organs for transplant from living relatives.</w:t>
            </w:r>
          </w:p>
          <w:p w14:paraId="12AC2273" w14:textId="77777777" w:rsidR="00717512" w:rsidRPr="000877A4" w:rsidRDefault="00717512" w:rsidP="00717512">
            <w:pPr>
              <w:numPr>
                <w:ilvl w:val="0"/>
                <w:numId w:val="16"/>
              </w:numPr>
              <w:rPr>
                <w:rFonts w:cs="Arial"/>
                <w:szCs w:val="24"/>
              </w:rPr>
            </w:pPr>
            <w:r>
              <w:rPr>
                <w:rFonts w:cs="Arial"/>
                <w:szCs w:val="24"/>
              </w:rPr>
              <w:t>Team culture to supporting LKD</w:t>
            </w:r>
          </w:p>
          <w:p w14:paraId="3C3C679E" w14:textId="77777777" w:rsidR="00717512" w:rsidRDefault="00717512" w:rsidP="00717512">
            <w:pPr>
              <w:numPr>
                <w:ilvl w:val="0"/>
                <w:numId w:val="16"/>
              </w:numPr>
              <w:rPr>
                <w:rFonts w:cs="Arial"/>
                <w:szCs w:val="24"/>
              </w:rPr>
            </w:pPr>
            <w:r>
              <w:rPr>
                <w:rFonts w:cs="Arial"/>
                <w:szCs w:val="24"/>
              </w:rPr>
              <w:t>Service redesign to reduce decline of organs and increase living donor rates.</w:t>
            </w:r>
          </w:p>
          <w:p w14:paraId="302BA5E9" w14:textId="77777777" w:rsidR="00717512" w:rsidRDefault="00717512" w:rsidP="00717512">
            <w:pPr>
              <w:numPr>
                <w:ilvl w:val="0"/>
                <w:numId w:val="16"/>
              </w:numPr>
              <w:rPr>
                <w:rFonts w:cs="Arial"/>
                <w:szCs w:val="24"/>
              </w:rPr>
            </w:pPr>
            <w:r>
              <w:rPr>
                <w:rFonts w:cs="Arial"/>
                <w:szCs w:val="24"/>
              </w:rPr>
              <w:t>Analysis of pre-emptive and LKD rates</w:t>
            </w:r>
          </w:p>
          <w:p w14:paraId="04E584BA" w14:textId="77777777" w:rsidR="00717512" w:rsidRDefault="00717512" w:rsidP="00717512">
            <w:pPr>
              <w:numPr>
                <w:ilvl w:val="0"/>
                <w:numId w:val="16"/>
              </w:numPr>
              <w:rPr>
                <w:rFonts w:cs="Arial"/>
                <w:szCs w:val="24"/>
              </w:rPr>
            </w:pPr>
            <w:r>
              <w:rPr>
                <w:rFonts w:cs="Arial"/>
                <w:szCs w:val="24"/>
              </w:rPr>
              <w:t xml:space="preserve">Mapping, dissemination and Improvement of </w:t>
            </w:r>
            <w:r w:rsidRPr="00AE562D">
              <w:rPr>
                <w:rFonts w:cs="Arial"/>
                <w:szCs w:val="24"/>
              </w:rPr>
              <w:t xml:space="preserve">local </w:t>
            </w:r>
            <w:r>
              <w:rPr>
                <w:rFonts w:cs="Arial"/>
                <w:szCs w:val="24"/>
              </w:rPr>
              <w:t xml:space="preserve">LKD referral </w:t>
            </w:r>
            <w:r w:rsidRPr="00AE562D">
              <w:rPr>
                <w:rFonts w:cs="Arial"/>
                <w:szCs w:val="24"/>
              </w:rPr>
              <w:t>pathway</w:t>
            </w:r>
            <w:r>
              <w:rPr>
                <w:rFonts w:cs="Arial"/>
                <w:szCs w:val="24"/>
              </w:rPr>
              <w:t>s.</w:t>
            </w:r>
            <w:r w:rsidRPr="00AE562D">
              <w:rPr>
                <w:rFonts w:cs="Arial"/>
                <w:szCs w:val="24"/>
              </w:rPr>
              <w:t xml:space="preserve"> </w:t>
            </w:r>
          </w:p>
          <w:p w14:paraId="729481BB" w14:textId="77777777" w:rsidR="00717512" w:rsidRPr="00AE562D" w:rsidRDefault="00717512" w:rsidP="00717512">
            <w:pPr>
              <w:numPr>
                <w:ilvl w:val="0"/>
                <w:numId w:val="16"/>
              </w:numPr>
              <w:rPr>
                <w:rFonts w:cs="Arial"/>
                <w:szCs w:val="24"/>
              </w:rPr>
            </w:pPr>
            <w:r w:rsidRPr="00AE562D">
              <w:rPr>
                <w:rFonts w:cs="Arial"/>
                <w:szCs w:val="24"/>
              </w:rPr>
              <w:t>Recording of activity using mandated HRGs</w:t>
            </w:r>
          </w:p>
          <w:p w14:paraId="50D2AB31" w14:textId="77777777" w:rsidR="00717512" w:rsidRPr="009626CF" w:rsidRDefault="00717512" w:rsidP="00717512">
            <w:pPr>
              <w:numPr>
                <w:ilvl w:val="0"/>
                <w:numId w:val="16"/>
              </w:numPr>
              <w:rPr>
                <w:rFonts w:cs="Arial"/>
                <w:szCs w:val="24"/>
              </w:rPr>
            </w:pPr>
            <w:r w:rsidRPr="00AE562D">
              <w:rPr>
                <w:rFonts w:cs="Arial"/>
                <w:szCs w:val="24"/>
              </w:rPr>
              <w:t>Development of action plans</w:t>
            </w:r>
            <w:r>
              <w:rPr>
                <w:rFonts w:cs="Arial"/>
                <w:szCs w:val="24"/>
              </w:rPr>
              <w:t>.</w:t>
            </w:r>
          </w:p>
          <w:p w14:paraId="27527288" w14:textId="77777777" w:rsidR="00717512" w:rsidRPr="00AE562D" w:rsidRDefault="00717512" w:rsidP="00717512">
            <w:pPr>
              <w:numPr>
                <w:ilvl w:val="0"/>
                <w:numId w:val="16"/>
              </w:numPr>
              <w:rPr>
                <w:rFonts w:cs="Arial"/>
                <w:szCs w:val="24"/>
              </w:rPr>
            </w:pPr>
            <w:r w:rsidRPr="00AE562D">
              <w:rPr>
                <w:rFonts w:cs="Arial"/>
                <w:szCs w:val="24"/>
              </w:rPr>
              <w:t>Monitoring of wait</w:t>
            </w:r>
            <w:r>
              <w:rPr>
                <w:rFonts w:cs="Arial"/>
                <w:szCs w:val="24"/>
              </w:rPr>
              <w:t>ing</w:t>
            </w:r>
            <w:r w:rsidRPr="00AE562D">
              <w:rPr>
                <w:rFonts w:cs="Arial"/>
                <w:szCs w:val="24"/>
              </w:rPr>
              <w:t xml:space="preserve"> times</w:t>
            </w:r>
            <w:r>
              <w:rPr>
                <w:rFonts w:cs="Arial"/>
                <w:szCs w:val="24"/>
              </w:rPr>
              <w:t>.</w:t>
            </w:r>
            <w:r w:rsidRPr="00AE562D">
              <w:rPr>
                <w:rFonts w:cs="Arial"/>
                <w:szCs w:val="24"/>
              </w:rPr>
              <w:t xml:space="preserve"> </w:t>
            </w:r>
          </w:p>
          <w:p w14:paraId="6A9651D1" w14:textId="77777777" w:rsidR="00717512" w:rsidRPr="009626CF" w:rsidRDefault="00717512" w:rsidP="00717512">
            <w:pPr>
              <w:numPr>
                <w:ilvl w:val="0"/>
                <w:numId w:val="16"/>
              </w:numPr>
              <w:rPr>
                <w:rFonts w:cs="Arial"/>
                <w:szCs w:val="24"/>
              </w:rPr>
            </w:pPr>
            <w:r w:rsidRPr="00AE562D">
              <w:rPr>
                <w:rFonts w:cs="Arial"/>
                <w:szCs w:val="24"/>
              </w:rPr>
              <w:t>Measuring donor and recipient experience</w:t>
            </w:r>
            <w:r>
              <w:rPr>
                <w:rFonts w:cs="Arial"/>
                <w:szCs w:val="24"/>
              </w:rPr>
              <w:t xml:space="preserve"> of the donor pathway.</w:t>
            </w:r>
          </w:p>
          <w:p w14:paraId="2645DF2B" w14:textId="77777777" w:rsidR="00263708" w:rsidRDefault="00263708" w:rsidP="00263708">
            <w:pPr>
              <w:rPr>
                <w:rFonts w:cs="Arial"/>
                <w:b/>
                <w:szCs w:val="24"/>
              </w:rPr>
            </w:pPr>
            <w:r w:rsidRPr="009308DC">
              <w:rPr>
                <w:rFonts w:cs="Arial"/>
                <w:b/>
                <w:szCs w:val="24"/>
              </w:rPr>
              <w:t>Live Kidney Donation</w:t>
            </w:r>
          </w:p>
          <w:p w14:paraId="1C44602C" w14:textId="77777777" w:rsidR="00263708" w:rsidRDefault="00263708" w:rsidP="00263708">
            <w:pPr>
              <w:rPr>
                <w:rFonts w:cs="Arial"/>
                <w:b/>
                <w:szCs w:val="24"/>
              </w:rPr>
            </w:pPr>
            <w:r>
              <w:rPr>
                <w:rFonts w:cs="Arial"/>
                <w:b/>
                <w:szCs w:val="24"/>
              </w:rPr>
              <w:t>Change sought:</w:t>
            </w:r>
          </w:p>
          <w:p w14:paraId="6D508433" w14:textId="77777777" w:rsidR="00263708" w:rsidRDefault="00263708" w:rsidP="00263708">
            <w:pPr>
              <w:pStyle w:val="ListParagraph"/>
              <w:numPr>
                <w:ilvl w:val="0"/>
                <w:numId w:val="18"/>
              </w:numPr>
              <w:rPr>
                <w:rFonts w:cs="Arial"/>
                <w:szCs w:val="24"/>
              </w:rPr>
            </w:pPr>
            <w:r>
              <w:rPr>
                <w:rFonts w:cs="Arial"/>
                <w:szCs w:val="24"/>
              </w:rPr>
              <w:t xml:space="preserve">Improve the number of LK Donors, noting the national target rate is </w:t>
            </w:r>
            <w:r w:rsidRPr="00E66936">
              <w:rPr>
                <w:rFonts w:cs="Arial"/>
                <w:szCs w:val="24"/>
              </w:rPr>
              <w:t xml:space="preserve">26 </w:t>
            </w:r>
            <w:proofErr w:type="spellStart"/>
            <w:r w:rsidRPr="00E66936">
              <w:rPr>
                <w:rFonts w:cs="Arial"/>
                <w:szCs w:val="24"/>
              </w:rPr>
              <w:t>pmp</w:t>
            </w:r>
            <w:proofErr w:type="spellEnd"/>
            <w:r>
              <w:rPr>
                <w:rFonts w:cs="Arial"/>
                <w:szCs w:val="24"/>
              </w:rPr>
              <w:t xml:space="preserve"> by </w:t>
            </w:r>
            <w:r w:rsidRPr="009308DC">
              <w:rPr>
                <w:rFonts w:cs="Arial"/>
                <w:szCs w:val="24"/>
              </w:rPr>
              <w:t>2020.</w:t>
            </w:r>
          </w:p>
          <w:p w14:paraId="05DA0422" w14:textId="77777777" w:rsidR="00263708" w:rsidRPr="00E66936" w:rsidRDefault="00263708" w:rsidP="00263708">
            <w:pPr>
              <w:pStyle w:val="ListParagraph"/>
              <w:numPr>
                <w:ilvl w:val="0"/>
                <w:numId w:val="18"/>
              </w:numPr>
              <w:rPr>
                <w:rFonts w:cs="Arial"/>
                <w:szCs w:val="24"/>
              </w:rPr>
            </w:pPr>
            <w:r>
              <w:rPr>
                <w:rFonts w:cs="Arial"/>
                <w:szCs w:val="24"/>
              </w:rPr>
              <w:t>Reduce the work up time for LKD</w:t>
            </w:r>
          </w:p>
          <w:p w14:paraId="4BE23164" w14:textId="77777777" w:rsidR="00263708" w:rsidRPr="009308DC" w:rsidRDefault="00263708" w:rsidP="00263708">
            <w:pPr>
              <w:pStyle w:val="ListParagraph"/>
              <w:numPr>
                <w:ilvl w:val="0"/>
                <w:numId w:val="18"/>
              </w:numPr>
              <w:rPr>
                <w:rFonts w:cs="Arial"/>
                <w:szCs w:val="24"/>
              </w:rPr>
            </w:pPr>
            <w:r>
              <w:rPr>
                <w:rFonts w:cs="Arial"/>
                <w:szCs w:val="24"/>
              </w:rPr>
              <w:t>Increase the % done pre-emptively</w:t>
            </w:r>
          </w:p>
          <w:p w14:paraId="3388FA24" w14:textId="77777777" w:rsidR="00263708" w:rsidRDefault="00263708" w:rsidP="00263708">
            <w:pPr>
              <w:pStyle w:val="ListParagraph"/>
              <w:numPr>
                <w:ilvl w:val="0"/>
                <w:numId w:val="18"/>
              </w:numPr>
              <w:rPr>
                <w:rFonts w:cs="Arial"/>
                <w:szCs w:val="24"/>
              </w:rPr>
            </w:pPr>
            <w:r w:rsidRPr="00E66936">
              <w:rPr>
                <w:rFonts w:cs="Arial"/>
                <w:szCs w:val="24"/>
              </w:rPr>
              <w:t>Evi</w:t>
            </w:r>
            <w:r>
              <w:rPr>
                <w:rFonts w:cs="Arial"/>
                <w:szCs w:val="24"/>
              </w:rPr>
              <w:t>dence of improvement of the pathway</w:t>
            </w:r>
            <w:r w:rsidRPr="00E66936">
              <w:rPr>
                <w:rFonts w:cs="Arial"/>
                <w:szCs w:val="24"/>
              </w:rPr>
              <w:t xml:space="preserve"> in a specific organ transplant service  </w:t>
            </w:r>
          </w:p>
          <w:p w14:paraId="12356EAD" w14:textId="77777777" w:rsidR="00263708" w:rsidRPr="00E66936" w:rsidRDefault="00263708" w:rsidP="00263708">
            <w:pPr>
              <w:pStyle w:val="ListParagraph"/>
              <w:numPr>
                <w:ilvl w:val="0"/>
                <w:numId w:val="18"/>
              </w:numPr>
              <w:rPr>
                <w:rFonts w:cs="Arial"/>
                <w:szCs w:val="24"/>
              </w:rPr>
            </w:pPr>
            <w:r>
              <w:rPr>
                <w:rFonts w:cs="Arial"/>
                <w:szCs w:val="24"/>
              </w:rPr>
              <w:lastRenderedPageBreak/>
              <w:t>Evidence of improved LKD donor / patient experience of the donor pathway</w:t>
            </w:r>
          </w:p>
          <w:p w14:paraId="5A39BBE3" w14:textId="77777777" w:rsidR="00263708" w:rsidRPr="00400EED" w:rsidRDefault="00263708" w:rsidP="00263708">
            <w:pPr>
              <w:rPr>
                <w:rFonts w:cs="Arial"/>
                <w:szCs w:val="24"/>
              </w:rPr>
            </w:pPr>
          </w:p>
          <w:p w14:paraId="41C8F396" w14:textId="77777777" w:rsidR="00717512" w:rsidRPr="00717512" w:rsidRDefault="00717512" w:rsidP="00263708">
            <w:pPr>
              <w:rPr>
                <w:rFonts w:cs="Arial"/>
                <w:szCs w:val="24"/>
              </w:rPr>
            </w:pPr>
          </w:p>
        </w:tc>
      </w:tr>
      <w:tr w:rsidR="00822294" w:rsidRPr="000412A1" w14:paraId="48762D3B" w14:textId="77777777" w:rsidTr="1A7183F4">
        <w:trPr>
          <w:gridAfter w:val="1"/>
          <w:wAfter w:w="70" w:type="pct"/>
        </w:trPr>
        <w:tc>
          <w:tcPr>
            <w:tcW w:w="4930" w:type="pct"/>
            <w:gridSpan w:val="3"/>
            <w:shd w:val="clear" w:color="auto" w:fill="FFC000"/>
          </w:tcPr>
          <w:p w14:paraId="3CFD8F12" w14:textId="77777777" w:rsidR="00822294" w:rsidRPr="00C042DA" w:rsidRDefault="00822294" w:rsidP="00F506AC">
            <w:pPr>
              <w:pStyle w:val="ListParagraph"/>
              <w:numPr>
                <w:ilvl w:val="0"/>
                <w:numId w:val="9"/>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397B3698" w14:textId="77777777" w:rsidTr="1A7183F4">
        <w:trPr>
          <w:gridAfter w:val="1"/>
          <w:wAfter w:w="70" w:type="pct"/>
        </w:trPr>
        <w:tc>
          <w:tcPr>
            <w:tcW w:w="1202" w:type="pct"/>
            <w:shd w:val="clear" w:color="auto" w:fill="D9D9D9" w:themeFill="background1" w:themeFillShade="D9"/>
          </w:tcPr>
          <w:p w14:paraId="5FFCF1F1" w14:textId="77777777" w:rsidR="004B2DC0" w:rsidRDefault="00970BD6" w:rsidP="00E81AE2">
            <w:pPr>
              <w:rPr>
                <w:rFonts w:cs="Arial"/>
                <w:szCs w:val="24"/>
              </w:rPr>
            </w:pPr>
            <w:r w:rsidRPr="00D95C75">
              <w:rPr>
                <w:rFonts w:cs="Arial"/>
                <w:b/>
                <w:szCs w:val="24"/>
                <w:u w:val="single"/>
              </w:rPr>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29" w:type="pct"/>
            <w:gridSpan w:val="2"/>
            <w:shd w:val="clear" w:color="auto" w:fill="FFFF00"/>
          </w:tcPr>
          <w:p w14:paraId="2548438C"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Insert name of provider</w:t>
            </w:r>
            <w:r w:rsidRPr="004E377A">
              <w:rPr>
                <w:rFonts w:cs="Arial"/>
                <w:i/>
                <w:color w:val="FF0000"/>
                <w:szCs w:val="24"/>
              </w:rPr>
              <w:t>]</w:t>
            </w:r>
          </w:p>
        </w:tc>
      </w:tr>
      <w:tr w:rsidR="001350E0" w:rsidRPr="000412A1" w14:paraId="48330015" w14:textId="77777777" w:rsidTr="1A7183F4">
        <w:trPr>
          <w:gridAfter w:val="1"/>
          <w:wAfter w:w="70" w:type="pct"/>
        </w:trPr>
        <w:tc>
          <w:tcPr>
            <w:tcW w:w="1202" w:type="pct"/>
            <w:shd w:val="clear" w:color="auto" w:fill="D9D9D9" w:themeFill="background1" w:themeFillShade="D9"/>
          </w:tcPr>
          <w:p w14:paraId="07B24F5A"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5A181024"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14:paraId="72A3D3EC" w14:textId="77777777" w:rsidR="001350E0" w:rsidRPr="00D95C75" w:rsidRDefault="001350E0" w:rsidP="00F506AC">
            <w:pPr>
              <w:rPr>
                <w:rFonts w:cs="Arial"/>
                <w:b/>
                <w:szCs w:val="24"/>
                <w:u w:val="single"/>
              </w:rPr>
            </w:pPr>
          </w:p>
        </w:tc>
        <w:tc>
          <w:tcPr>
            <w:tcW w:w="3729" w:type="pct"/>
            <w:gridSpan w:val="2"/>
            <w:shd w:val="clear" w:color="auto" w:fill="FFFF00"/>
          </w:tcPr>
          <w:p w14:paraId="6C54D29B" w14:textId="77777777" w:rsidR="001350E0" w:rsidRDefault="00822294" w:rsidP="00822294">
            <w:pPr>
              <w:rPr>
                <w:rFonts w:cs="Arial"/>
                <w:i/>
                <w:color w:val="FF0000"/>
                <w:szCs w:val="24"/>
              </w:rPr>
            </w:pPr>
            <w:r>
              <w:rPr>
                <w:rFonts w:cs="Arial"/>
                <w:szCs w:val="24"/>
              </w:rPr>
              <w:t>201</w:t>
            </w:r>
            <w:r w:rsidR="00F506AC">
              <w:rPr>
                <w:rFonts w:cs="Arial"/>
                <w:szCs w:val="24"/>
              </w:rPr>
              <w:t>9/20 2020/21</w:t>
            </w:r>
            <w:r w:rsidR="00B339F9">
              <w:rPr>
                <w:rFonts w:cs="Arial"/>
                <w:szCs w:val="24"/>
              </w:rPr>
              <w:t xml:space="preserve"> 2021/22</w:t>
            </w:r>
            <w:r w:rsidR="001350E0">
              <w:rPr>
                <w:rFonts w:cs="Arial"/>
                <w:szCs w:val="24"/>
              </w:rPr>
              <w:t xml:space="preserve"> </w:t>
            </w:r>
            <w:r w:rsidR="004063F1">
              <w:rPr>
                <w:rFonts w:cs="Arial"/>
                <w:i/>
                <w:szCs w:val="24"/>
              </w:rPr>
              <w:t>[</w:t>
            </w:r>
            <w:r w:rsidR="001350E0" w:rsidRPr="001350E0">
              <w:rPr>
                <w:rFonts w:cs="Arial"/>
                <w:i/>
                <w:color w:val="FF0000"/>
                <w:szCs w:val="24"/>
              </w:rPr>
              <w:t>Adjust locally</w:t>
            </w:r>
            <w:r w:rsidR="001350E0">
              <w:rPr>
                <w:rFonts w:cs="Arial"/>
                <w:i/>
                <w:color w:val="FF0000"/>
                <w:szCs w:val="24"/>
              </w:rPr>
              <w:t>]</w:t>
            </w:r>
          </w:p>
          <w:p w14:paraId="6F3C41AF" w14:textId="77777777" w:rsidR="00970BD6" w:rsidRDefault="00970BD6" w:rsidP="00822294">
            <w:pPr>
              <w:rPr>
                <w:rFonts w:cs="Arial"/>
                <w:i/>
                <w:color w:val="FF0000"/>
                <w:szCs w:val="24"/>
              </w:rPr>
            </w:pPr>
            <w:r w:rsidRPr="00970BD6">
              <w:rPr>
                <w:rFonts w:cs="Arial"/>
                <w:szCs w:val="24"/>
              </w:rPr>
              <w:t>One/two</w:t>
            </w:r>
            <w:r w:rsidR="00FC53F2">
              <w:rPr>
                <w:rFonts w:cs="Arial"/>
                <w:szCs w:val="24"/>
              </w:rPr>
              <w:t>/three</w:t>
            </w:r>
            <w:r w:rsidRPr="00970BD6">
              <w:rPr>
                <w:rFonts w:cs="Arial"/>
                <w:i/>
                <w:szCs w:val="24"/>
              </w:rPr>
              <w:t xml:space="preserve"> </w:t>
            </w:r>
            <w:r w:rsidR="00D95C75" w:rsidRPr="00D95C75">
              <w:rPr>
                <w:rFonts w:cs="Arial"/>
                <w:szCs w:val="24"/>
              </w:rPr>
              <w:t>years</w:t>
            </w:r>
            <w:r>
              <w:rPr>
                <w:rFonts w:cs="Arial"/>
                <w:i/>
                <w:color w:val="FF0000"/>
                <w:szCs w:val="24"/>
              </w:rPr>
              <w:t xml:space="preserve"> </w:t>
            </w:r>
            <w:r w:rsidR="004063F1">
              <w:rPr>
                <w:rFonts w:cs="Arial"/>
                <w:i/>
                <w:color w:val="FF0000"/>
                <w:szCs w:val="24"/>
              </w:rPr>
              <w:t>[</w:t>
            </w:r>
            <w:r>
              <w:rPr>
                <w:rFonts w:cs="Arial"/>
                <w:i/>
                <w:color w:val="FF0000"/>
                <w:szCs w:val="24"/>
              </w:rPr>
              <w:t>Adjust locally</w:t>
            </w:r>
            <w:r w:rsidR="004063F1">
              <w:rPr>
                <w:rFonts w:cs="Arial"/>
                <w:i/>
                <w:color w:val="FF0000"/>
                <w:szCs w:val="24"/>
              </w:rPr>
              <w:t>]</w:t>
            </w:r>
          </w:p>
          <w:p w14:paraId="0D0B940D" w14:textId="77777777" w:rsidR="00C00C64" w:rsidRDefault="00C00C64" w:rsidP="00822294">
            <w:pPr>
              <w:rPr>
                <w:rFonts w:cs="Arial"/>
                <w:i/>
                <w:color w:val="FF0000"/>
                <w:szCs w:val="24"/>
              </w:rPr>
            </w:pPr>
          </w:p>
          <w:p w14:paraId="0E27B00A" w14:textId="77777777" w:rsidR="00C00C64" w:rsidRPr="000412A1" w:rsidRDefault="00C00C64" w:rsidP="00822294">
            <w:pPr>
              <w:rPr>
                <w:rFonts w:cs="Arial"/>
                <w:szCs w:val="24"/>
              </w:rPr>
            </w:pPr>
          </w:p>
        </w:tc>
      </w:tr>
      <w:tr w:rsidR="00154269" w:rsidRPr="000412A1" w14:paraId="15673F95" w14:textId="77777777" w:rsidTr="1A7183F4">
        <w:trPr>
          <w:gridAfter w:val="1"/>
          <w:wAfter w:w="70" w:type="pct"/>
        </w:trPr>
        <w:tc>
          <w:tcPr>
            <w:tcW w:w="1202" w:type="pct"/>
            <w:shd w:val="clear" w:color="auto" w:fill="D9D9D9" w:themeFill="background1" w:themeFillShade="D9"/>
          </w:tcPr>
          <w:p w14:paraId="4BE5EEBD"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29" w:type="pct"/>
            <w:gridSpan w:val="2"/>
            <w:shd w:val="clear" w:color="auto" w:fill="FFFF00"/>
          </w:tcPr>
          <w:p w14:paraId="5C5BC3C9" w14:textId="77777777" w:rsidR="00CA40CD" w:rsidRDefault="00CA40CD" w:rsidP="0084461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1171BB9A" w14:textId="77777777" w:rsidR="00154269" w:rsidRPr="000412A1" w:rsidRDefault="00154269" w:rsidP="0084461B">
            <w:pPr>
              <w:keepNext/>
              <w:rPr>
                <w:rFonts w:cs="Arial"/>
                <w:color w:val="000000"/>
                <w:szCs w:val="24"/>
              </w:rPr>
            </w:pPr>
            <w:r w:rsidRPr="000412A1">
              <w:rPr>
                <w:rFonts w:cs="Arial"/>
                <w:color w:val="000000"/>
                <w:szCs w:val="24"/>
              </w:rPr>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r w:rsidR="003759F0" w:rsidRPr="003759F0">
              <w:rPr>
                <w:rFonts w:cs="Arial"/>
                <w:i/>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14:paraId="60061E4C" w14:textId="77777777" w:rsidR="000E33C9" w:rsidRPr="00EE0EE9" w:rsidRDefault="000E33C9" w:rsidP="003759F0">
            <w:pPr>
              <w:keepNext/>
              <w:rPr>
                <w:rFonts w:cs="Arial"/>
                <w:color w:val="FF0000"/>
                <w:szCs w:val="24"/>
              </w:rPr>
            </w:pPr>
          </w:p>
        </w:tc>
      </w:tr>
      <w:tr w:rsidR="00D54163" w:rsidRPr="000412A1" w14:paraId="3E6AD860" w14:textId="77777777" w:rsidTr="1A7183F4">
        <w:trPr>
          <w:gridAfter w:val="1"/>
          <w:wAfter w:w="70" w:type="pct"/>
        </w:trPr>
        <w:tc>
          <w:tcPr>
            <w:tcW w:w="4930" w:type="pct"/>
            <w:gridSpan w:val="3"/>
            <w:shd w:val="clear" w:color="auto" w:fill="FFFF00"/>
          </w:tcPr>
          <w:p w14:paraId="4DA20E46" w14:textId="77777777" w:rsidR="00D54163" w:rsidRPr="00D95C75" w:rsidRDefault="00D54163" w:rsidP="0084461B">
            <w:pPr>
              <w:rPr>
                <w:rFonts w:cs="Arial"/>
                <w:b/>
                <w:szCs w:val="24"/>
                <w:u w:val="single"/>
              </w:rPr>
            </w:pPr>
            <w:r w:rsidRPr="00D95C75">
              <w:rPr>
                <w:rFonts w:cs="Arial"/>
                <w:b/>
                <w:szCs w:val="24"/>
                <w:u w:val="single"/>
              </w:rPr>
              <w:t>B4. Payment Triggers.</w:t>
            </w:r>
          </w:p>
          <w:p w14:paraId="761D3987"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44EAFD9C" w14:textId="77777777" w:rsidR="00EC3C9D" w:rsidRDefault="00EC3C9D" w:rsidP="0084461B">
            <w:pPr>
              <w:rPr>
                <w:rFonts w:cs="Arial"/>
                <w:szCs w:val="24"/>
              </w:rPr>
            </w:pPr>
          </w:p>
          <w:p w14:paraId="67E6AD71"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4B94D5A5" w14:textId="77777777" w:rsidR="00EC3C9D" w:rsidRDefault="00EC3C9D" w:rsidP="0084461B">
            <w:pPr>
              <w:rPr>
                <w:rFonts w:cs="Arial"/>
                <w:szCs w:val="24"/>
              </w:rPr>
            </w:pPr>
          </w:p>
          <w:p w14:paraId="29D43A67"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679"/>
              <w:gridCol w:w="2722"/>
              <w:gridCol w:w="2361"/>
            </w:tblGrid>
            <w:tr w:rsidR="00263708" w:rsidRPr="00C0263E" w14:paraId="169762E9" w14:textId="77777777" w:rsidTr="00263708">
              <w:tc>
                <w:tcPr>
                  <w:tcW w:w="1421" w:type="dxa"/>
                  <w:tcBorders>
                    <w:top w:val="single" w:sz="4" w:space="0" w:color="auto"/>
                    <w:left w:val="single" w:sz="4" w:space="0" w:color="auto"/>
                    <w:bottom w:val="single" w:sz="4" w:space="0" w:color="auto"/>
                    <w:right w:val="single" w:sz="4" w:space="0" w:color="auto"/>
                  </w:tcBorders>
                  <w:shd w:val="clear" w:color="auto" w:fill="F2F2F2"/>
                </w:tcPr>
                <w:p w14:paraId="0601D7FD" w14:textId="77777777" w:rsidR="00263708" w:rsidRPr="00C0263E" w:rsidRDefault="00263708" w:rsidP="0084461B">
                  <w:pPr>
                    <w:spacing w:before="40" w:after="40"/>
                    <w:rPr>
                      <w:rFonts w:cs="Arial"/>
                      <w:b/>
                      <w:szCs w:val="24"/>
                    </w:rPr>
                  </w:pPr>
                  <w:r>
                    <w:rPr>
                      <w:rFonts w:cs="Arial"/>
                      <w:b/>
                      <w:szCs w:val="24"/>
                    </w:rPr>
                    <w:t>Provider specific triggers</w:t>
                  </w:r>
                </w:p>
              </w:tc>
              <w:tc>
                <w:tcPr>
                  <w:tcW w:w="26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157371" w14:textId="77777777" w:rsidR="00263708" w:rsidRPr="00EC3C9D" w:rsidRDefault="00263708" w:rsidP="00F506AC">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c>
                <w:tcPr>
                  <w:tcW w:w="272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FCFD17" w14:textId="77777777" w:rsidR="00263708" w:rsidRPr="00EC3C9D" w:rsidRDefault="00263708" w:rsidP="00F506AC">
                  <w:pPr>
                    <w:spacing w:before="40" w:after="40"/>
                    <w:rPr>
                      <w:rFonts w:cs="Arial"/>
                      <w:b/>
                      <w:szCs w:val="24"/>
                    </w:rPr>
                  </w:pPr>
                  <w:r w:rsidRPr="00EC3C9D">
                    <w:rPr>
                      <w:rFonts w:cs="Arial"/>
                      <w:b/>
                      <w:szCs w:val="24"/>
                    </w:rPr>
                    <w:t>20</w:t>
                  </w:r>
                  <w:r>
                    <w:rPr>
                      <w:rFonts w:cs="Arial"/>
                      <w:b/>
                      <w:szCs w:val="24"/>
                    </w:rPr>
                    <w:t>20</w:t>
                  </w:r>
                  <w:r w:rsidRPr="00EC3C9D">
                    <w:rPr>
                      <w:rFonts w:cs="Arial"/>
                      <w:b/>
                      <w:szCs w:val="24"/>
                    </w:rPr>
                    <w:t>/</w:t>
                  </w:r>
                  <w:r>
                    <w:rPr>
                      <w:rFonts w:cs="Arial"/>
                      <w:b/>
                      <w:szCs w:val="24"/>
                    </w:rPr>
                    <w:t>21</w:t>
                  </w:r>
                </w:p>
              </w:tc>
              <w:tc>
                <w:tcPr>
                  <w:tcW w:w="23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C8A76F" w14:textId="77777777" w:rsidR="00263708" w:rsidRPr="00EC3C9D" w:rsidRDefault="00263708" w:rsidP="00F506AC">
                  <w:pPr>
                    <w:spacing w:before="40" w:after="40"/>
                    <w:rPr>
                      <w:rFonts w:cs="Arial"/>
                      <w:b/>
                      <w:szCs w:val="24"/>
                    </w:rPr>
                  </w:pPr>
                  <w:r w:rsidRPr="00EC3C9D">
                    <w:rPr>
                      <w:rFonts w:cs="Arial"/>
                      <w:b/>
                      <w:szCs w:val="24"/>
                    </w:rPr>
                    <w:t>20</w:t>
                  </w:r>
                  <w:r>
                    <w:rPr>
                      <w:rFonts w:cs="Arial"/>
                      <w:b/>
                      <w:szCs w:val="24"/>
                    </w:rPr>
                    <w:t>21/22</w:t>
                  </w:r>
                </w:p>
              </w:tc>
            </w:tr>
            <w:tr w:rsidR="00263708" w:rsidRPr="00C0263E" w14:paraId="21B8962B" w14:textId="77777777" w:rsidTr="00263708">
              <w:tc>
                <w:tcPr>
                  <w:tcW w:w="1421" w:type="dxa"/>
                  <w:tcBorders>
                    <w:top w:val="single" w:sz="4" w:space="0" w:color="auto"/>
                    <w:left w:val="single" w:sz="4" w:space="0" w:color="auto"/>
                    <w:bottom w:val="single" w:sz="4" w:space="0" w:color="auto"/>
                    <w:right w:val="single" w:sz="4" w:space="0" w:color="auto"/>
                  </w:tcBorders>
                  <w:shd w:val="clear" w:color="auto" w:fill="F2F2F2"/>
                  <w:hideMark/>
                </w:tcPr>
                <w:p w14:paraId="49E46176" w14:textId="77777777" w:rsidR="00263708" w:rsidRDefault="00263708" w:rsidP="0084461B">
                  <w:pPr>
                    <w:spacing w:before="40" w:after="40"/>
                    <w:rPr>
                      <w:rFonts w:cs="Arial"/>
                      <w:b/>
                      <w:szCs w:val="24"/>
                    </w:rPr>
                  </w:pPr>
                  <w:r>
                    <w:rPr>
                      <w:rFonts w:cs="Arial"/>
                      <w:b/>
                      <w:szCs w:val="24"/>
                    </w:rPr>
                    <w:t>Trigger 1:</w:t>
                  </w:r>
                </w:p>
                <w:p w14:paraId="3DEEC669" w14:textId="77777777" w:rsidR="00263708" w:rsidRPr="00C0263E" w:rsidRDefault="00263708" w:rsidP="0084461B">
                  <w:pPr>
                    <w:spacing w:before="40" w:after="40"/>
                    <w:rPr>
                      <w:rFonts w:cs="Arial"/>
                      <w:b/>
                      <w:szCs w:val="24"/>
                    </w:rPr>
                  </w:pPr>
                </w:p>
              </w:tc>
              <w:tc>
                <w:tcPr>
                  <w:tcW w:w="2679" w:type="dxa"/>
                  <w:tcBorders>
                    <w:top w:val="single" w:sz="4" w:space="0" w:color="auto"/>
                    <w:left w:val="single" w:sz="4" w:space="0" w:color="auto"/>
                    <w:bottom w:val="single" w:sz="4" w:space="0" w:color="auto"/>
                    <w:right w:val="single" w:sz="4" w:space="0" w:color="auto"/>
                  </w:tcBorders>
                </w:tcPr>
                <w:p w14:paraId="3656B9AB" w14:textId="77777777" w:rsidR="00263708" w:rsidRPr="00C0263E" w:rsidRDefault="00263708" w:rsidP="005576EB">
                  <w:pPr>
                    <w:pStyle w:val="ListParagraph"/>
                    <w:rPr>
                      <w:rFonts w:cs="Arial"/>
                      <w:szCs w:val="24"/>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FB0818" w14:textId="77777777" w:rsidR="00263708" w:rsidRPr="005576EB" w:rsidRDefault="00263708" w:rsidP="00FC53F2">
                  <w:pPr>
                    <w:pStyle w:val="ListParagraph"/>
                    <w:rPr>
                      <w:rFonts w:eastAsiaTheme="minorEastAsia" w:cs="Arial"/>
                      <w:szCs w:val="24"/>
                    </w:rPr>
                  </w:pPr>
                </w:p>
              </w:tc>
              <w:tc>
                <w:tcPr>
                  <w:tcW w:w="2361" w:type="dxa"/>
                  <w:tcBorders>
                    <w:top w:val="single" w:sz="4" w:space="0" w:color="auto"/>
                    <w:left w:val="single" w:sz="4" w:space="0" w:color="auto"/>
                    <w:bottom w:val="single" w:sz="4" w:space="0" w:color="auto"/>
                    <w:right w:val="single" w:sz="4" w:space="0" w:color="auto"/>
                  </w:tcBorders>
                </w:tcPr>
                <w:p w14:paraId="049F31CB" w14:textId="77777777" w:rsidR="00263708" w:rsidRPr="005576EB" w:rsidRDefault="00263708" w:rsidP="00FC53F2">
                  <w:pPr>
                    <w:pStyle w:val="ListParagraph"/>
                    <w:rPr>
                      <w:rFonts w:eastAsiaTheme="minorEastAsia" w:cs="Arial"/>
                      <w:szCs w:val="24"/>
                    </w:rPr>
                  </w:pPr>
                </w:p>
              </w:tc>
            </w:tr>
            <w:tr w:rsidR="00263708" w:rsidRPr="00C0263E" w14:paraId="2F664633" w14:textId="77777777" w:rsidTr="00263708">
              <w:trPr>
                <w:trHeight w:val="619"/>
              </w:trPr>
              <w:tc>
                <w:tcPr>
                  <w:tcW w:w="1421" w:type="dxa"/>
                  <w:tcBorders>
                    <w:top w:val="single" w:sz="4" w:space="0" w:color="auto"/>
                    <w:left w:val="single" w:sz="4" w:space="0" w:color="auto"/>
                    <w:bottom w:val="single" w:sz="4" w:space="0" w:color="auto"/>
                    <w:right w:val="single" w:sz="4" w:space="0" w:color="auto"/>
                  </w:tcBorders>
                  <w:shd w:val="clear" w:color="auto" w:fill="F2F2F2"/>
                  <w:hideMark/>
                </w:tcPr>
                <w:p w14:paraId="5ACB7902" w14:textId="77777777" w:rsidR="00263708" w:rsidRDefault="00263708" w:rsidP="0084461B">
                  <w:pPr>
                    <w:spacing w:before="40" w:after="40"/>
                    <w:rPr>
                      <w:rFonts w:cs="Arial"/>
                      <w:b/>
                      <w:szCs w:val="24"/>
                    </w:rPr>
                  </w:pPr>
                  <w:r>
                    <w:rPr>
                      <w:rFonts w:cs="Arial"/>
                      <w:b/>
                      <w:szCs w:val="24"/>
                    </w:rPr>
                    <w:t xml:space="preserve">Trigger </w:t>
                  </w:r>
                  <w:r w:rsidR="00FC53F2">
                    <w:rPr>
                      <w:rFonts w:cs="Arial"/>
                      <w:b/>
                      <w:szCs w:val="24"/>
                    </w:rPr>
                    <w:t>2</w:t>
                  </w:r>
                  <w:r>
                    <w:rPr>
                      <w:rFonts w:cs="Arial"/>
                      <w:b/>
                      <w:szCs w:val="24"/>
                    </w:rPr>
                    <w:t>:</w:t>
                  </w:r>
                </w:p>
                <w:p w14:paraId="53128261" w14:textId="77777777" w:rsidR="00263708" w:rsidRPr="00C0263E" w:rsidRDefault="00263708" w:rsidP="0084461B">
                  <w:pPr>
                    <w:spacing w:before="40" w:after="40"/>
                    <w:rPr>
                      <w:rFonts w:cs="Arial"/>
                      <w:b/>
                      <w:szCs w:val="24"/>
                    </w:rPr>
                  </w:pPr>
                </w:p>
              </w:tc>
              <w:tc>
                <w:tcPr>
                  <w:tcW w:w="2679" w:type="dxa"/>
                  <w:tcBorders>
                    <w:top w:val="single" w:sz="4" w:space="0" w:color="auto"/>
                    <w:left w:val="single" w:sz="4" w:space="0" w:color="auto"/>
                    <w:bottom w:val="single" w:sz="4" w:space="0" w:color="auto"/>
                    <w:right w:val="single" w:sz="4" w:space="0" w:color="auto"/>
                  </w:tcBorders>
                </w:tcPr>
                <w:p w14:paraId="62486C05" w14:textId="77777777" w:rsidR="00263708" w:rsidRPr="00C0263E" w:rsidRDefault="00263708" w:rsidP="0084461B">
                  <w:pPr>
                    <w:spacing w:before="40" w:after="40"/>
                    <w:rPr>
                      <w:rFonts w:cs="Arial"/>
                      <w:szCs w:val="24"/>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263708" w:rsidRPr="00CE380E" w:rsidRDefault="00263708" w:rsidP="00FC53F2">
                  <w:pPr>
                    <w:pStyle w:val="ListParagraph"/>
                    <w:spacing w:before="40" w:after="40"/>
                    <w:rPr>
                      <w:rFonts w:cs="Arial"/>
                      <w:szCs w:val="24"/>
                    </w:rPr>
                  </w:pPr>
                </w:p>
              </w:tc>
              <w:tc>
                <w:tcPr>
                  <w:tcW w:w="2361" w:type="dxa"/>
                  <w:tcBorders>
                    <w:top w:val="single" w:sz="4" w:space="0" w:color="auto"/>
                    <w:left w:val="single" w:sz="4" w:space="0" w:color="auto"/>
                    <w:bottom w:val="single" w:sz="4" w:space="0" w:color="auto"/>
                    <w:right w:val="single" w:sz="4" w:space="0" w:color="auto"/>
                  </w:tcBorders>
                </w:tcPr>
                <w:p w14:paraId="4B99056E" w14:textId="77777777" w:rsidR="00263708" w:rsidRPr="00CE380E" w:rsidRDefault="00263708" w:rsidP="00FC53F2">
                  <w:pPr>
                    <w:pStyle w:val="ListParagraph"/>
                    <w:spacing w:before="40" w:after="40"/>
                    <w:rPr>
                      <w:rFonts w:cs="Arial"/>
                      <w:szCs w:val="24"/>
                    </w:rPr>
                  </w:pPr>
                </w:p>
              </w:tc>
            </w:tr>
            <w:tr w:rsidR="00263708" w:rsidRPr="00C0263E" w14:paraId="20E77809" w14:textId="77777777" w:rsidTr="00263708">
              <w:trPr>
                <w:trHeight w:val="619"/>
              </w:trPr>
              <w:tc>
                <w:tcPr>
                  <w:tcW w:w="1421" w:type="dxa"/>
                  <w:tcBorders>
                    <w:top w:val="single" w:sz="4" w:space="0" w:color="auto"/>
                    <w:left w:val="single" w:sz="4" w:space="0" w:color="auto"/>
                    <w:bottom w:val="single" w:sz="4" w:space="0" w:color="auto"/>
                    <w:right w:val="single" w:sz="4" w:space="0" w:color="auto"/>
                  </w:tcBorders>
                  <w:shd w:val="clear" w:color="auto" w:fill="F2F2F2"/>
                </w:tcPr>
                <w:p w14:paraId="56900592" w14:textId="77777777" w:rsidR="00263708" w:rsidRDefault="00263708" w:rsidP="0084461B">
                  <w:pPr>
                    <w:spacing w:before="40" w:after="40"/>
                    <w:rPr>
                      <w:rFonts w:cs="Arial"/>
                      <w:b/>
                      <w:szCs w:val="24"/>
                    </w:rPr>
                  </w:pPr>
                  <w:r>
                    <w:rPr>
                      <w:rFonts w:cs="Arial"/>
                      <w:b/>
                      <w:szCs w:val="24"/>
                    </w:rPr>
                    <w:t>Trigger 3</w:t>
                  </w:r>
                  <w:r w:rsidR="00FC53F2">
                    <w:rPr>
                      <w:rFonts w:cs="Arial"/>
                      <w:b/>
                      <w:szCs w:val="24"/>
                    </w:rPr>
                    <w:t>:</w:t>
                  </w:r>
                </w:p>
              </w:tc>
              <w:tc>
                <w:tcPr>
                  <w:tcW w:w="2679" w:type="dxa"/>
                  <w:tcBorders>
                    <w:top w:val="single" w:sz="4" w:space="0" w:color="auto"/>
                    <w:left w:val="single" w:sz="4" w:space="0" w:color="auto"/>
                    <w:bottom w:val="single" w:sz="4" w:space="0" w:color="auto"/>
                    <w:right w:val="single" w:sz="4" w:space="0" w:color="auto"/>
                  </w:tcBorders>
                </w:tcPr>
                <w:p w14:paraId="1299C43A" w14:textId="77777777" w:rsidR="00263708" w:rsidRPr="00C0263E" w:rsidRDefault="00263708" w:rsidP="0084461B">
                  <w:pPr>
                    <w:spacing w:before="40" w:after="40"/>
                    <w:rPr>
                      <w:rFonts w:cs="Arial"/>
                      <w:szCs w:val="24"/>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DDBEF00" w14:textId="77777777" w:rsidR="00263708" w:rsidRPr="00C0263E" w:rsidRDefault="00263708" w:rsidP="0084461B">
                  <w:pPr>
                    <w:spacing w:before="40" w:after="40"/>
                    <w:rPr>
                      <w:rFonts w:cs="Arial"/>
                      <w:szCs w:val="24"/>
                    </w:rPr>
                  </w:pPr>
                </w:p>
              </w:tc>
              <w:tc>
                <w:tcPr>
                  <w:tcW w:w="2361" w:type="dxa"/>
                  <w:tcBorders>
                    <w:top w:val="single" w:sz="4" w:space="0" w:color="auto"/>
                    <w:left w:val="single" w:sz="4" w:space="0" w:color="auto"/>
                    <w:bottom w:val="single" w:sz="4" w:space="0" w:color="auto"/>
                    <w:right w:val="single" w:sz="4" w:space="0" w:color="auto"/>
                  </w:tcBorders>
                </w:tcPr>
                <w:p w14:paraId="3461D779" w14:textId="77777777" w:rsidR="00263708" w:rsidRPr="00C0263E" w:rsidRDefault="00263708" w:rsidP="0084461B">
                  <w:pPr>
                    <w:spacing w:before="40" w:after="40"/>
                    <w:rPr>
                      <w:rFonts w:cs="Arial"/>
                      <w:szCs w:val="24"/>
                    </w:rPr>
                  </w:pPr>
                </w:p>
              </w:tc>
            </w:tr>
            <w:tr w:rsidR="00B339F9" w:rsidRPr="00C0263E" w14:paraId="32363EB3" w14:textId="77777777" w:rsidTr="00263708">
              <w:trPr>
                <w:trHeight w:val="619"/>
              </w:trPr>
              <w:tc>
                <w:tcPr>
                  <w:tcW w:w="1421" w:type="dxa"/>
                  <w:tcBorders>
                    <w:top w:val="single" w:sz="4" w:space="0" w:color="auto"/>
                    <w:left w:val="single" w:sz="4" w:space="0" w:color="auto"/>
                    <w:right w:val="single" w:sz="4" w:space="0" w:color="auto"/>
                  </w:tcBorders>
                  <w:shd w:val="clear" w:color="auto" w:fill="F2F2F2"/>
                </w:tcPr>
                <w:p w14:paraId="2F41BA3E" w14:textId="77777777" w:rsidR="00B339F9" w:rsidRDefault="00B339F9" w:rsidP="0084461B">
                  <w:pPr>
                    <w:spacing w:before="40" w:after="40"/>
                    <w:rPr>
                      <w:rFonts w:cs="Arial"/>
                      <w:b/>
                      <w:szCs w:val="24"/>
                    </w:rPr>
                  </w:pPr>
                  <w:r>
                    <w:rPr>
                      <w:rFonts w:cs="Arial"/>
                      <w:b/>
                      <w:szCs w:val="24"/>
                    </w:rPr>
                    <w:t>Trigger 4</w:t>
                  </w:r>
                  <w:r w:rsidR="00FC53F2">
                    <w:rPr>
                      <w:rFonts w:cs="Arial"/>
                      <w:b/>
                      <w:szCs w:val="24"/>
                    </w:rPr>
                    <w:t>:</w:t>
                  </w:r>
                </w:p>
              </w:tc>
              <w:tc>
                <w:tcPr>
                  <w:tcW w:w="2679" w:type="dxa"/>
                  <w:tcBorders>
                    <w:top w:val="single" w:sz="4" w:space="0" w:color="auto"/>
                    <w:left w:val="single" w:sz="4" w:space="0" w:color="auto"/>
                    <w:right w:val="single" w:sz="4" w:space="0" w:color="auto"/>
                  </w:tcBorders>
                </w:tcPr>
                <w:p w14:paraId="3CF2D8B6" w14:textId="77777777" w:rsidR="00B339F9" w:rsidRPr="004E377A" w:rsidRDefault="00B339F9" w:rsidP="003A0C63">
                  <w:pPr>
                    <w:spacing w:before="40" w:after="40"/>
                    <w:rPr>
                      <w:rFonts w:cs="Arial"/>
                      <w:i/>
                      <w:color w:val="FF0000"/>
                      <w:szCs w:val="24"/>
                    </w:rPr>
                  </w:pPr>
                </w:p>
              </w:tc>
              <w:tc>
                <w:tcPr>
                  <w:tcW w:w="2722" w:type="dxa"/>
                  <w:tcBorders>
                    <w:top w:val="single" w:sz="4" w:space="0" w:color="auto"/>
                    <w:left w:val="single" w:sz="4" w:space="0" w:color="auto"/>
                    <w:right w:val="single" w:sz="4" w:space="0" w:color="auto"/>
                  </w:tcBorders>
                  <w:shd w:val="clear" w:color="auto" w:fill="auto"/>
                </w:tcPr>
                <w:p w14:paraId="0FB78278" w14:textId="77777777" w:rsidR="00B339F9" w:rsidRPr="00C0263E" w:rsidRDefault="00B339F9" w:rsidP="0084461B">
                  <w:pPr>
                    <w:spacing w:before="40" w:after="40"/>
                    <w:rPr>
                      <w:rFonts w:cs="Arial"/>
                      <w:szCs w:val="24"/>
                    </w:rPr>
                  </w:pPr>
                </w:p>
              </w:tc>
              <w:tc>
                <w:tcPr>
                  <w:tcW w:w="2361" w:type="dxa"/>
                  <w:tcBorders>
                    <w:top w:val="single" w:sz="4" w:space="0" w:color="auto"/>
                    <w:left w:val="single" w:sz="4" w:space="0" w:color="auto"/>
                    <w:right w:val="single" w:sz="4" w:space="0" w:color="auto"/>
                  </w:tcBorders>
                </w:tcPr>
                <w:p w14:paraId="1FC39945" w14:textId="77777777" w:rsidR="00B339F9" w:rsidRPr="00C0263E" w:rsidRDefault="00B339F9" w:rsidP="0084461B">
                  <w:pPr>
                    <w:spacing w:before="40" w:after="40"/>
                    <w:rPr>
                      <w:rFonts w:cs="Arial"/>
                      <w:szCs w:val="24"/>
                    </w:rPr>
                  </w:pPr>
                </w:p>
              </w:tc>
            </w:tr>
          </w:tbl>
          <w:p w14:paraId="0562CB0E" w14:textId="77777777" w:rsidR="00D54163" w:rsidRDefault="00D54163" w:rsidP="0084461B">
            <w:pPr>
              <w:rPr>
                <w:rFonts w:cs="Arial"/>
                <w:szCs w:val="24"/>
              </w:rPr>
            </w:pPr>
          </w:p>
          <w:p w14:paraId="34CE0A41" w14:textId="77777777" w:rsidR="00D54163" w:rsidRDefault="00D54163" w:rsidP="0084461B">
            <w:pPr>
              <w:rPr>
                <w:rFonts w:cs="Arial"/>
                <w:szCs w:val="24"/>
              </w:rPr>
            </w:pPr>
          </w:p>
          <w:p w14:paraId="62EBF3C5" w14:textId="77777777" w:rsidR="00D54163" w:rsidRDefault="00D54163" w:rsidP="0084461B">
            <w:pPr>
              <w:rPr>
                <w:rFonts w:cs="Arial"/>
                <w:szCs w:val="24"/>
              </w:rPr>
            </w:pPr>
          </w:p>
        </w:tc>
      </w:tr>
      <w:tr w:rsidR="00D95C75" w:rsidRPr="000412A1" w14:paraId="03D28D07" w14:textId="77777777" w:rsidTr="1A7183F4">
        <w:tc>
          <w:tcPr>
            <w:tcW w:w="5000" w:type="pct"/>
            <w:gridSpan w:val="4"/>
            <w:shd w:val="clear" w:color="auto" w:fill="BFBFBF" w:themeFill="background1" w:themeFillShade="BF"/>
          </w:tcPr>
          <w:p w14:paraId="614D5371" w14:textId="77777777" w:rsidR="00D95C75" w:rsidRPr="00C0263E" w:rsidRDefault="00D95C75" w:rsidP="00A536ED">
            <w:pPr>
              <w:rPr>
                <w:rFonts w:cs="Arial"/>
                <w:szCs w:val="24"/>
              </w:rPr>
            </w:pPr>
            <w:r>
              <w:rPr>
                <w:rFonts w:cs="Arial"/>
                <w:b/>
                <w:color w:val="000000"/>
                <w:szCs w:val="24"/>
              </w:rPr>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238ACB01" w14:textId="77777777" w:rsidTr="1A7183F4">
        <w:tc>
          <w:tcPr>
            <w:tcW w:w="5000" w:type="pct"/>
            <w:gridSpan w:val="4"/>
            <w:shd w:val="clear" w:color="auto" w:fill="D9D9D9" w:themeFill="background1" w:themeFillShade="D9"/>
          </w:tcPr>
          <w:p w14:paraId="0C19BED4" w14:textId="77777777" w:rsidR="00D95C75" w:rsidRPr="000412A1" w:rsidRDefault="00A536ED" w:rsidP="00A536ED">
            <w:pPr>
              <w:rPr>
                <w:rFonts w:cs="Arial"/>
                <w:b/>
                <w:color w:val="000000"/>
                <w:szCs w:val="24"/>
              </w:rPr>
            </w:pPr>
            <w:r>
              <w:rPr>
                <w:rFonts w:cs="Arial"/>
                <w:b/>
                <w:color w:val="000000"/>
                <w:szCs w:val="24"/>
              </w:rPr>
              <w:lastRenderedPageBreak/>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0AFCA65A" w14:textId="77777777" w:rsidTr="1A7183F4">
        <w:tc>
          <w:tcPr>
            <w:tcW w:w="1774" w:type="pct"/>
            <w:gridSpan w:val="2"/>
            <w:shd w:val="clear" w:color="auto" w:fill="D9D9D9" w:themeFill="background1" w:themeFillShade="D9"/>
          </w:tcPr>
          <w:p w14:paraId="3E8FEFCE"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14:paraId="7A33D285"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39B136D3" w14:textId="77777777" w:rsidTr="1A7183F4">
        <w:tc>
          <w:tcPr>
            <w:tcW w:w="5000" w:type="pct"/>
            <w:gridSpan w:val="4"/>
            <w:shd w:val="clear" w:color="auto" w:fill="BFBFBF" w:themeFill="background1" w:themeFillShade="BF"/>
          </w:tcPr>
          <w:p w14:paraId="32106A61"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39F392B9" w14:textId="77777777" w:rsidTr="1A7183F4">
        <w:tc>
          <w:tcPr>
            <w:tcW w:w="5000" w:type="pct"/>
            <w:gridSpan w:val="4"/>
            <w:shd w:val="clear" w:color="auto" w:fill="FFFF00"/>
          </w:tcPr>
          <w:p w14:paraId="7B4A00DA" w14:textId="77777777" w:rsidR="00CF3963" w:rsidRDefault="00CF3963" w:rsidP="00CF3963">
            <w:r>
              <w:t xml:space="preserve">Default arrangement: half payment of target CQUIN payment each month, reconciliation end of each year depending upon achievement. </w:t>
            </w:r>
          </w:p>
          <w:p w14:paraId="6D98A12B" w14:textId="77777777" w:rsidR="00CF3963" w:rsidRDefault="00CF3963" w:rsidP="00CF3963">
            <w:pPr>
              <w:rPr>
                <w:i/>
              </w:rPr>
            </w:pPr>
          </w:p>
          <w:p w14:paraId="6C32BFFC" w14:textId="77777777" w:rsidR="00CF3963" w:rsidRPr="004E377A" w:rsidRDefault="00CF3963" w:rsidP="00CF3963">
            <w:pPr>
              <w:rPr>
                <w:i/>
                <w:color w:val="FF0000"/>
              </w:rPr>
            </w:pPr>
            <w:r w:rsidRPr="004E377A">
              <w:rPr>
                <w:i/>
                <w:color w:val="FF0000"/>
              </w:rPr>
              <w:t>[Specify variation of this approach if required]</w:t>
            </w:r>
          </w:p>
          <w:p w14:paraId="2946DB82" w14:textId="77777777" w:rsidR="006B2327" w:rsidRDefault="006B2327" w:rsidP="0084461B">
            <w:pPr>
              <w:spacing w:before="40" w:after="40"/>
              <w:rPr>
                <w:rFonts w:cs="Arial"/>
                <w:b/>
                <w:color w:val="000000"/>
                <w:szCs w:val="24"/>
              </w:rPr>
            </w:pPr>
          </w:p>
        </w:tc>
      </w:tr>
    </w:tbl>
    <w:p w14:paraId="641FE865" w14:textId="1B15C734" w:rsidR="1A7183F4" w:rsidRDefault="1A7183F4"/>
    <w:p w14:paraId="5997CC1D" w14:textId="77777777" w:rsidR="006B2327" w:rsidRDefault="006B2327" w:rsidP="00154269">
      <w:pPr>
        <w:rPr>
          <w:rFonts w:cs="Arial"/>
          <w:b/>
          <w:szCs w:val="24"/>
        </w:rPr>
      </w:pPr>
    </w:p>
    <w:p w14:paraId="110FFD37" w14:textId="77777777" w:rsidR="00154269" w:rsidRDefault="00154269" w:rsidP="00154269">
      <w:pPr>
        <w:rPr>
          <w:rFonts w:cs="Arial"/>
          <w:b/>
          <w:szCs w:val="24"/>
        </w:rPr>
      </w:pPr>
    </w:p>
    <w:tbl>
      <w:tblPr>
        <w:tblStyle w:val="TableGrid"/>
        <w:tblW w:w="5385" w:type="pct"/>
        <w:tblLook w:val="04A0" w:firstRow="1" w:lastRow="0" w:firstColumn="1" w:lastColumn="0" w:noHBand="0" w:noVBand="1"/>
      </w:tblPr>
      <w:tblGrid>
        <w:gridCol w:w="4049"/>
        <w:gridCol w:w="200"/>
        <w:gridCol w:w="5461"/>
      </w:tblGrid>
      <w:tr w:rsidR="00CF3963" w:rsidRPr="000412A1" w14:paraId="079FCC7B" w14:textId="77777777" w:rsidTr="00CF3963">
        <w:tc>
          <w:tcPr>
            <w:tcW w:w="5000" w:type="pct"/>
            <w:gridSpan w:val="3"/>
            <w:shd w:val="clear" w:color="auto" w:fill="BFBFBF" w:themeFill="background1" w:themeFillShade="BF"/>
          </w:tcPr>
          <w:p w14:paraId="7AD93173"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1FF91B58" w14:textId="77777777" w:rsidTr="00CF3963">
        <w:tc>
          <w:tcPr>
            <w:tcW w:w="5000" w:type="pct"/>
            <w:gridSpan w:val="3"/>
            <w:shd w:val="clear" w:color="auto" w:fill="BFBFBF" w:themeFill="background1" w:themeFillShade="BF"/>
          </w:tcPr>
          <w:p w14:paraId="6C564700"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14:paraId="7D33AE4C" w14:textId="77777777" w:rsidTr="002C4571">
        <w:tc>
          <w:tcPr>
            <w:tcW w:w="2085" w:type="pct"/>
            <w:shd w:val="clear" w:color="auto" w:fill="D9D9D9" w:themeFill="background1" w:themeFillShade="D9"/>
          </w:tcPr>
          <w:p w14:paraId="46AD000B" w14:textId="77777777" w:rsidR="00F506AC" w:rsidRDefault="00F506AC" w:rsidP="0084461B">
            <w:pPr>
              <w:rPr>
                <w:rFonts w:cs="Arial"/>
                <w:b/>
                <w:i/>
                <w:szCs w:val="24"/>
              </w:rPr>
            </w:pPr>
            <w:r w:rsidRPr="00F506AC">
              <w:rPr>
                <w:rFonts w:cs="Arial"/>
                <w:b/>
                <w:szCs w:val="24"/>
              </w:rPr>
              <w:t>Nature of Adoption Ambition</w:t>
            </w:r>
            <w:r>
              <w:rPr>
                <w:rFonts w:cs="Arial"/>
                <w:b/>
                <w:i/>
                <w:szCs w:val="24"/>
              </w:rPr>
              <w:t xml:space="preserve">: </w:t>
            </w:r>
          </w:p>
          <w:p w14:paraId="6B699379" w14:textId="77777777" w:rsidR="00F506AC" w:rsidRDefault="00F506AC" w:rsidP="001F6AA3">
            <w:pPr>
              <w:rPr>
                <w:rFonts w:cs="Arial"/>
                <w:szCs w:val="24"/>
              </w:rPr>
            </w:pPr>
          </w:p>
        </w:tc>
        <w:tc>
          <w:tcPr>
            <w:tcW w:w="2915" w:type="pct"/>
            <w:gridSpan w:val="2"/>
          </w:tcPr>
          <w:p w14:paraId="008747C5" w14:textId="77777777" w:rsidR="00022F2F" w:rsidRDefault="00022F2F" w:rsidP="0084461B">
            <w:pPr>
              <w:rPr>
                <w:rFonts w:cs="Arial"/>
                <w:szCs w:val="24"/>
              </w:rPr>
            </w:pPr>
            <w:r w:rsidRPr="00022F2F">
              <w:rPr>
                <w:rFonts w:cs="Arial"/>
                <w:szCs w:val="24"/>
              </w:rPr>
              <w:t xml:space="preserve">Providers of </w:t>
            </w:r>
            <w:r>
              <w:rPr>
                <w:rFonts w:cs="Arial"/>
                <w:szCs w:val="24"/>
              </w:rPr>
              <w:t xml:space="preserve">highly specialised </w:t>
            </w:r>
            <w:r w:rsidRPr="00022F2F">
              <w:rPr>
                <w:rFonts w:cs="Arial"/>
                <w:szCs w:val="24"/>
              </w:rPr>
              <w:t>solid organ transplant services</w:t>
            </w:r>
          </w:p>
          <w:p w14:paraId="76C2BEF7" w14:textId="77777777" w:rsidR="00022F2F" w:rsidRDefault="00022F2F" w:rsidP="00022F2F">
            <w:pPr>
              <w:rPr>
                <w:rFonts w:cs="Arial"/>
                <w:szCs w:val="24"/>
              </w:rPr>
            </w:pPr>
            <w:r w:rsidRPr="00022F2F">
              <w:rPr>
                <w:rFonts w:cs="Arial"/>
                <w:szCs w:val="24"/>
              </w:rPr>
              <w:t xml:space="preserve">Providers of </w:t>
            </w:r>
            <w:r>
              <w:rPr>
                <w:rFonts w:cs="Arial"/>
                <w:szCs w:val="24"/>
              </w:rPr>
              <w:t xml:space="preserve">kidney </w:t>
            </w:r>
            <w:r w:rsidRPr="00022F2F">
              <w:rPr>
                <w:rFonts w:cs="Arial"/>
                <w:szCs w:val="24"/>
              </w:rPr>
              <w:t>transplant services</w:t>
            </w:r>
            <w:r w:rsidR="004063F1">
              <w:rPr>
                <w:rFonts w:cs="Arial"/>
                <w:szCs w:val="24"/>
              </w:rPr>
              <w:t xml:space="preserve"> (who will need to involve p</w:t>
            </w:r>
            <w:r w:rsidRPr="00022F2F">
              <w:rPr>
                <w:rFonts w:cs="Arial"/>
                <w:szCs w:val="24"/>
              </w:rPr>
              <w:t xml:space="preserve">roviders of </w:t>
            </w:r>
            <w:r>
              <w:rPr>
                <w:rFonts w:cs="Arial"/>
                <w:szCs w:val="24"/>
              </w:rPr>
              <w:t>kidney dialysis services</w:t>
            </w:r>
            <w:r w:rsidR="004063F1">
              <w:rPr>
                <w:rFonts w:cs="Arial"/>
                <w:szCs w:val="24"/>
              </w:rPr>
              <w:t>)</w:t>
            </w:r>
          </w:p>
          <w:p w14:paraId="3FE9F23F" w14:textId="77777777" w:rsidR="00022F2F" w:rsidRPr="00022F2F" w:rsidRDefault="00022F2F" w:rsidP="0084461B">
            <w:pPr>
              <w:rPr>
                <w:rFonts w:cs="Arial"/>
                <w:color w:val="FF0000"/>
                <w:szCs w:val="24"/>
              </w:rPr>
            </w:pPr>
          </w:p>
        </w:tc>
      </w:tr>
      <w:tr w:rsidR="00CF3963" w:rsidRPr="000412A1" w14:paraId="35C7BAD0" w14:textId="77777777" w:rsidTr="002C4571">
        <w:tc>
          <w:tcPr>
            <w:tcW w:w="2085" w:type="pct"/>
            <w:shd w:val="clear" w:color="auto" w:fill="D9D9D9" w:themeFill="background1" w:themeFillShade="D9"/>
          </w:tcPr>
          <w:p w14:paraId="1D00CA5B" w14:textId="77777777" w:rsidR="00CF3963" w:rsidRDefault="002C4571" w:rsidP="0084461B">
            <w:pPr>
              <w:rPr>
                <w:rFonts w:cs="Arial"/>
                <w:szCs w:val="24"/>
              </w:rPr>
            </w:pPr>
            <w:r w:rsidRPr="002C4571">
              <w:rPr>
                <w:rFonts w:cs="Arial"/>
                <w:b/>
                <w:szCs w:val="24"/>
              </w:rPr>
              <w:t xml:space="preserve">List of </w:t>
            </w:r>
            <w:r w:rsidR="004E377A">
              <w:rPr>
                <w:rFonts w:cs="Arial"/>
                <w:b/>
                <w:szCs w:val="24"/>
              </w:rPr>
              <w:t xml:space="preserve">Providers for whom Indicator is </w:t>
            </w:r>
            <w:r w:rsidR="004E377A" w:rsidRPr="002C4571">
              <w:rPr>
                <w:rFonts w:cs="Arial"/>
                <w:b/>
                <w:szCs w:val="24"/>
              </w:rPr>
              <w:t>Applicable</w:t>
            </w:r>
          </w:p>
          <w:p w14:paraId="1F72F646" w14:textId="77777777" w:rsidR="00CF3963" w:rsidRPr="000412A1" w:rsidRDefault="00CF3963" w:rsidP="001F6AA3">
            <w:pPr>
              <w:rPr>
                <w:rFonts w:cs="Arial"/>
                <w:szCs w:val="24"/>
              </w:rPr>
            </w:pPr>
          </w:p>
        </w:tc>
        <w:tc>
          <w:tcPr>
            <w:tcW w:w="2915" w:type="pct"/>
            <w:gridSpan w:val="2"/>
          </w:tcPr>
          <w:p w14:paraId="08CE6F91" w14:textId="77777777" w:rsidR="00022F2F" w:rsidRDefault="00022F2F" w:rsidP="001F6AA3">
            <w:pPr>
              <w:rPr>
                <w:rFonts w:cs="Arial"/>
                <w:i/>
                <w:color w:val="FF0000"/>
                <w:szCs w:val="24"/>
              </w:rPr>
            </w:pPr>
          </w:p>
          <w:p w14:paraId="0A9CCD71" w14:textId="77777777" w:rsidR="00022F2F" w:rsidRPr="00022F2F" w:rsidRDefault="00022F2F" w:rsidP="00022F2F">
            <w:pPr>
              <w:rPr>
                <w:rFonts w:cs="Arial"/>
                <w:b/>
                <w:szCs w:val="24"/>
                <w:lang w:eastAsia="en-US"/>
              </w:rPr>
            </w:pPr>
            <w:r w:rsidRPr="00022F2F">
              <w:rPr>
                <w:rFonts w:cs="Arial"/>
                <w:b/>
                <w:szCs w:val="24"/>
                <w:lang w:eastAsia="en-US"/>
              </w:rPr>
              <w:t>Optimising Organ Donation</w:t>
            </w:r>
          </w:p>
          <w:p w14:paraId="50F5E787" w14:textId="77777777" w:rsidR="00022F2F" w:rsidRPr="00022F2F" w:rsidRDefault="00022F2F" w:rsidP="00022F2F">
            <w:pPr>
              <w:numPr>
                <w:ilvl w:val="0"/>
                <w:numId w:val="17"/>
              </w:numPr>
              <w:contextualSpacing/>
              <w:rPr>
                <w:rFonts w:cs="Arial"/>
                <w:szCs w:val="24"/>
                <w:lang w:eastAsia="en-US"/>
              </w:rPr>
            </w:pPr>
            <w:r w:rsidRPr="00022F2F">
              <w:rPr>
                <w:rFonts w:cs="Arial"/>
                <w:szCs w:val="24"/>
                <w:lang w:eastAsia="en-US"/>
              </w:rPr>
              <w:t xml:space="preserve">Liver, Kidney, Heart and Lung transplant specialised centres: </w:t>
            </w:r>
          </w:p>
          <w:p w14:paraId="09405717" w14:textId="77777777" w:rsidR="00022F2F" w:rsidRPr="00022F2F" w:rsidRDefault="00022F2F" w:rsidP="00022F2F">
            <w:pPr>
              <w:ind w:left="720"/>
              <w:rPr>
                <w:rFonts w:cs="Arial"/>
                <w:szCs w:val="24"/>
                <w:lang w:eastAsia="en-US"/>
              </w:rPr>
            </w:pPr>
            <w:proofErr w:type="spellStart"/>
            <w:r w:rsidRPr="00022F2F">
              <w:rPr>
                <w:rFonts w:cs="Arial"/>
                <w:szCs w:val="24"/>
                <w:lang w:eastAsia="en-US"/>
              </w:rPr>
              <w:t>Barts</w:t>
            </w:r>
            <w:proofErr w:type="spellEnd"/>
            <w:r w:rsidRPr="00022F2F">
              <w:rPr>
                <w:rFonts w:cs="Arial"/>
                <w:szCs w:val="24"/>
                <w:lang w:eastAsia="en-US"/>
              </w:rPr>
              <w:t xml:space="preserve"> Health NHS Trust</w:t>
            </w:r>
          </w:p>
          <w:p w14:paraId="1F22AD61" w14:textId="77777777" w:rsidR="00022F2F" w:rsidRPr="00022F2F" w:rsidRDefault="00022F2F" w:rsidP="00022F2F">
            <w:pPr>
              <w:ind w:left="720"/>
              <w:rPr>
                <w:rFonts w:cs="Arial"/>
                <w:szCs w:val="24"/>
                <w:lang w:eastAsia="en-US"/>
              </w:rPr>
            </w:pPr>
            <w:r w:rsidRPr="00022F2F">
              <w:rPr>
                <w:rFonts w:cs="Arial"/>
                <w:szCs w:val="24"/>
                <w:lang w:eastAsia="en-US"/>
              </w:rPr>
              <w:t>GOSH NHS Foundation Trust</w:t>
            </w:r>
          </w:p>
          <w:p w14:paraId="60482D4F" w14:textId="77777777" w:rsidR="00022F2F" w:rsidRPr="00022F2F" w:rsidRDefault="00022F2F" w:rsidP="00022F2F">
            <w:pPr>
              <w:ind w:left="720"/>
              <w:rPr>
                <w:rFonts w:cs="Arial"/>
                <w:szCs w:val="24"/>
                <w:lang w:eastAsia="en-US"/>
              </w:rPr>
            </w:pPr>
            <w:r w:rsidRPr="00022F2F">
              <w:rPr>
                <w:rFonts w:cs="Arial"/>
                <w:szCs w:val="24"/>
                <w:lang w:eastAsia="en-US"/>
              </w:rPr>
              <w:t>Guys and St Thomas' NHS Foundation Trust</w:t>
            </w:r>
          </w:p>
          <w:p w14:paraId="59110B55" w14:textId="77777777" w:rsidR="00022F2F" w:rsidRPr="00022F2F" w:rsidRDefault="00022F2F" w:rsidP="00022F2F">
            <w:pPr>
              <w:ind w:left="720"/>
              <w:rPr>
                <w:rFonts w:cs="Arial"/>
                <w:szCs w:val="24"/>
                <w:lang w:eastAsia="en-US"/>
              </w:rPr>
            </w:pPr>
            <w:r w:rsidRPr="00022F2F">
              <w:rPr>
                <w:rFonts w:cs="Arial"/>
                <w:szCs w:val="24"/>
                <w:lang w:eastAsia="en-US"/>
              </w:rPr>
              <w:t>Imperial College Healthcare NHS Trust</w:t>
            </w:r>
          </w:p>
          <w:p w14:paraId="04360BE8" w14:textId="77777777" w:rsidR="00022F2F" w:rsidRPr="00022F2F" w:rsidRDefault="00022F2F" w:rsidP="00022F2F">
            <w:pPr>
              <w:ind w:left="720"/>
              <w:rPr>
                <w:rFonts w:cs="Arial"/>
                <w:szCs w:val="24"/>
                <w:lang w:eastAsia="en-US"/>
              </w:rPr>
            </w:pPr>
            <w:r w:rsidRPr="00022F2F">
              <w:rPr>
                <w:rFonts w:cs="Arial"/>
                <w:szCs w:val="24"/>
                <w:lang w:eastAsia="en-US"/>
              </w:rPr>
              <w:t>Kings College Hospital NHS Trust</w:t>
            </w:r>
          </w:p>
          <w:p w14:paraId="18B9FBF6" w14:textId="77777777" w:rsidR="00022F2F" w:rsidRPr="00022F2F" w:rsidRDefault="00022F2F" w:rsidP="00022F2F">
            <w:pPr>
              <w:ind w:left="720"/>
              <w:rPr>
                <w:rFonts w:cs="Arial"/>
                <w:szCs w:val="24"/>
                <w:lang w:eastAsia="en-US"/>
              </w:rPr>
            </w:pPr>
            <w:r w:rsidRPr="00022F2F">
              <w:rPr>
                <w:rFonts w:cs="Arial"/>
                <w:szCs w:val="24"/>
                <w:lang w:eastAsia="en-US"/>
              </w:rPr>
              <w:t>Royal Brompton and Harefield NHS Foundation Trust</w:t>
            </w:r>
          </w:p>
          <w:p w14:paraId="554551A6" w14:textId="77777777" w:rsidR="00022F2F" w:rsidRPr="00022F2F" w:rsidRDefault="00022F2F" w:rsidP="00022F2F">
            <w:pPr>
              <w:ind w:left="720"/>
              <w:rPr>
                <w:rFonts w:cs="Arial"/>
                <w:szCs w:val="24"/>
                <w:lang w:eastAsia="en-US"/>
              </w:rPr>
            </w:pPr>
            <w:r w:rsidRPr="00022F2F">
              <w:rPr>
                <w:rFonts w:cs="Arial"/>
                <w:szCs w:val="24"/>
                <w:lang w:eastAsia="en-US"/>
              </w:rPr>
              <w:t>Royal Free London NHS Foundation Trust</w:t>
            </w:r>
          </w:p>
          <w:p w14:paraId="0EDA8DDC" w14:textId="77777777" w:rsidR="00022F2F" w:rsidRPr="00022F2F" w:rsidRDefault="00022F2F" w:rsidP="00022F2F">
            <w:pPr>
              <w:ind w:left="720"/>
              <w:rPr>
                <w:rFonts w:cs="Arial"/>
                <w:szCs w:val="24"/>
                <w:lang w:eastAsia="en-US"/>
              </w:rPr>
            </w:pPr>
            <w:r w:rsidRPr="00022F2F">
              <w:rPr>
                <w:rFonts w:cs="Arial"/>
                <w:szCs w:val="24"/>
                <w:lang w:eastAsia="en-US"/>
              </w:rPr>
              <w:t>St Georges Healthcare NHS Trust</w:t>
            </w:r>
          </w:p>
          <w:p w14:paraId="4E41792C" w14:textId="77777777" w:rsidR="00022F2F" w:rsidRPr="00022F2F" w:rsidRDefault="00022F2F" w:rsidP="00022F2F">
            <w:pPr>
              <w:ind w:left="720"/>
              <w:rPr>
                <w:rFonts w:cs="Arial"/>
                <w:szCs w:val="24"/>
                <w:lang w:eastAsia="en-US"/>
              </w:rPr>
            </w:pPr>
            <w:r w:rsidRPr="00022F2F">
              <w:rPr>
                <w:rFonts w:cs="Arial"/>
                <w:szCs w:val="24"/>
                <w:lang w:eastAsia="en-US"/>
              </w:rPr>
              <w:t>Birmingham Children's Hospital NHS Foundation Trust</w:t>
            </w:r>
          </w:p>
          <w:p w14:paraId="1A49F639" w14:textId="77777777" w:rsidR="00022F2F" w:rsidRPr="00022F2F" w:rsidRDefault="00022F2F" w:rsidP="00022F2F">
            <w:pPr>
              <w:ind w:left="720"/>
              <w:rPr>
                <w:rFonts w:cs="Arial"/>
                <w:szCs w:val="24"/>
                <w:lang w:eastAsia="en-US"/>
              </w:rPr>
            </w:pPr>
            <w:r w:rsidRPr="00022F2F">
              <w:rPr>
                <w:rFonts w:cs="Arial"/>
                <w:szCs w:val="24"/>
                <w:lang w:eastAsia="en-US"/>
              </w:rPr>
              <w:t>Cambridge University Hospitals NHS Foundation Trust</w:t>
            </w:r>
          </w:p>
          <w:p w14:paraId="17D699B8" w14:textId="77777777" w:rsidR="00022F2F" w:rsidRPr="00022F2F" w:rsidRDefault="00022F2F" w:rsidP="00022F2F">
            <w:pPr>
              <w:ind w:left="720"/>
              <w:rPr>
                <w:rFonts w:cs="Arial"/>
                <w:szCs w:val="24"/>
                <w:lang w:eastAsia="en-US"/>
              </w:rPr>
            </w:pPr>
            <w:r w:rsidRPr="00022F2F">
              <w:rPr>
                <w:rFonts w:cs="Arial"/>
                <w:szCs w:val="24"/>
                <w:lang w:eastAsia="en-US"/>
              </w:rPr>
              <w:t>Nottingham University Hospitals NHS Trust</w:t>
            </w:r>
          </w:p>
          <w:p w14:paraId="6BC7AC62" w14:textId="77777777" w:rsidR="00022F2F" w:rsidRPr="00022F2F" w:rsidRDefault="00022F2F" w:rsidP="00022F2F">
            <w:pPr>
              <w:ind w:left="720"/>
              <w:rPr>
                <w:rFonts w:cs="Arial"/>
                <w:szCs w:val="24"/>
                <w:lang w:eastAsia="en-US"/>
              </w:rPr>
            </w:pPr>
            <w:r w:rsidRPr="00022F2F">
              <w:rPr>
                <w:rFonts w:cs="Arial"/>
                <w:szCs w:val="24"/>
                <w:lang w:eastAsia="en-US"/>
              </w:rPr>
              <w:t>Papworth Hospital NHS Foundation Trust</w:t>
            </w:r>
          </w:p>
          <w:p w14:paraId="434FB762" w14:textId="77777777" w:rsidR="00022F2F" w:rsidRPr="00022F2F" w:rsidRDefault="00022F2F" w:rsidP="00022F2F">
            <w:pPr>
              <w:ind w:left="720"/>
              <w:rPr>
                <w:rFonts w:cs="Arial"/>
                <w:szCs w:val="24"/>
                <w:lang w:eastAsia="en-US"/>
              </w:rPr>
            </w:pPr>
            <w:r w:rsidRPr="00022F2F">
              <w:rPr>
                <w:rFonts w:cs="Arial"/>
                <w:szCs w:val="24"/>
                <w:lang w:eastAsia="en-US"/>
              </w:rPr>
              <w:t>University Hospital Birmingham NHS Foundation Trust</w:t>
            </w:r>
          </w:p>
          <w:p w14:paraId="714DB0D6" w14:textId="77777777" w:rsidR="00022F2F" w:rsidRPr="00022F2F" w:rsidRDefault="00022F2F" w:rsidP="00022F2F">
            <w:pPr>
              <w:ind w:left="720"/>
              <w:rPr>
                <w:rFonts w:cs="Arial"/>
                <w:szCs w:val="24"/>
                <w:lang w:eastAsia="en-US"/>
              </w:rPr>
            </w:pPr>
            <w:r w:rsidRPr="00022F2F">
              <w:rPr>
                <w:rFonts w:cs="Arial"/>
                <w:szCs w:val="24"/>
                <w:lang w:eastAsia="en-US"/>
              </w:rPr>
              <w:t>University Hospital of Leicester NHS Trust</w:t>
            </w:r>
          </w:p>
          <w:p w14:paraId="1DCAEA48" w14:textId="77777777" w:rsidR="00022F2F" w:rsidRPr="00022F2F" w:rsidRDefault="00022F2F" w:rsidP="00022F2F">
            <w:pPr>
              <w:ind w:left="720"/>
              <w:rPr>
                <w:rFonts w:cs="Arial"/>
                <w:szCs w:val="24"/>
                <w:lang w:eastAsia="en-US"/>
              </w:rPr>
            </w:pPr>
            <w:r w:rsidRPr="00022F2F">
              <w:rPr>
                <w:rFonts w:cs="Arial"/>
                <w:szCs w:val="24"/>
                <w:lang w:eastAsia="en-US"/>
              </w:rPr>
              <w:t>University Hospitals Coventry and Warwickshire NHS Trust</w:t>
            </w:r>
          </w:p>
          <w:p w14:paraId="087FCD6D" w14:textId="77777777" w:rsidR="00022F2F" w:rsidRPr="00022F2F" w:rsidRDefault="00022F2F" w:rsidP="00022F2F">
            <w:pPr>
              <w:ind w:left="720"/>
              <w:rPr>
                <w:rFonts w:cs="Arial"/>
                <w:szCs w:val="24"/>
                <w:lang w:eastAsia="en-US"/>
              </w:rPr>
            </w:pPr>
            <w:r w:rsidRPr="00022F2F">
              <w:rPr>
                <w:rFonts w:cs="Arial"/>
                <w:szCs w:val="24"/>
                <w:lang w:eastAsia="en-US"/>
              </w:rPr>
              <w:t>Manchester University Hospitals NHS Foundation Trust</w:t>
            </w:r>
          </w:p>
          <w:p w14:paraId="7303D7C2" w14:textId="77777777" w:rsidR="00022F2F" w:rsidRPr="00022F2F" w:rsidRDefault="00022F2F" w:rsidP="00022F2F">
            <w:pPr>
              <w:ind w:left="720"/>
              <w:rPr>
                <w:rFonts w:cs="Arial"/>
                <w:szCs w:val="24"/>
                <w:lang w:eastAsia="en-US"/>
              </w:rPr>
            </w:pPr>
            <w:r w:rsidRPr="00022F2F">
              <w:rPr>
                <w:rFonts w:cs="Arial"/>
                <w:szCs w:val="24"/>
                <w:lang w:eastAsia="en-US"/>
              </w:rPr>
              <w:lastRenderedPageBreak/>
              <w:t>Leeds Teaching Hospitals NHS Trust</w:t>
            </w:r>
          </w:p>
          <w:p w14:paraId="24304C50" w14:textId="77777777" w:rsidR="00022F2F" w:rsidRPr="00022F2F" w:rsidRDefault="00022F2F" w:rsidP="00022F2F">
            <w:pPr>
              <w:ind w:left="720"/>
              <w:rPr>
                <w:rFonts w:cs="Arial"/>
                <w:szCs w:val="24"/>
                <w:lang w:eastAsia="en-US"/>
              </w:rPr>
            </w:pPr>
            <w:r w:rsidRPr="00022F2F">
              <w:rPr>
                <w:rFonts w:cs="Arial"/>
                <w:szCs w:val="24"/>
                <w:lang w:eastAsia="en-US"/>
              </w:rPr>
              <w:t xml:space="preserve">Royal Liverpool and </w:t>
            </w:r>
            <w:proofErr w:type="spellStart"/>
            <w:r w:rsidRPr="00022F2F">
              <w:rPr>
                <w:rFonts w:cs="Arial"/>
                <w:szCs w:val="24"/>
                <w:lang w:eastAsia="en-US"/>
              </w:rPr>
              <w:t>Broadgreen</w:t>
            </w:r>
            <w:proofErr w:type="spellEnd"/>
            <w:r w:rsidRPr="00022F2F">
              <w:rPr>
                <w:rFonts w:cs="Arial"/>
                <w:szCs w:val="24"/>
                <w:lang w:eastAsia="en-US"/>
              </w:rPr>
              <w:t xml:space="preserve"> University Hospitals NHS Foundation Trust</w:t>
            </w:r>
          </w:p>
          <w:p w14:paraId="6A3E1216" w14:textId="77777777" w:rsidR="00022F2F" w:rsidRPr="00022F2F" w:rsidRDefault="00022F2F" w:rsidP="00022F2F">
            <w:pPr>
              <w:ind w:left="720"/>
              <w:rPr>
                <w:rFonts w:cs="Arial"/>
                <w:szCs w:val="24"/>
                <w:lang w:eastAsia="en-US"/>
              </w:rPr>
            </w:pPr>
            <w:r w:rsidRPr="00022F2F">
              <w:rPr>
                <w:rFonts w:cs="Arial"/>
                <w:szCs w:val="24"/>
                <w:lang w:eastAsia="en-US"/>
              </w:rPr>
              <w:t>Sheffield Teaching Hospitals NHS Foundation Trust</w:t>
            </w:r>
          </w:p>
          <w:p w14:paraId="417E9D07" w14:textId="77777777" w:rsidR="00022F2F" w:rsidRPr="00022F2F" w:rsidRDefault="00022F2F" w:rsidP="00022F2F">
            <w:pPr>
              <w:ind w:left="720"/>
              <w:rPr>
                <w:rFonts w:cs="Arial"/>
                <w:szCs w:val="24"/>
                <w:lang w:eastAsia="en-US"/>
              </w:rPr>
            </w:pPr>
            <w:r w:rsidRPr="00022F2F">
              <w:rPr>
                <w:rFonts w:cs="Arial"/>
                <w:szCs w:val="24"/>
                <w:lang w:eastAsia="en-US"/>
              </w:rPr>
              <w:t>The Newcastle upon Tyne NHS Foundation Trust</w:t>
            </w:r>
          </w:p>
          <w:p w14:paraId="495F488C" w14:textId="77777777" w:rsidR="00022F2F" w:rsidRPr="00022F2F" w:rsidRDefault="00022F2F" w:rsidP="00022F2F">
            <w:pPr>
              <w:ind w:left="720"/>
              <w:rPr>
                <w:rFonts w:cs="Arial"/>
                <w:szCs w:val="24"/>
                <w:lang w:eastAsia="en-US"/>
              </w:rPr>
            </w:pPr>
            <w:r w:rsidRPr="00022F2F">
              <w:rPr>
                <w:rFonts w:cs="Arial"/>
                <w:szCs w:val="24"/>
                <w:lang w:eastAsia="en-US"/>
              </w:rPr>
              <w:t>Manchester University NHS Foundation Trust</w:t>
            </w:r>
          </w:p>
          <w:p w14:paraId="011F8638" w14:textId="77777777" w:rsidR="00022F2F" w:rsidRPr="00022F2F" w:rsidRDefault="00022F2F" w:rsidP="00022F2F">
            <w:pPr>
              <w:ind w:left="720"/>
              <w:rPr>
                <w:rFonts w:cs="Arial"/>
                <w:szCs w:val="24"/>
                <w:lang w:eastAsia="en-US"/>
              </w:rPr>
            </w:pPr>
            <w:r w:rsidRPr="00022F2F">
              <w:rPr>
                <w:rFonts w:cs="Arial"/>
                <w:szCs w:val="24"/>
                <w:lang w:eastAsia="en-US"/>
              </w:rPr>
              <w:t>North Bristol NHS Trust</w:t>
            </w:r>
          </w:p>
          <w:p w14:paraId="5C64E2A3" w14:textId="77777777" w:rsidR="00022F2F" w:rsidRPr="00022F2F" w:rsidRDefault="00022F2F" w:rsidP="00022F2F">
            <w:pPr>
              <w:ind w:left="720"/>
              <w:rPr>
                <w:rFonts w:cs="Arial"/>
                <w:szCs w:val="24"/>
                <w:lang w:eastAsia="en-US"/>
              </w:rPr>
            </w:pPr>
            <w:r w:rsidRPr="00022F2F">
              <w:rPr>
                <w:rFonts w:cs="Arial"/>
                <w:szCs w:val="24"/>
                <w:lang w:eastAsia="en-US"/>
              </w:rPr>
              <w:t>Oxford University Hospitals NHS Trust</w:t>
            </w:r>
          </w:p>
          <w:p w14:paraId="045F66D5" w14:textId="77777777" w:rsidR="00022F2F" w:rsidRDefault="00022F2F" w:rsidP="00022F2F">
            <w:pPr>
              <w:ind w:left="720"/>
              <w:rPr>
                <w:rFonts w:cs="Arial"/>
                <w:szCs w:val="24"/>
                <w:lang w:eastAsia="en-US"/>
              </w:rPr>
            </w:pPr>
            <w:r w:rsidRPr="00022F2F">
              <w:rPr>
                <w:rFonts w:cs="Arial"/>
                <w:szCs w:val="24"/>
                <w:lang w:eastAsia="en-US"/>
              </w:rPr>
              <w:t xml:space="preserve">Plymouth Hospitals NHS Trust </w:t>
            </w:r>
          </w:p>
          <w:p w14:paraId="6381292A" w14:textId="77777777" w:rsidR="00022F2F" w:rsidRPr="00022F2F" w:rsidRDefault="00022F2F" w:rsidP="00022F2F">
            <w:pPr>
              <w:ind w:left="720"/>
              <w:rPr>
                <w:rFonts w:cs="Arial"/>
                <w:szCs w:val="24"/>
                <w:lang w:eastAsia="en-US"/>
              </w:rPr>
            </w:pPr>
            <w:r w:rsidRPr="00022F2F">
              <w:rPr>
                <w:rFonts w:cs="Arial"/>
                <w:szCs w:val="24"/>
                <w:lang w:eastAsia="en-US"/>
              </w:rPr>
              <w:t>Portsmouth Hospitals NHS Trust</w:t>
            </w:r>
          </w:p>
          <w:p w14:paraId="61CDCEAD" w14:textId="77777777" w:rsidR="00CF3963" w:rsidRPr="00CA40CD" w:rsidRDefault="00CF3963" w:rsidP="0084461B">
            <w:pPr>
              <w:rPr>
                <w:rFonts w:cs="Arial"/>
                <w:i/>
                <w:szCs w:val="24"/>
              </w:rPr>
            </w:pPr>
          </w:p>
        </w:tc>
      </w:tr>
      <w:tr w:rsidR="00CF3963" w:rsidRPr="000412A1" w14:paraId="4B4F0139" w14:textId="77777777" w:rsidTr="00CF3963">
        <w:tc>
          <w:tcPr>
            <w:tcW w:w="5000" w:type="pct"/>
            <w:gridSpan w:val="3"/>
            <w:shd w:val="clear" w:color="auto" w:fill="BFBFBF" w:themeFill="background1" w:themeFillShade="BF"/>
          </w:tcPr>
          <w:p w14:paraId="5CCD4CA2" w14:textId="77777777" w:rsidR="00CF3963" w:rsidRPr="004B2DC0" w:rsidRDefault="00CF3963" w:rsidP="00C25612">
            <w:pPr>
              <w:spacing w:before="40" w:after="40"/>
              <w:rPr>
                <w:rFonts w:cs="Arial"/>
                <w:b/>
                <w:color w:val="000000"/>
                <w:szCs w:val="24"/>
              </w:rPr>
            </w:pPr>
            <w:r>
              <w:rPr>
                <w:rFonts w:cs="Arial"/>
                <w:b/>
                <w:szCs w:val="24"/>
              </w:rPr>
              <w:lastRenderedPageBreak/>
              <w:t xml:space="preserve">C2. </w:t>
            </w:r>
            <w:r w:rsidR="00C25612">
              <w:rPr>
                <w:rFonts w:cs="Arial"/>
                <w:b/>
                <w:szCs w:val="24"/>
              </w:rPr>
              <w:t>Provider Specific Parameters</w:t>
            </w:r>
          </w:p>
        </w:tc>
      </w:tr>
      <w:tr w:rsidR="00C25612" w:rsidRPr="000412A1" w14:paraId="5092CB48" w14:textId="77777777" w:rsidTr="00F075FF">
        <w:trPr>
          <w:trHeight w:val="865"/>
        </w:trPr>
        <w:tc>
          <w:tcPr>
            <w:tcW w:w="2188" w:type="pct"/>
            <w:gridSpan w:val="2"/>
            <w:shd w:val="clear" w:color="auto" w:fill="D9D9D9" w:themeFill="background1" w:themeFillShade="D9"/>
          </w:tcPr>
          <w:p w14:paraId="676EDB7D" w14:textId="77777777" w:rsidR="00C25612" w:rsidRPr="001F6AA3" w:rsidRDefault="00C25612" w:rsidP="00C25612">
            <w:pPr>
              <w:rPr>
                <w:rFonts w:cs="Arial"/>
                <w:b/>
                <w:i/>
                <w:szCs w:val="24"/>
              </w:rPr>
            </w:pPr>
            <w:r w:rsidRPr="001F6AA3">
              <w:rPr>
                <w:rFonts w:cs="Arial"/>
                <w:b/>
                <w:szCs w:val="24"/>
              </w:rPr>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6BB9E253" w14:textId="77777777" w:rsidR="00C25612" w:rsidRDefault="00C25612" w:rsidP="00C25612">
            <w:pPr>
              <w:rPr>
                <w:rFonts w:cs="Arial"/>
                <w:szCs w:val="24"/>
                <w:u w:val="single"/>
              </w:rPr>
            </w:pPr>
          </w:p>
        </w:tc>
        <w:tc>
          <w:tcPr>
            <w:tcW w:w="2812" w:type="pct"/>
          </w:tcPr>
          <w:p w14:paraId="4F2753B7" w14:textId="77777777" w:rsidR="0023783E" w:rsidRDefault="0023783E" w:rsidP="0023783E">
            <w:pPr>
              <w:rPr>
                <w:rFonts w:cs="Arial"/>
                <w:szCs w:val="24"/>
              </w:rPr>
            </w:pPr>
            <w:r>
              <w:rPr>
                <w:rFonts w:cs="Arial"/>
                <w:szCs w:val="24"/>
              </w:rPr>
              <w:t>Number of referring services to be included in the remit of the centre – which will determine scale of change sought, and hence appropriate payment.</w:t>
            </w:r>
          </w:p>
          <w:p w14:paraId="23DE523C" w14:textId="77777777" w:rsidR="0023783E" w:rsidRDefault="0023783E" w:rsidP="0023783E">
            <w:pPr>
              <w:rPr>
                <w:rFonts w:cs="Arial"/>
                <w:szCs w:val="24"/>
              </w:rPr>
            </w:pPr>
          </w:p>
          <w:p w14:paraId="2C4DA5C6" w14:textId="77777777" w:rsidR="0023783E" w:rsidRDefault="0023783E" w:rsidP="00287380">
            <w:pPr>
              <w:rPr>
                <w:rFonts w:cs="Arial"/>
                <w:szCs w:val="24"/>
              </w:rPr>
            </w:pPr>
            <w:r>
              <w:rPr>
                <w:rFonts w:cs="Arial"/>
                <w:szCs w:val="24"/>
              </w:rPr>
              <w:t>How many change topics are selected for Optimising Organ Donation – which Triggers are to be included:  to be noted in Section B.</w:t>
            </w:r>
          </w:p>
          <w:p w14:paraId="52E56223" w14:textId="77777777" w:rsidR="00C25612" w:rsidRPr="00F075FF" w:rsidRDefault="00C25612" w:rsidP="00263708">
            <w:pPr>
              <w:rPr>
                <w:rFonts w:cs="Arial"/>
                <w:szCs w:val="24"/>
              </w:rPr>
            </w:pPr>
          </w:p>
        </w:tc>
      </w:tr>
      <w:tr w:rsidR="00CF3963" w:rsidRPr="000412A1" w14:paraId="7A10BA73" w14:textId="77777777" w:rsidTr="00CF3963">
        <w:tc>
          <w:tcPr>
            <w:tcW w:w="5000" w:type="pct"/>
            <w:gridSpan w:val="3"/>
            <w:shd w:val="clear" w:color="auto" w:fill="BFBFBF" w:themeFill="background1" w:themeFillShade="BF"/>
          </w:tcPr>
          <w:p w14:paraId="5C8BEDAC" w14:textId="77777777" w:rsidR="00CF3963" w:rsidRPr="000412A1" w:rsidRDefault="00CF3963" w:rsidP="0084461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16509041" w14:textId="77777777" w:rsidTr="00CF3963">
        <w:tc>
          <w:tcPr>
            <w:tcW w:w="5000" w:type="pct"/>
            <w:gridSpan w:val="3"/>
          </w:tcPr>
          <w:p w14:paraId="758113BC"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07547A01" w14:textId="77777777" w:rsidR="00022F2F" w:rsidRDefault="00022F2F" w:rsidP="0084461B">
            <w:pPr>
              <w:rPr>
                <w:rFonts w:eastAsiaTheme="minorEastAsia" w:cs="Arial"/>
                <w:i/>
                <w:color w:val="FF0000"/>
                <w:szCs w:val="24"/>
              </w:rPr>
            </w:pPr>
          </w:p>
          <w:p w14:paraId="693204D7" w14:textId="77777777" w:rsidR="00263708" w:rsidRDefault="00717512" w:rsidP="00717512">
            <w:pPr>
              <w:rPr>
                <w:rFonts w:cs="Arial"/>
                <w:szCs w:val="24"/>
              </w:rPr>
            </w:pPr>
            <w:proofErr w:type="spellStart"/>
            <w:r>
              <w:rPr>
                <w:rFonts w:cs="Arial"/>
                <w:szCs w:val="24"/>
              </w:rPr>
              <w:t>Approx</w:t>
            </w:r>
            <w:proofErr w:type="spellEnd"/>
            <w:r>
              <w:rPr>
                <w:rFonts w:cs="Arial"/>
                <w:szCs w:val="24"/>
              </w:rPr>
              <w:t xml:space="preserve"> £100k per </w:t>
            </w:r>
            <w:r w:rsidR="00263708">
              <w:rPr>
                <w:rFonts w:cs="Arial"/>
                <w:szCs w:val="24"/>
              </w:rPr>
              <w:t xml:space="preserve">transplant </w:t>
            </w:r>
            <w:r>
              <w:rPr>
                <w:rFonts w:cs="Arial"/>
                <w:szCs w:val="24"/>
              </w:rPr>
              <w:t xml:space="preserve">centre plus £50k for each referring </w:t>
            </w:r>
            <w:proofErr w:type="gramStart"/>
            <w:r>
              <w:rPr>
                <w:rFonts w:cs="Arial"/>
                <w:szCs w:val="24"/>
              </w:rPr>
              <w:t>services</w:t>
            </w:r>
            <w:proofErr w:type="gramEnd"/>
            <w:r>
              <w:rPr>
                <w:rFonts w:cs="Arial"/>
                <w:szCs w:val="24"/>
              </w:rPr>
              <w:t xml:space="preserve"> </w:t>
            </w:r>
            <w:r w:rsidR="00263708">
              <w:rPr>
                <w:rFonts w:cs="Arial"/>
                <w:szCs w:val="24"/>
              </w:rPr>
              <w:t>to be included in the remit of the centre</w:t>
            </w:r>
            <w:r>
              <w:rPr>
                <w:rFonts w:cs="Arial"/>
                <w:szCs w:val="24"/>
              </w:rPr>
              <w:t>.</w:t>
            </w:r>
            <w:r w:rsidR="00263708">
              <w:rPr>
                <w:rFonts w:cs="Arial"/>
                <w:szCs w:val="24"/>
              </w:rPr>
              <w:t xml:space="preserve"> </w:t>
            </w:r>
          </w:p>
          <w:p w14:paraId="5043CB0F" w14:textId="77777777" w:rsidR="0023783E" w:rsidRDefault="0023783E" w:rsidP="00717512">
            <w:pPr>
              <w:rPr>
                <w:rFonts w:cs="Arial"/>
                <w:szCs w:val="24"/>
              </w:rPr>
            </w:pPr>
          </w:p>
          <w:p w14:paraId="50257058" w14:textId="77777777" w:rsidR="00717512" w:rsidRDefault="00717512" w:rsidP="00717512">
            <w:pPr>
              <w:rPr>
                <w:rFonts w:cs="Arial"/>
                <w:szCs w:val="24"/>
              </w:rPr>
            </w:pPr>
            <w:r>
              <w:rPr>
                <w:rFonts w:cs="Arial"/>
                <w:szCs w:val="24"/>
              </w:rPr>
              <w:t xml:space="preserve">Should </w:t>
            </w:r>
            <w:r w:rsidR="0023783E">
              <w:rPr>
                <w:rFonts w:cs="Arial"/>
                <w:szCs w:val="24"/>
              </w:rPr>
              <w:t xml:space="preserve">also </w:t>
            </w:r>
            <w:r>
              <w:rPr>
                <w:rFonts w:cs="Arial"/>
                <w:szCs w:val="24"/>
              </w:rPr>
              <w:t>vary depending on how many change topics are selected for Optimising Organ Donation.</w:t>
            </w:r>
          </w:p>
          <w:p w14:paraId="07459315" w14:textId="77777777" w:rsidR="0023783E" w:rsidRDefault="0023783E" w:rsidP="00717512">
            <w:pPr>
              <w:rPr>
                <w:rFonts w:cs="Arial"/>
                <w:szCs w:val="24"/>
              </w:rPr>
            </w:pPr>
          </w:p>
          <w:p w14:paraId="0B364C20" w14:textId="77777777" w:rsidR="00287380" w:rsidRDefault="00263708" w:rsidP="0084461B">
            <w:pPr>
              <w:rPr>
                <w:rFonts w:eastAsiaTheme="minorEastAsia" w:cs="Arial"/>
                <w:i/>
                <w:szCs w:val="24"/>
              </w:rPr>
            </w:pPr>
            <w:r>
              <w:rPr>
                <w:rFonts w:cs="Arial"/>
                <w:szCs w:val="24"/>
              </w:rPr>
              <w:t>Default proposal: £150,000.</w:t>
            </w:r>
          </w:p>
          <w:p w14:paraId="62CE14DB" w14:textId="77777777" w:rsidR="00CF3963" w:rsidRPr="00512E30"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6537F28F" w14:textId="77777777" w:rsidR="00CF3963" w:rsidRPr="001350E0" w:rsidRDefault="00CF3963" w:rsidP="0084461B">
            <w:pPr>
              <w:rPr>
                <w:rFonts w:cs="Arial"/>
                <w:szCs w:val="24"/>
              </w:rPr>
            </w:pPr>
          </w:p>
        </w:tc>
      </w:tr>
      <w:tr w:rsidR="00CF3963" w:rsidRPr="00C0210F" w14:paraId="4AEEA13B" w14:textId="77777777" w:rsidTr="00CF3963">
        <w:tc>
          <w:tcPr>
            <w:tcW w:w="5000" w:type="pct"/>
            <w:gridSpan w:val="3"/>
            <w:shd w:val="clear" w:color="auto" w:fill="D9D9D9" w:themeFill="background1" w:themeFillShade="D9"/>
          </w:tcPr>
          <w:p w14:paraId="7068E1D8" w14:textId="77777777" w:rsidR="00CF3963" w:rsidRPr="00292053" w:rsidRDefault="00CF3963" w:rsidP="005931C4">
            <w:pPr>
              <w:rPr>
                <w:rFonts w:eastAsiaTheme="minorEastAsia" w:cs="Arial"/>
                <w:b/>
                <w:szCs w:val="24"/>
              </w:rPr>
            </w:pPr>
            <w:r>
              <w:rPr>
                <w:rFonts w:eastAsiaTheme="minorEastAsia" w:cs="Arial"/>
                <w:b/>
                <w:szCs w:val="24"/>
              </w:rPr>
              <w:t xml:space="preserve">C4. </w:t>
            </w:r>
            <w:r w:rsidRPr="00292053">
              <w:rPr>
                <w:rFonts w:eastAsiaTheme="minorEastAsia" w:cs="Arial"/>
                <w:b/>
                <w:szCs w:val="24"/>
              </w:rPr>
              <w:t>Payment Triggers and Partial Achievement Rules</w:t>
            </w:r>
          </w:p>
        </w:tc>
      </w:tr>
      <w:tr w:rsidR="00CF3963" w:rsidRPr="000412A1" w14:paraId="38106956" w14:textId="77777777" w:rsidTr="002C4571">
        <w:tc>
          <w:tcPr>
            <w:tcW w:w="5000" w:type="pct"/>
            <w:gridSpan w:val="3"/>
            <w:shd w:val="clear" w:color="auto" w:fill="auto"/>
          </w:tcPr>
          <w:p w14:paraId="24495086" w14:textId="77777777"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14:paraId="7AFCC134"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6DFB9E20" w14:textId="77777777" w:rsidR="00CF3963" w:rsidRDefault="00CF3963" w:rsidP="0084461B">
            <w:pPr>
              <w:rPr>
                <w:rFonts w:cs="Arial"/>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644"/>
              <w:gridCol w:w="2417"/>
              <w:gridCol w:w="2489"/>
            </w:tblGrid>
            <w:tr w:rsidR="00263708" w:rsidRPr="00C0263E" w14:paraId="368D883B" w14:textId="77777777" w:rsidTr="00263708">
              <w:tc>
                <w:tcPr>
                  <w:tcW w:w="1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E747C" w14:textId="77777777" w:rsidR="00263708" w:rsidRPr="00C0263E" w:rsidRDefault="00263708" w:rsidP="0084461B">
                  <w:pPr>
                    <w:spacing w:before="40" w:after="40"/>
                    <w:rPr>
                      <w:rFonts w:cs="Arial"/>
                      <w:b/>
                      <w:szCs w:val="24"/>
                    </w:rPr>
                  </w:pPr>
                  <w:r>
                    <w:rPr>
                      <w:rFonts w:cs="Arial"/>
                      <w:b/>
                      <w:szCs w:val="24"/>
                    </w:rPr>
                    <w:t>Descriptions</w:t>
                  </w:r>
                </w:p>
              </w:tc>
              <w:tc>
                <w:tcPr>
                  <w:tcW w:w="26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D6E05C" w14:textId="77777777" w:rsidR="00263708" w:rsidRPr="00EC3C9D" w:rsidRDefault="00263708" w:rsidP="0084461B">
                  <w:pPr>
                    <w:spacing w:before="40" w:after="40"/>
                    <w:rPr>
                      <w:rFonts w:cs="Arial"/>
                      <w:b/>
                      <w:szCs w:val="24"/>
                    </w:rPr>
                  </w:pPr>
                  <w:r>
                    <w:rPr>
                      <w:rFonts w:cs="Arial"/>
                      <w:b/>
                      <w:szCs w:val="24"/>
                    </w:rPr>
                    <w:t>First Year of indicator</w:t>
                  </w:r>
                </w:p>
              </w:tc>
              <w:tc>
                <w:tcPr>
                  <w:tcW w:w="2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C5D741" w14:textId="77777777" w:rsidR="00263708" w:rsidRPr="00EC3C9D" w:rsidRDefault="00263708" w:rsidP="0084461B">
                  <w:pPr>
                    <w:spacing w:before="40" w:after="40"/>
                    <w:rPr>
                      <w:rFonts w:cs="Arial"/>
                      <w:b/>
                      <w:szCs w:val="24"/>
                    </w:rPr>
                  </w:pPr>
                  <w:r>
                    <w:rPr>
                      <w:rFonts w:cs="Arial"/>
                      <w:b/>
                      <w:szCs w:val="24"/>
                    </w:rPr>
                    <w:t>Second Year</w:t>
                  </w:r>
                </w:p>
              </w:tc>
              <w:tc>
                <w:tcPr>
                  <w:tcW w:w="24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810D46" w14:textId="77777777" w:rsidR="00263708" w:rsidRDefault="00263708" w:rsidP="0084461B">
                  <w:pPr>
                    <w:spacing w:before="40" w:after="40"/>
                    <w:rPr>
                      <w:rFonts w:cs="Arial"/>
                      <w:b/>
                      <w:szCs w:val="24"/>
                    </w:rPr>
                  </w:pPr>
                  <w:r>
                    <w:rPr>
                      <w:rFonts w:cs="Arial"/>
                      <w:b/>
                      <w:szCs w:val="24"/>
                    </w:rPr>
                    <w:t>Third Year</w:t>
                  </w:r>
                </w:p>
              </w:tc>
            </w:tr>
            <w:tr w:rsidR="00263708" w:rsidRPr="00C0263E" w14:paraId="0A3D1144" w14:textId="77777777" w:rsidTr="00263708">
              <w:tc>
                <w:tcPr>
                  <w:tcW w:w="1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155D0B" w14:textId="77777777" w:rsidR="00263708" w:rsidRDefault="00263708" w:rsidP="00717512">
                  <w:pPr>
                    <w:spacing w:before="40" w:after="40"/>
                    <w:rPr>
                      <w:rFonts w:cs="Arial"/>
                      <w:b/>
                      <w:szCs w:val="24"/>
                    </w:rPr>
                  </w:pPr>
                  <w:r>
                    <w:rPr>
                      <w:rFonts w:cs="Arial"/>
                      <w:b/>
                      <w:szCs w:val="24"/>
                    </w:rPr>
                    <w:t>Trigger 1:</w:t>
                  </w:r>
                </w:p>
                <w:p w14:paraId="220B8881" w14:textId="77777777" w:rsidR="00263708" w:rsidRDefault="00263708" w:rsidP="00717512">
                  <w:pPr>
                    <w:spacing w:before="40" w:after="40"/>
                    <w:rPr>
                      <w:rFonts w:cs="Arial"/>
                      <w:b/>
                      <w:szCs w:val="24"/>
                    </w:rPr>
                  </w:pPr>
                  <w:r>
                    <w:rPr>
                      <w:rFonts w:cs="Arial"/>
                      <w:b/>
                      <w:szCs w:val="24"/>
                    </w:rPr>
                    <w:lastRenderedPageBreak/>
                    <w:t>Establishing a Network</w:t>
                  </w:r>
                </w:p>
                <w:p w14:paraId="70DF9E56" w14:textId="77777777" w:rsidR="00263708" w:rsidRPr="00C0263E" w:rsidRDefault="00263708" w:rsidP="00717512">
                  <w:pPr>
                    <w:spacing w:before="40" w:after="40"/>
                    <w:rPr>
                      <w:rFonts w:cs="Arial"/>
                      <w:b/>
                      <w:szCs w:val="24"/>
                    </w:rPr>
                  </w:pP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B5E744B" w14:textId="77777777" w:rsidR="00263708" w:rsidRPr="00CE380E" w:rsidRDefault="00263708" w:rsidP="005576EB">
                  <w:pPr>
                    <w:tabs>
                      <w:tab w:val="left" w:pos="34"/>
                    </w:tabs>
                    <w:ind w:left="360"/>
                    <w:rPr>
                      <w:rFonts w:eastAsiaTheme="minorEastAsia" w:cs="Arial"/>
                      <w:szCs w:val="24"/>
                    </w:rPr>
                  </w:pPr>
                  <w:r w:rsidRPr="00CE380E">
                    <w:rPr>
                      <w:rFonts w:eastAsiaTheme="minorEastAsia" w:cs="Arial"/>
                      <w:szCs w:val="24"/>
                    </w:rPr>
                    <w:lastRenderedPageBreak/>
                    <w:t>Working with referring centres:</w:t>
                  </w:r>
                </w:p>
                <w:p w14:paraId="77AB0258" w14:textId="77777777" w:rsidR="00263708" w:rsidRPr="000A4C6F" w:rsidRDefault="00263708" w:rsidP="00717512">
                  <w:pPr>
                    <w:pStyle w:val="ListParagraph"/>
                    <w:numPr>
                      <w:ilvl w:val="0"/>
                      <w:numId w:val="21"/>
                    </w:numPr>
                    <w:rPr>
                      <w:rFonts w:eastAsiaTheme="minorEastAsia" w:cs="Arial"/>
                      <w:szCs w:val="24"/>
                    </w:rPr>
                  </w:pPr>
                  <w:r>
                    <w:rPr>
                      <w:rFonts w:eastAsiaTheme="minorEastAsia" w:cs="Arial"/>
                      <w:szCs w:val="24"/>
                    </w:rPr>
                    <w:lastRenderedPageBreak/>
                    <w:t>Set up monitoring of donor work up</w:t>
                  </w:r>
                  <w:r w:rsidRPr="000A4C6F">
                    <w:rPr>
                      <w:rFonts w:eastAsiaTheme="minorEastAsia" w:cs="Arial"/>
                      <w:szCs w:val="24"/>
                    </w:rPr>
                    <w:t xml:space="preserve"> wait times </w:t>
                  </w:r>
                </w:p>
                <w:p w14:paraId="291BE2AF" w14:textId="77777777" w:rsidR="00263708" w:rsidRPr="00CE380E" w:rsidRDefault="00263708" w:rsidP="00717512">
                  <w:pPr>
                    <w:pStyle w:val="ListParagraph"/>
                    <w:numPr>
                      <w:ilvl w:val="0"/>
                      <w:numId w:val="21"/>
                    </w:numPr>
                    <w:rPr>
                      <w:rFonts w:eastAsiaTheme="minorEastAsia" w:cs="Arial"/>
                      <w:szCs w:val="24"/>
                    </w:rPr>
                  </w:pPr>
                  <w:r>
                    <w:rPr>
                      <w:rFonts w:eastAsiaTheme="minorEastAsia" w:cs="Arial"/>
                      <w:szCs w:val="24"/>
                    </w:rPr>
                    <w:t>Clearly document and describe local and regional network.</w:t>
                  </w:r>
                </w:p>
                <w:p w14:paraId="44E871BC" w14:textId="77777777" w:rsidR="00263708" w:rsidRPr="00C0263E" w:rsidRDefault="00263708" w:rsidP="005576EB">
                  <w:pPr>
                    <w:pStyle w:val="ListParagraph"/>
                    <w:rPr>
                      <w:rFonts w:cs="Arial"/>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78ABC50B" w14:textId="77777777" w:rsidR="00263708" w:rsidRPr="00FB0588" w:rsidRDefault="00263708" w:rsidP="00263708">
                  <w:pPr>
                    <w:pStyle w:val="ListParagraph"/>
                    <w:numPr>
                      <w:ilvl w:val="0"/>
                      <w:numId w:val="21"/>
                    </w:numPr>
                  </w:pPr>
                  <w:r>
                    <w:lastRenderedPageBreak/>
                    <w:t xml:space="preserve">Work with networked </w:t>
                  </w:r>
                  <w:r>
                    <w:lastRenderedPageBreak/>
                    <w:t xml:space="preserve">providers </w:t>
                  </w:r>
                  <w:r w:rsidRPr="00FB0588">
                    <w:t xml:space="preserve">to develop and formalise </w:t>
                  </w:r>
                  <w:r>
                    <w:t xml:space="preserve">best practice </w:t>
                  </w:r>
                  <w:r w:rsidRPr="00FB0588">
                    <w:t>network arrangements</w:t>
                  </w:r>
                </w:p>
                <w:p w14:paraId="144A5D23" w14:textId="77777777" w:rsidR="00263708" w:rsidRDefault="00263708" w:rsidP="00717512">
                  <w:pPr>
                    <w:pStyle w:val="ListParagraph"/>
                    <w:rPr>
                      <w:rFonts w:eastAsiaTheme="minorEastAsia" w:cs="Arial"/>
                      <w:szCs w:val="24"/>
                    </w:rPr>
                  </w:pPr>
                </w:p>
                <w:p w14:paraId="738610EB" w14:textId="77777777" w:rsidR="00263708" w:rsidRPr="00263708" w:rsidRDefault="00263708" w:rsidP="00263708">
                  <w:pPr>
                    <w:rPr>
                      <w:rFonts w:eastAsiaTheme="minorEastAsia" w:cs="Arial"/>
                      <w:szCs w:val="24"/>
                    </w:rPr>
                  </w:pPr>
                </w:p>
              </w:tc>
              <w:tc>
                <w:tcPr>
                  <w:tcW w:w="2489" w:type="dxa"/>
                  <w:tcBorders>
                    <w:top w:val="single" w:sz="4" w:space="0" w:color="auto"/>
                    <w:left w:val="single" w:sz="4" w:space="0" w:color="auto"/>
                    <w:bottom w:val="single" w:sz="4" w:space="0" w:color="auto"/>
                    <w:right w:val="single" w:sz="4" w:space="0" w:color="auto"/>
                  </w:tcBorders>
                </w:tcPr>
                <w:p w14:paraId="68F9DA86" w14:textId="77777777" w:rsidR="00263708" w:rsidRDefault="00263708" w:rsidP="00263708">
                  <w:pPr>
                    <w:pStyle w:val="ListParagraph"/>
                  </w:pPr>
                  <w:r>
                    <w:lastRenderedPageBreak/>
                    <w:t>n/a</w:t>
                  </w:r>
                </w:p>
              </w:tc>
            </w:tr>
            <w:tr w:rsidR="00263708" w:rsidRPr="00C0263E" w14:paraId="186F490F" w14:textId="77777777" w:rsidTr="00263708">
              <w:trPr>
                <w:trHeight w:val="619"/>
              </w:trPr>
              <w:tc>
                <w:tcPr>
                  <w:tcW w:w="1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E001BC" w14:textId="77777777" w:rsidR="00263708" w:rsidRDefault="00263708" w:rsidP="00717512">
                  <w:pPr>
                    <w:spacing w:before="40" w:after="40"/>
                    <w:rPr>
                      <w:rFonts w:cs="Arial"/>
                      <w:b/>
                      <w:szCs w:val="24"/>
                    </w:rPr>
                  </w:pPr>
                  <w:r>
                    <w:rPr>
                      <w:rFonts w:cs="Arial"/>
                      <w:b/>
                      <w:szCs w:val="24"/>
                    </w:rPr>
                    <w:t>Trigger 2</w:t>
                  </w:r>
                </w:p>
                <w:p w14:paraId="3DEE1F1B" w14:textId="77777777" w:rsidR="00263708" w:rsidRPr="00C0263E" w:rsidRDefault="00263708" w:rsidP="00717512">
                  <w:pPr>
                    <w:spacing w:before="40" w:after="40"/>
                    <w:rPr>
                      <w:rFonts w:cs="Arial"/>
                      <w:b/>
                      <w:szCs w:val="24"/>
                    </w:rPr>
                  </w:pPr>
                  <w:r>
                    <w:rPr>
                      <w:rFonts w:cs="Arial"/>
                      <w:b/>
                      <w:szCs w:val="24"/>
                    </w:rPr>
                    <w:t>Organ Utilisation</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305CA533" w14:textId="77777777" w:rsidR="00263708" w:rsidRDefault="00263708" w:rsidP="00263708">
                  <w:pPr>
                    <w:pStyle w:val="ListParagraph"/>
                    <w:numPr>
                      <w:ilvl w:val="0"/>
                      <w:numId w:val="21"/>
                    </w:numPr>
                    <w:rPr>
                      <w:rFonts w:eastAsiaTheme="minorEastAsia" w:cs="Arial"/>
                      <w:szCs w:val="24"/>
                    </w:rPr>
                  </w:pPr>
                  <w:r>
                    <w:rPr>
                      <w:rFonts w:eastAsiaTheme="minorEastAsia" w:cs="Arial"/>
                      <w:szCs w:val="24"/>
                    </w:rPr>
                    <w:t>Develop and agree with commissioners and national team</w:t>
                  </w:r>
                  <w:r w:rsidRPr="000A4C6F">
                    <w:rPr>
                      <w:rFonts w:eastAsiaTheme="minorEastAsia" w:cs="Arial"/>
                      <w:szCs w:val="24"/>
                    </w:rPr>
                    <w:t xml:space="preserve"> </w:t>
                  </w:r>
                  <w:r>
                    <w:rPr>
                      <w:rFonts w:eastAsiaTheme="minorEastAsia" w:cs="Arial"/>
                      <w:szCs w:val="24"/>
                    </w:rPr>
                    <w:t xml:space="preserve">an action plan to increase organ utilisation. </w:t>
                  </w:r>
                </w:p>
                <w:p w14:paraId="2F739BBE" w14:textId="77777777" w:rsidR="00263708" w:rsidRDefault="00263708" w:rsidP="00263708">
                  <w:pPr>
                    <w:pStyle w:val="ListParagraph"/>
                    <w:numPr>
                      <w:ilvl w:val="0"/>
                      <w:numId w:val="21"/>
                    </w:numPr>
                    <w:rPr>
                      <w:rFonts w:eastAsiaTheme="minorEastAsia" w:cs="Arial"/>
                      <w:szCs w:val="24"/>
                    </w:rPr>
                  </w:pPr>
                  <w:r>
                    <w:rPr>
                      <w:rFonts w:eastAsiaTheme="minorEastAsia" w:cs="Arial"/>
                      <w:szCs w:val="24"/>
                    </w:rPr>
                    <w:t xml:space="preserve">Set up monitoring of live </w:t>
                  </w:r>
                  <w:r w:rsidRPr="000A4C6F">
                    <w:rPr>
                      <w:rFonts w:eastAsiaTheme="minorEastAsia" w:cs="Arial"/>
                      <w:szCs w:val="24"/>
                    </w:rPr>
                    <w:t>donor rates wait times</w:t>
                  </w:r>
                  <w:r>
                    <w:rPr>
                      <w:rFonts w:eastAsiaTheme="minorEastAsia" w:cs="Arial"/>
                      <w:szCs w:val="24"/>
                    </w:rPr>
                    <w:t>.</w:t>
                  </w:r>
                </w:p>
                <w:p w14:paraId="6567F91E" w14:textId="77777777" w:rsidR="00263708" w:rsidRPr="000A4C6F" w:rsidRDefault="00263708" w:rsidP="00263708">
                  <w:pPr>
                    <w:pStyle w:val="ListParagraph"/>
                    <w:numPr>
                      <w:ilvl w:val="0"/>
                      <w:numId w:val="21"/>
                    </w:numPr>
                    <w:rPr>
                      <w:rFonts w:eastAsiaTheme="minorEastAsia" w:cs="Arial"/>
                      <w:szCs w:val="24"/>
                    </w:rPr>
                  </w:pPr>
                  <w:r>
                    <w:rPr>
                      <w:rFonts w:eastAsiaTheme="minorEastAsia" w:cs="Arial"/>
                      <w:szCs w:val="24"/>
                    </w:rPr>
                    <w:t xml:space="preserve">Develop and agree with commissioners and national team an Action Plan to reduce live donor work up wait times. </w:t>
                  </w:r>
                </w:p>
                <w:p w14:paraId="35DD4ADC" w14:textId="77777777" w:rsidR="00263708" w:rsidRDefault="00263708" w:rsidP="00263708">
                  <w:pPr>
                    <w:pStyle w:val="ListParagraph"/>
                    <w:numPr>
                      <w:ilvl w:val="0"/>
                      <w:numId w:val="21"/>
                    </w:numPr>
                    <w:rPr>
                      <w:rFonts w:eastAsiaTheme="minorEastAsia" w:cs="Arial"/>
                      <w:szCs w:val="24"/>
                    </w:rPr>
                  </w:pPr>
                  <w:r>
                    <w:rPr>
                      <w:rFonts w:eastAsiaTheme="minorEastAsia" w:cs="Arial"/>
                      <w:szCs w:val="24"/>
                    </w:rPr>
                    <w:t>R</w:t>
                  </w:r>
                  <w:r w:rsidRPr="000A4C6F">
                    <w:rPr>
                      <w:rFonts w:eastAsiaTheme="minorEastAsia" w:cs="Arial"/>
                      <w:szCs w:val="24"/>
                    </w:rPr>
                    <w:t>edesign</w:t>
                  </w:r>
                  <w:r>
                    <w:rPr>
                      <w:rFonts w:eastAsiaTheme="minorEastAsia" w:cs="Arial"/>
                      <w:szCs w:val="24"/>
                    </w:rPr>
                    <w:t xml:space="preserve"> service and or workforce</w:t>
                  </w:r>
                  <w:r w:rsidRPr="000A4C6F">
                    <w:rPr>
                      <w:rFonts w:eastAsiaTheme="minorEastAsia" w:cs="Arial"/>
                      <w:szCs w:val="24"/>
                    </w:rPr>
                    <w:t xml:space="preserve"> to reduce decline of organs</w:t>
                  </w:r>
                  <w:r>
                    <w:rPr>
                      <w:rFonts w:eastAsiaTheme="minorEastAsia" w:cs="Arial"/>
                      <w:szCs w:val="24"/>
                    </w:rPr>
                    <w:t xml:space="preserve"> and to increase living kidney donation</w:t>
                  </w:r>
                </w:p>
                <w:p w14:paraId="637805D2" w14:textId="77777777" w:rsidR="00263708" w:rsidRPr="00263708" w:rsidRDefault="00263708" w:rsidP="00263708">
                  <w:pPr>
                    <w:rPr>
                      <w:rFonts w:cs="Arial"/>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42760010" w14:textId="77777777" w:rsidR="00263708" w:rsidRDefault="00263708" w:rsidP="00263708">
                  <w:pPr>
                    <w:pStyle w:val="ListParagraph"/>
                    <w:numPr>
                      <w:ilvl w:val="0"/>
                      <w:numId w:val="21"/>
                    </w:numPr>
                    <w:spacing w:before="40" w:after="40"/>
                    <w:rPr>
                      <w:rFonts w:cs="Arial"/>
                      <w:szCs w:val="24"/>
                    </w:rPr>
                  </w:pPr>
                  <w:r w:rsidRPr="00CE380E">
                    <w:rPr>
                      <w:rFonts w:cs="Arial"/>
                      <w:szCs w:val="24"/>
                    </w:rPr>
                    <w:t>Demonstrate reduction in organ decline</w:t>
                  </w:r>
                  <w:r>
                    <w:rPr>
                      <w:rFonts w:cs="Arial"/>
                      <w:szCs w:val="24"/>
                    </w:rPr>
                    <w:t xml:space="preserve"> rates</w:t>
                  </w:r>
                  <w:r w:rsidRPr="00CE380E">
                    <w:rPr>
                      <w:rFonts w:cs="Arial"/>
                      <w:szCs w:val="24"/>
                    </w:rPr>
                    <w:t xml:space="preserve"> and increase in organ utilisation rates</w:t>
                  </w:r>
                </w:p>
                <w:p w14:paraId="15C1A935" w14:textId="77777777" w:rsidR="00263708" w:rsidRDefault="00263708" w:rsidP="00263708">
                  <w:pPr>
                    <w:pStyle w:val="ListParagraph"/>
                    <w:numPr>
                      <w:ilvl w:val="0"/>
                      <w:numId w:val="21"/>
                    </w:numPr>
                    <w:spacing w:before="40" w:after="40"/>
                    <w:rPr>
                      <w:rFonts w:cs="Arial"/>
                      <w:szCs w:val="24"/>
                    </w:rPr>
                  </w:pPr>
                  <w:r>
                    <w:rPr>
                      <w:rFonts w:cs="Arial"/>
                      <w:szCs w:val="24"/>
                    </w:rPr>
                    <w:t>Demonstrate reduction in live donor work up wait times</w:t>
                  </w:r>
                </w:p>
                <w:p w14:paraId="463F29E8" w14:textId="77777777" w:rsidR="00263708" w:rsidRDefault="00263708" w:rsidP="00263708">
                  <w:pPr>
                    <w:rPr>
                      <w:rFonts w:cs="Arial"/>
                      <w:szCs w:val="24"/>
                    </w:rPr>
                  </w:pPr>
                </w:p>
                <w:p w14:paraId="4DDB9921" w14:textId="77777777" w:rsidR="00263708" w:rsidRPr="00263708" w:rsidRDefault="00263708" w:rsidP="00263708">
                  <w:pPr>
                    <w:rPr>
                      <w:rFonts w:eastAsiaTheme="minorEastAsia" w:cs="Arial"/>
                      <w:szCs w:val="24"/>
                    </w:rPr>
                  </w:pPr>
                  <w:r w:rsidRPr="00263708">
                    <w:rPr>
                      <w:rFonts w:cs="Arial"/>
                      <w:szCs w:val="24"/>
                    </w:rPr>
                    <w:t>Increase organ utilisation rate by 2.5</w:t>
                  </w:r>
                  <w:r>
                    <w:rPr>
                      <w:rFonts w:cs="Arial"/>
                      <w:szCs w:val="24"/>
                    </w:rPr>
                    <w:t xml:space="preserve"> percentage points </w:t>
                  </w:r>
                  <w:r w:rsidRPr="00263708">
                    <w:rPr>
                      <w:rFonts w:cs="Arial"/>
                      <w:szCs w:val="24"/>
                    </w:rPr>
                    <w:t>for each of:</w:t>
                  </w:r>
                </w:p>
                <w:p w14:paraId="2E6537D3" w14:textId="77777777" w:rsidR="00263708" w:rsidRPr="00263708" w:rsidRDefault="00263708" w:rsidP="00401783">
                  <w:pPr>
                    <w:pStyle w:val="ListParagraph"/>
                    <w:numPr>
                      <w:ilvl w:val="0"/>
                      <w:numId w:val="22"/>
                    </w:numPr>
                  </w:pPr>
                  <w:r w:rsidRPr="00263708">
                    <w:rPr>
                      <w:rFonts w:cs="Arial"/>
                      <w:szCs w:val="24"/>
                    </w:rPr>
                    <w:t xml:space="preserve">Standard criteria donor </w:t>
                  </w:r>
                  <w:proofErr w:type="spellStart"/>
                  <w:r w:rsidRPr="00263708">
                    <w:rPr>
                      <w:rFonts w:cs="Arial"/>
                      <w:szCs w:val="24"/>
                    </w:rPr>
                    <w:t>Donor</w:t>
                  </w:r>
                  <w:proofErr w:type="spellEnd"/>
                  <w:r w:rsidRPr="00263708">
                    <w:rPr>
                      <w:rFonts w:cs="Arial"/>
                      <w:szCs w:val="24"/>
                    </w:rPr>
                    <w:t xml:space="preserve"> after Brain Death (DBD) </w:t>
                  </w:r>
                </w:p>
                <w:p w14:paraId="18B25C23" w14:textId="77777777" w:rsidR="00263708" w:rsidRPr="00263708" w:rsidRDefault="00263708" w:rsidP="00401783">
                  <w:pPr>
                    <w:pStyle w:val="ListParagraph"/>
                    <w:numPr>
                      <w:ilvl w:val="0"/>
                      <w:numId w:val="22"/>
                    </w:numPr>
                    <w:rPr>
                      <w:rFonts w:cs="Arial"/>
                      <w:szCs w:val="24"/>
                    </w:rPr>
                  </w:pPr>
                  <w:r w:rsidRPr="00263708">
                    <w:rPr>
                      <w:rFonts w:cs="Arial"/>
                      <w:szCs w:val="24"/>
                    </w:rPr>
                    <w:t>Extended criteria donor DBD</w:t>
                  </w:r>
                  <w:r>
                    <w:t xml:space="preserve"> </w:t>
                  </w:r>
                </w:p>
                <w:p w14:paraId="19536513" w14:textId="77777777" w:rsidR="00263708" w:rsidRPr="00263708" w:rsidRDefault="00263708" w:rsidP="00401783">
                  <w:pPr>
                    <w:pStyle w:val="ListParagraph"/>
                    <w:numPr>
                      <w:ilvl w:val="0"/>
                      <w:numId w:val="22"/>
                    </w:numPr>
                    <w:rPr>
                      <w:rFonts w:cs="Arial"/>
                      <w:szCs w:val="24"/>
                    </w:rPr>
                  </w:pPr>
                  <w:r w:rsidRPr="00263708">
                    <w:rPr>
                      <w:rFonts w:cs="Arial"/>
                      <w:szCs w:val="24"/>
                    </w:rPr>
                    <w:t>Donation after circulatory death</w:t>
                  </w:r>
                </w:p>
                <w:p w14:paraId="3B7B4B86" w14:textId="77777777" w:rsidR="00263708" w:rsidRPr="00CE380E" w:rsidRDefault="00263708" w:rsidP="00263708">
                  <w:pPr>
                    <w:pStyle w:val="ListParagraph"/>
                    <w:spacing w:before="40" w:after="40"/>
                    <w:rPr>
                      <w:rFonts w:cs="Arial"/>
                      <w:szCs w:val="24"/>
                    </w:rPr>
                  </w:pPr>
                </w:p>
              </w:tc>
              <w:tc>
                <w:tcPr>
                  <w:tcW w:w="2489" w:type="dxa"/>
                  <w:tcBorders>
                    <w:top w:val="single" w:sz="4" w:space="0" w:color="auto"/>
                    <w:left w:val="single" w:sz="4" w:space="0" w:color="auto"/>
                    <w:bottom w:val="single" w:sz="4" w:space="0" w:color="auto"/>
                    <w:right w:val="single" w:sz="4" w:space="0" w:color="auto"/>
                  </w:tcBorders>
                </w:tcPr>
                <w:p w14:paraId="158348FC" w14:textId="77777777" w:rsidR="00263708" w:rsidRPr="00263708" w:rsidRDefault="00263708" w:rsidP="00263708">
                  <w:pPr>
                    <w:rPr>
                      <w:rFonts w:eastAsiaTheme="minorEastAsia" w:cs="Arial"/>
                      <w:szCs w:val="24"/>
                    </w:rPr>
                  </w:pPr>
                  <w:r w:rsidRPr="00263708">
                    <w:rPr>
                      <w:rFonts w:cs="Arial"/>
                      <w:szCs w:val="24"/>
                    </w:rPr>
                    <w:t>Increase organ utilisation rate by 2.5</w:t>
                  </w:r>
                  <w:r>
                    <w:rPr>
                      <w:rFonts w:cs="Arial"/>
                      <w:szCs w:val="24"/>
                    </w:rPr>
                    <w:t xml:space="preserve"> percentage points </w:t>
                  </w:r>
                  <w:r w:rsidRPr="00263708">
                    <w:rPr>
                      <w:rFonts w:cs="Arial"/>
                      <w:szCs w:val="24"/>
                    </w:rPr>
                    <w:t>for each of:</w:t>
                  </w:r>
                </w:p>
                <w:p w14:paraId="7DE7A5D0" w14:textId="77777777" w:rsidR="00263708" w:rsidRPr="00263708" w:rsidRDefault="00263708" w:rsidP="00263708">
                  <w:pPr>
                    <w:pStyle w:val="ListParagraph"/>
                    <w:numPr>
                      <w:ilvl w:val="0"/>
                      <w:numId w:val="22"/>
                    </w:numPr>
                  </w:pPr>
                  <w:r w:rsidRPr="00263708">
                    <w:rPr>
                      <w:rFonts w:cs="Arial"/>
                      <w:szCs w:val="24"/>
                    </w:rPr>
                    <w:t xml:space="preserve">Standard criteria donor </w:t>
                  </w:r>
                  <w:proofErr w:type="spellStart"/>
                  <w:r w:rsidRPr="00263708">
                    <w:rPr>
                      <w:rFonts w:cs="Arial"/>
                      <w:szCs w:val="24"/>
                    </w:rPr>
                    <w:t>Donor</w:t>
                  </w:r>
                  <w:proofErr w:type="spellEnd"/>
                  <w:r w:rsidRPr="00263708">
                    <w:rPr>
                      <w:rFonts w:cs="Arial"/>
                      <w:szCs w:val="24"/>
                    </w:rPr>
                    <w:t xml:space="preserve"> after Brain Death (DBD) </w:t>
                  </w:r>
                </w:p>
                <w:p w14:paraId="04876838" w14:textId="77777777" w:rsidR="00263708" w:rsidRPr="00263708" w:rsidRDefault="00263708" w:rsidP="00263708">
                  <w:pPr>
                    <w:pStyle w:val="ListParagraph"/>
                    <w:numPr>
                      <w:ilvl w:val="0"/>
                      <w:numId w:val="22"/>
                    </w:numPr>
                    <w:rPr>
                      <w:rFonts w:cs="Arial"/>
                      <w:szCs w:val="24"/>
                    </w:rPr>
                  </w:pPr>
                  <w:r w:rsidRPr="00263708">
                    <w:rPr>
                      <w:rFonts w:cs="Arial"/>
                      <w:szCs w:val="24"/>
                    </w:rPr>
                    <w:t>Extended criteria donor DBD</w:t>
                  </w:r>
                  <w:r>
                    <w:t xml:space="preserve"> </w:t>
                  </w:r>
                </w:p>
                <w:p w14:paraId="496F89E6" w14:textId="77777777" w:rsidR="00263708" w:rsidRPr="00263708" w:rsidRDefault="00263708" w:rsidP="00263708">
                  <w:pPr>
                    <w:pStyle w:val="ListParagraph"/>
                    <w:numPr>
                      <w:ilvl w:val="0"/>
                      <w:numId w:val="22"/>
                    </w:numPr>
                    <w:rPr>
                      <w:rFonts w:cs="Arial"/>
                      <w:szCs w:val="24"/>
                    </w:rPr>
                  </w:pPr>
                  <w:r w:rsidRPr="00263708">
                    <w:rPr>
                      <w:rFonts w:cs="Arial"/>
                      <w:szCs w:val="24"/>
                    </w:rPr>
                    <w:t>Donation after circulatory death</w:t>
                  </w:r>
                </w:p>
                <w:p w14:paraId="3A0FF5F2" w14:textId="77777777" w:rsidR="00263708" w:rsidRPr="00263708" w:rsidRDefault="00263708" w:rsidP="00263708">
                  <w:pPr>
                    <w:rPr>
                      <w:rFonts w:cs="Arial"/>
                      <w:szCs w:val="24"/>
                    </w:rPr>
                  </w:pPr>
                </w:p>
              </w:tc>
            </w:tr>
            <w:tr w:rsidR="00263708" w:rsidRPr="00C0263E" w14:paraId="3527BDD8" w14:textId="77777777" w:rsidTr="00263708">
              <w:trPr>
                <w:trHeight w:val="812"/>
              </w:trPr>
              <w:tc>
                <w:tcPr>
                  <w:tcW w:w="1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A777" w14:textId="77777777" w:rsidR="00263708" w:rsidRDefault="00263708" w:rsidP="00717512">
                  <w:pPr>
                    <w:spacing w:before="40" w:after="40"/>
                    <w:rPr>
                      <w:rFonts w:cs="Arial"/>
                      <w:b/>
                      <w:szCs w:val="24"/>
                    </w:rPr>
                  </w:pPr>
                  <w:r>
                    <w:rPr>
                      <w:rFonts w:cs="Arial"/>
                      <w:b/>
                      <w:szCs w:val="24"/>
                    </w:rPr>
                    <w:t>Trigger 3</w:t>
                  </w:r>
                </w:p>
                <w:p w14:paraId="6BAB8CE5" w14:textId="77777777" w:rsidR="00263708" w:rsidRDefault="00263708" w:rsidP="00717512">
                  <w:pPr>
                    <w:spacing w:before="40" w:after="40"/>
                    <w:rPr>
                      <w:rFonts w:cs="Arial"/>
                      <w:b/>
                      <w:szCs w:val="24"/>
                    </w:rPr>
                  </w:pPr>
                  <w:r>
                    <w:rPr>
                      <w:rFonts w:cs="Arial"/>
                      <w:b/>
                      <w:szCs w:val="24"/>
                    </w:rPr>
                    <w:t>Donor and Recipient Experience in networked providers</w:t>
                  </w:r>
                </w:p>
                <w:p w14:paraId="5630AD66" w14:textId="77777777" w:rsidR="00263708" w:rsidRDefault="00263708" w:rsidP="00717512">
                  <w:pPr>
                    <w:spacing w:before="40" w:after="40"/>
                    <w:rPr>
                      <w:rFonts w:cs="Arial"/>
                      <w:b/>
                      <w:szCs w:val="24"/>
                    </w:rPr>
                  </w:pP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DD09E2F" w14:textId="77777777" w:rsidR="00263708" w:rsidRPr="000A4C6F" w:rsidRDefault="00263708" w:rsidP="00717512">
                  <w:pPr>
                    <w:pStyle w:val="ListParagraph"/>
                    <w:numPr>
                      <w:ilvl w:val="0"/>
                      <w:numId w:val="21"/>
                    </w:numPr>
                    <w:rPr>
                      <w:rFonts w:eastAsiaTheme="minorEastAsia" w:cs="Arial"/>
                      <w:szCs w:val="24"/>
                    </w:rPr>
                  </w:pPr>
                  <w:r>
                    <w:rPr>
                      <w:rFonts w:eastAsiaTheme="minorEastAsia" w:cs="Arial"/>
                      <w:szCs w:val="24"/>
                    </w:rPr>
                    <w:t>Work with appropriate NHS BT leads to develop m</w:t>
                  </w:r>
                  <w:r w:rsidRPr="000A4C6F">
                    <w:rPr>
                      <w:rFonts w:eastAsiaTheme="minorEastAsia" w:cs="Arial"/>
                      <w:szCs w:val="24"/>
                    </w:rPr>
                    <w:t>easur</w:t>
                  </w:r>
                  <w:r>
                    <w:rPr>
                      <w:rFonts w:eastAsiaTheme="minorEastAsia" w:cs="Arial"/>
                      <w:szCs w:val="24"/>
                    </w:rPr>
                    <w:t>es to report upon</w:t>
                  </w:r>
                  <w:r w:rsidRPr="000A4C6F">
                    <w:rPr>
                      <w:rFonts w:eastAsiaTheme="minorEastAsia" w:cs="Arial"/>
                      <w:szCs w:val="24"/>
                    </w:rPr>
                    <w:t xml:space="preserve"> donor and recipient </w:t>
                  </w:r>
                  <w:r w:rsidRPr="000A4C6F">
                    <w:rPr>
                      <w:rFonts w:eastAsiaTheme="minorEastAsia" w:cs="Arial"/>
                      <w:szCs w:val="24"/>
                    </w:rPr>
                    <w:lastRenderedPageBreak/>
                    <w:t>experience</w:t>
                  </w:r>
                  <w:r>
                    <w:rPr>
                      <w:rFonts w:eastAsiaTheme="minorEastAsia" w:cs="Arial"/>
                      <w:szCs w:val="24"/>
                    </w:rPr>
                    <w:t xml:space="preserve"> agreed with commissioners and national team</w:t>
                  </w:r>
                </w:p>
                <w:p w14:paraId="61829076" w14:textId="77777777" w:rsidR="00263708" w:rsidRPr="00C0263E" w:rsidRDefault="00263708" w:rsidP="00717512">
                  <w:pPr>
                    <w:spacing w:before="40" w:after="40"/>
                    <w:rPr>
                      <w:rFonts w:cs="Arial"/>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2FDEB03F" w14:textId="77777777" w:rsidR="00263708" w:rsidRPr="00FB0588" w:rsidRDefault="00263708" w:rsidP="00263708">
                  <w:pPr>
                    <w:pStyle w:val="ListParagraph"/>
                    <w:numPr>
                      <w:ilvl w:val="0"/>
                      <w:numId w:val="21"/>
                    </w:numPr>
                    <w:rPr>
                      <w:rFonts w:cs="Arial"/>
                      <w:szCs w:val="24"/>
                    </w:rPr>
                  </w:pPr>
                  <w:r w:rsidRPr="00FC5490">
                    <w:rPr>
                      <w:rFonts w:cs="Arial"/>
                      <w:szCs w:val="24"/>
                    </w:rPr>
                    <w:lastRenderedPageBreak/>
                    <w:t>Measure and report upon donor and recipient experience</w:t>
                  </w:r>
                  <w:r>
                    <w:t xml:space="preserve"> </w:t>
                  </w:r>
                </w:p>
                <w:p w14:paraId="2BA226A1" w14:textId="77777777" w:rsidR="00263708" w:rsidRPr="00CE380E" w:rsidRDefault="00263708" w:rsidP="00263708">
                  <w:pPr>
                    <w:pStyle w:val="ListParagraph"/>
                    <w:spacing w:before="40" w:after="40"/>
                    <w:rPr>
                      <w:rFonts w:cs="Arial"/>
                      <w:szCs w:val="24"/>
                    </w:rPr>
                  </w:pPr>
                </w:p>
              </w:tc>
              <w:tc>
                <w:tcPr>
                  <w:tcW w:w="2489" w:type="dxa"/>
                  <w:tcBorders>
                    <w:top w:val="single" w:sz="4" w:space="0" w:color="auto"/>
                    <w:left w:val="single" w:sz="4" w:space="0" w:color="auto"/>
                    <w:bottom w:val="single" w:sz="4" w:space="0" w:color="auto"/>
                    <w:right w:val="single" w:sz="4" w:space="0" w:color="auto"/>
                  </w:tcBorders>
                </w:tcPr>
                <w:p w14:paraId="561BE638" w14:textId="77777777" w:rsidR="00263708" w:rsidRPr="00FB0588" w:rsidRDefault="00263708" w:rsidP="00263708">
                  <w:pPr>
                    <w:pStyle w:val="ListParagraph"/>
                    <w:numPr>
                      <w:ilvl w:val="0"/>
                      <w:numId w:val="21"/>
                    </w:numPr>
                    <w:rPr>
                      <w:rFonts w:cs="Arial"/>
                      <w:szCs w:val="24"/>
                    </w:rPr>
                  </w:pPr>
                  <w:r w:rsidRPr="00FC5490">
                    <w:rPr>
                      <w:rFonts w:cs="Arial"/>
                      <w:szCs w:val="24"/>
                    </w:rPr>
                    <w:t>Measure and report upon donor and recipient experience</w:t>
                  </w:r>
                  <w:r>
                    <w:t xml:space="preserve"> </w:t>
                  </w:r>
                </w:p>
                <w:p w14:paraId="17AD93B2" w14:textId="77777777" w:rsidR="00263708" w:rsidRPr="00FC5490" w:rsidRDefault="00263708" w:rsidP="00263708">
                  <w:pPr>
                    <w:pStyle w:val="ListParagraph"/>
                    <w:rPr>
                      <w:rFonts w:cs="Arial"/>
                      <w:szCs w:val="24"/>
                    </w:rPr>
                  </w:pPr>
                </w:p>
              </w:tc>
            </w:tr>
            <w:tr w:rsidR="00263708" w:rsidRPr="00C0263E" w14:paraId="36C4AF07" w14:textId="77777777" w:rsidTr="00263708">
              <w:trPr>
                <w:trHeight w:val="619"/>
              </w:trPr>
              <w:tc>
                <w:tcPr>
                  <w:tcW w:w="1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1BD48" w14:textId="77777777" w:rsidR="00263708" w:rsidRDefault="00263708" w:rsidP="00717512">
                  <w:pPr>
                    <w:spacing w:before="40" w:after="40"/>
                    <w:rPr>
                      <w:rFonts w:cs="Arial"/>
                      <w:b/>
                      <w:szCs w:val="24"/>
                    </w:rPr>
                  </w:pPr>
                  <w:r>
                    <w:rPr>
                      <w:rFonts w:cs="Arial"/>
                      <w:b/>
                      <w:szCs w:val="24"/>
                    </w:rPr>
                    <w:t>Trigger 4</w:t>
                  </w:r>
                </w:p>
                <w:p w14:paraId="53E068D1" w14:textId="77777777" w:rsidR="00263708" w:rsidRDefault="00263708" w:rsidP="00717512">
                  <w:pPr>
                    <w:spacing w:before="40" w:after="40"/>
                    <w:rPr>
                      <w:rFonts w:cs="Arial"/>
                      <w:b/>
                      <w:szCs w:val="24"/>
                    </w:rPr>
                  </w:pPr>
                  <w:r>
                    <w:rPr>
                      <w:rFonts w:cs="Arial"/>
                      <w:b/>
                      <w:szCs w:val="24"/>
                    </w:rPr>
                    <w:t>Promoting Donation</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653DC131" w14:textId="77777777" w:rsidR="00263708" w:rsidRDefault="00263708" w:rsidP="00263708">
                  <w:pPr>
                    <w:pStyle w:val="ListParagraph"/>
                    <w:numPr>
                      <w:ilvl w:val="0"/>
                      <w:numId w:val="21"/>
                    </w:numPr>
                    <w:rPr>
                      <w:rFonts w:eastAsiaTheme="minorEastAsia" w:cs="Arial"/>
                      <w:szCs w:val="24"/>
                    </w:rPr>
                  </w:pPr>
                  <w:r>
                    <w:rPr>
                      <w:rFonts w:eastAsiaTheme="minorEastAsia" w:cs="Arial"/>
                      <w:szCs w:val="24"/>
                    </w:rPr>
                    <w:t xml:space="preserve">Agree and share </w:t>
                  </w:r>
                  <w:r w:rsidRPr="0077236B">
                    <w:rPr>
                      <w:rFonts w:eastAsiaTheme="minorEastAsia" w:cs="Arial"/>
                      <w:szCs w:val="24"/>
                    </w:rPr>
                    <w:t>educational resources to support decision-making</w:t>
                  </w:r>
                  <w:r>
                    <w:rPr>
                      <w:rFonts w:eastAsiaTheme="minorEastAsia" w:cs="Arial"/>
                      <w:szCs w:val="24"/>
                    </w:rPr>
                    <w:t xml:space="preserve"> for living donors.</w:t>
                  </w:r>
                </w:p>
                <w:p w14:paraId="6A974D8B" w14:textId="77777777" w:rsidR="00263708" w:rsidRPr="007A3A8C" w:rsidRDefault="00263708" w:rsidP="00717512">
                  <w:pPr>
                    <w:pStyle w:val="ListParagraph"/>
                    <w:numPr>
                      <w:ilvl w:val="0"/>
                      <w:numId w:val="21"/>
                    </w:numPr>
                    <w:rPr>
                      <w:rFonts w:eastAsiaTheme="minorEastAsia" w:cs="Arial"/>
                      <w:szCs w:val="24"/>
                    </w:rPr>
                  </w:pPr>
                  <w:r w:rsidRPr="007A3A8C">
                    <w:rPr>
                      <w:rFonts w:eastAsiaTheme="minorEastAsia" w:cs="Arial"/>
                      <w:szCs w:val="24"/>
                    </w:rPr>
                    <w:t xml:space="preserve">Develop </w:t>
                  </w:r>
                  <w:r>
                    <w:rPr>
                      <w:rFonts w:eastAsiaTheme="minorEastAsia" w:cs="Arial"/>
                      <w:szCs w:val="24"/>
                    </w:rPr>
                    <w:t>and agree with commissioners and national team</w:t>
                  </w:r>
                  <w:r w:rsidRPr="007A3A8C">
                    <w:rPr>
                      <w:rFonts w:eastAsiaTheme="minorEastAsia" w:cs="Arial"/>
                      <w:szCs w:val="24"/>
                    </w:rPr>
                    <w:t xml:space="preserve"> an action plan to increase consent for organ donation and increase living kidney donation</w:t>
                  </w:r>
                  <w:r>
                    <w:rPr>
                      <w:rFonts w:eastAsiaTheme="minorEastAsia" w:cs="Arial"/>
                      <w:szCs w:val="24"/>
                    </w:rPr>
                    <w:t xml:space="preserve">. </w:t>
                  </w:r>
                </w:p>
                <w:p w14:paraId="0DE4B5B7" w14:textId="77777777" w:rsidR="00263708" w:rsidRPr="00C0263E" w:rsidRDefault="00263708" w:rsidP="00717512">
                  <w:pPr>
                    <w:spacing w:before="40" w:after="40"/>
                    <w:rPr>
                      <w:rFonts w:cs="Arial"/>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358E6710" w14:textId="77777777" w:rsidR="00263708" w:rsidRDefault="00263708" w:rsidP="00263708">
                  <w:pPr>
                    <w:pStyle w:val="ListParagraph"/>
                    <w:numPr>
                      <w:ilvl w:val="0"/>
                      <w:numId w:val="21"/>
                    </w:numPr>
                    <w:rPr>
                      <w:rFonts w:cs="Arial"/>
                      <w:szCs w:val="24"/>
                    </w:rPr>
                  </w:pPr>
                  <w:r w:rsidRPr="0033147E">
                    <w:rPr>
                      <w:rFonts w:cs="Arial"/>
                      <w:szCs w:val="24"/>
                    </w:rPr>
                    <w:t>Increase consent for organ donation to &gt;</w:t>
                  </w:r>
                  <w:r>
                    <w:rPr>
                      <w:rFonts w:cs="Arial"/>
                      <w:szCs w:val="24"/>
                    </w:rPr>
                    <w:t>6</w:t>
                  </w:r>
                  <w:r w:rsidRPr="0033147E">
                    <w:rPr>
                      <w:rFonts w:cs="Arial"/>
                      <w:szCs w:val="24"/>
                    </w:rPr>
                    <w:t xml:space="preserve">0% </w:t>
                  </w:r>
                  <w:r>
                    <w:rPr>
                      <w:rFonts w:cs="Arial"/>
                      <w:szCs w:val="24"/>
                    </w:rPr>
                    <w:t>in networked providers</w:t>
                  </w:r>
                </w:p>
                <w:p w14:paraId="66204FF1" w14:textId="77777777" w:rsidR="00263708" w:rsidRPr="00263708" w:rsidRDefault="00263708" w:rsidP="00263708">
                  <w:pPr>
                    <w:spacing w:before="40" w:after="40"/>
                    <w:rPr>
                      <w:rFonts w:cs="Arial"/>
                      <w:szCs w:val="24"/>
                    </w:rPr>
                  </w:pPr>
                </w:p>
              </w:tc>
              <w:tc>
                <w:tcPr>
                  <w:tcW w:w="2489" w:type="dxa"/>
                  <w:tcBorders>
                    <w:top w:val="single" w:sz="4" w:space="0" w:color="auto"/>
                    <w:left w:val="single" w:sz="4" w:space="0" w:color="auto"/>
                    <w:bottom w:val="single" w:sz="4" w:space="0" w:color="auto"/>
                    <w:right w:val="single" w:sz="4" w:space="0" w:color="auto"/>
                  </w:tcBorders>
                </w:tcPr>
                <w:p w14:paraId="4EB778EA" w14:textId="77777777" w:rsidR="00263708" w:rsidRDefault="00263708" w:rsidP="00263708">
                  <w:pPr>
                    <w:pStyle w:val="ListParagraph"/>
                    <w:numPr>
                      <w:ilvl w:val="0"/>
                      <w:numId w:val="21"/>
                    </w:numPr>
                    <w:rPr>
                      <w:rFonts w:cs="Arial"/>
                      <w:szCs w:val="24"/>
                    </w:rPr>
                  </w:pPr>
                  <w:r w:rsidRPr="0033147E">
                    <w:rPr>
                      <w:rFonts w:cs="Arial"/>
                      <w:szCs w:val="24"/>
                    </w:rPr>
                    <w:t>Increase consent for organ donation to &gt;</w:t>
                  </w:r>
                  <w:r>
                    <w:rPr>
                      <w:rFonts w:cs="Arial"/>
                      <w:szCs w:val="24"/>
                    </w:rPr>
                    <w:t>8</w:t>
                  </w:r>
                  <w:r w:rsidRPr="0033147E">
                    <w:rPr>
                      <w:rFonts w:cs="Arial"/>
                      <w:szCs w:val="24"/>
                    </w:rPr>
                    <w:t xml:space="preserve">0% </w:t>
                  </w:r>
                  <w:r>
                    <w:rPr>
                      <w:rFonts w:cs="Arial"/>
                      <w:szCs w:val="24"/>
                    </w:rPr>
                    <w:t>in networked providers</w:t>
                  </w:r>
                </w:p>
                <w:p w14:paraId="2DBF0D7D" w14:textId="77777777" w:rsidR="00263708" w:rsidRPr="00CE380E" w:rsidRDefault="00263708" w:rsidP="00263708">
                  <w:pPr>
                    <w:pStyle w:val="ListParagraph"/>
                    <w:spacing w:before="40" w:after="40"/>
                    <w:rPr>
                      <w:rFonts w:cs="Arial"/>
                      <w:szCs w:val="24"/>
                    </w:rPr>
                  </w:pPr>
                </w:p>
              </w:tc>
            </w:tr>
          </w:tbl>
          <w:p w14:paraId="6B62F1B3" w14:textId="77777777" w:rsidR="00CF3963" w:rsidRDefault="00CF3963" w:rsidP="0084461B">
            <w:pPr>
              <w:rPr>
                <w:rFonts w:cs="Arial"/>
                <w:szCs w:val="24"/>
              </w:rPr>
            </w:pPr>
          </w:p>
          <w:p w14:paraId="02F2C34E" w14:textId="77777777" w:rsidR="00CF3963" w:rsidRPr="00C0210F" w:rsidRDefault="00CF3963" w:rsidP="005931C4">
            <w:pPr>
              <w:rPr>
                <w:rFonts w:eastAsiaTheme="minorEastAsia" w:cs="Arial"/>
                <w:szCs w:val="24"/>
              </w:rPr>
            </w:pPr>
          </w:p>
        </w:tc>
      </w:tr>
      <w:tr w:rsidR="00CF3963" w:rsidRPr="000412A1" w14:paraId="51FFB5E7" w14:textId="77777777" w:rsidTr="00CF3963">
        <w:tc>
          <w:tcPr>
            <w:tcW w:w="5000" w:type="pct"/>
            <w:gridSpan w:val="3"/>
          </w:tcPr>
          <w:p w14:paraId="4806906C"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1CD73D54"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312"/>
              <w:gridCol w:w="2750"/>
              <w:gridCol w:w="2382"/>
            </w:tblGrid>
            <w:tr w:rsidR="00E17A0D" w:rsidRPr="00C0263E" w14:paraId="662E5FA8" w14:textId="77777777" w:rsidTr="00E17A0D">
              <w:tc>
                <w:tcPr>
                  <w:tcW w:w="1937" w:type="dxa"/>
                  <w:tcBorders>
                    <w:top w:val="single" w:sz="4" w:space="0" w:color="auto"/>
                    <w:left w:val="single" w:sz="4" w:space="0" w:color="auto"/>
                    <w:bottom w:val="single" w:sz="4" w:space="0" w:color="auto"/>
                    <w:right w:val="single" w:sz="4" w:space="0" w:color="auto"/>
                  </w:tcBorders>
                  <w:shd w:val="clear" w:color="auto" w:fill="F2F2F2"/>
                </w:tcPr>
                <w:p w14:paraId="72B3812F" w14:textId="77777777" w:rsidR="00E17A0D" w:rsidRPr="00C0263E" w:rsidRDefault="00E17A0D" w:rsidP="00E17A0D">
                  <w:pPr>
                    <w:spacing w:before="40" w:after="40"/>
                    <w:rPr>
                      <w:rFonts w:cs="Arial"/>
                      <w:b/>
                      <w:szCs w:val="24"/>
                    </w:rPr>
                  </w:pPr>
                  <w:r>
                    <w:rPr>
                      <w:rFonts w:cs="Arial"/>
                      <w:b/>
                      <w:szCs w:val="24"/>
                    </w:rPr>
                    <w:t>Percentages of Target Payment per Trigger</w:t>
                  </w:r>
                </w:p>
              </w:tc>
              <w:tc>
                <w:tcPr>
                  <w:tcW w:w="2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A3DB2F" w14:textId="77777777" w:rsidR="00E17A0D" w:rsidRPr="00EC3C9D" w:rsidRDefault="00E17A0D" w:rsidP="00E17A0D">
                  <w:pPr>
                    <w:spacing w:before="40" w:after="40"/>
                    <w:rPr>
                      <w:rFonts w:cs="Arial"/>
                      <w:b/>
                      <w:szCs w:val="24"/>
                    </w:rPr>
                  </w:pPr>
                  <w:r>
                    <w:rPr>
                      <w:rFonts w:cs="Arial"/>
                      <w:b/>
                      <w:szCs w:val="24"/>
                    </w:rPr>
                    <w:t xml:space="preserve">First Year of </w:t>
                  </w:r>
                  <w:r w:rsidR="001F421F">
                    <w:rPr>
                      <w:rFonts w:cs="Arial"/>
                      <w:b/>
                      <w:szCs w:val="24"/>
                    </w:rPr>
                    <w:t>indicator</w:t>
                  </w:r>
                </w:p>
              </w:tc>
              <w:tc>
                <w:tcPr>
                  <w:tcW w:w="27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B64FCD" w14:textId="77777777" w:rsidR="00E17A0D" w:rsidRPr="00EC3C9D" w:rsidRDefault="00E17A0D" w:rsidP="00E17A0D">
                  <w:pPr>
                    <w:spacing w:before="40" w:after="40"/>
                    <w:rPr>
                      <w:rFonts w:cs="Arial"/>
                      <w:b/>
                      <w:szCs w:val="24"/>
                    </w:rPr>
                  </w:pPr>
                  <w:r>
                    <w:rPr>
                      <w:rFonts w:cs="Arial"/>
                      <w:b/>
                      <w:szCs w:val="24"/>
                    </w:rPr>
                    <w:t>Second Year</w:t>
                  </w:r>
                </w:p>
              </w:tc>
              <w:tc>
                <w:tcPr>
                  <w:tcW w:w="23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C9616" w14:textId="77777777" w:rsidR="00E17A0D" w:rsidRPr="00EC3C9D" w:rsidRDefault="00E17A0D" w:rsidP="00E17A0D">
                  <w:pPr>
                    <w:spacing w:before="40" w:after="40"/>
                    <w:rPr>
                      <w:rFonts w:cs="Arial"/>
                      <w:b/>
                      <w:szCs w:val="24"/>
                    </w:rPr>
                  </w:pPr>
                  <w:r>
                    <w:rPr>
                      <w:rFonts w:cs="Arial"/>
                      <w:b/>
                      <w:szCs w:val="24"/>
                    </w:rPr>
                    <w:t>Third Year</w:t>
                  </w:r>
                </w:p>
              </w:tc>
            </w:tr>
            <w:tr w:rsidR="00263708" w:rsidRPr="00C0263E" w14:paraId="1E0EA03B" w14:textId="77777777" w:rsidTr="00E17A0D">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2E6355B9" w14:textId="77777777" w:rsidR="00263708" w:rsidRDefault="00263708" w:rsidP="00263708">
                  <w:pPr>
                    <w:spacing w:before="40" w:after="40"/>
                    <w:rPr>
                      <w:rFonts w:cs="Arial"/>
                      <w:b/>
                      <w:szCs w:val="24"/>
                    </w:rPr>
                  </w:pPr>
                  <w:r>
                    <w:rPr>
                      <w:rFonts w:cs="Arial"/>
                      <w:b/>
                      <w:szCs w:val="24"/>
                    </w:rPr>
                    <w:t>Trigger 1</w:t>
                  </w:r>
                </w:p>
                <w:p w14:paraId="680A4E5D" w14:textId="77777777" w:rsidR="00263708" w:rsidRPr="00C0263E" w:rsidRDefault="00263708" w:rsidP="00263708">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14:paraId="17DCED26" w14:textId="77777777" w:rsidR="00263708" w:rsidRPr="00C0263E" w:rsidRDefault="00263708" w:rsidP="00263708">
                  <w:pPr>
                    <w:spacing w:before="40" w:after="40"/>
                    <w:rPr>
                      <w:rFonts w:cs="Arial"/>
                      <w:szCs w:val="24"/>
                    </w:rPr>
                  </w:pPr>
                  <w:r>
                    <w:rPr>
                      <w:rFonts w:cs="Arial"/>
                      <w:szCs w:val="24"/>
                    </w:rPr>
                    <w:t>20%</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598B85BA" w14:textId="77777777" w:rsidR="00263708" w:rsidRPr="00C0263E" w:rsidRDefault="00263708" w:rsidP="00263708">
                  <w:pPr>
                    <w:spacing w:before="40" w:after="40"/>
                    <w:rPr>
                      <w:rFonts w:cs="Arial"/>
                      <w:szCs w:val="24"/>
                    </w:rPr>
                  </w:pPr>
                  <w:r>
                    <w:rPr>
                      <w:rFonts w:cs="Arial"/>
                      <w:szCs w:val="24"/>
                    </w:rPr>
                    <w:t>5%</w:t>
                  </w:r>
                </w:p>
              </w:tc>
              <w:tc>
                <w:tcPr>
                  <w:tcW w:w="2382" w:type="dxa"/>
                  <w:tcBorders>
                    <w:top w:val="single" w:sz="4" w:space="0" w:color="auto"/>
                    <w:left w:val="single" w:sz="4" w:space="0" w:color="auto"/>
                    <w:bottom w:val="single" w:sz="4" w:space="0" w:color="auto"/>
                    <w:right w:val="single" w:sz="4" w:space="0" w:color="auto"/>
                  </w:tcBorders>
                </w:tcPr>
                <w:p w14:paraId="0901656B" w14:textId="77777777" w:rsidR="00263708" w:rsidRPr="00C0263E" w:rsidRDefault="00263708" w:rsidP="00263708">
                  <w:pPr>
                    <w:spacing w:before="40" w:after="40"/>
                    <w:rPr>
                      <w:rFonts w:cs="Arial"/>
                      <w:szCs w:val="24"/>
                    </w:rPr>
                  </w:pPr>
                  <w:r>
                    <w:rPr>
                      <w:rFonts w:cs="Arial"/>
                      <w:szCs w:val="24"/>
                    </w:rPr>
                    <w:t>n/a</w:t>
                  </w:r>
                </w:p>
              </w:tc>
            </w:tr>
            <w:tr w:rsidR="00263708" w:rsidRPr="00C0263E" w14:paraId="1373E5ED"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hideMark/>
                </w:tcPr>
                <w:p w14:paraId="5322DF74" w14:textId="77777777" w:rsidR="00263708" w:rsidRPr="00C0263E" w:rsidRDefault="00263708" w:rsidP="00263708">
                  <w:pPr>
                    <w:spacing w:before="40" w:after="40"/>
                    <w:rPr>
                      <w:rFonts w:cs="Arial"/>
                      <w:b/>
                      <w:szCs w:val="24"/>
                    </w:rPr>
                  </w:pPr>
                  <w:r>
                    <w:rPr>
                      <w:rFonts w:cs="Arial"/>
                      <w:b/>
                      <w:szCs w:val="24"/>
                    </w:rPr>
                    <w:t>Trigger 2</w:t>
                  </w:r>
                </w:p>
              </w:tc>
              <w:tc>
                <w:tcPr>
                  <w:tcW w:w="2312" w:type="dxa"/>
                  <w:tcBorders>
                    <w:top w:val="single" w:sz="4" w:space="0" w:color="auto"/>
                    <w:left w:val="single" w:sz="4" w:space="0" w:color="auto"/>
                    <w:bottom w:val="single" w:sz="4" w:space="0" w:color="auto"/>
                    <w:right w:val="single" w:sz="4" w:space="0" w:color="auto"/>
                  </w:tcBorders>
                </w:tcPr>
                <w:p w14:paraId="498DFBC8" w14:textId="77777777" w:rsidR="00263708" w:rsidRPr="00C0263E" w:rsidRDefault="00263708" w:rsidP="00263708">
                  <w:pPr>
                    <w:spacing w:before="40" w:after="40"/>
                    <w:rPr>
                      <w:rFonts w:cs="Arial"/>
                      <w:szCs w:val="24"/>
                    </w:rPr>
                  </w:pPr>
                  <w:r>
                    <w:rPr>
                      <w:rFonts w:cs="Arial"/>
                      <w:szCs w:val="24"/>
                    </w:rPr>
                    <w:t>30%</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263416A3" w14:textId="77777777" w:rsidR="00263708" w:rsidRPr="00C0263E" w:rsidRDefault="00263708" w:rsidP="00263708">
                  <w:pPr>
                    <w:spacing w:before="40" w:after="40"/>
                    <w:rPr>
                      <w:rFonts w:cs="Arial"/>
                      <w:szCs w:val="24"/>
                    </w:rPr>
                  </w:pPr>
                  <w:r>
                    <w:rPr>
                      <w:rFonts w:cs="Arial"/>
                      <w:szCs w:val="24"/>
                    </w:rPr>
                    <w:t>40%</w:t>
                  </w:r>
                </w:p>
              </w:tc>
              <w:tc>
                <w:tcPr>
                  <w:tcW w:w="2382" w:type="dxa"/>
                  <w:tcBorders>
                    <w:top w:val="single" w:sz="4" w:space="0" w:color="auto"/>
                    <w:left w:val="single" w:sz="4" w:space="0" w:color="auto"/>
                    <w:bottom w:val="single" w:sz="4" w:space="0" w:color="auto"/>
                    <w:right w:val="single" w:sz="4" w:space="0" w:color="auto"/>
                  </w:tcBorders>
                </w:tcPr>
                <w:p w14:paraId="7A344C63" w14:textId="77777777" w:rsidR="00263708" w:rsidRPr="00C0263E" w:rsidRDefault="00263708" w:rsidP="00263708">
                  <w:pPr>
                    <w:spacing w:before="40" w:after="40"/>
                    <w:rPr>
                      <w:rFonts w:cs="Arial"/>
                      <w:szCs w:val="24"/>
                    </w:rPr>
                  </w:pPr>
                  <w:r>
                    <w:rPr>
                      <w:rFonts w:cs="Arial"/>
                      <w:szCs w:val="24"/>
                    </w:rPr>
                    <w:t>40%</w:t>
                  </w:r>
                </w:p>
              </w:tc>
            </w:tr>
            <w:tr w:rsidR="00263708" w:rsidRPr="00C0263E" w14:paraId="74192A58" w14:textId="77777777" w:rsidTr="00E17A0D">
              <w:trPr>
                <w:trHeight w:val="812"/>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790E0B3F" w14:textId="77777777" w:rsidR="00263708" w:rsidRDefault="00263708" w:rsidP="00263708">
                  <w:pPr>
                    <w:spacing w:before="40" w:after="40"/>
                    <w:rPr>
                      <w:rFonts w:cs="Arial"/>
                      <w:b/>
                      <w:szCs w:val="24"/>
                    </w:rPr>
                  </w:pPr>
                  <w:r>
                    <w:rPr>
                      <w:rFonts w:cs="Arial"/>
                      <w:b/>
                      <w:szCs w:val="24"/>
                    </w:rPr>
                    <w:t>Trigger 3</w:t>
                  </w:r>
                </w:p>
                <w:p w14:paraId="19219836" w14:textId="77777777" w:rsidR="00263708" w:rsidRDefault="00263708" w:rsidP="00263708">
                  <w:pPr>
                    <w:spacing w:before="40" w:after="40"/>
                    <w:rPr>
                      <w:rFonts w:cs="Arial"/>
                      <w:b/>
                      <w:szCs w:val="24"/>
                    </w:rPr>
                  </w:pPr>
                </w:p>
              </w:tc>
              <w:tc>
                <w:tcPr>
                  <w:tcW w:w="2312" w:type="dxa"/>
                  <w:tcBorders>
                    <w:top w:val="single" w:sz="4" w:space="0" w:color="auto"/>
                    <w:left w:val="single" w:sz="4" w:space="0" w:color="auto"/>
                    <w:bottom w:val="single" w:sz="4" w:space="0" w:color="auto"/>
                    <w:right w:val="single" w:sz="4" w:space="0" w:color="auto"/>
                  </w:tcBorders>
                </w:tcPr>
                <w:p w14:paraId="2C874B54" w14:textId="77777777" w:rsidR="00263708" w:rsidRPr="00C0263E" w:rsidRDefault="00263708" w:rsidP="00263708">
                  <w:pPr>
                    <w:spacing w:before="40" w:after="40"/>
                    <w:rPr>
                      <w:rFonts w:cs="Arial"/>
                      <w:szCs w:val="24"/>
                    </w:rPr>
                  </w:pPr>
                  <w:r>
                    <w:rPr>
                      <w:rFonts w:cs="Arial"/>
                      <w:szCs w:val="24"/>
                    </w:rPr>
                    <w:t>20%</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33E27760" w14:textId="77777777" w:rsidR="00263708" w:rsidRPr="00C0263E" w:rsidRDefault="00263708" w:rsidP="00263708">
                  <w:pPr>
                    <w:spacing w:before="40" w:after="40"/>
                    <w:rPr>
                      <w:rFonts w:cs="Arial"/>
                      <w:szCs w:val="24"/>
                    </w:rPr>
                  </w:pPr>
                  <w:r>
                    <w:rPr>
                      <w:rFonts w:cs="Arial"/>
                      <w:szCs w:val="24"/>
                    </w:rPr>
                    <w:t>15%</w:t>
                  </w:r>
                </w:p>
              </w:tc>
              <w:tc>
                <w:tcPr>
                  <w:tcW w:w="2382" w:type="dxa"/>
                  <w:tcBorders>
                    <w:top w:val="single" w:sz="4" w:space="0" w:color="auto"/>
                    <w:left w:val="single" w:sz="4" w:space="0" w:color="auto"/>
                    <w:bottom w:val="single" w:sz="4" w:space="0" w:color="auto"/>
                    <w:right w:val="single" w:sz="4" w:space="0" w:color="auto"/>
                  </w:tcBorders>
                </w:tcPr>
                <w:p w14:paraId="434B6B21" w14:textId="77777777" w:rsidR="00263708" w:rsidRPr="00C0263E" w:rsidRDefault="00263708" w:rsidP="00263708">
                  <w:pPr>
                    <w:spacing w:before="40" w:after="40"/>
                    <w:rPr>
                      <w:rFonts w:cs="Arial"/>
                      <w:szCs w:val="24"/>
                    </w:rPr>
                  </w:pPr>
                  <w:r>
                    <w:rPr>
                      <w:rFonts w:cs="Arial"/>
                      <w:szCs w:val="24"/>
                    </w:rPr>
                    <w:t>10%</w:t>
                  </w:r>
                </w:p>
              </w:tc>
            </w:tr>
            <w:tr w:rsidR="00263708" w:rsidRPr="00C0263E" w14:paraId="70DDC01A" w14:textId="77777777" w:rsidTr="00E17A0D">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5A18EF65" w14:textId="77777777" w:rsidR="00263708" w:rsidRDefault="00263708" w:rsidP="00263708">
                  <w:pPr>
                    <w:spacing w:before="40" w:after="40"/>
                    <w:rPr>
                      <w:rFonts w:cs="Arial"/>
                      <w:b/>
                      <w:szCs w:val="24"/>
                    </w:rPr>
                  </w:pPr>
                  <w:r>
                    <w:rPr>
                      <w:rFonts w:cs="Arial"/>
                      <w:b/>
                      <w:szCs w:val="24"/>
                    </w:rPr>
                    <w:t>Trigger 4</w:t>
                  </w:r>
                </w:p>
              </w:tc>
              <w:tc>
                <w:tcPr>
                  <w:tcW w:w="2312" w:type="dxa"/>
                  <w:tcBorders>
                    <w:top w:val="single" w:sz="4" w:space="0" w:color="auto"/>
                    <w:left w:val="single" w:sz="4" w:space="0" w:color="auto"/>
                    <w:bottom w:val="single" w:sz="4" w:space="0" w:color="auto"/>
                    <w:right w:val="single" w:sz="4" w:space="0" w:color="auto"/>
                  </w:tcBorders>
                </w:tcPr>
                <w:p w14:paraId="4C664BD0" w14:textId="77777777" w:rsidR="00263708" w:rsidRPr="00C0263E" w:rsidRDefault="00263708" w:rsidP="00263708">
                  <w:pPr>
                    <w:spacing w:before="40" w:after="40"/>
                    <w:rPr>
                      <w:rFonts w:cs="Arial"/>
                      <w:szCs w:val="24"/>
                    </w:rPr>
                  </w:pPr>
                  <w:r>
                    <w:rPr>
                      <w:rFonts w:cs="Arial"/>
                      <w:szCs w:val="24"/>
                    </w:rPr>
                    <w:t>30%</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7CD518F5" w14:textId="77777777" w:rsidR="00263708" w:rsidRPr="00C0263E" w:rsidRDefault="00263708" w:rsidP="00263708">
                  <w:pPr>
                    <w:spacing w:before="40" w:after="40"/>
                    <w:rPr>
                      <w:rFonts w:cs="Arial"/>
                      <w:szCs w:val="24"/>
                    </w:rPr>
                  </w:pPr>
                  <w:r>
                    <w:rPr>
                      <w:rFonts w:cs="Arial"/>
                      <w:szCs w:val="24"/>
                    </w:rPr>
                    <w:t>40%</w:t>
                  </w:r>
                </w:p>
              </w:tc>
              <w:tc>
                <w:tcPr>
                  <w:tcW w:w="2382" w:type="dxa"/>
                  <w:tcBorders>
                    <w:top w:val="single" w:sz="4" w:space="0" w:color="auto"/>
                    <w:left w:val="single" w:sz="4" w:space="0" w:color="auto"/>
                    <w:bottom w:val="single" w:sz="4" w:space="0" w:color="auto"/>
                    <w:right w:val="single" w:sz="4" w:space="0" w:color="auto"/>
                  </w:tcBorders>
                </w:tcPr>
                <w:p w14:paraId="3A174C5D" w14:textId="77777777" w:rsidR="00263708" w:rsidRPr="00C0263E" w:rsidRDefault="00263708" w:rsidP="00263708">
                  <w:pPr>
                    <w:spacing w:before="40" w:after="40"/>
                    <w:rPr>
                      <w:rFonts w:cs="Arial"/>
                      <w:szCs w:val="24"/>
                    </w:rPr>
                  </w:pPr>
                  <w:r>
                    <w:rPr>
                      <w:rFonts w:cs="Arial"/>
                      <w:szCs w:val="24"/>
                    </w:rPr>
                    <w:t>50%</w:t>
                  </w:r>
                </w:p>
              </w:tc>
            </w:tr>
            <w:tr w:rsidR="00263708" w:rsidRPr="00C0263E" w14:paraId="1247DA28" w14:textId="77777777" w:rsidTr="00E17A0D">
              <w:trPr>
                <w:trHeight w:val="619"/>
              </w:trPr>
              <w:tc>
                <w:tcPr>
                  <w:tcW w:w="1937" w:type="dxa"/>
                  <w:tcBorders>
                    <w:top w:val="single" w:sz="4" w:space="0" w:color="auto"/>
                    <w:left w:val="single" w:sz="4" w:space="0" w:color="auto"/>
                    <w:right w:val="single" w:sz="4" w:space="0" w:color="auto"/>
                  </w:tcBorders>
                  <w:shd w:val="clear" w:color="auto" w:fill="F2F2F2"/>
                </w:tcPr>
                <w:p w14:paraId="4BF53985" w14:textId="77777777" w:rsidR="00263708" w:rsidRDefault="00263708" w:rsidP="00263708">
                  <w:pPr>
                    <w:spacing w:before="40" w:after="40"/>
                    <w:rPr>
                      <w:rFonts w:cs="Arial"/>
                      <w:b/>
                      <w:szCs w:val="24"/>
                    </w:rPr>
                  </w:pPr>
                  <w:r>
                    <w:rPr>
                      <w:rFonts w:cs="Arial"/>
                      <w:b/>
                      <w:szCs w:val="24"/>
                    </w:rPr>
                    <w:t>TOTAL</w:t>
                  </w:r>
                </w:p>
              </w:tc>
              <w:tc>
                <w:tcPr>
                  <w:tcW w:w="2312" w:type="dxa"/>
                  <w:tcBorders>
                    <w:top w:val="single" w:sz="4" w:space="0" w:color="auto"/>
                    <w:left w:val="single" w:sz="4" w:space="0" w:color="auto"/>
                    <w:right w:val="single" w:sz="4" w:space="0" w:color="auto"/>
                  </w:tcBorders>
                </w:tcPr>
                <w:p w14:paraId="135237C8" w14:textId="77777777" w:rsidR="00263708" w:rsidRPr="00C0263E" w:rsidRDefault="00263708" w:rsidP="00263708">
                  <w:pPr>
                    <w:spacing w:before="40" w:after="40"/>
                    <w:rPr>
                      <w:rFonts w:cs="Arial"/>
                      <w:szCs w:val="24"/>
                    </w:rPr>
                  </w:pPr>
                  <w:r>
                    <w:rPr>
                      <w:rFonts w:cs="Arial"/>
                      <w:szCs w:val="24"/>
                    </w:rPr>
                    <w:t>100%</w:t>
                  </w:r>
                </w:p>
              </w:tc>
              <w:tc>
                <w:tcPr>
                  <w:tcW w:w="2750" w:type="dxa"/>
                  <w:tcBorders>
                    <w:top w:val="single" w:sz="4" w:space="0" w:color="auto"/>
                    <w:left w:val="single" w:sz="4" w:space="0" w:color="auto"/>
                    <w:right w:val="single" w:sz="4" w:space="0" w:color="auto"/>
                  </w:tcBorders>
                  <w:shd w:val="clear" w:color="auto" w:fill="auto"/>
                </w:tcPr>
                <w:p w14:paraId="3F393A7F" w14:textId="77777777" w:rsidR="00263708" w:rsidRPr="00C0263E" w:rsidRDefault="00263708" w:rsidP="00263708">
                  <w:pPr>
                    <w:spacing w:before="40" w:after="40"/>
                    <w:rPr>
                      <w:rFonts w:cs="Arial"/>
                      <w:szCs w:val="24"/>
                    </w:rPr>
                  </w:pPr>
                  <w:r>
                    <w:rPr>
                      <w:rFonts w:cs="Arial"/>
                      <w:szCs w:val="24"/>
                    </w:rPr>
                    <w:t>100%</w:t>
                  </w:r>
                </w:p>
              </w:tc>
              <w:tc>
                <w:tcPr>
                  <w:tcW w:w="2382" w:type="dxa"/>
                  <w:tcBorders>
                    <w:top w:val="single" w:sz="4" w:space="0" w:color="auto"/>
                    <w:left w:val="single" w:sz="4" w:space="0" w:color="auto"/>
                    <w:right w:val="single" w:sz="4" w:space="0" w:color="auto"/>
                  </w:tcBorders>
                </w:tcPr>
                <w:p w14:paraId="0B7AE7F6" w14:textId="77777777" w:rsidR="00263708" w:rsidRPr="00C0263E" w:rsidRDefault="00263708" w:rsidP="00263708">
                  <w:pPr>
                    <w:spacing w:before="40" w:after="40"/>
                    <w:rPr>
                      <w:rFonts w:cs="Arial"/>
                      <w:szCs w:val="24"/>
                    </w:rPr>
                  </w:pPr>
                  <w:r>
                    <w:rPr>
                      <w:rFonts w:cs="Arial"/>
                      <w:szCs w:val="24"/>
                    </w:rPr>
                    <w:t>100%</w:t>
                  </w:r>
                </w:p>
              </w:tc>
            </w:tr>
          </w:tbl>
          <w:p w14:paraId="296FEF7D" w14:textId="77777777" w:rsidR="00CF3963" w:rsidRDefault="00CF3963" w:rsidP="005931C4">
            <w:pPr>
              <w:rPr>
                <w:rFonts w:cs="Arial"/>
                <w:szCs w:val="24"/>
              </w:rPr>
            </w:pPr>
          </w:p>
          <w:p w14:paraId="7194DBDC" w14:textId="77777777" w:rsidR="00CF3963" w:rsidRDefault="00CF3963" w:rsidP="005931C4">
            <w:pPr>
              <w:rPr>
                <w:rFonts w:eastAsiaTheme="minorEastAsia" w:cs="Arial"/>
                <w:szCs w:val="24"/>
              </w:rPr>
            </w:pPr>
          </w:p>
        </w:tc>
      </w:tr>
      <w:tr w:rsidR="00CF3963" w:rsidRPr="000412A1" w14:paraId="5DB6619B" w14:textId="77777777" w:rsidTr="00CF3963">
        <w:tc>
          <w:tcPr>
            <w:tcW w:w="5000" w:type="pct"/>
            <w:gridSpan w:val="3"/>
          </w:tcPr>
          <w:p w14:paraId="769D0D3C" w14:textId="77777777" w:rsidR="00CF3963" w:rsidRDefault="00CF3963" w:rsidP="005931C4">
            <w:pPr>
              <w:rPr>
                <w:rFonts w:eastAsiaTheme="minorEastAsia" w:cs="Arial"/>
                <w:szCs w:val="24"/>
              </w:rPr>
            </w:pPr>
          </w:p>
          <w:p w14:paraId="58E3C1A1"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54CD245A" w14:textId="77777777" w:rsidR="00CF3963" w:rsidRDefault="00CF3963" w:rsidP="005931C4">
            <w:pPr>
              <w:rPr>
                <w:rFonts w:eastAsiaTheme="minorEastAsia" w:cs="Arial"/>
                <w:szCs w:val="24"/>
                <w:u w:val="single"/>
              </w:rPr>
            </w:pPr>
          </w:p>
          <w:p w14:paraId="64AF3681"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Year One</w:t>
            </w:r>
          </w:p>
          <w:p w14:paraId="64F5DA29" w14:textId="77777777" w:rsidR="005576EB" w:rsidRDefault="00CF3963" w:rsidP="005931C4">
            <w:pPr>
              <w:rPr>
                <w:rFonts w:cs="Arial"/>
                <w:b/>
                <w:szCs w:val="24"/>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r w:rsidR="00512E30" w:rsidRPr="001F6AA3">
              <w:rPr>
                <w:rFonts w:cs="Arial"/>
                <w:b/>
                <w:szCs w:val="24"/>
              </w:rPr>
              <w:t>all-or-nothing</w:t>
            </w:r>
          </w:p>
          <w:p w14:paraId="3F2BF10A" w14:textId="77777777" w:rsidR="00CF3963" w:rsidRPr="001F6AA3" w:rsidRDefault="005576EB" w:rsidP="005931C4">
            <w:pPr>
              <w:rPr>
                <w:rFonts w:eastAsiaTheme="minorEastAsia" w:cs="Arial"/>
                <w:b/>
                <w:szCs w:val="24"/>
                <w:u w:val="single"/>
              </w:rPr>
            </w:pPr>
            <w:r>
              <w:rPr>
                <w:rFonts w:cs="Arial"/>
                <w:b/>
                <w:szCs w:val="24"/>
              </w:rPr>
              <w:t>T</w:t>
            </w:r>
            <w:r w:rsidR="00CF3963" w:rsidRPr="001F6AA3">
              <w:rPr>
                <w:rFonts w:eastAsiaTheme="minorEastAsia" w:cs="Arial"/>
                <w:b/>
                <w:szCs w:val="24"/>
                <w:u w:val="single"/>
              </w:rPr>
              <w:t>rigger 2:</w:t>
            </w:r>
            <w:r w:rsidRPr="001F6AA3">
              <w:rPr>
                <w:rFonts w:cs="Arial"/>
                <w:b/>
                <w:szCs w:val="24"/>
              </w:rPr>
              <w:t xml:space="preserve"> all-or-nothing</w:t>
            </w:r>
          </w:p>
          <w:p w14:paraId="68B32BB9"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3: </w:t>
            </w:r>
            <w:r w:rsidR="005576EB" w:rsidRPr="001F6AA3">
              <w:rPr>
                <w:rFonts w:cs="Arial"/>
                <w:b/>
                <w:szCs w:val="24"/>
              </w:rPr>
              <w:t>all-or-nothing</w:t>
            </w:r>
          </w:p>
          <w:p w14:paraId="4B25EF36"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4: </w:t>
            </w:r>
            <w:r w:rsidR="005576EB" w:rsidRPr="001F6AA3">
              <w:rPr>
                <w:rFonts w:cs="Arial"/>
                <w:b/>
                <w:szCs w:val="24"/>
              </w:rPr>
              <w:t>all-or-nothing</w:t>
            </w:r>
          </w:p>
          <w:p w14:paraId="1231BE67" w14:textId="77777777" w:rsidR="00CF3963" w:rsidRPr="001F6AA3" w:rsidRDefault="00CF3963" w:rsidP="005931C4">
            <w:pPr>
              <w:rPr>
                <w:rFonts w:eastAsiaTheme="minorEastAsia" w:cs="Arial"/>
                <w:b/>
                <w:szCs w:val="24"/>
                <w:u w:val="single"/>
              </w:rPr>
            </w:pPr>
          </w:p>
          <w:p w14:paraId="361F1425"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Year Two</w:t>
            </w:r>
          </w:p>
          <w:p w14:paraId="188A5CF2"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Trigger 1:</w:t>
            </w:r>
            <w:r w:rsidR="005576EB" w:rsidRPr="001F6AA3">
              <w:rPr>
                <w:rFonts w:cs="Arial"/>
                <w:b/>
                <w:szCs w:val="24"/>
              </w:rPr>
              <w:t xml:space="preserve"> all-or-nothing</w:t>
            </w:r>
          </w:p>
          <w:p w14:paraId="6E827987"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Trigger 2:</w:t>
            </w:r>
            <w:r w:rsidR="005576EB" w:rsidRPr="001F6AA3">
              <w:rPr>
                <w:rFonts w:cs="Arial"/>
                <w:b/>
                <w:szCs w:val="24"/>
              </w:rPr>
              <w:t xml:space="preserve"> </w:t>
            </w:r>
            <w:r w:rsidR="00263708" w:rsidRPr="001F6AA3">
              <w:rPr>
                <w:rFonts w:cs="Arial"/>
                <w:b/>
                <w:szCs w:val="24"/>
              </w:rPr>
              <w:t xml:space="preserve">strictly-proportional </w:t>
            </w:r>
          </w:p>
          <w:p w14:paraId="4CF821E1"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3:  </w:t>
            </w:r>
            <w:r w:rsidR="005576EB" w:rsidRPr="001F6AA3">
              <w:rPr>
                <w:rFonts w:cs="Arial"/>
                <w:b/>
                <w:szCs w:val="24"/>
              </w:rPr>
              <w:t>all-or-nothing</w:t>
            </w:r>
          </w:p>
          <w:p w14:paraId="2E05D39F"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4: </w:t>
            </w:r>
            <w:r w:rsidR="00263708" w:rsidRPr="001F6AA3">
              <w:rPr>
                <w:rFonts w:cs="Arial"/>
                <w:b/>
                <w:szCs w:val="24"/>
              </w:rPr>
              <w:t>all-or-nothing</w:t>
            </w:r>
          </w:p>
          <w:p w14:paraId="36FEB5B0" w14:textId="77777777" w:rsidR="00CF3963" w:rsidRPr="001F6AA3" w:rsidRDefault="00CF3963" w:rsidP="005931C4">
            <w:pPr>
              <w:rPr>
                <w:rFonts w:eastAsiaTheme="minorEastAsia" w:cs="Arial"/>
                <w:b/>
                <w:szCs w:val="24"/>
                <w:u w:val="single"/>
              </w:rPr>
            </w:pPr>
          </w:p>
          <w:p w14:paraId="70B7EEE2" w14:textId="77777777" w:rsidR="00263708" w:rsidRPr="001F6AA3" w:rsidRDefault="00263708" w:rsidP="00263708">
            <w:pPr>
              <w:rPr>
                <w:rFonts w:eastAsiaTheme="minorEastAsia" w:cs="Arial"/>
                <w:b/>
                <w:szCs w:val="24"/>
                <w:u w:val="single"/>
              </w:rPr>
            </w:pPr>
            <w:r w:rsidRPr="001F6AA3">
              <w:rPr>
                <w:rFonts w:eastAsiaTheme="minorEastAsia" w:cs="Arial"/>
                <w:b/>
                <w:szCs w:val="24"/>
                <w:u w:val="single"/>
              </w:rPr>
              <w:t xml:space="preserve">Year </w:t>
            </w:r>
            <w:r>
              <w:rPr>
                <w:rFonts w:eastAsiaTheme="minorEastAsia" w:cs="Arial"/>
                <w:b/>
                <w:szCs w:val="24"/>
                <w:u w:val="single"/>
              </w:rPr>
              <w:t>Three</w:t>
            </w:r>
          </w:p>
          <w:p w14:paraId="21E2008F" w14:textId="77777777" w:rsidR="00263708" w:rsidRPr="001F6AA3" w:rsidRDefault="00263708" w:rsidP="00263708">
            <w:pPr>
              <w:rPr>
                <w:rFonts w:eastAsiaTheme="minorEastAsia" w:cs="Arial"/>
                <w:b/>
                <w:szCs w:val="24"/>
                <w:u w:val="single"/>
              </w:rPr>
            </w:pPr>
            <w:r w:rsidRPr="001F6AA3">
              <w:rPr>
                <w:rFonts w:eastAsiaTheme="minorEastAsia" w:cs="Arial"/>
                <w:b/>
                <w:szCs w:val="24"/>
                <w:u w:val="single"/>
              </w:rPr>
              <w:t>Trigger 1:</w:t>
            </w:r>
            <w:r w:rsidRPr="001F6AA3">
              <w:rPr>
                <w:rFonts w:cs="Arial"/>
                <w:b/>
                <w:szCs w:val="24"/>
              </w:rPr>
              <w:t xml:space="preserve"> </w:t>
            </w:r>
            <w:r>
              <w:rPr>
                <w:rFonts w:cs="Arial"/>
                <w:b/>
                <w:szCs w:val="24"/>
              </w:rPr>
              <w:t>n/a</w:t>
            </w:r>
          </w:p>
          <w:p w14:paraId="464026B9" w14:textId="77777777" w:rsidR="00263708" w:rsidRPr="001F6AA3" w:rsidRDefault="00263708" w:rsidP="00263708">
            <w:pPr>
              <w:rPr>
                <w:rFonts w:eastAsiaTheme="minorEastAsia" w:cs="Arial"/>
                <w:b/>
                <w:szCs w:val="24"/>
                <w:u w:val="single"/>
              </w:rPr>
            </w:pPr>
            <w:r w:rsidRPr="001F6AA3">
              <w:rPr>
                <w:rFonts w:eastAsiaTheme="minorEastAsia" w:cs="Arial"/>
                <w:b/>
                <w:szCs w:val="24"/>
                <w:u w:val="single"/>
              </w:rPr>
              <w:t>Trigger 2:</w:t>
            </w:r>
            <w:r w:rsidRPr="001F6AA3">
              <w:rPr>
                <w:rFonts w:cs="Arial"/>
                <w:b/>
                <w:szCs w:val="24"/>
              </w:rPr>
              <w:t xml:space="preserve"> strictly-proportional </w:t>
            </w:r>
          </w:p>
          <w:p w14:paraId="46BA0E0E" w14:textId="77777777" w:rsidR="00263708" w:rsidRPr="001F6AA3" w:rsidRDefault="00263708" w:rsidP="00263708">
            <w:pPr>
              <w:rPr>
                <w:rFonts w:eastAsiaTheme="minorEastAsia" w:cs="Arial"/>
                <w:b/>
                <w:szCs w:val="24"/>
                <w:u w:val="single"/>
              </w:rPr>
            </w:pPr>
            <w:r w:rsidRPr="001F6AA3">
              <w:rPr>
                <w:rFonts w:eastAsiaTheme="minorEastAsia" w:cs="Arial"/>
                <w:b/>
                <w:szCs w:val="24"/>
                <w:u w:val="single"/>
              </w:rPr>
              <w:t xml:space="preserve">Trigger 3:  </w:t>
            </w:r>
            <w:r w:rsidRPr="001F6AA3">
              <w:rPr>
                <w:rFonts w:cs="Arial"/>
                <w:b/>
                <w:szCs w:val="24"/>
              </w:rPr>
              <w:t>all-or-nothing</w:t>
            </w:r>
          </w:p>
          <w:p w14:paraId="2D708293" w14:textId="77777777" w:rsidR="00263708" w:rsidRPr="001F6AA3" w:rsidRDefault="00263708" w:rsidP="00263708">
            <w:pPr>
              <w:rPr>
                <w:rFonts w:eastAsiaTheme="minorEastAsia" w:cs="Arial"/>
                <w:b/>
                <w:szCs w:val="24"/>
                <w:u w:val="single"/>
              </w:rPr>
            </w:pPr>
            <w:r w:rsidRPr="001F6AA3">
              <w:rPr>
                <w:rFonts w:eastAsiaTheme="minorEastAsia" w:cs="Arial"/>
                <w:b/>
                <w:szCs w:val="24"/>
                <w:u w:val="single"/>
              </w:rPr>
              <w:t xml:space="preserve">Trigger 4: </w:t>
            </w:r>
            <w:r>
              <w:rPr>
                <w:rFonts w:eastAsiaTheme="minorEastAsia" w:cs="Arial"/>
                <w:b/>
                <w:szCs w:val="24"/>
                <w:u w:val="single"/>
              </w:rPr>
              <w:t xml:space="preserve"> </w:t>
            </w:r>
            <w:r w:rsidRPr="001F6AA3">
              <w:rPr>
                <w:rFonts w:cs="Arial"/>
                <w:b/>
                <w:szCs w:val="24"/>
              </w:rPr>
              <w:t>all-or-nothing</w:t>
            </w:r>
          </w:p>
          <w:p w14:paraId="30D7AA69" w14:textId="77777777" w:rsidR="00CF3963" w:rsidRDefault="00CF3963" w:rsidP="0084461B">
            <w:pPr>
              <w:rPr>
                <w:rFonts w:cs="Arial"/>
                <w:szCs w:val="24"/>
              </w:rPr>
            </w:pPr>
          </w:p>
          <w:p w14:paraId="7196D064" w14:textId="77777777" w:rsidR="00CF3963" w:rsidRPr="000412A1" w:rsidRDefault="00CF3963" w:rsidP="0084461B">
            <w:pPr>
              <w:rPr>
                <w:rFonts w:cs="Arial"/>
                <w:b/>
                <w:color w:val="000000"/>
                <w:szCs w:val="24"/>
              </w:rPr>
            </w:pPr>
          </w:p>
        </w:tc>
      </w:tr>
      <w:tr w:rsidR="00CF3963" w:rsidRPr="000412A1" w14:paraId="32E1BFAF" w14:textId="77777777" w:rsidTr="00CF3963">
        <w:tc>
          <w:tcPr>
            <w:tcW w:w="5000" w:type="pct"/>
            <w:gridSpan w:val="3"/>
            <w:shd w:val="clear" w:color="auto" w:fill="auto"/>
          </w:tcPr>
          <w:p w14:paraId="400C4EBA" w14:textId="77777777" w:rsidR="00CF3963" w:rsidRDefault="00CF3963" w:rsidP="0084461B">
            <w:pPr>
              <w:rPr>
                <w:rFonts w:cs="Arial"/>
                <w:b/>
                <w:color w:val="000000"/>
                <w:szCs w:val="24"/>
                <w:u w:val="single"/>
              </w:rPr>
            </w:pPr>
            <w:r w:rsidRPr="00CF3963">
              <w:rPr>
                <w:rFonts w:cs="Arial"/>
                <w:b/>
                <w:color w:val="000000"/>
                <w:szCs w:val="24"/>
                <w:u w:val="single"/>
              </w:rPr>
              <w:t>Definitions</w:t>
            </w:r>
          </w:p>
          <w:p w14:paraId="34FF1C98" w14:textId="77777777" w:rsidR="00CF3963" w:rsidRPr="00CF3963" w:rsidRDefault="00CF3963" w:rsidP="004063F1">
            <w:pPr>
              <w:rPr>
                <w:rFonts w:eastAsiaTheme="minorEastAsia" w:cs="Arial"/>
                <w:i/>
                <w:szCs w:val="24"/>
                <w:u w:val="single"/>
              </w:rPr>
            </w:pPr>
          </w:p>
        </w:tc>
      </w:tr>
      <w:tr w:rsidR="00CF3963" w:rsidRPr="00CF3963" w14:paraId="731AE54D" w14:textId="77777777" w:rsidTr="00CF3963">
        <w:tc>
          <w:tcPr>
            <w:tcW w:w="5000" w:type="pct"/>
            <w:gridSpan w:val="3"/>
            <w:shd w:val="clear" w:color="auto" w:fill="BFBFBF" w:themeFill="background1" w:themeFillShade="BF"/>
          </w:tcPr>
          <w:p w14:paraId="2FA69B40"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CF3963" w:rsidRPr="000412A1" w14:paraId="6D072C0D" w14:textId="77777777" w:rsidTr="00CF3963">
        <w:tc>
          <w:tcPr>
            <w:tcW w:w="5000" w:type="pct"/>
            <w:gridSpan w:val="3"/>
            <w:shd w:val="clear" w:color="auto" w:fill="auto"/>
          </w:tcPr>
          <w:p w14:paraId="48A21919" w14:textId="77777777" w:rsidR="00CF3963" w:rsidRPr="00F42905" w:rsidRDefault="00CF3963" w:rsidP="003A0C63">
            <w:pPr>
              <w:spacing w:before="40" w:after="40"/>
              <w:rPr>
                <w:rFonts w:cs="Arial"/>
                <w:i/>
                <w:szCs w:val="24"/>
              </w:rPr>
            </w:pPr>
          </w:p>
        </w:tc>
      </w:tr>
      <w:tr w:rsidR="009D54C2" w:rsidRPr="000412A1" w14:paraId="284AFE08" w14:textId="77777777" w:rsidTr="009D54C2">
        <w:tc>
          <w:tcPr>
            <w:tcW w:w="5000" w:type="pct"/>
            <w:gridSpan w:val="3"/>
            <w:shd w:val="clear" w:color="auto" w:fill="D9D9D9" w:themeFill="background1" w:themeFillShade="D9"/>
          </w:tcPr>
          <w:p w14:paraId="1AD9F4C9" w14:textId="77777777" w:rsidR="009D54C2" w:rsidRPr="009D54C2" w:rsidRDefault="009D54C2" w:rsidP="00022F2F">
            <w:pPr>
              <w:rPr>
                <w:rFonts w:cs="Arial"/>
                <w:b/>
                <w:szCs w:val="24"/>
              </w:rPr>
            </w:pPr>
            <w:r w:rsidRPr="009D54C2">
              <w:rPr>
                <w:rFonts w:cs="Arial"/>
                <w:b/>
                <w:szCs w:val="24"/>
              </w:rPr>
              <w:t>Reporting of Achievement against Triggers:</w:t>
            </w:r>
          </w:p>
        </w:tc>
      </w:tr>
      <w:tr w:rsidR="009D54C2" w:rsidRPr="000412A1" w14:paraId="0A7CCD63" w14:textId="77777777" w:rsidTr="00CF3963">
        <w:tc>
          <w:tcPr>
            <w:tcW w:w="5000" w:type="pct"/>
            <w:gridSpan w:val="3"/>
            <w:shd w:val="clear" w:color="auto" w:fill="auto"/>
          </w:tcPr>
          <w:p w14:paraId="2AF9E874" w14:textId="77777777" w:rsidR="009D54C2" w:rsidRPr="009D54C2" w:rsidRDefault="00D2711C" w:rsidP="0084461B">
            <w:pPr>
              <w:rPr>
                <w:rFonts w:eastAsiaTheme="minorEastAsia" w:cs="Arial"/>
                <w:b/>
                <w:szCs w:val="24"/>
              </w:rPr>
            </w:pPr>
            <w:r>
              <w:rPr>
                <w:rFonts w:eastAsiaTheme="minorEastAsia" w:cs="Arial"/>
                <w:b/>
                <w:szCs w:val="24"/>
              </w:rPr>
              <w:t>Quarterly Report</w:t>
            </w:r>
          </w:p>
        </w:tc>
      </w:tr>
      <w:tr w:rsidR="00CF3963" w:rsidRPr="000412A1" w14:paraId="5F52215E" w14:textId="77777777" w:rsidTr="009D54C2">
        <w:tc>
          <w:tcPr>
            <w:tcW w:w="5000" w:type="pct"/>
            <w:gridSpan w:val="3"/>
            <w:shd w:val="clear" w:color="auto" w:fill="D9D9D9" w:themeFill="background1" w:themeFillShade="D9"/>
          </w:tcPr>
          <w:p w14:paraId="6A3EE38C" w14:textId="77777777" w:rsidR="00CF3963" w:rsidRPr="009D54C2" w:rsidRDefault="00A536ED" w:rsidP="0084461B">
            <w:pPr>
              <w:rPr>
                <w:rFonts w:eastAsiaTheme="minorEastAsia" w:cs="Arial"/>
                <w:b/>
                <w:szCs w:val="24"/>
              </w:rPr>
            </w:pPr>
            <w:r w:rsidRPr="009D54C2">
              <w:rPr>
                <w:rFonts w:eastAsiaTheme="minorEastAsia" w:cs="Arial"/>
                <w:b/>
                <w:szCs w:val="24"/>
              </w:rPr>
              <w:t>Information for Benchmarking</w:t>
            </w:r>
            <w:r w:rsidR="009D54C2" w:rsidRPr="009D54C2">
              <w:rPr>
                <w:rFonts w:eastAsiaTheme="minorEastAsia" w:cs="Arial"/>
                <w:b/>
                <w:szCs w:val="24"/>
              </w:rPr>
              <w:t>:</w:t>
            </w:r>
          </w:p>
        </w:tc>
      </w:tr>
      <w:tr w:rsidR="009D54C2" w:rsidRPr="000412A1" w14:paraId="09414E60" w14:textId="77777777" w:rsidTr="00CF3963">
        <w:tc>
          <w:tcPr>
            <w:tcW w:w="5000" w:type="pct"/>
            <w:gridSpan w:val="3"/>
          </w:tcPr>
          <w:p w14:paraId="53F10386" w14:textId="77777777" w:rsidR="009D54C2" w:rsidRPr="009D54C2" w:rsidRDefault="00D2711C" w:rsidP="00CF3963">
            <w:pPr>
              <w:spacing w:before="40" w:after="40"/>
              <w:rPr>
                <w:rFonts w:cs="Arial"/>
                <w:b/>
                <w:szCs w:val="24"/>
              </w:rPr>
            </w:pPr>
            <w:r>
              <w:rPr>
                <w:rFonts w:cs="Arial"/>
                <w:b/>
                <w:szCs w:val="24"/>
              </w:rPr>
              <w:t>Baseline data on live donor work up wait times</w:t>
            </w:r>
          </w:p>
        </w:tc>
      </w:tr>
      <w:tr w:rsidR="00CF3963" w:rsidRPr="000412A1" w14:paraId="60748BBC" w14:textId="77777777" w:rsidTr="009D54C2">
        <w:tc>
          <w:tcPr>
            <w:tcW w:w="5000" w:type="pct"/>
            <w:gridSpan w:val="3"/>
            <w:shd w:val="clear" w:color="auto" w:fill="D9D9D9" w:themeFill="background1" w:themeFillShade="D9"/>
          </w:tcPr>
          <w:p w14:paraId="533C5B52"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146E8121" w14:textId="77777777" w:rsidTr="00CF3963">
        <w:tc>
          <w:tcPr>
            <w:tcW w:w="5000" w:type="pct"/>
            <w:gridSpan w:val="3"/>
          </w:tcPr>
          <w:p w14:paraId="0E95CDC1" w14:textId="77777777" w:rsidR="009D54C2" w:rsidRPr="009D54C2" w:rsidRDefault="00D2711C" w:rsidP="0084461B">
            <w:pPr>
              <w:rPr>
                <w:rFonts w:cs="Arial"/>
                <w:b/>
                <w:color w:val="000000"/>
                <w:szCs w:val="24"/>
              </w:rPr>
            </w:pPr>
            <w:r>
              <w:rPr>
                <w:rFonts w:cs="Arial"/>
                <w:b/>
                <w:color w:val="000000"/>
                <w:szCs w:val="24"/>
              </w:rPr>
              <w:t>NA</w:t>
            </w:r>
          </w:p>
        </w:tc>
      </w:tr>
      <w:tr w:rsidR="00CF3963" w:rsidRPr="000412A1" w14:paraId="590729A0" w14:textId="77777777" w:rsidTr="009D54C2">
        <w:tc>
          <w:tcPr>
            <w:tcW w:w="5000" w:type="pct"/>
            <w:gridSpan w:val="3"/>
            <w:shd w:val="clear" w:color="auto" w:fill="D9D9D9" w:themeFill="background1" w:themeFillShade="D9"/>
          </w:tcPr>
          <w:p w14:paraId="44638825"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2FD96F88" w14:textId="77777777" w:rsidTr="00CF3963">
        <w:tc>
          <w:tcPr>
            <w:tcW w:w="5000" w:type="pct"/>
            <w:gridSpan w:val="3"/>
          </w:tcPr>
          <w:p w14:paraId="38121DC8" w14:textId="77777777" w:rsidR="009D54C2" w:rsidRPr="00512E30" w:rsidRDefault="00D2711C" w:rsidP="0084461B">
            <w:pPr>
              <w:rPr>
                <w:rFonts w:cs="Arial"/>
                <w:b/>
                <w:color w:val="000000"/>
                <w:szCs w:val="24"/>
                <w:u w:val="single"/>
              </w:rPr>
            </w:pPr>
            <w:r>
              <w:rPr>
                <w:rFonts w:cs="Arial"/>
                <w:b/>
                <w:color w:val="000000"/>
                <w:szCs w:val="24"/>
                <w:u w:val="single"/>
              </w:rPr>
              <w:t>Locally agreed Action Plan</w:t>
            </w:r>
          </w:p>
        </w:tc>
      </w:tr>
      <w:tr w:rsidR="00CF3963" w:rsidRPr="000412A1" w14:paraId="753F4539" w14:textId="77777777" w:rsidTr="009D54C2">
        <w:tc>
          <w:tcPr>
            <w:tcW w:w="5000" w:type="pct"/>
            <w:gridSpan w:val="3"/>
            <w:shd w:val="clear" w:color="auto" w:fill="A6A6A6" w:themeFill="background1" w:themeFillShade="A6"/>
          </w:tcPr>
          <w:p w14:paraId="2BACE6EB"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6BD18F9B" w14:textId="77777777" w:rsidR="00CF3963" w:rsidRPr="000412A1" w:rsidRDefault="00CF3963" w:rsidP="0084461B">
            <w:pPr>
              <w:rPr>
                <w:rFonts w:cs="Arial"/>
                <w:color w:val="000000"/>
                <w:szCs w:val="24"/>
              </w:rPr>
            </w:pPr>
          </w:p>
        </w:tc>
      </w:tr>
      <w:tr w:rsidR="00970018" w:rsidRPr="000412A1" w14:paraId="4BF34CEA" w14:textId="77777777" w:rsidTr="00CF3963">
        <w:tc>
          <w:tcPr>
            <w:tcW w:w="5000" w:type="pct"/>
            <w:gridSpan w:val="3"/>
          </w:tcPr>
          <w:p w14:paraId="3F3BA607" w14:textId="77777777" w:rsidR="00970018" w:rsidRPr="00D11E78" w:rsidRDefault="00970018" w:rsidP="00970018">
            <w:pPr>
              <w:rPr>
                <w:rFonts w:cs="Arial"/>
                <w:b/>
                <w:szCs w:val="24"/>
              </w:rPr>
            </w:pPr>
            <w:r w:rsidRPr="00D11E78">
              <w:rPr>
                <w:rFonts w:cs="Arial"/>
                <w:b/>
                <w:szCs w:val="24"/>
              </w:rPr>
              <w:t>Further details on implementation, and references to documents that will support implementation</w:t>
            </w:r>
            <w:r w:rsidR="004429A4" w:rsidRPr="00D11E78">
              <w:rPr>
                <w:rFonts w:cs="Arial"/>
                <w:b/>
                <w:szCs w:val="24"/>
              </w:rPr>
              <w:t>:</w:t>
            </w:r>
          </w:p>
          <w:p w14:paraId="238601FE" w14:textId="77777777" w:rsidR="00D11E78" w:rsidRPr="00D11E78" w:rsidRDefault="00D11E78" w:rsidP="00970018">
            <w:pPr>
              <w:rPr>
                <w:rFonts w:cs="Arial"/>
                <w:szCs w:val="24"/>
              </w:rPr>
            </w:pPr>
          </w:p>
          <w:p w14:paraId="794C16AB" w14:textId="77777777" w:rsidR="00D11E78" w:rsidRPr="00D11E78" w:rsidRDefault="00D11E78" w:rsidP="00D11E78">
            <w:pPr>
              <w:rPr>
                <w:rFonts w:cs="Arial"/>
                <w:szCs w:val="24"/>
              </w:rPr>
            </w:pPr>
            <w:r w:rsidRPr="00D11E78">
              <w:rPr>
                <w:rFonts w:cs="Arial"/>
                <w:szCs w:val="24"/>
              </w:rPr>
              <w:t xml:space="preserve">Clear recommendations for the approach to take in improving utilisation and donation rates are included in “Taking Organ Utilisation to 2020”. These include:  excellence in the assessment and management of potential donors; creating systems whereby surgeons have the information and guidance to enable them safely to accept and transplant organs with patients being able to take an active role in the decision; ensuring retrieval teams attend donors timeously and organs are preserved; maximising use of proven perfusion techniques to increase organ utilisation. To improve live kidney donation rates, clear </w:t>
            </w:r>
            <w:r w:rsidRPr="00D11E78">
              <w:rPr>
                <w:rFonts w:cs="Arial"/>
                <w:szCs w:val="24"/>
              </w:rPr>
              <w:lastRenderedPageBreak/>
              <w:t>steps for transplantation centres include: • Determining cultural barriers to families releasing organs for transplant from living relatives. • Analysis of pre-emptive and LKD rates • Mapping, dissemination and Improvement of local LKD referral pathways. • Measuring donor and recipient experience of the donor pathway.</w:t>
            </w:r>
          </w:p>
          <w:p w14:paraId="66DF3B93" w14:textId="77777777" w:rsidR="00D11E78" w:rsidRPr="00D11E78" w:rsidRDefault="00D11E78" w:rsidP="00D11E78">
            <w:pPr>
              <w:rPr>
                <w:rFonts w:cs="Arial"/>
                <w:szCs w:val="24"/>
              </w:rPr>
            </w:pPr>
            <w:r w:rsidRPr="00D11E78">
              <w:rPr>
                <w:rFonts w:cs="Arial"/>
                <w:szCs w:val="24"/>
              </w:rPr>
              <w:t xml:space="preserve">                                                                                                                                                                                                                                                                                     “</w:t>
            </w:r>
            <w:r w:rsidRPr="00D11E78">
              <w:rPr>
                <w:rFonts w:cs="Arial"/>
                <w:i/>
                <w:szCs w:val="24"/>
              </w:rPr>
              <w:t>Taking Organ Utilisation to 2020</w:t>
            </w:r>
            <w:r w:rsidRPr="00D11E78">
              <w:rPr>
                <w:rFonts w:cs="Arial"/>
                <w:szCs w:val="24"/>
              </w:rPr>
              <w:t xml:space="preserve">” </w:t>
            </w:r>
          </w:p>
          <w:p w14:paraId="034A2D1C" w14:textId="77777777" w:rsidR="00D11E78" w:rsidRPr="00D11E78" w:rsidRDefault="00D11E04" w:rsidP="00D11E78">
            <w:pPr>
              <w:rPr>
                <w:rFonts w:cs="Arial"/>
                <w:szCs w:val="24"/>
              </w:rPr>
            </w:pPr>
            <w:hyperlink r:id="rId14" w:history="1">
              <w:r w:rsidR="00D11E78" w:rsidRPr="00D11E78">
                <w:rPr>
                  <w:rStyle w:val="Hyperlink"/>
                  <w:rFonts w:cs="Arial"/>
                  <w:szCs w:val="24"/>
                </w:rPr>
                <w:t>https://nhsbtdbe.blob.core.windows.net/umbraco-assets-corp/3579/odt-organ-utilisation-strategy.pdf</w:t>
              </w:r>
            </w:hyperlink>
          </w:p>
          <w:p w14:paraId="0677A185" w14:textId="77777777" w:rsidR="00970018" w:rsidRPr="00D11E78" w:rsidRDefault="00D11E78" w:rsidP="00D11E78">
            <w:pPr>
              <w:rPr>
                <w:rFonts w:cs="Arial"/>
                <w:szCs w:val="24"/>
              </w:rPr>
            </w:pPr>
            <w:r w:rsidRPr="00D11E78">
              <w:rPr>
                <w:rFonts w:cs="Arial"/>
                <w:szCs w:val="24"/>
              </w:rPr>
              <w:t xml:space="preserve">provides an overview of excellent organisational performance on organ acceptance and utilisation. Successful implementation of improvements in systems and performance is in part dependent upon close collaboration with NHS Blood and Transplant, and on staff training and sharing of good practice and collaboration between clinical units. Screening, evaluation and work up of live donors can be undertaken in referring renal centres, transplant centres or a combination of the two. It will be necessary for transplant centres to work with referring units to map their local process, agree areas for improvement and measure change. They will also have to work with other departments, e.g. cardiac investigations, to ensure that tests are undertaken in a timely fashion to support the delivery of the 18-week target for work up of live donors as set out in the BTS Guidance "BTS/RA Living Donor Kidney Transplantation Guidelines 2018." There is no requirement for additional investment or training. The focus of this improvement work is to map local process, identify bottlenecks and opportunities for improvement. </w:t>
            </w:r>
            <w:proofErr w:type="gramStart"/>
            <w:r w:rsidRPr="00D11E78">
              <w:rPr>
                <w:rFonts w:cs="Arial"/>
                <w:szCs w:val="24"/>
              </w:rPr>
              <w:t>All of</w:t>
            </w:r>
            <w:proofErr w:type="gramEnd"/>
            <w:r w:rsidRPr="00D11E78">
              <w:rPr>
                <w:rFonts w:cs="Arial"/>
                <w:szCs w:val="24"/>
              </w:rPr>
              <w:t xml:space="preserve"> the elements of the pathway are currently commissioned.                                                                                                          </w:t>
            </w:r>
          </w:p>
          <w:p w14:paraId="0F3CABC7" w14:textId="77777777" w:rsidR="00D11E78" w:rsidRPr="00D11E78" w:rsidRDefault="00D11E78" w:rsidP="00970018">
            <w:pPr>
              <w:rPr>
                <w:rFonts w:cs="Arial"/>
                <w:szCs w:val="24"/>
              </w:rPr>
            </w:pPr>
          </w:p>
          <w:p w14:paraId="40C22056" w14:textId="77777777" w:rsidR="00D11E78" w:rsidRPr="00D11E78" w:rsidRDefault="00D11E78" w:rsidP="00970018">
            <w:pPr>
              <w:rPr>
                <w:rFonts w:cs="Arial"/>
                <w:szCs w:val="24"/>
              </w:rPr>
            </w:pPr>
            <w:r w:rsidRPr="00D11E78">
              <w:rPr>
                <w:rFonts w:cs="Arial"/>
                <w:szCs w:val="24"/>
              </w:rPr>
              <w:t>NHS BT has Clinical Leads appointed at a national level for Organ Utilisation for both abdominal and cardiothoracic organ transplantation. At a local level there are staff with responsibility for Living Donor Transplant, Clinical Leads for Organ Donation and Specialist Nurses for Organ Donation. There is an established Living Kidney Donor Strategy Implementation Group (SIG) responsible for the promotion and dissemination of best practice. Each renal centre has a named lead for living donation and the SIG produce a quarterly newsletter to promote best practice and encourage networking of clinical leads. The first national meeting of the unit clinical leads will take place in January 2019.  NHSBT has a Lead Nurse for Living Donation who works with Living Donor co-ordinators across the country and UK to develop best practice and promote live donation.</w:t>
            </w:r>
          </w:p>
        </w:tc>
      </w:tr>
    </w:tbl>
    <w:p w14:paraId="5B08B5D1" w14:textId="77777777" w:rsidR="006B2327" w:rsidRDefault="006B2327" w:rsidP="00154269">
      <w:pPr>
        <w:rPr>
          <w:rFonts w:cs="Arial"/>
          <w:b/>
          <w:szCs w:val="24"/>
        </w:rPr>
      </w:pPr>
    </w:p>
    <w:p w14:paraId="16DEB4AB" w14:textId="77777777" w:rsidR="00234135" w:rsidRDefault="00234135" w:rsidP="00154269">
      <w:pPr>
        <w:rPr>
          <w:rFonts w:cs="Arial"/>
          <w:b/>
          <w:szCs w:val="24"/>
        </w:rPr>
      </w:pPr>
    </w:p>
    <w:tbl>
      <w:tblPr>
        <w:tblStyle w:val="TableGrid"/>
        <w:tblW w:w="5504" w:type="pct"/>
        <w:tblLook w:val="04A0" w:firstRow="1" w:lastRow="0" w:firstColumn="1" w:lastColumn="0" w:noHBand="0" w:noVBand="1"/>
      </w:tblPr>
      <w:tblGrid>
        <w:gridCol w:w="2733"/>
        <w:gridCol w:w="7192"/>
      </w:tblGrid>
      <w:tr w:rsidR="00234135" w:rsidRPr="000412A1" w14:paraId="06865F5D" w14:textId="77777777" w:rsidTr="00234135">
        <w:tc>
          <w:tcPr>
            <w:tcW w:w="5000" w:type="pct"/>
            <w:gridSpan w:val="2"/>
            <w:shd w:val="clear" w:color="auto" w:fill="BFBFBF" w:themeFill="background1" w:themeFillShade="BF"/>
          </w:tcPr>
          <w:p w14:paraId="39F04CC8"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56DDF72B" w14:textId="77777777" w:rsidTr="001F6AA3">
        <w:tc>
          <w:tcPr>
            <w:tcW w:w="5000" w:type="pct"/>
            <w:gridSpan w:val="2"/>
            <w:shd w:val="clear" w:color="auto" w:fill="D9D9D9" w:themeFill="background1" w:themeFillShade="D9"/>
          </w:tcPr>
          <w:p w14:paraId="733D4D13"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6AD026F3" w14:textId="77777777" w:rsidTr="00234135">
        <w:tc>
          <w:tcPr>
            <w:tcW w:w="5000" w:type="pct"/>
            <w:gridSpan w:val="2"/>
            <w:shd w:val="clear" w:color="auto" w:fill="auto"/>
          </w:tcPr>
          <w:p w14:paraId="4DE3CCE7"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0AD9C6F4" w14:textId="77777777" w:rsidR="0026417D" w:rsidRDefault="0026417D" w:rsidP="0026417D">
            <w:pPr>
              <w:rPr>
                <w:rFonts w:cs="Arial"/>
                <w:b/>
                <w:i/>
                <w:szCs w:val="24"/>
              </w:rPr>
            </w:pPr>
          </w:p>
          <w:p w14:paraId="5A3DD884" w14:textId="77777777" w:rsidR="00100668" w:rsidRDefault="00100668" w:rsidP="00100668">
            <w:pPr>
              <w:rPr>
                <w:rFonts w:cs="Arial"/>
                <w:szCs w:val="24"/>
              </w:rPr>
            </w:pPr>
            <w:r>
              <w:rPr>
                <w:rFonts w:cs="Arial"/>
                <w:szCs w:val="24"/>
              </w:rPr>
              <w:t>Increasing organ donation rates is important as it:</w:t>
            </w:r>
          </w:p>
          <w:p w14:paraId="1F7EB1AC" w14:textId="77777777" w:rsidR="00100668" w:rsidRDefault="00100668" w:rsidP="00100668">
            <w:pPr>
              <w:pStyle w:val="ListParagraph"/>
              <w:numPr>
                <w:ilvl w:val="0"/>
                <w:numId w:val="14"/>
              </w:numPr>
              <w:rPr>
                <w:rFonts w:cs="Arial"/>
                <w:szCs w:val="24"/>
              </w:rPr>
            </w:pPr>
            <w:r w:rsidRPr="00EA4C7B">
              <w:rPr>
                <w:rFonts w:cs="Arial"/>
                <w:szCs w:val="24"/>
              </w:rPr>
              <w:t xml:space="preserve">Increases opportunities for transplantation before patients </w:t>
            </w:r>
            <w:r>
              <w:rPr>
                <w:rFonts w:cs="Arial"/>
                <w:szCs w:val="24"/>
              </w:rPr>
              <w:t xml:space="preserve">deteriorate and </w:t>
            </w:r>
            <w:r w:rsidRPr="00EA4C7B">
              <w:rPr>
                <w:rFonts w:cs="Arial"/>
                <w:szCs w:val="24"/>
              </w:rPr>
              <w:t xml:space="preserve">develop co-morbidities that increase </w:t>
            </w:r>
            <w:r>
              <w:rPr>
                <w:rFonts w:cs="Arial"/>
                <w:szCs w:val="24"/>
              </w:rPr>
              <w:t xml:space="preserve">operative risk and </w:t>
            </w:r>
            <w:r w:rsidRPr="00EA4C7B">
              <w:rPr>
                <w:rFonts w:cs="Arial"/>
                <w:szCs w:val="24"/>
              </w:rPr>
              <w:t xml:space="preserve">risk of organ failure post-transplant. </w:t>
            </w:r>
          </w:p>
          <w:p w14:paraId="6551CA58" w14:textId="77777777" w:rsidR="00100668" w:rsidRPr="00EA4C7B" w:rsidRDefault="00100668" w:rsidP="00100668">
            <w:pPr>
              <w:pStyle w:val="ListParagraph"/>
              <w:numPr>
                <w:ilvl w:val="0"/>
                <w:numId w:val="14"/>
              </w:numPr>
              <w:rPr>
                <w:rFonts w:cs="Arial"/>
                <w:szCs w:val="24"/>
              </w:rPr>
            </w:pPr>
            <w:r w:rsidRPr="00EA4C7B">
              <w:rPr>
                <w:rFonts w:cs="Arial"/>
                <w:szCs w:val="24"/>
              </w:rPr>
              <w:t xml:space="preserve">Some patients are receiving interim </w:t>
            </w:r>
            <w:r>
              <w:rPr>
                <w:rFonts w:cs="Arial"/>
                <w:szCs w:val="24"/>
              </w:rPr>
              <w:t xml:space="preserve">high cost </w:t>
            </w:r>
            <w:r w:rsidRPr="00EA4C7B">
              <w:rPr>
                <w:rFonts w:cs="Arial"/>
                <w:szCs w:val="24"/>
              </w:rPr>
              <w:t>implanted mechanical support which increases the complexity of surgery should an organ become available</w:t>
            </w:r>
            <w:r>
              <w:rPr>
                <w:rFonts w:cs="Arial"/>
                <w:szCs w:val="24"/>
              </w:rPr>
              <w:t>.</w:t>
            </w:r>
          </w:p>
          <w:p w14:paraId="7F835D90" w14:textId="77777777" w:rsidR="00100668" w:rsidRPr="00AB7ECE" w:rsidRDefault="00100668" w:rsidP="00100668">
            <w:pPr>
              <w:pStyle w:val="ListParagraph"/>
              <w:numPr>
                <w:ilvl w:val="0"/>
                <w:numId w:val="14"/>
              </w:numPr>
              <w:rPr>
                <w:rFonts w:cs="Arial"/>
                <w:szCs w:val="24"/>
              </w:rPr>
            </w:pPr>
            <w:r w:rsidRPr="00AB7ECE">
              <w:rPr>
                <w:rFonts w:cs="Arial"/>
                <w:szCs w:val="24"/>
              </w:rPr>
              <w:t xml:space="preserve">There are developments in techniques to reduce </w:t>
            </w:r>
            <w:r>
              <w:rPr>
                <w:rFonts w:cs="Arial"/>
                <w:szCs w:val="24"/>
              </w:rPr>
              <w:t xml:space="preserve">clinical reasons for declining offered organs and / or </w:t>
            </w:r>
            <w:r w:rsidRPr="00AB7ECE">
              <w:rPr>
                <w:rFonts w:cs="Arial"/>
                <w:szCs w:val="24"/>
              </w:rPr>
              <w:t xml:space="preserve">deterioration in the organ being donated which should increase numbers of </w:t>
            </w:r>
            <w:r>
              <w:rPr>
                <w:rFonts w:cs="Arial"/>
                <w:szCs w:val="24"/>
              </w:rPr>
              <w:t xml:space="preserve">organs available. There is evidence this is associated with better outcomes. </w:t>
            </w:r>
            <w:proofErr w:type="gramStart"/>
            <w:r>
              <w:rPr>
                <w:rFonts w:cs="Arial"/>
                <w:szCs w:val="24"/>
              </w:rPr>
              <w:t>However</w:t>
            </w:r>
            <w:proofErr w:type="gramEnd"/>
            <w:r>
              <w:rPr>
                <w:rFonts w:cs="Arial"/>
                <w:szCs w:val="24"/>
              </w:rPr>
              <w:t xml:space="preserve"> providers will need to consider how their services are organised to maximise the impact of these technologies.</w:t>
            </w:r>
          </w:p>
          <w:p w14:paraId="26B0E538" w14:textId="77777777" w:rsidR="00100668" w:rsidRDefault="00100668" w:rsidP="00100668">
            <w:pPr>
              <w:pStyle w:val="ListParagraph"/>
              <w:numPr>
                <w:ilvl w:val="0"/>
                <w:numId w:val="14"/>
              </w:numPr>
              <w:rPr>
                <w:rFonts w:cs="Arial"/>
                <w:szCs w:val="24"/>
              </w:rPr>
            </w:pPr>
            <w:r>
              <w:rPr>
                <w:rFonts w:cs="Arial"/>
                <w:szCs w:val="24"/>
              </w:rPr>
              <w:lastRenderedPageBreak/>
              <w:t xml:space="preserve">The limited supply of organs means that surgery sessions frequently occur out of hours and when in hours are competing with other emergency and elective waiting lists. </w:t>
            </w:r>
          </w:p>
          <w:p w14:paraId="09A2BE26" w14:textId="77777777" w:rsidR="00100668" w:rsidRDefault="00100668" w:rsidP="00100668">
            <w:pPr>
              <w:pStyle w:val="ListParagraph"/>
              <w:numPr>
                <w:ilvl w:val="0"/>
                <w:numId w:val="14"/>
              </w:numPr>
              <w:rPr>
                <w:rFonts w:cs="Arial"/>
                <w:szCs w:val="24"/>
              </w:rPr>
            </w:pPr>
            <w:r>
              <w:rPr>
                <w:rFonts w:cs="Arial"/>
                <w:szCs w:val="24"/>
              </w:rPr>
              <w:t>Patients with organ failure and no organ will die and there is significant cost to the NHS in the last 1 to 2 years of life with patients having frequent and often extended inpatient stays requiring high dependency care.</w:t>
            </w:r>
          </w:p>
          <w:p w14:paraId="1B7C3695" w14:textId="77777777" w:rsidR="00100668" w:rsidRDefault="00100668" w:rsidP="00100668">
            <w:pPr>
              <w:pStyle w:val="ListParagraph"/>
              <w:numPr>
                <w:ilvl w:val="0"/>
                <w:numId w:val="14"/>
              </w:numPr>
              <w:rPr>
                <w:rFonts w:cs="Arial"/>
                <w:szCs w:val="24"/>
              </w:rPr>
            </w:pPr>
            <w:r>
              <w:rPr>
                <w:rFonts w:cs="Arial"/>
                <w:szCs w:val="24"/>
              </w:rPr>
              <w:t>Increasing opportunities for pre-emptive transplantation i.e. before a patient commences dialysis, is associated with better outcomes.</w:t>
            </w:r>
          </w:p>
          <w:p w14:paraId="5B11C81C" w14:textId="77777777" w:rsidR="00FE218D" w:rsidRDefault="00100668" w:rsidP="00100668">
            <w:pPr>
              <w:pStyle w:val="ListParagraph"/>
              <w:numPr>
                <w:ilvl w:val="0"/>
                <w:numId w:val="14"/>
              </w:numPr>
              <w:rPr>
                <w:rFonts w:cs="Arial"/>
                <w:szCs w:val="24"/>
              </w:rPr>
            </w:pPr>
            <w:r>
              <w:rPr>
                <w:rFonts w:cs="Arial"/>
                <w:szCs w:val="24"/>
              </w:rPr>
              <w:t>A better pathway m</w:t>
            </w:r>
            <w:r w:rsidRPr="00100668">
              <w:rPr>
                <w:rFonts w:cs="Arial"/>
                <w:szCs w:val="24"/>
              </w:rPr>
              <w:t xml:space="preserve">inimises the chance that recipients who could have </w:t>
            </w:r>
            <w:r>
              <w:rPr>
                <w:rFonts w:cs="Arial"/>
                <w:szCs w:val="24"/>
              </w:rPr>
              <w:t xml:space="preserve">had </w:t>
            </w:r>
            <w:r w:rsidRPr="00100668">
              <w:rPr>
                <w:rFonts w:cs="Arial"/>
                <w:szCs w:val="24"/>
              </w:rPr>
              <w:t>a live donor will be offered a deceased donor</w:t>
            </w:r>
            <w:r>
              <w:rPr>
                <w:rFonts w:cs="Arial"/>
                <w:szCs w:val="24"/>
              </w:rPr>
              <w:t xml:space="preserve"> instead</w:t>
            </w:r>
            <w:r w:rsidRPr="00100668">
              <w:rPr>
                <w:rFonts w:cs="Arial"/>
                <w:szCs w:val="24"/>
              </w:rPr>
              <w:t>.</w:t>
            </w:r>
            <w:r w:rsidRPr="00100668">
              <w:rPr>
                <w:rFonts w:cs="Arial"/>
                <w:sz w:val="22"/>
                <w:szCs w:val="24"/>
              </w:rPr>
              <w:t xml:space="preserve"> </w:t>
            </w:r>
            <w:r w:rsidR="00FE218D">
              <w:rPr>
                <w:rFonts w:cs="Arial"/>
                <w:szCs w:val="24"/>
              </w:rPr>
              <w:t xml:space="preserve">This avoids </w:t>
            </w:r>
            <w:r w:rsidRPr="00100668">
              <w:rPr>
                <w:rFonts w:cs="Arial"/>
                <w:szCs w:val="24"/>
              </w:rPr>
              <w:t>a recipien</w:t>
            </w:r>
            <w:r>
              <w:rPr>
                <w:rFonts w:cs="Arial"/>
                <w:szCs w:val="24"/>
              </w:rPr>
              <w:t xml:space="preserve">t with a compatible </w:t>
            </w:r>
            <w:r w:rsidR="00FE218D">
              <w:rPr>
                <w:rFonts w:cs="Arial"/>
                <w:szCs w:val="24"/>
              </w:rPr>
              <w:t>live donor receiving</w:t>
            </w:r>
            <w:r w:rsidRPr="00100668">
              <w:rPr>
                <w:rFonts w:cs="Arial"/>
                <w:szCs w:val="24"/>
              </w:rPr>
              <w:t xml:space="preserve"> a deceased organ donation </w:t>
            </w:r>
            <w:r w:rsidR="00FE218D">
              <w:rPr>
                <w:rFonts w:cs="Arial"/>
                <w:szCs w:val="24"/>
              </w:rPr>
              <w:t>instead.</w:t>
            </w:r>
          </w:p>
          <w:p w14:paraId="7D84C5B8" w14:textId="77777777" w:rsidR="00234135" w:rsidRDefault="00FE218D" w:rsidP="00100668">
            <w:pPr>
              <w:pStyle w:val="ListParagraph"/>
              <w:numPr>
                <w:ilvl w:val="0"/>
                <w:numId w:val="14"/>
              </w:numPr>
              <w:rPr>
                <w:rFonts w:cs="Arial"/>
                <w:szCs w:val="24"/>
              </w:rPr>
            </w:pPr>
            <w:proofErr w:type="gramStart"/>
            <w:r>
              <w:rPr>
                <w:rFonts w:cs="Arial"/>
                <w:szCs w:val="24"/>
              </w:rPr>
              <w:t>Also</w:t>
            </w:r>
            <w:proofErr w:type="gramEnd"/>
            <w:r>
              <w:rPr>
                <w:rFonts w:cs="Arial"/>
                <w:szCs w:val="24"/>
              </w:rPr>
              <w:t xml:space="preserve"> </w:t>
            </w:r>
            <w:r w:rsidR="00100668" w:rsidRPr="00100668">
              <w:rPr>
                <w:rFonts w:cs="Arial"/>
                <w:szCs w:val="24"/>
              </w:rPr>
              <w:t xml:space="preserve">a live donor will potentially have undergone a lengthy resource intensive </w:t>
            </w:r>
            <w:r>
              <w:rPr>
                <w:rFonts w:cs="Arial"/>
                <w:szCs w:val="24"/>
              </w:rPr>
              <w:t>assessment process to no clinical benefit to the patient on the waiting list</w:t>
            </w:r>
            <w:r w:rsidR="00100668" w:rsidRPr="00100668">
              <w:rPr>
                <w:rFonts w:cs="Arial"/>
                <w:szCs w:val="24"/>
              </w:rPr>
              <w:t>.</w:t>
            </w:r>
          </w:p>
          <w:p w14:paraId="4B1F511A" w14:textId="77777777" w:rsidR="00D20ED1" w:rsidRDefault="00D20ED1" w:rsidP="00D20ED1">
            <w:pPr>
              <w:rPr>
                <w:rFonts w:cs="Arial"/>
                <w:szCs w:val="24"/>
              </w:rPr>
            </w:pPr>
          </w:p>
          <w:p w14:paraId="65F9C3DC" w14:textId="77777777" w:rsidR="00D11E78" w:rsidRDefault="00D11E78" w:rsidP="00D20ED1">
            <w:pPr>
              <w:rPr>
                <w:rFonts w:cs="Arial"/>
                <w:szCs w:val="24"/>
              </w:rPr>
            </w:pPr>
          </w:p>
          <w:p w14:paraId="5023141B" w14:textId="77777777" w:rsidR="00D20ED1" w:rsidRDefault="00D20ED1" w:rsidP="00D20ED1">
            <w:pPr>
              <w:rPr>
                <w:rFonts w:cs="Arial"/>
                <w:szCs w:val="24"/>
              </w:rPr>
            </w:pPr>
          </w:p>
          <w:tbl>
            <w:tblPr>
              <w:tblW w:w="5797"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shd w:val="clear" w:color="auto" w:fill="FFFFFF" w:themeFill="background1"/>
              <w:tblCellMar>
                <w:left w:w="0" w:type="dxa"/>
                <w:right w:w="0" w:type="dxa"/>
              </w:tblCellMar>
              <w:tblLook w:val="0600" w:firstRow="0" w:lastRow="0" w:firstColumn="0" w:lastColumn="0" w:noHBand="1" w:noVBand="1"/>
            </w:tblPr>
            <w:tblGrid>
              <w:gridCol w:w="3104"/>
              <w:gridCol w:w="976"/>
              <w:gridCol w:w="867"/>
              <w:gridCol w:w="850"/>
            </w:tblGrid>
            <w:tr w:rsidR="00A369F0" w:rsidRPr="009C58D5" w14:paraId="160ECE20" w14:textId="77777777" w:rsidTr="00022F2F">
              <w:trPr>
                <w:trHeight w:val="283"/>
                <w:jc w:val="center"/>
              </w:trPr>
              <w:tc>
                <w:tcPr>
                  <w:tcW w:w="3104" w:type="dxa"/>
                  <w:shd w:val="clear" w:color="auto" w:fill="FFFFFF" w:themeFill="background1"/>
                  <w:tcMar>
                    <w:top w:w="72" w:type="dxa"/>
                    <w:left w:w="144" w:type="dxa"/>
                    <w:bottom w:w="72" w:type="dxa"/>
                    <w:right w:w="144" w:type="dxa"/>
                  </w:tcMar>
                </w:tcPr>
                <w:p w14:paraId="5AFDA6A5" w14:textId="77777777" w:rsidR="00A369F0" w:rsidRPr="00A369F0" w:rsidRDefault="00A369F0" w:rsidP="00022F2F">
                  <w:pPr>
                    <w:kinsoku w:val="0"/>
                    <w:overflowPunct w:val="0"/>
                    <w:textAlignment w:val="baseline"/>
                    <w:rPr>
                      <w:rFonts w:eastAsia="MS PGothic" w:cs="Arial"/>
                      <w:b/>
                      <w:bCs w:val="0"/>
                      <w:color w:val="000000" w:themeColor="text1"/>
                      <w:kern w:val="24"/>
                      <w:sz w:val="20"/>
                      <w:szCs w:val="20"/>
                      <w:lang w:eastAsia="en-GB"/>
                    </w:rPr>
                  </w:pPr>
                  <w:r w:rsidRPr="00A369F0">
                    <w:rPr>
                      <w:rFonts w:eastAsia="MS PGothic" w:cs="Arial"/>
                      <w:b/>
                      <w:bCs w:val="0"/>
                      <w:color w:val="000000" w:themeColor="text1"/>
                      <w:kern w:val="24"/>
                      <w:sz w:val="20"/>
                      <w:szCs w:val="20"/>
                      <w:lang w:eastAsia="en-GB"/>
                    </w:rPr>
                    <w:t xml:space="preserve">Table 1 </w:t>
                  </w:r>
                </w:p>
              </w:tc>
              <w:tc>
                <w:tcPr>
                  <w:tcW w:w="976" w:type="dxa"/>
                  <w:shd w:val="clear" w:color="auto" w:fill="FFFFFF" w:themeFill="background1"/>
                  <w:tcMar>
                    <w:top w:w="72" w:type="dxa"/>
                    <w:left w:w="144" w:type="dxa"/>
                    <w:bottom w:w="72" w:type="dxa"/>
                    <w:right w:w="144" w:type="dxa"/>
                  </w:tcMar>
                </w:tcPr>
                <w:p w14:paraId="11BC52D3" w14:textId="77777777" w:rsidR="00A369F0" w:rsidRPr="00962006" w:rsidRDefault="00A369F0" w:rsidP="00022F2F">
                  <w:pPr>
                    <w:kinsoku w:val="0"/>
                    <w:overflowPunct w:val="0"/>
                    <w:spacing w:before="160" w:after="160"/>
                    <w:textAlignment w:val="baseline"/>
                    <w:rPr>
                      <w:rFonts w:cs="Arial"/>
                      <w:sz w:val="20"/>
                      <w:szCs w:val="20"/>
                      <w:lang w:eastAsia="en-GB"/>
                    </w:rPr>
                  </w:pPr>
                  <w:r w:rsidRPr="00962006">
                    <w:rPr>
                      <w:rFonts w:eastAsia="MS PGothic" w:cs="Arial"/>
                      <w:color w:val="000000" w:themeColor="text1"/>
                      <w:kern w:val="24"/>
                      <w:sz w:val="20"/>
                      <w:szCs w:val="20"/>
                      <w:lang w:eastAsia="en-GB"/>
                    </w:rPr>
                    <w:t>14/15</w:t>
                  </w:r>
                </w:p>
              </w:tc>
              <w:tc>
                <w:tcPr>
                  <w:tcW w:w="867" w:type="dxa"/>
                  <w:shd w:val="clear" w:color="auto" w:fill="FFFFFF" w:themeFill="background1"/>
                  <w:tcMar>
                    <w:top w:w="72" w:type="dxa"/>
                    <w:left w:w="144" w:type="dxa"/>
                    <w:bottom w:w="72" w:type="dxa"/>
                    <w:right w:w="144" w:type="dxa"/>
                  </w:tcMar>
                </w:tcPr>
                <w:p w14:paraId="0352FD75" w14:textId="77777777" w:rsidR="00A369F0" w:rsidRPr="00962006" w:rsidRDefault="00A369F0" w:rsidP="00022F2F">
                  <w:pPr>
                    <w:kinsoku w:val="0"/>
                    <w:overflowPunct w:val="0"/>
                    <w:spacing w:before="160" w:after="160"/>
                    <w:textAlignment w:val="baseline"/>
                    <w:rPr>
                      <w:rFonts w:cs="Arial"/>
                      <w:sz w:val="20"/>
                      <w:szCs w:val="20"/>
                      <w:lang w:eastAsia="en-GB"/>
                    </w:rPr>
                  </w:pPr>
                  <w:r w:rsidRPr="00962006">
                    <w:rPr>
                      <w:rFonts w:eastAsia="MS PGothic" w:cs="Arial"/>
                      <w:color w:val="000000" w:themeColor="text1"/>
                      <w:kern w:val="24"/>
                      <w:sz w:val="20"/>
                      <w:szCs w:val="20"/>
                      <w:lang w:eastAsia="en-GB"/>
                    </w:rPr>
                    <w:t>15/16*</w:t>
                  </w:r>
                </w:p>
              </w:tc>
              <w:tc>
                <w:tcPr>
                  <w:tcW w:w="850" w:type="dxa"/>
                  <w:shd w:val="clear" w:color="auto" w:fill="FFFFFF" w:themeFill="background1"/>
                  <w:tcMar>
                    <w:top w:w="72" w:type="dxa"/>
                    <w:left w:w="144" w:type="dxa"/>
                    <w:bottom w:w="72" w:type="dxa"/>
                    <w:right w:w="144" w:type="dxa"/>
                  </w:tcMar>
                </w:tcPr>
                <w:p w14:paraId="116545D9" w14:textId="77777777" w:rsidR="00A369F0" w:rsidRPr="00962006" w:rsidRDefault="00A369F0" w:rsidP="00022F2F">
                  <w:pPr>
                    <w:kinsoku w:val="0"/>
                    <w:overflowPunct w:val="0"/>
                    <w:spacing w:before="160" w:after="160"/>
                    <w:textAlignment w:val="baseline"/>
                    <w:rPr>
                      <w:rFonts w:cs="Arial"/>
                      <w:sz w:val="20"/>
                      <w:szCs w:val="20"/>
                      <w:lang w:eastAsia="en-GB"/>
                    </w:rPr>
                  </w:pPr>
                  <w:r w:rsidRPr="00962006">
                    <w:rPr>
                      <w:rFonts w:eastAsia="MS PGothic" w:cs="Arial"/>
                      <w:color w:val="000000" w:themeColor="text1"/>
                      <w:kern w:val="24"/>
                      <w:sz w:val="20"/>
                      <w:szCs w:val="20"/>
                      <w:lang w:eastAsia="en-GB"/>
                    </w:rPr>
                    <w:t>16/17</w:t>
                  </w:r>
                </w:p>
              </w:tc>
            </w:tr>
            <w:tr w:rsidR="00A369F0" w:rsidRPr="009C58D5" w14:paraId="7BFE8305" w14:textId="77777777" w:rsidTr="00022F2F">
              <w:trPr>
                <w:trHeight w:val="283"/>
                <w:jc w:val="center"/>
              </w:trPr>
              <w:tc>
                <w:tcPr>
                  <w:tcW w:w="3104" w:type="dxa"/>
                  <w:shd w:val="clear" w:color="auto" w:fill="FFFFFF" w:themeFill="background1"/>
                  <w:tcMar>
                    <w:top w:w="72" w:type="dxa"/>
                    <w:left w:w="144" w:type="dxa"/>
                    <w:bottom w:w="72" w:type="dxa"/>
                    <w:right w:w="144" w:type="dxa"/>
                  </w:tcMar>
                  <w:hideMark/>
                </w:tcPr>
                <w:p w14:paraId="3194ABF3" w14:textId="77777777" w:rsidR="00A369F0" w:rsidRPr="00962006" w:rsidRDefault="00A369F0" w:rsidP="00022F2F">
                  <w:pPr>
                    <w:kinsoku w:val="0"/>
                    <w:overflowPunct w:val="0"/>
                    <w:textAlignment w:val="baseline"/>
                    <w:rPr>
                      <w:rFonts w:cs="Arial"/>
                      <w:sz w:val="20"/>
                      <w:szCs w:val="20"/>
                      <w:lang w:eastAsia="en-GB"/>
                    </w:rPr>
                  </w:pPr>
                  <w:r w:rsidRPr="00962006">
                    <w:rPr>
                      <w:rFonts w:eastAsia="MS PGothic" w:cs="Arial"/>
                      <w:bCs w:val="0"/>
                      <w:color w:val="000000" w:themeColor="text1"/>
                      <w:kern w:val="24"/>
                      <w:sz w:val="20"/>
                      <w:szCs w:val="20"/>
                      <w:lang w:eastAsia="en-GB"/>
                    </w:rPr>
                    <w:t xml:space="preserve">Total Organ transplants </w:t>
                  </w:r>
                  <w:r w:rsidR="00FE218D">
                    <w:rPr>
                      <w:rFonts w:eastAsia="MS PGothic" w:cs="Arial"/>
                      <w:bCs w:val="0"/>
                      <w:color w:val="000000" w:themeColor="text1"/>
                      <w:kern w:val="24"/>
                      <w:sz w:val="20"/>
                      <w:szCs w:val="20"/>
                      <w:lang w:eastAsia="en-GB"/>
                    </w:rPr>
                    <w:t xml:space="preserve">against the Target </w:t>
                  </w:r>
                  <w:r w:rsidR="00FE218D" w:rsidRPr="00FE218D">
                    <w:rPr>
                      <w:rFonts w:eastAsia="MS PGothic" w:cs="Arial"/>
                      <w:bCs w:val="0"/>
                      <w:color w:val="FF0000"/>
                      <w:kern w:val="24"/>
                      <w:sz w:val="20"/>
                      <w:szCs w:val="20"/>
                      <w:lang w:eastAsia="en-GB"/>
                    </w:rPr>
                    <w:t>(red)</w:t>
                  </w:r>
                </w:p>
              </w:tc>
              <w:tc>
                <w:tcPr>
                  <w:tcW w:w="976" w:type="dxa"/>
                  <w:shd w:val="clear" w:color="auto" w:fill="FFFFFF" w:themeFill="background1"/>
                  <w:tcMar>
                    <w:top w:w="72" w:type="dxa"/>
                    <w:left w:w="144" w:type="dxa"/>
                    <w:bottom w:w="72" w:type="dxa"/>
                    <w:right w:w="144" w:type="dxa"/>
                  </w:tcMar>
                  <w:hideMark/>
                </w:tcPr>
                <w:p w14:paraId="1B5EEEFE" w14:textId="77777777" w:rsidR="00A369F0" w:rsidRPr="00962006" w:rsidRDefault="00A369F0" w:rsidP="00022F2F">
                  <w:pPr>
                    <w:tabs>
                      <w:tab w:val="center" w:pos="688"/>
                    </w:tabs>
                    <w:kinsoku w:val="0"/>
                    <w:overflowPunct w:val="0"/>
                    <w:textAlignment w:val="baseline"/>
                    <w:rPr>
                      <w:rFonts w:eastAsia="MS PGothic" w:cs="Arial"/>
                      <w:color w:val="000000" w:themeColor="text1"/>
                      <w:kern w:val="24"/>
                      <w:sz w:val="20"/>
                      <w:szCs w:val="20"/>
                      <w:lang w:eastAsia="en-GB"/>
                    </w:rPr>
                  </w:pPr>
                  <w:r w:rsidRPr="00962006">
                    <w:rPr>
                      <w:rFonts w:eastAsia="MS PGothic" w:cs="Arial"/>
                      <w:color w:val="000000" w:themeColor="text1"/>
                      <w:kern w:val="24"/>
                      <w:sz w:val="20"/>
                      <w:szCs w:val="20"/>
                      <w:lang w:eastAsia="en-GB"/>
                    </w:rPr>
                    <w:t>4033</w:t>
                  </w:r>
                </w:p>
                <w:p w14:paraId="38260573" w14:textId="77777777" w:rsidR="00A369F0" w:rsidRPr="00962006" w:rsidRDefault="00A369F0" w:rsidP="00022F2F">
                  <w:pPr>
                    <w:kinsoku w:val="0"/>
                    <w:overflowPunct w:val="0"/>
                    <w:textAlignment w:val="baseline"/>
                    <w:rPr>
                      <w:rFonts w:eastAsia="MS PGothic" w:cs="Arial"/>
                      <w:color w:val="000000" w:themeColor="text1"/>
                      <w:kern w:val="24"/>
                      <w:sz w:val="20"/>
                      <w:szCs w:val="20"/>
                      <w:lang w:eastAsia="en-GB"/>
                    </w:rPr>
                  </w:pPr>
                  <w:r w:rsidRPr="00962006">
                    <w:rPr>
                      <w:rFonts w:eastAsia="MS PGothic" w:cs="Arial"/>
                      <w:bCs w:val="0"/>
                      <w:color w:val="FF0000"/>
                      <w:kern w:val="24"/>
                      <w:sz w:val="20"/>
                      <w:szCs w:val="20"/>
                      <w:lang w:eastAsia="en-GB"/>
                    </w:rPr>
                    <w:t>3341</w:t>
                  </w:r>
                </w:p>
              </w:tc>
              <w:tc>
                <w:tcPr>
                  <w:tcW w:w="867" w:type="dxa"/>
                  <w:shd w:val="clear" w:color="auto" w:fill="FFFFFF" w:themeFill="background1"/>
                  <w:tcMar>
                    <w:top w:w="72" w:type="dxa"/>
                    <w:left w:w="144" w:type="dxa"/>
                    <w:bottom w:w="72" w:type="dxa"/>
                    <w:right w:w="144" w:type="dxa"/>
                  </w:tcMar>
                  <w:hideMark/>
                </w:tcPr>
                <w:p w14:paraId="13E51523"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3694</w:t>
                  </w:r>
                </w:p>
                <w:p w14:paraId="6DE25D90" w14:textId="77777777" w:rsidR="00A369F0" w:rsidRPr="00962006" w:rsidRDefault="00A369F0" w:rsidP="00022F2F">
                  <w:pPr>
                    <w:kinsoku w:val="0"/>
                    <w:overflowPunct w:val="0"/>
                    <w:textAlignment w:val="baseline"/>
                    <w:rPr>
                      <w:rFonts w:eastAsia="MS PGothic" w:cs="Arial"/>
                      <w:color w:val="000000" w:themeColor="text1"/>
                      <w:kern w:val="24"/>
                      <w:sz w:val="20"/>
                      <w:szCs w:val="20"/>
                      <w:lang w:eastAsia="en-GB"/>
                    </w:rPr>
                  </w:pPr>
                  <w:r w:rsidRPr="00962006">
                    <w:rPr>
                      <w:rFonts w:eastAsia="MS PGothic" w:cs="Arial"/>
                      <w:bCs w:val="0"/>
                      <w:color w:val="FF0000"/>
                      <w:kern w:val="24"/>
                      <w:sz w:val="20"/>
                      <w:szCs w:val="20"/>
                      <w:lang w:eastAsia="en-GB"/>
                    </w:rPr>
                    <w:t>3521</w:t>
                  </w:r>
                </w:p>
              </w:tc>
              <w:tc>
                <w:tcPr>
                  <w:tcW w:w="850" w:type="dxa"/>
                  <w:shd w:val="clear" w:color="auto" w:fill="FFFFFF" w:themeFill="background1"/>
                  <w:tcMar>
                    <w:top w:w="72" w:type="dxa"/>
                    <w:left w:w="144" w:type="dxa"/>
                    <w:bottom w:w="72" w:type="dxa"/>
                    <w:right w:w="144" w:type="dxa"/>
                  </w:tcMar>
                  <w:hideMark/>
                </w:tcPr>
                <w:p w14:paraId="227ADACC"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4060</w:t>
                  </w:r>
                </w:p>
                <w:p w14:paraId="0D4E5EBA" w14:textId="77777777" w:rsidR="00A369F0" w:rsidRPr="00962006" w:rsidRDefault="00A369F0" w:rsidP="00022F2F">
                  <w:pPr>
                    <w:kinsoku w:val="0"/>
                    <w:overflowPunct w:val="0"/>
                    <w:textAlignment w:val="baseline"/>
                    <w:rPr>
                      <w:rFonts w:eastAsia="MS PGothic" w:cs="Arial"/>
                      <w:bCs w:val="0"/>
                      <w:color w:val="FF0000"/>
                      <w:kern w:val="24"/>
                      <w:sz w:val="20"/>
                      <w:szCs w:val="20"/>
                      <w:lang w:eastAsia="en-GB"/>
                    </w:rPr>
                  </w:pPr>
                  <w:r w:rsidRPr="00962006">
                    <w:rPr>
                      <w:rFonts w:eastAsia="MS PGothic" w:cs="Arial"/>
                      <w:bCs w:val="0"/>
                      <w:color w:val="FF0000"/>
                      <w:kern w:val="24"/>
                      <w:sz w:val="20"/>
                      <w:szCs w:val="20"/>
                      <w:lang w:eastAsia="en-GB"/>
                    </w:rPr>
                    <w:t>3713</w:t>
                  </w:r>
                </w:p>
              </w:tc>
            </w:tr>
            <w:tr w:rsidR="00A369F0" w:rsidRPr="009C58D5" w14:paraId="2F14A3CD" w14:textId="77777777" w:rsidTr="00022F2F">
              <w:trPr>
                <w:trHeight w:val="331"/>
                <w:jc w:val="center"/>
              </w:trPr>
              <w:tc>
                <w:tcPr>
                  <w:tcW w:w="3104" w:type="dxa"/>
                  <w:shd w:val="clear" w:color="auto" w:fill="FFFFFF" w:themeFill="background1"/>
                  <w:tcMar>
                    <w:top w:w="72" w:type="dxa"/>
                    <w:left w:w="144" w:type="dxa"/>
                    <w:bottom w:w="72" w:type="dxa"/>
                    <w:right w:w="144" w:type="dxa"/>
                  </w:tcMar>
                </w:tcPr>
                <w:p w14:paraId="4BBDC5C5"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P</w:t>
                  </w:r>
                  <w:r w:rsidR="00FE218D">
                    <w:rPr>
                      <w:rFonts w:eastAsia="MS PGothic" w:cs="Arial"/>
                      <w:bCs w:val="0"/>
                      <w:color w:val="000000" w:themeColor="text1"/>
                      <w:kern w:val="24"/>
                      <w:sz w:val="20"/>
                      <w:szCs w:val="20"/>
                      <w:lang w:eastAsia="en-GB"/>
                    </w:rPr>
                    <w:t xml:space="preserve">er </w:t>
                  </w:r>
                  <w:r w:rsidRPr="00962006">
                    <w:rPr>
                      <w:rFonts w:eastAsia="MS PGothic" w:cs="Arial"/>
                      <w:bCs w:val="0"/>
                      <w:color w:val="000000" w:themeColor="text1"/>
                      <w:kern w:val="24"/>
                      <w:sz w:val="20"/>
                      <w:szCs w:val="20"/>
                      <w:lang w:eastAsia="en-GB"/>
                    </w:rPr>
                    <w:t>M</w:t>
                  </w:r>
                  <w:r w:rsidR="00FE218D">
                    <w:rPr>
                      <w:rFonts w:eastAsia="MS PGothic" w:cs="Arial"/>
                      <w:bCs w:val="0"/>
                      <w:color w:val="000000" w:themeColor="text1"/>
                      <w:kern w:val="24"/>
                      <w:sz w:val="20"/>
                      <w:szCs w:val="20"/>
                      <w:lang w:eastAsia="en-GB"/>
                    </w:rPr>
                    <w:t xml:space="preserve">illion </w:t>
                  </w:r>
                  <w:r w:rsidRPr="00962006">
                    <w:rPr>
                      <w:rFonts w:eastAsia="MS PGothic" w:cs="Arial"/>
                      <w:bCs w:val="0"/>
                      <w:color w:val="000000" w:themeColor="text1"/>
                      <w:kern w:val="24"/>
                      <w:sz w:val="20"/>
                      <w:szCs w:val="20"/>
                      <w:lang w:eastAsia="en-GB"/>
                    </w:rPr>
                    <w:t>P</w:t>
                  </w:r>
                  <w:r w:rsidR="00FE218D">
                    <w:rPr>
                      <w:rFonts w:eastAsia="MS PGothic" w:cs="Arial"/>
                      <w:bCs w:val="0"/>
                      <w:color w:val="000000" w:themeColor="text1"/>
                      <w:kern w:val="24"/>
                      <w:sz w:val="20"/>
                      <w:szCs w:val="20"/>
                      <w:lang w:eastAsia="en-GB"/>
                    </w:rPr>
                    <w:t>opulation</w:t>
                  </w:r>
                  <w:r w:rsidRPr="00962006">
                    <w:rPr>
                      <w:rFonts w:eastAsia="MS PGothic" w:cs="Arial"/>
                      <w:bCs w:val="0"/>
                      <w:color w:val="000000" w:themeColor="text1"/>
                      <w:kern w:val="24"/>
                      <w:sz w:val="20"/>
                      <w:szCs w:val="20"/>
                      <w:lang w:eastAsia="en-GB"/>
                    </w:rPr>
                    <w:t xml:space="preserve"> deceased donor transplant rates</w:t>
                  </w:r>
                </w:p>
              </w:tc>
              <w:tc>
                <w:tcPr>
                  <w:tcW w:w="976" w:type="dxa"/>
                  <w:shd w:val="clear" w:color="auto" w:fill="FFFFFF" w:themeFill="background1"/>
                  <w:tcMar>
                    <w:top w:w="72" w:type="dxa"/>
                    <w:left w:w="144" w:type="dxa"/>
                    <w:bottom w:w="72" w:type="dxa"/>
                    <w:right w:w="144" w:type="dxa"/>
                  </w:tcMar>
                </w:tcPr>
                <w:p w14:paraId="5EBD0840"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19.7</w:t>
                  </w:r>
                </w:p>
              </w:tc>
              <w:tc>
                <w:tcPr>
                  <w:tcW w:w="867" w:type="dxa"/>
                  <w:shd w:val="clear" w:color="auto" w:fill="FFFFFF" w:themeFill="background1"/>
                  <w:tcMar>
                    <w:top w:w="72" w:type="dxa"/>
                    <w:left w:w="144" w:type="dxa"/>
                    <w:bottom w:w="72" w:type="dxa"/>
                    <w:right w:w="144" w:type="dxa"/>
                  </w:tcMar>
                </w:tcPr>
                <w:p w14:paraId="77326E52"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20.9</w:t>
                  </w:r>
                </w:p>
              </w:tc>
              <w:tc>
                <w:tcPr>
                  <w:tcW w:w="850" w:type="dxa"/>
                  <w:shd w:val="clear" w:color="auto" w:fill="FFFFFF" w:themeFill="background1"/>
                  <w:tcMar>
                    <w:top w:w="72" w:type="dxa"/>
                    <w:left w:w="144" w:type="dxa"/>
                    <w:bottom w:w="72" w:type="dxa"/>
                    <w:right w:w="144" w:type="dxa"/>
                  </w:tcMar>
                </w:tcPr>
                <w:p w14:paraId="1ADEB31E"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21.1</w:t>
                  </w:r>
                </w:p>
              </w:tc>
            </w:tr>
            <w:tr w:rsidR="00A369F0" w:rsidRPr="009C58D5" w14:paraId="26D548E4" w14:textId="77777777" w:rsidTr="00022F2F">
              <w:trPr>
                <w:trHeight w:val="281"/>
                <w:jc w:val="center"/>
              </w:trPr>
              <w:tc>
                <w:tcPr>
                  <w:tcW w:w="3104" w:type="dxa"/>
                  <w:shd w:val="clear" w:color="auto" w:fill="FFFFFF" w:themeFill="background1"/>
                  <w:tcMar>
                    <w:top w:w="72" w:type="dxa"/>
                    <w:left w:w="144" w:type="dxa"/>
                    <w:bottom w:w="72" w:type="dxa"/>
                    <w:right w:w="144" w:type="dxa"/>
                  </w:tcMar>
                </w:tcPr>
                <w:p w14:paraId="0AAABCD2"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Kidney</w:t>
                  </w:r>
                </w:p>
              </w:tc>
              <w:tc>
                <w:tcPr>
                  <w:tcW w:w="976" w:type="dxa"/>
                  <w:shd w:val="clear" w:color="auto" w:fill="FFFFFF" w:themeFill="background1"/>
                  <w:tcMar>
                    <w:top w:w="72" w:type="dxa"/>
                    <w:left w:w="144" w:type="dxa"/>
                    <w:bottom w:w="72" w:type="dxa"/>
                    <w:right w:w="144" w:type="dxa"/>
                  </w:tcMar>
                </w:tcPr>
                <w:p w14:paraId="6FF820B5"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1980</w:t>
                  </w:r>
                </w:p>
                <w:p w14:paraId="610AEDDF"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1880</w:t>
                  </w:r>
                </w:p>
              </w:tc>
              <w:tc>
                <w:tcPr>
                  <w:tcW w:w="867" w:type="dxa"/>
                  <w:shd w:val="clear" w:color="auto" w:fill="FFFFFF" w:themeFill="background1"/>
                  <w:tcMar>
                    <w:top w:w="72" w:type="dxa"/>
                    <w:left w:w="144" w:type="dxa"/>
                    <w:bottom w:w="72" w:type="dxa"/>
                    <w:right w:w="144" w:type="dxa"/>
                  </w:tcMar>
                </w:tcPr>
                <w:p w14:paraId="7D1DFF57"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2068</w:t>
                  </w:r>
                </w:p>
                <w:p w14:paraId="10F1A743" w14:textId="77777777" w:rsidR="00A369F0" w:rsidRPr="00962006" w:rsidRDefault="00A369F0" w:rsidP="00022F2F">
                  <w:pPr>
                    <w:kinsoku w:val="0"/>
                    <w:overflowPunct w:val="0"/>
                    <w:textAlignment w:val="baseline"/>
                    <w:rPr>
                      <w:rFonts w:eastAsia="MS PGothic" w:cs="Arial"/>
                      <w:bCs w:val="0"/>
                      <w:color w:val="FF0000"/>
                      <w:kern w:val="24"/>
                      <w:sz w:val="20"/>
                      <w:szCs w:val="20"/>
                      <w:lang w:eastAsia="en-GB"/>
                    </w:rPr>
                  </w:pPr>
                  <w:r w:rsidRPr="00962006">
                    <w:rPr>
                      <w:rFonts w:eastAsia="MS PGothic" w:cs="Arial"/>
                      <w:bCs w:val="0"/>
                      <w:color w:val="FF0000"/>
                      <w:kern w:val="24"/>
                      <w:sz w:val="20"/>
                      <w:szCs w:val="20"/>
                      <w:lang w:eastAsia="en-GB"/>
                    </w:rPr>
                    <w:t>2036</w:t>
                  </w:r>
                </w:p>
              </w:tc>
              <w:tc>
                <w:tcPr>
                  <w:tcW w:w="850" w:type="dxa"/>
                  <w:shd w:val="clear" w:color="auto" w:fill="FFFFFF" w:themeFill="background1"/>
                  <w:tcMar>
                    <w:top w:w="72" w:type="dxa"/>
                    <w:left w:w="144" w:type="dxa"/>
                    <w:bottom w:w="72" w:type="dxa"/>
                    <w:right w:w="144" w:type="dxa"/>
                  </w:tcMar>
                </w:tcPr>
                <w:p w14:paraId="068C0844"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2297</w:t>
                  </w:r>
                </w:p>
                <w:p w14:paraId="56413FBF"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2160</w:t>
                  </w:r>
                </w:p>
              </w:tc>
            </w:tr>
            <w:tr w:rsidR="00A369F0" w:rsidRPr="009C58D5" w14:paraId="35EE3A04" w14:textId="77777777" w:rsidTr="00022F2F">
              <w:trPr>
                <w:trHeight w:val="293"/>
                <w:jc w:val="center"/>
              </w:trPr>
              <w:tc>
                <w:tcPr>
                  <w:tcW w:w="3104" w:type="dxa"/>
                  <w:shd w:val="clear" w:color="auto" w:fill="FFFFFF" w:themeFill="background1"/>
                  <w:tcMar>
                    <w:top w:w="72" w:type="dxa"/>
                    <w:left w:w="144" w:type="dxa"/>
                    <w:bottom w:w="72" w:type="dxa"/>
                    <w:right w:w="144" w:type="dxa"/>
                  </w:tcMar>
                </w:tcPr>
                <w:p w14:paraId="1D80BEF1" w14:textId="77777777" w:rsidR="00A369F0" w:rsidRPr="00AE562D" w:rsidRDefault="00A369F0" w:rsidP="00022F2F">
                  <w:pPr>
                    <w:kinsoku w:val="0"/>
                    <w:overflowPunct w:val="0"/>
                    <w:textAlignment w:val="baseline"/>
                    <w:rPr>
                      <w:rFonts w:eastAsia="MS PGothic" w:cs="Arial"/>
                      <w:bCs w:val="0"/>
                      <w:color w:val="000000" w:themeColor="text1"/>
                      <w:kern w:val="24"/>
                      <w:sz w:val="20"/>
                      <w:szCs w:val="20"/>
                      <w:lang w:eastAsia="en-GB"/>
                    </w:rPr>
                  </w:pPr>
                  <w:r w:rsidRPr="00AE562D">
                    <w:rPr>
                      <w:rFonts w:eastAsia="MS PGothic" w:cs="Arial"/>
                      <w:bCs w:val="0"/>
                      <w:color w:val="000000" w:themeColor="text1"/>
                      <w:kern w:val="24"/>
                      <w:sz w:val="20"/>
                      <w:szCs w:val="20"/>
                      <w:lang w:eastAsia="en-GB"/>
                    </w:rPr>
                    <w:t>L</w:t>
                  </w:r>
                  <w:r>
                    <w:rPr>
                      <w:rFonts w:eastAsia="MS PGothic" w:cs="Arial"/>
                      <w:bCs w:val="0"/>
                      <w:color w:val="000000" w:themeColor="text1"/>
                      <w:kern w:val="24"/>
                      <w:sz w:val="20"/>
                      <w:szCs w:val="20"/>
                      <w:lang w:eastAsia="en-GB"/>
                    </w:rPr>
                    <w:t xml:space="preserve">ive </w:t>
                  </w:r>
                  <w:r w:rsidRPr="00AE562D">
                    <w:rPr>
                      <w:rFonts w:eastAsia="MS PGothic" w:cs="Arial"/>
                      <w:bCs w:val="0"/>
                      <w:color w:val="000000" w:themeColor="text1"/>
                      <w:kern w:val="24"/>
                      <w:sz w:val="20"/>
                      <w:szCs w:val="20"/>
                      <w:lang w:eastAsia="en-GB"/>
                    </w:rPr>
                    <w:t>D</w:t>
                  </w:r>
                  <w:r>
                    <w:rPr>
                      <w:rFonts w:eastAsia="MS PGothic" w:cs="Arial"/>
                      <w:bCs w:val="0"/>
                      <w:color w:val="000000" w:themeColor="text1"/>
                      <w:kern w:val="24"/>
                      <w:sz w:val="20"/>
                      <w:szCs w:val="20"/>
                      <w:lang w:eastAsia="en-GB"/>
                    </w:rPr>
                    <w:t xml:space="preserve">onor Kidney </w:t>
                  </w:r>
                </w:p>
              </w:tc>
              <w:tc>
                <w:tcPr>
                  <w:tcW w:w="976" w:type="dxa"/>
                  <w:shd w:val="clear" w:color="auto" w:fill="FFFFFF" w:themeFill="background1"/>
                  <w:tcMar>
                    <w:top w:w="72" w:type="dxa"/>
                    <w:left w:w="144" w:type="dxa"/>
                    <w:bottom w:w="72" w:type="dxa"/>
                    <w:right w:w="144" w:type="dxa"/>
                  </w:tcMar>
                </w:tcPr>
                <w:p w14:paraId="272BD9C4" w14:textId="77777777" w:rsidR="00A369F0" w:rsidRPr="00AE562D" w:rsidRDefault="00A369F0" w:rsidP="00022F2F">
                  <w:pPr>
                    <w:kinsoku w:val="0"/>
                    <w:overflowPunct w:val="0"/>
                    <w:textAlignment w:val="baseline"/>
                    <w:rPr>
                      <w:rFonts w:eastAsia="MS PGothic" w:cs="Arial"/>
                      <w:bCs w:val="0"/>
                      <w:kern w:val="24"/>
                      <w:sz w:val="20"/>
                      <w:szCs w:val="20"/>
                      <w:lang w:eastAsia="en-GB"/>
                    </w:rPr>
                  </w:pPr>
                  <w:r w:rsidRPr="00AE562D">
                    <w:rPr>
                      <w:rFonts w:eastAsia="MS PGothic" w:cs="Arial"/>
                      <w:bCs w:val="0"/>
                      <w:kern w:val="24"/>
                      <w:sz w:val="20"/>
                      <w:szCs w:val="20"/>
                      <w:lang w:eastAsia="en-GB"/>
                    </w:rPr>
                    <w:t>1143</w:t>
                  </w:r>
                </w:p>
                <w:p w14:paraId="1F81EB70" w14:textId="77777777" w:rsidR="00A369F0" w:rsidRPr="00AE562D" w:rsidRDefault="00A369F0" w:rsidP="00022F2F">
                  <w:pPr>
                    <w:kinsoku w:val="0"/>
                    <w:overflowPunct w:val="0"/>
                    <w:textAlignment w:val="baseline"/>
                    <w:rPr>
                      <w:rFonts w:eastAsia="MS PGothic" w:cs="Arial"/>
                      <w:bCs w:val="0"/>
                      <w:kern w:val="24"/>
                      <w:sz w:val="20"/>
                      <w:szCs w:val="20"/>
                      <w:lang w:eastAsia="en-GB"/>
                    </w:rPr>
                  </w:pPr>
                  <w:r w:rsidRPr="00AE562D">
                    <w:rPr>
                      <w:rFonts w:eastAsia="MS PGothic" w:cs="Arial"/>
                      <w:bCs w:val="0"/>
                      <w:color w:val="FF0000"/>
                      <w:kern w:val="24"/>
                      <w:sz w:val="20"/>
                      <w:szCs w:val="20"/>
                      <w:lang w:eastAsia="en-GB"/>
                    </w:rPr>
                    <w:t>1092</w:t>
                  </w:r>
                </w:p>
              </w:tc>
              <w:tc>
                <w:tcPr>
                  <w:tcW w:w="867" w:type="dxa"/>
                  <w:shd w:val="clear" w:color="auto" w:fill="FFFFFF" w:themeFill="background1"/>
                  <w:tcMar>
                    <w:top w:w="72" w:type="dxa"/>
                    <w:left w:w="144" w:type="dxa"/>
                    <w:bottom w:w="72" w:type="dxa"/>
                    <w:right w:w="144" w:type="dxa"/>
                  </w:tcMar>
                </w:tcPr>
                <w:p w14:paraId="0365D19C" w14:textId="77777777" w:rsidR="00A369F0" w:rsidRPr="00AE562D" w:rsidRDefault="00A369F0" w:rsidP="00022F2F">
                  <w:pPr>
                    <w:kinsoku w:val="0"/>
                    <w:overflowPunct w:val="0"/>
                    <w:textAlignment w:val="baseline"/>
                    <w:rPr>
                      <w:rFonts w:eastAsia="MS PGothic" w:cs="Arial"/>
                      <w:bCs w:val="0"/>
                      <w:kern w:val="24"/>
                      <w:sz w:val="20"/>
                      <w:szCs w:val="20"/>
                      <w:lang w:eastAsia="en-GB"/>
                    </w:rPr>
                  </w:pPr>
                  <w:r w:rsidRPr="00AE562D">
                    <w:rPr>
                      <w:rFonts w:eastAsia="MS PGothic" w:cs="Arial"/>
                      <w:bCs w:val="0"/>
                      <w:kern w:val="24"/>
                      <w:sz w:val="20"/>
                      <w:szCs w:val="20"/>
                      <w:lang w:eastAsia="en-GB"/>
                    </w:rPr>
                    <w:t>1223</w:t>
                  </w:r>
                </w:p>
                <w:p w14:paraId="0A6B60D6" w14:textId="77777777" w:rsidR="00A369F0" w:rsidRPr="00AE562D" w:rsidRDefault="00A369F0" w:rsidP="00022F2F">
                  <w:pPr>
                    <w:kinsoku w:val="0"/>
                    <w:overflowPunct w:val="0"/>
                    <w:textAlignment w:val="baseline"/>
                    <w:rPr>
                      <w:rFonts w:eastAsia="MS PGothic" w:cs="Arial"/>
                      <w:bCs w:val="0"/>
                      <w:kern w:val="24"/>
                      <w:sz w:val="20"/>
                      <w:szCs w:val="20"/>
                      <w:lang w:eastAsia="en-GB"/>
                    </w:rPr>
                  </w:pPr>
                  <w:r w:rsidRPr="00AE562D">
                    <w:rPr>
                      <w:rFonts w:eastAsia="MS PGothic" w:cs="Arial"/>
                      <w:bCs w:val="0"/>
                      <w:color w:val="FF0000"/>
                      <w:kern w:val="24"/>
                      <w:sz w:val="20"/>
                      <w:szCs w:val="20"/>
                      <w:lang w:eastAsia="en-GB"/>
                    </w:rPr>
                    <w:t>1704</w:t>
                  </w:r>
                </w:p>
              </w:tc>
              <w:tc>
                <w:tcPr>
                  <w:tcW w:w="850" w:type="dxa"/>
                  <w:shd w:val="clear" w:color="auto" w:fill="FFFFFF" w:themeFill="background1"/>
                  <w:tcMar>
                    <w:top w:w="72" w:type="dxa"/>
                    <w:left w:w="144" w:type="dxa"/>
                    <w:bottom w:w="72" w:type="dxa"/>
                    <w:right w:w="144" w:type="dxa"/>
                  </w:tcMar>
                </w:tcPr>
                <w:p w14:paraId="33CCF526" w14:textId="77777777" w:rsidR="00A369F0" w:rsidRPr="00AE562D" w:rsidRDefault="00A369F0" w:rsidP="00022F2F">
                  <w:pPr>
                    <w:kinsoku w:val="0"/>
                    <w:overflowPunct w:val="0"/>
                    <w:textAlignment w:val="baseline"/>
                    <w:rPr>
                      <w:rFonts w:eastAsia="MS PGothic" w:cs="Arial"/>
                      <w:bCs w:val="0"/>
                      <w:kern w:val="24"/>
                      <w:sz w:val="20"/>
                      <w:szCs w:val="20"/>
                      <w:lang w:eastAsia="en-GB"/>
                    </w:rPr>
                  </w:pPr>
                  <w:r w:rsidRPr="00AE562D">
                    <w:rPr>
                      <w:rFonts w:eastAsia="MS PGothic" w:cs="Arial"/>
                      <w:bCs w:val="0"/>
                      <w:kern w:val="24"/>
                      <w:sz w:val="20"/>
                      <w:szCs w:val="20"/>
                      <w:lang w:eastAsia="en-GB"/>
                    </w:rPr>
                    <w:t>1260</w:t>
                  </w:r>
                </w:p>
                <w:p w14:paraId="568579E8" w14:textId="77777777" w:rsidR="00A369F0" w:rsidRPr="00AE562D" w:rsidRDefault="00A369F0" w:rsidP="00022F2F">
                  <w:pPr>
                    <w:kinsoku w:val="0"/>
                    <w:overflowPunct w:val="0"/>
                    <w:textAlignment w:val="baseline"/>
                    <w:rPr>
                      <w:rFonts w:eastAsia="MS PGothic" w:cs="Arial"/>
                      <w:bCs w:val="0"/>
                      <w:kern w:val="24"/>
                      <w:sz w:val="20"/>
                      <w:szCs w:val="20"/>
                      <w:lang w:eastAsia="en-GB"/>
                    </w:rPr>
                  </w:pPr>
                  <w:r w:rsidRPr="00AE562D">
                    <w:rPr>
                      <w:rFonts w:eastAsia="MS PGothic" w:cs="Arial"/>
                      <w:bCs w:val="0"/>
                      <w:color w:val="FF0000"/>
                      <w:kern w:val="24"/>
                      <w:sz w:val="20"/>
                      <w:szCs w:val="20"/>
                      <w:lang w:eastAsia="en-GB"/>
                    </w:rPr>
                    <w:t>1043</w:t>
                  </w:r>
                </w:p>
              </w:tc>
            </w:tr>
            <w:tr w:rsidR="00A369F0" w:rsidRPr="009C58D5" w14:paraId="1D26423C" w14:textId="77777777" w:rsidTr="00022F2F">
              <w:trPr>
                <w:trHeight w:val="293"/>
                <w:jc w:val="center"/>
              </w:trPr>
              <w:tc>
                <w:tcPr>
                  <w:tcW w:w="3104" w:type="dxa"/>
                  <w:shd w:val="clear" w:color="auto" w:fill="FFFFFF" w:themeFill="background1"/>
                  <w:tcMar>
                    <w:top w:w="72" w:type="dxa"/>
                    <w:left w:w="144" w:type="dxa"/>
                    <w:bottom w:w="72" w:type="dxa"/>
                    <w:right w:w="144" w:type="dxa"/>
                  </w:tcMar>
                </w:tcPr>
                <w:p w14:paraId="2F860999"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Kidney and Pancreas</w:t>
                  </w:r>
                  <w:r>
                    <w:rPr>
                      <w:rFonts w:eastAsia="MS PGothic" w:cs="Arial"/>
                      <w:bCs w:val="0"/>
                      <w:color w:val="000000" w:themeColor="text1"/>
                      <w:kern w:val="24"/>
                      <w:sz w:val="20"/>
                      <w:szCs w:val="20"/>
                      <w:lang w:eastAsia="en-GB"/>
                    </w:rPr>
                    <w:t xml:space="preserve"> combined</w:t>
                  </w:r>
                </w:p>
              </w:tc>
              <w:tc>
                <w:tcPr>
                  <w:tcW w:w="976" w:type="dxa"/>
                  <w:shd w:val="clear" w:color="auto" w:fill="FFFFFF" w:themeFill="background1"/>
                  <w:tcMar>
                    <w:top w:w="72" w:type="dxa"/>
                    <w:left w:w="144" w:type="dxa"/>
                    <w:bottom w:w="72" w:type="dxa"/>
                    <w:right w:w="144" w:type="dxa"/>
                  </w:tcMar>
                </w:tcPr>
                <w:p w14:paraId="0D5B2726"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205</w:t>
                  </w:r>
                </w:p>
                <w:p w14:paraId="013F9C16"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173</w:t>
                  </w:r>
                </w:p>
              </w:tc>
              <w:tc>
                <w:tcPr>
                  <w:tcW w:w="867" w:type="dxa"/>
                  <w:shd w:val="clear" w:color="auto" w:fill="FFFFFF" w:themeFill="background1"/>
                  <w:tcMar>
                    <w:top w:w="72" w:type="dxa"/>
                    <w:left w:w="144" w:type="dxa"/>
                    <w:bottom w:w="72" w:type="dxa"/>
                    <w:right w:w="144" w:type="dxa"/>
                  </w:tcMar>
                </w:tcPr>
                <w:p w14:paraId="57BF0BF2"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223</w:t>
                  </w:r>
                </w:p>
                <w:p w14:paraId="238CF87A"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167</w:t>
                  </w:r>
                </w:p>
              </w:tc>
              <w:tc>
                <w:tcPr>
                  <w:tcW w:w="850" w:type="dxa"/>
                  <w:shd w:val="clear" w:color="auto" w:fill="FFFFFF" w:themeFill="background1"/>
                  <w:tcMar>
                    <w:top w:w="72" w:type="dxa"/>
                    <w:left w:w="144" w:type="dxa"/>
                    <w:bottom w:w="72" w:type="dxa"/>
                    <w:right w:w="144" w:type="dxa"/>
                  </w:tcMar>
                </w:tcPr>
                <w:p w14:paraId="6D1032BF"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241</w:t>
                  </w:r>
                </w:p>
                <w:p w14:paraId="346E7D3E"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163</w:t>
                  </w:r>
                </w:p>
              </w:tc>
            </w:tr>
            <w:tr w:rsidR="00A369F0" w:rsidRPr="009C58D5" w14:paraId="4E2B250E" w14:textId="77777777" w:rsidTr="00022F2F">
              <w:trPr>
                <w:trHeight w:val="293"/>
                <w:jc w:val="center"/>
              </w:trPr>
              <w:tc>
                <w:tcPr>
                  <w:tcW w:w="3104" w:type="dxa"/>
                  <w:shd w:val="clear" w:color="auto" w:fill="FFFFFF" w:themeFill="background1"/>
                  <w:tcMar>
                    <w:top w:w="72" w:type="dxa"/>
                    <w:left w:w="144" w:type="dxa"/>
                    <w:bottom w:w="72" w:type="dxa"/>
                    <w:right w:w="144" w:type="dxa"/>
                  </w:tcMar>
                </w:tcPr>
                <w:p w14:paraId="2928B2C8"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Pancreas</w:t>
                  </w:r>
                </w:p>
              </w:tc>
              <w:tc>
                <w:tcPr>
                  <w:tcW w:w="976" w:type="dxa"/>
                  <w:shd w:val="clear" w:color="auto" w:fill="FFFFFF" w:themeFill="background1"/>
                  <w:tcMar>
                    <w:top w:w="72" w:type="dxa"/>
                    <w:left w:w="144" w:type="dxa"/>
                    <w:bottom w:w="72" w:type="dxa"/>
                    <w:right w:w="144" w:type="dxa"/>
                  </w:tcMar>
                </w:tcPr>
                <w:p w14:paraId="0FB9FEF5"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w:t>
                  </w:r>
                </w:p>
                <w:p w14:paraId="00B008B9"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52</w:t>
                  </w:r>
                </w:p>
              </w:tc>
              <w:tc>
                <w:tcPr>
                  <w:tcW w:w="867" w:type="dxa"/>
                  <w:shd w:val="clear" w:color="auto" w:fill="FFFFFF" w:themeFill="background1"/>
                  <w:tcMar>
                    <w:top w:w="72" w:type="dxa"/>
                    <w:left w:w="144" w:type="dxa"/>
                    <w:bottom w:w="72" w:type="dxa"/>
                    <w:right w:w="144" w:type="dxa"/>
                  </w:tcMar>
                </w:tcPr>
                <w:p w14:paraId="54368C02"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49</w:t>
                  </w:r>
                </w:p>
                <w:p w14:paraId="732838AD" w14:textId="77777777" w:rsidR="00A369F0" w:rsidRPr="00962006" w:rsidRDefault="00A369F0" w:rsidP="00022F2F">
                  <w:pPr>
                    <w:kinsoku w:val="0"/>
                    <w:overflowPunct w:val="0"/>
                    <w:textAlignment w:val="baseline"/>
                    <w:rPr>
                      <w:rFonts w:eastAsia="MS PGothic" w:cs="Arial"/>
                      <w:bCs w:val="0"/>
                      <w:color w:val="FF0000"/>
                      <w:kern w:val="24"/>
                      <w:sz w:val="20"/>
                      <w:szCs w:val="20"/>
                      <w:lang w:eastAsia="en-GB"/>
                    </w:rPr>
                  </w:pPr>
                  <w:r w:rsidRPr="00962006">
                    <w:rPr>
                      <w:rFonts w:eastAsia="MS PGothic" w:cs="Arial"/>
                      <w:bCs w:val="0"/>
                      <w:color w:val="FF0000"/>
                      <w:kern w:val="24"/>
                      <w:sz w:val="20"/>
                      <w:szCs w:val="20"/>
                      <w:lang w:eastAsia="en-GB"/>
                    </w:rPr>
                    <w:t>49</w:t>
                  </w:r>
                </w:p>
              </w:tc>
              <w:tc>
                <w:tcPr>
                  <w:tcW w:w="850" w:type="dxa"/>
                  <w:shd w:val="clear" w:color="auto" w:fill="FFFFFF" w:themeFill="background1"/>
                  <w:tcMar>
                    <w:top w:w="72" w:type="dxa"/>
                    <w:left w:w="144" w:type="dxa"/>
                    <w:bottom w:w="72" w:type="dxa"/>
                    <w:right w:w="144" w:type="dxa"/>
                  </w:tcMar>
                </w:tcPr>
                <w:p w14:paraId="3F6FB1E0"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53</w:t>
                  </w:r>
                </w:p>
                <w:p w14:paraId="68861898"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50</w:t>
                  </w:r>
                </w:p>
              </w:tc>
            </w:tr>
            <w:tr w:rsidR="00A369F0" w:rsidRPr="009C58D5" w14:paraId="3B3303F1" w14:textId="77777777" w:rsidTr="00022F2F">
              <w:trPr>
                <w:trHeight w:val="279"/>
                <w:jc w:val="center"/>
              </w:trPr>
              <w:tc>
                <w:tcPr>
                  <w:tcW w:w="3104" w:type="dxa"/>
                  <w:shd w:val="clear" w:color="auto" w:fill="FFFFFF" w:themeFill="background1"/>
                  <w:tcMar>
                    <w:top w:w="72" w:type="dxa"/>
                    <w:left w:w="144" w:type="dxa"/>
                    <w:bottom w:w="72" w:type="dxa"/>
                    <w:right w:w="144" w:type="dxa"/>
                  </w:tcMar>
                </w:tcPr>
                <w:p w14:paraId="2C514CEB"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Cardiothoracic</w:t>
                  </w:r>
                </w:p>
              </w:tc>
              <w:tc>
                <w:tcPr>
                  <w:tcW w:w="976" w:type="dxa"/>
                  <w:shd w:val="clear" w:color="auto" w:fill="FFFFFF" w:themeFill="background1"/>
                  <w:tcMar>
                    <w:top w:w="72" w:type="dxa"/>
                    <w:left w:w="144" w:type="dxa"/>
                    <w:bottom w:w="72" w:type="dxa"/>
                    <w:right w:w="144" w:type="dxa"/>
                  </w:tcMar>
                </w:tcPr>
                <w:p w14:paraId="1CF34076"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423</w:t>
                  </w:r>
                </w:p>
                <w:p w14:paraId="4B587318"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366</w:t>
                  </w:r>
                </w:p>
              </w:tc>
              <w:tc>
                <w:tcPr>
                  <w:tcW w:w="867" w:type="dxa"/>
                  <w:shd w:val="clear" w:color="auto" w:fill="FFFFFF" w:themeFill="background1"/>
                  <w:tcMar>
                    <w:top w:w="72" w:type="dxa"/>
                    <w:left w:w="144" w:type="dxa"/>
                    <w:bottom w:w="72" w:type="dxa"/>
                    <w:right w:w="144" w:type="dxa"/>
                  </w:tcMar>
                </w:tcPr>
                <w:p w14:paraId="661E4D00"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450</w:t>
                  </w:r>
                </w:p>
                <w:p w14:paraId="1265522E"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382</w:t>
                  </w:r>
                </w:p>
              </w:tc>
              <w:tc>
                <w:tcPr>
                  <w:tcW w:w="850" w:type="dxa"/>
                  <w:shd w:val="clear" w:color="auto" w:fill="FFFFFF" w:themeFill="background1"/>
                  <w:tcMar>
                    <w:top w:w="72" w:type="dxa"/>
                    <w:left w:w="144" w:type="dxa"/>
                    <w:bottom w:w="72" w:type="dxa"/>
                    <w:right w:w="144" w:type="dxa"/>
                  </w:tcMar>
                </w:tcPr>
                <w:p w14:paraId="681B7DFC"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486</w:t>
                  </w:r>
                </w:p>
                <w:p w14:paraId="336A3AF0" w14:textId="77777777" w:rsidR="00A369F0" w:rsidRPr="00962006" w:rsidRDefault="00A369F0" w:rsidP="00022F2F">
                  <w:pPr>
                    <w:kinsoku w:val="0"/>
                    <w:overflowPunct w:val="0"/>
                    <w:textAlignment w:val="baseline"/>
                    <w:rPr>
                      <w:rFonts w:eastAsia="MS PGothic" w:cs="Arial"/>
                      <w:bCs w:val="0"/>
                      <w:color w:val="FF0000"/>
                      <w:kern w:val="24"/>
                      <w:sz w:val="20"/>
                      <w:szCs w:val="20"/>
                      <w:lang w:eastAsia="en-GB"/>
                    </w:rPr>
                  </w:pPr>
                  <w:r w:rsidRPr="00962006">
                    <w:rPr>
                      <w:rFonts w:eastAsia="MS PGothic" w:cs="Arial"/>
                      <w:bCs w:val="0"/>
                      <w:color w:val="FF0000"/>
                      <w:kern w:val="24"/>
                      <w:sz w:val="20"/>
                      <w:szCs w:val="20"/>
                      <w:lang w:eastAsia="en-GB"/>
                    </w:rPr>
                    <w:t>375</w:t>
                  </w:r>
                </w:p>
              </w:tc>
            </w:tr>
            <w:tr w:rsidR="00A369F0" w:rsidRPr="00944E02" w14:paraId="01EF0829" w14:textId="77777777" w:rsidTr="00022F2F">
              <w:trPr>
                <w:trHeight w:val="403"/>
                <w:jc w:val="center"/>
              </w:trPr>
              <w:tc>
                <w:tcPr>
                  <w:tcW w:w="3104" w:type="dxa"/>
                  <w:shd w:val="clear" w:color="auto" w:fill="FFFFFF" w:themeFill="background1"/>
                  <w:tcMar>
                    <w:top w:w="72" w:type="dxa"/>
                    <w:left w:w="144" w:type="dxa"/>
                    <w:bottom w:w="72" w:type="dxa"/>
                    <w:right w:w="144" w:type="dxa"/>
                  </w:tcMar>
                </w:tcPr>
                <w:p w14:paraId="47D1CCCA"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Liver</w:t>
                  </w:r>
                </w:p>
              </w:tc>
              <w:tc>
                <w:tcPr>
                  <w:tcW w:w="976" w:type="dxa"/>
                  <w:shd w:val="clear" w:color="auto" w:fill="FFFFFF" w:themeFill="background1"/>
                  <w:tcMar>
                    <w:top w:w="72" w:type="dxa"/>
                    <w:left w:w="144" w:type="dxa"/>
                    <w:bottom w:w="72" w:type="dxa"/>
                    <w:right w:w="144" w:type="dxa"/>
                  </w:tcMar>
                </w:tcPr>
                <w:p w14:paraId="283CEFD5" w14:textId="77777777" w:rsidR="00A369F0" w:rsidRPr="00962006" w:rsidRDefault="00A369F0" w:rsidP="00022F2F">
                  <w:pPr>
                    <w:kinsoku w:val="0"/>
                    <w:overflowPunct w:val="0"/>
                    <w:textAlignment w:val="baseline"/>
                    <w:rPr>
                      <w:rFonts w:eastAsia="MS PGothic" w:cs="Arial"/>
                      <w:bCs w:val="0"/>
                      <w:kern w:val="24"/>
                      <w:sz w:val="20"/>
                      <w:szCs w:val="20"/>
                      <w:lang w:eastAsia="en-GB"/>
                    </w:rPr>
                  </w:pPr>
                  <w:r w:rsidRPr="00962006">
                    <w:rPr>
                      <w:rFonts w:eastAsia="MS PGothic" w:cs="Arial"/>
                      <w:bCs w:val="0"/>
                      <w:kern w:val="24"/>
                      <w:sz w:val="20"/>
                      <w:szCs w:val="20"/>
                      <w:lang w:eastAsia="en-GB"/>
                    </w:rPr>
                    <w:t>916</w:t>
                  </w:r>
                </w:p>
                <w:p w14:paraId="3157EDF7"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867</w:t>
                  </w:r>
                </w:p>
              </w:tc>
              <w:tc>
                <w:tcPr>
                  <w:tcW w:w="867" w:type="dxa"/>
                  <w:shd w:val="clear" w:color="auto" w:fill="FFFFFF" w:themeFill="background1"/>
                  <w:tcMar>
                    <w:top w:w="72" w:type="dxa"/>
                    <w:left w:w="144" w:type="dxa"/>
                    <w:bottom w:w="72" w:type="dxa"/>
                    <w:right w:w="144" w:type="dxa"/>
                  </w:tcMar>
                </w:tcPr>
                <w:p w14:paraId="47BE1703"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904</w:t>
                  </w:r>
                </w:p>
                <w:p w14:paraId="51E513C4"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FF0000"/>
                      <w:kern w:val="24"/>
                      <w:sz w:val="20"/>
                      <w:szCs w:val="20"/>
                      <w:lang w:eastAsia="en-GB"/>
                    </w:rPr>
                    <w:t>881</w:t>
                  </w:r>
                </w:p>
              </w:tc>
              <w:tc>
                <w:tcPr>
                  <w:tcW w:w="850" w:type="dxa"/>
                  <w:shd w:val="clear" w:color="auto" w:fill="FFFFFF" w:themeFill="background1"/>
                  <w:tcMar>
                    <w:top w:w="72" w:type="dxa"/>
                    <w:left w:w="144" w:type="dxa"/>
                    <w:bottom w:w="72" w:type="dxa"/>
                    <w:right w:w="144" w:type="dxa"/>
                  </w:tcMar>
                </w:tcPr>
                <w:p w14:paraId="59723276" w14:textId="77777777" w:rsidR="00A369F0" w:rsidRPr="00962006" w:rsidRDefault="00A369F0" w:rsidP="00022F2F">
                  <w:pPr>
                    <w:kinsoku w:val="0"/>
                    <w:overflowPunct w:val="0"/>
                    <w:textAlignment w:val="baseline"/>
                    <w:rPr>
                      <w:rFonts w:eastAsia="MS PGothic" w:cs="Arial"/>
                      <w:bCs w:val="0"/>
                      <w:color w:val="000000" w:themeColor="text1"/>
                      <w:kern w:val="24"/>
                      <w:sz w:val="20"/>
                      <w:szCs w:val="20"/>
                      <w:lang w:eastAsia="en-GB"/>
                    </w:rPr>
                  </w:pPr>
                  <w:r w:rsidRPr="00962006">
                    <w:rPr>
                      <w:rFonts w:eastAsia="MS PGothic" w:cs="Arial"/>
                      <w:bCs w:val="0"/>
                      <w:color w:val="000000" w:themeColor="text1"/>
                      <w:kern w:val="24"/>
                      <w:sz w:val="20"/>
                      <w:szCs w:val="20"/>
                      <w:lang w:eastAsia="en-GB"/>
                    </w:rPr>
                    <w:t>984</w:t>
                  </w:r>
                </w:p>
                <w:p w14:paraId="7E2C0E9F" w14:textId="77777777" w:rsidR="00A369F0" w:rsidRPr="00962006" w:rsidRDefault="00A369F0" w:rsidP="00022F2F">
                  <w:pPr>
                    <w:kinsoku w:val="0"/>
                    <w:overflowPunct w:val="0"/>
                    <w:textAlignment w:val="baseline"/>
                    <w:rPr>
                      <w:rFonts w:eastAsia="MS PGothic" w:cs="Arial"/>
                      <w:bCs w:val="0"/>
                      <w:color w:val="FF0000"/>
                      <w:kern w:val="24"/>
                      <w:sz w:val="20"/>
                      <w:szCs w:val="20"/>
                      <w:lang w:eastAsia="en-GB"/>
                    </w:rPr>
                  </w:pPr>
                  <w:r w:rsidRPr="00962006">
                    <w:rPr>
                      <w:rFonts w:eastAsia="MS PGothic" w:cs="Arial"/>
                      <w:bCs w:val="0"/>
                      <w:color w:val="FF0000"/>
                      <w:kern w:val="24"/>
                      <w:sz w:val="20"/>
                      <w:szCs w:val="20"/>
                      <w:lang w:eastAsia="en-GB"/>
                    </w:rPr>
                    <w:t>949</w:t>
                  </w:r>
                </w:p>
              </w:tc>
            </w:tr>
          </w:tbl>
          <w:p w14:paraId="1F3B1409" w14:textId="77777777" w:rsidR="00D20ED1" w:rsidRDefault="00D20ED1" w:rsidP="00D20ED1">
            <w:pPr>
              <w:rPr>
                <w:rFonts w:cs="Arial"/>
                <w:szCs w:val="24"/>
              </w:rPr>
            </w:pPr>
          </w:p>
          <w:p w14:paraId="2F0BBBBA" w14:textId="77777777" w:rsidR="00D20ED1" w:rsidRDefault="00A369F0" w:rsidP="00D20ED1">
            <w:pPr>
              <w:rPr>
                <w:rFonts w:cs="Arial"/>
                <w:b/>
                <w:szCs w:val="24"/>
              </w:rPr>
            </w:pPr>
            <w:r w:rsidRPr="00A369F0">
              <w:rPr>
                <w:rFonts w:cs="Arial"/>
                <w:b/>
                <w:szCs w:val="24"/>
              </w:rPr>
              <w:t>Targets</w:t>
            </w:r>
          </w:p>
          <w:p w14:paraId="562C75D1" w14:textId="77777777" w:rsidR="00D11E78" w:rsidRDefault="00D11E78" w:rsidP="00D20ED1">
            <w:pPr>
              <w:rPr>
                <w:rFonts w:cs="Arial"/>
                <w:b/>
                <w:szCs w:val="24"/>
              </w:rPr>
            </w:pPr>
          </w:p>
          <w:p w14:paraId="460BC41E" w14:textId="77777777" w:rsidR="00D11E78" w:rsidRPr="00D11E78" w:rsidRDefault="00D11E78" w:rsidP="00D20ED1">
            <w:pPr>
              <w:rPr>
                <w:rFonts w:cs="Arial"/>
                <w:szCs w:val="24"/>
              </w:rPr>
            </w:pPr>
            <w:r w:rsidRPr="00D11E78">
              <w:rPr>
                <w:rFonts w:cs="Arial"/>
                <w:szCs w:val="24"/>
              </w:rPr>
              <w:t>The strategy to increase organ donation and transplantation is included in Taking Organ Donation to 2020 signed up to by the DHSC a</w:t>
            </w:r>
            <w:r>
              <w:rPr>
                <w:rFonts w:cs="Arial"/>
                <w:szCs w:val="24"/>
              </w:rPr>
              <w:t>nd supported by NHS England. This</w:t>
            </w:r>
            <w:r w:rsidRPr="00D11E78">
              <w:rPr>
                <w:rFonts w:cs="Arial"/>
                <w:szCs w:val="24"/>
              </w:rPr>
              <w:t xml:space="preserve"> CQUIN supports the achievement of activity targets signed up to by NHS England</w:t>
            </w:r>
            <w:r>
              <w:rPr>
                <w:rFonts w:cs="Arial"/>
                <w:szCs w:val="24"/>
              </w:rPr>
              <w:t>.</w:t>
            </w:r>
          </w:p>
          <w:p w14:paraId="664355AD" w14:textId="77777777" w:rsidR="00D11E78" w:rsidRPr="00A369F0" w:rsidRDefault="00D11E78" w:rsidP="00D20ED1">
            <w:pPr>
              <w:rPr>
                <w:rFonts w:cs="Arial"/>
                <w:b/>
                <w:szCs w:val="24"/>
              </w:rPr>
            </w:pPr>
          </w:p>
          <w:p w14:paraId="10E4FE93" w14:textId="77777777" w:rsidR="00A369F0" w:rsidRDefault="00A369F0" w:rsidP="00A369F0">
            <w:pPr>
              <w:rPr>
                <w:rFonts w:cs="Arial"/>
                <w:szCs w:val="24"/>
              </w:rPr>
            </w:pPr>
            <w:r>
              <w:rPr>
                <w:rFonts w:cs="Arial"/>
                <w:szCs w:val="24"/>
              </w:rPr>
              <w:t>Table 2 sets out Organ Donation targets from 17/18 onwards.</w:t>
            </w:r>
          </w:p>
          <w:tbl>
            <w:tblPr>
              <w:tblW w:w="6601" w:type="dxa"/>
              <w:tblCellMar>
                <w:left w:w="0" w:type="dxa"/>
                <w:right w:w="0" w:type="dxa"/>
              </w:tblCellMar>
              <w:tblLook w:val="04A0" w:firstRow="1" w:lastRow="0" w:firstColumn="1" w:lastColumn="0" w:noHBand="0" w:noVBand="1"/>
            </w:tblPr>
            <w:tblGrid>
              <w:gridCol w:w="2076"/>
              <w:gridCol w:w="905"/>
              <w:gridCol w:w="905"/>
              <w:gridCol w:w="905"/>
              <w:gridCol w:w="905"/>
              <w:gridCol w:w="905"/>
            </w:tblGrid>
            <w:tr w:rsidR="00A369F0" w:rsidRPr="00F0464B" w14:paraId="230C1AA4" w14:textId="77777777" w:rsidTr="00022F2F">
              <w:trPr>
                <w:trHeight w:val="495"/>
              </w:trPr>
              <w:tc>
                <w:tcPr>
                  <w:tcW w:w="2076"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tcPr>
                <w:p w14:paraId="6F023CF4" w14:textId="77777777" w:rsidR="00A369F0" w:rsidRPr="00F0464B" w:rsidRDefault="00A369F0" w:rsidP="00022F2F">
                  <w:pPr>
                    <w:rPr>
                      <w:rFonts w:cs="Arial"/>
                      <w:b/>
                      <w:color w:val="FFFFFF"/>
                      <w:kern w:val="24"/>
                      <w:sz w:val="20"/>
                      <w:szCs w:val="20"/>
                      <w:lang w:eastAsia="en-GB"/>
                    </w:rPr>
                  </w:pPr>
                  <w:r>
                    <w:rPr>
                      <w:rFonts w:cs="Arial"/>
                      <w:b/>
                      <w:color w:val="FFFFFF"/>
                      <w:kern w:val="24"/>
                      <w:sz w:val="20"/>
                      <w:szCs w:val="20"/>
                      <w:lang w:eastAsia="en-GB"/>
                    </w:rPr>
                    <w:t xml:space="preserve">Table 2 </w:t>
                  </w:r>
                </w:p>
              </w:tc>
              <w:tc>
                <w:tcPr>
                  <w:tcW w:w="4525" w:type="dxa"/>
                  <w:gridSpan w:val="5"/>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tcPr>
                <w:p w14:paraId="3C72651D" w14:textId="77777777" w:rsidR="00A369F0" w:rsidRPr="00F0464B" w:rsidRDefault="00A369F0" w:rsidP="00022F2F">
                  <w:pPr>
                    <w:jc w:val="center"/>
                    <w:rPr>
                      <w:rFonts w:cs="Arial"/>
                      <w:b/>
                      <w:color w:val="FFFFFF"/>
                      <w:kern w:val="24"/>
                      <w:sz w:val="20"/>
                      <w:szCs w:val="20"/>
                      <w:lang w:eastAsia="en-GB"/>
                    </w:rPr>
                  </w:pPr>
                  <w:r>
                    <w:rPr>
                      <w:rFonts w:cs="Arial"/>
                      <w:b/>
                      <w:color w:val="FFFFFF"/>
                      <w:kern w:val="24"/>
                      <w:sz w:val="20"/>
                      <w:szCs w:val="20"/>
                      <w:lang w:eastAsia="en-GB"/>
                    </w:rPr>
                    <w:t>Year</w:t>
                  </w:r>
                </w:p>
              </w:tc>
            </w:tr>
            <w:tr w:rsidR="00A369F0" w:rsidRPr="00F0464B" w14:paraId="4582162B" w14:textId="77777777" w:rsidTr="00022F2F">
              <w:trPr>
                <w:trHeight w:val="495"/>
              </w:trPr>
              <w:tc>
                <w:tcPr>
                  <w:tcW w:w="2076"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75DC52AA" w14:textId="77777777" w:rsidR="00A369F0" w:rsidRPr="00F0464B" w:rsidRDefault="00A369F0" w:rsidP="00022F2F">
                  <w:pPr>
                    <w:rPr>
                      <w:rFonts w:cs="Arial"/>
                      <w:sz w:val="20"/>
                      <w:szCs w:val="20"/>
                      <w:lang w:eastAsia="en-GB"/>
                    </w:rPr>
                  </w:pPr>
                  <w:r w:rsidRPr="00F0464B">
                    <w:rPr>
                      <w:rFonts w:cs="Arial"/>
                      <w:b/>
                      <w:color w:val="FFFFFF"/>
                      <w:kern w:val="24"/>
                      <w:sz w:val="20"/>
                      <w:szCs w:val="20"/>
                      <w:lang w:eastAsia="en-GB"/>
                    </w:rPr>
                    <w:t>Measure description</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5824E2C9" w14:textId="77777777" w:rsidR="00A369F0" w:rsidRPr="00F0464B" w:rsidRDefault="00A369F0" w:rsidP="00022F2F">
                  <w:pPr>
                    <w:jc w:val="center"/>
                    <w:rPr>
                      <w:rFonts w:cs="Arial"/>
                      <w:sz w:val="20"/>
                      <w:szCs w:val="20"/>
                      <w:lang w:eastAsia="en-GB"/>
                    </w:rPr>
                  </w:pPr>
                  <w:r w:rsidRPr="00F0464B">
                    <w:rPr>
                      <w:rFonts w:cs="Arial"/>
                      <w:b/>
                      <w:color w:val="FFFFFF"/>
                      <w:kern w:val="24"/>
                      <w:sz w:val="20"/>
                      <w:szCs w:val="20"/>
                      <w:lang w:eastAsia="en-GB"/>
                    </w:rPr>
                    <w:t>2017/18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1451794E" w14:textId="77777777" w:rsidR="00A369F0" w:rsidRPr="00F0464B" w:rsidRDefault="00A369F0" w:rsidP="00022F2F">
                  <w:pPr>
                    <w:jc w:val="center"/>
                    <w:rPr>
                      <w:rFonts w:cs="Arial"/>
                      <w:sz w:val="20"/>
                      <w:szCs w:val="20"/>
                      <w:lang w:eastAsia="en-GB"/>
                    </w:rPr>
                  </w:pPr>
                  <w:r w:rsidRPr="00F0464B">
                    <w:rPr>
                      <w:rFonts w:cs="Arial"/>
                      <w:b/>
                      <w:color w:val="FFFFFF"/>
                      <w:kern w:val="24"/>
                      <w:sz w:val="20"/>
                      <w:szCs w:val="20"/>
                      <w:lang w:eastAsia="en-GB"/>
                    </w:rPr>
                    <w:t>2018/19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64CD899E" w14:textId="77777777" w:rsidR="00A369F0" w:rsidRPr="00F0464B" w:rsidRDefault="00A369F0" w:rsidP="00022F2F">
                  <w:pPr>
                    <w:jc w:val="center"/>
                    <w:rPr>
                      <w:rFonts w:cs="Arial"/>
                      <w:sz w:val="20"/>
                      <w:szCs w:val="20"/>
                      <w:lang w:eastAsia="en-GB"/>
                    </w:rPr>
                  </w:pPr>
                  <w:r w:rsidRPr="00F0464B">
                    <w:rPr>
                      <w:rFonts w:cs="Arial"/>
                      <w:b/>
                      <w:color w:val="FFFFFF"/>
                      <w:kern w:val="24"/>
                      <w:sz w:val="20"/>
                      <w:szCs w:val="20"/>
                      <w:lang w:eastAsia="en-GB"/>
                    </w:rPr>
                    <w:t>2019/20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134A045F" w14:textId="77777777" w:rsidR="00A369F0" w:rsidRPr="00F0464B" w:rsidRDefault="00A369F0" w:rsidP="00022F2F">
                  <w:pPr>
                    <w:jc w:val="center"/>
                    <w:rPr>
                      <w:rFonts w:cs="Arial"/>
                      <w:sz w:val="20"/>
                      <w:szCs w:val="20"/>
                      <w:lang w:eastAsia="en-GB"/>
                    </w:rPr>
                  </w:pPr>
                  <w:r w:rsidRPr="00F0464B">
                    <w:rPr>
                      <w:rFonts w:cs="Arial"/>
                      <w:b/>
                      <w:color w:val="FFFFFF"/>
                      <w:kern w:val="24"/>
                      <w:sz w:val="20"/>
                      <w:szCs w:val="20"/>
                      <w:lang w:eastAsia="en-GB"/>
                    </w:rPr>
                    <w:t>2020/21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5872A7A9" w14:textId="77777777" w:rsidR="00A369F0" w:rsidRPr="00F0464B" w:rsidRDefault="00A369F0" w:rsidP="00022F2F">
                  <w:pPr>
                    <w:jc w:val="center"/>
                    <w:rPr>
                      <w:rFonts w:cs="Arial"/>
                      <w:sz w:val="20"/>
                      <w:szCs w:val="20"/>
                      <w:lang w:eastAsia="en-GB"/>
                    </w:rPr>
                  </w:pPr>
                  <w:r w:rsidRPr="00F0464B">
                    <w:rPr>
                      <w:rFonts w:cs="Arial"/>
                      <w:b/>
                      <w:color w:val="FFFFFF"/>
                      <w:kern w:val="24"/>
                      <w:sz w:val="20"/>
                      <w:szCs w:val="20"/>
                      <w:lang w:eastAsia="en-GB"/>
                    </w:rPr>
                    <w:t>2021/22 Target</w:t>
                  </w:r>
                </w:p>
              </w:tc>
            </w:tr>
            <w:tr w:rsidR="00A369F0" w:rsidRPr="00F0464B" w14:paraId="4DA2CF23" w14:textId="77777777" w:rsidTr="00022F2F">
              <w:trPr>
                <w:trHeight w:val="389"/>
              </w:trPr>
              <w:tc>
                <w:tcPr>
                  <w:tcW w:w="2076" w:type="dxa"/>
                  <w:tcBorders>
                    <w:top w:val="single" w:sz="24" w:space="0" w:color="FFFFFF"/>
                    <w:left w:val="single" w:sz="8" w:space="0" w:color="FFFFFF"/>
                    <w:bottom w:val="single" w:sz="8" w:space="0" w:color="FFFFFF"/>
                    <w:right w:val="single" w:sz="8" w:space="0" w:color="FFFFFF"/>
                  </w:tcBorders>
                  <w:shd w:val="clear" w:color="auto" w:fill="0072C6"/>
                  <w:tcMar>
                    <w:top w:w="15" w:type="dxa"/>
                    <w:left w:w="91" w:type="dxa"/>
                    <w:bottom w:w="0" w:type="dxa"/>
                    <w:right w:w="91" w:type="dxa"/>
                  </w:tcMar>
                  <w:vAlign w:val="center"/>
                  <w:hideMark/>
                </w:tcPr>
                <w:p w14:paraId="5E75C6BB" w14:textId="77777777" w:rsidR="00A369F0" w:rsidRPr="00F0464B" w:rsidRDefault="00A369F0" w:rsidP="00022F2F">
                  <w:pPr>
                    <w:rPr>
                      <w:rFonts w:cs="Arial"/>
                      <w:sz w:val="20"/>
                      <w:szCs w:val="20"/>
                      <w:lang w:eastAsia="en-GB"/>
                    </w:rPr>
                  </w:pPr>
                  <w:r w:rsidRPr="00F0464B">
                    <w:rPr>
                      <w:rFonts w:cs="Arial"/>
                      <w:b/>
                      <w:color w:val="FFFFFF"/>
                      <w:kern w:val="24"/>
                      <w:sz w:val="20"/>
                      <w:szCs w:val="20"/>
                      <w:lang w:eastAsia="en-GB"/>
                    </w:rPr>
                    <w:lastRenderedPageBreak/>
                    <w:t>Number of deceased organ donors</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6705041C"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1,524</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1E42A383"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1,632</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23C6BFB6"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1,740</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42B239BD"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1,752</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0E616FCA"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1,764</w:t>
                  </w:r>
                </w:p>
              </w:tc>
            </w:tr>
            <w:tr w:rsidR="00A369F0" w:rsidRPr="00F0464B" w14:paraId="2ADDA713" w14:textId="77777777" w:rsidTr="00022F2F">
              <w:trPr>
                <w:trHeight w:val="495"/>
              </w:trPr>
              <w:tc>
                <w:tcPr>
                  <w:tcW w:w="2076" w:type="dxa"/>
                  <w:tcBorders>
                    <w:top w:val="single" w:sz="8" w:space="0" w:color="FFFFFF"/>
                    <w:left w:val="single" w:sz="8" w:space="0" w:color="FFFFFF"/>
                    <w:bottom w:val="single" w:sz="8" w:space="0" w:color="FFFFFF"/>
                    <w:right w:val="single" w:sz="8" w:space="0" w:color="FFFFFF"/>
                  </w:tcBorders>
                  <w:shd w:val="clear" w:color="auto" w:fill="0072C6"/>
                  <w:tcMar>
                    <w:top w:w="15" w:type="dxa"/>
                    <w:left w:w="91" w:type="dxa"/>
                    <w:bottom w:w="0" w:type="dxa"/>
                    <w:right w:w="91" w:type="dxa"/>
                  </w:tcMar>
                  <w:vAlign w:val="center"/>
                  <w:hideMark/>
                </w:tcPr>
                <w:p w14:paraId="456397F7" w14:textId="77777777" w:rsidR="00A369F0" w:rsidRPr="00F0464B" w:rsidRDefault="00A369F0" w:rsidP="00022F2F">
                  <w:pPr>
                    <w:rPr>
                      <w:rFonts w:cs="Arial"/>
                      <w:sz w:val="20"/>
                      <w:szCs w:val="20"/>
                      <w:lang w:eastAsia="en-GB"/>
                    </w:rPr>
                  </w:pPr>
                  <w:r w:rsidRPr="00F0464B">
                    <w:rPr>
                      <w:rFonts w:cs="Arial"/>
                      <w:b/>
                      <w:color w:val="FFFFFF"/>
                      <w:kern w:val="24"/>
                      <w:sz w:val="20"/>
                      <w:szCs w:val="20"/>
                      <w:lang w:eastAsia="en-GB"/>
                    </w:rPr>
                    <w:t>Deceased donors p</w:t>
                  </w:r>
                  <w:r>
                    <w:rPr>
                      <w:rFonts w:cs="Arial"/>
                      <w:b/>
                      <w:color w:val="FFFFFF"/>
                      <w:kern w:val="24"/>
                      <w:sz w:val="20"/>
                      <w:szCs w:val="20"/>
                      <w:lang w:eastAsia="en-GB"/>
                    </w:rPr>
                    <w:t xml:space="preserve">er </w:t>
                  </w:r>
                  <w:r w:rsidRPr="00F0464B">
                    <w:rPr>
                      <w:rFonts w:cs="Arial"/>
                      <w:b/>
                      <w:color w:val="FFFFFF"/>
                      <w:kern w:val="24"/>
                      <w:sz w:val="20"/>
                      <w:szCs w:val="20"/>
                      <w:lang w:eastAsia="en-GB"/>
                    </w:rPr>
                    <w:t>m</w:t>
                  </w:r>
                  <w:r w:rsidR="00FE218D">
                    <w:rPr>
                      <w:rFonts w:cs="Arial"/>
                      <w:b/>
                      <w:color w:val="FFFFFF"/>
                      <w:kern w:val="24"/>
                      <w:sz w:val="20"/>
                      <w:szCs w:val="20"/>
                      <w:lang w:eastAsia="en-GB"/>
                    </w:rPr>
                    <w:t>illion</w:t>
                  </w:r>
                  <w:r>
                    <w:rPr>
                      <w:rFonts w:cs="Arial"/>
                      <w:b/>
                      <w:color w:val="FFFFFF"/>
                      <w:kern w:val="24"/>
                      <w:sz w:val="20"/>
                      <w:szCs w:val="20"/>
                      <w:lang w:eastAsia="en-GB"/>
                    </w:rPr>
                    <w:t xml:space="preserve"> </w:t>
                  </w:r>
                  <w:proofErr w:type="spellStart"/>
                  <w:r w:rsidRPr="00F0464B">
                    <w:rPr>
                      <w:rFonts w:cs="Arial"/>
                      <w:b/>
                      <w:color w:val="FFFFFF"/>
                      <w:kern w:val="24"/>
                      <w:sz w:val="20"/>
                      <w:szCs w:val="20"/>
                      <w:lang w:eastAsia="en-GB"/>
                    </w:rPr>
                    <w:t>p</w:t>
                  </w:r>
                  <w:r>
                    <w:rPr>
                      <w:rFonts w:cs="Arial"/>
                      <w:b/>
                      <w:color w:val="FFFFFF"/>
                      <w:kern w:val="24"/>
                      <w:sz w:val="20"/>
                      <w:szCs w:val="20"/>
                      <w:lang w:eastAsia="en-GB"/>
                    </w:rPr>
                    <w:t>opn</w:t>
                  </w:r>
                  <w:proofErr w:type="spellEnd"/>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67310F13"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23.1</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283E5A5"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24.5</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36334656"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26</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029B61C8"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26</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71397B0"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26</w:t>
                  </w:r>
                </w:p>
              </w:tc>
            </w:tr>
            <w:tr w:rsidR="00A369F0" w:rsidRPr="00F0464B" w14:paraId="12B0C23E" w14:textId="77777777" w:rsidTr="00022F2F">
              <w:trPr>
                <w:trHeight w:val="389"/>
              </w:trPr>
              <w:tc>
                <w:tcPr>
                  <w:tcW w:w="2076" w:type="dxa"/>
                  <w:tcBorders>
                    <w:top w:val="single" w:sz="8" w:space="0" w:color="FFFFFF"/>
                    <w:left w:val="single" w:sz="8" w:space="0" w:color="FFFFFF"/>
                    <w:bottom w:val="single" w:sz="8" w:space="0" w:color="FFFFFF"/>
                    <w:right w:val="single" w:sz="8" w:space="0" w:color="FFFFFF"/>
                  </w:tcBorders>
                  <w:shd w:val="clear" w:color="auto" w:fill="0072C6"/>
                  <w:tcMar>
                    <w:top w:w="15" w:type="dxa"/>
                    <w:left w:w="91" w:type="dxa"/>
                    <w:bottom w:w="0" w:type="dxa"/>
                    <w:right w:w="91" w:type="dxa"/>
                  </w:tcMar>
                  <w:vAlign w:val="center"/>
                  <w:hideMark/>
                </w:tcPr>
                <w:p w14:paraId="11FD3249" w14:textId="77777777" w:rsidR="00A369F0" w:rsidRPr="00F0464B" w:rsidRDefault="00A369F0" w:rsidP="00022F2F">
                  <w:pPr>
                    <w:rPr>
                      <w:rFonts w:cs="Arial"/>
                      <w:sz w:val="20"/>
                      <w:szCs w:val="20"/>
                      <w:lang w:eastAsia="en-GB"/>
                    </w:rPr>
                  </w:pPr>
                  <w:r w:rsidRPr="00F0464B">
                    <w:rPr>
                      <w:rFonts w:cs="Arial"/>
                      <w:b/>
                      <w:color w:val="FFFFFF"/>
                      <w:kern w:val="24"/>
                      <w:sz w:val="20"/>
                      <w:szCs w:val="20"/>
                      <w:lang w:eastAsia="en-GB"/>
                    </w:rPr>
                    <w:t>Deceased donor organ transplants</w:t>
                  </w:r>
                </w:p>
              </w:tc>
              <w:tc>
                <w:tcPr>
                  <w:tcW w:w="905" w:type="dxa"/>
                  <w:tcBorders>
                    <w:top w:val="single" w:sz="8"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59AFB47D"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4,116</w:t>
                  </w:r>
                </w:p>
              </w:tc>
              <w:tc>
                <w:tcPr>
                  <w:tcW w:w="905" w:type="dxa"/>
                  <w:tcBorders>
                    <w:top w:val="single" w:sz="8"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59BFD0B7"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4,548</w:t>
                  </w:r>
                </w:p>
              </w:tc>
              <w:tc>
                <w:tcPr>
                  <w:tcW w:w="905" w:type="dxa"/>
                  <w:tcBorders>
                    <w:top w:val="single" w:sz="8"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195CF59B"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4,956</w:t>
                  </w:r>
                </w:p>
              </w:tc>
              <w:tc>
                <w:tcPr>
                  <w:tcW w:w="905" w:type="dxa"/>
                  <w:tcBorders>
                    <w:top w:val="single" w:sz="8"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0F4FB8D7"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4,992</w:t>
                  </w:r>
                </w:p>
              </w:tc>
              <w:tc>
                <w:tcPr>
                  <w:tcW w:w="905" w:type="dxa"/>
                  <w:tcBorders>
                    <w:top w:val="single" w:sz="8"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7C097D0B"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5,028</w:t>
                  </w:r>
                </w:p>
              </w:tc>
            </w:tr>
            <w:tr w:rsidR="00A369F0" w:rsidRPr="00F0464B" w14:paraId="256D8249" w14:textId="77777777" w:rsidTr="00022F2F">
              <w:trPr>
                <w:trHeight w:val="389"/>
              </w:trPr>
              <w:tc>
                <w:tcPr>
                  <w:tcW w:w="2076" w:type="dxa"/>
                  <w:tcBorders>
                    <w:top w:val="single" w:sz="8" w:space="0" w:color="FFFFFF"/>
                    <w:left w:val="single" w:sz="8" w:space="0" w:color="FFFFFF"/>
                    <w:bottom w:val="single" w:sz="8" w:space="0" w:color="FFFFFF"/>
                    <w:right w:val="single" w:sz="8" w:space="0" w:color="FFFFFF"/>
                  </w:tcBorders>
                  <w:shd w:val="clear" w:color="auto" w:fill="0072C6"/>
                  <w:tcMar>
                    <w:top w:w="15" w:type="dxa"/>
                    <w:left w:w="91" w:type="dxa"/>
                    <w:bottom w:w="0" w:type="dxa"/>
                    <w:right w:w="91" w:type="dxa"/>
                  </w:tcMar>
                  <w:vAlign w:val="center"/>
                  <w:hideMark/>
                </w:tcPr>
                <w:p w14:paraId="298BC6DE" w14:textId="77777777" w:rsidR="00A369F0" w:rsidRPr="00F0464B" w:rsidRDefault="00A369F0" w:rsidP="00022F2F">
                  <w:pPr>
                    <w:rPr>
                      <w:rFonts w:cs="Arial"/>
                      <w:sz w:val="20"/>
                      <w:szCs w:val="20"/>
                      <w:lang w:eastAsia="en-GB"/>
                    </w:rPr>
                  </w:pPr>
                  <w:r w:rsidRPr="00F0464B">
                    <w:rPr>
                      <w:rFonts w:cs="Arial"/>
                      <w:b/>
                      <w:color w:val="FFFFFF"/>
                      <w:kern w:val="24"/>
                      <w:sz w:val="20"/>
                      <w:szCs w:val="20"/>
                      <w:lang w:eastAsia="en-GB"/>
                    </w:rPr>
                    <w:t xml:space="preserve">Deceased donor organ transplants </w:t>
                  </w:r>
                  <w:proofErr w:type="spellStart"/>
                  <w:r w:rsidRPr="00F0464B">
                    <w:rPr>
                      <w:rFonts w:cs="Arial"/>
                      <w:b/>
                      <w:color w:val="FFFFFF"/>
                      <w:kern w:val="24"/>
                      <w:sz w:val="20"/>
                      <w:szCs w:val="20"/>
                      <w:lang w:eastAsia="en-GB"/>
                    </w:rPr>
                    <w:t>pmp</w:t>
                  </w:r>
                  <w:proofErr w:type="spellEnd"/>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42478B36"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62.4</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B670135"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68.4</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2947656"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74</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0396A73C"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74</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0CF32CA8" w14:textId="77777777" w:rsidR="00A369F0" w:rsidRPr="00F0464B" w:rsidRDefault="00A369F0" w:rsidP="00022F2F">
                  <w:pPr>
                    <w:jc w:val="center"/>
                    <w:rPr>
                      <w:rFonts w:cs="Arial"/>
                      <w:sz w:val="20"/>
                      <w:szCs w:val="20"/>
                      <w:lang w:eastAsia="en-GB"/>
                    </w:rPr>
                  </w:pPr>
                  <w:r w:rsidRPr="00F0464B">
                    <w:rPr>
                      <w:rFonts w:cs="Arial"/>
                      <w:color w:val="000000"/>
                      <w:kern w:val="24"/>
                      <w:sz w:val="20"/>
                      <w:szCs w:val="20"/>
                      <w:lang w:eastAsia="en-GB"/>
                    </w:rPr>
                    <w:t>74</w:t>
                  </w:r>
                </w:p>
              </w:tc>
            </w:tr>
          </w:tbl>
          <w:p w14:paraId="1A965116" w14:textId="77777777" w:rsidR="00D20ED1" w:rsidRDefault="00D20ED1" w:rsidP="00D20ED1">
            <w:pPr>
              <w:rPr>
                <w:rFonts w:cs="Arial"/>
                <w:szCs w:val="24"/>
              </w:rPr>
            </w:pPr>
          </w:p>
          <w:p w14:paraId="7DF4E37C" w14:textId="77777777" w:rsidR="00D20ED1" w:rsidRDefault="00D20ED1" w:rsidP="00D20ED1">
            <w:pPr>
              <w:rPr>
                <w:rFonts w:cs="Arial"/>
                <w:szCs w:val="24"/>
              </w:rPr>
            </w:pPr>
          </w:p>
          <w:p w14:paraId="4C691D92" w14:textId="77777777" w:rsidR="00A369F0" w:rsidRDefault="00A369F0" w:rsidP="00A369F0">
            <w:pPr>
              <w:rPr>
                <w:rFonts w:cs="Arial"/>
                <w:szCs w:val="24"/>
              </w:rPr>
            </w:pPr>
            <w:r>
              <w:rPr>
                <w:rFonts w:cs="Arial"/>
                <w:szCs w:val="24"/>
              </w:rPr>
              <w:t xml:space="preserve">Table 3 sets out the targets </w:t>
            </w:r>
            <w:proofErr w:type="gramStart"/>
            <w:r>
              <w:rPr>
                <w:rFonts w:cs="Arial"/>
                <w:szCs w:val="24"/>
              </w:rPr>
              <w:t>an</w:t>
            </w:r>
            <w:proofErr w:type="gramEnd"/>
            <w:r>
              <w:rPr>
                <w:rFonts w:cs="Arial"/>
                <w:szCs w:val="24"/>
              </w:rPr>
              <w:t xml:space="preserve"> performance for living donation:</w:t>
            </w:r>
          </w:p>
          <w:p w14:paraId="44FB30F8" w14:textId="77777777" w:rsidR="00A369F0" w:rsidRDefault="00A369F0" w:rsidP="00A369F0">
            <w:pPr>
              <w:rPr>
                <w:rFonts w:cs="Arial"/>
                <w:szCs w:val="24"/>
              </w:rPr>
            </w:pPr>
          </w:p>
          <w:tbl>
            <w:tblPr>
              <w:tblW w:w="6546" w:type="dxa"/>
              <w:tblCellMar>
                <w:left w:w="0" w:type="dxa"/>
                <w:right w:w="0" w:type="dxa"/>
              </w:tblCellMar>
              <w:tblLook w:val="04A0" w:firstRow="1" w:lastRow="0" w:firstColumn="1" w:lastColumn="0" w:noHBand="0" w:noVBand="1"/>
            </w:tblPr>
            <w:tblGrid>
              <w:gridCol w:w="2021"/>
              <w:gridCol w:w="905"/>
              <w:gridCol w:w="905"/>
              <w:gridCol w:w="905"/>
              <w:gridCol w:w="905"/>
              <w:gridCol w:w="905"/>
            </w:tblGrid>
            <w:tr w:rsidR="00A369F0" w:rsidRPr="00F0464B" w14:paraId="5C922BE5" w14:textId="77777777" w:rsidTr="00A369F0">
              <w:trPr>
                <w:trHeight w:val="701"/>
              </w:trPr>
              <w:tc>
                <w:tcPr>
                  <w:tcW w:w="2021"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tcPr>
                <w:p w14:paraId="3F6B4829" w14:textId="77777777" w:rsidR="00A369F0" w:rsidRPr="00F0464B" w:rsidRDefault="00A369F0" w:rsidP="00022F2F">
                  <w:pPr>
                    <w:rPr>
                      <w:rFonts w:cs="Arial"/>
                      <w:b/>
                      <w:color w:val="FFFFFF" w:themeColor="light1"/>
                      <w:kern w:val="24"/>
                      <w:sz w:val="20"/>
                      <w:szCs w:val="20"/>
                      <w:lang w:eastAsia="en-GB"/>
                    </w:rPr>
                  </w:pPr>
                  <w:r>
                    <w:rPr>
                      <w:rFonts w:cs="Arial"/>
                      <w:b/>
                      <w:color w:val="FFFFFF" w:themeColor="light1"/>
                      <w:kern w:val="24"/>
                      <w:sz w:val="20"/>
                      <w:szCs w:val="20"/>
                      <w:lang w:eastAsia="en-GB"/>
                    </w:rPr>
                    <w:t>Table 3</w:t>
                  </w:r>
                </w:p>
              </w:tc>
              <w:tc>
                <w:tcPr>
                  <w:tcW w:w="4525" w:type="dxa"/>
                  <w:gridSpan w:val="5"/>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tcPr>
                <w:p w14:paraId="4607CBA6" w14:textId="77777777" w:rsidR="00A369F0" w:rsidRPr="00F0464B" w:rsidRDefault="00A369F0" w:rsidP="00022F2F">
                  <w:pPr>
                    <w:jc w:val="center"/>
                    <w:rPr>
                      <w:rFonts w:cs="Arial"/>
                      <w:b/>
                      <w:color w:val="FFFFFF" w:themeColor="light1"/>
                      <w:kern w:val="24"/>
                      <w:sz w:val="20"/>
                      <w:szCs w:val="20"/>
                      <w:lang w:eastAsia="en-GB"/>
                    </w:rPr>
                  </w:pPr>
                  <w:r>
                    <w:rPr>
                      <w:rFonts w:cs="Arial"/>
                      <w:b/>
                      <w:color w:val="FFFFFF" w:themeColor="light1"/>
                      <w:kern w:val="24"/>
                      <w:sz w:val="20"/>
                      <w:szCs w:val="20"/>
                      <w:lang w:eastAsia="en-GB"/>
                    </w:rPr>
                    <w:t>Years</w:t>
                  </w:r>
                </w:p>
              </w:tc>
            </w:tr>
            <w:tr w:rsidR="00A369F0" w:rsidRPr="00F0464B" w14:paraId="6BB27B67" w14:textId="77777777" w:rsidTr="00A369F0">
              <w:trPr>
                <w:trHeight w:val="701"/>
              </w:trPr>
              <w:tc>
                <w:tcPr>
                  <w:tcW w:w="2021"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49BEA641" w14:textId="77777777" w:rsidR="00A369F0" w:rsidRPr="00F0464B" w:rsidRDefault="00A369F0" w:rsidP="00022F2F">
                  <w:pPr>
                    <w:rPr>
                      <w:rFonts w:cs="Arial"/>
                      <w:sz w:val="20"/>
                      <w:szCs w:val="20"/>
                      <w:lang w:eastAsia="en-GB"/>
                    </w:rPr>
                  </w:pPr>
                  <w:r w:rsidRPr="00F0464B">
                    <w:rPr>
                      <w:rFonts w:cs="Arial"/>
                      <w:b/>
                      <w:color w:val="FFFFFF" w:themeColor="light1"/>
                      <w:kern w:val="24"/>
                      <w:sz w:val="20"/>
                      <w:szCs w:val="20"/>
                      <w:lang w:eastAsia="en-GB"/>
                    </w:rPr>
                    <w:t>Measure description</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69E1731F" w14:textId="77777777" w:rsidR="00A369F0" w:rsidRPr="00F0464B" w:rsidRDefault="00A369F0" w:rsidP="00022F2F">
                  <w:pPr>
                    <w:jc w:val="center"/>
                    <w:rPr>
                      <w:rFonts w:cs="Arial"/>
                      <w:sz w:val="20"/>
                      <w:szCs w:val="20"/>
                      <w:lang w:eastAsia="en-GB"/>
                    </w:rPr>
                  </w:pPr>
                  <w:r w:rsidRPr="00F0464B">
                    <w:rPr>
                      <w:rFonts w:cs="Arial"/>
                      <w:b/>
                      <w:color w:val="FFFFFF" w:themeColor="light1"/>
                      <w:kern w:val="24"/>
                      <w:sz w:val="20"/>
                      <w:szCs w:val="20"/>
                      <w:lang w:eastAsia="en-GB"/>
                    </w:rPr>
                    <w:t>2017/18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26A8BD46" w14:textId="77777777" w:rsidR="00A369F0" w:rsidRPr="00F0464B" w:rsidRDefault="00A369F0" w:rsidP="00022F2F">
                  <w:pPr>
                    <w:jc w:val="center"/>
                    <w:rPr>
                      <w:rFonts w:cs="Arial"/>
                      <w:sz w:val="20"/>
                      <w:szCs w:val="20"/>
                      <w:lang w:eastAsia="en-GB"/>
                    </w:rPr>
                  </w:pPr>
                  <w:r w:rsidRPr="00F0464B">
                    <w:rPr>
                      <w:rFonts w:cs="Arial"/>
                      <w:b/>
                      <w:color w:val="FFFFFF" w:themeColor="light1"/>
                      <w:kern w:val="24"/>
                      <w:sz w:val="20"/>
                      <w:szCs w:val="20"/>
                      <w:lang w:eastAsia="en-GB"/>
                    </w:rPr>
                    <w:t>2018/19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797F163F" w14:textId="77777777" w:rsidR="00A369F0" w:rsidRPr="00F0464B" w:rsidRDefault="00A369F0" w:rsidP="00022F2F">
                  <w:pPr>
                    <w:jc w:val="center"/>
                    <w:rPr>
                      <w:rFonts w:cs="Arial"/>
                      <w:sz w:val="20"/>
                      <w:szCs w:val="20"/>
                      <w:lang w:eastAsia="en-GB"/>
                    </w:rPr>
                  </w:pPr>
                  <w:r w:rsidRPr="00F0464B">
                    <w:rPr>
                      <w:rFonts w:cs="Arial"/>
                      <w:b/>
                      <w:color w:val="FFFFFF" w:themeColor="light1"/>
                      <w:kern w:val="24"/>
                      <w:sz w:val="20"/>
                      <w:szCs w:val="20"/>
                      <w:lang w:eastAsia="en-GB"/>
                    </w:rPr>
                    <w:t>2019/20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78332970" w14:textId="77777777" w:rsidR="00A369F0" w:rsidRPr="00F0464B" w:rsidRDefault="00A369F0" w:rsidP="00022F2F">
                  <w:pPr>
                    <w:jc w:val="center"/>
                    <w:rPr>
                      <w:rFonts w:cs="Arial"/>
                      <w:sz w:val="20"/>
                      <w:szCs w:val="20"/>
                      <w:lang w:eastAsia="en-GB"/>
                    </w:rPr>
                  </w:pPr>
                  <w:r w:rsidRPr="00F0464B">
                    <w:rPr>
                      <w:rFonts w:cs="Arial"/>
                      <w:b/>
                      <w:color w:val="FFFFFF" w:themeColor="light1"/>
                      <w:kern w:val="24"/>
                      <w:sz w:val="20"/>
                      <w:szCs w:val="20"/>
                      <w:lang w:eastAsia="en-GB"/>
                    </w:rPr>
                    <w:t>2020/21 Target</w:t>
                  </w:r>
                </w:p>
              </w:tc>
              <w:tc>
                <w:tcPr>
                  <w:tcW w:w="905" w:type="dxa"/>
                  <w:tcBorders>
                    <w:top w:val="single" w:sz="8" w:space="0" w:color="FFFFFF"/>
                    <w:left w:val="single" w:sz="8" w:space="0" w:color="FFFFFF"/>
                    <w:bottom w:val="single" w:sz="24" w:space="0" w:color="FFFFFF"/>
                    <w:right w:val="single" w:sz="8" w:space="0" w:color="FFFFFF"/>
                  </w:tcBorders>
                  <w:shd w:val="clear" w:color="auto" w:fill="0072C6"/>
                  <w:tcMar>
                    <w:top w:w="15" w:type="dxa"/>
                    <w:left w:w="91" w:type="dxa"/>
                    <w:bottom w:w="0" w:type="dxa"/>
                    <w:right w:w="91" w:type="dxa"/>
                  </w:tcMar>
                  <w:vAlign w:val="center"/>
                  <w:hideMark/>
                </w:tcPr>
                <w:p w14:paraId="69A0754A" w14:textId="77777777" w:rsidR="00A369F0" w:rsidRPr="00F0464B" w:rsidRDefault="00A369F0" w:rsidP="00022F2F">
                  <w:pPr>
                    <w:jc w:val="center"/>
                    <w:rPr>
                      <w:rFonts w:cs="Arial"/>
                      <w:sz w:val="20"/>
                      <w:szCs w:val="20"/>
                      <w:lang w:eastAsia="en-GB"/>
                    </w:rPr>
                  </w:pPr>
                  <w:r w:rsidRPr="00F0464B">
                    <w:rPr>
                      <w:rFonts w:cs="Arial"/>
                      <w:b/>
                      <w:color w:val="FFFFFF" w:themeColor="light1"/>
                      <w:kern w:val="24"/>
                      <w:sz w:val="20"/>
                      <w:szCs w:val="20"/>
                      <w:lang w:eastAsia="en-GB"/>
                    </w:rPr>
                    <w:t>2021/22 Target</w:t>
                  </w:r>
                </w:p>
              </w:tc>
            </w:tr>
            <w:tr w:rsidR="00A369F0" w:rsidRPr="00F0464B" w14:paraId="5A43B8BE" w14:textId="77777777" w:rsidTr="00A369F0">
              <w:trPr>
                <w:trHeight w:val="551"/>
              </w:trPr>
              <w:tc>
                <w:tcPr>
                  <w:tcW w:w="2021" w:type="dxa"/>
                  <w:tcBorders>
                    <w:top w:val="single" w:sz="24" w:space="0" w:color="FFFFFF"/>
                    <w:left w:val="single" w:sz="8" w:space="0" w:color="FFFFFF"/>
                    <w:bottom w:val="single" w:sz="8" w:space="0" w:color="FFFFFF"/>
                    <w:right w:val="single" w:sz="8" w:space="0" w:color="FFFFFF"/>
                  </w:tcBorders>
                  <w:shd w:val="clear" w:color="auto" w:fill="0072C6"/>
                  <w:tcMar>
                    <w:top w:w="15" w:type="dxa"/>
                    <w:left w:w="91" w:type="dxa"/>
                    <w:bottom w:w="0" w:type="dxa"/>
                    <w:right w:w="91" w:type="dxa"/>
                  </w:tcMar>
                  <w:vAlign w:val="center"/>
                  <w:hideMark/>
                </w:tcPr>
                <w:p w14:paraId="11F002E9" w14:textId="77777777" w:rsidR="00A369F0" w:rsidRPr="00F0464B" w:rsidRDefault="00A369F0" w:rsidP="00022F2F">
                  <w:pPr>
                    <w:rPr>
                      <w:rFonts w:cs="Arial"/>
                      <w:sz w:val="20"/>
                      <w:szCs w:val="20"/>
                      <w:lang w:eastAsia="en-GB"/>
                    </w:rPr>
                  </w:pPr>
                  <w:r w:rsidRPr="00F0464B">
                    <w:rPr>
                      <w:rFonts w:cs="Arial"/>
                      <w:b/>
                      <w:color w:val="FFFFFF" w:themeColor="light1"/>
                      <w:kern w:val="24"/>
                      <w:sz w:val="20"/>
                      <w:szCs w:val="20"/>
                      <w:lang w:eastAsia="en-GB"/>
                    </w:rPr>
                    <w:t>Number of living organ donors</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6F3D34E7"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1,392</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4C3890D3"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1,524</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18C412D9"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1,740</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424329A5"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1,752</w:t>
                  </w:r>
                </w:p>
              </w:tc>
              <w:tc>
                <w:tcPr>
                  <w:tcW w:w="905" w:type="dxa"/>
                  <w:tcBorders>
                    <w:top w:val="single" w:sz="24" w:space="0" w:color="FFFFFF"/>
                    <w:left w:val="single" w:sz="8" w:space="0" w:color="FFFFFF"/>
                    <w:bottom w:val="single" w:sz="8" w:space="0" w:color="FFFFFF"/>
                    <w:right w:val="single" w:sz="8" w:space="0" w:color="FFFFFF"/>
                  </w:tcBorders>
                  <w:shd w:val="clear" w:color="auto" w:fill="CBD5EA"/>
                  <w:tcMar>
                    <w:top w:w="15" w:type="dxa"/>
                    <w:left w:w="91" w:type="dxa"/>
                    <w:bottom w:w="0" w:type="dxa"/>
                    <w:right w:w="91" w:type="dxa"/>
                  </w:tcMar>
                  <w:vAlign w:val="center"/>
                  <w:hideMark/>
                </w:tcPr>
                <w:p w14:paraId="65E473CD"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1,764</w:t>
                  </w:r>
                </w:p>
              </w:tc>
            </w:tr>
            <w:tr w:rsidR="00A369F0" w:rsidRPr="00F0464B" w14:paraId="031F6479" w14:textId="77777777" w:rsidTr="00A369F0">
              <w:trPr>
                <w:trHeight w:val="701"/>
              </w:trPr>
              <w:tc>
                <w:tcPr>
                  <w:tcW w:w="2021" w:type="dxa"/>
                  <w:tcBorders>
                    <w:top w:val="single" w:sz="8" w:space="0" w:color="FFFFFF"/>
                    <w:left w:val="single" w:sz="8" w:space="0" w:color="FFFFFF"/>
                    <w:bottom w:val="single" w:sz="8" w:space="0" w:color="FFFFFF"/>
                    <w:right w:val="single" w:sz="8" w:space="0" w:color="FFFFFF"/>
                  </w:tcBorders>
                  <w:shd w:val="clear" w:color="auto" w:fill="0072C6"/>
                  <w:tcMar>
                    <w:top w:w="15" w:type="dxa"/>
                    <w:left w:w="91" w:type="dxa"/>
                    <w:bottom w:w="0" w:type="dxa"/>
                    <w:right w:w="91" w:type="dxa"/>
                  </w:tcMar>
                  <w:vAlign w:val="center"/>
                  <w:hideMark/>
                </w:tcPr>
                <w:p w14:paraId="0E29D7AC" w14:textId="77777777" w:rsidR="00A369F0" w:rsidRPr="00F0464B" w:rsidRDefault="00A369F0" w:rsidP="00022F2F">
                  <w:pPr>
                    <w:rPr>
                      <w:rFonts w:cs="Arial"/>
                      <w:sz w:val="20"/>
                      <w:szCs w:val="20"/>
                      <w:lang w:eastAsia="en-GB"/>
                    </w:rPr>
                  </w:pPr>
                  <w:r w:rsidRPr="00F0464B">
                    <w:rPr>
                      <w:rFonts w:cs="Arial"/>
                      <w:b/>
                      <w:color w:val="FFFFFF" w:themeColor="light1"/>
                      <w:kern w:val="24"/>
                      <w:sz w:val="20"/>
                      <w:szCs w:val="20"/>
                      <w:lang w:eastAsia="en-GB"/>
                    </w:rPr>
                    <w:t>Living donors per million population</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B568215"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21</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2E4F76D"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23</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7F8797AB"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26</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0A056348"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26</w:t>
                  </w:r>
                </w:p>
              </w:tc>
              <w:tc>
                <w:tcPr>
                  <w:tcW w:w="905" w:type="dxa"/>
                  <w:tcBorders>
                    <w:top w:val="single" w:sz="8" w:space="0" w:color="FFFFFF"/>
                    <w:left w:val="single" w:sz="8" w:space="0" w:color="FFFFFF"/>
                    <w:bottom w:val="single" w:sz="8" w:space="0" w:color="FFFFFF"/>
                    <w:right w:val="single" w:sz="8" w:space="0" w:color="FFFFFF"/>
                  </w:tcBorders>
                  <w:shd w:val="clear" w:color="auto" w:fill="E7EBF5"/>
                  <w:tcMar>
                    <w:top w:w="15" w:type="dxa"/>
                    <w:left w:w="91" w:type="dxa"/>
                    <w:bottom w:w="0" w:type="dxa"/>
                    <w:right w:w="91" w:type="dxa"/>
                  </w:tcMar>
                  <w:vAlign w:val="center"/>
                  <w:hideMark/>
                </w:tcPr>
                <w:p w14:paraId="6AFCAD6D" w14:textId="77777777" w:rsidR="00A369F0" w:rsidRPr="00F0464B" w:rsidRDefault="00A369F0" w:rsidP="00022F2F">
                  <w:pPr>
                    <w:jc w:val="center"/>
                    <w:rPr>
                      <w:rFonts w:cs="Arial"/>
                      <w:sz w:val="20"/>
                      <w:szCs w:val="20"/>
                      <w:lang w:eastAsia="en-GB"/>
                    </w:rPr>
                  </w:pPr>
                  <w:r w:rsidRPr="00F0464B">
                    <w:rPr>
                      <w:rFonts w:cs="Arial"/>
                      <w:color w:val="000000" w:themeColor="dark1"/>
                      <w:kern w:val="24"/>
                      <w:sz w:val="20"/>
                      <w:szCs w:val="20"/>
                      <w:lang w:eastAsia="en-GB"/>
                    </w:rPr>
                    <w:t>26</w:t>
                  </w:r>
                </w:p>
              </w:tc>
            </w:tr>
          </w:tbl>
          <w:p w14:paraId="1DA6542E" w14:textId="77777777" w:rsidR="00A369F0" w:rsidRDefault="00A369F0" w:rsidP="00A369F0">
            <w:pPr>
              <w:rPr>
                <w:rFonts w:cs="Arial"/>
                <w:szCs w:val="24"/>
              </w:rPr>
            </w:pPr>
          </w:p>
          <w:p w14:paraId="3041E394" w14:textId="77777777" w:rsidR="00A369F0" w:rsidRDefault="00A369F0" w:rsidP="00A369F0">
            <w:pPr>
              <w:rPr>
                <w:rFonts w:cs="Arial"/>
                <w:szCs w:val="24"/>
              </w:rPr>
            </w:pPr>
          </w:p>
          <w:p w14:paraId="418F1463" w14:textId="77777777" w:rsidR="00A369F0" w:rsidRPr="009A7584" w:rsidRDefault="00A369F0" w:rsidP="00A369F0">
            <w:pPr>
              <w:rPr>
                <w:rFonts w:cs="Arial"/>
                <w:szCs w:val="24"/>
              </w:rPr>
            </w:pPr>
            <w:r w:rsidRPr="009A7584">
              <w:rPr>
                <w:rFonts w:cs="Arial"/>
                <w:szCs w:val="24"/>
              </w:rPr>
              <w:t xml:space="preserve">The </w:t>
            </w:r>
            <w:r>
              <w:rPr>
                <w:rFonts w:cs="Arial"/>
                <w:szCs w:val="24"/>
              </w:rPr>
              <w:t xml:space="preserve">National </w:t>
            </w:r>
            <w:r w:rsidRPr="009A7584">
              <w:rPr>
                <w:rFonts w:cs="Arial"/>
                <w:szCs w:val="24"/>
              </w:rPr>
              <w:t>goals include:</w:t>
            </w:r>
          </w:p>
          <w:p w14:paraId="2B720488" w14:textId="77777777" w:rsidR="00A369F0" w:rsidRPr="009A7584" w:rsidRDefault="00A369F0" w:rsidP="00A369F0">
            <w:pPr>
              <w:rPr>
                <w:rFonts w:cs="Arial"/>
                <w:szCs w:val="24"/>
              </w:rPr>
            </w:pPr>
            <w:r>
              <w:rPr>
                <w:rFonts w:cs="Arial"/>
                <w:szCs w:val="24"/>
              </w:rPr>
              <w:t xml:space="preserve">1.  </w:t>
            </w:r>
            <w:r w:rsidRPr="009A7584">
              <w:rPr>
                <w:rFonts w:cs="Arial"/>
                <w:szCs w:val="24"/>
              </w:rPr>
              <w:t xml:space="preserve">Increase consent for organ donation to &gt;80% </w:t>
            </w:r>
          </w:p>
          <w:p w14:paraId="0106147B" w14:textId="77777777" w:rsidR="00A369F0" w:rsidRPr="009A7584" w:rsidRDefault="00A369F0" w:rsidP="00A369F0">
            <w:pPr>
              <w:rPr>
                <w:rFonts w:cs="Arial"/>
                <w:szCs w:val="24"/>
              </w:rPr>
            </w:pPr>
            <w:r>
              <w:rPr>
                <w:rFonts w:cs="Arial"/>
                <w:szCs w:val="24"/>
              </w:rPr>
              <w:t xml:space="preserve">2.  </w:t>
            </w:r>
            <w:r w:rsidRPr="009A7584">
              <w:rPr>
                <w:rFonts w:cs="Arial"/>
                <w:szCs w:val="24"/>
              </w:rPr>
              <w:t>Increase the rate of deceased donors per million population (</w:t>
            </w:r>
            <w:proofErr w:type="spellStart"/>
            <w:r w:rsidRPr="009A7584">
              <w:rPr>
                <w:rFonts w:cs="Arial"/>
                <w:szCs w:val="24"/>
              </w:rPr>
              <w:t>pmp</w:t>
            </w:r>
            <w:proofErr w:type="spellEnd"/>
            <w:r w:rsidRPr="009A7584">
              <w:rPr>
                <w:rFonts w:cs="Arial"/>
                <w:szCs w:val="24"/>
              </w:rPr>
              <w:t xml:space="preserve">) 26 </w:t>
            </w:r>
            <w:proofErr w:type="spellStart"/>
            <w:r w:rsidRPr="009A7584">
              <w:rPr>
                <w:rFonts w:cs="Arial"/>
                <w:szCs w:val="24"/>
              </w:rPr>
              <w:t>pmp</w:t>
            </w:r>
            <w:proofErr w:type="spellEnd"/>
          </w:p>
          <w:p w14:paraId="3A51ABCD" w14:textId="77777777" w:rsidR="00A369F0" w:rsidRPr="009A7584" w:rsidRDefault="00A369F0" w:rsidP="00A369F0">
            <w:pPr>
              <w:rPr>
                <w:rFonts w:cs="Arial"/>
                <w:szCs w:val="24"/>
              </w:rPr>
            </w:pPr>
            <w:r>
              <w:rPr>
                <w:rFonts w:cs="Arial"/>
                <w:szCs w:val="24"/>
              </w:rPr>
              <w:t xml:space="preserve">3.  </w:t>
            </w:r>
            <w:r w:rsidRPr="009A7584">
              <w:rPr>
                <w:rFonts w:cs="Arial"/>
                <w:szCs w:val="24"/>
              </w:rPr>
              <w:t>Increase organ utilisation rate by 5%</w:t>
            </w:r>
          </w:p>
          <w:p w14:paraId="6CFBA639" w14:textId="77777777" w:rsidR="00A369F0" w:rsidRDefault="00A369F0" w:rsidP="00A369F0">
            <w:pPr>
              <w:rPr>
                <w:rFonts w:cs="Arial"/>
                <w:szCs w:val="24"/>
              </w:rPr>
            </w:pPr>
            <w:r>
              <w:rPr>
                <w:rFonts w:cs="Arial"/>
                <w:szCs w:val="24"/>
              </w:rPr>
              <w:t xml:space="preserve">4.  </w:t>
            </w:r>
            <w:r w:rsidRPr="009A7584">
              <w:rPr>
                <w:rFonts w:cs="Arial"/>
                <w:szCs w:val="24"/>
              </w:rPr>
              <w:t xml:space="preserve">Increase the rate of deceased donor transplant rate </w:t>
            </w:r>
            <w:r>
              <w:rPr>
                <w:rFonts w:cs="Arial"/>
                <w:szCs w:val="24"/>
              </w:rPr>
              <w:t xml:space="preserve">to </w:t>
            </w:r>
            <w:r w:rsidRPr="009A7584">
              <w:rPr>
                <w:rFonts w:cs="Arial"/>
                <w:szCs w:val="24"/>
              </w:rPr>
              <w:t xml:space="preserve">74 </w:t>
            </w:r>
            <w:proofErr w:type="spellStart"/>
            <w:r w:rsidRPr="009A7584">
              <w:rPr>
                <w:rFonts w:cs="Arial"/>
                <w:szCs w:val="24"/>
              </w:rPr>
              <w:t>pmp</w:t>
            </w:r>
            <w:proofErr w:type="spellEnd"/>
          </w:p>
          <w:p w14:paraId="54E39619" w14:textId="77777777" w:rsidR="00A369F0" w:rsidRPr="00FE218D" w:rsidRDefault="00A369F0" w:rsidP="00A369F0">
            <w:pPr>
              <w:pStyle w:val="ListParagraph"/>
              <w:numPr>
                <w:ilvl w:val="0"/>
                <w:numId w:val="15"/>
              </w:numPr>
              <w:rPr>
                <w:rFonts w:cs="Arial"/>
                <w:szCs w:val="24"/>
              </w:rPr>
            </w:pPr>
            <w:r w:rsidRPr="00FF6E1E">
              <w:rPr>
                <w:rFonts w:cs="Arial"/>
                <w:szCs w:val="24"/>
              </w:rPr>
              <w:t xml:space="preserve">Increase the rate of </w:t>
            </w:r>
            <w:r>
              <w:rPr>
                <w:rFonts w:cs="Arial"/>
                <w:szCs w:val="24"/>
              </w:rPr>
              <w:t xml:space="preserve">living kidney </w:t>
            </w:r>
            <w:r w:rsidRPr="00FF6E1E">
              <w:rPr>
                <w:rFonts w:cs="Arial"/>
                <w:szCs w:val="24"/>
              </w:rPr>
              <w:t xml:space="preserve">donor transplant rate </w:t>
            </w:r>
            <w:r>
              <w:rPr>
                <w:rFonts w:cs="Arial"/>
                <w:szCs w:val="24"/>
              </w:rPr>
              <w:t>noting the highest rates achieved are 26</w:t>
            </w:r>
            <w:r w:rsidRPr="00FF6E1E">
              <w:rPr>
                <w:rFonts w:cs="Arial"/>
                <w:szCs w:val="24"/>
              </w:rPr>
              <w:t xml:space="preserve"> </w:t>
            </w:r>
            <w:proofErr w:type="spellStart"/>
            <w:r w:rsidRPr="00FF6E1E">
              <w:rPr>
                <w:rFonts w:cs="Arial"/>
                <w:szCs w:val="24"/>
              </w:rPr>
              <w:t>pmp</w:t>
            </w:r>
            <w:proofErr w:type="spellEnd"/>
          </w:p>
          <w:p w14:paraId="722B00AE" w14:textId="77777777" w:rsidR="00D20ED1" w:rsidRDefault="00D20ED1" w:rsidP="00D20ED1">
            <w:pPr>
              <w:rPr>
                <w:rFonts w:cs="Arial"/>
                <w:szCs w:val="24"/>
              </w:rPr>
            </w:pPr>
          </w:p>
          <w:p w14:paraId="48994A77" w14:textId="77777777" w:rsidR="00D11E78" w:rsidRPr="009275E2" w:rsidRDefault="00D11E78" w:rsidP="009275E2">
            <w:pPr>
              <w:outlineLvl w:val="0"/>
              <w:rPr>
                <w:rFonts w:cs="Arial"/>
                <w:bCs w:val="0"/>
                <w:color w:val="000000"/>
                <w:szCs w:val="24"/>
              </w:rPr>
            </w:pPr>
            <w:r w:rsidRPr="009275E2">
              <w:rPr>
                <w:rFonts w:cs="Arial"/>
                <w:color w:val="000000"/>
                <w:szCs w:val="24"/>
              </w:rPr>
              <w:t>There is clinical consensus on achievement of improvements in organ donation and utilisation and the need to increase living kidney donation. The DHSC has recently undertaken a Public Consultation on The Organ Donation (Deemed Consent) Bill 2017-19 and most responses supported a change to the law to allow for deemed consent to organ and tissue donation in England. Professional groups responded positively to this consultation.</w:t>
            </w:r>
          </w:p>
        </w:tc>
      </w:tr>
      <w:tr w:rsidR="0026417D" w:rsidRPr="000412A1" w14:paraId="1C60D2F8" w14:textId="77777777" w:rsidTr="00234135">
        <w:tc>
          <w:tcPr>
            <w:tcW w:w="5000" w:type="pct"/>
            <w:gridSpan w:val="2"/>
            <w:shd w:val="clear" w:color="auto" w:fill="auto"/>
          </w:tcPr>
          <w:p w14:paraId="7E43C312" w14:textId="77777777"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191DABE6" w14:textId="77777777" w:rsidR="009E61F4" w:rsidRPr="00D11E78" w:rsidRDefault="009E61F4" w:rsidP="009E61F4">
            <w:pPr>
              <w:spacing w:before="40" w:after="40"/>
              <w:rPr>
                <w:rFonts w:cs="Arial"/>
                <w:szCs w:val="24"/>
              </w:rPr>
            </w:pPr>
            <w:r w:rsidRPr="00D11E78">
              <w:rPr>
                <w:rFonts w:cs="Arial"/>
                <w:szCs w:val="24"/>
              </w:rPr>
              <w:t>CQUIN as an instrument is justified if net costs beyond normal service requirements are incurred by providers whilst benefits and cost savings accrue to patients and commissioners.</w:t>
            </w:r>
          </w:p>
          <w:p w14:paraId="553952DB" w14:textId="77777777" w:rsidR="009E61F4" w:rsidRPr="00D11E78" w:rsidRDefault="009E61F4" w:rsidP="009E61F4">
            <w:pPr>
              <w:rPr>
                <w:rFonts w:cs="Arial"/>
                <w:szCs w:val="24"/>
              </w:rPr>
            </w:pPr>
            <w:r w:rsidRPr="00D11E78">
              <w:rPr>
                <w:rFonts w:cs="Arial"/>
                <w:szCs w:val="24"/>
              </w:rPr>
              <w:t>The value of the commissioned services is:</w:t>
            </w:r>
          </w:p>
          <w:p w14:paraId="3A8D1CEB" w14:textId="77777777" w:rsidR="009E61F4" w:rsidRPr="00D11E78" w:rsidRDefault="009E61F4" w:rsidP="009E61F4">
            <w:pPr>
              <w:pStyle w:val="ListParagraph"/>
              <w:numPr>
                <w:ilvl w:val="0"/>
                <w:numId w:val="23"/>
              </w:numPr>
              <w:rPr>
                <w:rFonts w:cs="Arial"/>
                <w:szCs w:val="24"/>
              </w:rPr>
            </w:pPr>
            <w:r w:rsidRPr="00D11E78">
              <w:rPr>
                <w:rFonts w:cs="Arial"/>
                <w:szCs w:val="24"/>
              </w:rPr>
              <w:t xml:space="preserve">Highly Specialised Solid Organ Transplant </w:t>
            </w:r>
            <w:proofErr w:type="gramStart"/>
            <w:r w:rsidRPr="00D11E78">
              <w:rPr>
                <w:rFonts w:cs="Arial"/>
                <w:szCs w:val="24"/>
              </w:rPr>
              <w:t>services  -</w:t>
            </w:r>
            <w:proofErr w:type="gramEnd"/>
            <w:r w:rsidRPr="00D11E78">
              <w:rPr>
                <w:rFonts w:cs="Arial"/>
                <w:szCs w:val="24"/>
              </w:rPr>
              <w:t xml:space="preserve"> circa £142m (16/17)</w:t>
            </w:r>
          </w:p>
          <w:p w14:paraId="345510C8" w14:textId="77777777" w:rsidR="009E61F4" w:rsidRPr="00D11E78" w:rsidRDefault="009E61F4" w:rsidP="009E61F4">
            <w:pPr>
              <w:pStyle w:val="ListParagraph"/>
              <w:numPr>
                <w:ilvl w:val="0"/>
                <w:numId w:val="23"/>
              </w:numPr>
              <w:rPr>
                <w:rFonts w:cs="Arial"/>
                <w:szCs w:val="24"/>
                <w:lang w:val="es-ES_tradnl"/>
              </w:rPr>
            </w:pPr>
            <w:r w:rsidRPr="00D11E78">
              <w:rPr>
                <w:rFonts w:cs="Arial"/>
                <w:szCs w:val="24"/>
                <w:lang w:val="es-ES_tradnl"/>
              </w:rPr>
              <w:t xml:space="preserve">Renal </w:t>
            </w:r>
            <w:proofErr w:type="spellStart"/>
            <w:r w:rsidRPr="00D11E78">
              <w:rPr>
                <w:rFonts w:cs="Arial"/>
                <w:szCs w:val="24"/>
                <w:lang w:val="es-ES_tradnl"/>
              </w:rPr>
              <w:t>dialysis</w:t>
            </w:r>
            <w:proofErr w:type="spellEnd"/>
            <w:r w:rsidRPr="00D11E78">
              <w:rPr>
                <w:rFonts w:cs="Arial"/>
                <w:szCs w:val="24"/>
                <w:lang w:val="es-ES_tradnl"/>
              </w:rPr>
              <w:t xml:space="preserve"> </w:t>
            </w:r>
            <w:proofErr w:type="spellStart"/>
            <w:r w:rsidRPr="00D11E78">
              <w:rPr>
                <w:rFonts w:cs="Arial"/>
                <w:szCs w:val="24"/>
                <w:lang w:val="es-ES_tradnl"/>
              </w:rPr>
              <w:t>services</w:t>
            </w:r>
            <w:proofErr w:type="spellEnd"/>
            <w:r w:rsidRPr="00D11E78">
              <w:rPr>
                <w:rFonts w:cs="Arial"/>
                <w:szCs w:val="24"/>
                <w:lang w:val="es-ES_tradnl"/>
              </w:rPr>
              <w:t xml:space="preserve"> - circa £142m (16/17)</w:t>
            </w:r>
          </w:p>
          <w:p w14:paraId="5861D114" w14:textId="77777777" w:rsidR="009E61F4" w:rsidRPr="00D11E78" w:rsidRDefault="009E61F4" w:rsidP="009E61F4">
            <w:pPr>
              <w:pStyle w:val="ListParagraph"/>
              <w:numPr>
                <w:ilvl w:val="0"/>
                <w:numId w:val="23"/>
              </w:numPr>
              <w:rPr>
                <w:rFonts w:cs="Arial"/>
                <w:szCs w:val="24"/>
              </w:rPr>
            </w:pPr>
            <w:r w:rsidRPr="00D11E78">
              <w:rPr>
                <w:rFonts w:cs="Arial"/>
                <w:szCs w:val="24"/>
              </w:rPr>
              <w:t>Renal transplant services – circa £188m (16/17)</w:t>
            </w:r>
          </w:p>
          <w:p w14:paraId="29D6B04F" w14:textId="77777777" w:rsidR="009E61F4" w:rsidRPr="00D11E78" w:rsidRDefault="009E61F4" w:rsidP="009E61F4">
            <w:pPr>
              <w:spacing w:before="40" w:after="40"/>
              <w:rPr>
                <w:rFonts w:cs="Arial"/>
                <w:szCs w:val="24"/>
              </w:rPr>
            </w:pPr>
            <w:r w:rsidRPr="00D11E78">
              <w:rPr>
                <w:rFonts w:cs="Arial"/>
                <w:szCs w:val="24"/>
              </w:rPr>
              <w:t xml:space="preserve"> </w:t>
            </w:r>
          </w:p>
          <w:p w14:paraId="4AECA4D6" w14:textId="77777777" w:rsidR="009E61F4" w:rsidRPr="00D11E78" w:rsidRDefault="009E61F4" w:rsidP="009E61F4">
            <w:pPr>
              <w:spacing w:before="40" w:after="40"/>
              <w:rPr>
                <w:rFonts w:cs="Arial"/>
                <w:szCs w:val="24"/>
              </w:rPr>
            </w:pPr>
            <w:r w:rsidRPr="00D11E78">
              <w:rPr>
                <w:rFonts w:cs="Arial"/>
                <w:szCs w:val="24"/>
              </w:rPr>
              <w:lastRenderedPageBreak/>
              <w:t>Improving donation and utilisation rates to help to achieve nationally agreed targets for Kidney, Liver, Heart and Lung, and to reduce demand for renal dialysis, high cost interim devices, and to avoid admitted patient care costs.</w:t>
            </w:r>
          </w:p>
          <w:p w14:paraId="42C6D796" w14:textId="77777777" w:rsidR="009E61F4" w:rsidRPr="00A369F0" w:rsidRDefault="009E61F4" w:rsidP="00A369F0">
            <w:pPr>
              <w:spacing w:before="40" w:after="40"/>
              <w:rPr>
                <w:rFonts w:cs="Arial"/>
                <w:i/>
                <w:color w:val="FF0000"/>
                <w:szCs w:val="24"/>
              </w:rPr>
            </w:pPr>
          </w:p>
        </w:tc>
      </w:tr>
      <w:tr w:rsidR="00C25612" w:rsidRPr="000412A1" w14:paraId="37CC728F" w14:textId="77777777" w:rsidTr="00C25612">
        <w:tc>
          <w:tcPr>
            <w:tcW w:w="5000" w:type="pct"/>
            <w:gridSpan w:val="2"/>
            <w:shd w:val="clear" w:color="auto" w:fill="D9D9D9" w:themeFill="background1" w:themeFillShade="D9"/>
          </w:tcPr>
          <w:p w14:paraId="0B7E2A34"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54FDCBAA" w14:textId="77777777" w:rsidTr="00234135">
        <w:tc>
          <w:tcPr>
            <w:tcW w:w="5000" w:type="pct"/>
            <w:gridSpan w:val="2"/>
            <w:shd w:val="clear" w:color="auto" w:fill="auto"/>
          </w:tcPr>
          <w:p w14:paraId="2275A68C" w14:textId="77777777"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6E1831B3" w14:textId="77777777" w:rsidR="00F075FF" w:rsidRDefault="00C25612" w:rsidP="001F6AA3">
            <w:pPr>
              <w:spacing w:before="40" w:after="40"/>
              <w:rPr>
                <w:rFonts w:cs="Arial"/>
                <w:i/>
                <w:color w:val="FF0000"/>
                <w:szCs w:val="24"/>
              </w:rPr>
            </w:pPr>
            <w:r w:rsidRPr="001F6AA3">
              <w:rPr>
                <w:rFonts w:cs="Arial"/>
                <w:i/>
                <w:color w:val="000000"/>
                <w:szCs w:val="24"/>
              </w:rPr>
              <w:tab/>
            </w:r>
          </w:p>
          <w:p w14:paraId="2A679DFE" w14:textId="77777777" w:rsidR="00F075FF" w:rsidRPr="00F075FF" w:rsidRDefault="00F075FF" w:rsidP="001F6AA3">
            <w:pPr>
              <w:spacing w:before="40" w:after="40"/>
              <w:rPr>
                <w:rFonts w:cs="Arial"/>
                <w:b/>
                <w:szCs w:val="24"/>
              </w:rPr>
            </w:pPr>
            <w:r w:rsidRPr="00F075FF">
              <w:rPr>
                <w:rFonts w:cs="Arial"/>
                <w:b/>
                <w:szCs w:val="24"/>
              </w:rPr>
              <w:t>Three Years</w:t>
            </w:r>
          </w:p>
          <w:p w14:paraId="54E11D2A" w14:textId="77777777" w:rsidR="00C25612" w:rsidRPr="0026417D" w:rsidRDefault="00C25612" w:rsidP="0026417D">
            <w:pPr>
              <w:rPr>
                <w:rFonts w:cs="Arial"/>
                <w:b/>
                <w:color w:val="000000"/>
                <w:szCs w:val="24"/>
                <w:u w:val="single"/>
              </w:rPr>
            </w:pPr>
          </w:p>
        </w:tc>
      </w:tr>
      <w:tr w:rsidR="00234135" w:rsidRPr="00BB243E" w14:paraId="54857A1D" w14:textId="77777777" w:rsidTr="002C4571">
        <w:tc>
          <w:tcPr>
            <w:tcW w:w="5000" w:type="pct"/>
            <w:gridSpan w:val="2"/>
            <w:shd w:val="clear" w:color="auto" w:fill="D9D9D9" w:themeFill="background1" w:themeFillShade="D9"/>
          </w:tcPr>
          <w:p w14:paraId="480B4424" w14:textId="77777777"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619EFF27" w14:textId="77777777" w:rsidTr="00234135">
        <w:tc>
          <w:tcPr>
            <w:tcW w:w="5000" w:type="pct"/>
            <w:gridSpan w:val="2"/>
          </w:tcPr>
          <w:p w14:paraId="363E9164" w14:textId="77777777" w:rsidR="00234135" w:rsidRPr="001F6AA3" w:rsidRDefault="00234135" w:rsidP="0084461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14:paraId="31126E5D" w14:textId="77777777" w:rsidR="00234135" w:rsidRDefault="00234135" w:rsidP="0084461B">
            <w:pPr>
              <w:rPr>
                <w:rFonts w:eastAsiaTheme="minorEastAsia" w:cs="Arial"/>
                <w:szCs w:val="24"/>
              </w:rPr>
            </w:pPr>
          </w:p>
        </w:tc>
      </w:tr>
      <w:tr w:rsidR="0026417D" w:rsidRPr="00970018" w14:paraId="5AEF3822" w14:textId="77777777" w:rsidTr="004429A4">
        <w:tc>
          <w:tcPr>
            <w:tcW w:w="5000" w:type="pct"/>
            <w:gridSpan w:val="2"/>
            <w:shd w:val="clear" w:color="auto" w:fill="BFBFBF" w:themeFill="background1" w:themeFillShade="BF"/>
          </w:tcPr>
          <w:p w14:paraId="7A475866" w14:textId="77777777" w:rsidR="0026417D" w:rsidRPr="00970018" w:rsidRDefault="00970018" w:rsidP="004429A4">
            <w:pPr>
              <w:rPr>
                <w:rFonts w:cs="Arial"/>
                <w:b/>
                <w:szCs w:val="24"/>
              </w:rPr>
            </w:pPr>
            <w:r w:rsidRPr="00970018">
              <w:rPr>
                <w:rFonts w:cs="Arial"/>
                <w:b/>
                <w:szCs w:val="24"/>
              </w:rPr>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11C24A7B" w14:textId="77777777" w:rsidTr="00234135">
        <w:tc>
          <w:tcPr>
            <w:tcW w:w="5000" w:type="pct"/>
            <w:gridSpan w:val="2"/>
          </w:tcPr>
          <w:p w14:paraId="21C665B5" w14:textId="77777777"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2DE403A5" w14:textId="77777777" w:rsidR="0026417D" w:rsidRPr="00BB243E" w:rsidRDefault="0026417D" w:rsidP="004063F1">
            <w:pPr>
              <w:rPr>
                <w:rFonts w:cs="Arial"/>
                <w:szCs w:val="24"/>
              </w:rPr>
            </w:pPr>
          </w:p>
        </w:tc>
      </w:tr>
      <w:tr w:rsidR="004429A4" w:rsidRPr="000412A1" w14:paraId="6B78FC36" w14:textId="77777777" w:rsidTr="004429A4">
        <w:trPr>
          <w:trHeight w:val="135"/>
        </w:trPr>
        <w:tc>
          <w:tcPr>
            <w:tcW w:w="1377" w:type="pct"/>
            <w:shd w:val="clear" w:color="auto" w:fill="D9D9D9" w:themeFill="background1" w:themeFillShade="D9"/>
          </w:tcPr>
          <w:p w14:paraId="566C0C22" w14:textId="77777777" w:rsidR="004429A4" w:rsidRPr="0026417D" w:rsidRDefault="004429A4" w:rsidP="0026417D">
            <w:pPr>
              <w:rPr>
                <w:rFonts w:cs="Arial"/>
                <w:b/>
                <w:szCs w:val="24"/>
                <w:u w:val="single"/>
              </w:rPr>
            </w:pPr>
            <w:r>
              <w:rPr>
                <w:rFonts w:cs="Arial"/>
                <w:b/>
                <w:szCs w:val="24"/>
                <w:u w:val="single"/>
              </w:rPr>
              <w:t>Information for Evaluation</w:t>
            </w:r>
          </w:p>
        </w:tc>
        <w:tc>
          <w:tcPr>
            <w:tcW w:w="3623" w:type="pct"/>
          </w:tcPr>
          <w:p w14:paraId="0131E69A" w14:textId="77777777" w:rsidR="004429A4" w:rsidRPr="00BC4EA9" w:rsidRDefault="004429A4" w:rsidP="004429A4">
            <w:pPr>
              <w:rPr>
                <w:rFonts w:cs="Arial"/>
                <w:color w:val="FF0000"/>
                <w:szCs w:val="24"/>
                <w:u w:val="single"/>
              </w:rPr>
            </w:pPr>
            <w:r w:rsidRPr="00BC4EA9">
              <w:rPr>
                <w:rFonts w:cs="Arial"/>
                <w:i/>
                <w:color w:val="FF0000"/>
                <w:szCs w:val="24"/>
              </w:rPr>
              <w:t>[Information flows required for evaluation should be referenced here, building on those set out at C5]</w:t>
            </w:r>
          </w:p>
        </w:tc>
      </w:tr>
      <w:tr w:rsidR="004429A4" w:rsidRPr="000412A1" w14:paraId="4EA1719B" w14:textId="77777777" w:rsidTr="004429A4">
        <w:trPr>
          <w:trHeight w:val="135"/>
        </w:trPr>
        <w:tc>
          <w:tcPr>
            <w:tcW w:w="1377" w:type="pct"/>
            <w:shd w:val="clear" w:color="auto" w:fill="D9D9D9" w:themeFill="background1" w:themeFillShade="D9"/>
          </w:tcPr>
          <w:p w14:paraId="02FE208E" w14:textId="77777777"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623" w:type="pct"/>
          </w:tcPr>
          <w:p w14:paraId="62431CDC" w14:textId="77777777" w:rsidR="004429A4" w:rsidRPr="00BC4EA9" w:rsidRDefault="004429A4" w:rsidP="0026417D">
            <w:pPr>
              <w:rPr>
                <w:rFonts w:cs="Arial"/>
                <w:color w:val="FF0000"/>
                <w:szCs w:val="24"/>
                <w:u w:val="single"/>
              </w:rPr>
            </w:pPr>
          </w:p>
        </w:tc>
      </w:tr>
    </w:tbl>
    <w:p w14:paraId="49E398E2" w14:textId="77777777" w:rsidR="005931C4" w:rsidRPr="006F038B" w:rsidRDefault="005931C4" w:rsidP="006F038B">
      <w:pPr>
        <w:rPr>
          <w:rFonts w:cs="Arial"/>
          <w:b/>
          <w:i/>
          <w:szCs w:val="24"/>
        </w:rPr>
      </w:pPr>
    </w:p>
    <w:sectPr w:rsidR="005931C4" w:rsidRPr="006F038B" w:rsidSect="006B2327">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93A62" w14:textId="77777777" w:rsidR="00401783" w:rsidRDefault="00401783" w:rsidP="00AD55CE">
      <w:r>
        <w:separator/>
      </w:r>
    </w:p>
  </w:endnote>
  <w:endnote w:type="continuationSeparator" w:id="0">
    <w:p w14:paraId="384BA73E" w14:textId="77777777" w:rsidR="00401783" w:rsidRDefault="00401783"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70106"/>
      <w:docPartObj>
        <w:docPartGallery w:val="Page Numbers (Bottom of Page)"/>
        <w:docPartUnique/>
      </w:docPartObj>
    </w:sdtPr>
    <w:sdtEndPr>
      <w:rPr>
        <w:noProof/>
      </w:rPr>
    </w:sdtEndPr>
    <w:sdtContent>
      <w:p w14:paraId="3D3D22A9" w14:textId="77777777" w:rsidR="00FC53F2" w:rsidRDefault="00FC53F2">
        <w:pPr>
          <w:pStyle w:val="Footer"/>
          <w:jc w:val="center"/>
        </w:pPr>
        <w:r>
          <w:fldChar w:fldCharType="begin"/>
        </w:r>
        <w:r>
          <w:instrText xml:space="preserve"> PAGE   \* MERGEFORMAT </w:instrText>
        </w:r>
        <w:r>
          <w:fldChar w:fldCharType="separate"/>
        </w:r>
        <w:r w:rsidR="004F3D06">
          <w:rPr>
            <w:noProof/>
          </w:rPr>
          <w:t>1</w:t>
        </w:r>
        <w:r>
          <w:rPr>
            <w:noProof/>
          </w:rPr>
          <w:fldChar w:fldCharType="end"/>
        </w:r>
      </w:p>
    </w:sdtContent>
  </w:sdt>
  <w:p w14:paraId="0F2F1B40" w14:textId="77777777" w:rsidR="004F3D06" w:rsidRDefault="004F3D06" w:rsidP="004F3D06">
    <w:pPr>
      <w:pStyle w:val="Footer"/>
      <w:rPr>
        <w:sz w:val="16"/>
        <w:szCs w:val="16"/>
        <w:lang w:val="en-US"/>
      </w:rPr>
    </w:pPr>
    <w:r w:rsidRPr="00805D9C">
      <w:rPr>
        <w:sz w:val="16"/>
        <w:szCs w:val="16"/>
        <w:lang w:val="en-US"/>
      </w:rPr>
      <w:t>NHS England and NHS Improvement – Working together for the NHS</w:t>
    </w:r>
  </w:p>
  <w:p w14:paraId="3F89EC23" w14:textId="77777777" w:rsidR="004F3D06" w:rsidRPr="00805D9C" w:rsidRDefault="004F3D06" w:rsidP="004F3D06">
    <w:pPr>
      <w:pStyle w:val="Footer"/>
      <w:rPr>
        <w:color w:val="00B0F0"/>
        <w:sz w:val="16"/>
        <w:szCs w:val="16"/>
        <w:lang w:val="en-US"/>
      </w:rPr>
    </w:pPr>
    <w:r w:rsidRPr="00805D9C">
      <w:rPr>
        <w:color w:val="00B0F0"/>
        <w:sz w:val="16"/>
        <w:szCs w:val="16"/>
        <w:lang w:val="en-US"/>
      </w:rPr>
      <w:t>March 2019</w:t>
    </w:r>
  </w:p>
  <w:p w14:paraId="3C251356" w14:textId="77777777" w:rsidR="004F3D06" w:rsidRPr="00805D9C" w:rsidRDefault="004F3D06" w:rsidP="004F3D06">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F5C7" w14:textId="77777777" w:rsidR="00401783" w:rsidRDefault="00401783" w:rsidP="00AD55CE">
      <w:r>
        <w:separator/>
      </w:r>
    </w:p>
  </w:footnote>
  <w:footnote w:type="continuationSeparator" w:id="0">
    <w:p w14:paraId="0B4020A7" w14:textId="77777777" w:rsidR="00401783" w:rsidRDefault="00401783"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2EB" w14:textId="77777777" w:rsidR="0023783E" w:rsidRDefault="00D11E04">
    <w:pPr>
      <w:pStyle w:val="Header"/>
    </w:pPr>
    <w:r>
      <w:rPr>
        <w:noProof/>
      </w:rPr>
      <w:pict w14:anchorId="061D78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82610" o:spid="_x0000_s1741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7F21" w14:textId="77777777" w:rsidR="00401783" w:rsidRDefault="00401783" w:rsidP="00AD55CE">
    <w:pPr>
      <w:pStyle w:val="Header"/>
      <w:tabs>
        <w:tab w:val="clear" w:pos="4513"/>
        <w:tab w:val="clear" w:pos="9026"/>
        <w:tab w:val="left" w:pos="7395"/>
      </w:tabs>
      <w:ind w:left="7395"/>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270A" w14:textId="77777777" w:rsidR="0023783E" w:rsidRDefault="00D11E04">
    <w:pPr>
      <w:pStyle w:val="Header"/>
    </w:pPr>
    <w:r>
      <w:rPr>
        <w:noProof/>
      </w:rPr>
      <w:pict w14:anchorId="43480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782609" o:spid="_x0000_s1740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332"/>
    <w:multiLevelType w:val="hybridMultilevel"/>
    <w:tmpl w:val="779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F5FBB"/>
    <w:multiLevelType w:val="hybridMultilevel"/>
    <w:tmpl w:val="37A8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8196C"/>
    <w:multiLevelType w:val="hybridMultilevel"/>
    <w:tmpl w:val="D9ECAF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E5335"/>
    <w:multiLevelType w:val="hybridMultilevel"/>
    <w:tmpl w:val="AA28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20F4F"/>
    <w:multiLevelType w:val="hybridMultilevel"/>
    <w:tmpl w:val="30E2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F3C09"/>
    <w:multiLevelType w:val="hybridMultilevel"/>
    <w:tmpl w:val="E3D8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14B27"/>
    <w:multiLevelType w:val="hybridMultilevel"/>
    <w:tmpl w:val="B40018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553ED"/>
    <w:multiLevelType w:val="hybridMultilevel"/>
    <w:tmpl w:val="02A6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49F138E"/>
    <w:multiLevelType w:val="hybridMultilevel"/>
    <w:tmpl w:val="3D4C0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0277A"/>
    <w:multiLevelType w:val="hybridMultilevel"/>
    <w:tmpl w:val="3B069E3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8F2469"/>
    <w:multiLevelType w:val="hybridMultilevel"/>
    <w:tmpl w:val="1186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F6289"/>
    <w:multiLevelType w:val="hybridMultilevel"/>
    <w:tmpl w:val="025831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5F1706"/>
    <w:multiLevelType w:val="hybridMultilevel"/>
    <w:tmpl w:val="F3AA6186"/>
    <w:lvl w:ilvl="0" w:tplc="8272E53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0244A2"/>
    <w:multiLevelType w:val="hybridMultilevel"/>
    <w:tmpl w:val="FC781700"/>
    <w:lvl w:ilvl="0" w:tplc="35CC1D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C0626"/>
    <w:multiLevelType w:val="hybridMultilevel"/>
    <w:tmpl w:val="E13C6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51BBB"/>
    <w:multiLevelType w:val="hybridMultilevel"/>
    <w:tmpl w:val="1CF6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0154F"/>
    <w:multiLevelType w:val="hybridMultilevel"/>
    <w:tmpl w:val="4A04E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A96E18"/>
    <w:multiLevelType w:val="hybridMultilevel"/>
    <w:tmpl w:val="D900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5B3023"/>
    <w:multiLevelType w:val="hybridMultilevel"/>
    <w:tmpl w:val="B9407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15"/>
  </w:num>
  <w:num w:numId="5">
    <w:abstractNumId w:val="7"/>
  </w:num>
  <w:num w:numId="6">
    <w:abstractNumId w:val="17"/>
  </w:num>
  <w:num w:numId="7">
    <w:abstractNumId w:val="12"/>
  </w:num>
  <w:num w:numId="8">
    <w:abstractNumId w:val="6"/>
  </w:num>
  <w:num w:numId="9">
    <w:abstractNumId w:val="20"/>
  </w:num>
  <w:num w:numId="10">
    <w:abstractNumId w:val="8"/>
  </w:num>
  <w:num w:numId="11">
    <w:abstractNumId w:val="3"/>
  </w:num>
  <w:num w:numId="12">
    <w:abstractNumId w:val="18"/>
  </w:num>
  <w:num w:numId="13">
    <w:abstractNumId w:val="9"/>
  </w:num>
  <w:num w:numId="14">
    <w:abstractNumId w:val="4"/>
  </w:num>
  <w:num w:numId="15">
    <w:abstractNumId w:val="13"/>
  </w:num>
  <w:num w:numId="16">
    <w:abstractNumId w:val="21"/>
  </w:num>
  <w:num w:numId="17">
    <w:abstractNumId w:val="5"/>
  </w:num>
  <w:num w:numId="18">
    <w:abstractNumId w:val="10"/>
  </w:num>
  <w:num w:numId="19">
    <w:abstractNumId w:val="1"/>
  </w:num>
  <w:num w:numId="20">
    <w:abstractNumId w:val="0"/>
  </w:num>
  <w:num w:numId="21">
    <w:abstractNumId w:val="16"/>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7411"/>
    <o:shapelayout v:ext="edit">
      <o:idmap v:ext="edit" data="1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146A0"/>
    <w:rsid w:val="00022F2F"/>
    <w:rsid w:val="00023708"/>
    <w:rsid w:val="00052447"/>
    <w:rsid w:val="000D576D"/>
    <w:rsid w:val="000E33C9"/>
    <w:rsid w:val="000F3C6A"/>
    <w:rsid w:val="00100668"/>
    <w:rsid w:val="001350E0"/>
    <w:rsid w:val="00150AC8"/>
    <w:rsid w:val="00154269"/>
    <w:rsid w:val="00162909"/>
    <w:rsid w:val="00182AEF"/>
    <w:rsid w:val="001F421F"/>
    <w:rsid w:val="001F6AA3"/>
    <w:rsid w:val="00234135"/>
    <w:rsid w:val="0023783E"/>
    <w:rsid w:val="00245B3B"/>
    <w:rsid w:val="00263708"/>
    <w:rsid w:val="0026417D"/>
    <w:rsid w:val="00287380"/>
    <w:rsid w:val="00292053"/>
    <w:rsid w:val="002C4571"/>
    <w:rsid w:val="00326B23"/>
    <w:rsid w:val="0034775E"/>
    <w:rsid w:val="003759F0"/>
    <w:rsid w:val="003A0C63"/>
    <w:rsid w:val="003C0B16"/>
    <w:rsid w:val="00401783"/>
    <w:rsid w:val="004063F1"/>
    <w:rsid w:val="004429A4"/>
    <w:rsid w:val="004B2DC0"/>
    <w:rsid w:val="004B784D"/>
    <w:rsid w:val="004E377A"/>
    <w:rsid w:val="004F3D06"/>
    <w:rsid w:val="00512E30"/>
    <w:rsid w:val="0053771A"/>
    <w:rsid w:val="005576EB"/>
    <w:rsid w:val="00567B00"/>
    <w:rsid w:val="0057313B"/>
    <w:rsid w:val="005931C4"/>
    <w:rsid w:val="005C1DEF"/>
    <w:rsid w:val="00650494"/>
    <w:rsid w:val="00683026"/>
    <w:rsid w:val="006B2327"/>
    <w:rsid w:val="006F038B"/>
    <w:rsid w:val="00717512"/>
    <w:rsid w:val="00774DB2"/>
    <w:rsid w:val="00822294"/>
    <w:rsid w:val="00825DF1"/>
    <w:rsid w:val="0084461B"/>
    <w:rsid w:val="008711A8"/>
    <w:rsid w:val="009105F1"/>
    <w:rsid w:val="009275E2"/>
    <w:rsid w:val="00970018"/>
    <w:rsid w:val="00970BD6"/>
    <w:rsid w:val="009D54C2"/>
    <w:rsid w:val="009E61F4"/>
    <w:rsid w:val="009E64B0"/>
    <w:rsid w:val="00A164D6"/>
    <w:rsid w:val="00A369F0"/>
    <w:rsid w:val="00A536ED"/>
    <w:rsid w:val="00A92DF6"/>
    <w:rsid w:val="00A95BE1"/>
    <w:rsid w:val="00AC13A9"/>
    <w:rsid w:val="00AD55CE"/>
    <w:rsid w:val="00B0183E"/>
    <w:rsid w:val="00B065DC"/>
    <w:rsid w:val="00B339F9"/>
    <w:rsid w:val="00B33B72"/>
    <w:rsid w:val="00B63290"/>
    <w:rsid w:val="00B77154"/>
    <w:rsid w:val="00B82D71"/>
    <w:rsid w:val="00B96F6E"/>
    <w:rsid w:val="00BB243E"/>
    <w:rsid w:val="00BC4EA9"/>
    <w:rsid w:val="00C00C64"/>
    <w:rsid w:val="00C0210F"/>
    <w:rsid w:val="00C042DA"/>
    <w:rsid w:val="00C25612"/>
    <w:rsid w:val="00C60578"/>
    <w:rsid w:val="00CA40CD"/>
    <w:rsid w:val="00CE380E"/>
    <w:rsid w:val="00CF0E3F"/>
    <w:rsid w:val="00CF2ABC"/>
    <w:rsid w:val="00CF3963"/>
    <w:rsid w:val="00D11E04"/>
    <w:rsid w:val="00D11E78"/>
    <w:rsid w:val="00D20ED1"/>
    <w:rsid w:val="00D2711C"/>
    <w:rsid w:val="00D516FF"/>
    <w:rsid w:val="00D54163"/>
    <w:rsid w:val="00D57413"/>
    <w:rsid w:val="00D95C75"/>
    <w:rsid w:val="00E17A0D"/>
    <w:rsid w:val="00E81AE2"/>
    <w:rsid w:val="00EB47F7"/>
    <w:rsid w:val="00EB5E69"/>
    <w:rsid w:val="00EC3C9D"/>
    <w:rsid w:val="00F04C3A"/>
    <w:rsid w:val="00F075FF"/>
    <w:rsid w:val="00F42905"/>
    <w:rsid w:val="00F506AC"/>
    <w:rsid w:val="00F726C2"/>
    <w:rsid w:val="00F97E78"/>
    <w:rsid w:val="00FB6122"/>
    <w:rsid w:val="00FC53F2"/>
    <w:rsid w:val="00FE218D"/>
    <w:rsid w:val="00FE3AEC"/>
    <w:rsid w:val="00FF28AE"/>
    <w:rsid w:val="1A7183F4"/>
    <w:rsid w:val="79F2E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1"/>
    <o:shapelayout v:ext="edit">
      <o:idmap v:ext="edit" data="1"/>
    </o:shapelayout>
  </w:shapeDefaults>
  <w:decimalSymbol w:val="."/>
  <w:listSeparator w:val=","/>
  <w14:docId w14:val="2CEB8EBF"/>
  <w15:docId w15:val="{524DFDFB-D029-44FC-97B6-6F5E7605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C75"/>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UnresolvedMention">
    <w:name w:val="Unresolved Mention"/>
    <w:basedOn w:val="DefaultParagraphFont"/>
    <w:uiPriority w:val="99"/>
    <w:semiHidden/>
    <w:unhideWhenUsed/>
    <w:rsid w:val="00D11E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43769">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635675215">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gulliver@nhs.ne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Watson23@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btdbe.blob.core.windows.net/umbraco-assets-corp/3579/odt-organ-utilisation-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K57F673QWXRZ-1522804672-265</_dlc_DocId>
    <_dlc_DocIdUrl xmlns="cccaf3ac-2de9-44d4-aa31-54302fceb5f7">
      <Url>https://nhsengland.sharepoint.com/TeamCentre/Operations/SpecialisedCommissioning/TWA/Contracting/contracting1920/_layouts/15/DocIdRedir.aspx?ID=K57F673QWXRZ-1522804672-265</Url>
      <Description>K57F673QWXRZ-1522804672-265</Description>
    </_dlc_DocIdUrl>
    <SharedWithUsers xmlns="51367701-27c8-403e-a234-85855c5cd73e">
      <UserInfo>
        <DisplayName>Elosie Barnes</DisplayName>
        <AccountId>17437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21B15-52DD-49D8-9036-9BC5FEEA9226}">
  <ds:schemaRefs>
    <ds:schemaRef ds:uri="http://schemas.microsoft.com/sharepoint/events"/>
  </ds:schemaRefs>
</ds:datastoreItem>
</file>

<file path=customXml/itemProps2.xml><?xml version="1.0" encoding="utf-8"?>
<ds:datastoreItem xmlns:ds="http://schemas.openxmlformats.org/officeDocument/2006/customXml" ds:itemID="{960FFAFF-35E4-4893-BA8E-37BD2B973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87323-4B3F-4662-A941-BDF56DA6B7DD}">
  <ds:schemaRefs>
    <ds:schemaRef ds:uri="http://schemas.microsoft.com/office/2006/metadata/properties"/>
    <ds:schemaRef ds:uri="http://schemas.microsoft.com/office/infopath/2007/PartnerControls"/>
    <ds:schemaRef ds:uri="cccaf3ac-2de9-44d4-aa31-54302fceb5f7"/>
    <ds:schemaRef ds:uri="51367701-27c8-403e-a234-85855c5cd73e"/>
  </ds:schemaRefs>
</ds:datastoreItem>
</file>

<file path=customXml/itemProps4.xml><?xml version="1.0" encoding="utf-8"?>
<ds:datastoreItem xmlns:ds="http://schemas.openxmlformats.org/officeDocument/2006/customXml" ds:itemID="{34BC6160-706D-4E15-918B-69BBBE10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3205</Words>
  <Characters>18271</Characters>
  <Application>Microsoft Office Word</Application>
  <DocSecurity>0</DocSecurity>
  <Lines>152</Lines>
  <Paragraphs>42</Paragraphs>
  <ScaleCrop>false</ScaleCrop>
  <Company>IMS3</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Pirhabi, Nazmin</dc:creator>
  <cp:lastModifiedBy>Towers, Jennifer</cp:lastModifiedBy>
  <cp:revision>5</cp:revision>
  <dcterms:created xsi:type="dcterms:W3CDTF">2019-03-05T10:31:00Z</dcterms:created>
  <dcterms:modified xsi:type="dcterms:W3CDTF">2019-07-08T16:04:00Z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46b3dfde-4bbe-4529-9ef4-11277b0ac1b3</vt:lpwstr>
  </property>
  <property fmtid="{D5CDD505-2E9C-101B-9397-08002B2CF9AE}" pid="4" name="AuthorIds_UIVersion_512">
    <vt:lpwstr>4626</vt:lpwstr>
  </property>
</Properties>
</file>