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8BD39" w14:textId="1EB338C8" w:rsidR="003043C9" w:rsidRDefault="003043C9" w:rsidP="003043C9">
      <w:pPr>
        <w:pStyle w:val="Heading2"/>
        <w:numPr>
          <w:ilvl w:val="0"/>
          <w:numId w:val="0"/>
        </w:numPr>
        <w:jc w:val="right"/>
        <w:rPr>
          <w:rFonts w:cs="Arial"/>
          <w:color w:val="auto"/>
        </w:rPr>
      </w:pPr>
      <w:bookmarkStart w:id="0" w:name="_Toc444592572"/>
      <w:r>
        <w:rPr>
          <w:noProof/>
          <w:lang w:eastAsia="en-GB"/>
        </w:rPr>
        <w:drawing>
          <wp:inline distT="0" distB="0" distL="0" distR="0" wp14:anchorId="5C961092" wp14:editId="0406888F">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1827488E" w14:textId="3504EDEF"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361731C0" w14:textId="4C7FAA22"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52E3D68A" w14:textId="50EDD8BB" w:rsidR="00C134A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49BAF702" w14:textId="5ECE87E7" w:rsidR="00154269" w:rsidRPr="00687780" w:rsidRDefault="000E2FBD" w:rsidP="00AD55CE">
      <w:pPr>
        <w:pStyle w:val="Heading2"/>
        <w:numPr>
          <w:ilvl w:val="0"/>
          <w:numId w:val="0"/>
        </w:numPr>
        <w:rPr>
          <w:rFonts w:cs="Arial"/>
          <w:color w:val="auto"/>
        </w:rPr>
      </w:pPr>
      <w:r>
        <w:rPr>
          <w:rFonts w:cs="Arial"/>
          <w:color w:val="auto"/>
        </w:rPr>
        <w:t>PSS</w:t>
      </w:r>
      <w:r w:rsidR="00D81F23">
        <w:rPr>
          <w:rFonts w:cs="Arial"/>
          <w:color w:val="auto"/>
        </w:rPr>
        <w:t xml:space="preserve">3 </w:t>
      </w:r>
      <w:r w:rsidR="00EB176B" w:rsidRPr="00687780">
        <w:rPr>
          <w:rFonts w:cs="Arial"/>
          <w:color w:val="auto"/>
        </w:rPr>
        <w:t>Cystic Fibrosis</w:t>
      </w:r>
      <w:r w:rsidR="00CA40CD" w:rsidRPr="00687780">
        <w:rPr>
          <w:rFonts w:cs="Arial"/>
          <w:color w:val="auto"/>
        </w:rPr>
        <w:t xml:space="preserve"> </w:t>
      </w:r>
      <w:bookmarkEnd w:id="0"/>
      <w:r w:rsidR="00B518A2">
        <w:rPr>
          <w:rFonts w:cs="Arial"/>
          <w:color w:val="auto"/>
        </w:rPr>
        <w:t>Self-care</w:t>
      </w:r>
      <w:r w:rsidR="00CD0815">
        <w:rPr>
          <w:rFonts w:cs="Arial"/>
          <w:color w:val="auto"/>
        </w:rPr>
        <w:t xml:space="preserve"> </w:t>
      </w:r>
      <w:r w:rsidR="00CD0815" w:rsidRPr="00CD0815">
        <w:rPr>
          <w:rFonts w:cs="Arial"/>
          <w:color w:val="auto"/>
          <w:sz w:val="24"/>
        </w:rPr>
        <w:t>(v2 revised 05 July 2019)</w:t>
      </w:r>
      <w:bookmarkStart w:id="1" w:name="_GoBack"/>
      <w:bookmarkEnd w:id="1"/>
    </w:p>
    <w:tbl>
      <w:tblPr>
        <w:tblStyle w:val="TableGrid"/>
        <w:tblW w:w="5349" w:type="pct"/>
        <w:tblLayout w:type="fixed"/>
        <w:tblLook w:val="04A0" w:firstRow="1" w:lastRow="0" w:firstColumn="1" w:lastColumn="0" w:noHBand="0" w:noVBand="1"/>
      </w:tblPr>
      <w:tblGrid>
        <w:gridCol w:w="2319"/>
        <w:gridCol w:w="1103"/>
        <w:gridCol w:w="6090"/>
        <w:gridCol w:w="133"/>
      </w:tblGrid>
      <w:tr w:rsidR="00154269" w:rsidRPr="000412A1" w14:paraId="41B2647B" w14:textId="77777777" w:rsidTr="007442F8">
        <w:trPr>
          <w:gridAfter w:val="1"/>
          <w:wAfter w:w="70" w:type="pct"/>
        </w:trPr>
        <w:tc>
          <w:tcPr>
            <w:tcW w:w="1202" w:type="pct"/>
            <w:shd w:val="clear" w:color="auto" w:fill="4F81BD" w:themeFill="accent1"/>
          </w:tcPr>
          <w:p w14:paraId="24A2D2A8"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15784316" w14:textId="0B1148BE" w:rsidR="00154269" w:rsidRPr="00CA40CD" w:rsidRDefault="00B518A2" w:rsidP="00EB176B">
            <w:pPr>
              <w:rPr>
                <w:rFonts w:cs="Arial"/>
                <w:b/>
                <w:i/>
                <w:color w:val="FFFFFF" w:themeColor="background1"/>
                <w:szCs w:val="24"/>
              </w:rPr>
            </w:pPr>
            <w:r>
              <w:rPr>
                <w:rFonts w:cs="Arial"/>
                <w:b/>
                <w:i/>
                <w:color w:val="FFFFFF" w:themeColor="background1"/>
                <w:szCs w:val="24"/>
              </w:rPr>
              <w:t>Cystic Fibrosis: Supporting Self-care</w:t>
            </w:r>
          </w:p>
        </w:tc>
      </w:tr>
      <w:tr w:rsidR="00326B23" w:rsidRPr="000412A1" w14:paraId="7DA862A5" w14:textId="77777777" w:rsidTr="007442F8">
        <w:trPr>
          <w:gridAfter w:val="1"/>
          <w:wAfter w:w="70" w:type="pct"/>
        </w:trPr>
        <w:tc>
          <w:tcPr>
            <w:tcW w:w="4930" w:type="pct"/>
            <w:gridSpan w:val="3"/>
            <w:shd w:val="clear" w:color="auto" w:fill="BFBFBF" w:themeFill="background1" w:themeFillShade="BF"/>
          </w:tcPr>
          <w:p w14:paraId="73C59314" w14:textId="77777777" w:rsidR="00326B23" w:rsidRPr="00C042DA" w:rsidRDefault="00326B23" w:rsidP="0003373B">
            <w:pPr>
              <w:pStyle w:val="ListParagraph"/>
              <w:numPr>
                <w:ilvl w:val="0"/>
                <w:numId w:val="3"/>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5F45C0BD" w14:textId="77777777" w:rsidTr="007442F8">
        <w:trPr>
          <w:gridAfter w:val="1"/>
          <w:wAfter w:w="70" w:type="pct"/>
        </w:trPr>
        <w:tc>
          <w:tcPr>
            <w:tcW w:w="1202" w:type="pct"/>
            <w:shd w:val="clear" w:color="auto" w:fill="D9D9D9" w:themeFill="background1" w:themeFillShade="D9"/>
          </w:tcPr>
          <w:p w14:paraId="3FDD41DD" w14:textId="77777777" w:rsidR="00023708" w:rsidRDefault="00023708" w:rsidP="0084461B">
            <w:pPr>
              <w:rPr>
                <w:rFonts w:cs="Arial"/>
                <w:szCs w:val="24"/>
              </w:rPr>
            </w:pPr>
            <w:r>
              <w:rPr>
                <w:rFonts w:cs="Arial"/>
                <w:szCs w:val="24"/>
              </w:rPr>
              <w:t>Indicator Sponsor (with email address)</w:t>
            </w:r>
          </w:p>
        </w:tc>
        <w:tc>
          <w:tcPr>
            <w:tcW w:w="3729" w:type="pct"/>
            <w:gridSpan w:val="2"/>
          </w:tcPr>
          <w:p w14:paraId="263480BF" w14:textId="77777777" w:rsidR="00023708" w:rsidRDefault="008B4525" w:rsidP="0084461B">
            <w:pPr>
              <w:rPr>
                <w:rFonts w:cs="Arial"/>
                <w:i/>
                <w:szCs w:val="24"/>
              </w:rPr>
            </w:pPr>
            <w:r>
              <w:rPr>
                <w:rFonts w:cs="Arial"/>
                <w:i/>
                <w:szCs w:val="24"/>
              </w:rPr>
              <w:t xml:space="preserve">Dr Martin Wildman   </w:t>
            </w:r>
          </w:p>
          <w:p w14:paraId="473BE179" w14:textId="77777777" w:rsidR="008B4525" w:rsidRDefault="00CD0815" w:rsidP="0084461B">
            <w:pPr>
              <w:rPr>
                <w:rFonts w:cs="Arial"/>
                <w:i/>
                <w:szCs w:val="24"/>
              </w:rPr>
            </w:pPr>
            <w:hyperlink r:id="rId13" w:history="1">
              <w:r w:rsidR="008B4525" w:rsidRPr="00FF5E80">
                <w:rPr>
                  <w:rStyle w:val="Hyperlink"/>
                  <w:rFonts w:cs="Arial"/>
                  <w:i/>
                  <w:szCs w:val="24"/>
                </w:rPr>
                <w:t>martin.wildman@sth.nhs.uk</w:t>
              </w:r>
            </w:hyperlink>
            <w:r w:rsidR="008B4525">
              <w:rPr>
                <w:rFonts w:cs="Arial"/>
                <w:i/>
                <w:szCs w:val="24"/>
              </w:rPr>
              <w:t xml:space="preserve"> </w:t>
            </w:r>
          </w:p>
        </w:tc>
      </w:tr>
      <w:tr w:rsidR="00822294" w:rsidRPr="000412A1" w14:paraId="68A66D13" w14:textId="77777777" w:rsidTr="007442F8">
        <w:trPr>
          <w:gridAfter w:val="1"/>
          <w:wAfter w:w="70" w:type="pct"/>
        </w:trPr>
        <w:tc>
          <w:tcPr>
            <w:tcW w:w="1202" w:type="pct"/>
            <w:shd w:val="clear" w:color="auto" w:fill="D9D9D9" w:themeFill="background1" w:themeFillShade="D9"/>
          </w:tcPr>
          <w:p w14:paraId="11FFEE13" w14:textId="3A3A0049" w:rsidR="00822294" w:rsidRPr="000412A1" w:rsidRDefault="00C134AD" w:rsidP="0084461B">
            <w:pPr>
              <w:rPr>
                <w:rFonts w:cs="Arial"/>
                <w:szCs w:val="24"/>
              </w:rPr>
            </w:pPr>
            <w:r>
              <w:rPr>
                <w:rFonts w:cs="Arial"/>
                <w:szCs w:val="24"/>
              </w:rPr>
              <w:t xml:space="preserve">Improving </w:t>
            </w:r>
            <w:proofErr w:type="gramStart"/>
            <w:r>
              <w:rPr>
                <w:rFonts w:cs="Arial"/>
                <w:szCs w:val="24"/>
              </w:rPr>
              <w:t xml:space="preserve">Value </w:t>
            </w:r>
            <w:r w:rsidR="00822294">
              <w:rPr>
                <w:rFonts w:cs="Arial"/>
                <w:szCs w:val="24"/>
              </w:rPr>
              <w:t xml:space="preserve"> Reference</w:t>
            </w:r>
            <w:proofErr w:type="gramEnd"/>
          </w:p>
        </w:tc>
        <w:tc>
          <w:tcPr>
            <w:tcW w:w="3729" w:type="pct"/>
            <w:gridSpan w:val="2"/>
          </w:tcPr>
          <w:p w14:paraId="225D1975" w14:textId="774F022E" w:rsidR="00822294" w:rsidRPr="00CA40CD" w:rsidRDefault="00057E1D" w:rsidP="0084461B">
            <w:pPr>
              <w:rPr>
                <w:rFonts w:cs="Arial"/>
                <w:i/>
                <w:szCs w:val="24"/>
              </w:rPr>
            </w:pPr>
            <w:r>
              <w:rPr>
                <w:rFonts w:cs="Arial"/>
                <w:i/>
                <w:szCs w:val="24"/>
              </w:rPr>
              <w:t>N/A</w:t>
            </w:r>
          </w:p>
        </w:tc>
      </w:tr>
      <w:tr w:rsidR="00822294" w:rsidRPr="000412A1" w14:paraId="285B648B" w14:textId="77777777" w:rsidTr="007442F8">
        <w:trPr>
          <w:gridAfter w:val="1"/>
          <w:wAfter w:w="70" w:type="pct"/>
        </w:trPr>
        <w:tc>
          <w:tcPr>
            <w:tcW w:w="1202" w:type="pct"/>
            <w:shd w:val="clear" w:color="auto" w:fill="D9D9D9" w:themeFill="background1" w:themeFillShade="D9"/>
          </w:tcPr>
          <w:p w14:paraId="53B36E5B" w14:textId="77777777" w:rsidR="00822294" w:rsidRPr="000412A1" w:rsidRDefault="00822294" w:rsidP="0084461B">
            <w:pPr>
              <w:rPr>
                <w:rFonts w:cs="Arial"/>
                <w:szCs w:val="24"/>
              </w:rPr>
            </w:pPr>
            <w:r w:rsidRPr="000412A1">
              <w:rPr>
                <w:rFonts w:cs="Arial"/>
                <w:szCs w:val="24"/>
              </w:rPr>
              <w:t>Duration</w:t>
            </w:r>
          </w:p>
        </w:tc>
        <w:tc>
          <w:tcPr>
            <w:tcW w:w="3729" w:type="pct"/>
            <w:gridSpan w:val="2"/>
          </w:tcPr>
          <w:p w14:paraId="259D8DF3" w14:textId="03CCC35F" w:rsidR="00822294" w:rsidRPr="00CA40CD" w:rsidRDefault="00472DD9" w:rsidP="001F421F">
            <w:pPr>
              <w:rPr>
                <w:rFonts w:cs="Arial"/>
                <w:i/>
                <w:szCs w:val="24"/>
              </w:rPr>
            </w:pPr>
            <w:r>
              <w:rPr>
                <w:rFonts w:cs="Arial"/>
                <w:szCs w:val="24"/>
              </w:rPr>
              <w:t>One year</w:t>
            </w:r>
            <w:r w:rsidR="00822294" w:rsidRPr="009B60A2">
              <w:rPr>
                <w:rFonts w:cs="Arial"/>
                <w:szCs w:val="24"/>
              </w:rPr>
              <w:t>.</w:t>
            </w:r>
          </w:p>
        </w:tc>
      </w:tr>
      <w:tr w:rsidR="00B77154" w:rsidRPr="000412A1" w14:paraId="67A95AAD" w14:textId="77777777" w:rsidTr="007442F8">
        <w:trPr>
          <w:gridAfter w:val="1"/>
          <w:wAfter w:w="70" w:type="pct"/>
        </w:trPr>
        <w:tc>
          <w:tcPr>
            <w:tcW w:w="1202" w:type="pct"/>
            <w:shd w:val="clear" w:color="auto" w:fill="D9D9D9" w:themeFill="background1" w:themeFillShade="D9"/>
          </w:tcPr>
          <w:p w14:paraId="552CE3FD" w14:textId="77777777" w:rsidR="00B77154" w:rsidRPr="000412A1" w:rsidRDefault="00B77154" w:rsidP="0084461B">
            <w:pPr>
              <w:rPr>
                <w:rFonts w:cs="Arial"/>
                <w:szCs w:val="24"/>
              </w:rPr>
            </w:pPr>
            <w:r>
              <w:rPr>
                <w:rFonts w:cs="Arial"/>
                <w:szCs w:val="24"/>
              </w:rPr>
              <w:t>CCG Complementarity</w:t>
            </w:r>
          </w:p>
        </w:tc>
        <w:tc>
          <w:tcPr>
            <w:tcW w:w="3729" w:type="pct"/>
            <w:gridSpan w:val="2"/>
          </w:tcPr>
          <w:p w14:paraId="3633434B" w14:textId="5E635098" w:rsidR="00B77154" w:rsidRPr="00B77154" w:rsidRDefault="00057E1D" w:rsidP="00052447">
            <w:pPr>
              <w:rPr>
                <w:rFonts w:cs="Arial"/>
                <w:i/>
                <w:szCs w:val="24"/>
              </w:rPr>
            </w:pPr>
            <w:r>
              <w:rPr>
                <w:rFonts w:cs="Arial"/>
                <w:i/>
                <w:szCs w:val="24"/>
              </w:rPr>
              <w:t>N/A</w:t>
            </w:r>
          </w:p>
        </w:tc>
      </w:tr>
      <w:tr w:rsidR="00C042DA" w:rsidRPr="000412A1" w14:paraId="712E8F29" w14:textId="77777777" w:rsidTr="007442F8">
        <w:trPr>
          <w:gridAfter w:val="1"/>
          <w:wAfter w:w="70" w:type="pct"/>
          <w:trHeight w:val="1365"/>
        </w:trPr>
        <w:tc>
          <w:tcPr>
            <w:tcW w:w="4930" w:type="pct"/>
            <w:gridSpan w:val="3"/>
          </w:tcPr>
          <w:p w14:paraId="657C058F" w14:textId="77777777" w:rsidR="0054589F" w:rsidRDefault="00CE35D1" w:rsidP="007372C5">
            <w:pPr>
              <w:rPr>
                <w:sz w:val="20"/>
                <w:szCs w:val="20"/>
              </w:rPr>
            </w:pPr>
            <w:r>
              <w:rPr>
                <w:sz w:val="20"/>
                <w:szCs w:val="20"/>
              </w:rPr>
              <w:t xml:space="preserve"> </w:t>
            </w:r>
          </w:p>
          <w:p w14:paraId="484E829B" w14:textId="77777777" w:rsidR="0054589F" w:rsidRDefault="0054589F" w:rsidP="0054589F">
            <w:pPr>
              <w:rPr>
                <w:rFonts w:cs="Arial"/>
                <w:b/>
                <w:szCs w:val="24"/>
              </w:rPr>
            </w:pPr>
            <w:r w:rsidRPr="00326B23">
              <w:rPr>
                <w:rFonts w:cs="Arial"/>
                <w:b/>
                <w:szCs w:val="24"/>
                <w:u w:val="single"/>
              </w:rPr>
              <w:t>Problem to be addressed</w:t>
            </w:r>
            <w:r>
              <w:rPr>
                <w:rFonts w:cs="Arial"/>
                <w:b/>
                <w:szCs w:val="24"/>
                <w:u w:val="single"/>
              </w:rPr>
              <w:t xml:space="preserve"> (maximum 150 words)</w:t>
            </w:r>
            <w:r w:rsidRPr="00A95BE1">
              <w:rPr>
                <w:rFonts w:cs="Arial"/>
                <w:b/>
                <w:szCs w:val="24"/>
              </w:rPr>
              <w:t>:</w:t>
            </w:r>
          </w:p>
          <w:p w14:paraId="78D5B523" w14:textId="77777777" w:rsidR="00472DD9" w:rsidRPr="00D46AE5" w:rsidRDefault="00472DD9" w:rsidP="00472DD9">
            <w:pPr>
              <w:rPr>
                <w:rFonts w:cs="Arial"/>
                <w:b/>
                <w:color w:val="FF0000"/>
                <w:szCs w:val="24"/>
              </w:rPr>
            </w:pPr>
            <w:r w:rsidRPr="00D46AE5">
              <w:rPr>
                <w:rFonts w:cs="Arial"/>
                <w:b/>
                <w:i/>
                <w:color w:val="FF0000"/>
                <w:szCs w:val="24"/>
              </w:rPr>
              <w:t>[</w:t>
            </w:r>
            <w:r w:rsidRPr="00D46AE5">
              <w:rPr>
                <w:rFonts w:cs="Arial"/>
                <w:i/>
                <w:color w:val="FF0000"/>
                <w:szCs w:val="24"/>
              </w:rPr>
              <w:t>Briefly characterise the shortfall in quality or efficiency that the indicator is designed to address; detailed evidence should be placed in section D1</w:t>
            </w:r>
            <w:r w:rsidRPr="00D46AE5">
              <w:rPr>
                <w:rFonts w:cs="Arial"/>
                <w:b/>
                <w:i/>
                <w:color w:val="FF0000"/>
                <w:szCs w:val="24"/>
              </w:rPr>
              <w:t>]</w:t>
            </w:r>
            <w:r w:rsidRPr="00D46AE5">
              <w:rPr>
                <w:rFonts w:cs="Arial"/>
                <w:b/>
                <w:color w:val="FF0000"/>
                <w:szCs w:val="24"/>
              </w:rPr>
              <w:t xml:space="preserve"> </w:t>
            </w:r>
          </w:p>
          <w:p w14:paraId="06762C58" w14:textId="77777777" w:rsidR="0054589F" w:rsidRDefault="0054589F" w:rsidP="007372C5">
            <w:pPr>
              <w:rPr>
                <w:sz w:val="20"/>
                <w:szCs w:val="20"/>
              </w:rPr>
            </w:pPr>
          </w:p>
          <w:p w14:paraId="5FA5A818" w14:textId="5AC7081C" w:rsidR="00147BCC" w:rsidRPr="00C66EF1" w:rsidRDefault="00CE35D1" w:rsidP="007372C5">
            <w:pPr>
              <w:rPr>
                <w:szCs w:val="24"/>
              </w:rPr>
            </w:pPr>
            <w:r w:rsidRPr="00472DD9">
              <w:rPr>
                <w:szCs w:val="24"/>
              </w:rPr>
              <w:t>CF numbers are increasing by around 200 adults per year (equivalent</w:t>
            </w:r>
            <w:r w:rsidR="00B40790">
              <w:rPr>
                <w:szCs w:val="24"/>
              </w:rPr>
              <w:t xml:space="preserve"> </w:t>
            </w:r>
            <w:r w:rsidR="00AE3F74">
              <w:rPr>
                <w:szCs w:val="24"/>
              </w:rPr>
              <w:t xml:space="preserve">to </w:t>
            </w:r>
            <w:r w:rsidR="00AE3F74" w:rsidRPr="00472DD9">
              <w:rPr>
                <w:szCs w:val="24"/>
              </w:rPr>
              <w:t>a</w:t>
            </w:r>
            <w:r w:rsidRPr="00472DD9">
              <w:rPr>
                <w:szCs w:val="24"/>
              </w:rPr>
              <w:t xml:space="preserve"> new adult unit</w:t>
            </w:r>
            <w:r w:rsidR="00AD3F8D">
              <w:rPr>
                <w:szCs w:val="24"/>
              </w:rPr>
              <w:t xml:space="preserve"> annually)</w:t>
            </w:r>
            <w:r w:rsidRPr="00472DD9">
              <w:rPr>
                <w:szCs w:val="24"/>
              </w:rPr>
              <w:t xml:space="preserve"> with rapid cost increases for providers inevita</w:t>
            </w:r>
            <w:r w:rsidR="00AD3F8D">
              <w:rPr>
                <w:szCs w:val="24"/>
              </w:rPr>
              <w:t>ble unless practice changes. A</w:t>
            </w:r>
            <w:r w:rsidRPr="00472DD9">
              <w:rPr>
                <w:szCs w:val="24"/>
              </w:rPr>
              <w:t xml:space="preserve"> major </w:t>
            </w:r>
            <w:r w:rsidR="00AD3F8D" w:rsidRPr="00472DD9">
              <w:rPr>
                <w:szCs w:val="24"/>
              </w:rPr>
              <w:t>driver of CF costs is</w:t>
            </w:r>
            <w:r w:rsidRPr="00472DD9">
              <w:rPr>
                <w:szCs w:val="24"/>
              </w:rPr>
              <w:t xml:space="preserve"> hospital admissions for rescue therapy</w:t>
            </w:r>
            <w:r w:rsidR="00AD3F8D">
              <w:rPr>
                <w:szCs w:val="24"/>
              </w:rPr>
              <w:t>. Median a</w:t>
            </w:r>
            <w:r w:rsidRPr="00472DD9">
              <w:rPr>
                <w:szCs w:val="24"/>
              </w:rPr>
              <w:t>dherence to the medicines that p</w:t>
            </w:r>
            <w:r w:rsidR="00AD3F8D">
              <w:rPr>
                <w:szCs w:val="24"/>
              </w:rPr>
              <w:t xml:space="preserve">revent exacerbations leading to hospital admission is 36%. Drugs that are not taken are </w:t>
            </w:r>
            <w:r w:rsidR="007372C5" w:rsidRPr="00472DD9">
              <w:rPr>
                <w:szCs w:val="24"/>
              </w:rPr>
              <w:t xml:space="preserve">ineffective so that </w:t>
            </w:r>
            <w:r w:rsidR="00AD3F8D">
              <w:rPr>
                <w:szCs w:val="24"/>
              </w:rPr>
              <w:t xml:space="preserve">poor adherence leads to </w:t>
            </w:r>
            <w:r w:rsidRPr="00472DD9">
              <w:rPr>
                <w:szCs w:val="24"/>
              </w:rPr>
              <w:t>l</w:t>
            </w:r>
            <w:r w:rsidR="002B11D3" w:rsidRPr="00472DD9">
              <w:rPr>
                <w:szCs w:val="24"/>
              </w:rPr>
              <w:t>ives</w:t>
            </w:r>
            <w:r w:rsidR="00AD3F8D">
              <w:rPr>
                <w:szCs w:val="24"/>
              </w:rPr>
              <w:t xml:space="preserve"> that</w:t>
            </w:r>
            <w:r w:rsidR="002B11D3" w:rsidRPr="00472DD9">
              <w:rPr>
                <w:szCs w:val="24"/>
              </w:rPr>
              <w:t xml:space="preserve"> are disrupted and shortened by avoidable hospital admissions for expensive</w:t>
            </w:r>
            <w:r w:rsidR="007A0CED" w:rsidRPr="00472DD9">
              <w:rPr>
                <w:szCs w:val="24"/>
              </w:rPr>
              <w:t xml:space="preserve">, </w:t>
            </w:r>
            <w:r w:rsidR="002B11D3" w:rsidRPr="00472DD9">
              <w:rPr>
                <w:szCs w:val="24"/>
              </w:rPr>
              <w:t>risky rescue therapy.</w:t>
            </w:r>
            <w:r w:rsidR="00C66EF1">
              <w:rPr>
                <w:szCs w:val="24"/>
              </w:rPr>
              <w:t xml:space="preserve"> This CQUIN aims to support changes in clinician and patient behavi</w:t>
            </w:r>
            <w:r w:rsidR="00C808D3">
              <w:rPr>
                <w:szCs w:val="24"/>
              </w:rPr>
              <w:t>our that will transform CF</w:t>
            </w:r>
            <w:r w:rsidR="00C66EF1">
              <w:rPr>
                <w:szCs w:val="24"/>
              </w:rPr>
              <w:t xml:space="preserve"> care from </w:t>
            </w:r>
            <w:r w:rsidR="00C808D3">
              <w:rPr>
                <w:szCs w:val="24"/>
              </w:rPr>
              <w:t xml:space="preserve">an emphasis on clinician led </w:t>
            </w:r>
            <w:r w:rsidR="00C66EF1">
              <w:rPr>
                <w:szCs w:val="24"/>
              </w:rPr>
              <w:t xml:space="preserve">reactive </w:t>
            </w:r>
            <w:proofErr w:type="gramStart"/>
            <w:r w:rsidR="00C66EF1">
              <w:rPr>
                <w:szCs w:val="24"/>
              </w:rPr>
              <w:t>hospital based</w:t>
            </w:r>
            <w:proofErr w:type="gramEnd"/>
            <w:r w:rsidR="00C66EF1">
              <w:rPr>
                <w:szCs w:val="24"/>
              </w:rPr>
              <w:t xml:space="preserve"> rescue to patient led community based prevention</w:t>
            </w:r>
            <w:r w:rsidR="00AD3F8D">
              <w:rPr>
                <w:szCs w:val="24"/>
              </w:rPr>
              <w:t>. These changes will save money and free</w:t>
            </w:r>
            <w:r w:rsidR="00B40790">
              <w:rPr>
                <w:szCs w:val="24"/>
              </w:rPr>
              <w:t xml:space="preserve"> up hospital beds to manage increasing numbers of adults with CF</w:t>
            </w:r>
            <w:r w:rsidR="00AE3F74">
              <w:rPr>
                <w:szCs w:val="24"/>
              </w:rPr>
              <w:t xml:space="preserve"> within the existing bed stock</w:t>
            </w:r>
            <w:r w:rsidR="00AD3F8D">
              <w:rPr>
                <w:szCs w:val="24"/>
              </w:rPr>
              <w:t xml:space="preserve"> whilst enhancing patient quality of life. </w:t>
            </w:r>
          </w:p>
        </w:tc>
      </w:tr>
      <w:tr w:rsidR="00326B23" w:rsidRPr="000412A1" w14:paraId="30EB4FC6" w14:textId="77777777" w:rsidTr="007442F8">
        <w:trPr>
          <w:gridAfter w:val="1"/>
          <w:wAfter w:w="70" w:type="pct"/>
        </w:trPr>
        <w:tc>
          <w:tcPr>
            <w:tcW w:w="4930" w:type="pct"/>
            <w:gridSpan w:val="3"/>
          </w:tcPr>
          <w:p w14:paraId="5D5C7A4E" w14:textId="77777777" w:rsidR="0054589F" w:rsidRDefault="0054589F" w:rsidP="002B11D3">
            <w:pPr>
              <w:jc w:val="center"/>
              <w:rPr>
                <w:rFonts w:cs="Arial"/>
                <w:b/>
                <w:sz w:val="18"/>
                <w:szCs w:val="18"/>
                <w:u w:val="single"/>
              </w:rPr>
            </w:pPr>
          </w:p>
          <w:p w14:paraId="32031D4D" w14:textId="77777777" w:rsidR="00472DD9" w:rsidRPr="00326B23" w:rsidRDefault="00472DD9" w:rsidP="00472DD9">
            <w:pPr>
              <w:rPr>
                <w:rFonts w:cs="Arial"/>
                <w:b/>
                <w:szCs w:val="24"/>
                <w:u w:val="single"/>
              </w:rPr>
            </w:pPr>
            <w:r w:rsidRPr="00326B23">
              <w:rPr>
                <w:rFonts w:cs="Arial"/>
                <w:b/>
                <w:szCs w:val="24"/>
                <w:u w:val="single"/>
              </w:rPr>
              <w:t>Change sought:</w:t>
            </w:r>
          </w:p>
          <w:p w14:paraId="3C87DAAE" w14:textId="77777777" w:rsidR="00472DD9" w:rsidRPr="00A95BE1" w:rsidRDefault="00472DD9" w:rsidP="00472DD9">
            <w:pPr>
              <w:rPr>
                <w:rFonts w:cs="Arial"/>
                <w:b/>
                <w:i/>
                <w:szCs w:val="24"/>
              </w:rPr>
            </w:pPr>
            <w:r w:rsidRPr="004E377A">
              <w:rPr>
                <w:rFonts w:cs="Arial"/>
                <w:i/>
                <w:color w:val="FF0000"/>
                <w:szCs w:val="24"/>
              </w:rPr>
              <w:t>[Specify what change in behaviour is sought in general terms</w:t>
            </w:r>
            <w:r>
              <w:rPr>
                <w:rFonts w:cs="Arial"/>
                <w:i/>
                <w:color w:val="FF0000"/>
                <w:szCs w:val="24"/>
              </w:rPr>
              <w:t>, with detailed specification set out in section C</w:t>
            </w:r>
            <w:r w:rsidRPr="00D46AE5">
              <w:rPr>
                <w:rFonts w:cs="Arial"/>
                <w:i/>
                <w:color w:val="FF0000"/>
                <w:szCs w:val="24"/>
              </w:rPr>
              <w:t>4</w:t>
            </w:r>
            <w:r w:rsidRPr="00D46AE5">
              <w:rPr>
                <w:rFonts w:cs="Arial"/>
                <w:b/>
                <w:i/>
                <w:color w:val="FF0000"/>
                <w:szCs w:val="24"/>
              </w:rPr>
              <w:t xml:space="preserve">.] </w:t>
            </w:r>
          </w:p>
          <w:p w14:paraId="30BD20CE" w14:textId="1EE992D8" w:rsidR="0054589F" w:rsidRDefault="008948D6" w:rsidP="0054589F">
            <w:pPr>
              <w:rPr>
                <w:szCs w:val="24"/>
              </w:rPr>
            </w:pPr>
            <w:r>
              <w:rPr>
                <w:szCs w:val="24"/>
              </w:rPr>
              <w:t>A £2.4</w:t>
            </w:r>
            <w:r w:rsidR="0054589F" w:rsidRPr="00472DD9">
              <w:rPr>
                <w:szCs w:val="24"/>
              </w:rPr>
              <w:t xml:space="preserve"> million</w:t>
            </w:r>
            <w:r w:rsidR="00C808D3">
              <w:rPr>
                <w:szCs w:val="24"/>
              </w:rPr>
              <w:t xml:space="preserve"> NIHR programme has developed a digital</w:t>
            </w:r>
            <w:r w:rsidR="0054589F" w:rsidRPr="00472DD9">
              <w:rPr>
                <w:szCs w:val="24"/>
              </w:rPr>
              <w:t xml:space="preserve"> information technology platform, </w:t>
            </w:r>
            <w:proofErr w:type="spellStart"/>
            <w:r w:rsidR="0054589F" w:rsidRPr="00472DD9">
              <w:rPr>
                <w:szCs w:val="24"/>
              </w:rPr>
              <w:t>CFHealthHub</w:t>
            </w:r>
            <w:proofErr w:type="spellEnd"/>
            <w:r w:rsidR="00F373E4">
              <w:rPr>
                <w:szCs w:val="24"/>
              </w:rPr>
              <w:t xml:space="preserve"> (CFHH)</w:t>
            </w:r>
            <w:r w:rsidR="0054589F" w:rsidRPr="00472DD9">
              <w:rPr>
                <w:szCs w:val="24"/>
              </w:rPr>
              <w:t>, that automatically collects adherence data, makes that data available to people with CF and their clinical teams to create a learning health system that transforms CF care through behaviour change interventions that create clinician and patient activation and support system wide medicines optimisation</w:t>
            </w:r>
            <w:r w:rsidR="001B157E">
              <w:rPr>
                <w:szCs w:val="24"/>
              </w:rPr>
              <w:t>.</w:t>
            </w:r>
            <w:r w:rsidR="0054589F" w:rsidRPr="00472DD9">
              <w:rPr>
                <w:szCs w:val="24"/>
              </w:rPr>
              <w:t xml:space="preserve"> Health economic modelling suggests that implementing a learning health system </w:t>
            </w:r>
            <w:r w:rsidR="00AE3F74">
              <w:rPr>
                <w:szCs w:val="24"/>
              </w:rPr>
              <w:t xml:space="preserve">supporting an improvement collaborative </w:t>
            </w:r>
            <w:r w:rsidR="0054589F" w:rsidRPr="00472DD9">
              <w:rPr>
                <w:szCs w:val="24"/>
              </w:rPr>
              <w:t>that moves the system from rescue t</w:t>
            </w:r>
            <w:r w:rsidR="00682184">
              <w:rPr>
                <w:szCs w:val="24"/>
              </w:rPr>
              <w:t>o prevention could potentially</w:t>
            </w:r>
            <w:r w:rsidR="0054589F" w:rsidRPr="00472DD9">
              <w:rPr>
                <w:szCs w:val="24"/>
              </w:rPr>
              <w:t xml:space="preserve"> save around £100 million over 5 years</w:t>
            </w:r>
            <w:r w:rsidR="00682184">
              <w:rPr>
                <w:szCs w:val="24"/>
              </w:rPr>
              <w:t xml:space="preserve"> across all adults with CF</w:t>
            </w:r>
            <w:r w:rsidR="0054589F" w:rsidRPr="00472DD9">
              <w:rPr>
                <w:szCs w:val="24"/>
              </w:rPr>
              <w:t>.</w:t>
            </w:r>
          </w:p>
          <w:p w14:paraId="0D31371A" w14:textId="77777777" w:rsidR="00AE3F74" w:rsidRDefault="00AE3F74" w:rsidP="0054589F">
            <w:pPr>
              <w:rPr>
                <w:szCs w:val="24"/>
              </w:rPr>
            </w:pPr>
          </w:p>
          <w:p w14:paraId="341B8589" w14:textId="77777777" w:rsidR="00AE3F74" w:rsidRDefault="00AE3F74" w:rsidP="0054589F">
            <w:pPr>
              <w:rPr>
                <w:szCs w:val="24"/>
              </w:rPr>
            </w:pPr>
          </w:p>
          <w:p w14:paraId="1EDEAF3D" w14:textId="77777777" w:rsidR="00AE3F74" w:rsidRPr="00472DD9" w:rsidRDefault="00AE3F74" w:rsidP="0054589F">
            <w:pPr>
              <w:rPr>
                <w:rFonts w:cs="Arial"/>
                <w:b/>
                <w:szCs w:val="24"/>
                <w:u w:val="single"/>
              </w:rPr>
            </w:pPr>
          </w:p>
          <w:p w14:paraId="3C4018FA" w14:textId="77777777" w:rsidR="0054589F" w:rsidRDefault="0054589F" w:rsidP="002B11D3">
            <w:pPr>
              <w:jc w:val="center"/>
              <w:rPr>
                <w:rFonts w:cs="Arial"/>
                <w:b/>
                <w:sz w:val="18"/>
                <w:szCs w:val="18"/>
                <w:u w:val="single"/>
              </w:rPr>
            </w:pPr>
          </w:p>
          <w:p w14:paraId="4DDA1074" w14:textId="7B21A343" w:rsidR="002B11D3" w:rsidRPr="00162C52" w:rsidRDefault="00B819FE" w:rsidP="002B11D3">
            <w:pPr>
              <w:jc w:val="center"/>
              <w:rPr>
                <w:rFonts w:cs="Arial"/>
                <w:b/>
                <w:sz w:val="18"/>
                <w:szCs w:val="18"/>
                <w:u w:val="single"/>
              </w:rPr>
            </w:pPr>
            <w:proofErr w:type="spellStart"/>
            <w:r w:rsidRPr="00162C52">
              <w:rPr>
                <w:rFonts w:cs="Arial"/>
                <w:b/>
                <w:sz w:val="18"/>
                <w:szCs w:val="18"/>
                <w:u w:val="single"/>
              </w:rPr>
              <w:t>CFHealthHub</w:t>
            </w:r>
            <w:proofErr w:type="spellEnd"/>
            <w:r w:rsidRPr="00162C52">
              <w:rPr>
                <w:rFonts w:cs="Arial"/>
                <w:b/>
                <w:sz w:val="18"/>
                <w:szCs w:val="18"/>
                <w:u w:val="single"/>
              </w:rPr>
              <w:t>: a</w:t>
            </w:r>
            <w:r w:rsidR="002B11D3" w:rsidRPr="00162C52">
              <w:rPr>
                <w:rFonts w:cs="Arial"/>
                <w:b/>
                <w:sz w:val="18"/>
                <w:szCs w:val="18"/>
                <w:u w:val="single"/>
              </w:rPr>
              <w:t xml:space="preserve"> multicomponent programme </w:t>
            </w:r>
            <w:r w:rsidR="00162C52">
              <w:rPr>
                <w:rFonts w:cs="Arial"/>
                <w:b/>
                <w:sz w:val="18"/>
                <w:szCs w:val="18"/>
                <w:u w:val="single"/>
              </w:rPr>
              <w:t xml:space="preserve">in continuous </w:t>
            </w:r>
            <w:r w:rsidRPr="00162C52">
              <w:rPr>
                <w:rFonts w:cs="Arial"/>
                <w:b/>
                <w:sz w:val="18"/>
                <w:szCs w:val="18"/>
                <w:u w:val="single"/>
              </w:rPr>
              <w:t>use since 2015</w:t>
            </w:r>
            <w:r w:rsidR="002E15FA">
              <w:rPr>
                <w:rFonts w:cs="Arial"/>
                <w:b/>
                <w:sz w:val="18"/>
                <w:szCs w:val="18"/>
                <w:u w:val="single"/>
              </w:rPr>
              <w:t xml:space="preserve"> providing tools and behaviour change to move</w:t>
            </w:r>
            <w:r w:rsidR="002B11D3" w:rsidRPr="00162C52">
              <w:rPr>
                <w:rFonts w:cs="Arial"/>
                <w:b/>
                <w:sz w:val="18"/>
                <w:szCs w:val="18"/>
                <w:u w:val="single"/>
              </w:rPr>
              <w:t xml:space="preserve"> CF care from </w:t>
            </w:r>
            <w:proofErr w:type="gramStart"/>
            <w:r w:rsidR="002B11D3" w:rsidRPr="00162C52">
              <w:rPr>
                <w:rFonts w:cs="Arial"/>
                <w:b/>
                <w:sz w:val="18"/>
                <w:szCs w:val="18"/>
                <w:u w:val="single"/>
              </w:rPr>
              <w:t>hospital based</w:t>
            </w:r>
            <w:proofErr w:type="gramEnd"/>
            <w:r w:rsidR="002B11D3" w:rsidRPr="00162C52">
              <w:rPr>
                <w:rFonts w:cs="Arial"/>
                <w:b/>
                <w:sz w:val="18"/>
                <w:szCs w:val="18"/>
                <w:u w:val="single"/>
              </w:rPr>
              <w:t xml:space="preserve"> resc</w:t>
            </w:r>
            <w:r w:rsidR="00CE35D1">
              <w:rPr>
                <w:rFonts w:cs="Arial"/>
                <w:b/>
                <w:sz w:val="18"/>
                <w:szCs w:val="18"/>
                <w:u w:val="single"/>
              </w:rPr>
              <w:t>ue to community based self-care by empowering prevention</w:t>
            </w:r>
          </w:p>
          <w:tbl>
            <w:tblPr>
              <w:tblStyle w:val="TableGrid"/>
              <w:tblW w:w="9520" w:type="dxa"/>
              <w:tblLayout w:type="fixed"/>
              <w:tblLook w:val="04A0" w:firstRow="1" w:lastRow="0" w:firstColumn="1" w:lastColumn="0" w:noHBand="0" w:noVBand="1"/>
            </w:tblPr>
            <w:tblGrid>
              <w:gridCol w:w="1271"/>
              <w:gridCol w:w="2126"/>
              <w:gridCol w:w="2694"/>
              <w:gridCol w:w="1559"/>
              <w:gridCol w:w="1870"/>
            </w:tblGrid>
            <w:tr w:rsidR="002B11D3" w14:paraId="310B759D" w14:textId="77777777" w:rsidTr="009A1B7E">
              <w:tc>
                <w:tcPr>
                  <w:tcW w:w="1271" w:type="dxa"/>
                </w:tcPr>
                <w:p w14:paraId="2094E7F9" w14:textId="77777777" w:rsidR="002B11D3" w:rsidRPr="009A1B7E" w:rsidRDefault="002B11D3" w:rsidP="002B11D3">
                  <w:pPr>
                    <w:pStyle w:val="TableParagraph"/>
                    <w:ind w:left="0"/>
                    <w:rPr>
                      <w:b/>
                      <w:sz w:val="16"/>
                      <w:szCs w:val="16"/>
                    </w:rPr>
                  </w:pPr>
                  <w:r w:rsidRPr="009A1B7E">
                    <w:rPr>
                      <w:b/>
                      <w:sz w:val="16"/>
                      <w:szCs w:val="16"/>
                    </w:rPr>
                    <w:t>Programme component</w:t>
                  </w:r>
                </w:p>
              </w:tc>
              <w:tc>
                <w:tcPr>
                  <w:tcW w:w="2126" w:type="dxa"/>
                </w:tcPr>
                <w:p w14:paraId="0B940437" w14:textId="77777777" w:rsidR="002B11D3" w:rsidRPr="009A1B7E" w:rsidRDefault="002B11D3" w:rsidP="002B11D3">
                  <w:pPr>
                    <w:pStyle w:val="TableParagraph"/>
                    <w:ind w:left="0"/>
                    <w:rPr>
                      <w:b/>
                      <w:sz w:val="16"/>
                      <w:szCs w:val="16"/>
                    </w:rPr>
                  </w:pPr>
                  <w:r w:rsidRPr="009A1B7E">
                    <w:rPr>
                      <w:b/>
                      <w:sz w:val="16"/>
                      <w:szCs w:val="16"/>
                    </w:rPr>
                    <w:t>Shortfall in quality</w:t>
                  </w:r>
                </w:p>
              </w:tc>
              <w:tc>
                <w:tcPr>
                  <w:tcW w:w="2694" w:type="dxa"/>
                </w:tcPr>
                <w:p w14:paraId="487273C4" w14:textId="77777777" w:rsidR="002B11D3" w:rsidRPr="009A1B7E" w:rsidRDefault="002B11D3" w:rsidP="002B11D3">
                  <w:pPr>
                    <w:pStyle w:val="TableParagraph"/>
                    <w:ind w:left="0"/>
                    <w:rPr>
                      <w:b/>
                      <w:sz w:val="16"/>
                      <w:szCs w:val="16"/>
                    </w:rPr>
                  </w:pPr>
                  <w:r w:rsidRPr="009A1B7E">
                    <w:rPr>
                      <w:b/>
                      <w:sz w:val="16"/>
                      <w:szCs w:val="16"/>
                    </w:rPr>
                    <w:t>Intervention components / behaviour change</w:t>
                  </w:r>
                </w:p>
              </w:tc>
              <w:tc>
                <w:tcPr>
                  <w:tcW w:w="1559" w:type="dxa"/>
                </w:tcPr>
                <w:p w14:paraId="69D01279" w14:textId="77777777" w:rsidR="002B11D3" w:rsidRPr="009A1B7E" w:rsidRDefault="002B11D3" w:rsidP="002B11D3">
                  <w:pPr>
                    <w:pStyle w:val="TableParagraph"/>
                    <w:ind w:left="0"/>
                    <w:rPr>
                      <w:b/>
                      <w:sz w:val="16"/>
                      <w:szCs w:val="16"/>
                    </w:rPr>
                  </w:pPr>
                  <w:r w:rsidRPr="009A1B7E">
                    <w:rPr>
                      <w:b/>
                      <w:sz w:val="16"/>
                      <w:szCs w:val="16"/>
                    </w:rPr>
                    <w:t xml:space="preserve">System metrics </w:t>
                  </w:r>
                </w:p>
              </w:tc>
              <w:tc>
                <w:tcPr>
                  <w:tcW w:w="1870" w:type="dxa"/>
                </w:tcPr>
                <w:p w14:paraId="6E6197DA" w14:textId="77777777" w:rsidR="002B11D3" w:rsidRPr="009A1B7E" w:rsidRDefault="002B11D3" w:rsidP="002B11D3">
                  <w:pPr>
                    <w:pStyle w:val="TableParagraph"/>
                    <w:ind w:left="0"/>
                    <w:rPr>
                      <w:b/>
                      <w:sz w:val="16"/>
                      <w:szCs w:val="16"/>
                    </w:rPr>
                  </w:pPr>
                  <w:r w:rsidRPr="009A1B7E">
                    <w:rPr>
                      <w:b/>
                      <w:sz w:val="16"/>
                      <w:szCs w:val="16"/>
                    </w:rPr>
                    <w:t>Efficiency Impact</w:t>
                  </w:r>
                </w:p>
              </w:tc>
            </w:tr>
            <w:tr w:rsidR="002B11D3" w14:paraId="04622885" w14:textId="77777777" w:rsidTr="009A1B7E">
              <w:tc>
                <w:tcPr>
                  <w:tcW w:w="1271" w:type="dxa"/>
                </w:tcPr>
                <w:p w14:paraId="1FABE5C6" w14:textId="4B00392E" w:rsidR="002B11D3" w:rsidRPr="009A1B7E" w:rsidRDefault="002B11D3" w:rsidP="002B11D3">
                  <w:pPr>
                    <w:pStyle w:val="TableParagraph"/>
                    <w:ind w:left="0"/>
                    <w:rPr>
                      <w:b/>
                      <w:sz w:val="16"/>
                      <w:szCs w:val="16"/>
                    </w:rPr>
                  </w:pPr>
                  <w:r w:rsidRPr="009A1B7E">
                    <w:rPr>
                      <w:b/>
                      <w:sz w:val="16"/>
                      <w:szCs w:val="16"/>
                    </w:rPr>
                    <w:t>Learning Health System</w:t>
                  </w:r>
                  <w:r w:rsidR="00C808D3">
                    <w:rPr>
                      <w:b/>
                      <w:sz w:val="16"/>
                      <w:szCs w:val="16"/>
                    </w:rPr>
                    <w:t xml:space="preserve"> / improvement collaborative</w:t>
                  </w:r>
                </w:p>
              </w:tc>
              <w:tc>
                <w:tcPr>
                  <w:tcW w:w="2126" w:type="dxa"/>
                </w:tcPr>
                <w:p w14:paraId="209A9953" w14:textId="6109B3A9" w:rsidR="002B11D3" w:rsidRPr="009A1B7E" w:rsidRDefault="002B11D3" w:rsidP="002B11D3">
                  <w:pPr>
                    <w:pStyle w:val="TableParagraph"/>
                    <w:ind w:left="0"/>
                    <w:rPr>
                      <w:sz w:val="16"/>
                      <w:szCs w:val="16"/>
                    </w:rPr>
                  </w:pPr>
                  <w:r w:rsidRPr="009A1B7E">
                    <w:rPr>
                      <w:sz w:val="16"/>
                      <w:szCs w:val="16"/>
                    </w:rPr>
                    <w:t xml:space="preserve">Adult CF centres lack standardised data </w:t>
                  </w:r>
                  <w:r w:rsidR="00626400" w:rsidRPr="009A1B7E">
                    <w:rPr>
                      <w:sz w:val="16"/>
                      <w:szCs w:val="16"/>
                    </w:rPr>
                    <w:t xml:space="preserve">to evaluate performance </w:t>
                  </w:r>
                  <w:r w:rsidRPr="009A1B7E">
                    <w:rPr>
                      <w:sz w:val="16"/>
                      <w:szCs w:val="16"/>
                    </w:rPr>
                    <w:t xml:space="preserve">and </w:t>
                  </w:r>
                  <w:r w:rsidR="00626400" w:rsidRPr="009A1B7E">
                    <w:rPr>
                      <w:sz w:val="16"/>
                      <w:szCs w:val="16"/>
                    </w:rPr>
                    <w:t xml:space="preserve">mechanisms to share learning for </w:t>
                  </w:r>
                  <w:r w:rsidRPr="009A1B7E">
                    <w:rPr>
                      <w:sz w:val="16"/>
                      <w:szCs w:val="16"/>
                    </w:rPr>
                    <w:t>improvement</w:t>
                  </w:r>
                  <w:r w:rsidR="001B157E" w:rsidRPr="009A1B7E">
                    <w:rPr>
                      <w:sz w:val="16"/>
                      <w:szCs w:val="16"/>
                    </w:rPr>
                    <w:t>.</w:t>
                  </w:r>
                </w:p>
              </w:tc>
              <w:tc>
                <w:tcPr>
                  <w:tcW w:w="2694" w:type="dxa"/>
                </w:tcPr>
                <w:p w14:paraId="65F8C810" w14:textId="4C3E37AE" w:rsidR="002B11D3" w:rsidRPr="009A1B7E" w:rsidRDefault="002B11D3" w:rsidP="002B11D3">
                  <w:pPr>
                    <w:pStyle w:val="TableParagraph"/>
                    <w:ind w:left="0"/>
                    <w:rPr>
                      <w:sz w:val="16"/>
                      <w:szCs w:val="16"/>
                    </w:rPr>
                  </w:pPr>
                  <w:proofErr w:type="spellStart"/>
                  <w:r w:rsidRPr="009A1B7E">
                    <w:rPr>
                      <w:sz w:val="16"/>
                      <w:szCs w:val="16"/>
                    </w:rPr>
                    <w:t>CFHealthHub</w:t>
                  </w:r>
                  <w:proofErr w:type="spellEnd"/>
                  <w:r w:rsidRPr="009A1B7E">
                    <w:rPr>
                      <w:sz w:val="16"/>
                      <w:szCs w:val="16"/>
                    </w:rPr>
                    <w:t xml:space="preserve"> (CFHH) provides data for shared learning via system wide clinician portal supported by improvement coaching &amp; community of practice</w:t>
                  </w:r>
                  <w:r w:rsidR="001B157E" w:rsidRPr="009A1B7E">
                    <w:rPr>
                      <w:sz w:val="16"/>
                      <w:szCs w:val="16"/>
                    </w:rPr>
                    <w:t>.</w:t>
                  </w:r>
                </w:p>
              </w:tc>
              <w:tc>
                <w:tcPr>
                  <w:tcW w:w="1559" w:type="dxa"/>
                </w:tcPr>
                <w:p w14:paraId="141FEF86" w14:textId="09EAED86" w:rsidR="002B11D3" w:rsidRPr="009A1B7E" w:rsidRDefault="002B11D3" w:rsidP="002B11D3">
                  <w:pPr>
                    <w:pStyle w:val="TableParagraph"/>
                    <w:ind w:left="0"/>
                    <w:rPr>
                      <w:sz w:val="16"/>
                      <w:szCs w:val="16"/>
                    </w:rPr>
                  </w:pPr>
                  <w:r w:rsidRPr="009A1B7E">
                    <w:rPr>
                      <w:sz w:val="16"/>
                      <w:szCs w:val="16"/>
                    </w:rPr>
                    <w:t>Automated capture of centre level adherence data allowing benchmarking across system</w:t>
                  </w:r>
                  <w:r w:rsidR="001B157E" w:rsidRPr="009A1B7E">
                    <w:rPr>
                      <w:sz w:val="16"/>
                      <w:szCs w:val="16"/>
                    </w:rPr>
                    <w:t>.</w:t>
                  </w:r>
                </w:p>
              </w:tc>
              <w:tc>
                <w:tcPr>
                  <w:tcW w:w="1870" w:type="dxa"/>
                </w:tcPr>
                <w:p w14:paraId="283495C3" w14:textId="2AC988DC" w:rsidR="002B11D3" w:rsidRPr="009A1B7E" w:rsidRDefault="002B11D3" w:rsidP="002B11D3">
                  <w:pPr>
                    <w:pStyle w:val="TableParagraph"/>
                    <w:ind w:left="0"/>
                    <w:rPr>
                      <w:sz w:val="16"/>
                      <w:szCs w:val="16"/>
                    </w:rPr>
                  </w:pPr>
                  <w:r w:rsidRPr="009A1B7E">
                    <w:rPr>
                      <w:sz w:val="16"/>
                      <w:szCs w:val="16"/>
                    </w:rPr>
                    <w:t>On-going iterative Improvement cycles with real time data feedback indicating impact of cycles on behaviours</w:t>
                  </w:r>
                  <w:r w:rsidR="001B157E" w:rsidRPr="009A1B7E">
                    <w:rPr>
                      <w:sz w:val="16"/>
                      <w:szCs w:val="16"/>
                    </w:rPr>
                    <w:t xml:space="preserve"> and</w:t>
                  </w:r>
                  <w:r w:rsidRPr="009A1B7E">
                    <w:rPr>
                      <w:sz w:val="16"/>
                      <w:szCs w:val="16"/>
                    </w:rPr>
                    <w:t xml:space="preserve"> outcomes</w:t>
                  </w:r>
                  <w:r w:rsidR="001B157E" w:rsidRPr="009A1B7E">
                    <w:rPr>
                      <w:sz w:val="16"/>
                      <w:szCs w:val="16"/>
                    </w:rPr>
                    <w:t>.</w:t>
                  </w:r>
                </w:p>
              </w:tc>
            </w:tr>
            <w:tr w:rsidR="009A1B7E" w14:paraId="12D4DD06" w14:textId="77777777" w:rsidTr="00CC15FD">
              <w:tc>
                <w:tcPr>
                  <w:tcW w:w="1271" w:type="dxa"/>
                </w:tcPr>
                <w:p w14:paraId="444A1AEA" w14:textId="77777777" w:rsidR="009A1B7E" w:rsidRPr="009A1B7E" w:rsidRDefault="009A1B7E" w:rsidP="00CC15FD">
                  <w:pPr>
                    <w:pStyle w:val="TableParagraph"/>
                    <w:ind w:left="0"/>
                    <w:rPr>
                      <w:b/>
                      <w:sz w:val="16"/>
                      <w:szCs w:val="16"/>
                    </w:rPr>
                  </w:pPr>
                  <w:r w:rsidRPr="009A1B7E">
                    <w:rPr>
                      <w:b/>
                      <w:sz w:val="16"/>
                      <w:szCs w:val="16"/>
                    </w:rPr>
                    <w:t>Clinician activation</w:t>
                  </w:r>
                </w:p>
              </w:tc>
              <w:tc>
                <w:tcPr>
                  <w:tcW w:w="2126" w:type="dxa"/>
                </w:tcPr>
                <w:p w14:paraId="69F76430" w14:textId="77777777" w:rsidR="009A1B7E" w:rsidRPr="009A1B7E" w:rsidRDefault="009A1B7E" w:rsidP="00CC15FD">
                  <w:pPr>
                    <w:pStyle w:val="TableParagraph"/>
                    <w:ind w:left="0"/>
                    <w:rPr>
                      <w:sz w:val="16"/>
                      <w:szCs w:val="16"/>
                    </w:rPr>
                  </w:pPr>
                  <w:r w:rsidRPr="009A1B7E">
                    <w:rPr>
                      <w:sz w:val="16"/>
                      <w:szCs w:val="16"/>
                    </w:rPr>
                    <w:t>Clinicians lack knowledge, skills and self-efficacy to support patient activation and habits of self-care.</w:t>
                  </w:r>
                </w:p>
              </w:tc>
              <w:tc>
                <w:tcPr>
                  <w:tcW w:w="2694" w:type="dxa"/>
                </w:tcPr>
                <w:p w14:paraId="52CB75D4" w14:textId="77777777" w:rsidR="009A1B7E" w:rsidRPr="009A1B7E" w:rsidRDefault="009A1B7E" w:rsidP="00CC15FD">
                  <w:pPr>
                    <w:pStyle w:val="TableParagraph"/>
                    <w:ind w:left="0"/>
                    <w:rPr>
                      <w:sz w:val="16"/>
                      <w:szCs w:val="16"/>
                    </w:rPr>
                  </w:pPr>
                  <w:r w:rsidRPr="009A1B7E">
                    <w:rPr>
                      <w:sz w:val="16"/>
                      <w:szCs w:val="16"/>
                    </w:rPr>
                    <w:t>CFHH provides tools to train clinicians in supporting patients.  Intensive behaviour change training for key staff then cascades across system via improvement collaborative.</w:t>
                  </w:r>
                </w:p>
              </w:tc>
              <w:tc>
                <w:tcPr>
                  <w:tcW w:w="1559" w:type="dxa"/>
                </w:tcPr>
                <w:p w14:paraId="62743189" w14:textId="77777777" w:rsidR="009A1B7E" w:rsidRPr="009A1B7E" w:rsidRDefault="009A1B7E" w:rsidP="00CC15FD">
                  <w:pPr>
                    <w:pStyle w:val="TableParagraph"/>
                    <w:ind w:left="0"/>
                    <w:rPr>
                      <w:sz w:val="16"/>
                      <w:szCs w:val="16"/>
                    </w:rPr>
                  </w:pPr>
                  <w:r w:rsidRPr="009A1B7E">
                    <w:rPr>
                      <w:sz w:val="16"/>
                      <w:szCs w:val="16"/>
                    </w:rPr>
                    <w:t>CFHH data capture via click analytics allows benchmarking &amp; drives system change.</w:t>
                  </w:r>
                </w:p>
              </w:tc>
              <w:tc>
                <w:tcPr>
                  <w:tcW w:w="1870" w:type="dxa"/>
                </w:tcPr>
                <w:p w14:paraId="1E9D47B6" w14:textId="77777777" w:rsidR="009A1B7E" w:rsidRPr="009A1B7E" w:rsidRDefault="009A1B7E" w:rsidP="00CC15FD">
                  <w:pPr>
                    <w:pStyle w:val="TableParagraph"/>
                    <w:ind w:left="0"/>
                    <w:rPr>
                      <w:sz w:val="16"/>
                      <w:szCs w:val="16"/>
                    </w:rPr>
                  </w:pPr>
                  <w:r w:rsidRPr="009A1B7E">
                    <w:rPr>
                      <w:sz w:val="16"/>
                      <w:szCs w:val="16"/>
                    </w:rPr>
                    <w:t xml:space="preserve">Clinicians develop the skills to shift care from expensive </w:t>
                  </w:r>
                  <w:proofErr w:type="gramStart"/>
                  <w:r w:rsidRPr="009A1B7E">
                    <w:rPr>
                      <w:sz w:val="16"/>
                      <w:szCs w:val="16"/>
                    </w:rPr>
                    <w:t>hospital based</w:t>
                  </w:r>
                  <w:proofErr w:type="gramEnd"/>
                  <w:r w:rsidRPr="009A1B7E">
                    <w:rPr>
                      <w:sz w:val="16"/>
                      <w:szCs w:val="16"/>
                    </w:rPr>
                    <w:t xml:space="preserve"> rescue to patient led community prevention.</w:t>
                  </w:r>
                </w:p>
              </w:tc>
            </w:tr>
            <w:tr w:rsidR="002B11D3" w14:paraId="41BF5D0A" w14:textId="77777777" w:rsidTr="009A1B7E">
              <w:tc>
                <w:tcPr>
                  <w:tcW w:w="1271" w:type="dxa"/>
                </w:tcPr>
                <w:p w14:paraId="44B91F27" w14:textId="77777777" w:rsidR="002B11D3" w:rsidRPr="009A1B7E" w:rsidRDefault="002B11D3" w:rsidP="002B11D3">
                  <w:pPr>
                    <w:pStyle w:val="TableParagraph"/>
                    <w:ind w:left="0"/>
                    <w:rPr>
                      <w:b/>
                      <w:sz w:val="16"/>
                      <w:szCs w:val="16"/>
                    </w:rPr>
                  </w:pPr>
                  <w:r w:rsidRPr="009A1B7E">
                    <w:rPr>
                      <w:b/>
                      <w:sz w:val="16"/>
                      <w:szCs w:val="16"/>
                    </w:rPr>
                    <w:t>Patient activation</w:t>
                  </w:r>
                </w:p>
              </w:tc>
              <w:tc>
                <w:tcPr>
                  <w:tcW w:w="2126" w:type="dxa"/>
                </w:tcPr>
                <w:p w14:paraId="0CECF4C9" w14:textId="109433D8" w:rsidR="002B11D3" w:rsidRPr="009A1B7E" w:rsidRDefault="002B11D3" w:rsidP="002B11D3">
                  <w:pPr>
                    <w:pStyle w:val="TableParagraph"/>
                    <w:ind w:left="0"/>
                    <w:rPr>
                      <w:sz w:val="16"/>
                      <w:szCs w:val="16"/>
                    </w:rPr>
                  </w:pPr>
                  <w:r w:rsidRPr="009A1B7E">
                    <w:rPr>
                      <w:sz w:val="16"/>
                      <w:szCs w:val="16"/>
                    </w:rPr>
                    <w:t>Patients lack knowledge, skills and self-efficacy to sustain self-care. Median</w:t>
                  </w:r>
                  <w:r w:rsidR="000767C7" w:rsidRPr="009A1B7E">
                    <w:rPr>
                      <w:sz w:val="16"/>
                      <w:szCs w:val="16"/>
                    </w:rPr>
                    <w:t xml:space="preserve"> medication</w:t>
                  </w:r>
                  <w:r w:rsidRPr="009A1B7E">
                    <w:rPr>
                      <w:sz w:val="16"/>
                      <w:szCs w:val="16"/>
                    </w:rPr>
                    <w:t xml:space="preserve"> adherence 36%</w:t>
                  </w:r>
                  <w:r w:rsidR="001B157E" w:rsidRPr="009A1B7E">
                    <w:rPr>
                      <w:sz w:val="16"/>
                      <w:szCs w:val="16"/>
                    </w:rPr>
                    <w:t>.</w:t>
                  </w:r>
                </w:p>
              </w:tc>
              <w:tc>
                <w:tcPr>
                  <w:tcW w:w="2694" w:type="dxa"/>
                </w:tcPr>
                <w:p w14:paraId="79777FC8" w14:textId="222C1B8A" w:rsidR="002B11D3" w:rsidRPr="009A1B7E" w:rsidRDefault="002B11D3" w:rsidP="002B11D3">
                  <w:pPr>
                    <w:pStyle w:val="TableParagraph"/>
                    <w:ind w:left="0"/>
                    <w:rPr>
                      <w:sz w:val="16"/>
                      <w:szCs w:val="16"/>
                    </w:rPr>
                  </w:pPr>
                  <w:r w:rsidRPr="009A1B7E">
                    <w:rPr>
                      <w:sz w:val="16"/>
                      <w:szCs w:val="16"/>
                    </w:rPr>
                    <w:t>CFHH supports patients in building knowledge / skills &amp; self-efficacy. Data feedback linked to implementation plans and coping plans drives formation</w:t>
                  </w:r>
                  <w:r w:rsidR="001B157E" w:rsidRPr="009A1B7E">
                    <w:rPr>
                      <w:sz w:val="16"/>
                      <w:szCs w:val="16"/>
                    </w:rPr>
                    <w:t xml:space="preserve"> of benign habits.</w:t>
                  </w:r>
                </w:p>
              </w:tc>
              <w:tc>
                <w:tcPr>
                  <w:tcW w:w="1559" w:type="dxa"/>
                </w:tcPr>
                <w:p w14:paraId="786E27C5" w14:textId="12AE6E45" w:rsidR="002B11D3" w:rsidRPr="009A1B7E" w:rsidRDefault="002B11D3" w:rsidP="002B11D3">
                  <w:pPr>
                    <w:pStyle w:val="TableParagraph"/>
                    <w:ind w:left="0"/>
                    <w:rPr>
                      <w:sz w:val="16"/>
                      <w:szCs w:val="16"/>
                    </w:rPr>
                  </w:pPr>
                  <w:r w:rsidRPr="009A1B7E">
                    <w:rPr>
                      <w:sz w:val="16"/>
                      <w:szCs w:val="16"/>
                    </w:rPr>
                    <w:t xml:space="preserve">Automated adherence data sent to </w:t>
                  </w:r>
                  <w:r w:rsidR="001B157E" w:rsidRPr="009A1B7E">
                    <w:rPr>
                      <w:sz w:val="16"/>
                      <w:szCs w:val="16"/>
                    </w:rPr>
                    <w:t>patients’</w:t>
                  </w:r>
                  <w:r w:rsidRPr="009A1B7E">
                    <w:rPr>
                      <w:sz w:val="16"/>
                      <w:szCs w:val="16"/>
                    </w:rPr>
                    <w:t xml:space="preserve"> phones</w:t>
                  </w:r>
                  <w:r w:rsidR="001E69A0" w:rsidRPr="009A1B7E">
                    <w:rPr>
                      <w:sz w:val="16"/>
                      <w:szCs w:val="16"/>
                    </w:rPr>
                    <w:t xml:space="preserve"> with behavioural prompts</w:t>
                  </w:r>
                  <w:r w:rsidR="001B157E" w:rsidRPr="009A1B7E">
                    <w:rPr>
                      <w:sz w:val="16"/>
                      <w:szCs w:val="16"/>
                    </w:rPr>
                    <w:t>.</w:t>
                  </w:r>
                </w:p>
              </w:tc>
              <w:tc>
                <w:tcPr>
                  <w:tcW w:w="1870" w:type="dxa"/>
                </w:tcPr>
                <w:p w14:paraId="34F8A42F" w14:textId="48C914EC" w:rsidR="002B11D3" w:rsidRPr="009A1B7E" w:rsidRDefault="002B11D3" w:rsidP="002B11D3">
                  <w:pPr>
                    <w:pStyle w:val="TableParagraph"/>
                    <w:ind w:left="0"/>
                    <w:rPr>
                      <w:sz w:val="16"/>
                      <w:szCs w:val="16"/>
                    </w:rPr>
                  </w:pPr>
                  <w:r w:rsidRPr="009A1B7E">
                    <w:rPr>
                      <w:sz w:val="16"/>
                      <w:szCs w:val="16"/>
                    </w:rPr>
                    <w:t>Increased adherence to preventative therapy reduces need for rescue.  System savings £100 million over 5 years</w:t>
                  </w:r>
                  <w:r w:rsidR="001B157E" w:rsidRPr="009A1B7E">
                    <w:rPr>
                      <w:sz w:val="16"/>
                      <w:szCs w:val="16"/>
                    </w:rPr>
                    <w:t>.</w:t>
                  </w:r>
                </w:p>
              </w:tc>
            </w:tr>
            <w:tr w:rsidR="002B11D3" w14:paraId="3BACC957" w14:textId="77777777" w:rsidTr="009A1B7E">
              <w:tc>
                <w:tcPr>
                  <w:tcW w:w="1271" w:type="dxa"/>
                </w:tcPr>
                <w:p w14:paraId="312E0735" w14:textId="77777777" w:rsidR="002B11D3" w:rsidRPr="009A1B7E" w:rsidRDefault="002B11D3" w:rsidP="002B11D3">
                  <w:pPr>
                    <w:pStyle w:val="TableParagraph"/>
                    <w:ind w:left="0"/>
                    <w:rPr>
                      <w:b/>
                      <w:sz w:val="16"/>
                      <w:szCs w:val="16"/>
                    </w:rPr>
                  </w:pPr>
                  <w:r w:rsidRPr="009A1B7E">
                    <w:rPr>
                      <w:b/>
                      <w:sz w:val="16"/>
                      <w:szCs w:val="16"/>
                    </w:rPr>
                    <w:t xml:space="preserve">Medicines optimisation </w:t>
                  </w:r>
                </w:p>
              </w:tc>
              <w:tc>
                <w:tcPr>
                  <w:tcW w:w="2126" w:type="dxa"/>
                </w:tcPr>
                <w:p w14:paraId="4DD752CC" w14:textId="22BFD8F8" w:rsidR="002B11D3" w:rsidRPr="009A1B7E" w:rsidRDefault="00780889" w:rsidP="00780889">
                  <w:pPr>
                    <w:pStyle w:val="TableParagraph"/>
                    <w:ind w:left="0"/>
                    <w:rPr>
                      <w:sz w:val="16"/>
                      <w:szCs w:val="16"/>
                    </w:rPr>
                  </w:pPr>
                  <w:r w:rsidRPr="009A1B7E">
                    <w:rPr>
                      <w:sz w:val="16"/>
                      <w:szCs w:val="16"/>
                    </w:rPr>
                    <w:t xml:space="preserve">Over a typical </w:t>
                  </w:r>
                  <w:r w:rsidR="001B157E" w:rsidRPr="009A1B7E">
                    <w:rPr>
                      <w:sz w:val="16"/>
                      <w:szCs w:val="16"/>
                    </w:rPr>
                    <w:t>12-month</w:t>
                  </w:r>
                  <w:r w:rsidRPr="009A1B7E">
                    <w:rPr>
                      <w:sz w:val="16"/>
                      <w:szCs w:val="16"/>
                    </w:rPr>
                    <w:t xml:space="preserve"> period 65% of the year’s drugs are delivered but only 36% are taken.  There are major variations in high cost drug use between centres.</w:t>
                  </w:r>
                </w:p>
              </w:tc>
              <w:tc>
                <w:tcPr>
                  <w:tcW w:w="2694" w:type="dxa"/>
                </w:tcPr>
                <w:p w14:paraId="2E44AA88" w14:textId="236CCF30" w:rsidR="002B11D3" w:rsidRPr="009A1B7E" w:rsidRDefault="002B11D3" w:rsidP="002B11D3">
                  <w:pPr>
                    <w:pStyle w:val="TableParagraph"/>
                    <w:ind w:left="0"/>
                    <w:rPr>
                      <w:sz w:val="16"/>
                      <w:szCs w:val="16"/>
                    </w:rPr>
                  </w:pPr>
                  <w:r w:rsidRPr="009A1B7E">
                    <w:rPr>
                      <w:sz w:val="16"/>
                      <w:szCs w:val="16"/>
                    </w:rPr>
                    <w:t>CFHH data allows just in time drug delivery preventing waste</w:t>
                  </w:r>
                  <w:r w:rsidR="00780889" w:rsidRPr="009A1B7E">
                    <w:rPr>
                      <w:sz w:val="16"/>
                      <w:szCs w:val="16"/>
                    </w:rPr>
                    <w:t xml:space="preserve"> so that the amount delivered will more closely match the amount taken</w:t>
                  </w:r>
                  <w:r w:rsidRPr="009A1B7E">
                    <w:rPr>
                      <w:sz w:val="16"/>
                      <w:szCs w:val="16"/>
                    </w:rPr>
                    <w:t>.</w:t>
                  </w:r>
                  <w:r w:rsidR="001E69A0" w:rsidRPr="009A1B7E">
                    <w:rPr>
                      <w:sz w:val="16"/>
                      <w:szCs w:val="16"/>
                    </w:rPr>
                    <w:t xml:space="preserve"> </w:t>
                  </w:r>
                  <w:r w:rsidR="00780889" w:rsidRPr="009A1B7E">
                    <w:rPr>
                      <w:sz w:val="16"/>
                      <w:szCs w:val="16"/>
                    </w:rPr>
                    <w:t>Real time a</w:t>
                  </w:r>
                  <w:r w:rsidRPr="009A1B7E">
                    <w:rPr>
                      <w:sz w:val="16"/>
                      <w:szCs w:val="16"/>
                    </w:rPr>
                    <w:t xml:space="preserve">dherence </w:t>
                  </w:r>
                  <w:r w:rsidR="00780889" w:rsidRPr="009A1B7E">
                    <w:rPr>
                      <w:sz w:val="16"/>
                      <w:szCs w:val="16"/>
                    </w:rPr>
                    <w:t xml:space="preserve">will data support </w:t>
                  </w:r>
                  <w:r w:rsidRPr="009A1B7E">
                    <w:rPr>
                      <w:sz w:val="16"/>
                      <w:szCs w:val="16"/>
                    </w:rPr>
                    <w:t>appropriate aztreonam use</w:t>
                  </w:r>
                  <w:r w:rsidR="00780889" w:rsidRPr="009A1B7E">
                    <w:rPr>
                      <w:sz w:val="16"/>
                      <w:szCs w:val="16"/>
                    </w:rPr>
                    <w:t xml:space="preserve"> and reduce variation.</w:t>
                  </w:r>
                </w:p>
              </w:tc>
              <w:tc>
                <w:tcPr>
                  <w:tcW w:w="1559" w:type="dxa"/>
                </w:tcPr>
                <w:p w14:paraId="1B4EE126" w14:textId="5BFB56B8" w:rsidR="002B11D3" w:rsidRPr="009A1B7E" w:rsidRDefault="001E69A0" w:rsidP="001E69A0">
                  <w:pPr>
                    <w:pStyle w:val="TableParagraph"/>
                    <w:ind w:left="0"/>
                    <w:rPr>
                      <w:sz w:val="16"/>
                      <w:szCs w:val="16"/>
                    </w:rPr>
                  </w:pPr>
                  <w:r w:rsidRPr="009A1B7E">
                    <w:rPr>
                      <w:sz w:val="16"/>
                      <w:szCs w:val="16"/>
                    </w:rPr>
                    <w:t>Adherence d</w:t>
                  </w:r>
                  <w:r w:rsidR="002B11D3" w:rsidRPr="009A1B7E">
                    <w:rPr>
                      <w:sz w:val="16"/>
                      <w:szCs w:val="16"/>
                    </w:rPr>
                    <w:t>ata allows rational drug use</w:t>
                  </w:r>
                  <w:r w:rsidR="00780889" w:rsidRPr="009A1B7E">
                    <w:rPr>
                      <w:sz w:val="16"/>
                      <w:szCs w:val="16"/>
                    </w:rPr>
                    <w:t xml:space="preserve"> by suppor</w:t>
                  </w:r>
                  <w:r w:rsidR="001B157E" w:rsidRPr="009A1B7E">
                    <w:rPr>
                      <w:sz w:val="16"/>
                      <w:szCs w:val="16"/>
                    </w:rPr>
                    <w:t>ting just in time drug delivery.</w:t>
                  </w:r>
                </w:p>
              </w:tc>
              <w:tc>
                <w:tcPr>
                  <w:tcW w:w="1870" w:type="dxa"/>
                </w:tcPr>
                <w:p w14:paraId="3C203C0E" w14:textId="543AC641" w:rsidR="002B11D3" w:rsidRPr="009A1B7E" w:rsidRDefault="002B11D3" w:rsidP="002B11D3">
                  <w:pPr>
                    <w:pStyle w:val="TableParagraph"/>
                    <w:ind w:left="0"/>
                    <w:rPr>
                      <w:sz w:val="16"/>
                      <w:szCs w:val="16"/>
                    </w:rPr>
                  </w:pPr>
                  <w:r w:rsidRPr="009A1B7E">
                    <w:rPr>
                      <w:sz w:val="16"/>
                      <w:szCs w:val="16"/>
                    </w:rPr>
                    <w:t>Significant savings to commissioners from avoiding high cost drug waste</w:t>
                  </w:r>
                  <w:r w:rsidR="001E69A0" w:rsidRPr="009A1B7E">
                    <w:rPr>
                      <w:sz w:val="16"/>
                      <w:szCs w:val="16"/>
                    </w:rPr>
                    <w:t xml:space="preserve"> and ensuring that transition to high cost drugs appropriate</w:t>
                  </w:r>
                  <w:r w:rsidR="001B157E" w:rsidRPr="009A1B7E">
                    <w:rPr>
                      <w:sz w:val="16"/>
                      <w:szCs w:val="16"/>
                    </w:rPr>
                    <w:t>.</w:t>
                  </w:r>
                </w:p>
              </w:tc>
            </w:tr>
          </w:tbl>
          <w:p w14:paraId="4F05161D" w14:textId="77777777" w:rsidR="00995E7A" w:rsidRDefault="00995E7A" w:rsidP="00F16F77">
            <w:pPr>
              <w:pStyle w:val="TableParagraph"/>
              <w:rPr>
                <w:sz w:val="24"/>
              </w:rPr>
            </w:pPr>
          </w:p>
          <w:p w14:paraId="112E3D0A" w14:textId="77777777" w:rsidR="00F16F77" w:rsidRDefault="00F16F77" w:rsidP="00F16F77">
            <w:pPr>
              <w:pStyle w:val="TableParagraph"/>
              <w:ind w:left="0"/>
              <w:rPr>
                <w:b/>
                <w:sz w:val="24"/>
              </w:rPr>
            </w:pPr>
          </w:p>
          <w:p w14:paraId="35E86EB1" w14:textId="77777777" w:rsidR="00326B23" w:rsidRPr="004E320B" w:rsidRDefault="00326B23" w:rsidP="004E320B">
            <w:pPr>
              <w:rPr>
                <w:rFonts w:cs="Arial"/>
                <w:b/>
                <w:szCs w:val="24"/>
                <w:u w:val="single"/>
              </w:rPr>
            </w:pPr>
          </w:p>
        </w:tc>
      </w:tr>
      <w:tr w:rsidR="00822294" w:rsidRPr="000412A1" w14:paraId="58AE9A6F" w14:textId="77777777" w:rsidTr="007442F8">
        <w:trPr>
          <w:gridAfter w:val="1"/>
          <w:wAfter w:w="70" w:type="pct"/>
        </w:trPr>
        <w:tc>
          <w:tcPr>
            <w:tcW w:w="4930" w:type="pct"/>
            <w:gridSpan w:val="3"/>
            <w:shd w:val="clear" w:color="auto" w:fill="FFC000"/>
          </w:tcPr>
          <w:p w14:paraId="4E601FBE" w14:textId="77777777" w:rsidR="00822294" w:rsidRPr="00C042DA" w:rsidRDefault="00822294" w:rsidP="0003373B">
            <w:pPr>
              <w:pStyle w:val="ListParagraph"/>
              <w:numPr>
                <w:ilvl w:val="0"/>
                <w:numId w:val="3"/>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2100ED4A" w14:textId="77777777" w:rsidTr="007442F8">
        <w:trPr>
          <w:gridAfter w:val="1"/>
          <w:wAfter w:w="70" w:type="pct"/>
        </w:trPr>
        <w:tc>
          <w:tcPr>
            <w:tcW w:w="1202" w:type="pct"/>
            <w:shd w:val="clear" w:color="auto" w:fill="D9D9D9" w:themeFill="background1" w:themeFillShade="D9"/>
          </w:tcPr>
          <w:p w14:paraId="3D676912" w14:textId="77777777"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14:paraId="43369BB9"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proofErr w:type="gramStart"/>
            <w:r w:rsidR="004B2DC0" w:rsidRPr="004E377A">
              <w:rPr>
                <w:rFonts w:cs="Arial"/>
                <w:i/>
                <w:color w:val="FF0000"/>
                <w:szCs w:val="24"/>
              </w:rPr>
              <w:t xml:space="preserve">provider </w:t>
            </w:r>
            <w:r w:rsidRPr="004E377A">
              <w:rPr>
                <w:rFonts w:cs="Arial"/>
                <w:i/>
                <w:color w:val="FF0000"/>
                <w:szCs w:val="24"/>
              </w:rPr>
              <w:t>]</w:t>
            </w:r>
            <w:proofErr w:type="gramEnd"/>
          </w:p>
        </w:tc>
      </w:tr>
      <w:tr w:rsidR="001350E0" w:rsidRPr="000412A1" w14:paraId="423A03D9" w14:textId="77777777" w:rsidTr="007442F8">
        <w:trPr>
          <w:gridAfter w:val="1"/>
          <w:wAfter w:w="70" w:type="pct"/>
        </w:trPr>
        <w:tc>
          <w:tcPr>
            <w:tcW w:w="1202" w:type="pct"/>
            <w:shd w:val="clear" w:color="auto" w:fill="D9D9D9" w:themeFill="background1" w:themeFillShade="D9"/>
          </w:tcPr>
          <w:p w14:paraId="3B9BE4A2"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669EEFE5"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7A66043F" w14:textId="77777777" w:rsidR="001350E0" w:rsidRPr="00D95C75" w:rsidRDefault="001350E0" w:rsidP="00F506AC">
            <w:pPr>
              <w:rPr>
                <w:rFonts w:cs="Arial"/>
                <w:b/>
                <w:szCs w:val="24"/>
                <w:u w:val="single"/>
              </w:rPr>
            </w:pPr>
          </w:p>
        </w:tc>
        <w:tc>
          <w:tcPr>
            <w:tcW w:w="3729" w:type="pct"/>
            <w:gridSpan w:val="2"/>
            <w:shd w:val="clear" w:color="auto" w:fill="FFFF00"/>
          </w:tcPr>
          <w:p w14:paraId="36BDDFD8" w14:textId="5B90E69A" w:rsidR="001350E0" w:rsidRDefault="00822294" w:rsidP="00822294">
            <w:pPr>
              <w:rPr>
                <w:rFonts w:cs="Arial"/>
                <w:i/>
                <w:color w:val="FF0000"/>
                <w:szCs w:val="24"/>
              </w:rPr>
            </w:pPr>
            <w:r>
              <w:rPr>
                <w:rFonts w:cs="Arial"/>
                <w:szCs w:val="24"/>
              </w:rPr>
              <w:t>201</w:t>
            </w:r>
            <w:r w:rsidR="00F506AC">
              <w:rPr>
                <w:rFonts w:cs="Arial"/>
                <w:szCs w:val="24"/>
              </w:rPr>
              <w:t xml:space="preserve">9/20 </w:t>
            </w:r>
          </w:p>
          <w:p w14:paraId="2D413E28" w14:textId="7D8FD23E" w:rsidR="00970BD6" w:rsidRDefault="00970BD6" w:rsidP="00822294">
            <w:pPr>
              <w:rPr>
                <w:rFonts w:cs="Arial"/>
                <w:i/>
                <w:color w:val="FF0000"/>
                <w:szCs w:val="24"/>
              </w:rPr>
            </w:pPr>
            <w:r w:rsidRPr="00970BD6">
              <w:rPr>
                <w:rFonts w:cs="Arial"/>
                <w:szCs w:val="24"/>
              </w:rPr>
              <w:t>One</w:t>
            </w:r>
            <w:r w:rsidR="003043C9">
              <w:rPr>
                <w:rFonts w:cs="Arial"/>
                <w:szCs w:val="24"/>
              </w:rPr>
              <w:t xml:space="preserve"> year</w:t>
            </w:r>
          </w:p>
          <w:p w14:paraId="3AFA5275" w14:textId="77777777" w:rsidR="00C00C64" w:rsidRDefault="00C00C64" w:rsidP="00822294">
            <w:pPr>
              <w:rPr>
                <w:rFonts w:cs="Arial"/>
                <w:i/>
                <w:color w:val="FF0000"/>
                <w:szCs w:val="24"/>
              </w:rPr>
            </w:pPr>
          </w:p>
          <w:p w14:paraId="303A28BF" w14:textId="77777777" w:rsidR="00C00C64" w:rsidRPr="000412A1" w:rsidRDefault="00C00C64" w:rsidP="00822294">
            <w:pPr>
              <w:rPr>
                <w:rFonts w:cs="Arial"/>
                <w:szCs w:val="24"/>
              </w:rPr>
            </w:pPr>
          </w:p>
        </w:tc>
      </w:tr>
      <w:tr w:rsidR="00154269" w:rsidRPr="000412A1" w14:paraId="3B5CD56D" w14:textId="77777777" w:rsidTr="007442F8">
        <w:trPr>
          <w:gridAfter w:val="1"/>
          <w:wAfter w:w="70" w:type="pct"/>
        </w:trPr>
        <w:tc>
          <w:tcPr>
            <w:tcW w:w="1202" w:type="pct"/>
            <w:shd w:val="clear" w:color="auto" w:fill="D9D9D9" w:themeFill="background1" w:themeFillShade="D9"/>
          </w:tcPr>
          <w:p w14:paraId="46B27B37"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14:paraId="482DCF96"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208188D5" w14:textId="77777777" w:rsidR="00154269" w:rsidRPr="000412A1" w:rsidRDefault="00154269" w:rsidP="0084461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246B16F7" w14:textId="77777777" w:rsidR="000E33C9" w:rsidRPr="00EE0EE9" w:rsidRDefault="000E33C9" w:rsidP="003759F0">
            <w:pPr>
              <w:keepNext/>
              <w:rPr>
                <w:rFonts w:cs="Arial"/>
                <w:color w:val="FF0000"/>
                <w:szCs w:val="24"/>
              </w:rPr>
            </w:pPr>
          </w:p>
        </w:tc>
      </w:tr>
      <w:tr w:rsidR="00D54163" w:rsidRPr="000412A1" w14:paraId="688E52EA" w14:textId="77777777" w:rsidTr="007442F8">
        <w:trPr>
          <w:gridAfter w:val="1"/>
          <w:wAfter w:w="70" w:type="pct"/>
        </w:trPr>
        <w:tc>
          <w:tcPr>
            <w:tcW w:w="4930" w:type="pct"/>
            <w:gridSpan w:val="3"/>
            <w:shd w:val="clear" w:color="auto" w:fill="FFFF00"/>
          </w:tcPr>
          <w:p w14:paraId="73748C50" w14:textId="77777777" w:rsidR="00D54163" w:rsidRPr="00D95C75" w:rsidRDefault="00D54163" w:rsidP="0084461B">
            <w:pPr>
              <w:rPr>
                <w:rFonts w:cs="Arial"/>
                <w:b/>
                <w:szCs w:val="24"/>
                <w:u w:val="single"/>
              </w:rPr>
            </w:pPr>
            <w:r w:rsidRPr="00D95C75">
              <w:rPr>
                <w:rFonts w:cs="Arial"/>
                <w:b/>
                <w:szCs w:val="24"/>
                <w:u w:val="single"/>
              </w:rPr>
              <w:t>B4. Payment Triggers.</w:t>
            </w:r>
          </w:p>
          <w:p w14:paraId="5937D179"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4D6BE4E6" w14:textId="77777777" w:rsidR="00EC3C9D" w:rsidRDefault="00EC3C9D" w:rsidP="0084461B">
            <w:pPr>
              <w:rPr>
                <w:rFonts w:cs="Arial"/>
                <w:szCs w:val="24"/>
              </w:rPr>
            </w:pPr>
          </w:p>
          <w:p w14:paraId="3F393282"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10536EBC" w14:textId="77777777" w:rsidR="00EC3C9D" w:rsidRDefault="00EC3C9D" w:rsidP="0084461B">
            <w:pPr>
              <w:rPr>
                <w:rFonts w:cs="Arial"/>
                <w:szCs w:val="24"/>
              </w:rPr>
            </w:pPr>
          </w:p>
          <w:p w14:paraId="6BCBDD0A"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54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3811"/>
            </w:tblGrid>
            <w:tr w:rsidR="00D81F23" w:rsidRPr="00C0263E" w14:paraId="41B88408" w14:textId="77777777" w:rsidTr="00D81F23">
              <w:tc>
                <w:tcPr>
                  <w:tcW w:w="1593" w:type="dxa"/>
                  <w:tcBorders>
                    <w:top w:val="single" w:sz="4" w:space="0" w:color="auto"/>
                    <w:left w:val="single" w:sz="4" w:space="0" w:color="auto"/>
                    <w:bottom w:val="single" w:sz="4" w:space="0" w:color="auto"/>
                    <w:right w:val="single" w:sz="4" w:space="0" w:color="auto"/>
                  </w:tcBorders>
                  <w:shd w:val="clear" w:color="auto" w:fill="F2F2F2"/>
                </w:tcPr>
                <w:p w14:paraId="06EBB210" w14:textId="77777777" w:rsidR="00D81F23" w:rsidRPr="00C0263E" w:rsidRDefault="00D81F23" w:rsidP="0084461B">
                  <w:pPr>
                    <w:spacing w:before="40" w:after="40"/>
                    <w:rPr>
                      <w:rFonts w:cs="Arial"/>
                      <w:b/>
                      <w:szCs w:val="24"/>
                    </w:rPr>
                  </w:pPr>
                  <w:r>
                    <w:rPr>
                      <w:rFonts w:cs="Arial"/>
                      <w:b/>
                      <w:szCs w:val="24"/>
                    </w:rPr>
                    <w:t>Provider specific triggers</w:t>
                  </w:r>
                </w:p>
              </w:tc>
              <w:tc>
                <w:tcPr>
                  <w:tcW w:w="3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1AB2CE" w14:textId="77777777" w:rsidR="00D81F23" w:rsidRPr="00EC3C9D" w:rsidRDefault="00D81F23"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r>
            <w:tr w:rsidR="00D81F23" w:rsidRPr="00C0263E" w14:paraId="52ED6D78" w14:textId="77777777" w:rsidTr="00D81F23">
              <w:tc>
                <w:tcPr>
                  <w:tcW w:w="1593" w:type="dxa"/>
                  <w:tcBorders>
                    <w:top w:val="single" w:sz="4" w:space="0" w:color="auto"/>
                    <w:left w:val="single" w:sz="4" w:space="0" w:color="auto"/>
                    <w:bottom w:val="single" w:sz="4" w:space="0" w:color="auto"/>
                    <w:right w:val="single" w:sz="4" w:space="0" w:color="auto"/>
                  </w:tcBorders>
                  <w:shd w:val="clear" w:color="auto" w:fill="F2F2F2"/>
                  <w:hideMark/>
                </w:tcPr>
                <w:p w14:paraId="5EADEF6F" w14:textId="77777777" w:rsidR="00D81F23" w:rsidRDefault="00D81F23" w:rsidP="0084461B">
                  <w:pPr>
                    <w:spacing w:before="40" w:after="40"/>
                    <w:rPr>
                      <w:rFonts w:cs="Arial"/>
                      <w:b/>
                      <w:szCs w:val="24"/>
                    </w:rPr>
                  </w:pPr>
                  <w:r>
                    <w:rPr>
                      <w:rFonts w:cs="Arial"/>
                      <w:b/>
                      <w:szCs w:val="24"/>
                    </w:rPr>
                    <w:t>Trigger 1:</w:t>
                  </w:r>
                </w:p>
                <w:p w14:paraId="51C76EEF" w14:textId="612FCC6F" w:rsidR="00D81F23" w:rsidRPr="00C0263E" w:rsidRDefault="00D81F23"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6AF79918" w14:textId="7F8D94E0" w:rsidR="00D81F23" w:rsidRPr="00C0263E" w:rsidRDefault="00D81F23" w:rsidP="0084461B">
                  <w:pPr>
                    <w:spacing w:before="40" w:after="40"/>
                    <w:rPr>
                      <w:rFonts w:cs="Arial"/>
                      <w:szCs w:val="24"/>
                    </w:rPr>
                  </w:pPr>
                </w:p>
              </w:tc>
            </w:tr>
            <w:tr w:rsidR="00D81F23" w:rsidRPr="00C0263E" w14:paraId="4FE1518A" w14:textId="77777777" w:rsidTr="00D81F23">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762AA61D" w14:textId="77777777" w:rsidR="00D81F23" w:rsidRDefault="00D81F23" w:rsidP="0084461B">
                  <w:pPr>
                    <w:spacing w:before="40" w:after="40"/>
                    <w:rPr>
                      <w:rFonts w:cs="Arial"/>
                      <w:b/>
                      <w:szCs w:val="24"/>
                    </w:rPr>
                  </w:pPr>
                  <w:r>
                    <w:rPr>
                      <w:rFonts w:cs="Arial"/>
                      <w:b/>
                      <w:szCs w:val="24"/>
                    </w:rPr>
                    <w:t>Trigger 2</w:t>
                  </w:r>
                </w:p>
                <w:p w14:paraId="5D338FF5" w14:textId="68D57D2B" w:rsidR="00D81F23" w:rsidRDefault="00D81F23"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1E2699B9" w14:textId="398DB68A" w:rsidR="00D81F23" w:rsidRDefault="00D81F23" w:rsidP="0084461B">
                  <w:pPr>
                    <w:spacing w:before="40" w:after="40"/>
                    <w:rPr>
                      <w:rFonts w:cs="Arial"/>
                      <w:szCs w:val="24"/>
                    </w:rPr>
                  </w:pPr>
                </w:p>
              </w:tc>
            </w:tr>
            <w:tr w:rsidR="00D81F23" w:rsidRPr="00C0263E" w14:paraId="3C19B25A" w14:textId="77777777" w:rsidTr="00D81F23">
              <w:trPr>
                <w:trHeight w:val="812"/>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081CE02B" w14:textId="77777777" w:rsidR="00D81F23" w:rsidRDefault="00D81F23" w:rsidP="0084461B">
                  <w:pPr>
                    <w:spacing w:before="40" w:after="40"/>
                    <w:rPr>
                      <w:rFonts w:cs="Arial"/>
                      <w:b/>
                      <w:szCs w:val="24"/>
                    </w:rPr>
                  </w:pPr>
                  <w:r>
                    <w:rPr>
                      <w:rFonts w:cs="Arial"/>
                      <w:b/>
                      <w:szCs w:val="24"/>
                    </w:rPr>
                    <w:t>Trigger 3:</w:t>
                  </w:r>
                </w:p>
                <w:p w14:paraId="1A356EBF" w14:textId="77777777" w:rsidR="00D81F23" w:rsidRDefault="00D81F23" w:rsidP="003C4055">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0EE6506F" w14:textId="732AA60A" w:rsidR="00D81F23" w:rsidRPr="00C0263E" w:rsidRDefault="00D81F23" w:rsidP="0084461B">
                  <w:pPr>
                    <w:spacing w:before="40" w:after="40"/>
                    <w:rPr>
                      <w:rFonts w:cs="Arial"/>
                      <w:szCs w:val="24"/>
                    </w:rPr>
                  </w:pPr>
                </w:p>
              </w:tc>
            </w:tr>
            <w:tr w:rsidR="00D81F23" w:rsidRPr="00C0263E" w14:paraId="4C53B282" w14:textId="77777777" w:rsidTr="00D81F23">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19E650DB" w14:textId="77777777" w:rsidR="00D81F23" w:rsidRDefault="00D81F23" w:rsidP="00057E1D">
                  <w:pPr>
                    <w:spacing w:before="40" w:after="40"/>
                    <w:rPr>
                      <w:rFonts w:cs="Arial"/>
                      <w:b/>
                      <w:szCs w:val="24"/>
                    </w:rPr>
                  </w:pPr>
                  <w:r>
                    <w:rPr>
                      <w:rFonts w:cs="Arial"/>
                      <w:b/>
                      <w:szCs w:val="24"/>
                    </w:rPr>
                    <w:t>Trigger 4</w:t>
                  </w:r>
                </w:p>
                <w:p w14:paraId="13FF93EC" w14:textId="27AF1481" w:rsidR="00D81F23" w:rsidRDefault="00D81F23"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4EDA78BC" w14:textId="0505F75E" w:rsidR="00D81F23" w:rsidRPr="00C0263E" w:rsidRDefault="00D81F23" w:rsidP="0084461B">
                  <w:pPr>
                    <w:spacing w:before="40" w:after="40"/>
                    <w:rPr>
                      <w:rFonts w:cs="Arial"/>
                      <w:szCs w:val="24"/>
                    </w:rPr>
                  </w:pPr>
                </w:p>
              </w:tc>
            </w:tr>
            <w:tr w:rsidR="00D81F23" w:rsidRPr="00C0263E" w14:paraId="1811CE61" w14:textId="77777777" w:rsidTr="00D81F23">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0B626E4D" w14:textId="4ED2228E" w:rsidR="00D81F23" w:rsidRDefault="00D81F23" w:rsidP="0084461B">
                  <w:pPr>
                    <w:spacing w:before="40" w:after="40"/>
                    <w:rPr>
                      <w:rFonts w:cs="Arial"/>
                      <w:b/>
                      <w:szCs w:val="24"/>
                    </w:rPr>
                  </w:pPr>
                  <w:r>
                    <w:rPr>
                      <w:rFonts w:cs="Arial"/>
                      <w:b/>
                      <w:szCs w:val="24"/>
                    </w:rPr>
                    <w:t>Trigger 5</w:t>
                  </w:r>
                </w:p>
                <w:p w14:paraId="5A2E36F8" w14:textId="77777777" w:rsidR="00D81F23" w:rsidRDefault="00D81F23"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39FFAE5F" w14:textId="78844E74" w:rsidR="00D81F23" w:rsidRPr="00C0263E" w:rsidRDefault="00D81F23" w:rsidP="00CA4F0E">
                  <w:pPr>
                    <w:spacing w:before="40" w:after="40"/>
                    <w:rPr>
                      <w:rFonts w:cs="Arial"/>
                      <w:szCs w:val="24"/>
                    </w:rPr>
                  </w:pPr>
                </w:p>
              </w:tc>
            </w:tr>
            <w:tr w:rsidR="00D81F23" w:rsidRPr="00C0263E" w14:paraId="66894B51" w14:textId="77777777" w:rsidTr="00D81F23">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5BE7FFCD" w14:textId="72C80615" w:rsidR="00D81F23" w:rsidRDefault="00D81F23" w:rsidP="0084461B">
                  <w:pPr>
                    <w:spacing w:before="40" w:after="40"/>
                    <w:rPr>
                      <w:rFonts w:cs="Arial"/>
                      <w:b/>
                      <w:szCs w:val="24"/>
                    </w:rPr>
                  </w:pPr>
                  <w:r>
                    <w:rPr>
                      <w:rFonts w:cs="Arial"/>
                      <w:b/>
                      <w:szCs w:val="24"/>
                    </w:rPr>
                    <w:t>Trigger 6</w:t>
                  </w:r>
                </w:p>
              </w:tc>
              <w:tc>
                <w:tcPr>
                  <w:tcW w:w="3811" w:type="dxa"/>
                  <w:tcBorders>
                    <w:top w:val="single" w:sz="4" w:space="0" w:color="auto"/>
                    <w:left w:val="single" w:sz="4" w:space="0" w:color="auto"/>
                    <w:bottom w:val="single" w:sz="4" w:space="0" w:color="auto"/>
                    <w:right w:val="single" w:sz="4" w:space="0" w:color="auto"/>
                  </w:tcBorders>
                </w:tcPr>
                <w:p w14:paraId="6E4D481E" w14:textId="77777777" w:rsidR="00D81F23" w:rsidRPr="00C0263E" w:rsidRDefault="00D81F23" w:rsidP="00CA4F0E">
                  <w:pPr>
                    <w:spacing w:before="40" w:after="40"/>
                    <w:rPr>
                      <w:rFonts w:cs="Arial"/>
                      <w:szCs w:val="24"/>
                    </w:rPr>
                  </w:pPr>
                </w:p>
              </w:tc>
            </w:tr>
          </w:tbl>
          <w:p w14:paraId="25119674" w14:textId="77777777" w:rsidR="00D54163" w:rsidRDefault="00D54163" w:rsidP="0084461B">
            <w:pPr>
              <w:rPr>
                <w:rFonts w:cs="Arial"/>
                <w:szCs w:val="24"/>
              </w:rPr>
            </w:pPr>
          </w:p>
          <w:p w14:paraId="2EC59C89" w14:textId="77777777" w:rsidR="00D54163" w:rsidRDefault="00D54163" w:rsidP="0084461B">
            <w:pPr>
              <w:rPr>
                <w:rFonts w:cs="Arial"/>
                <w:szCs w:val="24"/>
              </w:rPr>
            </w:pPr>
          </w:p>
          <w:p w14:paraId="6E12F6AE" w14:textId="77777777" w:rsidR="00D54163" w:rsidRDefault="00D54163" w:rsidP="0084461B">
            <w:pPr>
              <w:rPr>
                <w:rFonts w:cs="Arial"/>
                <w:szCs w:val="24"/>
              </w:rPr>
            </w:pPr>
          </w:p>
        </w:tc>
      </w:tr>
      <w:tr w:rsidR="00D95C75" w:rsidRPr="000412A1" w14:paraId="758A8199" w14:textId="77777777" w:rsidTr="007442F8">
        <w:tc>
          <w:tcPr>
            <w:tcW w:w="5000" w:type="pct"/>
            <w:gridSpan w:val="4"/>
            <w:shd w:val="clear" w:color="auto" w:fill="BFBFBF" w:themeFill="background1" w:themeFillShade="BF"/>
          </w:tcPr>
          <w:p w14:paraId="370FD5D1" w14:textId="77777777" w:rsidR="00D95C75" w:rsidRPr="00C0263E" w:rsidRDefault="00D95C75" w:rsidP="00A536ED">
            <w:pPr>
              <w:rPr>
                <w:rFonts w:cs="Arial"/>
                <w:szCs w:val="24"/>
              </w:rPr>
            </w:pPr>
            <w:r>
              <w:rPr>
                <w:rFonts w:cs="Arial"/>
                <w:b/>
                <w:color w:val="000000"/>
                <w:szCs w:val="24"/>
              </w:rPr>
              <w:lastRenderedPageBreak/>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14CA2522" w14:textId="77777777" w:rsidTr="007442F8">
        <w:tc>
          <w:tcPr>
            <w:tcW w:w="5000" w:type="pct"/>
            <w:gridSpan w:val="4"/>
            <w:shd w:val="clear" w:color="auto" w:fill="D9D9D9" w:themeFill="background1" w:themeFillShade="D9"/>
          </w:tcPr>
          <w:p w14:paraId="5D9AC025"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3EFF959A" w14:textId="77777777" w:rsidTr="007442F8">
        <w:tc>
          <w:tcPr>
            <w:tcW w:w="1774" w:type="pct"/>
            <w:gridSpan w:val="2"/>
            <w:shd w:val="clear" w:color="auto" w:fill="D9D9D9" w:themeFill="background1" w:themeFillShade="D9"/>
          </w:tcPr>
          <w:p w14:paraId="29FF4D17"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423D26A0"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1E04D2DA" w14:textId="77777777" w:rsidTr="007442F8">
        <w:tc>
          <w:tcPr>
            <w:tcW w:w="5000" w:type="pct"/>
            <w:gridSpan w:val="4"/>
            <w:shd w:val="clear" w:color="auto" w:fill="BFBFBF" w:themeFill="background1" w:themeFillShade="BF"/>
          </w:tcPr>
          <w:p w14:paraId="6E1B07BD"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11493B5C" w14:textId="77777777" w:rsidTr="004B0E39">
        <w:tc>
          <w:tcPr>
            <w:tcW w:w="5000" w:type="pct"/>
            <w:gridSpan w:val="4"/>
            <w:shd w:val="clear" w:color="auto" w:fill="auto"/>
          </w:tcPr>
          <w:p w14:paraId="062579EB" w14:textId="77777777" w:rsidR="006F34C7" w:rsidRPr="006F34C7" w:rsidRDefault="006F34C7" w:rsidP="006F34C7">
            <w:pPr>
              <w:ind w:left="1440"/>
              <w:rPr>
                <w:rFonts w:cs="Arial"/>
                <w:szCs w:val="24"/>
              </w:rPr>
            </w:pPr>
          </w:p>
          <w:p w14:paraId="32376878" w14:textId="69725662" w:rsidR="008B3632" w:rsidRPr="008B32C4" w:rsidRDefault="00B634DF" w:rsidP="008B32C4">
            <w:pPr>
              <w:numPr>
                <w:ilvl w:val="0"/>
                <w:numId w:val="13"/>
              </w:numPr>
              <w:rPr>
                <w:rFonts w:cs="Arial"/>
                <w:szCs w:val="24"/>
              </w:rPr>
            </w:pPr>
            <w:r w:rsidRPr="008B32C4">
              <w:rPr>
                <w:b/>
              </w:rPr>
              <w:t>Central costs must be transferred early in the first quarter</w:t>
            </w:r>
            <w:r>
              <w:t xml:space="preserve"> to allow central functions </w:t>
            </w:r>
            <w:r w:rsidR="006F34C7">
              <w:t xml:space="preserve">(the data management and analytics feedback framework which supports quality improvement across the system and allows the </w:t>
            </w:r>
            <w:proofErr w:type="spellStart"/>
            <w:r w:rsidR="006F34C7">
              <w:t>CFHealthHub</w:t>
            </w:r>
            <w:proofErr w:type="spellEnd"/>
            <w:r w:rsidR="006F34C7">
              <w:t xml:space="preserve"> platform to respond to learning during implementation) </w:t>
            </w:r>
            <w:r>
              <w:t>to be delivered from the beginning of the financial year.</w:t>
            </w:r>
            <w:r w:rsidR="008B32C4">
              <w:rPr>
                <w:rStyle w:val="FootnoteReference"/>
              </w:rPr>
              <w:footnoteReference w:id="1"/>
            </w:r>
            <w:r w:rsidR="00AE3F74">
              <w:t xml:space="preserve"> </w:t>
            </w:r>
          </w:p>
          <w:p w14:paraId="3116FB25" w14:textId="70CC20AA" w:rsidR="006F34C7" w:rsidRPr="00057E1D" w:rsidRDefault="00063D6D" w:rsidP="0003373B">
            <w:pPr>
              <w:numPr>
                <w:ilvl w:val="0"/>
                <w:numId w:val="13"/>
              </w:numPr>
              <w:rPr>
                <w:rFonts w:cs="Arial"/>
                <w:szCs w:val="24"/>
              </w:rPr>
            </w:pPr>
            <w:r w:rsidRPr="006F34C7">
              <w:t>Trusts will be invoiced by Sheffield in April 2019 for these payments, which relate to Trigger 1; commissioners should therefor</w:t>
            </w:r>
            <w:r w:rsidR="003C4055">
              <w:t>e</w:t>
            </w:r>
            <w:r w:rsidRPr="006F34C7">
              <w:t xml:space="preserve"> release</w:t>
            </w:r>
            <w:r w:rsidR="003C4055">
              <w:t xml:space="preserve"> advance</w:t>
            </w:r>
            <w:r w:rsidRPr="006F34C7">
              <w:t xml:space="preserve"> payment for Trigger 1 </w:t>
            </w:r>
            <w:r w:rsidR="003C4055">
              <w:t>on 1</w:t>
            </w:r>
            <w:r w:rsidR="003C4055" w:rsidRPr="003C4055">
              <w:rPr>
                <w:vertAlign w:val="superscript"/>
              </w:rPr>
              <w:t>st</w:t>
            </w:r>
            <w:r w:rsidR="003C4055">
              <w:t xml:space="preserve"> April 2019</w:t>
            </w:r>
            <w:r w:rsidRPr="006F34C7">
              <w:t xml:space="preserve">. </w:t>
            </w:r>
            <w:r w:rsidR="003C4055">
              <w:t xml:space="preserve">THIS ADVANCE PAYMENT WOULD NOT CONSTITUTE CONFIRMATION THAT THE TRIGGER PAYMENT WAS </w:t>
            </w:r>
            <w:r w:rsidR="003C4055">
              <w:lastRenderedPageBreak/>
              <w:t>EARNED; IF THE TRUST IS NOT COMPLIANT WITH TRIGGER 1, THIS PAYMENT COULD BE CLAWED BACK AT RECONCILIATION.</w:t>
            </w:r>
          </w:p>
          <w:p w14:paraId="620E1AC8" w14:textId="77777777" w:rsidR="00057E1D" w:rsidRPr="006F34C7" w:rsidRDefault="00057E1D" w:rsidP="00057E1D">
            <w:pPr>
              <w:ind w:left="720"/>
              <w:rPr>
                <w:rFonts w:cs="Arial"/>
                <w:szCs w:val="24"/>
              </w:rPr>
            </w:pPr>
          </w:p>
          <w:p w14:paraId="0DEF2B1D" w14:textId="2BC53005" w:rsidR="00CF3963" w:rsidRPr="006F34C7" w:rsidRDefault="00063D6D" w:rsidP="0003373B">
            <w:pPr>
              <w:numPr>
                <w:ilvl w:val="0"/>
                <w:numId w:val="13"/>
              </w:numPr>
              <w:rPr>
                <w:rFonts w:cs="Arial"/>
                <w:szCs w:val="24"/>
              </w:rPr>
            </w:pPr>
            <w:r w:rsidRPr="006F34C7">
              <w:t>For the other payment triggers, the default arrangement may apply: half payment of target CQUIN payment each month, reconciliation end of year depending upon achievement.</w:t>
            </w:r>
            <w:r>
              <w:t xml:space="preserve"> </w:t>
            </w:r>
            <w:r w:rsidR="00CF3963" w:rsidRPr="006F34C7">
              <w:rPr>
                <w:i/>
                <w:color w:val="FF0000"/>
              </w:rPr>
              <w:t>[Specify variation of this approach if required]</w:t>
            </w:r>
          </w:p>
          <w:p w14:paraId="2B55AFE2" w14:textId="77777777" w:rsidR="006B2327" w:rsidRDefault="006B2327" w:rsidP="0084461B">
            <w:pPr>
              <w:spacing w:before="40" w:after="40"/>
              <w:rPr>
                <w:rFonts w:cs="Arial"/>
                <w:b/>
                <w:color w:val="000000"/>
                <w:szCs w:val="24"/>
              </w:rPr>
            </w:pPr>
          </w:p>
        </w:tc>
      </w:tr>
    </w:tbl>
    <w:p w14:paraId="4176EC1F" w14:textId="77777777" w:rsidR="006B2327" w:rsidRDefault="006B2327" w:rsidP="00154269">
      <w:pPr>
        <w:rPr>
          <w:rFonts w:cs="Arial"/>
          <w:b/>
          <w:szCs w:val="24"/>
        </w:rPr>
      </w:pPr>
    </w:p>
    <w:p w14:paraId="0A4D47D8" w14:textId="77777777"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14:paraId="464277B3" w14:textId="77777777" w:rsidTr="00CF3963">
        <w:tc>
          <w:tcPr>
            <w:tcW w:w="5000" w:type="pct"/>
            <w:gridSpan w:val="3"/>
            <w:shd w:val="clear" w:color="auto" w:fill="BFBFBF" w:themeFill="background1" w:themeFillShade="BF"/>
          </w:tcPr>
          <w:p w14:paraId="51C9D022"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633809A7" w14:textId="77777777" w:rsidTr="00CF3963">
        <w:tc>
          <w:tcPr>
            <w:tcW w:w="5000" w:type="pct"/>
            <w:gridSpan w:val="3"/>
            <w:shd w:val="clear" w:color="auto" w:fill="BFBFBF" w:themeFill="background1" w:themeFillShade="BF"/>
          </w:tcPr>
          <w:p w14:paraId="7EF6F593"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7581C99B" w14:textId="77777777" w:rsidTr="002C4571">
        <w:tc>
          <w:tcPr>
            <w:tcW w:w="2085" w:type="pct"/>
            <w:shd w:val="clear" w:color="auto" w:fill="D9D9D9" w:themeFill="background1" w:themeFillShade="D9"/>
          </w:tcPr>
          <w:p w14:paraId="77D7323E"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15AF67EA" w14:textId="77777777" w:rsidR="00F506AC" w:rsidRDefault="00F506AC" w:rsidP="001F6AA3">
            <w:pPr>
              <w:rPr>
                <w:rFonts w:cs="Arial"/>
                <w:szCs w:val="24"/>
              </w:rPr>
            </w:pPr>
          </w:p>
        </w:tc>
        <w:tc>
          <w:tcPr>
            <w:tcW w:w="2915" w:type="pct"/>
            <w:gridSpan w:val="2"/>
          </w:tcPr>
          <w:p w14:paraId="05324B5C" w14:textId="1A38303E" w:rsidR="00F506AC" w:rsidRPr="004E377A" w:rsidRDefault="00F86256" w:rsidP="0084461B">
            <w:pPr>
              <w:rPr>
                <w:rFonts w:cs="Arial"/>
                <w:color w:val="FF0000"/>
                <w:szCs w:val="24"/>
              </w:rPr>
            </w:pPr>
            <w:r w:rsidRPr="00F86256">
              <w:rPr>
                <w:rFonts w:cs="Arial"/>
                <w:szCs w:val="24"/>
              </w:rPr>
              <w:t xml:space="preserve">All </w:t>
            </w:r>
            <w:r w:rsidR="00767018">
              <w:rPr>
                <w:rFonts w:cs="Arial"/>
                <w:szCs w:val="24"/>
              </w:rPr>
              <w:t xml:space="preserve">participating </w:t>
            </w:r>
            <w:r w:rsidRPr="00F86256">
              <w:rPr>
                <w:rFonts w:cs="Arial"/>
                <w:szCs w:val="24"/>
              </w:rPr>
              <w:t>Adult Cys</w:t>
            </w:r>
            <w:r w:rsidR="00BB3751">
              <w:rPr>
                <w:rFonts w:cs="Arial"/>
                <w:szCs w:val="24"/>
              </w:rPr>
              <w:t>tic Fibrosis Centres in England</w:t>
            </w:r>
            <w:r w:rsidRPr="00F86256">
              <w:rPr>
                <w:rFonts w:cs="Arial"/>
                <w:szCs w:val="24"/>
              </w:rPr>
              <w:t>.</w:t>
            </w:r>
          </w:p>
        </w:tc>
      </w:tr>
      <w:tr w:rsidR="00CF3963" w:rsidRPr="000412A1" w14:paraId="77205549" w14:textId="77777777" w:rsidTr="002C4571">
        <w:tc>
          <w:tcPr>
            <w:tcW w:w="2085" w:type="pct"/>
            <w:shd w:val="clear" w:color="auto" w:fill="D9D9D9" w:themeFill="background1" w:themeFillShade="D9"/>
          </w:tcPr>
          <w:p w14:paraId="0F204090" w14:textId="482CF123" w:rsidR="00CF3963" w:rsidRDefault="002C4571" w:rsidP="0084461B">
            <w:pPr>
              <w:rPr>
                <w:rFonts w:cs="Arial"/>
                <w:szCs w:val="24"/>
              </w:rPr>
            </w:pPr>
            <w:r w:rsidRPr="002C4571">
              <w:rPr>
                <w:rFonts w:cs="Arial"/>
                <w:b/>
                <w:szCs w:val="24"/>
              </w:rPr>
              <w:t xml:space="preserve">List of </w:t>
            </w:r>
            <w:r w:rsidR="004E377A">
              <w:rPr>
                <w:rFonts w:cs="Arial"/>
                <w:b/>
                <w:szCs w:val="24"/>
              </w:rPr>
              <w:t xml:space="preserve">Providers for whom Indicator is </w:t>
            </w:r>
            <w:r w:rsidR="004E377A" w:rsidRPr="002C4571">
              <w:rPr>
                <w:rFonts w:cs="Arial"/>
                <w:b/>
                <w:szCs w:val="24"/>
              </w:rPr>
              <w:t>Applicable</w:t>
            </w:r>
            <w:r w:rsidR="003525B3">
              <w:rPr>
                <w:rFonts w:cs="Arial"/>
                <w:b/>
                <w:szCs w:val="24"/>
              </w:rPr>
              <w:t xml:space="preserve"> </w:t>
            </w:r>
          </w:p>
          <w:p w14:paraId="63599486" w14:textId="77777777" w:rsidR="00CF3963" w:rsidRPr="000412A1" w:rsidRDefault="00CF3963" w:rsidP="001F6AA3">
            <w:pPr>
              <w:rPr>
                <w:rFonts w:cs="Arial"/>
                <w:szCs w:val="24"/>
              </w:rPr>
            </w:pPr>
          </w:p>
        </w:tc>
        <w:tc>
          <w:tcPr>
            <w:tcW w:w="2915" w:type="pct"/>
            <w:gridSpan w:val="2"/>
          </w:tcPr>
          <w:p w14:paraId="4B130C62" w14:textId="6A921A93" w:rsidR="003525B3" w:rsidRDefault="003525B3" w:rsidP="00F86256">
            <w:pPr>
              <w:rPr>
                <w:rFonts w:cs="Arial"/>
                <w:i/>
                <w:szCs w:val="24"/>
              </w:rPr>
            </w:pPr>
            <w:r>
              <w:rPr>
                <w:rFonts w:cs="Arial"/>
                <w:i/>
                <w:szCs w:val="24"/>
              </w:rPr>
              <w:t>*HIGHEST PRIORITY</w:t>
            </w:r>
          </w:p>
          <w:p w14:paraId="7EA3CC11" w14:textId="7F2BB6DC" w:rsidR="00CF3963" w:rsidRDefault="00F86256" w:rsidP="00F86256">
            <w:pPr>
              <w:rPr>
                <w:rFonts w:cs="Arial"/>
                <w:i/>
                <w:szCs w:val="24"/>
              </w:rPr>
            </w:pPr>
            <w:r>
              <w:rPr>
                <w:rFonts w:cs="Arial"/>
                <w:i/>
                <w:szCs w:val="24"/>
              </w:rPr>
              <w:t xml:space="preserve">Royal Brompton &amp; Harefield NHS Foundation Trust </w:t>
            </w:r>
            <w:r w:rsidR="00B10050">
              <w:rPr>
                <w:rFonts w:cs="Arial"/>
                <w:i/>
                <w:szCs w:val="24"/>
              </w:rPr>
              <w:t>(RT3)</w:t>
            </w:r>
          </w:p>
          <w:p w14:paraId="6CD89DE3" w14:textId="76612855" w:rsidR="00B10050" w:rsidRDefault="00B10050" w:rsidP="00F86256">
            <w:pPr>
              <w:rPr>
                <w:rFonts w:cs="Arial"/>
                <w:i/>
                <w:szCs w:val="24"/>
              </w:rPr>
            </w:pPr>
            <w:r>
              <w:rPr>
                <w:rFonts w:cs="Arial"/>
                <w:i/>
                <w:szCs w:val="24"/>
              </w:rPr>
              <w:t>Leeds Teaching Hospitals NHS Trust (RR8)</w:t>
            </w:r>
          </w:p>
          <w:p w14:paraId="0BD64214" w14:textId="2C6B36C8" w:rsidR="00B10050" w:rsidRDefault="003525B3" w:rsidP="00F86256">
            <w:pPr>
              <w:rPr>
                <w:rFonts w:cs="Arial"/>
                <w:i/>
                <w:szCs w:val="24"/>
              </w:rPr>
            </w:pPr>
            <w:r>
              <w:rPr>
                <w:rFonts w:cs="Arial"/>
                <w:i/>
                <w:szCs w:val="24"/>
              </w:rPr>
              <w:t>*</w:t>
            </w:r>
            <w:r w:rsidR="00B10050">
              <w:rPr>
                <w:rFonts w:cs="Arial"/>
                <w:i/>
                <w:szCs w:val="24"/>
              </w:rPr>
              <w:t xml:space="preserve">University Hospital Southampton NHS Foundation Trust (RHM) </w:t>
            </w:r>
            <w:r w:rsidR="00B10050">
              <w:rPr>
                <w:rFonts w:cs="Arial"/>
                <w:i/>
                <w:szCs w:val="24"/>
              </w:rPr>
              <w:br/>
            </w:r>
            <w:r>
              <w:rPr>
                <w:rFonts w:cs="Arial"/>
                <w:i/>
                <w:szCs w:val="24"/>
              </w:rPr>
              <w:t>*</w:t>
            </w:r>
            <w:r w:rsidR="00B10050">
              <w:rPr>
                <w:rFonts w:cs="Arial"/>
                <w:i/>
                <w:szCs w:val="24"/>
              </w:rPr>
              <w:t>The Newcastle upon Tyne Hospitals NHS Foundation Trust (RTD)</w:t>
            </w:r>
            <w:r w:rsidR="00B10050">
              <w:rPr>
                <w:rFonts w:cs="Arial"/>
                <w:i/>
                <w:szCs w:val="24"/>
              </w:rPr>
              <w:br/>
              <w:t>Kings College Hospital NHS Foundation Trust (RJZ)</w:t>
            </w:r>
            <w:r w:rsidR="00B10050">
              <w:rPr>
                <w:rFonts w:cs="Arial"/>
                <w:i/>
                <w:szCs w:val="24"/>
              </w:rPr>
              <w:br/>
            </w:r>
            <w:r>
              <w:rPr>
                <w:rFonts w:cs="Arial"/>
                <w:i/>
                <w:szCs w:val="24"/>
              </w:rPr>
              <w:t>*</w:t>
            </w:r>
            <w:r w:rsidR="00E003A1">
              <w:rPr>
                <w:rFonts w:cs="Arial"/>
                <w:i/>
                <w:szCs w:val="24"/>
              </w:rPr>
              <w:t>University Hospitals Bristol NHS Foundation Trust (RA7)</w:t>
            </w:r>
            <w:r w:rsidR="00E003A1">
              <w:rPr>
                <w:rFonts w:cs="Arial"/>
                <w:i/>
                <w:szCs w:val="24"/>
              </w:rPr>
              <w:br/>
              <w:t>Birmingham NHS Foundation Trust (RRK)</w:t>
            </w:r>
            <w:r w:rsidR="00767018">
              <w:rPr>
                <w:rFonts w:cs="Arial"/>
                <w:i/>
                <w:szCs w:val="24"/>
              </w:rPr>
              <w:t xml:space="preserve"> (including Heart of England)</w:t>
            </w:r>
            <w:r w:rsidR="00E003A1">
              <w:rPr>
                <w:rFonts w:cs="Arial"/>
                <w:i/>
                <w:szCs w:val="24"/>
              </w:rPr>
              <w:br/>
            </w:r>
            <w:r>
              <w:rPr>
                <w:rFonts w:cs="Arial"/>
                <w:i/>
                <w:szCs w:val="24"/>
              </w:rPr>
              <w:t>*</w:t>
            </w:r>
            <w:proofErr w:type="spellStart"/>
            <w:r w:rsidR="00E003A1">
              <w:rPr>
                <w:rFonts w:cs="Arial"/>
                <w:i/>
                <w:szCs w:val="24"/>
              </w:rPr>
              <w:t>Barts</w:t>
            </w:r>
            <w:proofErr w:type="spellEnd"/>
            <w:r w:rsidR="00E003A1">
              <w:rPr>
                <w:rFonts w:cs="Arial"/>
                <w:i/>
                <w:szCs w:val="24"/>
              </w:rPr>
              <w:t xml:space="preserve"> Health NHS Trust (R1H)</w:t>
            </w:r>
            <w:r w:rsidR="00E003A1">
              <w:rPr>
                <w:rFonts w:cs="Arial"/>
                <w:i/>
                <w:szCs w:val="24"/>
              </w:rPr>
              <w:br/>
            </w:r>
            <w:r>
              <w:rPr>
                <w:rFonts w:cs="Arial"/>
                <w:i/>
                <w:szCs w:val="24"/>
              </w:rPr>
              <w:t>*</w:t>
            </w:r>
            <w:r w:rsidR="00E003A1">
              <w:rPr>
                <w:rFonts w:cs="Arial"/>
                <w:i/>
                <w:szCs w:val="24"/>
              </w:rPr>
              <w:t>Nottingham University Hospitals NHS Trust (RX1)</w:t>
            </w:r>
            <w:r w:rsidR="00E003A1">
              <w:rPr>
                <w:rFonts w:cs="Arial"/>
                <w:i/>
                <w:szCs w:val="24"/>
              </w:rPr>
              <w:br/>
            </w:r>
            <w:r>
              <w:rPr>
                <w:rFonts w:cs="Arial"/>
                <w:i/>
                <w:szCs w:val="24"/>
              </w:rPr>
              <w:t>*</w:t>
            </w:r>
            <w:r w:rsidR="00E003A1">
              <w:rPr>
                <w:rFonts w:cs="Arial"/>
                <w:i/>
                <w:szCs w:val="24"/>
              </w:rPr>
              <w:t>Oxford University Hospitals NHS Trust (RTH)</w:t>
            </w:r>
            <w:r w:rsidR="00E003A1">
              <w:rPr>
                <w:rFonts w:cs="Arial"/>
                <w:i/>
                <w:szCs w:val="24"/>
              </w:rPr>
              <w:br/>
              <w:t>Frimley Health NHS Foundation Trust (RDU)</w:t>
            </w:r>
            <w:r w:rsidR="00E003A1">
              <w:rPr>
                <w:rFonts w:cs="Arial"/>
                <w:i/>
                <w:szCs w:val="24"/>
              </w:rPr>
              <w:br/>
            </w:r>
            <w:r>
              <w:rPr>
                <w:rFonts w:cs="Arial"/>
                <w:i/>
                <w:szCs w:val="24"/>
              </w:rPr>
              <w:t>*</w:t>
            </w:r>
            <w:r w:rsidR="00E003A1">
              <w:rPr>
                <w:rFonts w:cs="Arial"/>
                <w:i/>
                <w:szCs w:val="24"/>
              </w:rPr>
              <w:t>Royal Devon and Exeter NHS Foundation Trust (RH8)</w:t>
            </w:r>
            <w:r w:rsidR="00E003A1">
              <w:rPr>
                <w:rFonts w:cs="Arial"/>
                <w:i/>
                <w:szCs w:val="24"/>
              </w:rPr>
              <w:br/>
            </w:r>
            <w:r>
              <w:rPr>
                <w:rFonts w:cs="Arial"/>
                <w:i/>
                <w:szCs w:val="24"/>
              </w:rPr>
              <w:t>*</w:t>
            </w:r>
            <w:r w:rsidR="00E003A1">
              <w:rPr>
                <w:rFonts w:cs="Arial"/>
                <w:i/>
                <w:szCs w:val="24"/>
              </w:rPr>
              <w:t>University Hospitals of Leicester NHS Trust (RWE)</w:t>
            </w:r>
            <w:r w:rsidR="00E003A1">
              <w:rPr>
                <w:rFonts w:cs="Arial"/>
                <w:i/>
                <w:szCs w:val="24"/>
              </w:rPr>
              <w:br/>
            </w:r>
            <w:r>
              <w:rPr>
                <w:rFonts w:cs="Arial"/>
                <w:i/>
                <w:szCs w:val="24"/>
              </w:rPr>
              <w:t>*</w:t>
            </w:r>
            <w:r w:rsidR="00E003A1">
              <w:rPr>
                <w:rFonts w:cs="Arial"/>
                <w:i/>
                <w:szCs w:val="24"/>
              </w:rPr>
              <w:t>Norfolk and Norwich University Hospitals NHS Foundation Trust (RM1)</w:t>
            </w:r>
            <w:r w:rsidR="00E003A1">
              <w:rPr>
                <w:rFonts w:cs="Arial"/>
                <w:i/>
                <w:szCs w:val="24"/>
              </w:rPr>
              <w:br/>
            </w:r>
            <w:r>
              <w:rPr>
                <w:rFonts w:cs="Arial"/>
                <w:i/>
                <w:szCs w:val="24"/>
              </w:rPr>
              <w:t>*</w:t>
            </w:r>
            <w:r w:rsidR="00E003A1">
              <w:rPr>
                <w:rFonts w:cs="Arial"/>
                <w:i/>
                <w:szCs w:val="24"/>
              </w:rPr>
              <w:t>Sheffield Teaching Hospitals NHS Foundation Trust (RHQ)</w:t>
            </w:r>
            <w:r w:rsidR="00E003A1">
              <w:rPr>
                <w:rFonts w:cs="Arial"/>
                <w:i/>
                <w:szCs w:val="24"/>
              </w:rPr>
              <w:br/>
            </w:r>
            <w:r>
              <w:rPr>
                <w:rFonts w:cs="Arial"/>
                <w:i/>
                <w:szCs w:val="24"/>
              </w:rPr>
              <w:t>*</w:t>
            </w:r>
            <w:r w:rsidR="00E003A1">
              <w:rPr>
                <w:rFonts w:cs="Arial"/>
                <w:i/>
                <w:szCs w:val="24"/>
              </w:rPr>
              <w:t>Plymouth Hospitals NHS Trust( RK9)</w:t>
            </w:r>
            <w:r w:rsidR="00E003A1">
              <w:rPr>
                <w:rFonts w:cs="Arial"/>
                <w:i/>
                <w:szCs w:val="24"/>
              </w:rPr>
              <w:br/>
            </w:r>
            <w:r>
              <w:rPr>
                <w:rFonts w:cs="Arial"/>
                <w:i/>
                <w:szCs w:val="24"/>
              </w:rPr>
              <w:t>*</w:t>
            </w:r>
            <w:r w:rsidR="00E003A1">
              <w:rPr>
                <w:rFonts w:cs="Arial"/>
                <w:i/>
                <w:szCs w:val="24"/>
              </w:rPr>
              <w:t xml:space="preserve">York </w:t>
            </w:r>
            <w:r w:rsidR="00C55AF8">
              <w:rPr>
                <w:rFonts w:cs="Arial"/>
                <w:i/>
                <w:szCs w:val="24"/>
              </w:rPr>
              <w:t>Teaching Hospital (RCB)</w:t>
            </w:r>
            <w:r w:rsidR="005308AC">
              <w:rPr>
                <w:rFonts w:cs="Arial"/>
                <w:i/>
                <w:szCs w:val="24"/>
              </w:rPr>
              <w:t xml:space="preserve"> (also serving Hull)</w:t>
            </w:r>
            <w:r w:rsidR="00E003A1">
              <w:rPr>
                <w:rFonts w:cs="Arial"/>
                <w:i/>
                <w:szCs w:val="24"/>
              </w:rPr>
              <w:br/>
            </w:r>
            <w:r>
              <w:rPr>
                <w:rFonts w:cs="Arial"/>
                <w:i/>
                <w:szCs w:val="24"/>
              </w:rPr>
              <w:t>*</w:t>
            </w:r>
            <w:r w:rsidR="00E003A1">
              <w:rPr>
                <w:rFonts w:cs="Arial"/>
                <w:i/>
                <w:szCs w:val="24"/>
              </w:rPr>
              <w:t>University Hospital of North Midlands (Stoke)</w:t>
            </w:r>
            <w:r w:rsidR="001710ED">
              <w:rPr>
                <w:rFonts w:cs="Arial"/>
                <w:i/>
                <w:szCs w:val="24"/>
              </w:rPr>
              <w:t xml:space="preserve"> (RJE)</w:t>
            </w:r>
            <w:r w:rsidR="00E003A1">
              <w:rPr>
                <w:rFonts w:cs="Arial"/>
                <w:i/>
                <w:szCs w:val="24"/>
              </w:rPr>
              <w:br/>
              <w:t>University Hospital Lewisham</w:t>
            </w:r>
            <w:r w:rsidR="00F54629">
              <w:rPr>
                <w:rFonts w:cs="Arial"/>
                <w:i/>
                <w:szCs w:val="24"/>
              </w:rPr>
              <w:t xml:space="preserve"> (RJ2)</w:t>
            </w:r>
          </w:p>
          <w:p w14:paraId="4E840680" w14:textId="6C959958" w:rsidR="00F54629" w:rsidRDefault="005308AC" w:rsidP="00F86256">
            <w:pPr>
              <w:rPr>
                <w:rFonts w:cs="Arial"/>
                <w:i/>
                <w:szCs w:val="24"/>
              </w:rPr>
            </w:pPr>
            <w:r>
              <w:rPr>
                <w:rFonts w:cs="Arial"/>
                <w:i/>
                <w:szCs w:val="24"/>
              </w:rPr>
              <w:t>Blackpool Teaching Hospital</w:t>
            </w:r>
            <w:r w:rsidR="0033349B">
              <w:rPr>
                <w:rFonts w:cs="Arial"/>
                <w:i/>
                <w:szCs w:val="24"/>
              </w:rPr>
              <w:t xml:space="preserve"> (RXL)</w:t>
            </w:r>
          </w:p>
          <w:p w14:paraId="4D2DF517" w14:textId="377BE2DA" w:rsidR="00F54629" w:rsidRPr="00CA40CD" w:rsidRDefault="00F54629" w:rsidP="00F86256">
            <w:pPr>
              <w:rPr>
                <w:rFonts w:cs="Arial"/>
                <w:i/>
                <w:szCs w:val="24"/>
              </w:rPr>
            </w:pPr>
            <w:r>
              <w:rPr>
                <w:rFonts w:cs="Arial"/>
                <w:i/>
                <w:szCs w:val="24"/>
              </w:rPr>
              <w:t>Liverpool Heart and Chest (RBQ)</w:t>
            </w:r>
          </w:p>
        </w:tc>
      </w:tr>
      <w:tr w:rsidR="00CF3963" w:rsidRPr="000412A1" w14:paraId="4F31BF79" w14:textId="77777777" w:rsidTr="00CF3963">
        <w:tc>
          <w:tcPr>
            <w:tcW w:w="5000" w:type="pct"/>
            <w:gridSpan w:val="3"/>
            <w:shd w:val="clear" w:color="auto" w:fill="BFBFBF" w:themeFill="background1" w:themeFillShade="BF"/>
          </w:tcPr>
          <w:p w14:paraId="2E74BADF" w14:textId="77777777" w:rsidR="00CF3963" w:rsidRPr="004B2DC0" w:rsidRDefault="00CF3963" w:rsidP="00C25612">
            <w:pPr>
              <w:spacing w:before="40" w:after="40"/>
              <w:rPr>
                <w:rFonts w:cs="Arial"/>
                <w:b/>
                <w:color w:val="000000"/>
                <w:szCs w:val="24"/>
              </w:rPr>
            </w:pPr>
            <w:r>
              <w:rPr>
                <w:rFonts w:cs="Arial"/>
                <w:b/>
                <w:szCs w:val="24"/>
              </w:rPr>
              <w:t xml:space="preserve">C2. </w:t>
            </w:r>
            <w:r w:rsidR="00C25612">
              <w:rPr>
                <w:rFonts w:cs="Arial"/>
                <w:b/>
                <w:szCs w:val="24"/>
              </w:rPr>
              <w:t>Provider Specific Parameters</w:t>
            </w:r>
          </w:p>
        </w:tc>
      </w:tr>
      <w:tr w:rsidR="00C25612" w:rsidRPr="000412A1" w14:paraId="0CCC7642" w14:textId="77777777" w:rsidTr="002C4571">
        <w:trPr>
          <w:trHeight w:val="2153"/>
        </w:trPr>
        <w:tc>
          <w:tcPr>
            <w:tcW w:w="2188" w:type="pct"/>
            <w:gridSpan w:val="2"/>
            <w:shd w:val="clear" w:color="auto" w:fill="D9D9D9" w:themeFill="background1" w:themeFillShade="D9"/>
          </w:tcPr>
          <w:p w14:paraId="428B6338" w14:textId="77777777" w:rsidR="00C25612" w:rsidRPr="001F6AA3" w:rsidRDefault="00C25612" w:rsidP="00C25612">
            <w:pPr>
              <w:rPr>
                <w:rFonts w:cs="Arial"/>
                <w:b/>
                <w:i/>
                <w:szCs w:val="24"/>
              </w:rPr>
            </w:pPr>
            <w:r w:rsidRPr="001F6AA3">
              <w:rPr>
                <w:rFonts w:cs="Arial"/>
                <w:b/>
                <w:szCs w:val="24"/>
              </w:rPr>
              <w:lastRenderedPageBreak/>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786A2226" w14:textId="77777777" w:rsidR="00C25612" w:rsidRDefault="00C25612" w:rsidP="00C25612">
            <w:pPr>
              <w:rPr>
                <w:rFonts w:cs="Arial"/>
                <w:szCs w:val="24"/>
                <w:u w:val="single"/>
              </w:rPr>
            </w:pPr>
          </w:p>
        </w:tc>
        <w:tc>
          <w:tcPr>
            <w:tcW w:w="2812" w:type="pct"/>
          </w:tcPr>
          <w:p w14:paraId="1AACFE99" w14:textId="6B34BC46" w:rsidR="006D0CDB" w:rsidRDefault="006D0CDB" w:rsidP="00C25612">
            <w:pPr>
              <w:rPr>
                <w:rFonts w:cs="Arial"/>
                <w:szCs w:val="24"/>
              </w:rPr>
            </w:pPr>
            <w:r w:rsidRPr="006D0CDB">
              <w:rPr>
                <w:rFonts w:cs="Arial"/>
                <w:szCs w:val="24"/>
              </w:rPr>
              <w:t>CF Registry data will be used to identify the patients in the centre with chronic pseudomonas (paper in press).</w:t>
            </w:r>
          </w:p>
          <w:p w14:paraId="6127B0AE" w14:textId="77777777" w:rsidR="009A1B7E" w:rsidRPr="006D0CDB" w:rsidRDefault="009A1B7E" w:rsidP="00C25612">
            <w:pPr>
              <w:rPr>
                <w:rFonts w:cs="Arial"/>
                <w:szCs w:val="24"/>
              </w:rPr>
            </w:pPr>
          </w:p>
          <w:p w14:paraId="79AFF18B" w14:textId="02125F02" w:rsidR="006D0CDB" w:rsidRPr="006D0CDB" w:rsidRDefault="006D0CDB" w:rsidP="00C25612">
            <w:pPr>
              <w:rPr>
                <w:rFonts w:cs="Arial"/>
                <w:szCs w:val="24"/>
              </w:rPr>
            </w:pPr>
            <w:r w:rsidRPr="006D0CDB">
              <w:rPr>
                <w:rFonts w:cs="Arial"/>
                <w:szCs w:val="24"/>
              </w:rPr>
              <w:t xml:space="preserve">Centres will be </w:t>
            </w:r>
            <w:r w:rsidR="000A4FAD">
              <w:rPr>
                <w:rFonts w:cs="Arial"/>
                <w:szCs w:val="24"/>
              </w:rPr>
              <w:t xml:space="preserve">supported </w:t>
            </w:r>
            <w:r w:rsidRPr="006D0CDB">
              <w:rPr>
                <w:rFonts w:cs="Arial"/>
                <w:szCs w:val="24"/>
              </w:rPr>
              <w:t xml:space="preserve">to recruit </w:t>
            </w:r>
            <w:r w:rsidR="002C641E">
              <w:rPr>
                <w:rFonts w:cs="Arial"/>
                <w:szCs w:val="24"/>
              </w:rPr>
              <w:t xml:space="preserve">50 to </w:t>
            </w:r>
            <w:r w:rsidRPr="006D0CDB">
              <w:rPr>
                <w:rFonts w:cs="Arial"/>
                <w:szCs w:val="24"/>
              </w:rPr>
              <w:t xml:space="preserve">75% of patients with chronic pseudomonas to the </w:t>
            </w:r>
            <w:proofErr w:type="spellStart"/>
            <w:r w:rsidRPr="006D0CDB">
              <w:rPr>
                <w:rFonts w:cs="Arial"/>
                <w:szCs w:val="24"/>
              </w:rPr>
              <w:t>CFHealthHub</w:t>
            </w:r>
            <w:proofErr w:type="spellEnd"/>
            <w:r w:rsidRPr="006D0CDB">
              <w:rPr>
                <w:rFonts w:cs="Arial"/>
                <w:szCs w:val="24"/>
              </w:rPr>
              <w:t xml:space="preserve"> platform by the end of year 1</w:t>
            </w:r>
            <w:r w:rsidR="002C641E">
              <w:rPr>
                <w:rFonts w:cs="Arial"/>
                <w:szCs w:val="24"/>
              </w:rPr>
              <w:t>. Individual centres will vary in existing treatment regimens and devices</w:t>
            </w:r>
            <w:r w:rsidR="009A1B7E">
              <w:rPr>
                <w:rFonts w:cs="Arial"/>
                <w:szCs w:val="24"/>
              </w:rPr>
              <w:t>,</w:t>
            </w:r>
            <w:r w:rsidR="002C641E">
              <w:rPr>
                <w:rFonts w:cs="Arial"/>
                <w:szCs w:val="24"/>
              </w:rPr>
              <w:t xml:space="preserve"> so some centres may extend use of chipped devices to patients without chronic pseudomonas</w:t>
            </w:r>
            <w:r w:rsidR="009A1B7E">
              <w:rPr>
                <w:rFonts w:cs="Arial"/>
                <w:szCs w:val="24"/>
              </w:rPr>
              <w:t>. A</w:t>
            </w:r>
            <w:r w:rsidR="002C641E">
              <w:rPr>
                <w:rFonts w:cs="Arial"/>
                <w:szCs w:val="24"/>
              </w:rPr>
              <w:t>s such the suggestion that 50% to 75% of p</w:t>
            </w:r>
            <w:r w:rsidR="009A1B7E">
              <w:rPr>
                <w:rFonts w:cs="Arial"/>
                <w:szCs w:val="24"/>
              </w:rPr>
              <w:t>atients with chronic pseudomonas</w:t>
            </w:r>
            <w:r w:rsidR="002C641E">
              <w:rPr>
                <w:rFonts w:cs="Arial"/>
                <w:szCs w:val="24"/>
              </w:rPr>
              <w:t xml:space="preserve"> will receive chipped devices is flexible but there will be an expectation that interventionists allocate all the chipped devices that are provided in the CQUIN.</w:t>
            </w:r>
            <w:r w:rsidRPr="006D0CDB">
              <w:rPr>
                <w:rFonts w:cs="Arial"/>
                <w:szCs w:val="24"/>
              </w:rPr>
              <w:t xml:space="preserve"> </w:t>
            </w:r>
            <w:r w:rsidR="0024503A" w:rsidRPr="00785007">
              <w:rPr>
                <w:rFonts w:cs="Arial"/>
                <w:szCs w:val="24"/>
              </w:rPr>
              <w:t>Unlike in the randomised controlled trial</w:t>
            </w:r>
            <w:r w:rsidR="003525B3">
              <w:rPr>
                <w:rFonts w:cs="Arial"/>
                <w:szCs w:val="24"/>
              </w:rPr>
              <w:t>,</w:t>
            </w:r>
            <w:r w:rsidR="0024503A" w:rsidRPr="00785007">
              <w:rPr>
                <w:rFonts w:cs="Arial"/>
                <w:szCs w:val="24"/>
              </w:rPr>
              <w:t xml:space="preserve"> patients who have hybrid regimens with a wet nebuliser and a dry powder </w:t>
            </w:r>
            <w:proofErr w:type="spellStart"/>
            <w:r w:rsidR="0024503A" w:rsidRPr="00785007">
              <w:rPr>
                <w:rFonts w:cs="Arial"/>
                <w:szCs w:val="24"/>
              </w:rPr>
              <w:t>eg</w:t>
            </w:r>
            <w:proofErr w:type="spellEnd"/>
            <w:r w:rsidR="0024503A" w:rsidRPr="00785007">
              <w:rPr>
                <w:rFonts w:cs="Arial"/>
                <w:szCs w:val="24"/>
              </w:rPr>
              <w:t xml:space="preserve"> E-track for </w:t>
            </w:r>
            <w:proofErr w:type="spellStart"/>
            <w:r w:rsidR="0024503A" w:rsidRPr="00785007">
              <w:rPr>
                <w:rFonts w:cs="Arial"/>
                <w:szCs w:val="24"/>
              </w:rPr>
              <w:t>Dnase</w:t>
            </w:r>
            <w:proofErr w:type="spellEnd"/>
            <w:r w:rsidR="0024503A" w:rsidRPr="00785007">
              <w:rPr>
                <w:rFonts w:cs="Arial"/>
                <w:szCs w:val="24"/>
              </w:rPr>
              <w:t xml:space="preserve"> and dry powder for tobramycin can be recruited.</w:t>
            </w:r>
          </w:p>
          <w:p w14:paraId="6DD26A03" w14:textId="77777777" w:rsidR="006D0CDB" w:rsidRDefault="006D0CDB" w:rsidP="00C25612">
            <w:pPr>
              <w:rPr>
                <w:rFonts w:cs="Arial"/>
                <w:i/>
                <w:color w:val="FF0000"/>
                <w:szCs w:val="24"/>
              </w:rPr>
            </w:pPr>
          </w:p>
          <w:p w14:paraId="163F1319" w14:textId="77777777" w:rsidR="00C25612" w:rsidRDefault="00C25612" w:rsidP="006F34C7">
            <w:pPr>
              <w:rPr>
                <w:rFonts w:cs="Arial"/>
                <w:i/>
                <w:szCs w:val="24"/>
              </w:rPr>
            </w:pPr>
          </w:p>
        </w:tc>
      </w:tr>
      <w:tr w:rsidR="00CF3963" w:rsidRPr="000412A1" w14:paraId="586EDD46" w14:textId="77777777" w:rsidTr="00CF3963">
        <w:tc>
          <w:tcPr>
            <w:tcW w:w="5000" w:type="pct"/>
            <w:gridSpan w:val="3"/>
            <w:shd w:val="clear" w:color="auto" w:fill="BFBFBF" w:themeFill="background1" w:themeFillShade="BF"/>
          </w:tcPr>
          <w:p w14:paraId="1AE18318" w14:textId="77777777" w:rsidR="00CF3963" w:rsidRPr="000412A1" w:rsidRDefault="00CF3963" w:rsidP="0084461B">
            <w:pPr>
              <w:rPr>
                <w:rFonts w:eastAsiaTheme="minorEastAsia" w:cs="Arial"/>
                <w:b/>
                <w:szCs w:val="24"/>
              </w:rPr>
            </w:pPr>
            <w:r>
              <w:rPr>
                <w:rFonts w:eastAsiaTheme="minorEastAsia" w:cs="Arial"/>
                <w:b/>
                <w:szCs w:val="24"/>
              </w:rPr>
              <w:t xml:space="preserve">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2136AC96" w14:textId="77777777" w:rsidTr="00CF3963">
        <w:tc>
          <w:tcPr>
            <w:tcW w:w="5000" w:type="pct"/>
            <w:gridSpan w:val="3"/>
          </w:tcPr>
          <w:p w14:paraId="302BB10E"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3CDC81BB" w14:textId="685572A6" w:rsidR="00C808D3" w:rsidRDefault="00C808D3" w:rsidP="0084461B">
            <w:pPr>
              <w:rPr>
                <w:rFonts w:eastAsiaTheme="minorEastAsia" w:cs="Arial"/>
                <w:b/>
                <w:color w:val="000000" w:themeColor="text1"/>
                <w:szCs w:val="24"/>
              </w:rPr>
            </w:pPr>
          </w:p>
          <w:p w14:paraId="311C445D" w14:textId="5DCCB012" w:rsidR="006F34C7" w:rsidRDefault="006F34C7" w:rsidP="0084461B">
            <w:pPr>
              <w:rPr>
                <w:rFonts w:eastAsiaTheme="minorEastAsia" w:cs="Arial"/>
                <w:b/>
                <w:color w:val="000000" w:themeColor="text1"/>
                <w:szCs w:val="24"/>
              </w:rPr>
            </w:pPr>
            <w:r>
              <w:rPr>
                <w:rFonts w:eastAsiaTheme="minorEastAsia" w:cs="Arial"/>
                <w:b/>
                <w:color w:val="000000" w:themeColor="text1"/>
                <w:szCs w:val="24"/>
              </w:rPr>
              <w:t xml:space="preserve">Table 1 sets out the </w:t>
            </w:r>
            <w:r w:rsidR="00E71FA2">
              <w:rPr>
                <w:rFonts w:eastAsiaTheme="minorEastAsia" w:cs="Arial"/>
                <w:b/>
                <w:color w:val="000000" w:themeColor="text1"/>
                <w:szCs w:val="24"/>
              </w:rPr>
              <w:t xml:space="preserve">payments per provider. </w:t>
            </w:r>
          </w:p>
          <w:p w14:paraId="16A23845" w14:textId="77777777" w:rsidR="006F34C7" w:rsidRDefault="006F34C7" w:rsidP="00C808D3">
            <w:pPr>
              <w:jc w:val="center"/>
              <w:rPr>
                <w:rFonts w:eastAsiaTheme="minorEastAsia" w:cs="Arial"/>
                <w:b/>
                <w:color w:val="000000" w:themeColor="text1"/>
                <w:szCs w:val="24"/>
              </w:rPr>
            </w:pPr>
          </w:p>
          <w:p w14:paraId="59F25257" w14:textId="12A7FB5E" w:rsidR="00C808D3" w:rsidRPr="002F2327" w:rsidRDefault="00C808D3" w:rsidP="00E71FA2">
            <w:pPr>
              <w:jc w:val="center"/>
              <w:rPr>
                <w:rFonts w:eastAsiaTheme="minorEastAsia" w:cs="Arial"/>
                <w:color w:val="000000" w:themeColor="text1"/>
                <w:sz w:val="20"/>
                <w:szCs w:val="20"/>
              </w:rPr>
            </w:pPr>
            <w:r w:rsidRPr="00C808D3">
              <w:rPr>
                <w:rFonts w:eastAsiaTheme="minorEastAsia" w:cs="Arial"/>
                <w:b/>
                <w:color w:val="000000" w:themeColor="text1"/>
                <w:szCs w:val="24"/>
              </w:rPr>
              <w:t>Table 1</w:t>
            </w:r>
            <w:r w:rsidR="00805A48">
              <w:rPr>
                <w:rFonts w:eastAsiaTheme="minorEastAsia" w:cs="Arial"/>
                <w:color w:val="000000" w:themeColor="text1"/>
                <w:sz w:val="20"/>
                <w:szCs w:val="20"/>
              </w:rPr>
              <w:t xml:space="preserve"> </w:t>
            </w:r>
          </w:p>
          <w:p w14:paraId="6566724A" w14:textId="77777777" w:rsidR="002F2327" w:rsidRDefault="002F2327" w:rsidP="00C808D3">
            <w:pPr>
              <w:jc w:val="center"/>
              <w:rPr>
                <w:rFonts w:eastAsiaTheme="minorEastAsia" w:cs="Arial"/>
                <w:b/>
                <w:color w:val="000000" w:themeColor="text1"/>
                <w:szCs w:val="24"/>
              </w:rPr>
            </w:pPr>
          </w:p>
          <w:p w14:paraId="22A95347" w14:textId="54EC9EDD" w:rsidR="00802251" w:rsidRDefault="00802251" w:rsidP="0084461B">
            <w:pPr>
              <w:rPr>
                <w:rFonts w:eastAsiaTheme="minorEastAsia" w:cs="Arial"/>
                <w:i/>
                <w:color w:val="FF0000"/>
                <w:szCs w:val="24"/>
              </w:rPr>
            </w:pPr>
          </w:p>
          <w:tbl>
            <w:tblPr>
              <w:tblW w:w="6244" w:type="dxa"/>
              <w:tblLook w:val="04A0" w:firstRow="1" w:lastRow="0" w:firstColumn="1" w:lastColumn="0" w:noHBand="0" w:noVBand="1"/>
            </w:tblPr>
            <w:tblGrid>
              <w:gridCol w:w="1084"/>
              <w:gridCol w:w="4100"/>
              <w:gridCol w:w="1060"/>
            </w:tblGrid>
            <w:tr w:rsidR="00E71FA2" w:rsidRPr="00802251" w14:paraId="2A0EE986" w14:textId="77777777" w:rsidTr="00785007">
              <w:trPr>
                <w:trHeight w:val="1200"/>
              </w:trPr>
              <w:tc>
                <w:tcPr>
                  <w:tcW w:w="10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EA9A2E"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w:t>
                  </w:r>
                </w:p>
              </w:tc>
              <w:tc>
                <w:tcPr>
                  <w:tcW w:w="4100" w:type="dxa"/>
                  <w:tcBorders>
                    <w:top w:val="single" w:sz="8" w:space="0" w:color="auto"/>
                    <w:left w:val="nil"/>
                    <w:bottom w:val="single" w:sz="4" w:space="0" w:color="auto"/>
                    <w:right w:val="single" w:sz="4" w:space="0" w:color="auto"/>
                  </w:tcBorders>
                  <w:shd w:val="clear" w:color="auto" w:fill="auto"/>
                  <w:noWrap/>
                  <w:vAlign w:val="bottom"/>
                  <w:hideMark/>
                </w:tcPr>
                <w:p w14:paraId="362998B9"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w:t>
                  </w:r>
                </w:p>
              </w:tc>
              <w:tc>
                <w:tcPr>
                  <w:tcW w:w="1060" w:type="dxa"/>
                  <w:tcBorders>
                    <w:top w:val="single" w:sz="8" w:space="0" w:color="auto"/>
                    <w:left w:val="nil"/>
                    <w:bottom w:val="single" w:sz="4" w:space="0" w:color="auto"/>
                    <w:right w:val="single" w:sz="8" w:space="0" w:color="auto"/>
                  </w:tcBorders>
                  <w:shd w:val="clear" w:color="auto" w:fill="auto"/>
                  <w:vAlign w:val="bottom"/>
                  <w:hideMark/>
                </w:tcPr>
                <w:p w14:paraId="0A2434EC" w14:textId="6C8C4F57" w:rsidR="00E71FA2" w:rsidRPr="00802251" w:rsidRDefault="00E71FA2" w:rsidP="00802251">
                  <w:pPr>
                    <w:jc w:val="center"/>
                    <w:rPr>
                      <w:rFonts w:ascii="Calibri" w:hAnsi="Calibri" w:cs="Calibri"/>
                      <w:b/>
                      <w:color w:val="000000"/>
                      <w:sz w:val="22"/>
                      <w:szCs w:val="22"/>
                      <w:lang w:eastAsia="en-GB"/>
                    </w:rPr>
                  </w:pPr>
                  <w:r w:rsidRPr="00802251">
                    <w:rPr>
                      <w:rFonts w:ascii="Calibri" w:hAnsi="Calibri" w:cs="Calibri"/>
                      <w:b/>
                      <w:color w:val="000000"/>
                      <w:sz w:val="22"/>
                      <w:szCs w:val="22"/>
                      <w:lang w:eastAsia="en-GB"/>
                    </w:rPr>
                    <w:t xml:space="preserve">Total CQUIN payment </w:t>
                  </w:r>
                </w:p>
              </w:tc>
            </w:tr>
            <w:tr w:rsidR="00E71FA2" w:rsidRPr="00802251" w14:paraId="3D865D40"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19217E77"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RT3</w:t>
                  </w:r>
                </w:p>
              </w:tc>
              <w:tc>
                <w:tcPr>
                  <w:tcW w:w="4100" w:type="dxa"/>
                  <w:tcBorders>
                    <w:top w:val="nil"/>
                    <w:left w:val="nil"/>
                    <w:bottom w:val="single" w:sz="4" w:space="0" w:color="auto"/>
                    <w:right w:val="single" w:sz="4" w:space="0" w:color="auto"/>
                  </w:tcBorders>
                  <w:shd w:val="clear" w:color="auto" w:fill="auto"/>
                  <w:noWrap/>
                  <w:vAlign w:val="bottom"/>
                  <w:hideMark/>
                </w:tcPr>
                <w:p w14:paraId="34FD6B54"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Royal Brompton &amp; Harefield </w:t>
                  </w:r>
                </w:p>
              </w:tc>
              <w:tc>
                <w:tcPr>
                  <w:tcW w:w="1060" w:type="dxa"/>
                  <w:tcBorders>
                    <w:top w:val="nil"/>
                    <w:left w:val="nil"/>
                    <w:bottom w:val="single" w:sz="4" w:space="0" w:color="auto"/>
                    <w:right w:val="single" w:sz="8" w:space="0" w:color="auto"/>
                  </w:tcBorders>
                  <w:shd w:val="clear" w:color="auto" w:fill="auto"/>
                  <w:noWrap/>
                  <w:vAlign w:val="bottom"/>
                  <w:hideMark/>
                </w:tcPr>
                <w:p w14:paraId="74CED320"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£793,940</w:t>
                  </w:r>
                </w:p>
              </w:tc>
            </w:tr>
            <w:tr w:rsidR="00E71FA2" w:rsidRPr="00802251" w14:paraId="13979B5F"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66B42602"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RR8</w:t>
                  </w:r>
                </w:p>
              </w:tc>
              <w:tc>
                <w:tcPr>
                  <w:tcW w:w="4100" w:type="dxa"/>
                  <w:tcBorders>
                    <w:top w:val="nil"/>
                    <w:left w:val="nil"/>
                    <w:bottom w:val="single" w:sz="4" w:space="0" w:color="auto"/>
                    <w:right w:val="single" w:sz="4" w:space="0" w:color="auto"/>
                  </w:tcBorders>
                  <w:shd w:val="clear" w:color="auto" w:fill="auto"/>
                  <w:noWrap/>
                  <w:vAlign w:val="bottom"/>
                  <w:hideMark/>
                </w:tcPr>
                <w:p w14:paraId="2822F8B0"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Leeds Teaching Hospitals NHS Trust</w:t>
                  </w:r>
                </w:p>
              </w:tc>
              <w:tc>
                <w:tcPr>
                  <w:tcW w:w="1060" w:type="dxa"/>
                  <w:tcBorders>
                    <w:top w:val="nil"/>
                    <w:left w:val="nil"/>
                    <w:bottom w:val="single" w:sz="4" w:space="0" w:color="auto"/>
                    <w:right w:val="single" w:sz="8" w:space="0" w:color="auto"/>
                  </w:tcBorders>
                  <w:shd w:val="clear" w:color="auto" w:fill="auto"/>
                  <w:noWrap/>
                  <w:vAlign w:val="bottom"/>
                  <w:hideMark/>
                </w:tcPr>
                <w:p w14:paraId="0ABD19E8"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£617,300</w:t>
                  </w:r>
                </w:p>
              </w:tc>
            </w:tr>
            <w:tr w:rsidR="00E71FA2" w:rsidRPr="00802251" w14:paraId="5AF4001B"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A3046EE"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RHM</w:t>
                  </w:r>
                </w:p>
              </w:tc>
              <w:tc>
                <w:tcPr>
                  <w:tcW w:w="4100" w:type="dxa"/>
                  <w:tcBorders>
                    <w:top w:val="nil"/>
                    <w:left w:val="nil"/>
                    <w:bottom w:val="single" w:sz="4" w:space="0" w:color="auto"/>
                    <w:right w:val="single" w:sz="4" w:space="0" w:color="auto"/>
                  </w:tcBorders>
                  <w:shd w:val="clear" w:color="auto" w:fill="auto"/>
                  <w:noWrap/>
                  <w:vAlign w:val="bottom"/>
                  <w:hideMark/>
                </w:tcPr>
                <w:p w14:paraId="691DF3DF"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 Southampton </w:t>
                  </w:r>
                </w:p>
              </w:tc>
              <w:tc>
                <w:tcPr>
                  <w:tcW w:w="1060" w:type="dxa"/>
                  <w:tcBorders>
                    <w:top w:val="nil"/>
                    <w:left w:val="nil"/>
                    <w:bottom w:val="single" w:sz="4" w:space="0" w:color="auto"/>
                    <w:right w:val="single" w:sz="8" w:space="0" w:color="auto"/>
                  </w:tcBorders>
                  <w:shd w:val="clear" w:color="auto" w:fill="auto"/>
                  <w:noWrap/>
                  <w:vAlign w:val="bottom"/>
                  <w:hideMark/>
                </w:tcPr>
                <w:p w14:paraId="1B530503"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£450,900</w:t>
                  </w:r>
                </w:p>
              </w:tc>
            </w:tr>
            <w:tr w:rsidR="00E71FA2" w:rsidRPr="00802251" w14:paraId="23E9E9F6"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5DB4F89A"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RTD</w:t>
                  </w:r>
                </w:p>
              </w:tc>
              <w:tc>
                <w:tcPr>
                  <w:tcW w:w="4100" w:type="dxa"/>
                  <w:tcBorders>
                    <w:top w:val="nil"/>
                    <w:left w:val="nil"/>
                    <w:bottom w:val="single" w:sz="4" w:space="0" w:color="auto"/>
                    <w:right w:val="single" w:sz="4" w:space="0" w:color="auto"/>
                  </w:tcBorders>
                  <w:shd w:val="clear" w:color="auto" w:fill="auto"/>
                  <w:noWrap/>
                  <w:vAlign w:val="bottom"/>
                  <w:hideMark/>
                </w:tcPr>
                <w:p w14:paraId="02B22243"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The Newcastle Upon Tyne Hospitals </w:t>
                  </w:r>
                </w:p>
              </w:tc>
              <w:tc>
                <w:tcPr>
                  <w:tcW w:w="1060" w:type="dxa"/>
                  <w:tcBorders>
                    <w:top w:val="nil"/>
                    <w:left w:val="nil"/>
                    <w:bottom w:val="single" w:sz="4" w:space="0" w:color="auto"/>
                    <w:right w:val="single" w:sz="8" w:space="0" w:color="auto"/>
                  </w:tcBorders>
                  <w:shd w:val="clear" w:color="auto" w:fill="auto"/>
                  <w:noWrap/>
                  <w:vAlign w:val="bottom"/>
                  <w:hideMark/>
                </w:tcPr>
                <w:p w14:paraId="6EE36015" w14:textId="74EFABF4" w:rsidR="00E71FA2" w:rsidRPr="00802251" w:rsidRDefault="00E71FA2" w:rsidP="00802251">
                  <w:pPr>
                    <w:jc w:val="right"/>
                    <w:rPr>
                      <w:rFonts w:ascii="Calibri" w:hAnsi="Calibri" w:cs="Calibri"/>
                      <w:b/>
                      <w:color w:val="000000"/>
                      <w:sz w:val="22"/>
                      <w:szCs w:val="22"/>
                      <w:lang w:eastAsia="en-GB"/>
                    </w:rPr>
                  </w:pPr>
                  <w:r>
                    <w:rPr>
                      <w:rFonts w:ascii="Calibri" w:hAnsi="Calibri" w:cs="Calibri"/>
                      <w:b/>
                      <w:color w:val="000000"/>
                      <w:sz w:val="22"/>
                      <w:szCs w:val="22"/>
                      <w:lang w:eastAsia="en-GB"/>
                    </w:rPr>
                    <w:t>£566,100</w:t>
                  </w:r>
                </w:p>
              </w:tc>
            </w:tr>
            <w:tr w:rsidR="00E71FA2" w:rsidRPr="00802251" w14:paraId="34B86AA0"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5FC13E3C"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RJZ</w:t>
                  </w:r>
                </w:p>
              </w:tc>
              <w:tc>
                <w:tcPr>
                  <w:tcW w:w="4100" w:type="dxa"/>
                  <w:tcBorders>
                    <w:top w:val="nil"/>
                    <w:left w:val="nil"/>
                    <w:bottom w:val="single" w:sz="4" w:space="0" w:color="auto"/>
                    <w:right w:val="single" w:sz="4" w:space="0" w:color="auto"/>
                  </w:tcBorders>
                  <w:shd w:val="clear" w:color="auto" w:fill="auto"/>
                  <w:noWrap/>
                  <w:vAlign w:val="bottom"/>
                  <w:hideMark/>
                </w:tcPr>
                <w:p w14:paraId="137D62A9"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King's College Hospital </w:t>
                  </w:r>
                </w:p>
              </w:tc>
              <w:tc>
                <w:tcPr>
                  <w:tcW w:w="1060" w:type="dxa"/>
                  <w:tcBorders>
                    <w:top w:val="nil"/>
                    <w:left w:val="nil"/>
                    <w:bottom w:val="single" w:sz="4" w:space="0" w:color="auto"/>
                    <w:right w:val="single" w:sz="8" w:space="0" w:color="auto"/>
                  </w:tcBorders>
                  <w:shd w:val="clear" w:color="auto" w:fill="auto"/>
                  <w:noWrap/>
                  <w:vAlign w:val="bottom"/>
                  <w:hideMark/>
                </w:tcPr>
                <w:p w14:paraId="2F42E783"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£438,100</w:t>
                  </w:r>
                </w:p>
              </w:tc>
            </w:tr>
            <w:tr w:rsidR="00E71FA2" w:rsidRPr="00802251" w14:paraId="7D5688B4"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7D9DEA63"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RA7</w:t>
                  </w:r>
                </w:p>
              </w:tc>
              <w:tc>
                <w:tcPr>
                  <w:tcW w:w="4100" w:type="dxa"/>
                  <w:tcBorders>
                    <w:top w:val="nil"/>
                    <w:left w:val="nil"/>
                    <w:bottom w:val="single" w:sz="4" w:space="0" w:color="auto"/>
                    <w:right w:val="single" w:sz="4" w:space="0" w:color="auto"/>
                  </w:tcBorders>
                  <w:shd w:val="clear" w:color="auto" w:fill="auto"/>
                  <w:noWrap/>
                  <w:vAlign w:val="bottom"/>
                  <w:hideMark/>
                </w:tcPr>
                <w:p w14:paraId="2E35DC97"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Bristol </w:t>
                  </w:r>
                </w:p>
              </w:tc>
              <w:tc>
                <w:tcPr>
                  <w:tcW w:w="1060" w:type="dxa"/>
                  <w:tcBorders>
                    <w:top w:val="nil"/>
                    <w:left w:val="nil"/>
                    <w:bottom w:val="single" w:sz="4" w:space="0" w:color="auto"/>
                    <w:right w:val="single" w:sz="8" w:space="0" w:color="auto"/>
                  </w:tcBorders>
                  <w:shd w:val="clear" w:color="auto" w:fill="auto"/>
                  <w:noWrap/>
                  <w:vAlign w:val="bottom"/>
                  <w:hideMark/>
                </w:tcPr>
                <w:p w14:paraId="6FA3E35E" w14:textId="55A4707A" w:rsidR="00E71FA2" w:rsidRPr="00802251" w:rsidRDefault="00E71FA2" w:rsidP="00802251">
                  <w:pPr>
                    <w:jc w:val="right"/>
                    <w:rPr>
                      <w:rFonts w:ascii="Calibri" w:hAnsi="Calibri" w:cs="Calibri"/>
                      <w:b/>
                      <w:color w:val="000000"/>
                      <w:sz w:val="22"/>
                      <w:szCs w:val="22"/>
                      <w:lang w:eastAsia="en-GB"/>
                    </w:rPr>
                  </w:pPr>
                  <w:r>
                    <w:rPr>
                      <w:rFonts w:ascii="Calibri" w:hAnsi="Calibri" w:cs="Calibri"/>
                      <w:b/>
                      <w:color w:val="000000"/>
                      <w:sz w:val="22"/>
                      <w:szCs w:val="22"/>
                      <w:lang w:eastAsia="en-GB"/>
                    </w:rPr>
                    <w:t>£540,500</w:t>
                  </w:r>
                </w:p>
              </w:tc>
            </w:tr>
            <w:tr w:rsidR="00E71FA2" w:rsidRPr="00802251" w14:paraId="14F29706"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7BC74F75"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R1H</w:t>
                  </w:r>
                </w:p>
              </w:tc>
              <w:tc>
                <w:tcPr>
                  <w:tcW w:w="4100" w:type="dxa"/>
                  <w:tcBorders>
                    <w:top w:val="nil"/>
                    <w:left w:val="nil"/>
                    <w:bottom w:val="single" w:sz="4" w:space="0" w:color="auto"/>
                    <w:right w:val="single" w:sz="4" w:space="0" w:color="auto"/>
                  </w:tcBorders>
                  <w:shd w:val="clear" w:color="auto" w:fill="auto"/>
                  <w:noWrap/>
                  <w:vAlign w:val="bottom"/>
                  <w:hideMark/>
                </w:tcPr>
                <w:p w14:paraId="28403544" w14:textId="77777777" w:rsidR="00E71FA2" w:rsidRPr="00802251" w:rsidRDefault="00E71FA2" w:rsidP="00802251">
                  <w:pPr>
                    <w:rPr>
                      <w:rFonts w:ascii="Calibri" w:hAnsi="Calibri" w:cs="Calibri"/>
                      <w:bCs w:val="0"/>
                      <w:color w:val="000000"/>
                      <w:sz w:val="22"/>
                      <w:szCs w:val="22"/>
                      <w:lang w:eastAsia="en-GB"/>
                    </w:rPr>
                  </w:pPr>
                  <w:proofErr w:type="spellStart"/>
                  <w:r w:rsidRPr="00802251">
                    <w:rPr>
                      <w:rFonts w:ascii="Calibri" w:hAnsi="Calibri" w:cs="Calibri"/>
                      <w:bCs w:val="0"/>
                      <w:color w:val="000000"/>
                      <w:sz w:val="22"/>
                      <w:szCs w:val="22"/>
                      <w:lang w:eastAsia="en-GB"/>
                    </w:rPr>
                    <w:t>Barts</w:t>
                  </w:r>
                  <w:proofErr w:type="spellEnd"/>
                  <w:r w:rsidRPr="00802251">
                    <w:rPr>
                      <w:rFonts w:ascii="Calibri" w:hAnsi="Calibri" w:cs="Calibri"/>
                      <w:bCs w:val="0"/>
                      <w:color w:val="000000"/>
                      <w:sz w:val="22"/>
                      <w:szCs w:val="22"/>
                      <w:lang w:eastAsia="en-GB"/>
                    </w:rPr>
                    <w:t xml:space="preserve"> Health </w:t>
                  </w:r>
                </w:p>
              </w:tc>
              <w:tc>
                <w:tcPr>
                  <w:tcW w:w="1060" w:type="dxa"/>
                  <w:tcBorders>
                    <w:top w:val="nil"/>
                    <w:left w:val="nil"/>
                    <w:bottom w:val="single" w:sz="4" w:space="0" w:color="auto"/>
                    <w:right w:val="single" w:sz="8" w:space="0" w:color="auto"/>
                  </w:tcBorders>
                  <w:shd w:val="clear" w:color="auto" w:fill="auto"/>
                  <w:noWrap/>
                  <w:vAlign w:val="bottom"/>
                  <w:hideMark/>
                </w:tcPr>
                <w:p w14:paraId="7B12A28B"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E71FA2" w:rsidRPr="00802251" w14:paraId="385569A6"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99883A4"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RX1</w:t>
                  </w:r>
                </w:p>
              </w:tc>
              <w:tc>
                <w:tcPr>
                  <w:tcW w:w="4100" w:type="dxa"/>
                  <w:tcBorders>
                    <w:top w:val="nil"/>
                    <w:left w:val="nil"/>
                    <w:bottom w:val="single" w:sz="4" w:space="0" w:color="auto"/>
                    <w:right w:val="single" w:sz="4" w:space="0" w:color="auto"/>
                  </w:tcBorders>
                  <w:shd w:val="clear" w:color="auto" w:fill="auto"/>
                  <w:noWrap/>
                  <w:vAlign w:val="bottom"/>
                  <w:hideMark/>
                </w:tcPr>
                <w:p w14:paraId="2AFF08D7"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Nottingham University Hospitals </w:t>
                  </w:r>
                </w:p>
              </w:tc>
              <w:tc>
                <w:tcPr>
                  <w:tcW w:w="1060" w:type="dxa"/>
                  <w:tcBorders>
                    <w:top w:val="nil"/>
                    <w:left w:val="nil"/>
                    <w:bottom w:val="single" w:sz="4" w:space="0" w:color="auto"/>
                    <w:right w:val="single" w:sz="8" w:space="0" w:color="auto"/>
                  </w:tcBorders>
                  <w:shd w:val="clear" w:color="auto" w:fill="auto"/>
                  <w:noWrap/>
                  <w:vAlign w:val="bottom"/>
                  <w:hideMark/>
                </w:tcPr>
                <w:p w14:paraId="7FB0AFCE"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£438,100</w:t>
                  </w:r>
                </w:p>
              </w:tc>
            </w:tr>
            <w:tr w:rsidR="00E71FA2" w:rsidRPr="00802251" w14:paraId="7BAE641B"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FC2C9DD"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RTH</w:t>
                  </w:r>
                </w:p>
              </w:tc>
              <w:tc>
                <w:tcPr>
                  <w:tcW w:w="4100" w:type="dxa"/>
                  <w:tcBorders>
                    <w:top w:val="nil"/>
                    <w:left w:val="nil"/>
                    <w:bottom w:val="single" w:sz="4" w:space="0" w:color="auto"/>
                    <w:right w:val="single" w:sz="4" w:space="0" w:color="auto"/>
                  </w:tcBorders>
                  <w:shd w:val="clear" w:color="auto" w:fill="auto"/>
                  <w:noWrap/>
                  <w:vAlign w:val="bottom"/>
                  <w:hideMark/>
                </w:tcPr>
                <w:p w14:paraId="2EC704D8"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Oxford University Hospitals </w:t>
                  </w:r>
                </w:p>
              </w:tc>
              <w:tc>
                <w:tcPr>
                  <w:tcW w:w="1060" w:type="dxa"/>
                  <w:tcBorders>
                    <w:top w:val="nil"/>
                    <w:left w:val="nil"/>
                    <w:bottom w:val="single" w:sz="4" w:space="0" w:color="auto"/>
                    <w:right w:val="single" w:sz="8" w:space="0" w:color="auto"/>
                  </w:tcBorders>
                  <w:shd w:val="clear" w:color="auto" w:fill="auto"/>
                  <w:noWrap/>
                  <w:vAlign w:val="bottom"/>
                  <w:hideMark/>
                </w:tcPr>
                <w:p w14:paraId="71E51047"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E71FA2" w:rsidRPr="00802251" w14:paraId="5E43A12E"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6C436ACC"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RDU</w:t>
                  </w:r>
                </w:p>
              </w:tc>
              <w:tc>
                <w:tcPr>
                  <w:tcW w:w="4100" w:type="dxa"/>
                  <w:tcBorders>
                    <w:top w:val="nil"/>
                    <w:left w:val="nil"/>
                    <w:bottom w:val="single" w:sz="4" w:space="0" w:color="auto"/>
                    <w:right w:val="single" w:sz="4" w:space="0" w:color="auto"/>
                  </w:tcBorders>
                  <w:shd w:val="clear" w:color="auto" w:fill="auto"/>
                  <w:noWrap/>
                  <w:vAlign w:val="bottom"/>
                  <w:hideMark/>
                </w:tcPr>
                <w:p w14:paraId="71651236"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Frimley Health </w:t>
                  </w:r>
                </w:p>
              </w:tc>
              <w:tc>
                <w:tcPr>
                  <w:tcW w:w="1060" w:type="dxa"/>
                  <w:tcBorders>
                    <w:top w:val="nil"/>
                    <w:left w:val="nil"/>
                    <w:bottom w:val="single" w:sz="4" w:space="0" w:color="auto"/>
                    <w:right w:val="single" w:sz="8" w:space="0" w:color="auto"/>
                  </w:tcBorders>
                  <w:shd w:val="clear" w:color="auto" w:fill="auto"/>
                  <w:noWrap/>
                  <w:vAlign w:val="bottom"/>
                  <w:hideMark/>
                </w:tcPr>
                <w:p w14:paraId="05851A03"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£334,920</w:t>
                  </w:r>
                </w:p>
              </w:tc>
            </w:tr>
            <w:tr w:rsidR="00E71FA2" w:rsidRPr="00802251" w14:paraId="7FD4090D"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638B5579"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RH8</w:t>
                  </w:r>
                </w:p>
              </w:tc>
              <w:tc>
                <w:tcPr>
                  <w:tcW w:w="4100" w:type="dxa"/>
                  <w:tcBorders>
                    <w:top w:val="nil"/>
                    <w:left w:val="nil"/>
                    <w:bottom w:val="single" w:sz="4" w:space="0" w:color="auto"/>
                    <w:right w:val="single" w:sz="4" w:space="0" w:color="auto"/>
                  </w:tcBorders>
                  <w:shd w:val="clear" w:color="auto" w:fill="auto"/>
                  <w:noWrap/>
                  <w:vAlign w:val="bottom"/>
                  <w:hideMark/>
                </w:tcPr>
                <w:p w14:paraId="735AF525"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Royal Devon And Exeter </w:t>
                  </w:r>
                </w:p>
              </w:tc>
              <w:tc>
                <w:tcPr>
                  <w:tcW w:w="1060" w:type="dxa"/>
                  <w:tcBorders>
                    <w:top w:val="nil"/>
                    <w:left w:val="nil"/>
                    <w:bottom w:val="single" w:sz="4" w:space="0" w:color="auto"/>
                    <w:right w:val="single" w:sz="8" w:space="0" w:color="auto"/>
                  </w:tcBorders>
                  <w:shd w:val="clear" w:color="auto" w:fill="auto"/>
                  <w:noWrap/>
                  <w:vAlign w:val="bottom"/>
                  <w:hideMark/>
                </w:tcPr>
                <w:p w14:paraId="510D21BC"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£228,100</w:t>
                  </w:r>
                </w:p>
              </w:tc>
            </w:tr>
            <w:tr w:rsidR="00E71FA2" w:rsidRPr="00802251" w14:paraId="063D9464"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46C3D2D"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RWE</w:t>
                  </w:r>
                </w:p>
              </w:tc>
              <w:tc>
                <w:tcPr>
                  <w:tcW w:w="4100" w:type="dxa"/>
                  <w:tcBorders>
                    <w:top w:val="nil"/>
                    <w:left w:val="nil"/>
                    <w:bottom w:val="single" w:sz="4" w:space="0" w:color="auto"/>
                    <w:right w:val="single" w:sz="4" w:space="0" w:color="auto"/>
                  </w:tcBorders>
                  <w:shd w:val="clear" w:color="auto" w:fill="auto"/>
                  <w:noWrap/>
                  <w:vAlign w:val="bottom"/>
                  <w:hideMark/>
                </w:tcPr>
                <w:p w14:paraId="477387CB"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Leicester </w:t>
                  </w:r>
                </w:p>
              </w:tc>
              <w:tc>
                <w:tcPr>
                  <w:tcW w:w="1060" w:type="dxa"/>
                  <w:tcBorders>
                    <w:top w:val="nil"/>
                    <w:left w:val="nil"/>
                    <w:bottom w:val="single" w:sz="4" w:space="0" w:color="auto"/>
                    <w:right w:val="single" w:sz="8" w:space="0" w:color="auto"/>
                  </w:tcBorders>
                  <w:shd w:val="clear" w:color="auto" w:fill="auto"/>
                  <w:noWrap/>
                  <w:vAlign w:val="bottom"/>
                  <w:hideMark/>
                </w:tcPr>
                <w:p w14:paraId="0AA8BBE9" w14:textId="3B07B8F8" w:rsidR="00E71FA2" w:rsidRPr="00802251" w:rsidRDefault="00E71FA2" w:rsidP="00802251">
                  <w:pPr>
                    <w:jc w:val="right"/>
                    <w:rPr>
                      <w:rFonts w:ascii="Calibri" w:hAnsi="Calibri" w:cs="Calibri"/>
                      <w:b/>
                      <w:color w:val="000000"/>
                      <w:sz w:val="22"/>
                      <w:szCs w:val="22"/>
                      <w:lang w:eastAsia="en-GB"/>
                    </w:rPr>
                  </w:pPr>
                  <w:r>
                    <w:rPr>
                      <w:rFonts w:ascii="Calibri" w:hAnsi="Calibri" w:cs="Calibri"/>
                      <w:b/>
                      <w:color w:val="000000"/>
                      <w:sz w:val="22"/>
                      <w:szCs w:val="22"/>
                      <w:lang w:eastAsia="en-GB"/>
                    </w:rPr>
                    <w:t>£240,900</w:t>
                  </w:r>
                </w:p>
              </w:tc>
            </w:tr>
            <w:tr w:rsidR="00E71FA2" w:rsidRPr="00802251" w14:paraId="2AD6FECD"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3728365"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lastRenderedPageBreak/>
                    <w:t>RM1</w:t>
                  </w:r>
                </w:p>
              </w:tc>
              <w:tc>
                <w:tcPr>
                  <w:tcW w:w="4100" w:type="dxa"/>
                  <w:tcBorders>
                    <w:top w:val="nil"/>
                    <w:left w:val="nil"/>
                    <w:bottom w:val="single" w:sz="4" w:space="0" w:color="auto"/>
                    <w:right w:val="single" w:sz="4" w:space="0" w:color="auto"/>
                  </w:tcBorders>
                  <w:shd w:val="clear" w:color="auto" w:fill="auto"/>
                  <w:noWrap/>
                  <w:vAlign w:val="bottom"/>
                  <w:hideMark/>
                </w:tcPr>
                <w:p w14:paraId="5B275C9B"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Norfolk And Norwich University Hospitals </w:t>
                  </w:r>
                </w:p>
              </w:tc>
              <w:tc>
                <w:tcPr>
                  <w:tcW w:w="1060" w:type="dxa"/>
                  <w:tcBorders>
                    <w:top w:val="nil"/>
                    <w:left w:val="nil"/>
                    <w:bottom w:val="single" w:sz="4" w:space="0" w:color="auto"/>
                    <w:right w:val="single" w:sz="8" w:space="0" w:color="auto"/>
                  </w:tcBorders>
                  <w:shd w:val="clear" w:color="auto" w:fill="auto"/>
                  <w:noWrap/>
                  <w:vAlign w:val="bottom"/>
                  <w:hideMark/>
                </w:tcPr>
                <w:p w14:paraId="55CCBF62"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£217,860</w:t>
                  </w:r>
                </w:p>
              </w:tc>
            </w:tr>
            <w:tr w:rsidR="00E71FA2" w:rsidRPr="00802251" w14:paraId="2D689054"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14F9BD0A"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RK9</w:t>
                  </w:r>
                </w:p>
              </w:tc>
              <w:tc>
                <w:tcPr>
                  <w:tcW w:w="4100" w:type="dxa"/>
                  <w:tcBorders>
                    <w:top w:val="nil"/>
                    <w:left w:val="nil"/>
                    <w:bottom w:val="single" w:sz="4" w:space="0" w:color="auto"/>
                    <w:right w:val="single" w:sz="4" w:space="0" w:color="auto"/>
                  </w:tcBorders>
                  <w:shd w:val="clear" w:color="auto" w:fill="auto"/>
                  <w:noWrap/>
                  <w:vAlign w:val="bottom"/>
                  <w:hideMark/>
                </w:tcPr>
                <w:p w14:paraId="4BD5F5CF"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Plymouth Hospitals </w:t>
                  </w:r>
                </w:p>
              </w:tc>
              <w:tc>
                <w:tcPr>
                  <w:tcW w:w="1060" w:type="dxa"/>
                  <w:tcBorders>
                    <w:top w:val="nil"/>
                    <w:left w:val="nil"/>
                    <w:bottom w:val="single" w:sz="4" w:space="0" w:color="auto"/>
                    <w:right w:val="single" w:sz="8" w:space="0" w:color="auto"/>
                  </w:tcBorders>
                  <w:shd w:val="clear" w:color="auto" w:fill="auto"/>
                  <w:noWrap/>
                  <w:vAlign w:val="bottom"/>
                  <w:hideMark/>
                </w:tcPr>
                <w:p w14:paraId="69E5BBF5"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£202,500</w:t>
                  </w:r>
                </w:p>
              </w:tc>
            </w:tr>
            <w:tr w:rsidR="00E71FA2" w:rsidRPr="00802251" w14:paraId="221B0005"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1F75B6B1" w14:textId="2D69FE5C"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w:t>
                  </w:r>
                  <w:r w:rsidR="005308AC">
                    <w:rPr>
                      <w:rFonts w:ascii="Calibri" w:hAnsi="Calibri" w:cs="Calibri"/>
                      <w:b/>
                      <w:color w:val="000000"/>
                      <w:sz w:val="22"/>
                      <w:szCs w:val="22"/>
                      <w:lang w:eastAsia="en-GB"/>
                    </w:rPr>
                    <w:t>CB</w:t>
                  </w:r>
                </w:p>
              </w:tc>
              <w:tc>
                <w:tcPr>
                  <w:tcW w:w="4100" w:type="dxa"/>
                  <w:tcBorders>
                    <w:top w:val="nil"/>
                    <w:left w:val="nil"/>
                    <w:bottom w:val="single" w:sz="4" w:space="0" w:color="auto"/>
                    <w:right w:val="single" w:sz="4" w:space="0" w:color="auto"/>
                  </w:tcBorders>
                  <w:shd w:val="clear" w:color="auto" w:fill="auto"/>
                  <w:noWrap/>
                  <w:vAlign w:val="bottom"/>
                  <w:hideMark/>
                </w:tcPr>
                <w:p w14:paraId="01EE656B" w14:textId="5A7BB3FC" w:rsidR="00E71FA2" w:rsidRPr="00802251" w:rsidRDefault="005308AC" w:rsidP="00802251">
                  <w:pPr>
                    <w:rPr>
                      <w:rFonts w:ascii="Calibri" w:hAnsi="Calibri" w:cs="Calibri"/>
                      <w:bCs w:val="0"/>
                      <w:color w:val="000000"/>
                      <w:sz w:val="22"/>
                      <w:szCs w:val="22"/>
                      <w:lang w:eastAsia="en-GB"/>
                    </w:rPr>
                  </w:pPr>
                  <w:r>
                    <w:rPr>
                      <w:rFonts w:ascii="Calibri" w:hAnsi="Calibri" w:cs="Calibri"/>
                      <w:bCs w:val="0"/>
                      <w:color w:val="000000"/>
                      <w:sz w:val="22"/>
                      <w:szCs w:val="22"/>
                      <w:lang w:eastAsia="en-GB"/>
                    </w:rPr>
                    <w:t>York Teaching Hospital</w:t>
                  </w:r>
                  <w:r w:rsidR="00E71FA2" w:rsidRPr="00802251">
                    <w:rPr>
                      <w:rFonts w:ascii="Calibri" w:hAnsi="Calibri" w:cs="Calibri"/>
                      <w:bCs w:val="0"/>
                      <w:color w:val="000000"/>
                      <w:sz w:val="22"/>
                      <w:szCs w:val="22"/>
                      <w:lang w:eastAsia="en-GB"/>
                    </w:rPr>
                    <w:t xml:space="preserve"> </w:t>
                  </w:r>
                </w:p>
              </w:tc>
              <w:tc>
                <w:tcPr>
                  <w:tcW w:w="1060" w:type="dxa"/>
                  <w:tcBorders>
                    <w:top w:val="nil"/>
                    <w:left w:val="nil"/>
                    <w:bottom w:val="single" w:sz="4" w:space="0" w:color="auto"/>
                    <w:right w:val="single" w:sz="8" w:space="0" w:color="auto"/>
                  </w:tcBorders>
                  <w:shd w:val="clear" w:color="auto" w:fill="auto"/>
                  <w:noWrap/>
                  <w:vAlign w:val="bottom"/>
                  <w:hideMark/>
                </w:tcPr>
                <w:p w14:paraId="2713150B" w14:textId="3E2507C6" w:rsidR="00E71FA2" w:rsidRPr="00802251" w:rsidRDefault="00E71FA2" w:rsidP="00802251">
                  <w:pPr>
                    <w:jc w:val="right"/>
                    <w:rPr>
                      <w:rFonts w:ascii="Calibri" w:hAnsi="Calibri" w:cs="Calibri"/>
                      <w:b/>
                      <w:color w:val="000000"/>
                      <w:sz w:val="22"/>
                      <w:szCs w:val="22"/>
                      <w:lang w:eastAsia="en-GB"/>
                    </w:rPr>
                  </w:pPr>
                  <w:r>
                    <w:rPr>
                      <w:rFonts w:ascii="Calibri" w:hAnsi="Calibri" w:cs="Calibri"/>
                      <w:b/>
                      <w:color w:val="000000"/>
                      <w:sz w:val="22"/>
                      <w:szCs w:val="22"/>
                      <w:lang w:eastAsia="en-GB"/>
                    </w:rPr>
                    <w:t>£228 100</w:t>
                  </w:r>
                </w:p>
              </w:tc>
            </w:tr>
            <w:tr w:rsidR="00E71FA2" w:rsidRPr="00802251" w14:paraId="2FCFB314"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0DC7C10"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RRK</w:t>
                  </w:r>
                </w:p>
              </w:tc>
              <w:tc>
                <w:tcPr>
                  <w:tcW w:w="4100" w:type="dxa"/>
                  <w:tcBorders>
                    <w:top w:val="nil"/>
                    <w:left w:val="nil"/>
                    <w:bottom w:val="single" w:sz="4" w:space="0" w:color="auto"/>
                    <w:right w:val="single" w:sz="4" w:space="0" w:color="auto"/>
                  </w:tcBorders>
                  <w:shd w:val="clear" w:color="auto" w:fill="auto"/>
                  <w:noWrap/>
                  <w:vAlign w:val="bottom"/>
                  <w:hideMark/>
                </w:tcPr>
                <w:p w14:paraId="259026CA"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Birmingham </w:t>
                  </w:r>
                </w:p>
              </w:tc>
              <w:tc>
                <w:tcPr>
                  <w:tcW w:w="1060" w:type="dxa"/>
                  <w:tcBorders>
                    <w:top w:val="nil"/>
                    <w:left w:val="nil"/>
                    <w:bottom w:val="single" w:sz="4" w:space="0" w:color="auto"/>
                    <w:right w:val="single" w:sz="8" w:space="0" w:color="auto"/>
                  </w:tcBorders>
                  <w:shd w:val="clear" w:color="auto" w:fill="auto"/>
                  <w:noWrap/>
                  <w:vAlign w:val="bottom"/>
                  <w:hideMark/>
                </w:tcPr>
                <w:p w14:paraId="63B4F2B3"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£540,500</w:t>
                  </w:r>
                </w:p>
              </w:tc>
            </w:tr>
            <w:tr w:rsidR="00E71FA2" w:rsidRPr="00802251" w14:paraId="36F2FF0F"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4E15D397"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RJE</w:t>
                  </w:r>
                </w:p>
              </w:tc>
              <w:tc>
                <w:tcPr>
                  <w:tcW w:w="4100" w:type="dxa"/>
                  <w:tcBorders>
                    <w:top w:val="nil"/>
                    <w:left w:val="nil"/>
                    <w:bottom w:val="single" w:sz="4" w:space="0" w:color="auto"/>
                    <w:right w:val="single" w:sz="4" w:space="0" w:color="auto"/>
                  </w:tcBorders>
                  <w:shd w:val="clear" w:color="auto" w:fill="auto"/>
                  <w:noWrap/>
                  <w:vAlign w:val="bottom"/>
                  <w:hideMark/>
                </w:tcPr>
                <w:p w14:paraId="36633314" w14:textId="6003153F"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University Hospital</w:t>
                  </w:r>
                  <w:r>
                    <w:rPr>
                      <w:rFonts w:ascii="Calibri" w:hAnsi="Calibri" w:cs="Calibri"/>
                      <w:bCs w:val="0"/>
                      <w:color w:val="000000"/>
                      <w:sz w:val="22"/>
                      <w:szCs w:val="22"/>
                      <w:lang w:eastAsia="en-GB"/>
                    </w:rPr>
                    <w:t xml:space="preserve"> </w:t>
                  </w:r>
                  <w:r w:rsidRPr="00802251">
                    <w:rPr>
                      <w:rFonts w:ascii="Calibri" w:hAnsi="Calibri" w:cs="Calibri"/>
                      <w:bCs w:val="0"/>
                      <w:color w:val="000000"/>
                      <w:sz w:val="22"/>
                      <w:szCs w:val="22"/>
                      <w:lang w:eastAsia="en-GB"/>
                    </w:rPr>
                    <w:t xml:space="preserve">of North Midlands </w:t>
                  </w:r>
                </w:p>
              </w:tc>
              <w:tc>
                <w:tcPr>
                  <w:tcW w:w="1060" w:type="dxa"/>
                  <w:tcBorders>
                    <w:top w:val="nil"/>
                    <w:left w:val="nil"/>
                    <w:bottom w:val="single" w:sz="4" w:space="0" w:color="auto"/>
                    <w:right w:val="single" w:sz="8" w:space="0" w:color="auto"/>
                  </w:tcBorders>
                  <w:shd w:val="clear" w:color="auto" w:fill="auto"/>
                  <w:noWrap/>
                  <w:vAlign w:val="bottom"/>
                  <w:hideMark/>
                </w:tcPr>
                <w:p w14:paraId="6B2CF655"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E71FA2" w:rsidRPr="00802251" w14:paraId="7F3474D4"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232FB6BF"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RJ2</w:t>
                  </w:r>
                </w:p>
              </w:tc>
              <w:tc>
                <w:tcPr>
                  <w:tcW w:w="4100" w:type="dxa"/>
                  <w:tcBorders>
                    <w:top w:val="nil"/>
                    <w:left w:val="nil"/>
                    <w:bottom w:val="single" w:sz="4" w:space="0" w:color="auto"/>
                    <w:right w:val="single" w:sz="4" w:space="0" w:color="auto"/>
                  </w:tcBorders>
                  <w:shd w:val="clear" w:color="auto" w:fill="auto"/>
                  <w:noWrap/>
                  <w:vAlign w:val="bottom"/>
                  <w:hideMark/>
                </w:tcPr>
                <w:p w14:paraId="78827E1F"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Lewisham and Greenwich</w:t>
                  </w:r>
                </w:p>
              </w:tc>
              <w:tc>
                <w:tcPr>
                  <w:tcW w:w="1060" w:type="dxa"/>
                  <w:tcBorders>
                    <w:top w:val="nil"/>
                    <w:left w:val="nil"/>
                    <w:bottom w:val="single" w:sz="4" w:space="0" w:color="auto"/>
                    <w:right w:val="single" w:sz="8" w:space="0" w:color="auto"/>
                  </w:tcBorders>
                  <w:shd w:val="clear" w:color="auto" w:fill="auto"/>
                  <w:noWrap/>
                  <w:vAlign w:val="bottom"/>
                  <w:hideMark/>
                </w:tcPr>
                <w:p w14:paraId="4B0E5089" w14:textId="77777777"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£234,500</w:t>
                  </w:r>
                </w:p>
              </w:tc>
            </w:tr>
            <w:tr w:rsidR="00F54629" w:rsidRPr="00802251" w14:paraId="4432D63D"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tcPr>
                <w:p w14:paraId="619FF8B6" w14:textId="5A2F68E8" w:rsidR="00F54629" w:rsidRPr="00802251" w:rsidRDefault="00F54629" w:rsidP="00802251">
                  <w:pPr>
                    <w:rPr>
                      <w:rFonts w:ascii="Calibri" w:hAnsi="Calibri" w:cs="Calibri"/>
                      <w:b/>
                      <w:color w:val="000000"/>
                      <w:sz w:val="22"/>
                      <w:szCs w:val="22"/>
                      <w:lang w:eastAsia="en-GB"/>
                    </w:rPr>
                  </w:pPr>
                  <w:r>
                    <w:rPr>
                      <w:rFonts w:ascii="Calibri" w:hAnsi="Calibri" w:cs="Calibri"/>
                      <w:b/>
                      <w:color w:val="000000"/>
                      <w:sz w:val="22"/>
                      <w:szCs w:val="22"/>
                      <w:lang w:eastAsia="en-GB"/>
                    </w:rPr>
                    <w:t>RBQ</w:t>
                  </w:r>
                </w:p>
              </w:tc>
              <w:tc>
                <w:tcPr>
                  <w:tcW w:w="4100" w:type="dxa"/>
                  <w:tcBorders>
                    <w:top w:val="nil"/>
                    <w:left w:val="nil"/>
                    <w:bottom w:val="single" w:sz="4" w:space="0" w:color="auto"/>
                    <w:right w:val="single" w:sz="4" w:space="0" w:color="auto"/>
                  </w:tcBorders>
                  <w:shd w:val="clear" w:color="auto" w:fill="auto"/>
                  <w:noWrap/>
                  <w:vAlign w:val="bottom"/>
                </w:tcPr>
                <w:p w14:paraId="51153CC0" w14:textId="5B74D810" w:rsidR="00F54629" w:rsidRPr="00802251" w:rsidRDefault="00F54629" w:rsidP="00802251">
                  <w:pPr>
                    <w:rPr>
                      <w:rFonts w:ascii="Calibri" w:hAnsi="Calibri" w:cs="Calibri"/>
                      <w:bCs w:val="0"/>
                      <w:color w:val="000000"/>
                      <w:sz w:val="22"/>
                      <w:szCs w:val="22"/>
                      <w:lang w:eastAsia="en-GB"/>
                    </w:rPr>
                  </w:pPr>
                  <w:r>
                    <w:rPr>
                      <w:rFonts w:ascii="Calibri" w:hAnsi="Calibri" w:cs="Calibri"/>
                      <w:bCs w:val="0"/>
                      <w:color w:val="000000"/>
                      <w:sz w:val="22"/>
                      <w:szCs w:val="22"/>
                      <w:lang w:eastAsia="en-GB"/>
                    </w:rPr>
                    <w:t>Liverpool Heart and Chest</w:t>
                  </w:r>
                </w:p>
              </w:tc>
              <w:tc>
                <w:tcPr>
                  <w:tcW w:w="1060" w:type="dxa"/>
                  <w:tcBorders>
                    <w:top w:val="nil"/>
                    <w:left w:val="nil"/>
                    <w:bottom w:val="single" w:sz="4" w:space="0" w:color="auto"/>
                    <w:right w:val="single" w:sz="8" w:space="0" w:color="auto"/>
                  </w:tcBorders>
                  <w:shd w:val="clear" w:color="auto" w:fill="auto"/>
                  <w:noWrap/>
                  <w:vAlign w:val="bottom"/>
                </w:tcPr>
                <w:p w14:paraId="36C87B66" w14:textId="4EFA7400" w:rsidR="00F54629" w:rsidRPr="00802251" w:rsidRDefault="00785007" w:rsidP="00802251">
                  <w:pPr>
                    <w:jc w:val="right"/>
                    <w:rPr>
                      <w:rFonts w:ascii="Calibri" w:hAnsi="Calibri" w:cs="Calibri"/>
                      <w:b/>
                      <w:color w:val="000000"/>
                      <w:sz w:val="22"/>
                      <w:szCs w:val="22"/>
                      <w:lang w:eastAsia="en-GB"/>
                    </w:rPr>
                  </w:pPr>
                  <w:r>
                    <w:rPr>
                      <w:rFonts w:ascii="Calibri" w:hAnsi="Calibri" w:cs="Calibri"/>
                      <w:b/>
                      <w:color w:val="000000"/>
                      <w:sz w:val="22"/>
                      <w:szCs w:val="22"/>
                      <w:lang w:eastAsia="en-GB"/>
                    </w:rPr>
                    <w:t>£604,500</w:t>
                  </w:r>
                </w:p>
              </w:tc>
            </w:tr>
            <w:tr w:rsidR="00E71FA2" w:rsidRPr="00802251" w14:paraId="11DD7337" w14:textId="77777777" w:rsidTr="00785007">
              <w:trPr>
                <w:trHeight w:val="300"/>
              </w:trPr>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1A72D9C9" w14:textId="5111FF87" w:rsidR="00E71FA2" w:rsidRPr="00802251" w:rsidRDefault="0033349B" w:rsidP="00802251">
                  <w:pPr>
                    <w:rPr>
                      <w:rFonts w:ascii="Calibri" w:hAnsi="Calibri" w:cs="Calibri"/>
                      <w:b/>
                      <w:color w:val="000000"/>
                      <w:sz w:val="22"/>
                      <w:szCs w:val="22"/>
                      <w:lang w:eastAsia="en-GB"/>
                    </w:rPr>
                  </w:pPr>
                  <w:r>
                    <w:rPr>
                      <w:rFonts w:ascii="Calibri" w:hAnsi="Calibri" w:cs="Calibri"/>
                      <w:b/>
                      <w:color w:val="000000"/>
                      <w:sz w:val="22"/>
                      <w:szCs w:val="22"/>
                      <w:lang w:eastAsia="en-GB"/>
                    </w:rPr>
                    <w:t>RXL</w:t>
                  </w:r>
                </w:p>
              </w:tc>
              <w:tc>
                <w:tcPr>
                  <w:tcW w:w="4100" w:type="dxa"/>
                  <w:tcBorders>
                    <w:top w:val="nil"/>
                    <w:left w:val="nil"/>
                    <w:bottom w:val="single" w:sz="4" w:space="0" w:color="auto"/>
                    <w:right w:val="single" w:sz="4" w:space="0" w:color="auto"/>
                  </w:tcBorders>
                  <w:shd w:val="clear" w:color="auto" w:fill="auto"/>
                  <w:noWrap/>
                  <w:vAlign w:val="bottom"/>
                  <w:hideMark/>
                </w:tcPr>
                <w:p w14:paraId="4319B5BB" w14:textId="0F729794" w:rsidR="00E71FA2" w:rsidRPr="00802251" w:rsidRDefault="005308AC"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Blackpool Teaching Hospital</w:t>
                  </w:r>
                  <w:r>
                    <w:rPr>
                      <w:rFonts w:ascii="Calibri" w:hAnsi="Calibri" w:cs="Calibri"/>
                      <w:bCs w:val="0"/>
                      <w:color w:val="000000"/>
                      <w:sz w:val="22"/>
                      <w:szCs w:val="22"/>
                      <w:lang w:eastAsia="en-GB"/>
                    </w:rPr>
                    <w:t xml:space="preserve"> </w:t>
                  </w:r>
                </w:p>
              </w:tc>
              <w:tc>
                <w:tcPr>
                  <w:tcW w:w="1060" w:type="dxa"/>
                  <w:tcBorders>
                    <w:top w:val="nil"/>
                    <w:left w:val="nil"/>
                    <w:bottom w:val="single" w:sz="4" w:space="0" w:color="auto"/>
                    <w:right w:val="single" w:sz="8" w:space="0" w:color="auto"/>
                  </w:tcBorders>
                  <w:shd w:val="clear" w:color="auto" w:fill="auto"/>
                  <w:noWrap/>
                  <w:vAlign w:val="bottom"/>
                  <w:hideMark/>
                </w:tcPr>
                <w:p w14:paraId="23CD30FF" w14:textId="6DBA118A"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w:t>
                  </w:r>
                  <w:r w:rsidR="005308AC">
                    <w:rPr>
                      <w:rFonts w:ascii="Calibri" w:hAnsi="Calibri" w:cs="Calibri"/>
                      <w:b/>
                      <w:color w:val="000000"/>
                      <w:sz w:val="22"/>
                      <w:szCs w:val="22"/>
                      <w:lang w:eastAsia="en-GB"/>
                    </w:rPr>
                    <w:t>40</w:t>
                  </w:r>
                  <w:r w:rsidRPr="00802251">
                    <w:rPr>
                      <w:rFonts w:ascii="Calibri" w:hAnsi="Calibri" w:cs="Calibri"/>
                      <w:b/>
                      <w:color w:val="000000"/>
                      <w:sz w:val="22"/>
                      <w:szCs w:val="22"/>
                      <w:lang w:eastAsia="en-GB"/>
                    </w:rPr>
                    <w:t>,</w:t>
                  </w:r>
                  <w:r w:rsidR="005308AC">
                    <w:rPr>
                      <w:rFonts w:ascii="Calibri" w:hAnsi="Calibri" w:cs="Calibri"/>
                      <w:b/>
                      <w:color w:val="000000"/>
                      <w:sz w:val="22"/>
                      <w:szCs w:val="22"/>
                      <w:lang w:eastAsia="en-GB"/>
                    </w:rPr>
                    <w:t>9</w:t>
                  </w:r>
                  <w:r w:rsidRPr="00802251">
                    <w:rPr>
                      <w:rFonts w:ascii="Calibri" w:hAnsi="Calibri" w:cs="Calibri"/>
                      <w:b/>
                      <w:color w:val="000000"/>
                      <w:sz w:val="22"/>
                      <w:szCs w:val="22"/>
                      <w:lang w:eastAsia="en-GB"/>
                    </w:rPr>
                    <w:t>00</w:t>
                  </w:r>
                </w:p>
              </w:tc>
            </w:tr>
            <w:tr w:rsidR="00E71FA2" w:rsidRPr="00802251" w14:paraId="2EA0704D" w14:textId="77777777" w:rsidTr="00785007">
              <w:trPr>
                <w:trHeight w:val="315"/>
              </w:trPr>
              <w:tc>
                <w:tcPr>
                  <w:tcW w:w="1084" w:type="dxa"/>
                  <w:tcBorders>
                    <w:top w:val="nil"/>
                    <w:left w:val="single" w:sz="8" w:space="0" w:color="auto"/>
                    <w:bottom w:val="single" w:sz="8" w:space="0" w:color="auto"/>
                    <w:right w:val="single" w:sz="4" w:space="0" w:color="auto"/>
                  </w:tcBorders>
                  <w:shd w:val="clear" w:color="auto" w:fill="auto"/>
                  <w:noWrap/>
                  <w:vAlign w:val="bottom"/>
                  <w:hideMark/>
                </w:tcPr>
                <w:p w14:paraId="7799D0E1" w14:textId="77777777" w:rsidR="00E71FA2" w:rsidRPr="00802251" w:rsidRDefault="00E71FA2" w:rsidP="00802251">
                  <w:pPr>
                    <w:rPr>
                      <w:rFonts w:ascii="Calibri" w:hAnsi="Calibri" w:cs="Calibri"/>
                      <w:b/>
                      <w:color w:val="000000"/>
                      <w:sz w:val="22"/>
                      <w:szCs w:val="22"/>
                      <w:lang w:eastAsia="en-GB"/>
                    </w:rPr>
                  </w:pPr>
                  <w:r w:rsidRPr="00802251">
                    <w:rPr>
                      <w:rFonts w:ascii="Calibri" w:hAnsi="Calibri" w:cs="Calibri"/>
                      <w:b/>
                      <w:color w:val="000000"/>
                      <w:sz w:val="22"/>
                      <w:szCs w:val="22"/>
                      <w:lang w:eastAsia="en-GB"/>
                    </w:rPr>
                    <w:t>RHQ</w:t>
                  </w:r>
                </w:p>
              </w:tc>
              <w:tc>
                <w:tcPr>
                  <w:tcW w:w="4100" w:type="dxa"/>
                  <w:tcBorders>
                    <w:top w:val="nil"/>
                    <w:left w:val="nil"/>
                    <w:bottom w:val="single" w:sz="8" w:space="0" w:color="auto"/>
                    <w:right w:val="single" w:sz="4" w:space="0" w:color="auto"/>
                  </w:tcBorders>
                  <w:shd w:val="clear" w:color="auto" w:fill="auto"/>
                  <w:noWrap/>
                  <w:vAlign w:val="bottom"/>
                  <w:hideMark/>
                </w:tcPr>
                <w:p w14:paraId="62EF4804" w14:textId="77777777" w:rsidR="00E71FA2" w:rsidRPr="00802251" w:rsidRDefault="00E71FA2" w:rsidP="00802251">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Sheffield Teaching Hospitals -</w:t>
                  </w:r>
                  <w:r w:rsidRPr="00802251">
                    <w:rPr>
                      <w:rFonts w:ascii="Calibri" w:hAnsi="Calibri" w:cs="Calibri"/>
                      <w:bCs w:val="0"/>
                      <w:i/>
                      <w:iCs/>
                      <w:color w:val="000000"/>
                      <w:sz w:val="22"/>
                      <w:szCs w:val="22"/>
                      <w:lang w:eastAsia="en-GB"/>
                    </w:rPr>
                    <w:t xml:space="preserve"> lead site</w:t>
                  </w:r>
                </w:p>
              </w:tc>
              <w:tc>
                <w:tcPr>
                  <w:tcW w:w="1060" w:type="dxa"/>
                  <w:tcBorders>
                    <w:top w:val="nil"/>
                    <w:left w:val="nil"/>
                    <w:bottom w:val="single" w:sz="8" w:space="0" w:color="auto"/>
                    <w:right w:val="single" w:sz="8" w:space="0" w:color="auto"/>
                  </w:tcBorders>
                  <w:shd w:val="clear" w:color="auto" w:fill="auto"/>
                  <w:noWrap/>
                  <w:vAlign w:val="bottom"/>
                  <w:hideMark/>
                </w:tcPr>
                <w:p w14:paraId="153508D4" w14:textId="356BEBAA" w:rsidR="00E71FA2" w:rsidRPr="00802251" w:rsidRDefault="00E71FA2" w:rsidP="00802251">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w:t>
                  </w:r>
                  <w:r w:rsidR="005308AC">
                    <w:rPr>
                      <w:rFonts w:ascii="Calibri" w:hAnsi="Calibri" w:cs="Calibri"/>
                      <w:b/>
                      <w:color w:val="000000"/>
                      <w:sz w:val="22"/>
                      <w:szCs w:val="22"/>
                      <w:lang w:eastAsia="en-GB"/>
                    </w:rPr>
                    <w:t>63</w:t>
                  </w:r>
                  <w:r w:rsidRPr="00802251">
                    <w:rPr>
                      <w:rFonts w:ascii="Calibri" w:hAnsi="Calibri" w:cs="Calibri"/>
                      <w:b/>
                      <w:color w:val="000000"/>
                      <w:sz w:val="22"/>
                      <w:szCs w:val="22"/>
                      <w:lang w:eastAsia="en-GB"/>
                    </w:rPr>
                    <w:t>,</w:t>
                  </w:r>
                  <w:r w:rsidR="005308AC">
                    <w:rPr>
                      <w:rFonts w:ascii="Calibri" w:hAnsi="Calibri" w:cs="Calibri"/>
                      <w:b/>
                      <w:color w:val="000000"/>
                      <w:sz w:val="22"/>
                      <w:szCs w:val="22"/>
                      <w:lang w:eastAsia="en-GB"/>
                    </w:rPr>
                    <w:t>7</w:t>
                  </w:r>
                  <w:r w:rsidRPr="00802251">
                    <w:rPr>
                      <w:rFonts w:ascii="Calibri" w:hAnsi="Calibri" w:cs="Calibri"/>
                      <w:b/>
                      <w:color w:val="000000"/>
                      <w:sz w:val="22"/>
                      <w:szCs w:val="22"/>
                      <w:lang w:eastAsia="en-GB"/>
                    </w:rPr>
                    <w:t>00</w:t>
                  </w:r>
                </w:p>
              </w:tc>
            </w:tr>
          </w:tbl>
          <w:p w14:paraId="1497567C" w14:textId="77777777" w:rsidR="00802251" w:rsidRPr="003A0C63" w:rsidRDefault="00802251" w:rsidP="0084461B">
            <w:pPr>
              <w:rPr>
                <w:rFonts w:eastAsiaTheme="minorEastAsia" w:cs="Arial"/>
                <w:i/>
                <w:color w:val="FF0000"/>
                <w:szCs w:val="24"/>
              </w:rPr>
            </w:pPr>
          </w:p>
          <w:p w14:paraId="37F43BD0" w14:textId="77777777" w:rsidR="002C2DEC" w:rsidRDefault="002C2DEC" w:rsidP="0084461B">
            <w:pPr>
              <w:rPr>
                <w:rFonts w:eastAsiaTheme="minorEastAsia" w:cs="Arial"/>
                <w:b/>
                <w:szCs w:val="24"/>
              </w:rPr>
            </w:pPr>
          </w:p>
          <w:p w14:paraId="4CD28BED" w14:textId="61C404AD" w:rsidR="00CF3963"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786D8BA1" w14:textId="1D92914F" w:rsidR="002C2DEC" w:rsidRDefault="002C2DEC" w:rsidP="0084461B">
            <w:pPr>
              <w:rPr>
                <w:rFonts w:eastAsiaTheme="minorEastAsia" w:cs="Arial"/>
                <w:b/>
                <w:szCs w:val="24"/>
              </w:rPr>
            </w:pPr>
          </w:p>
          <w:p w14:paraId="1ADD33E1" w14:textId="7B7FAB74" w:rsidR="002C2DEC" w:rsidRPr="00512E30" w:rsidRDefault="002C2DEC" w:rsidP="0084461B">
            <w:pPr>
              <w:rPr>
                <w:rFonts w:eastAsiaTheme="minorEastAsia" w:cs="Arial"/>
                <w:b/>
                <w:szCs w:val="24"/>
              </w:rPr>
            </w:pPr>
          </w:p>
          <w:p w14:paraId="444EE1BB" w14:textId="77777777" w:rsidR="00CF3963" w:rsidRPr="001350E0" w:rsidRDefault="00CF3963" w:rsidP="0084461B">
            <w:pPr>
              <w:rPr>
                <w:rFonts w:cs="Arial"/>
                <w:szCs w:val="24"/>
              </w:rPr>
            </w:pPr>
          </w:p>
        </w:tc>
      </w:tr>
      <w:tr w:rsidR="00CF3963" w:rsidRPr="00C0210F" w14:paraId="75371943" w14:textId="77777777" w:rsidTr="00CF3963">
        <w:tc>
          <w:tcPr>
            <w:tcW w:w="5000" w:type="pct"/>
            <w:gridSpan w:val="3"/>
            <w:shd w:val="clear" w:color="auto" w:fill="D9D9D9" w:themeFill="background1" w:themeFillShade="D9"/>
          </w:tcPr>
          <w:p w14:paraId="4987AE50" w14:textId="77777777" w:rsidR="00CF3963" w:rsidRPr="00292053" w:rsidRDefault="00CF3963" w:rsidP="005931C4">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CF3963" w:rsidRPr="000412A1" w14:paraId="7584997D" w14:textId="77777777" w:rsidTr="002C4571">
        <w:tc>
          <w:tcPr>
            <w:tcW w:w="5000" w:type="pct"/>
            <w:gridSpan w:val="3"/>
            <w:shd w:val="clear" w:color="auto" w:fill="auto"/>
          </w:tcPr>
          <w:p w14:paraId="5DD11640"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394F7948"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64C80210" w14:textId="77777777" w:rsidR="00CF3963" w:rsidRDefault="00CF3963" w:rsidP="0084461B">
            <w:pPr>
              <w:rPr>
                <w:rFonts w:cs="Arial"/>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374"/>
            </w:tblGrid>
            <w:tr w:rsidR="00472DD9" w:rsidRPr="00C0263E" w14:paraId="2B960094" w14:textId="77777777" w:rsidTr="00845FF7">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3FAA0" w14:textId="77777777" w:rsidR="00472DD9" w:rsidRPr="00C0263E" w:rsidRDefault="00472DD9" w:rsidP="0084461B">
                  <w:pPr>
                    <w:spacing w:before="40" w:after="40"/>
                    <w:rPr>
                      <w:rFonts w:cs="Arial"/>
                      <w:b/>
                      <w:szCs w:val="24"/>
                    </w:rPr>
                  </w:pPr>
                  <w:r>
                    <w:rPr>
                      <w:rFonts w:cs="Arial"/>
                      <w:b/>
                      <w:szCs w:val="24"/>
                    </w:rPr>
                    <w:t>Descriptions</w:t>
                  </w:r>
                </w:p>
              </w:tc>
              <w:tc>
                <w:tcPr>
                  <w:tcW w:w="80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B2ABA8" w14:textId="64993067" w:rsidR="00472DD9" w:rsidRPr="00EC3C9D" w:rsidRDefault="00E71FA2" w:rsidP="0084461B">
                  <w:pPr>
                    <w:spacing w:before="40" w:after="40"/>
                    <w:rPr>
                      <w:rFonts w:cs="Arial"/>
                      <w:b/>
                      <w:szCs w:val="24"/>
                    </w:rPr>
                  </w:pPr>
                  <w:r>
                    <w:rPr>
                      <w:rFonts w:cs="Arial"/>
                      <w:b/>
                      <w:szCs w:val="24"/>
                    </w:rPr>
                    <w:t>First Year of Indicator</w:t>
                  </w:r>
                </w:p>
              </w:tc>
            </w:tr>
            <w:tr w:rsidR="00472DD9" w:rsidRPr="00C0263E" w14:paraId="7C211441" w14:textId="77777777" w:rsidTr="00C36A31">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A0F22D" w14:textId="77777777" w:rsidR="00472DD9" w:rsidRDefault="00472DD9" w:rsidP="0084461B">
                  <w:pPr>
                    <w:spacing w:before="40" w:after="40"/>
                    <w:rPr>
                      <w:rFonts w:cs="Arial"/>
                      <w:b/>
                      <w:szCs w:val="24"/>
                    </w:rPr>
                  </w:pPr>
                  <w:r>
                    <w:rPr>
                      <w:rFonts w:cs="Arial"/>
                      <w:b/>
                      <w:szCs w:val="24"/>
                    </w:rPr>
                    <w:t>Trigger 1:</w:t>
                  </w:r>
                </w:p>
                <w:p w14:paraId="1D777BF8" w14:textId="77777777" w:rsidR="00472DD9" w:rsidRPr="00C0263E" w:rsidRDefault="00472DD9" w:rsidP="0084461B">
                  <w:pPr>
                    <w:spacing w:before="40" w:after="40"/>
                    <w:rPr>
                      <w:rFonts w:cs="Arial"/>
                      <w:b/>
                      <w:szCs w:val="24"/>
                    </w:rPr>
                  </w:pP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8B44FA0" w14:textId="77777777" w:rsidR="00C36A31" w:rsidRDefault="00472DD9" w:rsidP="00C808D3">
                  <w:pPr>
                    <w:spacing w:before="40" w:after="40"/>
                    <w:rPr>
                      <w:rFonts w:cs="Arial"/>
                      <w:szCs w:val="24"/>
                    </w:rPr>
                  </w:pPr>
                  <w:r w:rsidRPr="005F7379">
                    <w:rPr>
                      <w:rFonts w:cs="Arial"/>
                      <w:szCs w:val="24"/>
                    </w:rPr>
                    <w:t xml:space="preserve">Trust will provide evidence </w:t>
                  </w:r>
                </w:p>
                <w:p w14:paraId="3A3476DA" w14:textId="77777777" w:rsidR="007018D6" w:rsidRDefault="00472DD9" w:rsidP="0003373B">
                  <w:pPr>
                    <w:pStyle w:val="ListParagraph"/>
                    <w:numPr>
                      <w:ilvl w:val="0"/>
                      <w:numId w:val="14"/>
                    </w:numPr>
                    <w:spacing w:before="40" w:after="40"/>
                    <w:rPr>
                      <w:rFonts w:cs="Arial"/>
                      <w:szCs w:val="24"/>
                    </w:rPr>
                  </w:pPr>
                  <w:r w:rsidRPr="00C36A31">
                    <w:rPr>
                      <w:rFonts w:cs="Arial"/>
                      <w:szCs w:val="24"/>
                    </w:rPr>
                    <w:t xml:space="preserve">that </w:t>
                  </w:r>
                  <w:r w:rsidR="00C36A31" w:rsidRPr="00C36A31">
                    <w:rPr>
                      <w:rFonts w:cs="Arial"/>
                      <w:szCs w:val="24"/>
                    </w:rPr>
                    <w:t>t</w:t>
                  </w:r>
                  <w:r w:rsidRPr="00C36A31">
                    <w:rPr>
                      <w:rFonts w:cs="Arial"/>
                      <w:szCs w:val="24"/>
                    </w:rPr>
                    <w:t>he interventionist</w:t>
                  </w:r>
                  <w:r w:rsidR="007018D6">
                    <w:rPr>
                      <w:rFonts w:cs="Arial"/>
                      <w:szCs w:val="24"/>
                    </w:rPr>
                    <w:t xml:space="preserve"> is in post</w:t>
                  </w:r>
                </w:p>
                <w:p w14:paraId="410255B2" w14:textId="40D20DC2" w:rsidR="00CC15FD" w:rsidRDefault="007018D6" w:rsidP="0003373B">
                  <w:pPr>
                    <w:pStyle w:val="ListParagraph"/>
                    <w:numPr>
                      <w:ilvl w:val="0"/>
                      <w:numId w:val="14"/>
                    </w:numPr>
                    <w:spacing w:before="40" w:after="40"/>
                    <w:rPr>
                      <w:rFonts w:cs="Arial"/>
                      <w:szCs w:val="24"/>
                    </w:rPr>
                  </w:pPr>
                  <w:r>
                    <w:rPr>
                      <w:rFonts w:cs="Arial"/>
                      <w:szCs w:val="24"/>
                    </w:rPr>
                    <w:t>that the</w:t>
                  </w:r>
                  <w:r w:rsidR="00CF731E" w:rsidRPr="00C36A31">
                    <w:rPr>
                      <w:rFonts w:cs="Arial"/>
                      <w:szCs w:val="24"/>
                    </w:rPr>
                    <w:t xml:space="preserve"> medicines optimisation lead </w:t>
                  </w:r>
                  <w:r w:rsidR="00472DD9" w:rsidRPr="00C36A31">
                    <w:rPr>
                      <w:rFonts w:cs="Arial"/>
                      <w:szCs w:val="24"/>
                    </w:rPr>
                    <w:t>is in post</w:t>
                  </w:r>
                  <w:r>
                    <w:rPr>
                      <w:rFonts w:cs="Arial"/>
                      <w:szCs w:val="24"/>
                    </w:rPr>
                    <w:t xml:space="preserve"> from 1</w:t>
                  </w:r>
                  <w:r w:rsidRPr="00113D4F">
                    <w:rPr>
                      <w:rFonts w:cs="Arial"/>
                      <w:szCs w:val="24"/>
                      <w:vertAlign w:val="superscript"/>
                    </w:rPr>
                    <w:t>st</w:t>
                  </w:r>
                  <w:r>
                    <w:rPr>
                      <w:rFonts w:cs="Arial"/>
                      <w:szCs w:val="24"/>
                    </w:rPr>
                    <w:t xml:space="preserve"> October 2019 for 12 months</w:t>
                  </w:r>
                  <w:r w:rsidR="00FF1DE6" w:rsidRPr="00C36A31">
                    <w:rPr>
                      <w:rFonts w:cs="Arial"/>
                      <w:szCs w:val="24"/>
                    </w:rPr>
                    <w:t xml:space="preserve">  </w:t>
                  </w:r>
                </w:p>
                <w:p w14:paraId="1D2A96E6" w14:textId="748EEB14" w:rsidR="00C36A31" w:rsidRPr="00C36A31" w:rsidRDefault="00C36A31" w:rsidP="0003373B">
                  <w:pPr>
                    <w:pStyle w:val="ListParagraph"/>
                    <w:numPr>
                      <w:ilvl w:val="0"/>
                      <w:numId w:val="14"/>
                    </w:numPr>
                    <w:spacing w:before="40" w:after="40"/>
                    <w:rPr>
                      <w:rFonts w:cs="Arial"/>
                      <w:szCs w:val="24"/>
                    </w:rPr>
                  </w:pPr>
                  <w:r w:rsidRPr="00C36A31">
                    <w:rPr>
                      <w:rFonts w:cs="Arial"/>
                      <w:szCs w:val="24"/>
                    </w:rPr>
                    <w:t xml:space="preserve">that </w:t>
                  </w:r>
                  <w:r>
                    <w:rPr>
                      <w:rFonts w:cs="Arial"/>
                      <w:szCs w:val="24"/>
                    </w:rPr>
                    <w:t>c</w:t>
                  </w:r>
                  <w:r w:rsidR="00BC2EF6" w:rsidRPr="00C36A31">
                    <w:rPr>
                      <w:rFonts w:cs="Arial"/>
                      <w:szCs w:val="24"/>
                    </w:rPr>
                    <w:t xml:space="preserve">entral costs </w:t>
                  </w:r>
                  <w:r w:rsidR="005F7379" w:rsidRPr="00C36A31">
                    <w:rPr>
                      <w:rFonts w:cs="Arial"/>
                      <w:szCs w:val="24"/>
                    </w:rPr>
                    <w:t xml:space="preserve">have been </w:t>
                  </w:r>
                  <w:r w:rsidR="00BC2EF6" w:rsidRPr="00C36A31">
                    <w:rPr>
                      <w:rFonts w:cs="Arial"/>
                      <w:szCs w:val="24"/>
                    </w:rPr>
                    <w:t xml:space="preserve">transferred to </w:t>
                  </w:r>
                  <w:r w:rsidR="00FF1DE6" w:rsidRPr="00C36A31">
                    <w:rPr>
                      <w:rFonts w:cs="Arial"/>
                      <w:szCs w:val="24"/>
                    </w:rPr>
                    <w:t>Sheffield Teaching Hospital</w:t>
                  </w:r>
                  <w:r w:rsidR="00BC2EF6" w:rsidRPr="00C36A31">
                    <w:rPr>
                      <w:rFonts w:cs="Arial"/>
                      <w:szCs w:val="24"/>
                    </w:rPr>
                    <w:t xml:space="preserve"> for onward allocation to the academic partners delivering data analytic and support for national improvement collaborative workstreams</w:t>
                  </w:r>
                  <w:r w:rsidR="00FF1DE6" w:rsidRPr="00C36A31">
                    <w:rPr>
                      <w:rFonts w:cs="Arial"/>
                      <w:szCs w:val="24"/>
                    </w:rPr>
                    <w:t>.</w:t>
                  </w:r>
                  <w:r w:rsidRPr="00C36A31">
                    <w:rPr>
                      <w:rFonts w:cs="Arial"/>
                      <w:szCs w:val="24"/>
                    </w:rPr>
                    <w:t xml:space="preserve"> </w:t>
                  </w:r>
                  <w:r w:rsidR="00CC15FD" w:rsidRPr="00C36A31">
                    <w:rPr>
                      <w:rFonts w:cs="Arial"/>
                      <w:b/>
                      <w:i/>
                      <w:szCs w:val="24"/>
                    </w:rPr>
                    <w:t>These</w:t>
                  </w:r>
                  <w:r w:rsidR="00FF1DE6" w:rsidRPr="00C36A31">
                    <w:rPr>
                      <w:rFonts w:cs="Arial"/>
                      <w:b/>
                      <w:i/>
                      <w:szCs w:val="24"/>
                    </w:rPr>
                    <w:t xml:space="preserve"> payments are as set out in </w:t>
                  </w:r>
                  <w:r w:rsidRPr="00C36A31">
                    <w:rPr>
                      <w:rFonts w:cs="Arial"/>
                      <w:b/>
                      <w:i/>
                      <w:szCs w:val="24"/>
                    </w:rPr>
                    <w:t xml:space="preserve">section D3, </w:t>
                  </w:r>
                  <w:r w:rsidR="00AE3F74" w:rsidRPr="00C36A31">
                    <w:rPr>
                      <w:rFonts w:cs="Arial"/>
                      <w:b/>
                      <w:i/>
                      <w:szCs w:val="24"/>
                    </w:rPr>
                    <w:t xml:space="preserve">Table </w:t>
                  </w:r>
                  <w:r w:rsidR="006473E7">
                    <w:rPr>
                      <w:rFonts w:cs="Arial"/>
                      <w:b/>
                      <w:i/>
                      <w:szCs w:val="24"/>
                    </w:rPr>
                    <w:t>4</w:t>
                  </w:r>
                  <w:r w:rsidR="00AE3F74" w:rsidRPr="00C36A31">
                    <w:rPr>
                      <w:rFonts w:cs="Arial"/>
                      <w:b/>
                      <w:i/>
                      <w:szCs w:val="24"/>
                    </w:rPr>
                    <w:t xml:space="preserve"> </w:t>
                  </w:r>
                  <w:r w:rsidRPr="00C36A31">
                    <w:rPr>
                      <w:rFonts w:cs="Arial"/>
                      <w:b/>
                      <w:i/>
                      <w:szCs w:val="24"/>
                    </w:rPr>
                    <w:t>by centre size and role</w:t>
                  </w:r>
                  <w:r w:rsidR="00AE3F74" w:rsidRPr="00C36A31">
                    <w:rPr>
                      <w:rFonts w:cs="Arial"/>
                      <w:b/>
                      <w:i/>
                      <w:szCs w:val="24"/>
                    </w:rPr>
                    <w:t>.</w:t>
                  </w:r>
                  <w:r w:rsidR="007018D6">
                    <w:rPr>
                      <w:rFonts w:cs="Arial"/>
                      <w:b/>
                      <w:i/>
                      <w:szCs w:val="24"/>
                    </w:rPr>
                    <w:t xml:space="preserve"> Payments should be made within six weeks of receipt of invoice from Sheffield Teaching Hospitals NHS Trust.</w:t>
                  </w:r>
                </w:p>
                <w:p w14:paraId="0BDBA7D9" w14:textId="1A4F082C" w:rsidR="00FF1DE6" w:rsidRPr="00C0263E" w:rsidRDefault="00AE3F74" w:rsidP="00E71FA2">
                  <w:pPr>
                    <w:spacing w:before="40" w:after="40"/>
                    <w:rPr>
                      <w:rFonts w:cs="Arial"/>
                      <w:szCs w:val="24"/>
                    </w:rPr>
                  </w:pPr>
                  <w:r w:rsidRPr="00C808D3">
                    <w:rPr>
                      <w:rFonts w:cs="Arial"/>
                      <w:szCs w:val="24"/>
                    </w:rPr>
                    <w:t xml:space="preserve"> </w:t>
                  </w:r>
                </w:p>
              </w:tc>
            </w:tr>
            <w:tr w:rsidR="00472DD9" w:rsidRPr="00C0263E" w14:paraId="0E0FC770" w14:textId="77777777" w:rsidTr="00F33BC4">
              <w:trPr>
                <w:trHeight w:val="619"/>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E910F" w14:textId="0E62BEC6" w:rsidR="00472DD9" w:rsidRDefault="00472DD9" w:rsidP="0084461B">
                  <w:pPr>
                    <w:spacing w:before="40" w:after="40"/>
                    <w:rPr>
                      <w:rFonts w:cs="Arial"/>
                      <w:b/>
                      <w:szCs w:val="24"/>
                    </w:rPr>
                  </w:pPr>
                  <w:r>
                    <w:rPr>
                      <w:rFonts w:cs="Arial"/>
                      <w:b/>
                      <w:szCs w:val="24"/>
                    </w:rPr>
                    <w:t>Trigger 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33FD0C8" w14:textId="72AD334B" w:rsidR="00472DD9" w:rsidRDefault="00472DD9" w:rsidP="00FB43B8">
                  <w:pPr>
                    <w:spacing w:before="40" w:after="40"/>
                    <w:rPr>
                      <w:rFonts w:cs="Arial"/>
                      <w:szCs w:val="24"/>
                    </w:rPr>
                  </w:pPr>
                  <w:r>
                    <w:rPr>
                      <w:rFonts w:cs="Arial"/>
                      <w:szCs w:val="24"/>
                    </w:rPr>
                    <w:t xml:space="preserve">Clinical trials unit co-ordination team will provide evidence that </w:t>
                  </w:r>
                  <w:r w:rsidR="00A47753">
                    <w:rPr>
                      <w:rFonts w:cs="Arial"/>
                      <w:szCs w:val="24"/>
                    </w:rPr>
                    <w:t xml:space="preserve">the </w:t>
                  </w:r>
                  <w:r>
                    <w:rPr>
                      <w:rFonts w:cs="Arial"/>
                      <w:szCs w:val="24"/>
                    </w:rPr>
                    <w:t xml:space="preserve">Pharmacist </w:t>
                  </w:r>
                  <w:r w:rsidR="00A47753">
                    <w:rPr>
                      <w:rFonts w:cs="Arial"/>
                      <w:szCs w:val="24"/>
                    </w:rPr>
                    <w:t xml:space="preserve">is </w:t>
                  </w:r>
                  <w:r>
                    <w:rPr>
                      <w:rFonts w:cs="Arial"/>
                      <w:szCs w:val="24"/>
                    </w:rPr>
                    <w:t xml:space="preserve">providing 1 day per week of medicines optimisation support </w:t>
                  </w:r>
                  <w:r w:rsidR="002C641E">
                    <w:rPr>
                      <w:rFonts w:cs="Arial"/>
                      <w:szCs w:val="24"/>
                    </w:rPr>
                    <w:t xml:space="preserve">and </w:t>
                  </w:r>
                  <w:r>
                    <w:rPr>
                      <w:rFonts w:cs="Arial"/>
                      <w:szCs w:val="24"/>
                    </w:rPr>
                    <w:t>is engaging in</w:t>
                  </w:r>
                  <w:r w:rsidR="00A47753">
                    <w:rPr>
                      <w:rFonts w:cs="Arial"/>
                      <w:szCs w:val="24"/>
                    </w:rPr>
                    <w:t xml:space="preserve"> a</w:t>
                  </w:r>
                  <w:r>
                    <w:rPr>
                      <w:rFonts w:cs="Arial"/>
                      <w:szCs w:val="24"/>
                    </w:rPr>
                    <w:t xml:space="preserve"> weekly medicines optimisation call</w:t>
                  </w:r>
                  <w:r w:rsidR="000A4FAD">
                    <w:rPr>
                      <w:rFonts w:cs="Arial"/>
                      <w:szCs w:val="24"/>
                    </w:rPr>
                    <w:t xml:space="preserve"> facilitated by a</w:t>
                  </w:r>
                  <w:r w:rsidR="00A47753">
                    <w:rPr>
                      <w:rFonts w:cs="Arial"/>
                      <w:szCs w:val="24"/>
                    </w:rPr>
                    <w:t xml:space="preserve"> </w:t>
                  </w:r>
                  <w:r w:rsidR="00FB43B8">
                    <w:rPr>
                      <w:rFonts w:cs="Arial"/>
                      <w:szCs w:val="24"/>
                    </w:rPr>
                    <w:t xml:space="preserve">medicines optimisation </w:t>
                  </w:r>
                  <w:r w:rsidR="000A4FAD">
                    <w:rPr>
                      <w:rFonts w:cs="Arial"/>
                      <w:szCs w:val="24"/>
                    </w:rPr>
                    <w:t>project lead</w:t>
                  </w:r>
                  <w:r w:rsidR="004528FF">
                    <w:rPr>
                      <w:rFonts w:cs="Arial"/>
                      <w:szCs w:val="24"/>
                    </w:rPr>
                    <w:t xml:space="preserve"> working as part of the central delivery team over seen by the University of Sheffield clinical trials unit.</w:t>
                  </w:r>
                  <w:r w:rsidR="000A4FAD">
                    <w:rPr>
                      <w:rFonts w:cs="Arial"/>
                      <w:szCs w:val="24"/>
                    </w:rPr>
                    <w:t xml:space="preserve"> </w:t>
                  </w:r>
                  <w:r w:rsidR="008C5B5A">
                    <w:rPr>
                      <w:rFonts w:cs="Arial"/>
                      <w:szCs w:val="24"/>
                    </w:rPr>
                    <w:t>Th</w:t>
                  </w:r>
                  <w:r w:rsidR="004846E0">
                    <w:rPr>
                      <w:rFonts w:cs="Arial"/>
                      <w:szCs w:val="24"/>
                    </w:rPr>
                    <w:t xml:space="preserve">is should take place </w:t>
                  </w:r>
                  <w:r w:rsidR="007018D6">
                    <w:rPr>
                      <w:rFonts w:cs="Arial"/>
                      <w:szCs w:val="24"/>
                    </w:rPr>
                    <w:t>from October 2019 to Sept 2020.</w:t>
                  </w:r>
                </w:p>
              </w:tc>
            </w:tr>
            <w:tr w:rsidR="00472DD9" w:rsidRPr="00C0263E" w14:paraId="55DE6ADB" w14:textId="77777777" w:rsidTr="00F33BC4">
              <w:trPr>
                <w:trHeight w:val="619"/>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30A36" w14:textId="22789642" w:rsidR="00472DD9" w:rsidRPr="00C0263E" w:rsidRDefault="00472DD9" w:rsidP="0084461B">
                  <w:pPr>
                    <w:spacing w:before="40" w:after="40"/>
                    <w:rPr>
                      <w:rFonts w:cs="Arial"/>
                      <w:b/>
                      <w:szCs w:val="24"/>
                    </w:rPr>
                  </w:pPr>
                  <w:r>
                    <w:rPr>
                      <w:rFonts w:cs="Arial"/>
                      <w:b/>
                      <w:szCs w:val="24"/>
                    </w:rPr>
                    <w:t>Trigger 3</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17B7231" w14:textId="1C766C71" w:rsidR="00472DD9" w:rsidRPr="00C0263E" w:rsidRDefault="00472DD9" w:rsidP="0084461B">
                  <w:pPr>
                    <w:spacing w:before="40" w:after="40"/>
                    <w:rPr>
                      <w:rFonts w:cs="Arial"/>
                      <w:szCs w:val="24"/>
                    </w:rPr>
                  </w:pPr>
                  <w:r>
                    <w:rPr>
                      <w:rFonts w:cs="Arial"/>
                      <w:szCs w:val="24"/>
                    </w:rPr>
                    <w:t xml:space="preserve">Trust will provide evidence that </w:t>
                  </w:r>
                  <w:proofErr w:type="spellStart"/>
                  <w:r>
                    <w:rPr>
                      <w:rFonts w:cs="Arial"/>
                      <w:szCs w:val="24"/>
                    </w:rPr>
                    <w:t>Etrac</w:t>
                  </w:r>
                  <w:r w:rsidR="004528FF">
                    <w:rPr>
                      <w:rFonts w:cs="Arial"/>
                      <w:szCs w:val="24"/>
                    </w:rPr>
                    <w:t>k</w:t>
                  </w:r>
                  <w:r>
                    <w:rPr>
                      <w:rFonts w:cs="Arial"/>
                      <w:szCs w:val="24"/>
                    </w:rPr>
                    <w:t>s</w:t>
                  </w:r>
                  <w:proofErr w:type="spellEnd"/>
                  <w:r w:rsidR="00A47753">
                    <w:rPr>
                      <w:rFonts w:cs="Arial"/>
                      <w:szCs w:val="24"/>
                    </w:rPr>
                    <w:t xml:space="preserve"> needed</w:t>
                  </w:r>
                  <w:r>
                    <w:rPr>
                      <w:rFonts w:cs="Arial"/>
                      <w:szCs w:val="24"/>
                    </w:rPr>
                    <w:t xml:space="preserve"> to deliver CFHH are ordered via Pari; Trust will provide evidence that data transfer fees are paid to Pari</w:t>
                  </w:r>
                  <w:r w:rsidR="00A47753">
                    <w:rPr>
                      <w:rFonts w:cs="Arial"/>
                      <w:szCs w:val="24"/>
                    </w:rPr>
                    <w:t>.</w:t>
                  </w:r>
                  <w:r w:rsidR="004528FF">
                    <w:rPr>
                      <w:rFonts w:cs="Arial"/>
                      <w:szCs w:val="24"/>
                    </w:rPr>
                    <w:t xml:space="preserve"> This will be monitored by clinical trials unit.</w:t>
                  </w:r>
                </w:p>
              </w:tc>
            </w:tr>
            <w:tr w:rsidR="00472DD9" w:rsidRPr="00C0263E" w14:paraId="1ED9939E" w14:textId="77777777" w:rsidTr="00F33BC4">
              <w:trPr>
                <w:trHeight w:val="812"/>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63C62" w14:textId="55A4B2BF" w:rsidR="00472DD9" w:rsidRDefault="00472DD9" w:rsidP="0084461B">
                  <w:pPr>
                    <w:spacing w:before="40" w:after="40"/>
                    <w:rPr>
                      <w:rFonts w:cs="Arial"/>
                      <w:b/>
                      <w:szCs w:val="24"/>
                    </w:rPr>
                  </w:pPr>
                  <w:r>
                    <w:rPr>
                      <w:rFonts w:cs="Arial"/>
                      <w:b/>
                      <w:szCs w:val="24"/>
                    </w:rPr>
                    <w:lastRenderedPageBreak/>
                    <w:t>Trigger 4</w:t>
                  </w:r>
                </w:p>
                <w:p w14:paraId="7A3759DC" w14:textId="77777777" w:rsidR="00472DD9" w:rsidRDefault="00472DD9" w:rsidP="0084461B">
                  <w:pPr>
                    <w:spacing w:before="40" w:after="40"/>
                    <w:rPr>
                      <w:rFonts w:cs="Arial"/>
                      <w:b/>
                      <w:szCs w:val="24"/>
                    </w:rPr>
                  </w:pP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87F3A18" w14:textId="51AB2CDC" w:rsidR="00472DD9" w:rsidRPr="00C0263E" w:rsidRDefault="00E463EF" w:rsidP="00CD0C3C">
                  <w:pPr>
                    <w:spacing w:before="40" w:after="40"/>
                    <w:rPr>
                      <w:rFonts w:cs="Arial"/>
                      <w:szCs w:val="24"/>
                    </w:rPr>
                  </w:pPr>
                  <w:r>
                    <w:rPr>
                      <w:rFonts w:cs="Arial"/>
                      <w:szCs w:val="24"/>
                    </w:rPr>
                    <w:t>The clinical trials unit will use CF registry data to identify patients with c</w:t>
                  </w:r>
                  <w:r w:rsidR="00472DD9">
                    <w:rPr>
                      <w:rFonts w:cs="Arial"/>
                      <w:szCs w:val="24"/>
                    </w:rPr>
                    <w:t xml:space="preserve">hronic pseudomonas and </w:t>
                  </w:r>
                  <w:proofErr w:type="spellStart"/>
                  <w:r w:rsidR="00472DD9">
                    <w:rPr>
                      <w:rFonts w:cs="Arial"/>
                      <w:szCs w:val="24"/>
                    </w:rPr>
                    <w:t>CFHealthHub</w:t>
                  </w:r>
                  <w:proofErr w:type="spellEnd"/>
                  <w:r w:rsidR="00472DD9">
                    <w:rPr>
                      <w:rFonts w:cs="Arial"/>
                      <w:szCs w:val="24"/>
                    </w:rPr>
                    <w:t xml:space="preserve"> data will demonstrate that </w:t>
                  </w:r>
                  <w:r w:rsidR="002C641E">
                    <w:rPr>
                      <w:rFonts w:cs="Arial"/>
                      <w:szCs w:val="24"/>
                    </w:rPr>
                    <w:t xml:space="preserve">50 to </w:t>
                  </w:r>
                  <w:r w:rsidR="00472DD9">
                    <w:rPr>
                      <w:rFonts w:cs="Arial"/>
                      <w:szCs w:val="24"/>
                    </w:rPr>
                    <w:t xml:space="preserve">75% of these patients are on </w:t>
                  </w:r>
                  <w:proofErr w:type="spellStart"/>
                  <w:r w:rsidR="00472DD9">
                    <w:rPr>
                      <w:rFonts w:cs="Arial"/>
                      <w:szCs w:val="24"/>
                    </w:rPr>
                    <w:t>CFHealthHub</w:t>
                  </w:r>
                  <w:proofErr w:type="spellEnd"/>
                  <w:r w:rsidR="002C641E">
                    <w:rPr>
                      <w:rFonts w:cs="Arial"/>
                      <w:szCs w:val="24"/>
                    </w:rPr>
                    <w:t xml:space="preserve">. </w:t>
                  </w:r>
                  <w:r w:rsidR="00FB43B8">
                    <w:rPr>
                      <w:rFonts w:cs="Arial"/>
                      <w:szCs w:val="24"/>
                    </w:rPr>
                    <w:t xml:space="preserve">However </w:t>
                  </w:r>
                  <w:r w:rsidR="00F33BC4">
                    <w:rPr>
                      <w:rFonts w:cs="Arial"/>
                      <w:szCs w:val="24"/>
                    </w:rPr>
                    <w:t xml:space="preserve">where </w:t>
                  </w:r>
                  <w:r w:rsidR="00C463A8">
                    <w:rPr>
                      <w:rFonts w:cs="Arial"/>
                      <w:szCs w:val="24"/>
                    </w:rPr>
                    <w:t xml:space="preserve">setting up </w:t>
                  </w:r>
                  <w:r w:rsidR="002C641E">
                    <w:rPr>
                      <w:rFonts w:cs="Arial"/>
                      <w:szCs w:val="24"/>
                    </w:rPr>
                    <w:t xml:space="preserve">the 50 to 75% of chronic pseudomonas patients </w:t>
                  </w:r>
                  <w:r w:rsidR="00F33BC4">
                    <w:rPr>
                      <w:rFonts w:cs="Arial"/>
                      <w:szCs w:val="24"/>
                    </w:rPr>
                    <w:t xml:space="preserve">is </w:t>
                  </w:r>
                  <w:r w:rsidR="002C641E">
                    <w:rPr>
                      <w:rFonts w:cs="Arial"/>
                      <w:szCs w:val="24"/>
                    </w:rPr>
                    <w:t xml:space="preserve">inappropriate </w:t>
                  </w:r>
                  <w:r w:rsidR="00C463A8">
                    <w:rPr>
                      <w:rFonts w:cs="Arial"/>
                      <w:szCs w:val="24"/>
                    </w:rPr>
                    <w:t xml:space="preserve">due to dry powder and other device </w:t>
                  </w:r>
                  <w:r w:rsidR="00FB43B8">
                    <w:rPr>
                      <w:rFonts w:cs="Arial"/>
                      <w:szCs w:val="24"/>
                    </w:rPr>
                    <w:t>use;</w:t>
                  </w:r>
                  <w:r w:rsidR="00F33BC4">
                    <w:rPr>
                      <w:rFonts w:cs="Arial"/>
                      <w:szCs w:val="24"/>
                    </w:rPr>
                    <w:t xml:space="preserve"> t</w:t>
                  </w:r>
                  <w:r w:rsidR="002C641E">
                    <w:rPr>
                      <w:rFonts w:cs="Arial"/>
                      <w:szCs w:val="24"/>
                    </w:rPr>
                    <w:t xml:space="preserve">his will be identified by </w:t>
                  </w:r>
                  <w:r>
                    <w:rPr>
                      <w:rFonts w:cs="Arial"/>
                      <w:szCs w:val="24"/>
                    </w:rPr>
                    <w:t xml:space="preserve">the </w:t>
                  </w:r>
                  <w:r w:rsidR="002C641E">
                    <w:rPr>
                      <w:rFonts w:cs="Arial"/>
                      <w:szCs w:val="24"/>
                    </w:rPr>
                    <w:t>centre screening log</w:t>
                  </w:r>
                  <w:r>
                    <w:rPr>
                      <w:rFonts w:cs="Arial"/>
                      <w:szCs w:val="24"/>
                    </w:rPr>
                    <w:t xml:space="preserve"> maintained by clinical trials unit</w:t>
                  </w:r>
                  <w:r w:rsidR="00F33BC4">
                    <w:rPr>
                      <w:rFonts w:cs="Arial"/>
                      <w:szCs w:val="24"/>
                    </w:rPr>
                    <w:t>. I</w:t>
                  </w:r>
                  <w:r w:rsidR="002C641E">
                    <w:rPr>
                      <w:rFonts w:cs="Arial"/>
                      <w:szCs w:val="24"/>
                    </w:rPr>
                    <w:t xml:space="preserve">n that case the trigger will be that all allocated </w:t>
                  </w:r>
                  <w:proofErr w:type="spellStart"/>
                  <w:r w:rsidR="002C641E">
                    <w:rPr>
                      <w:rFonts w:cs="Arial"/>
                      <w:szCs w:val="24"/>
                    </w:rPr>
                    <w:t>Etracks</w:t>
                  </w:r>
                  <w:proofErr w:type="spellEnd"/>
                  <w:r w:rsidR="00FB43B8">
                    <w:rPr>
                      <w:rFonts w:cs="Arial"/>
                      <w:szCs w:val="24"/>
                    </w:rPr>
                    <w:t xml:space="preserve"> ar</w:t>
                  </w:r>
                  <w:r w:rsidR="00E71FA2">
                    <w:rPr>
                      <w:rFonts w:cs="Arial"/>
                      <w:szCs w:val="24"/>
                    </w:rPr>
                    <w:t>e provided to other CF patients</w:t>
                  </w:r>
                  <w:r w:rsidR="00CD0C3C">
                    <w:rPr>
                      <w:rFonts w:cs="Arial"/>
                      <w:szCs w:val="24"/>
                    </w:rPr>
                    <w:t>.</w:t>
                  </w:r>
                </w:p>
              </w:tc>
            </w:tr>
            <w:tr w:rsidR="00472DD9" w:rsidRPr="00C0263E" w14:paraId="34D1C932" w14:textId="77777777" w:rsidTr="00F33BC4">
              <w:trPr>
                <w:trHeight w:val="619"/>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0C661" w14:textId="5D2EE348" w:rsidR="00472DD9" w:rsidRDefault="00472DD9" w:rsidP="0084461B">
                  <w:pPr>
                    <w:spacing w:before="40" w:after="40"/>
                    <w:rPr>
                      <w:rFonts w:cs="Arial"/>
                      <w:b/>
                      <w:szCs w:val="24"/>
                    </w:rPr>
                  </w:pPr>
                  <w:r>
                    <w:rPr>
                      <w:rFonts w:cs="Arial"/>
                      <w:b/>
                      <w:szCs w:val="24"/>
                    </w:rPr>
                    <w:t>Trigger 5</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4C730A2" w14:textId="4D4CFEAB" w:rsidR="00472DD9" w:rsidRPr="00C0263E" w:rsidRDefault="00472DD9" w:rsidP="00B23E9A">
                  <w:pPr>
                    <w:spacing w:before="40" w:after="40"/>
                    <w:rPr>
                      <w:rFonts w:cs="Arial"/>
                      <w:szCs w:val="24"/>
                    </w:rPr>
                  </w:pPr>
                  <w:r>
                    <w:rPr>
                      <w:rFonts w:cs="Arial"/>
                      <w:szCs w:val="24"/>
                    </w:rPr>
                    <w:t xml:space="preserve">Click analytics available from CFHH </w:t>
                  </w:r>
                  <w:r w:rsidR="002C641E">
                    <w:rPr>
                      <w:rFonts w:cs="Arial"/>
                      <w:szCs w:val="24"/>
                    </w:rPr>
                    <w:t>and checked by clinical trials unit</w:t>
                  </w:r>
                  <w:r w:rsidR="00C463A8">
                    <w:rPr>
                      <w:rFonts w:cs="Arial"/>
                      <w:szCs w:val="24"/>
                    </w:rPr>
                    <w:t xml:space="preserve"> </w:t>
                  </w:r>
                  <w:r w:rsidR="00CD0C3C">
                    <w:rPr>
                      <w:rFonts w:cs="Arial"/>
                      <w:szCs w:val="24"/>
                    </w:rPr>
                    <w:t>will</w:t>
                  </w:r>
                  <w:r>
                    <w:rPr>
                      <w:rFonts w:cs="Arial"/>
                      <w:szCs w:val="24"/>
                    </w:rPr>
                    <w:t xml:space="preserve"> demonstrate that </w:t>
                  </w:r>
                  <w:r w:rsidR="00CD0C3C">
                    <w:rPr>
                      <w:rFonts w:cs="Arial"/>
                      <w:szCs w:val="24"/>
                    </w:rPr>
                    <w:t xml:space="preserve">the </w:t>
                  </w:r>
                  <w:r>
                    <w:rPr>
                      <w:rFonts w:cs="Arial"/>
                      <w:szCs w:val="24"/>
                    </w:rPr>
                    <w:t xml:space="preserve">clinical team access </w:t>
                  </w:r>
                  <w:proofErr w:type="spellStart"/>
                  <w:r>
                    <w:rPr>
                      <w:rFonts w:cs="Arial"/>
                      <w:szCs w:val="24"/>
                    </w:rPr>
                    <w:t>CFHealthHub</w:t>
                  </w:r>
                  <w:proofErr w:type="spellEnd"/>
                  <w:r>
                    <w:rPr>
                      <w:rFonts w:cs="Arial"/>
                      <w:szCs w:val="24"/>
                    </w:rPr>
                    <w:t xml:space="preserve"> adherence data</w:t>
                  </w:r>
                  <w:r w:rsidR="00B23E9A">
                    <w:rPr>
                      <w:rFonts w:cs="Arial"/>
                      <w:szCs w:val="24"/>
                    </w:rPr>
                    <w:t xml:space="preserve"> and prescription </w:t>
                  </w:r>
                  <w:r w:rsidR="00F33BC4">
                    <w:rPr>
                      <w:rFonts w:cs="Arial"/>
                      <w:szCs w:val="24"/>
                    </w:rPr>
                    <w:t>data for</w:t>
                  </w:r>
                  <w:r>
                    <w:rPr>
                      <w:rFonts w:cs="Arial"/>
                      <w:szCs w:val="24"/>
                    </w:rPr>
                    <w:t xml:space="preserve"> all monitored patients every </w:t>
                  </w:r>
                  <w:r w:rsidR="00B23E9A">
                    <w:rPr>
                      <w:rFonts w:cs="Arial"/>
                      <w:szCs w:val="24"/>
                    </w:rPr>
                    <w:t xml:space="preserve">8 to 12 </w:t>
                  </w:r>
                  <w:r>
                    <w:rPr>
                      <w:rFonts w:cs="Arial"/>
                      <w:szCs w:val="24"/>
                    </w:rPr>
                    <w:t>weeks</w:t>
                  </w:r>
                  <w:r w:rsidR="00F33BC4">
                    <w:rPr>
                      <w:rFonts w:cs="Arial"/>
                      <w:szCs w:val="24"/>
                    </w:rPr>
                    <w:t>.</w:t>
                  </w:r>
                </w:p>
              </w:tc>
            </w:tr>
            <w:tr w:rsidR="00472DD9" w:rsidRPr="00C0263E" w14:paraId="45CE9EB1" w14:textId="77777777" w:rsidTr="00F33BC4">
              <w:trPr>
                <w:trHeight w:val="619"/>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04553" w14:textId="5661A057" w:rsidR="00472DD9" w:rsidRDefault="00472DD9" w:rsidP="0084461B">
                  <w:pPr>
                    <w:spacing w:before="40" w:after="40"/>
                    <w:rPr>
                      <w:rFonts w:cs="Arial"/>
                      <w:b/>
                      <w:szCs w:val="24"/>
                    </w:rPr>
                  </w:pPr>
                  <w:r>
                    <w:rPr>
                      <w:rFonts w:cs="Arial"/>
                      <w:b/>
                      <w:szCs w:val="24"/>
                    </w:rPr>
                    <w:t>Trigger 6</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41069E7" w14:textId="7995BA1B" w:rsidR="00472DD9" w:rsidRPr="00C0263E" w:rsidRDefault="00F33BC4" w:rsidP="00CD0C3C">
                  <w:pPr>
                    <w:spacing w:before="40" w:after="40"/>
                    <w:rPr>
                      <w:rFonts w:cs="Arial"/>
                      <w:szCs w:val="24"/>
                    </w:rPr>
                  </w:pPr>
                  <w:r>
                    <w:rPr>
                      <w:rFonts w:cs="Arial"/>
                      <w:szCs w:val="24"/>
                    </w:rPr>
                    <w:t xml:space="preserve">Creation of a protocol using </w:t>
                  </w:r>
                  <w:proofErr w:type="spellStart"/>
                  <w:r>
                    <w:rPr>
                      <w:rFonts w:cs="Arial"/>
                      <w:szCs w:val="24"/>
                    </w:rPr>
                    <w:t>CFHealthHub</w:t>
                  </w:r>
                  <w:proofErr w:type="spellEnd"/>
                  <w:r>
                    <w:rPr>
                      <w:rFonts w:cs="Arial"/>
                      <w:szCs w:val="24"/>
                    </w:rPr>
                    <w:t xml:space="preserve"> to support medicines optimisation that takes account of local circumstances. </w:t>
                  </w:r>
                  <w:r w:rsidR="00CD0C3C">
                    <w:rPr>
                      <w:rFonts w:cs="Arial"/>
                      <w:szCs w:val="24"/>
                    </w:rPr>
                    <w:t>The aim is to minimise waste by just in time drug delivery guided by actual adherence data and strategies to support drug escalation to aztreonam and Levofloxacin that takes account of adherence.</w:t>
                  </w:r>
                  <w:r w:rsidR="003525B3">
                    <w:rPr>
                      <w:rFonts w:cs="Arial"/>
                      <w:szCs w:val="24"/>
                    </w:rPr>
                    <w:t xml:space="preserve"> </w:t>
                  </w:r>
                  <w:r>
                    <w:rPr>
                      <w:rFonts w:cs="Arial"/>
                      <w:szCs w:val="24"/>
                    </w:rPr>
                    <w:t>The e</w:t>
                  </w:r>
                  <w:r w:rsidR="00472DD9">
                    <w:rPr>
                      <w:rFonts w:cs="Arial"/>
                      <w:szCs w:val="24"/>
                    </w:rPr>
                    <w:t>mbedded pharmacist will</w:t>
                  </w:r>
                  <w:r>
                    <w:rPr>
                      <w:rFonts w:cs="Arial"/>
                      <w:szCs w:val="24"/>
                    </w:rPr>
                    <w:t xml:space="preserve"> have</w:t>
                  </w:r>
                  <w:r w:rsidR="00C463A8">
                    <w:rPr>
                      <w:rFonts w:cs="Arial"/>
                      <w:szCs w:val="24"/>
                    </w:rPr>
                    <w:t xml:space="preserve"> provide</w:t>
                  </w:r>
                  <w:r>
                    <w:rPr>
                      <w:rFonts w:cs="Arial"/>
                      <w:szCs w:val="24"/>
                    </w:rPr>
                    <w:t>d</w:t>
                  </w:r>
                  <w:r w:rsidR="00C463A8">
                    <w:rPr>
                      <w:rFonts w:cs="Arial"/>
                      <w:szCs w:val="24"/>
                    </w:rPr>
                    <w:t xml:space="preserve"> medicine possession ratio data for CF patients in the centre and be supported by </w:t>
                  </w:r>
                  <w:proofErr w:type="spellStart"/>
                  <w:r w:rsidR="00C463A8">
                    <w:rPr>
                      <w:rFonts w:cs="Arial"/>
                      <w:szCs w:val="24"/>
                    </w:rPr>
                    <w:t>CFHealthHub</w:t>
                  </w:r>
                  <w:proofErr w:type="spellEnd"/>
                  <w:r w:rsidR="00C463A8">
                    <w:rPr>
                      <w:rFonts w:cs="Arial"/>
                      <w:szCs w:val="24"/>
                    </w:rPr>
                    <w:t xml:space="preserve"> team </w:t>
                  </w:r>
                  <w:r>
                    <w:rPr>
                      <w:rFonts w:cs="Arial"/>
                      <w:szCs w:val="24"/>
                    </w:rPr>
                    <w:t>to develop</w:t>
                  </w:r>
                  <w:r w:rsidR="00C463A8">
                    <w:rPr>
                      <w:rFonts w:cs="Arial"/>
                      <w:szCs w:val="24"/>
                    </w:rPr>
                    <w:t xml:space="preserve"> </w:t>
                  </w:r>
                  <w:r w:rsidR="00CD0C3C">
                    <w:rPr>
                      <w:rFonts w:cs="Arial"/>
                      <w:szCs w:val="24"/>
                    </w:rPr>
                    <w:t>a</w:t>
                  </w:r>
                  <w:r w:rsidR="00C463A8">
                    <w:rPr>
                      <w:rFonts w:cs="Arial"/>
                      <w:szCs w:val="24"/>
                    </w:rPr>
                    <w:t xml:space="preserve"> </w:t>
                  </w:r>
                  <w:r w:rsidR="00472DD9">
                    <w:rPr>
                      <w:rFonts w:cs="Arial"/>
                      <w:szCs w:val="24"/>
                    </w:rPr>
                    <w:t>local medicines optimis</w:t>
                  </w:r>
                  <w:r w:rsidR="00CD0C3C">
                    <w:rPr>
                      <w:rFonts w:cs="Arial"/>
                      <w:szCs w:val="24"/>
                    </w:rPr>
                    <w:t>ation protocol</w:t>
                  </w:r>
                  <w:r w:rsidR="007018D6">
                    <w:rPr>
                      <w:rFonts w:cs="Arial"/>
                      <w:szCs w:val="24"/>
                    </w:rPr>
                    <w:t>,</w:t>
                  </w:r>
                  <w:r w:rsidR="00CD0C3C">
                    <w:rPr>
                      <w:rFonts w:cs="Arial"/>
                      <w:szCs w:val="24"/>
                    </w:rPr>
                    <w:t xml:space="preserve"> </w:t>
                  </w:r>
                  <w:r w:rsidR="007018D6">
                    <w:rPr>
                      <w:rFonts w:cs="Arial"/>
                      <w:szCs w:val="24"/>
                    </w:rPr>
                    <w:t>work on this to begin October 2019 for completion Q2 2020</w:t>
                  </w:r>
                  <w:r w:rsidR="00CD0C3C">
                    <w:rPr>
                      <w:rFonts w:cs="Arial"/>
                      <w:szCs w:val="24"/>
                    </w:rPr>
                    <w:t>. This protocol should be low maintenance so that it</w:t>
                  </w:r>
                  <w:r w:rsidR="00472DD9">
                    <w:rPr>
                      <w:rFonts w:cs="Arial"/>
                      <w:szCs w:val="24"/>
                    </w:rPr>
                    <w:t xml:space="preserve"> can </w:t>
                  </w:r>
                  <w:r w:rsidR="00C463A8">
                    <w:rPr>
                      <w:rFonts w:cs="Arial"/>
                      <w:szCs w:val="24"/>
                    </w:rPr>
                    <w:t xml:space="preserve">eventually </w:t>
                  </w:r>
                  <w:r w:rsidR="00472DD9">
                    <w:rPr>
                      <w:rFonts w:cs="Arial"/>
                      <w:szCs w:val="24"/>
                    </w:rPr>
                    <w:t xml:space="preserve">be delivered </w:t>
                  </w:r>
                  <w:r w:rsidR="00CD0C3C">
                    <w:rPr>
                      <w:rFonts w:cs="Arial"/>
                      <w:szCs w:val="24"/>
                    </w:rPr>
                    <w:t xml:space="preserve">within existing resources </w:t>
                  </w:r>
                  <w:r w:rsidR="00472DD9">
                    <w:rPr>
                      <w:rFonts w:cs="Arial"/>
                      <w:szCs w:val="24"/>
                    </w:rPr>
                    <w:t xml:space="preserve">by </w:t>
                  </w:r>
                  <w:r w:rsidR="00C463A8">
                    <w:rPr>
                      <w:rFonts w:cs="Arial"/>
                      <w:szCs w:val="24"/>
                    </w:rPr>
                    <w:t xml:space="preserve">the regular CF </w:t>
                  </w:r>
                  <w:r w:rsidR="00472DD9">
                    <w:rPr>
                      <w:rFonts w:cs="Arial"/>
                      <w:szCs w:val="24"/>
                    </w:rPr>
                    <w:t>team.</w:t>
                  </w:r>
                  <w:r w:rsidR="00C463A8">
                    <w:rPr>
                      <w:rFonts w:cs="Arial"/>
                      <w:szCs w:val="24"/>
                    </w:rPr>
                    <w:t xml:space="preserve"> </w:t>
                  </w:r>
                  <w:r w:rsidR="00CD0C3C">
                    <w:rPr>
                      <w:rFonts w:cs="Arial"/>
                      <w:szCs w:val="24"/>
                    </w:rPr>
                    <w:t>The protocol will be adapted to be suitable to be embedded within routine care over the final 4 months of the CQUIN.</w:t>
                  </w:r>
                </w:p>
              </w:tc>
            </w:tr>
          </w:tbl>
          <w:p w14:paraId="22AAD4FA" w14:textId="77777777" w:rsidR="00CF3963" w:rsidRDefault="00CF3963" w:rsidP="0084461B">
            <w:pPr>
              <w:rPr>
                <w:rFonts w:cs="Arial"/>
                <w:szCs w:val="24"/>
              </w:rPr>
            </w:pPr>
          </w:p>
          <w:p w14:paraId="0EB94B26" w14:textId="77777777" w:rsidR="00CF3963" w:rsidRPr="00C0210F" w:rsidRDefault="00CF3963" w:rsidP="005931C4">
            <w:pPr>
              <w:rPr>
                <w:rFonts w:eastAsiaTheme="minorEastAsia" w:cs="Arial"/>
                <w:szCs w:val="24"/>
              </w:rPr>
            </w:pPr>
          </w:p>
        </w:tc>
      </w:tr>
      <w:tr w:rsidR="00CF3963" w:rsidRPr="000412A1" w14:paraId="11C2CE12" w14:textId="77777777" w:rsidTr="00CF3963">
        <w:tc>
          <w:tcPr>
            <w:tcW w:w="5000" w:type="pct"/>
            <w:gridSpan w:val="3"/>
          </w:tcPr>
          <w:p w14:paraId="7B014273"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7A5F214C"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0"/>
              <w:gridCol w:w="2395"/>
              <w:gridCol w:w="2395"/>
            </w:tblGrid>
            <w:tr w:rsidR="00FF1DE6" w:rsidRPr="00C0263E" w14:paraId="7A720782" w14:textId="28E9E663" w:rsidTr="00FF1DE6">
              <w:tc>
                <w:tcPr>
                  <w:tcW w:w="1800" w:type="dxa"/>
                  <w:tcBorders>
                    <w:top w:val="single" w:sz="4" w:space="0" w:color="auto"/>
                    <w:left w:val="single" w:sz="4" w:space="0" w:color="auto"/>
                    <w:bottom w:val="single" w:sz="4" w:space="0" w:color="auto"/>
                    <w:right w:val="single" w:sz="4" w:space="0" w:color="auto"/>
                  </w:tcBorders>
                  <w:shd w:val="clear" w:color="auto" w:fill="F2F2F2"/>
                </w:tcPr>
                <w:p w14:paraId="2E8D53A0" w14:textId="77777777" w:rsidR="00FF1DE6" w:rsidRPr="00C0263E" w:rsidRDefault="00FF1DE6" w:rsidP="00E17A0D">
                  <w:pPr>
                    <w:spacing w:before="40" w:after="40"/>
                    <w:rPr>
                      <w:rFonts w:cs="Arial"/>
                      <w:b/>
                      <w:szCs w:val="24"/>
                    </w:rPr>
                  </w:pPr>
                  <w:r>
                    <w:rPr>
                      <w:rFonts w:cs="Arial"/>
                      <w:b/>
                      <w:szCs w:val="24"/>
                    </w:rPr>
                    <w:t>Percentages of Target Payment per Trigger</w:t>
                  </w:r>
                </w:p>
              </w:tc>
              <w:tc>
                <w:tcPr>
                  <w:tcW w:w="30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D54A8" w14:textId="77777777" w:rsidR="00FF1DE6" w:rsidRDefault="00FF1DE6" w:rsidP="00E17A0D">
                  <w:pPr>
                    <w:spacing w:before="40" w:after="40"/>
                    <w:rPr>
                      <w:rFonts w:cs="Arial"/>
                      <w:b/>
                      <w:szCs w:val="24"/>
                    </w:rPr>
                  </w:pPr>
                  <w:r>
                    <w:rPr>
                      <w:rFonts w:cs="Arial"/>
                      <w:b/>
                      <w:szCs w:val="24"/>
                    </w:rPr>
                    <w:t>Large Provider</w:t>
                  </w:r>
                </w:p>
                <w:p w14:paraId="7ECDF411" w14:textId="7E771D34" w:rsidR="00FF1DE6" w:rsidRPr="00EC3C9D" w:rsidRDefault="00FF1DE6" w:rsidP="00E17A0D">
                  <w:pPr>
                    <w:spacing w:before="40" w:after="40"/>
                    <w:rPr>
                      <w:rFonts w:cs="Arial"/>
                      <w:b/>
                      <w:szCs w:val="24"/>
                    </w:rPr>
                  </w:pPr>
                  <w:r>
                    <w:rPr>
                      <w:rFonts w:cs="Arial"/>
                      <w:b/>
                      <w:szCs w:val="24"/>
                    </w:rPr>
                    <w:t>(over 180 CF patients)</w:t>
                  </w:r>
                </w:p>
              </w:tc>
              <w:tc>
                <w:tcPr>
                  <w:tcW w:w="25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BD60EE" w14:textId="3AAAB434" w:rsidR="00FF1DE6" w:rsidRDefault="00FF1DE6" w:rsidP="00E17A0D">
                  <w:pPr>
                    <w:spacing w:before="40" w:after="40"/>
                    <w:rPr>
                      <w:rFonts w:cs="Arial"/>
                      <w:b/>
                      <w:szCs w:val="24"/>
                    </w:rPr>
                  </w:pPr>
                  <w:r>
                    <w:rPr>
                      <w:rFonts w:cs="Arial"/>
                      <w:b/>
                      <w:szCs w:val="24"/>
                    </w:rPr>
                    <w:t xml:space="preserve">Medium Provider </w:t>
                  </w:r>
                </w:p>
              </w:tc>
              <w:tc>
                <w:tcPr>
                  <w:tcW w:w="25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831BE" w14:textId="5099939C" w:rsidR="00FF1DE6" w:rsidRDefault="00FF1DE6" w:rsidP="00E17A0D">
                  <w:pPr>
                    <w:spacing w:before="40" w:after="40"/>
                    <w:rPr>
                      <w:rFonts w:cs="Arial"/>
                      <w:b/>
                      <w:szCs w:val="24"/>
                    </w:rPr>
                  </w:pPr>
                  <w:r>
                    <w:rPr>
                      <w:rFonts w:cs="Arial"/>
                      <w:b/>
                      <w:szCs w:val="24"/>
                    </w:rPr>
                    <w:t>Small Provider</w:t>
                  </w:r>
                </w:p>
              </w:tc>
            </w:tr>
            <w:tr w:rsidR="00FF1DE6" w:rsidRPr="00C0263E" w14:paraId="20571CA2" w14:textId="76D90E54" w:rsidTr="00FF1DE6">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03970130" w14:textId="77777777" w:rsidR="00FF1DE6" w:rsidRDefault="00FF1DE6" w:rsidP="00E17A0D">
                  <w:pPr>
                    <w:spacing w:before="40" w:after="40"/>
                    <w:rPr>
                      <w:rFonts w:cs="Arial"/>
                      <w:b/>
                      <w:szCs w:val="24"/>
                    </w:rPr>
                  </w:pPr>
                  <w:r>
                    <w:rPr>
                      <w:rFonts w:cs="Arial"/>
                      <w:b/>
                      <w:szCs w:val="24"/>
                    </w:rPr>
                    <w:t>Trigger 1</w:t>
                  </w:r>
                </w:p>
                <w:p w14:paraId="531544C2" w14:textId="77777777" w:rsidR="00FF1DE6" w:rsidRPr="00C0263E" w:rsidRDefault="00FF1DE6" w:rsidP="00E17A0D">
                  <w:pPr>
                    <w:spacing w:before="40" w:after="40"/>
                    <w:rPr>
                      <w:rFonts w:cs="Arial"/>
                      <w:b/>
                      <w:szCs w:val="24"/>
                    </w:rPr>
                  </w:pPr>
                </w:p>
              </w:tc>
              <w:tc>
                <w:tcPr>
                  <w:tcW w:w="3038" w:type="dxa"/>
                  <w:tcBorders>
                    <w:top w:val="single" w:sz="4" w:space="0" w:color="auto"/>
                    <w:left w:val="single" w:sz="4" w:space="0" w:color="auto"/>
                    <w:bottom w:val="single" w:sz="4" w:space="0" w:color="auto"/>
                    <w:right w:val="single" w:sz="4" w:space="0" w:color="auto"/>
                  </w:tcBorders>
                </w:tcPr>
                <w:p w14:paraId="71FBBAC3" w14:textId="30E0FAAA" w:rsidR="00FF1DE6" w:rsidRPr="00C0263E" w:rsidRDefault="00FF1DE6" w:rsidP="00E17A0D">
                  <w:pPr>
                    <w:spacing w:before="40" w:after="40"/>
                    <w:rPr>
                      <w:rFonts w:cs="Arial"/>
                      <w:szCs w:val="24"/>
                    </w:rPr>
                  </w:pPr>
                  <w:r>
                    <w:rPr>
                      <w:rFonts w:cs="Arial"/>
                      <w:szCs w:val="24"/>
                    </w:rPr>
                    <w:t>70%</w:t>
                  </w:r>
                </w:p>
              </w:tc>
              <w:tc>
                <w:tcPr>
                  <w:tcW w:w="2568" w:type="dxa"/>
                  <w:tcBorders>
                    <w:top w:val="single" w:sz="4" w:space="0" w:color="auto"/>
                    <w:left w:val="single" w:sz="4" w:space="0" w:color="auto"/>
                    <w:bottom w:val="single" w:sz="4" w:space="0" w:color="auto"/>
                    <w:right w:val="single" w:sz="4" w:space="0" w:color="auto"/>
                  </w:tcBorders>
                </w:tcPr>
                <w:p w14:paraId="39BAFA4E" w14:textId="44A9DDBA" w:rsidR="00FF1DE6" w:rsidRDefault="00FF1DE6" w:rsidP="00E17A0D">
                  <w:pPr>
                    <w:spacing w:before="40" w:after="40"/>
                    <w:rPr>
                      <w:rFonts w:cs="Arial"/>
                      <w:szCs w:val="24"/>
                    </w:rPr>
                  </w:pPr>
                  <w:r>
                    <w:rPr>
                      <w:rFonts w:cs="Arial"/>
                      <w:szCs w:val="24"/>
                    </w:rPr>
                    <w:t>60%</w:t>
                  </w:r>
                </w:p>
              </w:tc>
              <w:tc>
                <w:tcPr>
                  <w:tcW w:w="2568" w:type="dxa"/>
                  <w:tcBorders>
                    <w:top w:val="single" w:sz="4" w:space="0" w:color="auto"/>
                    <w:left w:val="single" w:sz="4" w:space="0" w:color="auto"/>
                    <w:bottom w:val="single" w:sz="4" w:space="0" w:color="auto"/>
                    <w:right w:val="single" w:sz="4" w:space="0" w:color="auto"/>
                  </w:tcBorders>
                </w:tcPr>
                <w:p w14:paraId="00079139" w14:textId="06B85482" w:rsidR="00FF1DE6" w:rsidRDefault="00FF1DE6" w:rsidP="00E17A0D">
                  <w:pPr>
                    <w:spacing w:before="40" w:after="40"/>
                    <w:rPr>
                      <w:rFonts w:cs="Arial"/>
                      <w:szCs w:val="24"/>
                    </w:rPr>
                  </w:pPr>
                  <w:r>
                    <w:rPr>
                      <w:rFonts w:cs="Arial"/>
                      <w:szCs w:val="24"/>
                    </w:rPr>
                    <w:t>50%</w:t>
                  </w:r>
                </w:p>
              </w:tc>
            </w:tr>
            <w:tr w:rsidR="00263E56" w:rsidRPr="00C0263E" w14:paraId="0AE58E28" w14:textId="3D5AEFFB" w:rsidTr="00FF1DE6">
              <w:trPr>
                <w:trHeight w:val="619"/>
              </w:trPr>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48F22AF9" w14:textId="77777777" w:rsidR="00263E56" w:rsidRPr="00C0263E" w:rsidRDefault="00263E56" w:rsidP="00263E56">
                  <w:pPr>
                    <w:spacing w:before="40" w:after="40"/>
                    <w:rPr>
                      <w:rFonts w:cs="Arial"/>
                      <w:b/>
                      <w:szCs w:val="24"/>
                    </w:rPr>
                  </w:pPr>
                  <w:r>
                    <w:rPr>
                      <w:rFonts w:cs="Arial"/>
                      <w:b/>
                      <w:szCs w:val="24"/>
                    </w:rPr>
                    <w:t>Trigger 2</w:t>
                  </w:r>
                </w:p>
              </w:tc>
              <w:tc>
                <w:tcPr>
                  <w:tcW w:w="3038" w:type="dxa"/>
                  <w:tcBorders>
                    <w:top w:val="single" w:sz="4" w:space="0" w:color="auto"/>
                    <w:left w:val="single" w:sz="4" w:space="0" w:color="auto"/>
                    <w:bottom w:val="single" w:sz="4" w:space="0" w:color="auto"/>
                    <w:right w:val="single" w:sz="4" w:space="0" w:color="auto"/>
                  </w:tcBorders>
                </w:tcPr>
                <w:p w14:paraId="0D676E2C" w14:textId="39F65B88" w:rsidR="00263E56" w:rsidRPr="00C0263E"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7D5E0A8F" w14:textId="141E1DEC" w:rsidR="00263E56"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64B53378" w14:textId="0190A7E4" w:rsidR="00263E56" w:rsidRDefault="00263E56" w:rsidP="00263E56">
                  <w:pPr>
                    <w:spacing w:before="40" w:after="40"/>
                    <w:rPr>
                      <w:rFonts w:cs="Arial"/>
                      <w:szCs w:val="24"/>
                    </w:rPr>
                  </w:pPr>
                  <w:r>
                    <w:rPr>
                      <w:rFonts w:cs="Arial"/>
                      <w:szCs w:val="24"/>
                    </w:rPr>
                    <w:t>5%</w:t>
                  </w:r>
                </w:p>
              </w:tc>
            </w:tr>
            <w:tr w:rsidR="00263E56" w:rsidRPr="00C0263E" w14:paraId="6EA64DAB" w14:textId="16846E6B" w:rsidTr="00FF1DE6">
              <w:trPr>
                <w:trHeight w:val="812"/>
              </w:trPr>
              <w:tc>
                <w:tcPr>
                  <w:tcW w:w="1800" w:type="dxa"/>
                  <w:tcBorders>
                    <w:top w:val="single" w:sz="4" w:space="0" w:color="auto"/>
                    <w:left w:val="single" w:sz="4" w:space="0" w:color="auto"/>
                    <w:bottom w:val="single" w:sz="4" w:space="0" w:color="auto"/>
                    <w:right w:val="single" w:sz="4" w:space="0" w:color="auto"/>
                  </w:tcBorders>
                  <w:shd w:val="clear" w:color="auto" w:fill="F2F2F2"/>
                </w:tcPr>
                <w:p w14:paraId="238B54F9" w14:textId="77777777" w:rsidR="00263E56" w:rsidRDefault="00263E56" w:rsidP="00263E56">
                  <w:pPr>
                    <w:spacing w:before="40" w:after="40"/>
                    <w:rPr>
                      <w:rFonts w:cs="Arial"/>
                      <w:b/>
                      <w:szCs w:val="24"/>
                    </w:rPr>
                  </w:pPr>
                  <w:r>
                    <w:rPr>
                      <w:rFonts w:cs="Arial"/>
                      <w:b/>
                      <w:szCs w:val="24"/>
                    </w:rPr>
                    <w:t>Trigger 3</w:t>
                  </w:r>
                </w:p>
                <w:p w14:paraId="33479007" w14:textId="77777777" w:rsidR="00263E56" w:rsidRDefault="00263E56" w:rsidP="00263E56">
                  <w:pPr>
                    <w:spacing w:before="40" w:after="40"/>
                    <w:rPr>
                      <w:rFonts w:cs="Arial"/>
                      <w:b/>
                      <w:szCs w:val="24"/>
                    </w:rPr>
                  </w:pPr>
                </w:p>
              </w:tc>
              <w:tc>
                <w:tcPr>
                  <w:tcW w:w="3038" w:type="dxa"/>
                  <w:tcBorders>
                    <w:top w:val="single" w:sz="4" w:space="0" w:color="auto"/>
                    <w:left w:val="single" w:sz="4" w:space="0" w:color="auto"/>
                    <w:bottom w:val="single" w:sz="4" w:space="0" w:color="auto"/>
                    <w:right w:val="single" w:sz="4" w:space="0" w:color="auto"/>
                  </w:tcBorders>
                </w:tcPr>
                <w:p w14:paraId="5B6D1F87" w14:textId="2C4812EA" w:rsidR="00263E56" w:rsidRPr="00C0263E"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622C7BDA" w14:textId="626E92F1" w:rsidR="00263E56"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718CC0F5" w14:textId="25858722" w:rsidR="00263E56" w:rsidRDefault="00263E56" w:rsidP="00263E56">
                  <w:pPr>
                    <w:spacing w:before="40" w:after="40"/>
                    <w:rPr>
                      <w:rFonts w:cs="Arial"/>
                      <w:szCs w:val="24"/>
                    </w:rPr>
                  </w:pPr>
                  <w:r>
                    <w:rPr>
                      <w:rFonts w:cs="Arial"/>
                      <w:szCs w:val="24"/>
                    </w:rPr>
                    <w:t>5%</w:t>
                  </w:r>
                </w:p>
              </w:tc>
            </w:tr>
            <w:tr w:rsidR="00263E56" w:rsidRPr="00C0263E" w14:paraId="47DFEA04" w14:textId="3FD358C9" w:rsidTr="00FF1DE6">
              <w:trPr>
                <w:trHeight w:val="619"/>
              </w:trPr>
              <w:tc>
                <w:tcPr>
                  <w:tcW w:w="1800" w:type="dxa"/>
                  <w:tcBorders>
                    <w:top w:val="single" w:sz="4" w:space="0" w:color="auto"/>
                    <w:left w:val="single" w:sz="4" w:space="0" w:color="auto"/>
                    <w:bottom w:val="single" w:sz="4" w:space="0" w:color="auto"/>
                    <w:right w:val="single" w:sz="4" w:space="0" w:color="auto"/>
                  </w:tcBorders>
                  <w:shd w:val="clear" w:color="auto" w:fill="F2F2F2"/>
                </w:tcPr>
                <w:p w14:paraId="7CFE8B29" w14:textId="77777777" w:rsidR="00263E56" w:rsidRDefault="00263E56" w:rsidP="00263E56">
                  <w:pPr>
                    <w:spacing w:before="40" w:after="40"/>
                    <w:rPr>
                      <w:rFonts w:cs="Arial"/>
                      <w:b/>
                      <w:szCs w:val="24"/>
                    </w:rPr>
                  </w:pPr>
                  <w:r>
                    <w:rPr>
                      <w:rFonts w:cs="Arial"/>
                      <w:b/>
                      <w:szCs w:val="24"/>
                    </w:rPr>
                    <w:t>Trigger 4</w:t>
                  </w:r>
                </w:p>
              </w:tc>
              <w:tc>
                <w:tcPr>
                  <w:tcW w:w="3038" w:type="dxa"/>
                  <w:tcBorders>
                    <w:top w:val="single" w:sz="4" w:space="0" w:color="auto"/>
                    <w:left w:val="single" w:sz="4" w:space="0" w:color="auto"/>
                    <w:bottom w:val="single" w:sz="4" w:space="0" w:color="auto"/>
                    <w:right w:val="single" w:sz="4" w:space="0" w:color="auto"/>
                  </w:tcBorders>
                </w:tcPr>
                <w:p w14:paraId="4C2D8F6B" w14:textId="22D4E32D" w:rsidR="00263E56" w:rsidRPr="00C0263E" w:rsidRDefault="00263E56" w:rsidP="00263E56">
                  <w:pPr>
                    <w:spacing w:before="40" w:after="40"/>
                    <w:rPr>
                      <w:rFonts w:cs="Arial"/>
                      <w:szCs w:val="24"/>
                    </w:rPr>
                  </w:pPr>
                  <w:r>
                    <w:rPr>
                      <w:rFonts w:cs="Arial"/>
                      <w:szCs w:val="24"/>
                    </w:rPr>
                    <w:t>10%</w:t>
                  </w:r>
                </w:p>
              </w:tc>
              <w:tc>
                <w:tcPr>
                  <w:tcW w:w="2568" w:type="dxa"/>
                  <w:tcBorders>
                    <w:top w:val="single" w:sz="4" w:space="0" w:color="auto"/>
                    <w:left w:val="single" w:sz="4" w:space="0" w:color="auto"/>
                    <w:bottom w:val="single" w:sz="4" w:space="0" w:color="auto"/>
                    <w:right w:val="single" w:sz="4" w:space="0" w:color="auto"/>
                  </w:tcBorders>
                </w:tcPr>
                <w:p w14:paraId="6E729F08" w14:textId="52834CFD" w:rsidR="00263E56" w:rsidRDefault="00263E56" w:rsidP="00263E56">
                  <w:pPr>
                    <w:spacing w:before="40" w:after="40"/>
                    <w:rPr>
                      <w:rFonts w:cs="Arial"/>
                      <w:szCs w:val="24"/>
                    </w:rPr>
                  </w:pPr>
                  <w:r>
                    <w:rPr>
                      <w:rFonts w:cs="Arial"/>
                      <w:szCs w:val="24"/>
                    </w:rPr>
                    <w:t>15%</w:t>
                  </w:r>
                </w:p>
              </w:tc>
              <w:tc>
                <w:tcPr>
                  <w:tcW w:w="2568" w:type="dxa"/>
                  <w:tcBorders>
                    <w:top w:val="single" w:sz="4" w:space="0" w:color="auto"/>
                    <w:left w:val="single" w:sz="4" w:space="0" w:color="auto"/>
                    <w:bottom w:val="single" w:sz="4" w:space="0" w:color="auto"/>
                    <w:right w:val="single" w:sz="4" w:space="0" w:color="auto"/>
                  </w:tcBorders>
                </w:tcPr>
                <w:p w14:paraId="2A01F282" w14:textId="6005BDA8" w:rsidR="00263E56" w:rsidRDefault="00263E56" w:rsidP="00263E56">
                  <w:pPr>
                    <w:spacing w:before="40" w:after="40"/>
                    <w:rPr>
                      <w:rFonts w:cs="Arial"/>
                      <w:szCs w:val="24"/>
                    </w:rPr>
                  </w:pPr>
                  <w:r>
                    <w:rPr>
                      <w:rFonts w:cs="Arial"/>
                      <w:szCs w:val="24"/>
                    </w:rPr>
                    <w:t>20%</w:t>
                  </w:r>
                </w:p>
              </w:tc>
            </w:tr>
            <w:tr w:rsidR="00263E56" w:rsidRPr="00C0263E" w14:paraId="621366E8" w14:textId="27C136C0" w:rsidTr="00FF1DE6">
              <w:trPr>
                <w:trHeight w:val="619"/>
              </w:trPr>
              <w:tc>
                <w:tcPr>
                  <w:tcW w:w="1800" w:type="dxa"/>
                  <w:tcBorders>
                    <w:top w:val="single" w:sz="4" w:space="0" w:color="auto"/>
                    <w:left w:val="single" w:sz="4" w:space="0" w:color="auto"/>
                    <w:bottom w:val="single" w:sz="4" w:space="0" w:color="auto"/>
                    <w:right w:val="single" w:sz="4" w:space="0" w:color="auto"/>
                  </w:tcBorders>
                  <w:shd w:val="clear" w:color="auto" w:fill="F2F2F2"/>
                </w:tcPr>
                <w:p w14:paraId="74217477" w14:textId="77777777" w:rsidR="00263E56" w:rsidRDefault="00263E56" w:rsidP="00263E56">
                  <w:pPr>
                    <w:spacing w:before="40" w:after="40"/>
                    <w:rPr>
                      <w:rFonts w:cs="Arial"/>
                      <w:b/>
                      <w:szCs w:val="24"/>
                    </w:rPr>
                  </w:pPr>
                  <w:r>
                    <w:rPr>
                      <w:rFonts w:cs="Arial"/>
                      <w:b/>
                      <w:szCs w:val="24"/>
                    </w:rPr>
                    <w:t>Trigger 5</w:t>
                  </w:r>
                </w:p>
              </w:tc>
              <w:tc>
                <w:tcPr>
                  <w:tcW w:w="3038" w:type="dxa"/>
                  <w:tcBorders>
                    <w:top w:val="single" w:sz="4" w:space="0" w:color="auto"/>
                    <w:left w:val="single" w:sz="4" w:space="0" w:color="auto"/>
                    <w:bottom w:val="single" w:sz="4" w:space="0" w:color="auto"/>
                    <w:right w:val="single" w:sz="4" w:space="0" w:color="auto"/>
                  </w:tcBorders>
                </w:tcPr>
                <w:p w14:paraId="427DF157" w14:textId="656AD463" w:rsidR="00263E56" w:rsidRPr="00C0263E"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01E2D0B8" w14:textId="5CFFF3A0" w:rsidR="00263E56" w:rsidRDefault="00263E56" w:rsidP="00263E56">
                  <w:pPr>
                    <w:spacing w:before="40" w:after="40"/>
                    <w:rPr>
                      <w:rFonts w:cs="Arial"/>
                      <w:szCs w:val="24"/>
                    </w:rPr>
                  </w:pPr>
                  <w:r>
                    <w:rPr>
                      <w:rFonts w:cs="Arial"/>
                      <w:szCs w:val="24"/>
                    </w:rPr>
                    <w:t>10%</w:t>
                  </w:r>
                </w:p>
              </w:tc>
              <w:tc>
                <w:tcPr>
                  <w:tcW w:w="2568" w:type="dxa"/>
                  <w:tcBorders>
                    <w:top w:val="single" w:sz="4" w:space="0" w:color="auto"/>
                    <w:left w:val="single" w:sz="4" w:space="0" w:color="auto"/>
                    <w:bottom w:val="single" w:sz="4" w:space="0" w:color="auto"/>
                    <w:right w:val="single" w:sz="4" w:space="0" w:color="auto"/>
                  </w:tcBorders>
                </w:tcPr>
                <w:p w14:paraId="3A5E2F34" w14:textId="5749BC15" w:rsidR="00263E56" w:rsidRDefault="00263E56" w:rsidP="00263E56">
                  <w:pPr>
                    <w:spacing w:before="40" w:after="40"/>
                    <w:rPr>
                      <w:rFonts w:cs="Arial"/>
                      <w:szCs w:val="24"/>
                    </w:rPr>
                  </w:pPr>
                  <w:r>
                    <w:rPr>
                      <w:rFonts w:cs="Arial"/>
                      <w:szCs w:val="24"/>
                    </w:rPr>
                    <w:t>15%</w:t>
                  </w:r>
                </w:p>
              </w:tc>
            </w:tr>
            <w:tr w:rsidR="00263E56" w:rsidRPr="00C0263E" w14:paraId="132C76CF" w14:textId="4A45B45C" w:rsidTr="00FF1DE6">
              <w:trPr>
                <w:trHeight w:val="619"/>
              </w:trPr>
              <w:tc>
                <w:tcPr>
                  <w:tcW w:w="1800" w:type="dxa"/>
                  <w:tcBorders>
                    <w:top w:val="single" w:sz="4" w:space="0" w:color="auto"/>
                    <w:left w:val="single" w:sz="4" w:space="0" w:color="auto"/>
                    <w:bottom w:val="single" w:sz="4" w:space="0" w:color="auto"/>
                    <w:right w:val="single" w:sz="4" w:space="0" w:color="auto"/>
                  </w:tcBorders>
                  <w:shd w:val="clear" w:color="auto" w:fill="F2F2F2"/>
                </w:tcPr>
                <w:p w14:paraId="63355ABF" w14:textId="1A520430" w:rsidR="00263E56" w:rsidRDefault="00263E56" w:rsidP="00263E56">
                  <w:pPr>
                    <w:spacing w:before="40" w:after="40"/>
                    <w:rPr>
                      <w:rFonts w:cs="Arial"/>
                      <w:b/>
                      <w:szCs w:val="24"/>
                    </w:rPr>
                  </w:pPr>
                  <w:r>
                    <w:rPr>
                      <w:rFonts w:cs="Arial"/>
                      <w:b/>
                      <w:szCs w:val="24"/>
                    </w:rPr>
                    <w:t>Trigger 6</w:t>
                  </w:r>
                </w:p>
              </w:tc>
              <w:tc>
                <w:tcPr>
                  <w:tcW w:w="3038" w:type="dxa"/>
                  <w:tcBorders>
                    <w:top w:val="single" w:sz="4" w:space="0" w:color="auto"/>
                    <w:left w:val="single" w:sz="4" w:space="0" w:color="auto"/>
                    <w:bottom w:val="single" w:sz="4" w:space="0" w:color="auto"/>
                    <w:right w:val="single" w:sz="4" w:space="0" w:color="auto"/>
                  </w:tcBorders>
                </w:tcPr>
                <w:p w14:paraId="10E7441B" w14:textId="680D291C" w:rsidR="00263E56" w:rsidRPr="00C0263E"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13BAE2D6" w14:textId="0D680AFD" w:rsidR="00263E56" w:rsidRDefault="00263E56" w:rsidP="00263E56">
                  <w:pPr>
                    <w:spacing w:before="40" w:after="40"/>
                    <w:rPr>
                      <w:rFonts w:cs="Arial"/>
                      <w:szCs w:val="24"/>
                    </w:rPr>
                  </w:pPr>
                  <w:r>
                    <w:rPr>
                      <w:rFonts w:cs="Arial"/>
                      <w:szCs w:val="24"/>
                    </w:rPr>
                    <w:t>5%</w:t>
                  </w:r>
                </w:p>
              </w:tc>
              <w:tc>
                <w:tcPr>
                  <w:tcW w:w="2568" w:type="dxa"/>
                  <w:tcBorders>
                    <w:top w:val="single" w:sz="4" w:space="0" w:color="auto"/>
                    <w:left w:val="single" w:sz="4" w:space="0" w:color="auto"/>
                    <w:bottom w:val="single" w:sz="4" w:space="0" w:color="auto"/>
                    <w:right w:val="single" w:sz="4" w:space="0" w:color="auto"/>
                  </w:tcBorders>
                </w:tcPr>
                <w:p w14:paraId="6F24F86C" w14:textId="5A6C0064" w:rsidR="00263E56" w:rsidRDefault="00263E56" w:rsidP="00263E56">
                  <w:pPr>
                    <w:spacing w:before="40" w:after="40"/>
                    <w:rPr>
                      <w:rFonts w:cs="Arial"/>
                      <w:szCs w:val="24"/>
                    </w:rPr>
                  </w:pPr>
                  <w:r>
                    <w:rPr>
                      <w:rFonts w:cs="Arial"/>
                      <w:szCs w:val="24"/>
                    </w:rPr>
                    <w:t>5%</w:t>
                  </w:r>
                </w:p>
              </w:tc>
            </w:tr>
            <w:tr w:rsidR="00263E56" w:rsidRPr="00C0263E" w14:paraId="46FC8BE1" w14:textId="785B409D" w:rsidTr="00FF1DE6">
              <w:trPr>
                <w:trHeight w:val="619"/>
              </w:trPr>
              <w:tc>
                <w:tcPr>
                  <w:tcW w:w="1800" w:type="dxa"/>
                  <w:tcBorders>
                    <w:top w:val="single" w:sz="4" w:space="0" w:color="auto"/>
                    <w:left w:val="single" w:sz="4" w:space="0" w:color="auto"/>
                    <w:right w:val="single" w:sz="4" w:space="0" w:color="auto"/>
                  </w:tcBorders>
                  <w:shd w:val="clear" w:color="auto" w:fill="F2F2F2"/>
                </w:tcPr>
                <w:p w14:paraId="1D5FCF6A" w14:textId="77777777" w:rsidR="00263E56" w:rsidRDefault="00263E56" w:rsidP="00263E56">
                  <w:pPr>
                    <w:spacing w:before="40" w:after="40"/>
                    <w:rPr>
                      <w:rFonts w:cs="Arial"/>
                      <w:b/>
                      <w:szCs w:val="24"/>
                    </w:rPr>
                  </w:pPr>
                  <w:r>
                    <w:rPr>
                      <w:rFonts w:cs="Arial"/>
                      <w:b/>
                      <w:szCs w:val="24"/>
                    </w:rPr>
                    <w:lastRenderedPageBreak/>
                    <w:t>TOTAL</w:t>
                  </w:r>
                </w:p>
              </w:tc>
              <w:tc>
                <w:tcPr>
                  <w:tcW w:w="3038" w:type="dxa"/>
                  <w:tcBorders>
                    <w:top w:val="single" w:sz="4" w:space="0" w:color="auto"/>
                    <w:left w:val="single" w:sz="4" w:space="0" w:color="auto"/>
                    <w:right w:val="single" w:sz="4" w:space="0" w:color="auto"/>
                  </w:tcBorders>
                </w:tcPr>
                <w:p w14:paraId="7FA4D604" w14:textId="77777777" w:rsidR="00263E56" w:rsidRPr="00C0263E" w:rsidRDefault="00263E56" w:rsidP="00263E56">
                  <w:pPr>
                    <w:spacing w:before="40" w:after="40"/>
                    <w:rPr>
                      <w:rFonts w:cs="Arial"/>
                      <w:szCs w:val="24"/>
                    </w:rPr>
                  </w:pPr>
                  <w:r>
                    <w:rPr>
                      <w:rFonts w:cs="Arial"/>
                      <w:szCs w:val="24"/>
                    </w:rPr>
                    <w:t>100%</w:t>
                  </w:r>
                </w:p>
              </w:tc>
              <w:tc>
                <w:tcPr>
                  <w:tcW w:w="2568" w:type="dxa"/>
                  <w:tcBorders>
                    <w:top w:val="single" w:sz="4" w:space="0" w:color="auto"/>
                    <w:left w:val="single" w:sz="4" w:space="0" w:color="auto"/>
                    <w:right w:val="single" w:sz="4" w:space="0" w:color="auto"/>
                  </w:tcBorders>
                </w:tcPr>
                <w:p w14:paraId="32F5C6FC" w14:textId="1508BDE8" w:rsidR="00263E56" w:rsidRDefault="00263E56" w:rsidP="00263E56">
                  <w:pPr>
                    <w:spacing w:before="40" w:after="40"/>
                    <w:rPr>
                      <w:rFonts w:cs="Arial"/>
                      <w:szCs w:val="24"/>
                    </w:rPr>
                  </w:pPr>
                  <w:r>
                    <w:rPr>
                      <w:rFonts w:cs="Arial"/>
                      <w:szCs w:val="24"/>
                    </w:rPr>
                    <w:t>100%</w:t>
                  </w:r>
                </w:p>
              </w:tc>
              <w:tc>
                <w:tcPr>
                  <w:tcW w:w="2568" w:type="dxa"/>
                  <w:tcBorders>
                    <w:top w:val="single" w:sz="4" w:space="0" w:color="auto"/>
                    <w:left w:val="single" w:sz="4" w:space="0" w:color="auto"/>
                    <w:right w:val="single" w:sz="4" w:space="0" w:color="auto"/>
                  </w:tcBorders>
                </w:tcPr>
                <w:p w14:paraId="5FCAD120" w14:textId="2873D8B8" w:rsidR="00263E56" w:rsidRDefault="00263E56" w:rsidP="00263E56">
                  <w:pPr>
                    <w:spacing w:before="40" w:after="40"/>
                    <w:rPr>
                      <w:rFonts w:cs="Arial"/>
                      <w:szCs w:val="24"/>
                    </w:rPr>
                  </w:pPr>
                  <w:r>
                    <w:rPr>
                      <w:rFonts w:cs="Arial"/>
                      <w:szCs w:val="24"/>
                    </w:rPr>
                    <w:t>100%</w:t>
                  </w:r>
                </w:p>
              </w:tc>
            </w:tr>
          </w:tbl>
          <w:p w14:paraId="618F0A82" w14:textId="77777777" w:rsidR="00CF3963" w:rsidRDefault="00CF3963" w:rsidP="005931C4">
            <w:pPr>
              <w:rPr>
                <w:rFonts w:cs="Arial"/>
                <w:szCs w:val="24"/>
              </w:rPr>
            </w:pPr>
          </w:p>
          <w:p w14:paraId="6C8A53EE" w14:textId="77777777" w:rsidR="00CF3963" w:rsidRDefault="00CF3963" w:rsidP="005931C4">
            <w:pPr>
              <w:rPr>
                <w:rFonts w:eastAsiaTheme="minorEastAsia" w:cs="Arial"/>
                <w:szCs w:val="24"/>
              </w:rPr>
            </w:pPr>
          </w:p>
        </w:tc>
      </w:tr>
      <w:tr w:rsidR="00CF3963" w:rsidRPr="000412A1" w14:paraId="487F7360" w14:textId="77777777" w:rsidTr="00CF3963">
        <w:tc>
          <w:tcPr>
            <w:tcW w:w="5000" w:type="pct"/>
            <w:gridSpan w:val="3"/>
          </w:tcPr>
          <w:p w14:paraId="79683EB6" w14:textId="77777777" w:rsidR="00CF3963" w:rsidRDefault="00CF3963" w:rsidP="005931C4">
            <w:pPr>
              <w:rPr>
                <w:rFonts w:eastAsiaTheme="minorEastAsia" w:cs="Arial"/>
                <w:szCs w:val="24"/>
              </w:rPr>
            </w:pPr>
          </w:p>
          <w:p w14:paraId="2F3AB278"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42268EB8" w14:textId="77777777" w:rsidR="00CF3963" w:rsidRDefault="00CF3963" w:rsidP="005931C4">
            <w:pPr>
              <w:rPr>
                <w:rFonts w:eastAsiaTheme="minorEastAsia" w:cs="Arial"/>
                <w:szCs w:val="24"/>
                <w:u w:val="single"/>
              </w:rPr>
            </w:pPr>
          </w:p>
          <w:p w14:paraId="5C3E072D"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Year One</w:t>
            </w:r>
          </w:p>
          <w:p w14:paraId="52A63D7C" w14:textId="27719ECD" w:rsidR="00512E30" w:rsidRPr="001F6AA3" w:rsidRDefault="00CF3963" w:rsidP="005931C4">
            <w:pPr>
              <w:rPr>
                <w:rFonts w:cs="Arial"/>
                <w:b/>
                <w:i/>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512E30" w:rsidRPr="001F6AA3">
              <w:rPr>
                <w:rFonts w:cs="Arial"/>
                <w:b/>
                <w:szCs w:val="24"/>
              </w:rPr>
              <w:t>all-or-nothing</w:t>
            </w:r>
          </w:p>
          <w:p w14:paraId="4E91ACB7" w14:textId="717105DC"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2:</w:t>
            </w:r>
            <w:r w:rsidR="00B13E85">
              <w:rPr>
                <w:rFonts w:eastAsiaTheme="minorEastAsia" w:cs="Arial"/>
                <w:b/>
                <w:szCs w:val="24"/>
                <w:u w:val="single"/>
              </w:rPr>
              <w:t xml:space="preserve"> </w:t>
            </w:r>
            <w:r w:rsidR="00B13E85" w:rsidRPr="001F6AA3">
              <w:rPr>
                <w:rFonts w:cs="Arial"/>
                <w:b/>
                <w:szCs w:val="24"/>
              </w:rPr>
              <w:t>all-or-nothing</w:t>
            </w:r>
          </w:p>
          <w:p w14:paraId="459BCD2F" w14:textId="52A606AE"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B13E85" w:rsidRPr="001F6AA3">
              <w:rPr>
                <w:rFonts w:cs="Arial"/>
                <w:b/>
                <w:szCs w:val="24"/>
              </w:rPr>
              <w:t>strictly-proportional</w:t>
            </w:r>
          </w:p>
          <w:p w14:paraId="051B62B6" w14:textId="6CE9A700" w:rsidR="00CF3963" w:rsidRDefault="00CF3963" w:rsidP="005931C4">
            <w:pPr>
              <w:rPr>
                <w:rFonts w:cs="Arial"/>
                <w:b/>
                <w:szCs w:val="24"/>
              </w:rPr>
            </w:pPr>
            <w:r w:rsidRPr="001F6AA3">
              <w:rPr>
                <w:rFonts w:eastAsiaTheme="minorEastAsia" w:cs="Arial"/>
                <w:b/>
                <w:szCs w:val="24"/>
                <w:u w:val="single"/>
              </w:rPr>
              <w:t xml:space="preserve">Trigger 4: </w:t>
            </w:r>
            <w:r w:rsidR="00B13E85" w:rsidRPr="001F6AA3">
              <w:rPr>
                <w:rFonts w:cs="Arial"/>
                <w:b/>
                <w:szCs w:val="24"/>
              </w:rPr>
              <w:t>strictly-proportional</w:t>
            </w:r>
            <w:r w:rsidR="004846E0">
              <w:rPr>
                <w:rFonts w:cs="Arial"/>
                <w:b/>
                <w:szCs w:val="24"/>
              </w:rPr>
              <w:t>:</w:t>
            </w:r>
          </w:p>
          <w:p w14:paraId="140218CD" w14:textId="1CFE5776" w:rsidR="004846E0" w:rsidRDefault="004846E0" w:rsidP="005931C4">
            <w:pPr>
              <w:rPr>
                <w:rFonts w:cs="Arial"/>
                <w:b/>
                <w:szCs w:val="24"/>
              </w:rPr>
            </w:pPr>
            <w:r>
              <w:rPr>
                <w:rFonts w:cs="Arial"/>
                <w:b/>
                <w:szCs w:val="24"/>
              </w:rPr>
              <w:t xml:space="preserve">75% patients </w:t>
            </w:r>
            <w:r w:rsidRPr="004846E0">
              <w:rPr>
                <w:rFonts w:cs="Arial"/>
                <w:b/>
                <w:szCs w:val="24"/>
              </w:rPr>
              <w:sym w:font="Wingdings" w:char="F0E0"/>
            </w:r>
            <w:r>
              <w:rPr>
                <w:rFonts w:cs="Arial"/>
                <w:b/>
                <w:szCs w:val="24"/>
              </w:rPr>
              <w:t xml:space="preserve"> full payment</w:t>
            </w:r>
          </w:p>
          <w:p w14:paraId="646E04D5" w14:textId="2E3693E9" w:rsidR="004846E0" w:rsidRDefault="004846E0" w:rsidP="005931C4">
            <w:pPr>
              <w:rPr>
                <w:rFonts w:cs="Arial"/>
                <w:b/>
                <w:szCs w:val="24"/>
              </w:rPr>
            </w:pPr>
            <w:r>
              <w:rPr>
                <w:rFonts w:cs="Arial"/>
                <w:b/>
                <w:szCs w:val="24"/>
              </w:rPr>
              <w:t xml:space="preserve">50% patients </w:t>
            </w:r>
            <w:r w:rsidRPr="004846E0">
              <w:rPr>
                <w:rFonts w:cs="Arial"/>
                <w:b/>
                <w:szCs w:val="24"/>
              </w:rPr>
              <w:sym w:font="Wingdings" w:char="F0E0"/>
            </w:r>
            <w:r>
              <w:rPr>
                <w:rFonts w:cs="Arial"/>
                <w:b/>
                <w:szCs w:val="24"/>
              </w:rPr>
              <w:t xml:space="preserve"> two thirds payment</w:t>
            </w:r>
          </w:p>
          <w:p w14:paraId="3A614FA8" w14:textId="14111F36" w:rsidR="004846E0" w:rsidRDefault="004846E0" w:rsidP="005931C4">
            <w:pPr>
              <w:rPr>
                <w:rFonts w:cs="Arial"/>
                <w:b/>
                <w:szCs w:val="24"/>
              </w:rPr>
            </w:pPr>
            <w:r>
              <w:rPr>
                <w:rFonts w:cs="Arial"/>
                <w:b/>
                <w:szCs w:val="24"/>
              </w:rPr>
              <w:t xml:space="preserve">25% patients </w:t>
            </w:r>
            <w:r w:rsidRPr="004846E0">
              <w:rPr>
                <w:rFonts w:cs="Arial"/>
                <w:b/>
                <w:szCs w:val="24"/>
              </w:rPr>
              <w:sym w:font="Wingdings" w:char="F0E0"/>
            </w:r>
            <w:r>
              <w:rPr>
                <w:rFonts w:cs="Arial"/>
                <w:b/>
                <w:szCs w:val="24"/>
              </w:rPr>
              <w:t xml:space="preserve"> one third payment</w:t>
            </w:r>
          </w:p>
          <w:p w14:paraId="6FE72911" w14:textId="77777777" w:rsidR="004846E0" w:rsidRPr="00E02B87" w:rsidRDefault="004846E0" w:rsidP="005931C4">
            <w:pPr>
              <w:rPr>
                <w:rFonts w:cs="Arial"/>
                <w:b/>
                <w:szCs w:val="24"/>
              </w:rPr>
            </w:pPr>
          </w:p>
          <w:p w14:paraId="0406EE27" w14:textId="737AA07B"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w:t>
            </w:r>
            <w:r w:rsidR="00B13E85">
              <w:rPr>
                <w:rFonts w:eastAsiaTheme="minorEastAsia" w:cs="Arial"/>
                <w:b/>
                <w:szCs w:val="24"/>
                <w:u w:val="single"/>
              </w:rPr>
              <w:t>5</w:t>
            </w:r>
            <w:r w:rsidRPr="001F6AA3">
              <w:rPr>
                <w:rFonts w:eastAsiaTheme="minorEastAsia" w:cs="Arial"/>
                <w:b/>
                <w:szCs w:val="24"/>
                <w:u w:val="single"/>
              </w:rPr>
              <w:t>:</w:t>
            </w:r>
            <w:r w:rsidR="00B13E85">
              <w:rPr>
                <w:rFonts w:eastAsiaTheme="minorEastAsia" w:cs="Arial"/>
                <w:b/>
                <w:szCs w:val="24"/>
                <w:u w:val="single"/>
              </w:rPr>
              <w:t xml:space="preserve"> </w:t>
            </w:r>
            <w:r w:rsidR="00B13E85" w:rsidRPr="001F6AA3">
              <w:rPr>
                <w:rFonts w:cs="Arial"/>
                <w:b/>
                <w:szCs w:val="24"/>
              </w:rPr>
              <w:t>strictly-proportional</w:t>
            </w:r>
          </w:p>
          <w:p w14:paraId="18EAF85B" w14:textId="5C3750D1"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w:t>
            </w:r>
            <w:r w:rsidR="00B13E85">
              <w:rPr>
                <w:rFonts w:eastAsiaTheme="minorEastAsia" w:cs="Arial"/>
                <w:b/>
                <w:szCs w:val="24"/>
                <w:u w:val="single"/>
              </w:rPr>
              <w:t>6</w:t>
            </w:r>
            <w:r w:rsidRPr="001F6AA3">
              <w:rPr>
                <w:rFonts w:eastAsiaTheme="minorEastAsia" w:cs="Arial"/>
                <w:b/>
                <w:szCs w:val="24"/>
                <w:u w:val="single"/>
              </w:rPr>
              <w:t>:</w:t>
            </w:r>
            <w:r w:rsidR="00B13E85">
              <w:rPr>
                <w:rFonts w:eastAsiaTheme="minorEastAsia" w:cs="Arial"/>
                <w:b/>
                <w:szCs w:val="24"/>
                <w:u w:val="single"/>
              </w:rPr>
              <w:t xml:space="preserve"> </w:t>
            </w:r>
            <w:r w:rsidR="00B13E85" w:rsidRPr="001F6AA3">
              <w:rPr>
                <w:rFonts w:cs="Arial"/>
                <w:b/>
                <w:szCs w:val="24"/>
              </w:rPr>
              <w:t>all-or-nothing</w:t>
            </w:r>
          </w:p>
          <w:p w14:paraId="094678A7" w14:textId="790E3D56" w:rsidR="00CF3963" w:rsidRDefault="00CF3963" w:rsidP="005931C4">
            <w:pPr>
              <w:rPr>
                <w:rFonts w:eastAsiaTheme="minorEastAsia" w:cs="Arial"/>
                <w:b/>
                <w:szCs w:val="24"/>
                <w:u w:val="single"/>
              </w:rPr>
            </w:pPr>
          </w:p>
          <w:p w14:paraId="325400AF" w14:textId="22816C90" w:rsidR="00B13E85" w:rsidRPr="001F6AA3" w:rsidRDefault="00B13E85" w:rsidP="005931C4">
            <w:pPr>
              <w:rPr>
                <w:rFonts w:eastAsiaTheme="minorEastAsia" w:cs="Arial"/>
                <w:b/>
                <w:szCs w:val="24"/>
                <w:u w:val="single"/>
              </w:rPr>
            </w:pPr>
            <w:r>
              <w:rPr>
                <w:rFonts w:eastAsiaTheme="minorEastAsia" w:cs="Arial"/>
                <w:b/>
                <w:szCs w:val="24"/>
                <w:u w:val="single"/>
              </w:rPr>
              <w:t>No payments for any trigger until Trigger 1</w:t>
            </w:r>
            <w:r w:rsidR="007018D6">
              <w:rPr>
                <w:rFonts w:eastAsiaTheme="minorEastAsia" w:cs="Arial"/>
                <w:b/>
                <w:szCs w:val="24"/>
                <w:u w:val="single"/>
              </w:rPr>
              <w:t xml:space="preserve"> (parts 1 and 3)</w:t>
            </w:r>
            <w:r>
              <w:rPr>
                <w:rFonts w:eastAsiaTheme="minorEastAsia" w:cs="Arial"/>
                <w:b/>
                <w:szCs w:val="24"/>
                <w:u w:val="single"/>
              </w:rPr>
              <w:t xml:space="preserve"> is met.</w:t>
            </w:r>
          </w:p>
          <w:p w14:paraId="7C7E792E" w14:textId="77777777" w:rsidR="00CF3963" w:rsidRDefault="00CF3963" w:rsidP="0084461B">
            <w:pPr>
              <w:rPr>
                <w:rFonts w:cs="Arial"/>
                <w:szCs w:val="24"/>
              </w:rPr>
            </w:pPr>
          </w:p>
          <w:p w14:paraId="1AFBC9F5" w14:textId="77777777" w:rsidR="00CF3963" w:rsidRPr="000412A1" w:rsidRDefault="00CF3963" w:rsidP="0084461B">
            <w:pPr>
              <w:rPr>
                <w:rFonts w:cs="Arial"/>
                <w:b/>
                <w:color w:val="000000"/>
                <w:szCs w:val="24"/>
              </w:rPr>
            </w:pPr>
          </w:p>
        </w:tc>
      </w:tr>
      <w:tr w:rsidR="00CF3963" w:rsidRPr="000412A1" w14:paraId="23C48E4E" w14:textId="77777777" w:rsidTr="00CF3963">
        <w:tc>
          <w:tcPr>
            <w:tcW w:w="5000" w:type="pct"/>
            <w:gridSpan w:val="3"/>
            <w:shd w:val="clear" w:color="auto" w:fill="auto"/>
          </w:tcPr>
          <w:p w14:paraId="5C7A0CA1" w14:textId="77777777" w:rsidR="00CF3963" w:rsidRDefault="00CF3963" w:rsidP="0084461B">
            <w:pPr>
              <w:rPr>
                <w:rFonts w:cs="Arial"/>
                <w:b/>
                <w:color w:val="000000"/>
                <w:szCs w:val="24"/>
                <w:u w:val="single"/>
              </w:rPr>
            </w:pPr>
            <w:r w:rsidRPr="00CF3963">
              <w:rPr>
                <w:rFonts w:cs="Arial"/>
                <w:b/>
                <w:color w:val="000000"/>
                <w:szCs w:val="24"/>
                <w:u w:val="single"/>
              </w:rPr>
              <w:t>Definitions</w:t>
            </w:r>
          </w:p>
          <w:p w14:paraId="21A3CB8C" w14:textId="77777777" w:rsidR="00CF3963" w:rsidRPr="00CF3963" w:rsidRDefault="00CF3963" w:rsidP="00E71FA2">
            <w:pPr>
              <w:rPr>
                <w:rFonts w:eastAsiaTheme="minorEastAsia" w:cs="Arial"/>
                <w:i/>
                <w:szCs w:val="24"/>
                <w:u w:val="single"/>
              </w:rPr>
            </w:pPr>
          </w:p>
        </w:tc>
      </w:tr>
      <w:tr w:rsidR="00CF3963" w:rsidRPr="00CF3963" w14:paraId="39F6E34A" w14:textId="77777777" w:rsidTr="00CF3963">
        <w:tc>
          <w:tcPr>
            <w:tcW w:w="5000" w:type="pct"/>
            <w:gridSpan w:val="3"/>
            <w:shd w:val="clear" w:color="auto" w:fill="BFBFBF" w:themeFill="background1" w:themeFillShade="BF"/>
          </w:tcPr>
          <w:p w14:paraId="46941503"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9D54C2" w:rsidRPr="000412A1" w14:paraId="5ABBE5A0" w14:textId="77777777" w:rsidTr="009D54C2">
        <w:tc>
          <w:tcPr>
            <w:tcW w:w="5000" w:type="pct"/>
            <w:gridSpan w:val="3"/>
            <w:shd w:val="clear" w:color="auto" w:fill="D9D9D9" w:themeFill="background1" w:themeFillShade="D9"/>
          </w:tcPr>
          <w:p w14:paraId="242FD99B" w14:textId="77777777" w:rsidR="009D54C2" w:rsidRPr="009D54C2" w:rsidRDefault="009D54C2" w:rsidP="00CA4F0E">
            <w:pPr>
              <w:rPr>
                <w:rFonts w:cs="Arial"/>
                <w:b/>
                <w:szCs w:val="24"/>
              </w:rPr>
            </w:pPr>
            <w:r w:rsidRPr="009D54C2">
              <w:rPr>
                <w:rFonts w:cs="Arial"/>
                <w:b/>
                <w:szCs w:val="24"/>
              </w:rPr>
              <w:t>Reporting of Achievement against Triggers:</w:t>
            </w:r>
          </w:p>
        </w:tc>
      </w:tr>
      <w:tr w:rsidR="009D54C2" w:rsidRPr="000412A1" w14:paraId="40EC38D9" w14:textId="77777777" w:rsidTr="00CF3963">
        <w:tc>
          <w:tcPr>
            <w:tcW w:w="5000" w:type="pct"/>
            <w:gridSpan w:val="3"/>
            <w:shd w:val="clear" w:color="auto" w:fill="auto"/>
          </w:tcPr>
          <w:p w14:paraId="0ED716FF" w14:textId="247A70FF" w:rsidR="00E71FA2" w:rsidRPr="00E71FA2" w:rsidRDefault="00886F02" w:rsidP="00E71FA2">
            <w:pPr>
              <w:rPr>
                <w:rFonts w:eastAsiaTheme="minorEastAsia" w:cs="Arial"/>
                <w:b/>
                <w:szCs w:val="24"/>
              </w:rPr>
            </w:pPr>
            <w:r w:rsidRPr="00886F02">
              <w:rPr>
                <w:rFonts w:eastAsiaTheme="minorEastAsia" w:cs="Arial"/>
                <w:szCs w:val="24"/>
              </w:rPr>
              <w:t xml:space="preserve">Financial flows will be reported by Sheffield teaching hospitals </w:t>
            </w:r>
            <w:r w:rsidR="009A692F">
              <w:rPr>
                <w:rFonts w:eastAsiaTheme="minorEastAsia" w:cs="Arial"/>
                <w:szCs w:val="24"/>
              </w:rPr>
              <w:t>and the University of Sheffield Clinical trials unit</w:t>
            </w:r>
            <w:r w:rsidR="00472DD9">
              <w:rPr>
                <w:rFonts w:eastAsiaTheme="minorEastAsia" w:cs="Arial"/>
                <w:b/>
                <w:szCs w:val="24"/>
              </w:rPr>
              <w:t>.</w:t>
            </w:r>
            <w:r w:rsidR="00E71FA2">
              <w:rPr>
                <w:rFonts w:eastAsiaTheme="minorEastAsia" w:cs="Arial"/>
                <w:b/>
                <w:szCs w:val="24"/>
              </w:rPr>
              <w:t xml:space="preserve"> </w:t>
            </w:r>
            <w:r w:rsidR="00E71FA2">
              <w:rPr>
                <w:rFonts w:cs="Arial"/>
                <w:szCs w:val="24"/>
              </w:rPr>
              <w:t>The Clinical trials unit supporting the programme will monitor all targets in real time and remain in close contact with NHS England specialised commissioning, an approach that led to timely delivery of the programme in the first 3 years of the CF CQUIN.</w:t>
            </w:r>
          </w:p>
          <w:p w14:paraId="5C85A9FC" w14:textId="77777777" w:rsidR="00E71FA2" w:rsidRDefault="00E71FA2" w:rsidP="0084461B">
            <w:pPr>
              <w:rPr>
                <w:rFonts w:eastAsiaTheme="minorEastAsia" w:cs="Arial"/>
                <w:b/>
                <w:color w:val="7030A0"/>
                <w:szCs w:val="24"/>
              </w:rPr>
            </w:pPr>
          </w:p>
          <w:p w14:paraId="5BE711F0" w14:textId="47256741" w:rsidR="00886F02" w:rsidRDefault="00886F02" w:rsidP="0084461B">
            <w:pPr>
              <w:rPr>
                <w:rFonts w:eastAsiaTheme="minorEastAsia" w:cs="Arial"/>
                <w:szCs w:val="24"/>
              </w:rPr>
            </w:pPr>
            <w:r>
              <w:rPr>
                <w:rFonts w:eastAsiaTheme="minorEastAsia" w:cs="Arial"/>
                <w:szCs w:val="24"/>
              </w:rPr>
              <w:t>Employment and e</w:t>
            </w:r>
            <w:r w:rsidRPr="00886F02">
              <w:rPr>
                <w:rFonts w:eastAsiaTheme="minorEastAsia" w:cs="Arial"/>
                <w:szCs w:val="24"/>
              </w:rPr>
              <w:t xml:space="preserve">ngagement of the </w:t>
            </w:r>
            <w:r w:rsidR="009A692F" w:rsidRPr="00886F02">
              <w:rPr>
                <w:rFonts w:eastAsiaTheme="minorEastAsia" w:cs="Arial"/>
                <w:szCs w:val="24"/>
              </w:rPr>
              <w:t>interventionists</w:t>
            </w:r>
            <w:r w:rsidR="009A692F">
              <w:rPr>
                <w:rFonts w:eastAsiaTheme="minorEastAsia" w:cs="Arial"/>
                <w:szCs w:val="24"/>
              </w:rPr>
              <w:t xml:space="preserve"> will</w:t>
            </w:r>
            <w:r w:rsidR="00B23E9A">
              <w:rPr>
                <w:rFonts w:eastAsiaTheme="minorEastAsia" w:cs="Arial"/>
                <w:szCs w:val="24"/>
              </w:rPr>
              <w:t xml:space="preserve"> be monitored </w:t>
            </w:r>
            <w:r w:rsidR="009A692F">
              <w:rPr>
                <w:rFonts w:eastAsiaTheme="minorEastAsia" w:cs="Arial"/>
                <w:szCs w:val="24"/>
              </w:rPr>
              <w:t>by Sheffield</w:t>
            </w:r>
            <w:r w:rsidR="00B23E9A">
              <w:rPr>
                <w:rFonts w:eastAsiaTheme="minorEastAsia" w:cs="Arial"/>
                <w:szCs w:val="24"/>
              </w:rPr>
              <w:t xml:space="preserve"> university clinical trials unit </w:t>
            </w:r>
            <w:r>
              <w:rPr>
                <w:rFonts w:eastAsiaTheme="minorEastAsia" w:cs="Arial"/>
                <w:szCs w:val="24"/>
              </w:rPr>
              <w:t xml:space="preserve">with the delivery of the interventions </w:t>
            </w:r>
            <w:r w:rsidRPr="00886F02">
              <w:rPr>
                <w:rFonts w:eastAsiaTheme="minorEastAsia" w:cs="Arial"/>
                <w:szCs w:val="24"/>
              </w:rPr>
              <w:t xml:space="preserve">monitored by click analytics from </w:t>
            </w:r>
            <w:proofErr w:type="spellStart"/>
            <w:r w:rsidRPr="00886F02">
              <w:rPr>
                <w:rFonts w:eastAsiaTheme="minorEastAsia" w:cs="Arial"/>
                <w:szCs w:val="24"/>
              </w:rPr>
              <w:t>CFHealthHub</w:t>
            </w:r>
            <w:proofErr w:type="spellEnd"/>
            <w:r w:rsidRPr="00886F02">
              <w:rPr>
                <w:rFonts w:eastAsiaTheme="minorEastAsia" w:cs="Arial"/>
                <w:szCs w:val="24"/>
              </w:rPr>
              <w:t xml:space="preserve"> and reported by Sheffield University clinical trials unit.</w:t>
            </w:r>
          </w:p>
          <w:p w14:paraId="15DA1721" w14:textId="77777777" w:rsidR="00F33BC4" w:rsidRPr="00886F02" w:rsidRDefault="00F33BC4" w:rsidP="0084461B">
            <w:pPr>
              <w:rPr>
                <w:rFonts w:eastAsiaTheme="minorEastAsia" w:cs="Arial"/>
                <w:szCs w:val="24"/>
              </w:rPr>
            </w:pPr>
          </w:p>
          <w:p w14:paraId="75650E8D" w14:textId="6A6A12BE" w:rsidR="00886F02" w:rsidRPr="009D54C2" w:rsidRDefault="00886F02" w:rsidP="0084461B">
            <w:pPr>
              <w:rPr>
                <w:rFonts w:eastAsiaTheme="minorEastAsia" w:cs="Arial"/>
                <w:b/>
                <w:szCs w:val="24"/>
              </w:rPr>
            </w:pPr>
            <w:r w:rsidRPr="00886F02">
              <w:rPr>
                <w:rFonts w:eastAsiaTheme="minorEastAsia" w:cs="Arial"/>
                <w:szCs w:val="24"/>
              </w:rPr>
              <w:t>Set up of patients on E</w:t>
            </w:r>
            <w:r w:rsidR="00CD0C3C">
              <w:rPr>
                <w:rFonts w:eastAsiaTheme="minorEastAsia" w:cs="Arial"/>
                <w:szCs w:val="24"/>
              </w:rPr>
              <w:t>-</w:t>
            </w:r>
            <w:r w:rsidRPr="00886F02">
              <w:rPr>
                <w:rFonts w:eastAsiaTheme="minorEastAsia" w:cs="Arial"/>
                <w:szCs w:val="24"/>
              </w:rPr>
              <w:t>trac</w:t>
            </w:r>
            <w:r w:rsidR="009A692F">
              <w:rPr>
                <w:rFonts w:eastAsiaTheme="minorEastAsia" w:cs="Arial"/>
                <w:szCs w:val="24"/>
              </w:rPr>
              <w:t>k</w:t>
            </w:r>
            <w:r w:rsidRPr="00886F02">
              <w:rPr>
                <w:rFonts w:eastAsiaTheme="minorEastAsia" w:cs="Arial"/>
                <w:szCs w:val="24"/>
              </w:rPr>
              <w:t>s will be reported by Sheffield University clinical trials unit.</w:t>
            </w:r>
          </w:p>
        </w:tc>
      </w:tr>
      <w:tr w:rsidR="00CF3963" w:rsidRPr="000412A1" w14:paraId="5ECA261E" w14:textId="77777777" w:rsidTr="009D54C2">
        <w:tc>
          <w:tcPr>
            <w:tcW w:w="5000" w:type="pct"/>
            <w:gridSpan w:val="3"/>
            <w:shd w:val="clear" w:color="auto" w:fill="D9D9D9" w:themeFill="background1" w:themeFillShade="D9"/>
          </w:tcPr>
          <w:p w14:paraId="414DBFF6" w14:textId="77777777"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14:paraId="0C23061B" w14:textId="77777777" w:rsidTr="00CF3963">
        <w:tc>
          <w:tcPr>
            <w:tcW w:w="5000" w:type="pct"/>
            <w:gridSpan w:val="3"/>
          </w:tcPr>
          <w:p w14:paraId="574945ED" w14:textId="2D7EB803" w:rsidR="00C463A8" w:rsidRDefault="00C463A8" w:rsidP="00CF3963">
            <w:pPr>
              <w:spacing w:before="40" w:after="40"/>
              <w:rPr>
                <w:rFonts w:cs="Arial"/>
                <w:szCs w:val="24"/>
              </w:rPr>
            </w:pPr>
            <w:r>
              <w:rPr>
                <w:rFonts w:cs="Arial"/>
                <w:szCs w:val="24"/>
              </w:rPr>
              <w:t xml:space="preserve">Click analytics outputs from </w:t>
            </w:r>
            <w:proofErr w:type="spellStart"/>
            <w:r>
              <w:rPr>
                <w:rFonts w:cs="Arial"/>
                <w:szCs w:val="24"/>
              </w:rPr>
              <w:t>CFHealthHub</w:t>
            </w:r>
            <w:proofErr w:type="spellEnd"/>
            <w:r>
              <w:rPr>
                <w:rFonts w:cs="Arial"/>
                <w:szCs w:val="24"/>
              </w:rPr>
              <w:t xml:space="preserve"> demonstrating the use of adherence data by the clinical team will be provided by the clinical trials unit to allow centres to understand the extent to which adherence data is being used in consultations.</w:t>
            </w:r>
          </w:p>
          <w:p w14:paraId="71661F15" w14:textId="77777777" w:rsidR="00B13E85" w:rsidRDefault="00B13E85" w:rsidP="00CF3963">
            <w:pPr>
              <w:spacing w:before="40" w:after="40"/>
              <w:rPr>
                <w:rFonts w:cs="Arial"/>
                <w:szCs w:val="24"/>
              </w:rPr>
            </w:pPr>
          </w:p>
          <w:p w14:paraId="2A5E5044" w14:textId="3A78B640" w:rsidR="00C463A8" w:rsidRDefault="00C463A8" w:rsidP="00CF3963">
            <w:pPr>
              <w:spacing w:before="40" w:after="40"/>
              <w:rPr>
                <w:rFonts w:cs="Arial"/>
                <w:szCs w:val="24"/>
              </w:rPr>
            </w:pPr>
            <w:r>
              <w:rPr>
                <w:rFonts w:cs="Arial"/>
                <w:szCs w:val="24"/>
              </w:rPr>
              <w:t>Adherence levels in centres will also be provided</w:t>
            </w:r>
            <w:r w:rsidR="00B13E85">
              <w:rPr>
                <w:rFonts w:cs="Arial"/>
                <w:szCs w:val="24"/>
              </w:rPr>
              <w:t>;</w:t>
            </w:r>
            <w:r>
              <w:rPr>
                <w:rFonts w:cs="Arial"/>
                <w:szCs w:val="24"/>
              </w:rPr>
              <w:t xml:space="preserve"> </w:t>
            </w:r>
            <w:proofErr w:type="gramStart"/>
            <w:r>
              <w:rPr>
                <w:rFonts w:cs="Arial"/>
                <w:szCs w:val="24"/>
              </w:rPr>
              <w:t>however</w:t>
            </w:r>
            <w:proofErr w:type="gramEnd"/>
            <w:r>
              <w:rPr>
                <w:rFonts w:cs="Arial"/>
                <w:szCs w:val="24"/>
              </w:rPr>
              <w:t xml:space="preserve"> it is recognised that the adherence metric is still in development and will not be sufficiently mature to </w:t>
            </w:r>
            <w:r w:rsidR="00CD0C3C">
              <w:rPr>
                <w:rFonts w:cs="Arial"/>
                <w:szCs w:val="24"/>
              </w:rPr>
              <w:t xml:space="preserve">definitively </w:t>
            </w:r>
            <w:r>
              <w:rPr>
                <w:rFonts w:cs="Arial"/>
                <w:szCs w:val="24"/>
              </w:rPr>
              <w:t>support benchmarking in 2019/2020 but will provide a metric that will support shared learning around variation in adherence rates between centres. Some of that learning will</w:t>
            </w:r>
            <w:r w:rsidR="00413961">
              <w:rPr>
                <w:rFonts w:cs="Arial"/>
                <w:szCs w:val="24"/>
              </w:rPr>
              <w:t xml:space="preserve"> </w:t>
            </w:r>
            <w:r w:rsidR="00CD0C3C">
              <w:rPr>
                <w:rFonts w:cs="Arial"/>
                <w:szCs w:val="24"/>
              </w:rPr>
              <w:lastRenderedPageBreak/>
              <w:t xml:space="preserve">triangulate data with the CF registry and </w:t>
            </w:r>
            <w:r w:rsidR="00413961">
              <w:rPr>
                <w:rFonts w:cs="Arial"/>
                <w:szCs w:val="24"/>
              </w:rPr>
              <w:t>help centres to understand h</w:t>
            </w:r>
            <w:r w:rsidR="00CD0C3C">
              <w:rPr>
                <w:rFonts w:cs="Arial"/>
                <w:szCs w:val="24"/>
              </w:rPr>
              <w:t>ow effectively they are supporting</w:t>
            </w:r>
            <w:r w:rsidR="00413961">
              <w:rPr>
                <w:rFonts w:cs="Arial"/>
                <w:szCs w:val="24"/>
              </w:rPr>
              <w:t xml:space="preserve"> their most difficult to reach patients</w:t>
            </w:r>
            <w:r>
              <w:rPr>
                <w:rFonts w:cs="Arial"/>
                <w:szCs w:val="24"/>
              </w:rPr>
              <w:t xml:space="preserve">. </w:t>
            </w:r>
          </w:p>
          <w:p w14:paraId="0C25405E" w14:textId="70EF7481" w:rsidR="00886F02" w:rsidRPr="009D54C2" w:rsidRDefault="00886F02" w:rsidP="00CF3963">
            <w:pPr>
              <w:spacing w:before="40" w:after="40"/>
              <w:rPr>
                <w:rFonts w:cs="Arial"/>
                <w:b/>
                <w:szCs w:val="24"/>
              </w:rPr>
            </w:pPr>
          </w:p>
        </w:tc>
      </w:tr>
      <w:tr w:rsidR="00CF3963" w:rsidRPr="000412A1" w14:paraId="4AE4CAA3" w14:textId="77777777" w:rsidTr="009D54C2">
        <w:tc>
          <w:tcPr>
            <w:tcW w:w="5000" w:type="pct"/>
            <w:gridSpan w:val="3"/>
            <w:shd w:val="clear" w:color="auto" w:fill="D9D9D9" w:themeFill="background1" w:themeFillShade="D9"/>
          </w:tcPr>
          <w:p w14:paraId="36ADF6E0" w14:textId="77777777" w:rsidR="00CF3963" w:rsidRPr="009D54C2" w:rsidRDefault="00A536ED" w:rsidP="00CF3963">
            <w:pPr>
              <w:spacing w:before="40" w:after="40"/>
              <w:rPr>
                <w:rFonts w:cs="Arial"/>
                <w:b/>
                <w:szCs w:val="24"/>
              </w:rPr>
            </w:pPr>
            <w:r w:rsidRPr="009D54C2">
              <w:rPr>
                <w:rFonts w:cs="Arial"/>
                <w:b/>
                <w:szCs w:val="24"/>
              </w:rPr>
              <w:lastRenderedPageBreak/>
              <w:t>Information Governance</w:t>
            </w:r>
            <w:r w:rsidR="009D54C2" w:rsidRPr="009D54C2">
              <w:rPr>
                <w:rFonts w:cs="Arial"/>
                <w:b/>
                <w:szCs w:val="24"/>
              </w:rPr>
              <w:t>:</w:t>
            </w:r>
          </w:p>
        </w:tc>
      </w:tr>
      <w:tr w:rsidR="009D54C2" w:rsidRPr="000412A1" w14:paraId="6E46FFFA" w14:textId="77777777" w:rsidTr="00CF3963">
        <w:tc>
          <w:tcPr>
            <w:tcW w:w="5000" w:type="pct"/>
            <w:gridSpan w:val="3"/>
          </w:tcPr>
          <w:p w14:paraId="463EB232" w14:textId="2E9C9A0D" w:rsidR="009D54C2" w:rsidRPr="00886F02" w:rsidRDefault="00886F02" w:rsidP="00002F6F">
            <w:pPr>
              <w:rPr>
                <w:rFonts w:cs="Arial"/>
                <w:color w:val="000000"/>
                <w:szCs w:val="24"/>
              </w:rPr>
            </w:pPr>
            <w:r w:rsidRPr="00886F02">
              <w:rPr>
                <w:rFonts w:cs="Arial"/>
                <w:color w:val="000000"/>
                <w:szCs w:val="24"/>
              </w:rPr>
              <w:t xml:space="preserve">All patients using </w:t>
            </w:r>
            <w:proofErr w:type="spellStart"/>
            <w:r w:rsidRPr="00886F02">
              <w:rPr>
                <w:rFonts w:cs="Arial"/>
                <w:color w:val="000000"/>
                <w:szCs w:val="24"/>
              </w:rPr>
              <w:t>CFHealthHub</w:t>
            </w:r>
            <w:proofErr w:type="spellEnd"/>
            <w:r w:rsidRPr="00886F02">
              <w:rPr>
                <w:rFonts w:cs="Arial"/>
                <w:color w:val="000000"/>
                <w:szCs w:val="24"/>
              </w:rPr>
              <w:t xml:space="preserve"> have signed consent forms that provide expl</w:t>
            </w:r>
            <w:r w:rsidR="0032505F">
              <w:rPr>
                <w:rFonts w:cs="Arial"/>
                <w:color w:val="000000"/>
                <w:szCs w:val="24"/>
              </w:rPr>
              <w:t>icit consent to share pseudony</w:t>
            </w:r>
            <w:r w:rsidRPr="00886F02">
              <w:rPr>
                <w:rFonts w:cs="Arial"/>
                <w:color w:val="000000"/>
                <w:szCs w:val="24"/>
              </w:rPr>
              <w:t xml:space="preserve">mised </w:t>
            </w:r>
            <w:proofErr w:type="spellStart"/>
            <w:r w:rsidRPr="00886F02">
              <w:rPr>
                <w:rFonts w:cs="Arial"/>
                <w:color w:val="000000"/>
                <w:szCs w:val="24"/>
              </w:rPr>
              <w:t>CFHealthHub</w:t>
            </w:r>
            <w:proofErr w:type="spellEnd"/>
            <w:r w:rsidRPr="00886F02">
              <w:rPr>
                <w:rFonts w:cs="Arial"/>
                <w:color w:val="000000"/>
                <w:szCs w:val="24"/>
              </w:rPr>
              <w:t xml:space="preserve"> data at centre level and national level.</w:t>
            </w:r>
            <w:r w:rsidR="00002F6F">
              <w:t xml:space="preserve"> </w:t>
            </w:r>
            <w:r w:rsidR="00002F6F" w:rsidRPr="00002F6F">
              <w:rPr>
                <w:rFonts w:cs="Arial"/>
                <w:color w:val="000000"/>
                <w:szCs w:val="24"/>
              </w:rPr>
              <w:t>London-Brent Research Ethics Committee reference 17-</w:t>
            </w:r>
            <w:r w:rsidR="00002F6F">
              <w:rPr>
                <w:rFonts w:cs="Arial"/>
                <w:color w:val="000000"/>
                <w:szCs w:val="24"/>
              </w:rPr>
              <w:t xml:space="preserve">LO-0032 IRAS ID: </w:t>
            </w:r>
            <w:proofErr w:type="gramStart"/>
            <w:r w:rsidR="00002F6F">
              <w:rPr>
                <w:rFonts w:cs="Arial"/>
                <w:color w:val="000000"/>
                <w:szCs w:val="24"/>
              </w:rPr>
              <w:t xml:space="preserve">216782  </w:t>
            </w:r>
            <w:r w:rsidR="00002F6F" w:rsidRPr="00002F6F">
              <w:rPr>
                <w:rFonts w:cs="Arial"/>
                <w:color w:val="000000"/>
                <w:szCs w:val="24"/>
              </w:rPr>
              <w:t>Clinical</w:t>
            </w:r>
            <w:proofErr w:type="gramEnd"/>
            <w:r w:rsidR="00002F6F" w:rsidRPr="00002F6F">
              <w:rPr>
                <w:rFonts w:cs="Arial"/>
                <w:color w:val="000000"/>
                <w:szCs w:val="24"/>
              </w:rPr>
              <w:t xml:space="preserve"> Trials Gateway reference ISRCTN 14464661 </w:t>
            </w:r>
            <w:r w:rsidR="00002F6F">
              <w:rPr>
                <w:rFonts w:cs="Arial"/>
                <w:color w:val="000000"/>
                <w:szCs w:val="24"/>
              </w:rPr>
              <w:t xml:space="preserve"> </w:t>
            </w:r>
            <w:r w:rsidRPr="00886F02">
              <w:rPr>
                <w:rFonts w:cs="Arial"/>
                <w:color w:val="000000"/>
                <w:szCs w:val="24"/>
              </w:rPr>
              <w:t xml:space="preserve"> All processes are GDPR compliant.</w:t>
            </w:r>
          </w:p>
        </w:tc>
      </w:tr>
      <w:tr w:rsidR="00CF3963" w:rsidRPr="000412A1" w14:paraId="3A61B1B0" w14:textId="77777777" w:rsidTr="009D54C2">
        <w:tc>
          <w:tcPr>
            <w:tcW w:w="5000" w:type="pct"/>
            <w:gridSpan w:val="3"/>
            <w:shd w:val="clear" w:color="auto" w:fill="D9D9D9" w:themeFill="background1" w:themeFillShade="D9"/>
          </w:tcPr>
          <w:p w14:paraId="34D71587"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4E0B0B71" w14:textId="77777777" w:rsidTr="00CF3963">
        <w:tc>
          <w:tcPr>
            <w:tcW w:w="5000" w:type="pct"/>
            <w:gridSpan w:val="3"/>
          </w:tcPr>
          <w:p w14:paraId="50EA7804" w14:textId="742209D5" w:rsidR="009D54C2" w:rsidRPr="009A4469" w:rsidRDefault="009A4469" w:rsidP="0084461B">
            <w:pPr>
              <w:rPr>
                <w:rFonts w:cs="Arial"/>
                <w:b/>
                <w:color w:val="000000"/>
                <w:szCs w:val="24"/>
              </w:rPr>
            </w:pPr>
            <w:r w:rsidRPr="009A4469">
              <w:rPr>
                <w:rFonts w:cs="Arial"/>
                <w:b/>
                <w:color w:val="000000"/>
                <w:szCs w:val="24"/>
              </w:rPr>
              <w:t>N/A</w:t>
            </w:r>
          </w:p>
        </w:tc>
      </w:tr>
      <w:tr w:rsidR="00CF3963" w:rsidRPr="000412A1" w14:paraId="56A0AC78" w14:textId="77777777" w:rsidTr="009D54C2">
        <w:tc>
          <w:tcPr>
            <w:tcW w:w="5000" w:type="pct"/>
            <w:gridSpan w:val="3"/>
            <w:shd w:val="clear" w:color="auto" w:fill="A6A6A6" w:themeFill="background1" w:themeFillShade="A6"/>
          </w:tcPr>
          <w:p w14:paraId="18C2CDA9"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04589D8C" w14:textId="77777777" w:rsidR="00CF3963" w:rsidRPr="000412A1" w:rsidRDefault="00CF3963" w:rsidP="0084461B">
            <w:pPr>
              <w:rPr>
                <w:rFonts w:cs="Arial"/>
                <w:color w:val="000000"/>
                <w:szCs w:val="24"/>
              </w:rPr>
            </w:pPr>
          </w:p>
        </w:tc>
      </w:tr>
      <w:tr w:rsidR="00970018" w:rsidRPr="000412A1" w14:paraId="5C3492E1" w14:textId="77777777" w:rsidTr="00CF3963">
        <w:tc>
          <w:tcPr>
            <w:tcW w:w="5000" w:type="pct"/>
            <w:gridSpan w:val="3"/>
          </w:tcPr>
          <w:p w14:paraId="6D0562AA"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02A70341" w14:textId="1D20EB34" w:rsidR="00970018" w:rsidRDefault="009A4469" w:rsidP="00970018">
            <w:pPr>
              <w:rPr>
                <w:rFonts w:cs="Arial"/>
                <w:b/>
                <w:szCs w:val="24"/>
              </w:rPr>
            </w:pPr>
            <w:r>
              <w:rPr>
                <w:rFonts w:cs="Arial"/>
                <w:b/>
                <w:szCs w:val="24"/>
              </w:rPr>
              <w:t>N/A</w:t>
            </w:r>
          </w:p>
        </w:tc>
      </w:tr>
    </w:tbl>
    <w:p w14:paraId="67F39968" w14:textId="77777777" w:rsidR="006B2327" w:rsidRDefault="006B2327" w:rsidP="00154269">
      <w:pPr>
        <w:rPr>
          <w:rFonts w:cs="Arial"/>
          <w:b/>
          <w:szCs w:val="24"/>
        </w:rPr>
      </w:pPr>
    </w:p>
    <w:p w14:paraId="07510932" w14:textId="77777777" w:rsidR="00234135" w:rsidRDefault="00234135" w:rsidP="00154269">
      <w:pPr>
        <w:rPr>
          <w:rFonts w:cs="Arial"/>
          <w:b/>
          <w:szCs w:val="24"/>
        </w:rPr>
      </w:pPr>
    </w:p>
    <w:tbl>
      <w:tblPr>
        <w:tblStyle w:val="TableGrid"/>
        <w:tblW w:w="5644" w:type="pct"/>
        <w:tblLook w:val="04A0" w:firstRow="1" w:lastRow="0" w:firstColumn="1" w:lastColumn="0" w:noHBand="0" w:noVBand="1"/>
      </w:tblPr>
      <w:tblGrid>
        <w:gridCol w:w="2866"/>
        <w:gridCol w:w="7540"/>
      </w:tblGrid>
      <w:tr w:rsidR="00234135" w:rsidRPr="000412A1" w14:paraId="3942CC0B" w14:textId="77777777" w:rsidTr="00427E7E">
        <w:tc>
          <w:tcPr>
            <w:tcW w:w="5000" w:type="pct"/>
            <w:gridSpan w:val="2"/>
            <w:shd w:val="clear" w:color="auto" w:fill="BFBFBF" w:themeFill="background1" w:themeFillShade="BF"/>
          </w:tcPr>
          <w:p w14:paraId="4ADA718B"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12085F05" w14:textId="77777777" w:rsidTr="00427E7E">
        <w:tc>
          <w:tcPr>
            <w:tcW w:w="5000" w:type="pct"/>
            <w:gridSpan w:val="2"/>
            <w:shd w:val="clear" w:color="auto" w:fill="D9D9D9" w:themeFill="background1" w:themeFillShade="D9"/>
          </w:tcPr>
          <w:p w14:paraId="529AA713"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4DCBCB00" w14:textId="77777777" w:rsidTr="00427E7E">
        <w:tc>
          <w:tcPr>
            <w:tcW w:w="5000" w:type="pct"/>
            <w:gridSpan w:val="2"/>
            <w:shd w:val="clear" w:color="auto" w:fill="auto"/>
          </w:tcPr>
          <w:p w14:paraId="3EA0F8CC" w14:textId="44CF3759" w:rsidR="00C16B1D" w:rsidRPr="008E780B" w:rsidRDefault="00CD0C3C" w:rsidP="00C16B1D">
            <w:pPr>
              <w:spacing w:after="200" w:line="276" w:lineRule="auto"/>
              <w:rPr>
                <w:rFonts w:eastAsiaTheme="minorHAnsi" w:cs="Arial"/>
                <w:b/>
                <w:bCs w:val="0"/>
                <w:szCs w:val="24"/>
              </w:rPr>
            </w:pPr>
            <w:r w:rsidRPr="008E780B">
              <w:rPr>
                <w:rFonts w:eastAsiaTheme="minorHAnsi" w:cs="Arial"/>
                <w:b/>
                <w:bCs w:val="0"/>
                <w:szCs w:val="24"/>
              </w:rPr>
              <w:t>Recognition of t</w:t>
            </w:r>
            <w:r w:rsidR="00C16B1D" w:rsidRPr="008E780B">
              <w:rPr>
                <w:rFonts w:eastAsiaTheme="minorHAnsi" w:cs="Arial"/>
                <w:b/>
                <w:bCs w:val="0"/>
                <w:szCs w:val="24"/>
              </w:rPr>
              <w:t>he need for digital systems iteratively co-produced with patients and clinicians and implemented at scale</w:t>
            </w:r>
          </w:p>
          <w:p w14:paraId="5F8BD837" w14:textId="0B6177F5"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There is an emerging policy imperative seeking to drive the development and integration of digital systems</w:t>
            </w:r>
            <w:r w:rsidR="00AF7FA0" w:rsidRPr="008E780B">
              <w:rPr>
                <w:rFonts w:eastAsiaTheme="minorHAnsi" w:cs="Arial"/>
                <w:bCs w:val="0"/>
                <w:szCs w:val="24"/>
              </w:rPr>
              <w:t xml:space="preserve"> at scale </w:t>
            </w:r>
            <w:r w:rsidRPr="008E780B">
              <w:rPr>
                <w:rFonts w:eastAsiaTheme="minorHAnsi" w:cs="Arial"/>
                <w:bCs w:val="0"/>
                <w:szCs w:val="24"/>
              </w:rPr>
              <w:t>that optimise clinical care by c</w:t>
            </w:r>
            <w:r w:rsidR="00CD0C3C" w:rsidRPr="008E780B">
              <w:rPr>
                <w:rFonts w:eastAsiaTheme="minorHAnsi" w:cs="Arial"/>
                <w:bCs w:val="0"/>
                <w:szCs w:val="24"/>
              </w:rPr>
              <w:t xml:space="preserve">reating integrated </w:t>
            </w:r>
            <w:r w:rsidRPr="008E780B">
              <w:rPr>
                <w:rFonts w:eastAsiaTheme="minorHAnsi" w:cs="Arial"/>
                <w:bCs w:val="0"/>
                <w:szCs w:val="24"/>
              </w:rPr>
              <w:t>services that make care more efficient and more humane.</w:t>
            </w:r>
            <w:r w:rsidR="00AF7FA0" w:rsidRPr="008E780B">
              <w:rPr>
                <w:rFonts w:eastAsiaTheme="minorHAnsi" w:cs="Arial"/>
                <w:bCs w:val="0"/>
                <w:szCs w:val="24"/>
              </w:rPr>
              <w:t xml:space="preserve"> </w:t>
            </w:r>
            <w:r w:rsidR="00CD0C3C" w:rsidRPr="008E780B">
              <w:rPr>
                <w:rFonts w:eastAsiaTheme="minorHAnsi" w:cs="Arial"/>
                <w:bCs w:val="0"/>
                <w:szCs w:val="24"/>
              </w:rPr>
              <w:t>In addition</w:t>
            </w:r>
            <w:r w:rsidR="008E780B">
              <w:rPr>
                <w:rFonts w:eastAsiaTheme="minorHAnsi" w:cs="Arial"/>
                <w:bCs w:val="0"/>
                <w:szCs w:val="24"/>
              </w:rPr>
              <w:t>,</w:t>
            </w:r>
            <w:r w:rsidR="00CD0C3C" w:rsidRPr="008E780B">
              <w:rPr>
                <w:rFonts w:eastAsiaTheme="minorHAnsi" w:cs="Arial"/>
                <w:bCs w:val="0"/>
                <w:szCs w:val="24"/>
              </w:rPr>
              <w:t xml:space="preserve"> there is recognition that patient activation in long term conditions reduces unscheduled care. </w:t>
            </w:r>
            <w:proofErr w:type="spellStart"/>
            <w:r w:rsidR="00CD0C3C" w:rsidRPr="008E780B">
              <w:rPr>
                <w:rFonts w:eastAsiaTheme="minorHAnsi" w:cs="Arial"/>
                <w:bCs w:val="0"/>
                <w:szCs w:val="24"/>
              </w:rPr>
              <w:t>CFHealthHub</w:t>
            </w:r>
            <w:proofErr w:type="spellEnd"/>
            <w:r w:rsidR="00CD0C3C" w:rsidRPr="008E780B">
              <w:rPr>
                <w:rFonts w:eastAsiaTheme="minorHAnsi" w:cs="Arial"/>
                <w:bCs w:val="0"/>
                <w:szCs w:val="24"/>
              </w:rPr>
              <w:t xml:space="preserve"> uses a digital platform to support both patient and clinician activation. </w:t>
            </w:r>
            <w:r w:rsidR="00AF7FA0" w:rsidRPr="008E780B">
              <w:rPr>
                <w:rFonts w:eastAsiaTheme="minorHAnsi" w:cs="Arial"/>
                <w:bCs w:val="0"/>
                <w:szCs w:val="24"/>
              </w:rPr>
              <w:t>Typically</w:t>
            </w:r>
            <w:r w:rsidR="008E780B">
              <w:rPr>
                <w:rFonts w:eastAsiaTheme="minorHAnsi" w:cs="Arial"/>
                <w:bCs w:val="0"/>
                <w:szCs w:val="24"/>
              </w:rPr>
              <w:t>,</w:t>
            </w:r>
            <w:r w:rsidR="00AF7FA0" w:rsidRPr="008E780B">
              <w:rPr>
                <w:rFonts w:eastAsiaTheme="minorHAnsi" w:cs="Arial"/>
                <w:bCs w:val="0"/>
                <w:szCs w:val="24"/>
              </w:rPr>
              <w:t xml:space="preserve"> such systems are developed in single centres and scale poorly across whole disease areas.</w:t>
            </w:r>
            <w:r w:rsidR="00CD0C3C" w:rsidRPr="008E780B">
              <w:rPr>
                <w:rFonts w:eastAsiaTheme="minorHAnsi" w:cs="Arial"/>
                <w:bCs w:val="0"/>
                <w:szCs w:val="24"/>
              </w:rPr>
              <w:t xml:space="preserve"> </w:t>
            </w:r>
          </w:p>
          <w:p w14:paraId="4A6AC497" w14:textId="7D04B4D6" w:rsidR="0037141C" w:rsidRDefault="00C16B1D" w:rsidP="00C16B1D">
            <w:pPr>
              <w:spacing w:after="200" w:line="276" w:lineRule="auto"/>
              <w:rPr>
                <w:rFonts w:eastAsiaTheme="minorHAnsi" w:cs="Arial"/>
                <w:bCs w:val="0"/>
                <w:szCs w:val="24"/>
              </w:rPr>
            </w:pPr>
            <w:r w:rsidRPr="008E780B">
              <w:rPr>
                <w:rFonts w:eastAsiaTheme="minorHAnsi" w:cs="Arial"/>
                <w:bCs w:val="0"/>
                <w:szCs w:val="24"/>
              </w:rPr>
              <w:t xml:space="preserve">Over the past 5 years the methodologists and researchers that make up the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group have worked with people with CF and their clinical teams to co-produce a digital platform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that moves CF care from clinician driven, resource intense hospital based rescue to patient led community based self-management enabled by  behaviour change strategies that support the relevant knowledge skills and self-efficacy in both patients (patient activation) and clinicians (clinician activation) . </w:t>
            </w:r>
          </w:p>
          <w:p w14:paraId="2CC35400" w14:textId="37942C0D" w:rsidR="008E780B" w:rsidRDefault="00C16B1D" w:rsidP="00C16B1D">
            <w:pPr>
              <w:spacing w:after="200" w:line="276" w:lineRule="auto"/>
              <w:rPr>
                <w:rFonts w:eastAsiaTheme="minorHAnsi" w:cs="Arial"/>
                <w:bCs w:val="0"/>
                <w:szCs w:val="24"/>
              </w:rPr>
            </w:pPr>
            <w:r w:rsidRPr="008E780B">
              <w:rPr>
                <w:rFonts w:eastAsiaTheme="minorHAnsi" w:cs="Arial"/>
                <w:bCs w:val="0"/>
                <w:szCs w:val="24"/>
              </w:rPr>
              <w:t>The good news is that this work has the potential both to generate significant learning relevant to many long</w:t>
            </w:r>
            <w:r w:rsidR="008E780B">
              <w:rPr>
                <w:rFonts w:eastAsiaTheme="minorHAnsi" w:cs="Arial"/>
                <w:bCs w:val="0"/>
                <w:szCs w:val="24"/>
              </w:rPr>
              <w:t>-</w:t>
            </w:r>
            <w:r w:rsidRPr="008E780B">
              <w:rPr>
                <w:rFonts w:eastAsiaTheme="minorHAnsi" w:cs="Arial"/>
                <w:bCs w:val="0"/>
                <w:szCs w:val="24"/>
              </w:rPr>
              <w:t xml:space="preserve">term conditions and to save as much as £100 million in adults with CF over 5 years. </w:t>
            </w:r>
            <w:r w:rsidR="00AF7FA0" w:rsidRPr="008E780B">
              <w:rPr>
                <w:rFonts w:eastAsiaTheme="minorHAnsi" w:cs="Arial"/>
                <w:bCs w:val="0"/>
                <w:szCs w:val="24"/>
              </w:rPr>
              <w:t xml:space="preserve"> </w:t>
            </w:r>
          </w:p>
          <w:p w14:paraId="52CDD99D" w14:textId="77777777" w:rsidR="00FC632F" w:rsidRDefault="00AF7FA0" w:rsidP="00C16B1D">
            <w:pPr>
              <w:spacing w:after="200" w:line="276" w:lineRule="auto"/>
              <w:rPr>
                <w:rFonts w:eastAsiaTheme="minorHAnsi" w:cs="Arial"/>
                <w:bCs w:val="0"/>
                <w:szCs w:val="24"/>
              </w:rPr>
            </w:pPr>
            <w:r w:rsidRPr="008E780B">
              <w:rPr>
                <w:rFonts w:eastAsiaTheme="minorHAnsi" w:cs="Arial"/>
                <w:bCs w:val="0"/>
                <w:szCs w:val="24"/>
              </w:rPr>
              <w:t>The system has been in continuous use since 2015, has been implemented at scale and is currently in use in over 80% of CF units in England, Wales, Scotland and Northern Ireland.</w:t>
            </w:r>
          </w:p>
          <w:p w14:paraId="35A669FC" w14:textId="3EF2EC19" w:rsidR="0003373B" w:rsidRPr="0013692D" w:rsidRDefault="00FC632F" w:rsidP="00C16B1D">
            <w:pPr>
              <w:spacing w:after="200" w:line="276" w:lineRule="auto"/>
              <w:rPr>
                <w:rFonts w:eastAsiaTheme="minorHAnsi" w:cs="Arial"/>
                <w:b/>
                <w:bCs w:val="0"/>
                <w:szCs w:val="24"/>
              </w:rPr>
            </w:pPr>
            <w:r w:rsidRPr="0013692D">
              <w:rPr>
                <w:rFonts w:eastAsiaTheme="minorHAnsi" w:cs="Arial"/>
                <w:b/>
                <w:bCs w:val="0"/>
                <w:szCs w:val="24"/>
              </w:rPr>
              <w:t>Achievements to date</w:t>
            </w:r>
            <w:r w:rsidR="0003373B" w:rsidRPr="0013692D">
              <w:rPr>
                <w:rFonts w:eastAsiaTheme="minorHAnsi" w:cs="Arial"/>
                <w:b/>
                <w:bCs w:val="0"/>
                <w:szCs w:val="24"/>
              </w:rPr>
              <w:t xml:space="preserve"> and how the 2019 CQUIN will leverage those achievements for pa</w:t>
            </w:r>
            <w:r w:rsidRPr="0013692D">
              <w:rPr>
                <w:rFonts w:eastAsiaTheme="minorHAnsi" w:cs="Arial"/>
                <w:b/>
                <w:bCs w:val="0"/>
                <w:szCs w:val="24"/>
              </w:rPr>
              <w:t>tient benefit and the wider NHS</w:t>
            </w:r>
          </w:p>
          <w:p w14:paraId="62B2BF40" w14:textId="2D653B16" w:rsidR="008A382A" w:rsidRPr="0013692D" w:rsidRDefault="008A382A" w:rsidP="00C16B1D">
            <w:pPr>
              <w:spacing w:after="200" w:line="276" w:lineRule="auto"/>
              <w:rPr>
                <w:rFonts w:eastAsiaTheme="minorHAnsi" w:cs="Arial"/>
                <w:bCs w:val="0"/>
                <w:szCs w:val="24"/>
              </w:rPr>
            </w:pPr>
            <w:r w:rsidRPr="0013692D">
              <w:rPr>
                <w:rFonts w:eastAsiaTheme="minorHAnsi" w:cs="Arial"/>
                <w:bCs w:val="0"/>
                <w:szCs w:val="24"/>
              </w:rPr>
              <w:lastRenderedPageBreak/>
              <w:t xml:space="preserve">It is important to make clear that this CQUIN builds on over £3 million in investment to date and that all the milestones and goals of a national programme have been achieved and this provides a unique opportunity to consolidate system wide success. The programme is running to time and target and the 2019 CQUIN builds on a programme that is appreciated by patients and clinicians and is an exemplar of the digital aspirations of the new </w:t>
            </w:r>
            <w:proofErr w:type="gramStart"/>
            <w:r w:rsidRPr="0013692D">
              <w:rPr>
                <w:rFonts w:eastAsiaTheme="minorHAnsi" w:cs="Arial"/>
                <w:bCs w:val="0"/>
                <w:szCs w:val="24"/>
              </w:rPr>
              <w:t>10 year</w:t>
            </w:r>
            <w:proofErr w:type="gramEnd"/>
            <w:r w:rsidRPr="0013692D">
              <w:rPr>
                <w:rFonts w:eastAsiaTheme="minorHAnsi" w:cs="Arial"/>
                <w:bCs w:val="0"/>
                <w:szCs w:val="24"/>
              </w:rPr>
              <w:t xml:space="preserve"> NHS plan.</w:t>
            </w:r>
          </w:p>
          <w:p w14:paraId="65CC274C" w14:textId="698A500B" w:rsidR="0003373B" w:rsidRPr="0013692D" w:rsidRDefault="0003373B" w:rsidP="00C16B1D">
            <w:pPr>
              <w:spacing w:after="200" w:line="276" w:lineRule="auto"/>
              <w:rPr>
                <w:rFonts w:eastAsiaTheme="minorHAnsi" w:cs="Arial"/>
                <w:bCs w:val="0"/>
                <w:szCs w:val="24"/>
              </w:rPr>
            </w:pPr>
            <w:r w:rsidRPr="0013692D">
              <w:rPr>
                <w:rFonts w:eastAsiaTheme="minorHAnsi" w:cs="Arial"/>
                <w:bCs w:val="0"/>
                <w:szCs w:val="24"/>
              </w:rPr>
              <w:t>Implementing innovations within the NHS is notoriously difficult. This programme has taken a strategic, sequential, cumulative approach involving co-production and capacity building in a multi-faceted programme</w:t>
            </w:r>
            <w:r w:rsidR="008A382A" w:rsidRPr="0013692D">
              <w:rPr>
                <w:rFonts w:eastAsiaTheme="minorHAnsi" w:cs="Arial"/>
                <w:bCs w:val="0"/>
                <w:szCs w:val="24"/>
              </w:rPr>
              <w:t>. Notable milestones that have been achieved to date</w:t>
            </w:r>
            <w:r w:rsidRPr="0013692D">
              <w:rPr>
                <w:rFonts w:eastAsiaTheme="minorHAnsi" w:cs="Arial"/>
                <w:bCs w:val="0"/>
                <w:szCs w:val="24"/>
              </w:rPr>
              <w:t xml:space="preserve"> include;</w:t>
            </w:r>
          </w:p>
          <w:p w14:paraId="5B33D0C6" w14:textId="4376BCD0" w:rsidR="0003373B" w:rsidRPr="0013692D" w:rsidRDefault="0003373B" w:rsidP="0003373B">
            <w:pPr>
              <w:pStyle w:val="ListParagraph"/>
              <w:numPr>
                <w:ilvl w:val="0"/>
                <w:numId w:val="16"/>
              </w:numPr>
              <w:spacing w:after="200" w:line="276" w:lineRule="auto"/>
              <w:rPr>
                <w:rFonts w:eastAsiaTheme="minorHAnsi" w:cs="Arial"/>
                <w:bCs w:val="0"/>
                <w:szCs w:val="24"/>
              </w:rPr>
            </w:pPr>
            <w:r w:rsidRPr="0013692D">
              <w:rPr>
                <w:rFonts w:eastAsiaTheme="minorHAnsi" w:cs="Arial"/>
                <w:bCs w:val="0"/>
                <w:szCs w:val="24"/>
              </w:rPr>
              <w:t>14 months of co-production of a patient facing platform available via mobiles and other platforms with patients driving the process and providing feedback to experts in mixed methods process evaluation independent of the clinical teams.</w:t>
            </w:r>
          </w:p>
          <w:p w14:paraId="6E74BE97" w14:textId="00783A7D" w:rsidR="0003373B" w:rsidRPr="0013692D" w:rsidRDefault="008A382A" w:rsidP="0003373B">
            <w:pPr>
              <w:pStyle w:val="ListParagraph"/>
              <w:numPr>
                <w:ilvl w:val="0"/>
                <w:numId w:val="16"/>
              </w:numPr>
              <w:spacing w:after="200" w:line="276" w:lineRule="auto"/>
              <w:rPr>
                <w:rFonts w:eastAsiaTheme="minorHAnsi" w:cs="Arial"/>
                <w:bCs w:val="0"/>
                <w:szCs w:val="24"/>
              </w:rPr>
            </w:pPr>
            <w:r w:rsidRPr="0013692D">
              <w:rPr>
                <w:rFonts w:eastAsiaTheme="minorHAnsi" w:cs="Arial"/>
                <w:bCs w:val="0"/>
                <w:szCs w:val="24"/>
              </w:rPr>
              <w:t>Similar success</w:t>
            </w:r>
            <w:r w:rsidR="0003373B" w:rsidRPr="0013692D">
              <w:rPr>
                <w:rFonts w:eastAsiaTheme="minorHAnsi" w:cs="Arial"/>
                <w:bCs w:val="0"/>
                <w:szCs w:val="24"/>
              </w:rPr>
              <w:t xml:space="preserve"> over 18 months for clinician facing platform</w:t>
            </w:r>
          </w:p>
          <w:p w14:paraId="6B26A685" w14:textId="3D775EBD" w:rsidR="0003373B" w:rsidRPr="0013692D" w:rsidRDefault="0003373B" w:rsidP="0003373B">
            <w:pPr>
              <w:pStyle w:val="ListParagraph"/>
              <w:numPr>
                <w:ilvl w:val="0"/>
                <w:numId w:val="16"/>
              </w:numPr>
              <w:spacing w:after="200" w:line="276" w:lineRule="auto"/>
              <w:rPr>
                <w:rFonts w:eastAsiaTheme="minorHAnsi" w:cs="Arial"/>
                <w:bCs w:val="0"/>
                <w:szCs w:val="24"/>
              </w:rPr>
            </w:pPr>
            <w:r w:rsidRPr="0013692D">
              <w:rPr>
                <w:rFonts w:eastAsiaTheme="minorHAnsi" w:cs="Arial"/>
                <w:bCs w:val="0"/>
                <w:szCs w:val="24"/>
              </w:rPr>
              <w:t xml:space="preserve">Extensive training of dedicated interventionists in 22 (80%) of UK adult CF centres. This training involved face to face </w:t>
            </w:r>
            <w:r w:rsidR="00000A03" w:rsidRPr="0013692D">
              <w:rPr>
                <w:rFonts w:eastAsiaTheme="minorHAnsi" w:cs="Arial"/>
                <w:bCs w:val="0"/>
                <w:szCs w:val="24"/>
              </w:rPr>
              <w:t>training,</w:t>
            </w:r>
            <w:r w:rsidRPr="0013692D">
              <w:rPr>
                <w:rFonts w:eastAsiaTheme="minorHAnsi" w:cs="Arial"/>
                <w:bCs w:val="0"/>
                <w:szCs w:val="24"/>
              </w:rPr>
              <w:t xml:space="preserve"> pass/fail </w:t>
            </w:r>
            <w:proofErr w:type="gramStart"/>
            <w:r w:rsidRPr="0013692D">
              <w:rPr>
                <w:rFonts w:eastAsiaTheme="minorHAnsi" w:cs="Arial"/>
                <w:bCs w:val="0"/>
                <w:szCs w:val="24"/>
              </w:rPr>
              <w:t>assessments,  on</w:t>
            </w:r>
            <w:proofErr w:type="gramEnd"/>
            <w:r w:rsidRPr="0013692D">
              <w:rPr>
                <w:rFonts w:eastAsiaTheme="minorHAnsi" w:cs="Arial"/>
                <w:bCs w:val="0"/>
                <w:szCs w:val="24"/>
              </w:rPr>
              <w:t>-going taping of intervention delivery with fidelity testing and feedback all supported by weekly group calls to share expertise.</w:t>
            </w:r>
            <w:r w:rsidR="008A382A" w:rsidRPr="0013692D">
              <w:rPr>
                <w:rFonts w:eastAsiaTheme="minorHAnsi" w:cs="Arial"/>
                <w:bCs w:val="0"/>
                <w:szCs w:val="24"/>
              </w:rPr>
              <w:t xml:space="preserve"> The staff who have been trained provide the “boots on the ground” who will cascade the digital behaviour change programme to the rest of the staff in UK CF centres.</w:t>
            </w:r>
          </w:p>
          <w:p w14:paraId="085863C3" w14:textId="0C7F75BD" w:rsidR="00FC632F" w:rsidRPr="0013692D" w:rsidRDefault="008A382A" w:rsidP="0003373B">
            <w:pPr>
              <w:pStyle w:val="ListParagraph"/>
              <w:numPr>
                <w:ilvl w:val="0"/>
                <w:numId w:val="16"/>
              </w:numPr>
              <w:spacing w:after="200" w:line="276" w:lineRule="auto"/>
              <w:rPr>
                <w:rFonts w:eastAsiaTheme="minorHAnsi" w:cs="Arial"/>
                <w:bCs w:val="0"/>
                <w:szCs w:val="24"/>
              </w:rPr>
            </w:pPr>
            <w:r w:rsidRPr="0013692D">
              <w:rPr>
                <w:rFonts w:eastAsiaTheme="minorHAnsi" w:cs="Arial"/>
                <w:bCs w:val="0"/>
                <w:szCs w:val="24"/>
              </w:rPr>
              <w:t>This programme demonstrates s</w:t>
            </w:r>
            <w:r w:rsidR="00FC632F" w:rsidRPr="0013692D">
              <w:rPr>
                <w:rFonts w:eastAsiaTheme="minorHAnsi" w:cs="Arial"/>
                <w:bCs w:val="0"/>
                <w:szCs w:val="24"/>
              </w:rPr>
              <w:t>uccess</w:t>
            </w:r>
            <w:r w:rsidRPr="0013692D">
              <w:rPr>
                <w:rFonts w:eastAsiaTheme="minorHAnsi" w:cs="Arial"/>
                <w:bCs w:val="0"/>
                <w:szCs w:val="24"/>
              </w:rPr>
              <w:t>ful introduction</w:t>
            </w:r>
            <w:r w:rsidR="00FC632F" w:rsidRPr="0013692D">
              <w:rPr>
                <w:rFonts w:eastAsiaTheme="minorHAnsi" w:cs="Arial"/>
                <w:bCs w:val="0"/>
                <w:szCs w:val="24"/>
              </w:rPr>
              <w:t xml:space="preserve"> of </w:t>
            </w:r>
            <w:r w:rsidRPr="0013692D">
              <w:rPr>
                <w:rFonts w:eastAsiaTheme="minorHAnsi" w:cs="Arial"/>
                <w:bCs w:val="0"/>
                <w:szCs w:val="24"/>
              </w:rPr>
              <w:t xml:space="preserve">a </w:t>
            </w:r>
            <w:r w:rsidR="00FC632F" w:rsidRPr="0013692D">
              <w:rPr>
                <w:rFonts w:eastAsiaTheme="minorHAnsi" w:cs="Arial"/>
                <w:bCs w:val="0"/>
                <w:szCs w:val="24"/>
              </w:rPr>
              <w:t xml:space="preserve">digital platform at scale in 80% of UK CF units with multiple improvement cycles leading to more </w:t>
            </w:r>
            <w:r w:rsidRPr="0013692D">
              <w:rPr>
                <w:rFonts w:eastAsiaTheme="minorHAnsi" w:cs="Arial"/>
                <w:bCs w:val="0"/>
                <w:szCs w:val="24"/>
              </w:rPr>
              <w:t>than 100</w:t>
            </w:r>
            <w:r w:rsidR="00FC632F" w:rsidRPr="0013692D">
              <w:rPr>
                <w:rFonts w:eastAsiaTheme="minorHAnsi" w:cs="Arial"/>
                <w:bCs w:val="0"/>
                <w:szCs w:val="24"/>
              </w:rPr>
              <w:t xml:space="preserve"> software upgrades in response to clinician and patient feedback.</w:t>
            </w:r>
            <w:r w:rsidRPr="0013692D">
              <w:rPr>
                <w:rFonts w:eastAsiaTheme="minorHAnsi" w:cs="Arial"/>
                <w:bCs w:val="0"/>
                <w:szCs w:val="24"/>
              </w:rPr>
              <w:t xml:space="preserve"> The 2019 CQUIN will consolidate this success. </w:t>
            </w:r>
          </w:p>
          <w:p w14:paraId="69E5F6AE" w14:textId="476797D2" w:rsidR="0003373B" w:rsidRPr="0003373B" w:rsidRDefault="0003373B" w:rsidP="0003373B">
            <w:pPr>
              <w:spacing w:after="200" w:line="276" w:lineRule="auto"/>
              <w:rPr>
                <w:rFonts w:eastAsiaTheme="minorHAnsi" w:cs="Arial"/>
                <w:bCs w:val="0"/>
                <w:color w:val="FF0000"/>
                <w:szCs w:val="24"/>
              </w:rPr>
            </w:pPr>
            <w:r w:rsidRPr="0013692D">
              <w:rPr>
                <w:rFonts w:eastAsiaTheme="minorHAnsi" w:cs="Arial"/>
                <w:bCs w:val="0"/>
                <w:szCs w:val="24"/>
              </w:rPr>
              <w:t xml:space="preserve">The programme is designed to shift CF care from clinician led reactive </w:t>
            </w:r>
            <w:proofErr w:type="gramStart"/>
            <w:r w:rsidRPr="0013692D">
              <w:rPr>
                <w:rFonts w:eastAsiaTheme="minorHAnsi" w:cs="Arial"/>
                <w:bCs w:val="0"/>
                <w:szCs w:val="24"/>
              </w:rPr>
              <w:t>hospital based</w:t>
            </w:r>
            <w:proofErr w:type="gramEnd"/>
            <w:r w:rsidRPr="0013692D">
              <w:rPr>
                <w:rFonts w:eastAsiaTheme="minorHAnsi" w:cs="Arial"/>
                <w:bCs w:val="0"/>
                <w:szCs w:val="24"/>
              </w:rPr>
              <w:t xml:space="preserve"> rescue to patient led community based prevention. This requires transformation in knowledge, skills and self-efficacy </w:t>
            </w:r>
            <w:r w:rsidR="008A382A" w:rsidRPr="0013692D">
              <w:rPr>
                <w:rFonts w:eastAsiaTheme="minorHAnsi" w:cs="Arial"/>
                <w:bCs w:val="0"/>
                <w:szCs w:val="24"/>
              </w:rPr>
              <w:t>(clinician</w:t>
            </w:r>
            <w:r w:rsidRPr="0013692D">
              <w:rPr>
                <w:rFonts w:eastAsiaTheme="minorHAnsi" w:cs="Arial"/>
                <w:bCs w:val="0"/>
                <w:szCs w:val="24"/>
              </w:rPr>
              <w:t xml:space="preserve"> and patient activation) and this process has made startling progress over the past 24 months with objective measures of intervention delivery and fidelity showing continuous improvement. This evidence is available in transcripts and fidelity scores and measures of intervention delivery. </w:t>
            </w:r>
            <w:proofErr w:type="gramStart"/>
            <w:r w:rsidRPr="0013692D">
              <w:rPr>
                <w:rFonts w:eastAsiaTheme="minorHAnsi" w:cs="Arial"/>
                <w:bCs w:val="0"/>
                <w:szCs w:val="24"/>
              </w:rPr>
              <w:t>In order for</w:t>
            </w:r>
            <w:proofErr w:type="gramEnd"/>
            <w:r w:rsidRPr="0013692D">
              <w:rPr>
                <w:rFonts w:eastAsiaTheme="minorHAnsi" w:cs="Arial"/>
                <w:bCs w:val="0"/>
                <w:szCs w:val="24"/>
              </w:rPr>
              <w:t xml:space="preserve"> this expertise (that currently sits within a small group of trained staff) the next phase of the programme needs to provide the resource that will allow the trained interventionists to cascade training to the remainder of centre MDTs. This is what the 2019 CQUIN will achieve. It is following this next phase that profound changes in CF care will be expected. If the CQUIN is not made </w:t>
            </w:r>
            <w:proofErr w:type="gramStart"/>
            <w:r w:rsidRPr="0013692D">
              <w:rPr>
                <w:rFonts w:eastAsiaTheme="minorHAnsi" w:cs="Arial"/>
                <w:bCs w:val="0"/>
                <w:szCs w:val="24"/>
              </w:rPr>
              <w:t>available</w:t>
            </w:r>
            <w:proofErr w:type="gramEnd"/>
            <w:r w:rsidRPr="0013692D">
              <w:rPr>
                <w:rFonts w:eastAsiaTheme="minorHAnsi" w:cs="Arial"/>
                <w:bCs w:val="0"/>
                <w:szCs w:val="24"/>
              </w:rPr>
              <w:t xml:space="preserve"> the investment over the past years will not reach its potential and the savings will not be seen.  </w:t>
            </w:r>
          </w:p>
          <w:p w14:paraId="512A7752" w14:textId="2DC56DA0"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To highlight the potential of the programme we start with a patient story.</w:t>
            </w:r>
          </w:p>
          <w:p w14:paraId="4FDDEC54"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 xml:space="preserve">A patient story in a CF unit without </w:t>
            </w:r>
            <w:proofErr w:type="spellStart"/>
            <w:r w:rsidRPr="008E780B">
              <w:rPr>
                <w:rFonts w:eastAsiaTheme="minorHAnsi" w:cs="Arial"/>
                <w:b/>
                <w:bCs w:val="0"/>
                <w:szCs w:val="24"/>
              </w:rPr>
              <w:t>CFHealthHub</w:t>
            </w:r>
            <w:proofErr w:type="spellEnd"/>
          </w:p>
          <w:p w14:paraId="0FC03D71" w14:textId="397B91B2"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 xml:space="preserve">Jane turned up for an unscheduled clinic visit with her mum. This was unusual since as an independent </w:t>
            </w:r>
            <w:r w:rsidR="00000A03" w:rsidRPr="008E780B">
              <w:rPr>
                <w:rFonts w:eastAsiaTheme="minorHAnsi" w:cs="Arial"/>
                <w:bCs w:val="0"/>
                <w:szCs w:val="24"/>
              </w:rPr>
              <w:t>24</w:t>
            </w:r>
            <w:r w:rsidR="00000A03">
              <w:rPr>
                <w:rFonts w:eastAsiaTheme="minorHAnsi" w:cs="Arial"/>
                <w:bCs w:val="0"/>
                <w:szCs w:val="24"/>
              </w:rPr>
              <w:t>-year-old</w:t>
            </w:r>
            <w:r w:rsidRPr="008E780B">
              <w:rPr>
                <w:rFonts w:eastAsiaTheme="minorHAnsi" w:cs="Arial"/>
                <w:bCs w:val="0"/>
                <w:szCs w:val="24"/>
              </w:rPr>
              <w:t xml:space="preserve"> Jane usually came to clinic alone.  When the doctor entered the clinic room Jane was looking at the floor, her mum on the edge of her seat anxious and scared. Over the previous 12 weeks Jane had become increasingly breathless. After work she was </w:t>
            </w:r>
            <w:r w:rsidRPr="008E780B">
              <w:rPr>
                <w:rFonts w:eastAsiaTheme="minorHAnsi" w:cs="Arial"/>
                <w:bCs w:val="0"/>
                <w:szCs w:val="24"/>
              </w:rPr>
              <w:lastRenderedPageBreak/>
              <w:t xml:space="preserve">exhausted and went straight to bed. She was losing weight and her lung function was down by 14%. The doctor took a brief history. Jane was using </w:t>
            </w:r>
            <w:proofErr w:type="spellStart"/>
            <w:r w:rsidRPr="008E780B">
              <w:rPr>
                <w:rFonts w:eastAsiaTheme="minorHAnsi" w:cs="Arial"/>
                <w:bCs w:val="0"/>
                <w:szCs w:val="24"/>
              </w:rPr>
              <w:t>colomycin</w:t>
            </w:r>
            <w:proofErr w:type="spellEnd"/>
            <w:r w:rsidRPr="008E780B">
              <w:rPr>
                <w:rFonts w:eastAsiaTheme="minorHAnsi" w:cs="Arial"/>
                <w:bCs w:val="0"/>
                <w:szCs w:val="24"/>
              </w:rPr>
              <w:t xml:space="preserve"> alternating with tobramycin and not quite sure how much she was taking. The doctor ordered a blood sugar series, sputum culture, chest x-ray and some bloods, admitted her to hospital for 14 days of intravenous antibiotics and swapped twice daily </w:t>
            </w:r>
            <w:proofErr w:type="spellStart"/>
            <w:r w:rsidRPr="008E780B">
              <w:rPr>
                <w:rFonts w:eastAsiaTheme="minorHAnsi" w:cs="Arial"/>
                <w:bCs w:val="0"/>
                <w:szCs w:val="24"/>
              </w:rPr>
              <w:t>colomycin</w:t>
            </w:r>
            <w:proofErr w:type="spellEnd"/>
            <w:r w:rsidRPr="008E780B">
              <w:rPr>
                <w:rFonts w:eastAsiaTheme="minorHAnsi" w:cs="Arial"/>
                <w:bCs w:val="0"/>
                <w:szCs w:val="24"/>
              </w:rPr>
              <w:t xml:space="preserve"> for three times daily aztreonam.</w:t>
            </w:r>
          </w:p>
          <w:p w14:paraId="5D01D33E"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 xml:space="preserve">A Patient story in a centre with </w:t>
            </w:r>
            <w:proofErr w:type="spellStart"/>
            <w:r w:rsidRPr="008E780B">
              <w:rPr>
                <w:rFonts w:eastAsiaTheme="minorHAnsi" w:cs="Arial"/>
                <w:b/>
                <w:bCs w:val="0"/>
                <w:szCs w:val="24"/>
              </w:rPr>
              <w:t>CFHealthHub</w:t>
            </w:r>
            <w:proofErr w:type="spellEnd"/>
            <w:r w:rsidRPr="008E780B">
              <w:rPr>
                <w:rFonts w:eastAsiaTheme="minorHAnsi" w:cs="Arial"/>
                <w:b/>
                <w:bCs w:val="0"/>
                <w:szCs w:val="24"/>
              </w:rPr>
              <w:t xml:space="preserve"> </w:t>
            </w:r>
          </w:p>
          <w:p w14:paraId="2A11DE65" w14:textId="7340D3B3"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 xml:space="preserve">The graph below shows data which is available in real time to patients’ mobiles and to the clinical team in centres using </w:t>
            </w:r>
            <w:proofErr w:type="spellStart"/>
            <w:r w:rsidRPr="008E780B">
              <w:rPr>
                <w:rFonts w:eastAsiaTheme="minorHAnsi" w:cs="Arial"/>
                <w:bCs w:val="0"/>
                <w:szCs w:val="24"/>
              </w:rPr>
              <w:t>CFHealthHub</w:t>
            </w:r>
            <w:proofErr w:type="spellEnd"/>
            <w:r w:rsidRPr="008E780B">
              <w:rPr>
                <w:rFonts w:eastAsiaTheme="minorHAnsi" w:cs="Arial"/>
                <w:bCs w:val="0"/>
                <w:szCs w:val="24"/>
              </w:rPr>
              <w:t>. 6 months before the clinic visit Jane had been taking 17 nebulisers a week, but in the 3 months leading up to clinic this had fallen to 5 per week.</w:t>
            </w:r>
          </w:p>
          <w:p w14:paraId="0A8D9F9D" w14:textId="77777777" w:rsidR="00C16B1D" w:rsidRPr="00C16B1D" w:rsidRDefault="00C16B1D" w:rsidP="00C16B1D">
            <w:pPr>
              <w:spacing w:after="200" w:line="276" w:lineRule="auto"/>
              <w:jc w:val="center"/>
              <w:rPr>
                <w:rFonts w:asciiTheme="minorHAnsi" w:eastAsiaTheme="minorHAnsi" w:hAnsiTheme="minorHAnsi" w:cstheme="minorBidi"/>
                <w:bCs w:val="0"/>
                <w:sz w:val="22"/>
                <w:szCs w:val="22"/>
              </w:rPr>
            </w:pPr>
            <w:r w:rsidRPr="00C16B1D">
              <w:rPr>
                <w:rFonts w:asciiTheme="minorHAnsi" w:eastAsiaTheme="minorHAnsi" w:hAnsiTheme="minorHAnsi" w:cstheme="minorBidi"/>
                <w:bCs w:val="0"/>
                <w:noProof/>
                <w:sz w:val="22"/>
                <w:szCs w:val="22"/>
              </w:rPr>
              <w:drawing>
                <wp:inline distT="0" distB="0" distL="0" distR="0" wp14:anchorId="2AC08227" wp14:editId="480DC3D7">
                  <wp:extent cx="4136065" cy="2051682"/>
                  <wp:effectExtent l="0" t="0" r="0" b="6350"/>
                  <wp:docPr id="6" name="Picture 4" descr="C:\Users\Zhe Hui\Documents\My documents\(3) ST4\Cystic Fibrosis\PhD stuff\2014 NIHR application\RDS presentation 131121\z context change dec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4" descr="C:\Users\Zhe Hui\Documents\My documents\(3) ST4\Cystic Fibrosis\PhD stuff\2014 NIHR application\RDS presentation 131121\z context change declin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6065" cy="2051682"/>
                          </a:xfrm>
                          <a:prstGeom prst="rect">
                            <a:avLst/>
                          </a:prstGeom>
                          <a:noFill/>
                          <a:ln>
                            <a:noFill/>
                          </a:ln>
                          <a:extLst/>
                        </pic:spPr>
                      </pic:pic>
                    </a:graphicData>
                  </a:graphic>
                </wp:inline>
              </w:drawing>
            </w:r>
          </w:p>
          <w:p w14:paraId="7888CACA" w14:textId="742DD264" w:rsidR="00792815" w:rsidRPr="00792815" w:rsidRDefault="00792815" w:rsidP="00C16B1D">
            <w:pPr>
              <w:spacing w:after="200" w:line="276" w:lineRule="auto"/>
              <w:rPr>
                <w:rFonts w:eastAsiaTheme="minorHAnsi" w:cs="Arial"/>
                <w:bCs w:val="0"/>
                <w:i/>
                <w:sz w:val="16"/>
                <w:szCs w:val="16"/>
              </w:rPr>
            </w:pPr>
            <w:r w:rsidRPr="00792815">
              <w:rPr>
                <w:rFonts w:eastAsiaTheme="minorHAnsi" w:cs="Arial"/>
                <w:bCs w:val="0"/>
                <w:i/>
                <w:sz w:val="16"/>
                <w:szCs w:val="16"/>
              </w:rPr>
              <w:t>*This is a composite patient story using illustrative data to maintain confidentiality</w:t>
            </w:r>
          </w:p>
          <w:p w14:paraId="7630F21E" w14:textId="30137209"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The power of real time data: patients at home no longer out of sight out of mind</w:t>
            </w:r>
          </w:p>
          <w:p w14:paraId="4EC56FEB" w14:textId="4DAC7ED1"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 xml:space="preserve">Review of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data for all centre patients at the weekly team meeting in April identified Jane’s change in adherence to preventative therapy. Phone support to Jane followed by a home visit enabled problem solving and supported self-care. Adherence recovered. The crisis out-patient visit was avoided. There was no costly escalation from twice daily </w:t>
            </w:r>
            <w:proofErr w:type="spellStart"/>
            <w:r w:rsidRPr="008E780B">
              <w:rPr>
                <w:rFonts w:eastAsiaTheme="minorHAnsi" w:cs="Arial"/>
                <w:bCs w:val="0"/>
                <w:szCs w:val="24"/>
              </w:rPr>
              <w:t>colomycin</w:t>
            </w:r>
            <w:proofErr w:type="spellEnd"/>
            <w:r w:rsidRPr="008E780B">
              <w:rPr>
                <w:rFonts w:eastAsiaTheme="minorHAnsi" w:cs="Arial"/>
                <w:bCs w:val="0"/>
                <w:szCs w:val="24"/>
              </w:rPr>
              <w:t xml:space="preserve"> (circa £1.1K</w:t>
            </w:r>
            <w:r w:rsidR="0037141C">
              <w:rPr>
                <w:rFonts w:eastAsiaTheme="minorHAnsi" w:cs="Arial"/>
                <w:bCs w:val="0"/>
                <w:szCs w:val="24"/>
              </w:rPr>
              <w:t xml:space="preserve"> </w:t>
            </w:r>
            <w:r w:rsidRPr="008E780B">
              <w:rPr>
                <w:rFonts w:eastAsiaTheme="minorHAnsi" w:cs="Arial"/>
                <w:bCs w:val="0"/>
                <w:szCs w:val="24"/>
              </w:rPr>
              <w:t xml:space="preserve">per annum) to thrice daily aztreonam (circa £12K per annum) no need for a </w:t>
            </w:r>
            <w:r w:rsidR="0037141C" w:rsidRPr="008E780B">
              <w:rPr>
                <w:rFonts w:eastAsiaTheme="minorHAnsi" w:cs="Arial"/>
                <w:bCs w:val="0"/>
                <w:szCs w:val="24"/>
              </w:rPr>
              <w:t>14-day</w:t>
            </w:r>
            <w:r w:rsidRPr="008E780B">
              <w:rPr>
                <w:rFonts w:eastAsiaTheme="minorHAnsi" w:cs="Arial"/>
                <w:bCs w:val="0"/>
                <w:szCs w:val="24"/>
              </w:rPr>
              <w:t xml:space="preserve"> hospital admission costing around </w:t>
            </w:r>
            <w:r w:rsidR="0037141C">
              <w:rPr>
                <w:rFonts w:eastAsiaTheme="minorHAnsi" w:cs="Arial"/>
                <w:bCs w:val="0"/>
                <w:szCs w:val="24"/>
              </w:rPr>
              <w:t>£</w:t>
            </w:r>
            <w:r w:rsidRPr="008E780B">
              <w:rPr>
                <w:rFonts w:eastAsiaTheme="minorHAnsi" w:cs="Arial"/>
                <w:bCs w:val="0"/>
                <w:szCs w:val="24"/>
              </w:rPr>
              <w:t>2.5K and no month of terror where Jane was sure that her CF had progressed and that her death might be approaching.</w:t>
            </w:r>
          </w:p>
          <w:p w14:paraId="0763705A" w14:textId="6D89E686" w:rsidR="00C16B1D" w:rsidRPr="008E780B" w:rsidRDefault="00A77EA5" w:rsidP="00C16B1D">
            <w:pPr>
              <w:spacing w:after="200" w:line="276" w:lineRule="auto"/>
              <w:rPr>
                <w:rFonts w:eastAsiaTheme="minorHAnsi" w:cs="Arial"/>
                <w:b/>
                <w:bCs w:val="0"/>
                <w:szCs w:val="24"/>
              </w:rPr>
            </w:pPr>
            <w:r w:rsidRPr="008E780B">
              <w:rPr>
                <w:rFonts w:eastAsiaTheme="minorHAnsi" w:cs="Arial"/>
                <w:b/>
                <w:bCs w:val="0"/>
                <w:szCs w:val="24"/>
              </w:rPr>
              <w:t>Why CF</w:t>
            </w:r>
            <w:r w:rsidR="00C16B1D" w:rsidRPr="008E780B">
              <w:rPr>
                <w:rFonts w:eastAsiaTheme="minorHAnsi" w:cs="Arial"/>
                <w:b/>
                <w:bCs w:val="0"/>
                <w:szCs w:val="24"/>
              </w:rPr>
              <w:t xml:space="preserve"> centres</w:t>
            </w:r>
            <w:r w:rsidRPr="008E780B">
              <w:rPr>
                <w:rFonts w:eastAsiaTheme="minorHAnsi" w:cs="Arial"/>
                <w:b/>
                <w:bCs w:val="0"/>
                <w:szCs w:val="24"/>
              </w:rPr>
              <w:t xml:space="preserve"> are</w:t>
            </w:r>
            <w:r w:rsidR="00C16B1D" w:rsidRPr="008E780B">
              <w:rPr>
                <w:rFonts w:eastAsiaTheme="minorHAnsi" w:cs="Arial"/>
                <w:b/>
                <w:bCs w:val="0"/>
                <w:szCs w:val="24"/>
              </w:rPr>
              <w:t xml:space="preserve"> being offered the CQUIN? What is the problem and how does </w:t>
            </w:r>
            <w:proofErr w:type="spellStart"/>
            <w:r w:rsidR="00C16B1D" w:rsidRPr="008E780B">
              <w:rPr>
                <w:rFonts w:eastAsiaTheme="minorHAnsi" w:cs="Arial"/>
                <w:b/>
                <w:bCs w:val="0"/>
                <w:szCs w:val="24"/>
              </w:rPr>
              <w:t>CFHealthHub</w:t>
            </w:r>
            <w:proofErr w:type="spellEnd"/>
            <w:r w:rsidR="00C16B1D" w:rsidRPr="008E780B">
              <w:rPr>
                <w:rFonts w:eastAsiaTheme="minorHAnsi" w:cs="Arial"/>
                <w:b/>
                <w:bCs w:val="0"/>
                <w:szCs w:val="24"/>
              </w:rPr>
              <w:t xml:space="preserve"> solve the problem</w:t>
            </w:r>
            <w:r w:rsidR="0037141C">
              <w:rPr>
                <w:rFonts w:eastAsiaTheme="minorHAnsi" w:cs="Arial"/>
                <w:b/>
                <w:bCs w:val="0"/>
                <w:szCs w:val="24"/>
              </w:rPr>
              <w:t>?</w:t>
            </w:r>
          </w:p>
          <w:p w14:paraId="0CD9E857" w14:textId="267A5A5E"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 xml:space="preserve">Median adherence to preventative therapy in CF is around 35% resulting in increased hospital admissions for rescue therapy which is disruptive and hazardous.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is a system wide digital platform supporting a multi-component intervention targeting both patients and their clinic teams. Simply considering the 3000 adults with chronic pseudomonas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is expected to save around £49.5 million over 5 years.</w:t>
            </w:r>
            <w:r w:rsidR="00A77EA5" w:rsidRPr="008E780B">
              <w:rPr>
                <w:rFonts w:eastAsiaTheme="minorHAnsi" w:cs="Arial"/>
                <w:bCs w:val="0"/>
                <w:szCs w:val="24"/>
              </w:rPr>
              <w:t xml:space="preserve"> </w:t>
            </w:r>
            <w:proofErr w:type="gramStart"/>
            <w:r w:rsidR="00A77EA5" w:rsidRPr="008E780B">
              <w:rPr>
                <w:rFonts w:eastAsiaTheme="minorHAnsi" w:cs="Arial"/>
                <w:bCs w:val="0"/>
                <w:szCs w:val="24"/>
              </w:rPr>
              <w:t>In order for</w:t>
            </w:r>
            <w:proofErr w:type="gramEnd"/>
            <w:r w:rsidR="00A77EA5" w:rsidRPr="008E780B">
              <w:rPr>
                <w:rFonts w:eastAsiaTheme="minorHAnsi" w:cs="Arial"/>
                <w:bCs w:val="0"/>
                <w:szCs w:val="24"/>
              </w:rPr>
              <w:t xml:space="preserve"> these benefits to become available GDPR legislation requires that patients are consented to use </w:t>
            </w:r>
            <w:proofErr w:type="spellStart"/>
            <w:r w:rsidR="00A77EA5" w:rsidRPr="008E780B">
              <w:rPr>
                <w:rFonts w:eastAsiaTheme="minorHAnsi" w:cs="Arial"/>
                <w:bCs w:val="0"/>
                <w:szCs w:val="24"/>
              </w:rPr>
              <w:t>CFHealthHub</w:t>
            </w:r>
            <w:proofErr w:type="spellEnd"/>
            <w:r w:rsidR="00A77EA5" w:rsidRPr="008E780B">
              <w:rPr>
                <w:rFonts w:eastAsiaTheme="minorHAnsi" w:cs="Arial"/>
                <w:bCs w:val="0"/>
                <w:szCs w:val="24"/>
              </w:rPr>
              <w:t xml:space="preserve"> and system change requires that the necessary equipment is provided along with cascaded training </w:t>
            </w:r>
            <w:r w:rsidR="00A77EA5" w:rsidRPr="008E780B">
              <w:rPr>
                <w:rFonts w:eastAsiaTheme="minorHAnsi" w:cs="Arial"/>
                <w:bCs w:val="0"/>
                <w:szCs w:val="24"/>
              </w:rPr>
              <w:lastRenderedPageBreak/>
              <w:t xml:space="preserve">so that units reach a tipping point where clinical care shifts from </w:t>
            </w:r>
            <w:r w:rsidR="0037141C" w:rsidRPr="008E780B">
              <w:rPr>
                <w:rFonts w:eastAsiaTheme="minorHAnsi" w:cs="Arial"/>
                <w:bCs w:val="0"/>
                <w:szCs w:val="24"/>
              </w:rPr>
              <w:t>hospital-based</w:t>
            </w:r>
            <w:r w:rsidR="00A77EA5" w:rsidRPr="008E780B">
              <w:rPr>
                <w:rFonts w:eastAsiaTheme="minorHAnsi" w:cs="Arial"/>
                <w:bCs w:val="0"/>
                <w:szCs w:val="24"/>
              </w:rPr>
              <w:t xml:space="preserve"> rescue to </w:t>
            </w:r>
            <w:r w:rsidR="0037141C" w:rsidRPr="008E780B">
              <w:rPr>
                <w:rFonts w:eastAsiaTheme="minorHAnsi" w:cs="Arial"/>
                <w:bCs w:val="0"/>
                <w:szCs w:val="24"/>
              </w:rPr>
              <w:t>community-based</w:t>
            </w:r>
            <w:r w:rsidR="00A77EA5" w:rsidRPr="008E780B">
              <w:rPr>
                <w:rFonts w:eastAsiaTheme="minorHAnsi" w:cs="Arial"/>
                <w:bCs w:val="0"/>
                <w:szCs w:val="24"/>
              </w:rPr>
              <w:t xml:space="preserve"> prevention. The CQUIN enables the creation of a CF wide improvement collaborative that will drive the necessary change that is already well advanced in the units already in the improvement collaborative (Southampton, Nottingham and Sheffield).</w:t>
            </w:r>
          </w:p>
          <w:p w14:paraId="1EB31B90"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 xml:space="preserve">Evidence supporting intervention </w:t>
            </w:r>
          </w:p>
          <w:p w14:paraId="58352180" w14:textId="77777777" w:rsidR="00C16B1D" w:rsidRPr="008E780B" w:rsidRDefault="00C16B1D" w:rsidP="00C16B1D">
            <w:pPr>
              <w:spacing w:after="200" w:line="276" w:lineRule="auto"/>
              <w:ind w:left="720" w:hanging="720"/>
              <w:rPr>
                <w:rFonts w:eastAsiaTheme="minorHAnsi" w:cs="Arial"/>
                <w:b/>
                <w:bCs w:val="0"/>
                <w:szCs w:val="24"/>
              </w:rPr>
            </w:pPr>
            <w:r w:rsidRPr="008E780B">
              <w:rPr>
                <w:rFonts w:eastAsiaTheme="minorHAnsi" w:cs="Arial"/>
                <w:bCs w:val="0"/>
                <w:szCs w:val="24"/>
              </w:rPr>
              <w:t>•</w:t>
            </w:r>
            <w:r w:rsidRPr="008E780B">
              <w:rPr>
                <w:rFonts w:eastAsiaTheme="minorHAnsi" w:cs="Arial"/>
                <w:bCs w:val="0"/>
                <w:szCs w:val="24"/>
              </w:rPr>
              <w:tab/>
              <w:t xml:space="preserve">Median adherence to preventative therapy in people with CF (PWCF) is 36% (Daniels et al Chest 2011; 140:425–432). </w:t>
            </w:r>
          </w:p>
          <w:p w14:paraId="09532291" w14:textId="77777777" w:rsidR="00C16B1D" w:rsidRPr="008E780B"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w:t>
            </w:r>
            <w:r w:rsidRPr="008E780B">
              <w:rPr>
                <w:rFonts w:eastAsiaTheme="minorHAnsi" w:cs="Arial"/>
                <w:bCs w:val="0"/>
                <w:szCs w:val="24"/>
              </w:rPr>
              <w:tab/>
              <w:t>When adherence to preventative therapy in PWCF is poor exacerbations increase along with health care costs which are predominantly driven by hospital admissions for rescue therapy (</w:t>
            </w:r>
            <w:proofErr w:type="spellStart"/>
            <w:r w:rsidRPr="008E780B">
              <w:rPr>
                <w:rFonts w:eastAsiaTheme="minorHAnsi" w:cs="Arial"/>
                <w:bCs w:val="0"/>
                <w:szCs w:val="24"/>
              </w:rPr>
              <w:t>Quittner</w:t>
            </w:r>
            <w:proofErr w:type="spellEnd"/>
            <w:r w:rsidRPr="008E780B">
              <w:rPr>
                <w:rFonts w:eastAsiaTheme="minorHAnsi" w:cs="Arial"/>
                <w:bCs w:val="0"/>
                <w:szCs w:val="24"/>
              </w:rPr>
              <w:t xml:space="preserve"> et al Chest </w:t>
            </w:r>
            <w:proofErr w:type="gramStart"/>
            <w:r w:rsidRPr="008E780B">
              <w:rPr>
                <w:rFonts w:eastAsiaTheme="minorHAnsi" w:cs="Arial"/>
                <w:bCs w:val="0"/>
                <w:szCs w:val="24"/>
              </w:rPr>
              <w:t>2014;146:142</w:t>
            </w:r>
            <w:proofErr w:type="gramEnd"/>
            <w:r w:rsidRPr="008E780B">
              <w:rPr>
                <w:rFonts w:eastAsiaTheme="minorHAnsi" w:cs="Arial"/>
                <w:bCs w:val="0"/>
                <w:szCs w:val="24"/>
              </w:rPr>
              <w:t xml:space="preserve"> -151). </w:t>
            </w:r>
          </w:p>
          <w:p w14:paraId="5561B9D7" w14:textId="77777777" w:rsidR="00C16B1D"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 xml:space="preserve">Health economic modelling suggests that interventions in adults with CF that improve adherence have the potential to save £49.5 million in just the 2,979 adults with chronic pseudomonas over a 5-year </w:t>
            </w:r>
            <w:proofErr w:type="gramStart"/>
            <w:r w:rsidRPr="008E780B">
              <w:rPr>
                <w:rFonts w:eastAsiaTheme="minorHAnsi" w:cs="Arial"/>
                <w:bCs w:val="0"/>
                <w:szCs w:val="24"/>
              </w:rPr>
              <w:t>period .Savings</w:t>
            </w:r>
            <w:proofErr w:type="gramEnd"/>
            <w:r w:rsidRPr="008E780B">
              <w:rPr>
                <w:rFonts w:eastAsiaTheme="minorHAnsi" w:cs="Arial"/>
                <w:bCs w:val="0"/>
                <w:szCs w:val="24"/>
              </w:rPr>
              <w:t xml:space="preserve"> might be closer to £100 million if modelled across all 6000 adults with CF (</w:t>
            </w:r>
            <w:proofErr w:type="spellStart"/>
            <w:r w:rsidRPr="008E780B">
              <w:rPr>
                <w:rFonts w:eastAsiaTheme="minorHAnsi" w:cs="Arial"/>
                <w:bCs w:val="0"/>
                <w:szCs w:val="24"/>
              </w:rPr>
              <w:t>Tappenden</w:t>
            </w:r>
            <w:proofErr w:type="spellEnd"/>
            <w:r w:rsidRPr="008E780B">
              <w:rPr>
                <w:rFonts w:eastAsiaTheme="minorHAnsi" w:cs="Arial"/>
                <w:bCs w:val="0"/>
                <w:szCs w:val="24"/>
              </w:rPr>
              <w:t xml:space="preserve"> et al </w:t>
            </w:r>
            <w:proofErr w:type="spellStart"/>
            <w:r w:rsidRPr="008E780B">
              <w:rPr>
                <w:rFonts w:eastAsiaTheme="minorHAnsi" w:cs="Arial"/>
                <w:bCs w:val="0"/>
                <w:szCs w:val="24"/>
              </w:rPr>
              <w:t>PharmacoEconomics</w:t>
            </w:r>
            <w:proofErr w:type="spellEnd"/>
            <w:r w:rsidRPr="008E780B">
              <w:rPr>
                <w:rFonts w:eastAsiaTheme="minorHAnsi" w:cs="Arial"/>
                <w:bCs w:val="0"/>
                <w:szCs w:val="24"/>
              </w:rPr>
              <w:t xml:space="preserve"> 2017; 35:647–659).</w:t>
            </w:r>
          </w:p>
          <w:p w14:paraId="21234A8B" w14:textId="77777777" w:rsidR="00C16B1D" w:rsidRPr="008E780B" w:rsidRDefault="00C16B1D" w:rsidP="00C16B1D">
            <w:pPr>
              <w:spacing w:after="200" w:line="276" w:lineRule="auto"/>
              <w:ind w:left="720"/>
              <w:contextualSpacing/>
              <w:rPr>
                <w:rFonts w:eastAsiaTheme="minorHAnsi" w:cs="Arial"/>
                <w:bCs w:val="0"/>
                <w:szCs w:val="24"/>
              </w:rPr>
            </w:pPr>
          </w:p>
          <w:p w14:paraId="61EF7D60" w14:textId="77777777" w:rsidR="00C16B1D"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 xml:space="preserve">Patients who have the knowledge, skills and self-efficacy to self-manage and maintain self-management over time despite the challenge of changing circumstances have been shown to have better outcomes including a reduced need for unscheduled care (Kinney et al Patient </w:t>
            </w:r>
            <w:proofErr w:type="spellStart"/>
            <w:r w:rsidRPr="008E780B">
              <w:rPr>
                <w:rFonts w:eastAsiaTheme="minorHAnsi" w:cs="Arial"/>
                <w:bCs w:val="0"/>
                <w:szCs w:val="24"/>
              </w:rPr>
              <w:t>Educ</w:t>
            </w:r>
            <w:proofErr w:type="spellEnd"/>
            <w:r w:rsidRPr="008E780B">
              <w:rPr>
                <w:rFonts w:eastAsiaTheme="minorHAnsi" w:cs="Arial"/>
                <w:bCs w:val="0"/>
                <w:szCs w:val="24"/>
              </w:rPr>
              <w:t xml:space="preserve"> </w:t>
            </w:r>
            <w:proofErr w:type="spellStart"/>
            <w:r w:rsidRPr="008E780B">
              <w:rPr>
                <w:rFonts w:eastAsiaTheme="minorHAnsi" w:cs="Arial"/>
                <w:bCs w:val="0"/>
                <w:szCs w:val="24"/>
              </w:rPr>
              <w:t>Couns</w:t>
            </w:r>
            <w:proofErr w:type="spellEnd"/>
            <w:r w:rsidRPr="008E780B">
              <w:rPr>
                <w:rFonts w:eastAsiaTheme="minorHAnsi" w:cs="Arial"/>
                <w:bCs w:val="0"/>
                <w:szCs w:val="24"/>
              </w:rPr>
              <w:t xml:space="preserve"> 2015; 98:545-552.)  </w:t>
            </w:r>
          </w:p>
          <w:p w14:paraId="3BA9C5A2" w14:textId="77777777" w:rsidR="00C16B1D" w:rsidRPr="008E780B" w:rsidRDefault="00C16B1D" w:rsidP="00C16B1D">
            <w:pPr>
              <w:spacing w:after="200" w:line="276" w:lineRule="auto"/>
              <w:ind w:left="720"/>
              <w:contextualSpacing/>
              <w:rPr>
                <w:rFonts w:eastAsiaTheme="minorHAnsi" w:cs="Arial"/>
                <w:bCs w:val="0"/>
                <w:szCs w:val="24"/>
              </w:rPr>
            </w:pPr>
          </w:p>
          <w:p w14:paraId="7D9C2B87" w14:textId="77777777" w:rsidR="00A77EA5"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Meta-analysis has demonstrated that feedback of adherence data alongside cognitive-educational components can increase adherence by around 20% (</w:t>
            </w:r>
            <w:proofErr w:type="spellStart"/>
            <w:r w:rsidRPr="008E780B">
              <w:rPr>
                <w:rFonts w:eastAsiaTheme="minorHAnsi" w:cs="Arial"/>
                <w:bCs w:val="0"/>
                <w:szCs w:val="24"/>
              </w:rPr>
              <w:t>Demonceau</w:t>
            </w:r>
            <w:proofErr w:type="spellEnd"/>
            <w:r w:rsidRPr="008E780B">
              <w:rPr>
                <w:rFonts w:eastAsiaTheme="minorHAnsi" w:cs="Arial"/>
                <w:bCs w:val="0"/>
                <w:szCs w:val="24"/>
              </w:rPr>
              <w:t xml:space="preserve"> et al Drugs 2013; 73:545–562).</w:t>
            </w:r>
          </w:p>
          <w:p w14:paraId="658F5153" w14:textId="77777777" w:rsidR="00A77EA5" w:rsidRPr="008E780B" w:rsidRDefault="00A77EA5" w:rsidP="00A77EA5">
            <w:pPr>
              <w:pStyle w:val="ListParagraph"/>
              <w:rPr>
                <w:rFonts w:eastAsiaTheme="minorHAnsi" w:cs="Arial"/>
                <w:bCs w:val="0"/>
                <w:szCs w:val="24"/>
              </w:rPr>
            </w:pPr>
          </w:p>
          <w:p w14:paraId="4B6C18DD" w14:textId="77777777" w:rsidR="00A77EA5"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 xml:space="preserve">Habit is important to sustain self-care, with studies suggesting that habit may be a better predictor of long-term medication adherence than conscious motivational factors (Phillips et al J </w:t>
            </w:r>
            <w:proofErr w:type="spellStart"/>
            <w:r w:rsidRPr="008E780B">
              <w:rPr>
                <w:rFonts w:eastAsiaTheme="minorHAnsi" w:cs="Arial"/>
                <w:bCs w:val="0"/>
                <w:szCs w:val="24"/>
              </w:rPr>
              <w:t>Behav</w:t>
            </w:r>
            <w:proofErr w:type="spellEnd"/>
            <w:r w:rsidRPr="008E780B">
              <w:rPr>
                <w:rFonts w:eastAsiaTheme="minorHAnsi" w:cs="Arial"/>
                <w:bCs w:val="0"/>
                <w:szCs w:val="24"/>
              </w:rPr>
              <w:t xml:space="preserve"> Med 2016; 39:1076–1091). </w:t>
            </w:r>
          </w:p>
          <w:p w14:paraId="3B25CD8E" w14:textId="77777777" w:rsidR="00A77EA5" w:rsidRPr="008E780B" w:rsidRDefault="00A77EA5" w:rsidP="00A77EA5">
            <w:pPr>
              <w:pStyle w:val="ListParagraph"/>
              <w:rPr>
                <w:rFonts w:eastAsiaTheme="minorHAnsi" w:cs="Arial"/>
                <w:bCs w:val="0"/>
                <w:szCs w:val="24"/>
              </w:rPr>
            </w:pPr>
          </w:p>
          <w:p w14:paraId="344BA238" w14:textId="77777777" w:rsidR="00A77EA5"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Studies among PWCF have shown that high adherers have higher habit scores than low adherers (</w:t>
            </w:r>
            <w:proofErr w:type="spellStart"/>
            <w:r w:rsidRPr="008E780B">
              <w:rPr>
                <w:rFonts w:eastAsiaTheme="minorHAnsi" w:cs="Arial"/>
                <w:bCs w:val="0"/>
                <w:szCs w:val="24"/>
              </w:rPr>
              <w:t>Hoo</w:t>
            </w:r>
            <w:proofErr w:type="spellEnd"/>
            <w:r w:rsidRPr="008E780B">
              <w:rPr>
                <w:rFonts w:eastAsiaTheme="minorHAnsi" w:cs="Arial"/>
                <w:bCs w:val="0"/>
                <w:szCs w:val="24"/>
              </w:rPr>
              <w:t xml:space="preserve"> et al Thorax </w:t>
            </w:r>
            <w:proofErr w:type="gramStart"/>
            <w:r w:rsidRPr="008E780B">
              <w:rPr>
                <w:rFonts w:eastAsiaTheme="minorHAnsi" w:cs="Arial"/>
                <w:bCs w:val="0"/>
                <w:szCs w:val="24"/>
              </w:rPr>
              <w:t>2018;[</w:t>
            </w:r>
            <w:proofErr w:type="spellStart"/>
            <w:proofErr w:type="gramEnd"/>
            <w:r w:rsidRPr="008E780B">
              <w:rPr>
                <w:rFonts w:eastAsiaTheme="minorHAnsi" w:cs="Arial"/>
                <w:bCs w:val="0"/>
                <w:szCs w:val="24"/>
              </w:rPr>
              <w:t>Epub</w:t>
            </w:r>
            <w:proofErr w:type="spellEnd"/>
            <w:r w:rsidRPr="008E780B">
              <w:rPr>
                <w:rFonts w:eastAsiaTheme="minorHAnsi" w:cs="Arial"/>
                <w:bCs w:val="0"/>
                <w:szCs w:val="24"/>
              </w:rPr>
              <w:t xml:space="preserve"> ahead of print], </w:t>
            </w:r>
            <w:proofErr w:type="spellStart"/>
            <w:r w:rsidRPr="008E780B">
              <w:rPr>
                <w:rFonts w:eastAsiaTheme="minorHAnsi" w:cs="Arial"/>
                <w:bCs w:val="0"/>
                <w:szCs w:val="24"/>
              </w:rPr>
              <w:t>Hoo</w:t>
            </w:r>
            <w:proofErr w:type="spellEnd"/>
            <w:r w:rsidRPr="008E780B">
              <w:rPr>
                <w:rFonts w:eastAsiaTheme="minorHAnsi" w:cs="Arial"/>
                <w:bCs w:val="0"/>
                <w:szCs w:val="24"/>
              </w:rPr>
              <w:t xml:space="preserve"> et al Health </w:t>
            </w:r>
            <w:proofErr w:type="spellStart"/>
            <w:r w:rsidRPr="008E780B">
              <w:rPr>
                <w:rFonts w:eastAsiaTheme="minorHAnsi" w:cs="Arial"/>
                <w:bCs w:val="0"/>
                <w:szCs w:val="24"/>
              </w:rPr>
              <w:t>Psychol</w:t>
            </w:r>
            <w:proofErr w:type="spellEnd"/>
            <w:r w:rsidRPr="008E780B">
              <w:rPr>
                <w:rFonts w:eastAsiaTheme="minorHAnsi" w:cs="Arial"/>
                <w:bCs w:val="0"/>
                <w:szCs w:val="24"/>
              </w:rPr>
              <w:t xml:space="preserve"> </w:t>
            </w:r>
            <w:proofErr w:type="spellStart"/>
            <w:r w:rsidRPr="008E780B">
              <w:rPr>
                <w:rFonts w:eastAsiaTheme="minorHAnsi" w:cs="Arial"/>
                <w:bCs w:val="0"/>
                <w:szCs w:val="24"/>
              </w:rPr>
              <w:t>Behav</w:t>
            </w:r>
            <w:proofErr w:type="spellEnd"/>
            <w:r w:rsidRPr="008E780B">
              <w:rPr>
                <w:rFonts w:eastAsiaTheme="minorHAnsi" w:cs="Arial"/>
                <w:bCs w:val="0"/>
                <w:szCs w:val="24"/>
              </w:rPr>
              <w:t xml:space="preserve"> Med 2017;5:299–316) </w:t>
            </w:r>
          </w:p>
          <w:p w14:paraId="30C6E6A1" w14:textId="549B0BD2" w:rsidR="00C16B1D" w:rsidRPr="008E780B" w:rsidRDefault="00C16B1D" w:rsidP="00A77EA5">
            <w:pPr>
              <w:spacing w:after="200" w:line="276" w:lineRule="auto"/>
              <w:ind w:left="720"/>
              <w:contextualSpacing/>
              <w:rPr>
                <w:rFonts w:eastAsiaTheme="minorHAnsi" w:cs="Arial"/>
                <w:bCs w:val="0"/>
                <w:szCs w:val="24"/>
              </w:rPr>
            </w:pPr>
            <w:r w:rsidRPr="008E780B">
              <w:rPr>
                <w:rFonts w:eastAsiaTheme="minorHAnsi" w:cs="Arial"/>
                <w:bCs w:val="0"/>
                <w:szCs w:val="24"/>
              </w:rPr>
              <w:t xml:space="preserve"> </w:t>
            </w:r>
          </w:p>
          <w:p w14:paraId="598A7D29" w14:textId="77777777" w:rsidR="00C16B1D"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Meta-analysis level data shows implementation plans to be effective in supporting behavioural enactment which is a building block of habit formation. (Gollwitzer, P. M., &amp; Sheeran, P. (2006). Advances in Experimental Social Psychology, 38, 69)</w:t>
            </w:r>
          </w:p>
          <w:p w14:paraId="30F08375" w14:textId="77777777" w:rsidR="00C16B1D" w:rsidRPr="008E780B" w:rsidRDefault="00C16B1D" w:rsidP="00C16B1D">
            <w:pPr>
              <w:spacing w:after="200" w:line="276" w:lineRule="auto"/>
              <w:ind w:left="720"/>
              <w:contextualSpacing/>
              <w:rPr>
                <w:rFonts w:eastAsiaTheme="minorHAnsi" w:cs="Arial"/>
                <w:bCs w:val="0"/>
                <w:szCs w:val="24"/>
              </w:rPr>
            </w:pPr>
          </w:p>
          <w:p w14:paraId="15EFF91F" w14:textId="77777777" w:rsidR="00C16B1D" w:rsidRPr="008E780B" w:rsidRDefault="00C16B1D" w:rsidP="0003373B">
            <w:pPr>
              <w:numPr>
                <w:ilvl w:val="0"/>
                <w:numId w:val="9"/>
              </w:numPr>
              <w:spacing w:after="200" w:line="276" w:lineRule="auto"/>
              <w:contextualSpacing/>
              <w:rPr>
                <w:rFonts w:eastAsiaTheme="minorHAnsi" w:cs="Arial"/>
                <w:bCs w:val="0"/>
                <w:szCs w:val="24"/>
              </w:rPr>
            </w:pPr>
            <w:r w:rsidRPr="008E780B">
              <w:rPr>
                <w:rFonts w:eastAsiaTheme="minorHAnsi" w:cs="Arial"/>
                <w:bCs w:val="0"/>
                <w:szCs w:val="24"/>
              </w:rPr>
              <w:t xml:space="preserve">The Lind alliance identified that simplifying the burden of care was the </w:t>
            </w:r>
            <w:proofErr w:type="gramStart"/>
            <w:r w:rsidRPr="008E780B">
              <w:rPr>
                <w:rFonts w:eastAsiaTheme="minorHAnsi" w:cs="Arial"/>
                <w:bCs w:val="0"/>
                <w:szCs w:val="24"/>
              </w:rPr>
              <w:t>first priority</w:t>
            </w:r>
            <w:proofErr w:type="gramEnd"/>
            <w:r w:rsidRPr="008E780B">
              <w:rPr>
                <w:rFonts w:eastAsiaTheme="minorHAnsi" w:cs="Arial"/>
                <w:bCs w:val="0"/>
                <w:szCs w:val="24"/>
              </w:rPr>
              <w:t xml:space="preserve"> for people with CF. Since habits are automatic behaviours, this has the consequence that </w:t>
            </w:r>
            <w:r w:rsidRPr="008E780B">
              <w:rPr>
                <w:rFonts w:eastAsiaTheme="minorHAnsi" w:cs="Arial"/>
                <w:bCs w:val="0"/>
                <w:szCs w:val="24"/>
              </w:rPr>
              <w:lastRenderedPageBreak/>
              <w:t>sustained behaviours driven by habit are associated with much less burden than behaviours driven by will power and attention (Lind Alliance Thorax 2017;0:1–3.doi:10.1136/thoraxjnl-2017-210473)</w:t>
            </w:r>
          </w:p>
          <w:p w14:paraId="3234D708" w14:textId="77777777" w:rsidR="00C16B1D" w:rsidRPr="008E780B" w:rsidRDefault="00C16B1D" w:rsidP="00C16B1D">
            <w:pPr>
              <w:spacing w:after="200" w:line="276" w:lineRule="auto"/>
              <w:ind w:left="720"/>
              <w:contextualSpacing/>
              <w:rPr>
                <w:rFonts w:eastAsiaTheme="minorHAnsi" w:cs="Arial"/>
                <w:bCs w:val="0"/>
                <w:szCs w:val="24"/>
              </w:rPr>
            </w:pPr>
          </w:p>
          <w:p w14:paraId="5963262F" w14:textId="0567B3D1" w:rsidR="00A77EA5" w:rsidRPr="008E780B" w:rsidRDefault="00C16B1D" w:rsidP="00A77EA5">
            <w:pPr>
              <w:spacing w:after="200" w:line="276" w:lineRule="auto"/>
              <w:rPr>
                <w:rFonts w:eastAsiaTheme="minorHAnsi" w:cs="Arial"/>
                <w:b/>
                <w:bCs w:val="0"/>
                <w:szCs w:val="24"/>
              </w:rPr>
            </w:pPr>
            <w:r w:rsidRPr="008E780B">
              <w:rPr>
                <w:rFonts w:eastAsiaTheme="minorHAnsi" w:cs="Arial"/>
                <w:b/>
                <w:bCs w:val="0"/>
                <w:szCs w:val="24"/>
              </w:rPr>
              <w:t xml:space="preserve">How does the CF CQUIN deliver patient and clinician activation leading to sustained self-management that moves CF care from expensive and disruptive clinician led </w:t>
            </w:r>
            <w:r w:rsidR="0037141C" w:rsidRPr="008E780B">
              <w:rPr>
                <w:rFonts w:eastAsiaTheme="minorHAnsi" w:cs="Arial"/>
                <w:b/>
                <w:bCs w:val="0"/>
                <w:szCs w:val="24"/>
              </w:rPr>
              <w:t>hospital-based</w:t>
            </w:r>
            <w:r w:rsidRPr="008E780B">
              <w:rPr>
                <w:rFonts w:eastAsiaTheme="minorHAnsi" w:cs="Arial"/>
                <w:b/>
                <w:bCs w:val="0"/>
                <w:szCs w:val="24"/>
              </w:rPr>
              <w:t xml:space="preserve"> rescue to patient led </w:t>
            </w:r>
            <w:r w:rsidR="0037141C" w:rsidRPr="008E780B">
              <w:rPr>
                <w:rFonts w:eastAsiaTheme="minorHAnsi" w:cs="Arial"/>
                <w:b/>
                <w:bCs w:val="0"/>
                <w:szCs w:val="24"/>
              </w:rPr>
              <w:t>community-based</w:t>
            </w:r>
            <w:r w:rsidRPr="008E780B">
              <w:rPr>
                <w:rFonts w:eastAsiaTheme="minorHAnsi" w:cs="Arial"/>
                <w:b/>
                <w:bCs w:val="0"/>
                <w:szCs w:val="24"/>
              </w:rPr>
              <w:t xml:space="preserve"> prevention?  </w:t>
            </w:r>
            <w:r w:rsidR="00A77EA5" w:rsidRPr="008E780B">
              <w:rPr>
                <w:rFonts w:eastAsiaTheme="minorHAnsi" w:cs="Arial"/>
                <w:b/>
                <w:bCs w:val="0"/>
                <w:szCs w:val="24"/>
              </w:rPr>
              <w:t>Scheme characteristics</w:t>
            </w:r>
          </w:p>
          <w:p w14:paraId="19AEC170" w14:textId="4BBCBCF4" w:rsidR="00C16B1D" w:rsidRPr="008E780B" w:rsidRDefault="00C16B1D" w:rsidP="0003373B">
            <w:pPr>
              <w:pStyle w:val="ListParagraph"/>
              <w:numPr>
                <w:ilvl w:val="0"/>
                <w:numId w:val="12"/>
              </w:numPr>
              <w:spacing w:after="200" w:line="276" w:lineRule="auto"/>
              <w:rPr>
                <w:rFonts w:eastAsiaTheme="minorHAnsi" w:cs="Arial"/>
                <w:b/>
                <w:bCs w:val="0"/>
                <w:szCs w:val="24"/>
              </w:rPr>
            </w:pPr>
            <w:r w:rsidRPr="008E780B">
              <w:rPr>
                <w:rFonts w:eastAsiaTheme="minorHAnsi" w:cs="Arial"/>
                <w:bCs w:val="0"/>
                <w:szCs w:val="24"/>
              </w:rPr>
              <w:t xml:space="preserve">This scheme uses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a digital platform successfully deployed across 80% of adult CF units to deliver a complex behavioural intervention that increases clinician activation, patient activation and adherence, thus delivering better patient outcomes and avoiding costly hospital admissions. </w:t>
            </w:r>
          </w:p>
          <w:p w14:paraId="603FA2C1" w14:textId="77777777" w:rsidR="00C16B1D" w:rsidRPr="008E780B" w:rsidRDefault="00C16B1D" w:rsidP="00C16B1D">
            <w:pPr>
              <w:spacing w:after="200" w:line="276" w:lineRule="auto"/>
              <w:ind w:left="720"/>
              <w:contextualSpacing/>
              <w:rPr>
                <w:rFonts w:eastAsiaTheme="minorHAnsi" w:cs="Arial"/>
                <w:bCs w:val="0"/>
                <w:szCs w:val="24"/>
              </w:rPr>
            </w:pPr>
          </w:p>
          <w:p w14:paraId="0453A161" w14:textId="5A211DDB" w:rsidR="00C16B1D" w:rsidRPr="008E780B" w:rsidRDefault="00A77EA5" w:rsidP="0003373B">
            <w:pPr>
              <w:numPr>
                <w:ilvl w:val="0"/>
                <w:numId w:val="10"/>
              </w:numPr>
              <w:spacing w:after="200" w:line="276" w:lineRule="auto"/>
              <w:contextualSpacing/>
              <w:rPr>
                <w:rFonts w:eastAsiaTheme="minorHAnsi" w:cs="Arial"/>
                <w:bCs w:val="0"/>
                <w:szCs w:val="24"/>
              </w:rPr>
            </w:pP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provides </w:t>
            </w:r>
            <w:r w:rsidR="00C16B1D" w:rsidRPr="008E780B">
              <w:rPr>
                <w:rFonts w:eastAsiaTheme="minorHAnsi" w:cs="Arial"/>
                <w:bCs w:val="0"/>
                <w:szCs w:val="24"/>
              </w:rPr>
              <w:t>a patient facing dashboard co-produced with patients over 14 months and a clinician facing dashboard co-produced with clinicians within 3 centres over 18 months.</w:t>
            </w:r>
          </w:p>
          <w:p w14:paraId="13F9B1D8" w14:textId="77777777" w:rsidR="00C16B1D" w:rsidRPr="008E780B" w:rsidRDefault="00C16B1D" w:rsidP="00A77EA5">
            <w:pPr>
              <w:spacing w:after="200" w:line="276" w:lineRule="auto"/>
              <w:ind w:left="720"/>
              <w:contextualSpacing/>
              <w:rPr>
                <w:rFonts w:eastAsiaTheme="minorHAnsi" w:cs="Arial"/>
                <w:bCs w:val="0"/>
                <w:szCs w:val="24"/>
              </w:rPr>
            </w:pPr>
          </w:p>
          <w:p w14:paraId="1762C2DC" w14:textId="209585BA" w:rsidR="00C16B1D" w:rsidRPr="008E780B" w:rsidRDefault="00C16B1D" w:rsidP="00C16B1D">
            <w:pPr>
              <w:spacing w:after="200" w:line="276" w:lineRule="auto"/>
              <w:ind w:left="720" w:hanging="360"/>
              <w:rPr>
                <w:rFonts w:eastAsiaTheme="minorHAnsi" w:cs="Arial"/>
                <w:bCs w:val="0"/>
                <w:szCs w:val="24"/>
              </w:rPr>
            </w:pPr>
            <w:r w:rsidRPr="008E780B">
              <w:rPr>
                <w:rFonts w:eastAsiaTheme="minorHAnsi" w:cs="Arial"/>
                <w:bCs w:val="0"/>
                <w:szCs w:val="24"/>
              </w:rPr>
              <w:t>•</w:t>
            </w:r>
            <w:r w:rsidRPr="008E780B">
              <w:rPr>
                <w:rFonts w:eastAsiaTheme="minorHAnsi" w:cs="Arial"/>
                <w:bCs w:val="0"/>
                <w:szCs w:val="24"/>
              </w:rPr>
              <w:tab/>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has now been in continuous use since 2015 and is presently in use </w:t>
            </w:r>
            <w:proofErr w:type="gramStart"/>
            <w:r w:rsidRPr="008E780B">
              <w:rPr>
                <w:rFonts w:eastAsiaTheme="minorHAnsi" w:cs="Arial"/>
                <w:bCs w:val="0"/>
                <w:szCs w:val="24"/>
              </w:rPr>
              <w:t xml:space="preserve">in </w:t>
            </w:r>
            <w:r w:rsidR="00A77EA5" w:rsidRPr="008E780B">
              <w:rPr>
                <w:rFonts w:eastAsiaTheme="minorHAnsi" w:cs="Arial"/>
                <w:bCs w:val="0"/>
                <w:szCs w:val="24"/>
              </w:rPr>
              <w:t xml:space="preserve"> more</w:t>
            </w:r>
            <w:proofErr w:type="gramEnd"/>
            <w:r w:rsidR="00A77EA5" w:rsidRPr="008E780B">
              <w:rPr>
                <w:rFonts w:eastAsiaTheme="minorHAnsi" w:cs="Arial"/>
                <w:bCs w:val="0"/>
                <w:szCs w:val="24"/>
              </w:rPr>
              <w:t xml:space="preserve"> than 80% of </w:t>
            </w:r>
            <w:r w:rsidRPr="008E780B">
              <w:rPr>
                <w:rFonts w:eastAsiaTheme="minorHAnsi" w:cs="Arial"/>
                <w:bCs w:val="0"/>
                <w:szCs w:val="24"/>
              </w:rPr>
              <w:t>adult CF units in the UK</w:t>
            </w:r>
            <w:r w:rsidR="00A77EA5" w:rsidRPr="008E780B">
              <w:rPr>
                <w:rFonts w:eastAsiaTheme="minorHAnsi" w:cs="Arial"/>
                <w:bCs w:val="0"/>
                <w:szCs w:val="24"/>
              </w:rPr>
              <w:t xml:space="preserve">(22 out the 27 ) </w:t>
            </w:r>
            <w:r w:rsidRPr="008E780B">
              <w:rPr>
                <w:rFonts w:eastAsiaTheme="minorHAnsi" w:cs="Arial"/>
                <w:bCs w:val="0"/>
                <w:szCs w:val="24"/>
              </w:rPr>
              <w:t xml:space="preserve">, and is popular with both patients and clinical teams. </w:t>
            </w:r>
          </w:p>
          <w:p w14:paraId="42DA2360" w14:textId="77777777" w:rsidR="00C16B1D" w:rsidRPr="008E780B" w:rsidRDefault="00C16B1D" w:rsidP="0003373B">
            <w:pPr>
              <w:numPr>
                <w:ilvl w:val="0"/>
                <w:numId w:val="10"/>
              </w:numPr>
              <w:spacing w:after="200" w:line="276" w:lineRule="auto"/>
              <w:contextualSpacing/>
              <w:rPr>
                <w:rFonts w:eastAsiaTheme="minorHAnsi" w:cs="Arial"/>
                <w:bCs w:val="0"/>
                <w:szCs w:val="24"/>
              </w:rPr>
            </w:pPr>
            <w:r w:rsidRPr="008E780B">
              <w:rPr>
                <w:rFonts w:eastAsiaTheme="minorHAnsi" w:cs="Arial"/>
                <w:bCs w:val="0"/>
                <w:szCs w:val="24"/>
              </w:rPr>
              <w:t xml:space="preserve">In addition to collecting adherence data the platform provides click analytics monitoring   intervention delivery so that teams can be supported to focus on the components of the intervention that are known to be powerful such as the creation of implementation and coping plans.  </w:t>
            </w:r>
          </w:p>
          <w:p w14:paraId="438350A5" w14:textId="77777777" w:rsidR="00A77EA5" w:rsidRPr="008E780B" w:rsidRDefault="00A77EA5" w:rsidP="00A77EA5">
            <w:pPr>
              <w:spacing w:after="200" w:line="276" w:lineRule="auto"/>
              <w:ind w:left="720"/>
              <w:contextualSpacing/>
              <w:rPr>
                <w:rFonts w:eastAsiaTheme="minorHAnsi" w:cs="Arial"/>
                <w:bCs w:val="0"/>
                <w:szCs w:val="24"/>
              </w:rPr>
            </w:pPr>
          </w:p>
          <w:p w14:paraId="458BEF38" w14:textId="77777777" w:rsidR="00C16B1D" w:rsidRPr="008E780B" w:rsidRDefault="00C16B1D" w:rsidP="0003373B">
            <w:pPr>
              <w:numPr>
                <w:ilvl w:val="0"/>
                <w:numId w:val="10"/>
              </w:numPr>
              <w:spacing w:after="200" w:line="276" w:lineRule="auto"/>
              <w:contextualSpacing/>
              <w:rPr>
                <w:rFonts w:eastAsiaTheme="minorHAnsi" w:cs="Arial"/>
                <w:bCs w:val="0"/>
                <w:szCs w:val="24"/>
              </w:rPr>
            </w:pPr>
            <w:r w:rsidRPr="008E780B">
              <w:rPr>
                <w:rFonts w:eastAsiaTheme="minorHAnsi" w:cs="Arial"/>
                <w:bCs w:val="0"/>
                <w:szCs w:val="24"/>
              </w:rPr>
              <w:t xml:space="preserve">The CQUIN will allow implementation of this digitally supported improvement collaborative across adult CF units by supporting the staff that will recruit and consent patients and enable those staff to cascade training to the clinical team. The CQUIN will also provide </w:t>
            </w:r>
            <w:proofErr w:type="gramStart"/>
            <w:r w:rsidRPr="008E780B">
              <w:rPr>
                <w:rFonts w:eastAsiaTheme="minorHAnsi" w:cs="Arial"/>
                <w:bCs w:val="0"/>
                <w:szCs w:val="24"/>
              </w:rPr>
              <w:t>sufficient</w:t>
            </w:r>
            <w:proofErr w:type="gramEnd"/>
            <w:r w:rsidRPr="008E780B">
              <w:rPr>
                <w:rFonts w:eastAsiaTheme="minorHAnsi" w:cs="Arial"/>
                <w:bCs w:val="0"/>
                <w:szCs w:val="24"/>
              </w:rPr>
              <w:t xml:space="preserve"> equipment so that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data is available for the majority of patients ensuring that the system achieves tipping point and adherence support becomes embedded in usual care.</w:t>
            </w:r>
          </w:p>
          <w:p w14:paraId="3153EFBE" w14:textId="77777777" w:rsidR="00A77EA5" w:rsidRPr="008E780B" w:rsidRDefault="00A77EA5" w:rsidP="00A77EA5">
            <w:pPr>
              <w:pStyle w:val="ListParagraph"/>
              <w:rPr>
                <w:rFonts w:eastAsiaTheme="minorHAnsi" w:cs="Arial"/>
                <w:bCs w:val="0"/>
                <w:szCs w:val="24"/>
              </w:rPr>
            </w:pPr>
          </w:p>
          <w:p w14:paraId="24650CEA"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Summary of the changes of behaviour that will occur within the CQUIN</w:t>
            </w:r>
            <w:r w:rsidRPr="008E780B">
              <w:rPr>
                <w:rFonts w:eastAsiaTheme="minorHAnsi" w:cs="Arial"/>
                <w:bCs w:val="0"/>
                <w:szCs w:val="24"/>
              </w:rPr>
              <w:tab/>
              <w:t xml:space="preserve"> </w:t>
            </w:r>
          </w:p>
          <w:p w14:paraId="53AD311E" w14:textId="77777777" w:rsidR="00C16B1D" w:rsidRPr="008E780B"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1)</w:t>
            </w:r>
            <w:r w:rsidRPr="008E780B">
              <w:rPr>
                <w:rFonts w:eastAsiaTheme="minorHAnsi" w:cs="Arial"/>
                <w:bCs w:val="0"/>
                <w:szCs w:val="24"/>
              </w:rPr>
              <w:tab/>
              <w:t xml:space="preserve">Change in the skills, tools and data available to clinical teams enabling them to target structured, evidence-based interventions to support patient activation that in turn supports adherence and self-management. </w:t>
            </w:r>
          </w:p>
          <w:p w14:paraId="36422A02" w14:textId="7A6BA23B" w:rsidR="00C16B1D" w:rsidRPr="008E780B"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 xml:space="preserve">2) </w:t>
            </w:r>
            <w:r w:rsidRPr="008E780B">
              <w:rPr>
                <w:rFonts w:eastAsiaTheme="minorHAnsi" w:cs="Arial"/>
                <w:bCs w:val="0"/>
                <w:szCs w:val="24"/>
              </w:rPr>
              <w:tab/>
              <w:t xml:space="preserve">Change in the skills, tools and </w:t>
            </w:r>
            <w:r w:rsidR="0037141C" w:rsidRPr="008E780B">
              <w:rPr>
                <w:rFonts w:eastAsiaTheme="minorHAnsi" w:cs="Arial"/>
                <w:bCs w:val="0"/>
                <w:szCs w:val="24"/>
              </w:rPr>
              <w:t>data available</w:t>
            </w:r>
            <w:r w:rsidRPr="008E780B">
              <w:rPr>
                <w:rFonts w:eastAsiaTheme="minorHAnsi" w:cs="Arial"/>
                <w:bCs w:val="0"/>
                <w:szCs w:val="24"/>
              </w:rPr>
              <w:t xml:space="preserve"> to patients enabling patients to create the habits and routines to support habitual sustained self-care resulting in improved adherence to preventative therapy and consequent fall in the need for expensive treatment escalation and hospital admission</w:t>
            </w:r>
            <w:r w:rsidR="00E71FA2">
              <w:rPr>
                <w:rFonts w:eastAsiaTheme="minorHAnsi" w:cs="Arial"/>
                <w:bCs w:val="0"/>
                <w:szCs w:val="24"/>
              </w:rPr>
              <w:t>.</w:t>
            </w:r>
          </w:p>
          <w:p w14:paraId="23526DF6"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lastRenderedPageBreak/>
              <w:t>The CQUIN supports the creation of a digital learning health system that enables a community of practice to transform CF care via the following changes in practice:</w:t>
            </w:r>
          </w:p>
          <w:p w14:paraId="3840E939" w14:textId="50F04DC6" w:rsidR="00925247" w:rsidRPr="00925247" w:rsidRDefault="00C16B1D" w:rsidP="0003373B">
            <w:pPr>
              <w:pStyle w:val="ListParagraph"/>
              <w:numPr>
                <w:ilvl w:val="0"/>
                <w:numId w:val="15"/>
              </w:numPr>
              <w:rPr>
                <w:rFonts w:cs="Arial"/>
                <w:sz w:val="22"/>
                <w:szCs w:val="22"/>
              </w:rPr>
            </w:pPr>
            <w:r w:rsidRPr="00925247">
              <w:rPr>
                <w:rFonts w:eastAsiaTheme="minorHAnsi" w:cs="Arial"/>
                <w:bCs w:val="0"/>
                <w:szCs w:val="24"/>
              </w:rPr>
              <w:t xml:space="preserve">Embedding the </w:t>
            </w:r>
            <w:proofErr w:type="spellStart"/>
            <w:r w:rsidRPr="00925247">
              <w:rPr>
                <w:rFonts w:eastAsiaTheme="minorHAnsi" w:cs="Arial"/>
                <w:bCs w:val="0"/>
                <w:szCs w:val="24"/>
              </w:rPr>
              <w:t>CFHealthHub</w:t>
            </w:r>
            <w:proofErr w:type="spellEnd"/>
            <w:r w:rsidRPr="00925247">
              <w:rPr>
                <w:rFonts w:eastAsiaTheme="minorHAnsi" w:cs="Arial"/>
                <w:bCs w:val="0"/>
                <w:szCs w:val="24"/>
              </w:rPr>
              <w:t xml:space="preserve"> digital platform across adult CF units making the capture of adherence data automatic and routine across all adult CF centres and at all clinical encounters.</w:t>
            </w:r>
            <w:r w:rsidR="00925247" w:rsidRPr="00925247">
              <w:rPr>
                <w:rFonts w:eastAsiaTheme="minorHAnsi" w:cs="Arial"/>
                <w:bCs w:val="0"/>
                <w:szCs w:val="24"/>
              </w:rPr>
              <w:t xml:space="preserve"> Clinician activation will achieve a tipping point ensuring that the system pays attention to prevention/patient activation in all clinics and consultations when most patients with chronic pseudomonas are active on </w:t>
            </w:r>
            <w:proofErr w:type="spellStart"/>
            <w:r w:rsidR="00925247" w:rsidRPr="00925247">
              <w:rPr>
                <w:rFonts w:eastAsiaTheme="minorHAnsi" w:cs="Arial"/>
                <w:bCs w:val="0"/>
                <w:szCs w:val="24"/>
              </w:rPr>
              <w:t>CFHealthHub</w:t>
            </w:r>
            <w:proofErr w:type="spellEnd"/>
            <w:r w:rsidR="00925247" w:rsidRPr="00925247">
              <w:rPr>
                <w:rFonts w:eastAsiaTheme="minorHAnsi" w:cs="Arial"/>
                <w:bCs w:val="0"/>
                <w:szCs w:val="24"/>
              </w:rPr>
              <w:t>. Once this point is reached, clinicians have the system open and running in all meetings and seeing poor levels of adherence is a behavioural prompt that drives clinician activation.</w:t>
            </w:r>
            <w:r w:rsidR="00925247" w:rsidRPr="00925247">
              <w:rPr>
                <w:rFonts w:cs="Arial"/>
                <w:sz w:val="22"/>
                <w:szCs w:val="22"/>
              </w:rPr>
              <w:t xml:space="preserve">  </w:t>
            </w:r>
          </w:p>
          <w:p w14:paraId="029D7C50" w14:textId="77777777" w:rsidR="00925247" w:rsidRDefault="00925247" w:rsidP="00C16B1D">
            <w:pPr>
              <w:spacing w:after="200" w:line="276" w:lineRule="auto"/>
              <w:ind w:left="720" w:hanging="720"/>
              <w:rPr>
                <w:rFonts w:eastAsiaTheme="minorHAnsi" w:cs="Arial"/>
                <w:bCs w:val="0"/>
                <w:szCs w:val="24"/>
              </w:rPr>
            </w:pPr>
          </w:p>
          <w:p w14:paraId="45B87BD9" w14:textId="7BF86090" w:rsidR="00C16B1D" w:rsidRPr="008E780B"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2)</w:t>
            </w:r>
            <w:r w:rsidRPr="008E780B">
              <w:rPr>
                <w:rFonts w:eastAsiaTheme="minorHAnsi" w:cs="Arial"/>
                <w:bCs w:val="0"/>
                <w:szCs w:val="24"/>
              </w:rPr>
              <w:tab/>
              <w:t>Providing feedback of data to patients alongside structured behaviour change strategies including implementation and coping plans that will support behaviour change aimed at habit formation and sustained behaviour change.</w:t>
            </w:r>
          </w:p>
          <w:p w14:paraId="51741D08" w14:textId="2F0E4C70" w:rsidR="00C16B1D"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3)</w:t>
            </w:r>
            <w:r w:rsidRPr="008E780B">
              <w:rPr>
                <w:rFonts w:eastAsiaTheme="minorHAnsi" w:cs="Arial"/>
                <w:bCs w:val="0"/>
                <w:szCs w:val="24"/>
              </w:rPr>
              <w:tab/>
              <w:t>Providing unit level adherence data to allow units to start to benchmark across the whole system supporting sharing of good practice within an improvement collaborative with alternate week improvement calls and quarterly improvement collaborative meetings.</w:t>
            </w:r>
          </w:p>
          <w:p w14:paraId="52972952" w14:textId="77777777" w:rsidR="00925247" w:rsidRPr="008E780B" w:rsidRDefault="00925247" w:rsidP="00C16B1D">
            <w:pPr>
              <w:spacing w:after="200" w:line="276" w:lineRule="auto"/>
              <w:ind w:left="720" w:hanging="720"/>
              <w:rPr>
                <w:rFonts w:eastAsiaTheme="minorHAnsi" w:cs="Arial"/>
                <w:bCs w:val="0"/>
                <w:szCs w:val="24"/>
              </w:rPr>
            </w:pPr>
          </w:p>
          <w:p w14:paraId="6E8A96A4" w14:textId="41C037ED" w:rsidR="00C16B1D" w:rsidRPr="008E780B" w:rsidRDefault="00C16B1D" w:rsidP="00C16B1D">
            <w:pPr>
              <w:spacing w:after="200" w:line="276" w:lineRule="auto"/>
              <w:ind w:left="720" w:hanging="720"/>
              <w:rPr>
                <w:rFonts w:eastAsiaTheme="minorHAnsi" w:cs="Arial"/>
                <w:b/>
                <w:bCs w:val="0"/>
                <w:szCs w:val="24"/>
              </w:rPr>
            </w:pPr>
            <w:r w:rsidRPr="008E780B">
              <w:rPr>
                <w:rFonts w:eastAsiaTheme="minorHAnsi" w:cs="Arial"/>
                <w:b/>
                <w:bCs w:val="0"/>
                <w:szCs w:val="24"/>
              </w:rPr>
              <w:t xml:space="preserve">Real time </w:t>
            </w:r>
            <w:r w:rsidR="001D0C44">
              <w:rPr>
                <w:rFonts w:eastAsiaTheme="minorHAnsi" w:cs="Arial"/>
                <w:b/>
                <w:bCs w:val="0"/>
                <w:szCs w:val="24"/>
              </w:rPr>
              <w:t xml:space="preserve">objective </w:t>
            </w:r>
            <w:r w:rsidRPr="008E780B">
              <w:rPr>
                <w:rFonts w:eastAsiaTheme="minorHAnsi" w:cs="Arial"/>
                <w:b/>
                <w:bCs w:val="0"/>
                <w:szCs w:val="24"/>
              </w:rPr>
              <w:t>adherence data for high cost inhaled therapies allows continuous medicines optimisation</w:t>
            </w:r>
          </w:p>
          <w:p w14:paraId="55C21081" w14:textId="5A3AE729" w:rsidR="00C16B1D" w:rsidRPr="008E780B" w:rsidRDefault="00C16B1D" w:rsidP="0003373B">
            <w:pPr>
              <w:numPr>
                <w:ilvl w:val="0"/>
                <w:numId w:val="11"/>
              </w:numPr>
              <w:spacing w:after="200" w:line="276" w:lineRule="auto"/>
              <w:contextualSpacing/>
              <w:rPr>
                <w:rFonts w:eastAsiaTheme="minorHAnsi" w:cs="Arial"/>
                <w:bCs w:val="0"/>
                <w:szCs w:val="24"/>
              </w:rPr>
            </w:pPr>
            <w:r w:rsidRPr="008E780B">
              <w:rPr>
                <w:rFonts w:eastAsiaTheme="minorHAnsi" w:cs="Arial"/>
                <w:bCs w:val="0"/>
                <w:szCs w:val="24"/>
              </w:rPr>
              <w:t xml:space="preserve">Commissioning guidelines allow patients deteriorating on cheaper first inhaled </w:t>
            </w:r>
            <w:r w:rsidR="00A77EA5" w:rsidRPr="008E780B">
              <w:rPr>
                <w:rFonts w:eastAsiaTheme="minorHAnsi" w:cs="Arial"/>
                <w:bCs w:val="0"/>
                <w:szCs w:val="24"/>
              </w:rPr>
              <w:t>therapies to</w:t>
            </w:r>
            <w:r w:rsidRPr="008E780B">
              <w:rPr>
                <w:rFonts w:eastAsiaTheme="minorHAnsi" w:cs="Arial"/>
                <w:bCs w:val="0"/>
                <w:szCs w:val="24"/>
              </w:rPr>
              <w:t xml:space="preserve"> be escalated to aztreonam and levofloxacin at £12k per patient per year.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provides objective adherence data to ensure treatment failure is not due to poor adherence </w:t>
            </w:r>
          </w:p>
          <w:p w14:paraId="11001988" w14:textId="4B66C483" w:rsidR="00C16B1D" w:rsidRPr="008E780B" w:rsidRDefault="00C16B1D" w:rsidP="0003373B">
            <w:pPr>
              <w:numPr>
                <w:ilvl w:val="0"/>
                <w:numId w:val="11"/>
              </w:numPr>
              <w:spacing w:after="200" w:line="276" w:lineRule="auto"/>
              <w:contextualSpacing/>
              <w:rPr>
                <w:rFonts w:eastAsiaTheme="minorHAnsi" w:cs="Arial"/>
                <w:bCs w:val="0"/>
                <w:szCs w:val="24"/>
              </w:rPr>
            </w:pPr>
            <w:r w:rsidRPr="008E780B">
              <w:rPr>
                <w:rFonts w:eastAsiaTheme="minorHAnsi" w:cs="Arial"/>
                <w:bCs w:val="0"/>
                <w:szCs w:val="24"/>
              </w:rPr>
              <w:t xml:space="preserve">Medicine possession ratio for wet nebulisers is around 65% but time &amp; date stamped data indicate that </w:t>
            </w:r>
            <w:r w:rsidR="0037141C" w:rsidRPr="008E780B">
              <w:rPr>
                <w:rFonts w:eastAsiaTheme="minorHAnsi" w:cs="Arial"/>
                <w:bCs w:val="0"/>
                <w:szCs w:val="24"/>
              </w:rPr>
              <w:t>only around</w:t>
            </w:r>
            <w:r w:rsidRPr="008E780B">
              <w:rPr>
                <w:rFonts w:eastAsiaTheme="minorHAnsi" w:cs="Arial"/>
                <w:bCs w:val="0"/>
                <w:szCs w:val="24"/>
              </w:rPr>
              <w:t xml:space="preserve"> 35% of drugs are </w:t>
            </w:r>
            <w:proofErr w:type="gramStart"/>
            <w:r w:rsidRPr="008E780B">
              <w:rPr>
                <w:rFonts w:eastAsiaTheme="minorHAnsi" w:cs="Arial"/>
                <w:bCs w:val="0"/>
                <w:szCs w:val="24"/>
              </w:rPr>
              <w:t>actually used</w:t>
            </w:r>
            <w:proofErr w:type="gramEnd"/>
            <w:r w:rsidRPr="008E780B">
              <w:rPr>
                <w:rFonts w:eastAsiaTheme="minorHAnsi" w:cs="Arial"/>
                <w:bCs w:val="0"/>
                <w:szCs w:val="24"/>
              </w:rPr>
              <w:t xml:space="preserve">. </w:t>
            </w:r>
            <w:proofErr w:type="spellStart"/>
            <w:r w:rsidRPr="008E780B">
              <w:rPr>
                <w:rFonts w:eastAsiaTheme="minorHAnsi" w:cs="Arial"/>
                <w:bCs w:val="0"/>
                <w:szCs w:val="24"/>
              </w:rPr>
              <w:t>CFHealthHub</w:t>
            </w:r>
            <w:proofErr w:type="spellEnd"/>
            <w:r w:rsidRPr="008E780B">
              <w:rPr>
                <w:rFonts w:eastAsiaTheme="minorHAnsi" w:cs="Arial"/>
                <w:bCs w:val="0"/>
                <w:szCs w:val="24"/>
              </w:rPr>
              <w:t xml:space="preserve"> can support the development of systems that harmonize drug delivery with actual drug use saving significant sums of money. </w:t>
            </w:r>
          </w:p>
          <w:p w14:paraId="4BE022C3" w14:textId="77777777" w:rsidR="00C16B1D" w:rsidRPr="008E780B" w:rsidRDefault="00C16B1D" w:rsidP="00C16B1D">
            <w:pPr>
              <w:spacing w:after="200" w:line="276" w:lineRule="auto"/>
              <w:rPr>
                <w:rFonts w:eastAsiaTheme="minorHAnsi" w:cs="Arial"/>
                <w:b/>
                <w:bCs w:val="0"/>
                <w:szCs w:val="24"/>
              </w:rPr>
            </w:pPr>
            <w:r w:rsidRPr="008E780B">
              <w:rPr>
                <w:rFonts w:eastAsiaTheme="minorHAnsi" w:cs="Arial"/>
                <w:b/>
                <w:bCs w:val="0"/>
                <w:szCs w:val="24"/>
              </w:rPr>
              <w:t>Summary</w:t>
            </w:r>
          </w:p>
          <w:p w14:paraId="70A2810F" w14:textId="77777777" w:rsidR="00C16B1D" w:rsidRPr="008E780B" w:rsidRDefault="00C16B1D" w:rsidP="00C16B1D">
            <w:pPr>
              <w:spacing w:after="200" w:line="276" w:lineRule="auto"/>
              <w:rPr>
                <w:rFonts w:eastAsiaTheme="minorHAnsi" w:cs="Arial"/>
                <w:bCs w:val="0"/>
                <w:szCs w:val="24"/>
              </w:rPr>
            </w:pPr>
            <w:r w:rsidRPr="008E780B">
              <w:rPr>
                <w:rFonts w:eastAsiaTheme="minorHAnsi" w:cs="Arial"/>
                <w:bCs w:val="0"/>
                <w:szCs w:val="24"/>
              </w:rPr>
              <w:t>•</w:t>
            </w:r>
            <w:r w:rsidRPr="008E780B">
              <w:rPr>
                <w:rFonts w:eastAsiaTheme="minorHAnsi" w:cs="Arial"/>
                <w:bCs w:val="0"/>
                <w:szCs w:val="24"/>
              </w:rPr>
              <w:tab/>
              <w:t xml:space="preserve">System change is notoriously difficult to achieve. </w:t>
            </w:r>
          </w:p>
          <w:p w14:paraId="253DFDB5" w14:textId="062E5CB0" w:rsidR="00C16B1D" w:rsidRPr="008E780B" w:rsidRDefault="00C16B1D" w:rsidP="00C16B1D">
            <w:pPr>
              <w:spacing w:after="200" w:line="276" w:lineRule="auto"/>
              <w:ind w:left="720" w:hanging="720"/>
              <w:rPr>
                <w:rFonts w:eastAsiaTheme="minorHAnsi" w:cs="Arial"/>
                <w:bCs w:val="0"/>
                <w:szCs w:val="24"/>
              </w:rPr>
            </w:pPr>
            <w:r w:rsidRPr="008E780B">
              <w:rPr>
                <w:rFonts w:eastAsiaTheme="minorHAnsi" w:cs="Arial"/>
                <w:bCs w:val="0"/>
                <w:szCs w:val="24"/>
              </w:rPr>
              <w:t>•</w:t>
            </w:r>
            <w:r w:rsidRPr="008E780B">
              <w:rPr>
                <w:rFonts w:eastAsiaTheme="minorHAnsi" w:cs="Arial"/>
                <w:bCs w:val="0"/>
                <w:szCs w:val="24"/>
              </w:rPr>
              <w:tab/>
              <w:t xml:space="preserve">This CQUIN draws on a comprehensive programme pulling together experienced health services researchers, behavioural scientists, information technologists and improvement scientists to leverage a system wide digital platform that uses state of the art behavioural science linked to real time </w:t>
            </w:r>
            <w:r w:rsidR="001D0C44">
              <w:rPr>
                <w:rFonts w:eastAsiaTheme="minorHAnsi" w:cs="Arial"/>
                <w:bCs w:val="0"/>
                <w:szCs w:val="24"/>
              </w:rPr>
              <w:t xml:space="preserve">objective </w:t>
            </w:r>
            <w:r w:rsidRPr="008E780B">
              <w:rPr>
                <w:rFonts w:eastAsiaTheme="minorHAnsi" w:cs="Arial"/>
                <w:bCs w:val="0"/>
                <w:szCs w:val="24"/>
              </w:rPr>
              <w:t>data capture and feedback to empower self-care in long term conditions by creating patient and clinician activation in terms of knowledge, skills and self-efficacy in delivering sustained prevention</w:t>
            </w:r>
            <w:r w:rsidR="0037141C" w:rsidRPr="008E780B">
              <w:rPr>
                <w:rFonts w:eastAsiaTheme="minorHAnsi" w:cs="Arial"/>
                <w:bCs w:val="0"/>
                <w:szCs w:val="24"/>
              </w:rPr>
              <w:t>.</w:t>
            </w:r>
            <w:r w:rsidRPr="008E780B">
              <w:rPr>
                <w:rFonts w:eastAsiaTheme="minorHAnsi" w:cs="Arial"/>
                <w:bCs w:val="0"/>
                <w:szCs w:val="24"/>
              </w:rPr>
              <w:t xml:space="preserve">  </w:t>
            </w:r>
          </w:p>
          <w:p w14:paraId="6EBC6DC3" w14:textId="0A09325C" w:rsidR="00234135" w:rsidRPr="00A77EA5" w:rsidRDefault="00C16B1D" w:rsidP="00A77EA5">
            <w:pPr>
              <w:spacing w:after="200" w:line="276" w:lineRule="auto"/>
              <w:ind w:left="720" w:hanging="720"/>
              <w:rPr>
                <w:rFonts w:asciiTheme="minorHAnsi" w:eastAsiaTheme="minorHAnsi" w:hAnsiTheme="minorHAnsi" w:cstheme="minorBidi"/>
                <w:bCs w:val="0"/>
                <w:sz w:val="22"/>
                <w:szCs w:val="22"/>
              </w:rPr>
            </w:pPr>
            <w:r w:rsidRPr="008E780B">
              <w:rPr>
                <w:rFonts w:eastAsiaTheme="minorHAnsi" w:cs="Arial"/>
                <w:bCs w:val="0"/>
                <w:szCs w:val="24"/>
              </w:rPr>
              <w:t>•</w:t>
            </w:r>
            <w:r w:rsidRPr="008E780B">
              <w:rPr>
                <w:rFonts w:eastAsiaTheme="minorHAnsi" w:cs="Arial"/>
                <w:bCs w:val="0"/>
                <w:szCs w:val="24"/>
              </w:rPr>
              <w:tab/>
              <w:t>Potential savings of up to £100 million are possible with the counterfactual of non-adoption leading to inevitable cos</w:t>
            </w:r>
            <w:r w:rsidR="00A77EA5" w:rsidRPr="008E780B">
              <w:rPr>
                <w:rFonts w:eastAsiaTheme="minorHAnsi" w:cs="Arial"/>
                <w:bCs w:val="0"/>
                <w:szCs w:val="24"/>
              </w:rPr>
              <w:t>t increases and demoralisation.</w:t>
            </w:r>
          </w:p>
        </w:tc>
      </w:tr>
      <w:tr w:rsidR="0026417D" w:rsidRPr="000412A1" w14:paraId="03340049" w14:textId="77777777" w:rsidTr="00427E7E">
        <w:tc>
          <w:tcPr>
            <w:tcW w:w="5000" w:type="pct"/>
            <w:gridSpan w:val="2"/>
            <w:shd w:val="clear" w:color="auto" w:fill="auto"/>
          </w:tcPr>
          <w:p w14:paraId="1E378DE7" w14:textId="7770E1ED"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21BEB3D4" w14:textId="77777777" w:rsidR="00925247" w:rsidRPr="006E49C5" w:rsidRDefault="00925247" w:rsidP="0003373B">
            <w:pPr>
              <w:pStyle w:val="ListParagraph"/>
              <w:numPr>
                <w:ilvl w:val="0"/>
                <w:numId w:val="2"/>
              </w:numPr>
              <w:spacing w:before="40" w:after="40"/>
              <w:rPr>
                <w:rFonts w:cs="Arial"/>
                <w:i/>
                <w:szCs w:val="24"/>
                <w:u w:val="single"/>
              </w:rPr>
            </w:pPr>
            <w:r w:rsidRPr="006E49C5">
              <w:rPr>
                <w:rFonts w:cs="Arial"/>
                <w:i/>
                <w:szCs w:val="24"/>
                <w:u w:val="single"/>
              </w:rPr>
              <w:lastRenderedPageBreak/>
              <w:t>the costs of the behaviour change, and the stretch involved beyond standard service quality, net of cost savings accruing to providers</w:t>
            </w:r>
          </w:p>
          <w:p w14:paraId="544B94A8" w14:textId="77777777" w:rsid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017F3182" w14:textId="5A55A5D9" w:rsidR="0065756E" w:rsidRPr="0065756E" w:rsidRDefault="0092274B" w:rsidP="00F726C2">
            <w:pPr>
              <w:spacing w:before="40" w:after="40"/>
              <w:rPr>
                <w:rFonts w:cs="Arial"/>
                <w:color w:val="000000"/>
                <w:szCs w:val="24"/>
              </w:rPr>
            </w:pPr>
            <w:r>
              <w:rPr>
                <w:rFonts w:cs="Arial"/>
                <w:color w:val="000000"/>
                <w:szCs w:val="24"/>
              </w:rPr>
              <w:t>This</w:t>
            </w:r>
            <w:r w:rsidR="0065756E" w:rsidRPr="0065756E">
              <w:rPr>
                <w:rFonts w:cs="Arial"/>
                <w:color w:val="000000"/>
                <w:szCs w:val="24"/>
              </w:rPr>
              <w:t xml:space="preserve"> CQUIN leverages £2.6 million of investment from NIHR that has brought together staff from </w:t>
            </w:r>
            <w:r>
              <w:rPr>
                <w:rFonts w:cs="Arial"/>
                <w:color w:val="000000"/>
                <w:szCs w:val="24"/>
              </w:rPr>
              <w:t xml:space="preserve">six </w:t>
            </w:r>
            <w:r w:rsidR="0065756E" w:rsidRPr="0065756E">
              <w:rPr>
                <w:rFonts w:cs="Arial"/>
                <w:color w:val="000000"/>
                <w:szCs w:val="24"/>
              </w:rPr>
              <w:t xml:space="preserve">universities and has created a technology platform that has now been in use at scale since 2015.  </w:t>
            </w:r>
            <w:r>
              <w:rPr>
                <w:rFonts w:cs="Arial"/>
                <w:color w:val="000000"/>
                <w:szCs w:val="24"/>
              </w:rPr>
              <w:t>It</w:t>
            </w:r>
            <w:r w:rsidR="0065756E" w:rsidRPr="0065756E">
              <w:rPr>
                <w:rFonts w:cs="Arial"/>
                <w:color w:val="000000"/>
                <w:szCs w:val="24"/>
              </w:rPr>
              <w:t xml:space="preserve"> builds on </w:t>
            </w:r>
            <w:r>
              <w:rPr>
                <w:rFonts w:cs="Arial"/>
                <w:color w:val="000000"/>
                <w:szCs w:val="24"/>
              </w:rPr>
              <w:t>three</w:t>
            </w:r>
            <w:r w:rsidR="0065756E" w:rsidRPr="0065756E">
              <w:rPr>
                <w:rFonts w:cs="Arial"/>
                <w:color w:val="000000"/>
                <w:szCs w:val="24"/>
              </w:rPr>
              <w:t xml:space="preserve"> previous years of CQUIN investment and</w:t>
            </w:r>
            <w:r w:rsidR="0065756E">
              <w:rPr>
                <w:rFonts w:cs="Arial"/>
                <w:color w:val="000000"/>
                <w:szCs w:val="24"/>
              </w:rPr>
              <w:t xml:space="preserve"> will take</w:t>
            </w:r>
            <w:r w:rsidR="0065756E" w:rsidRPr="0065756E">
              <w:rPr>
                <w:rFonts w:cs="Arial"/>
                <w:color w:val="000000"/>
                <w:szCs w:val="24"/>
              </w:rPr>
              <w:t xml:space="preserve"> the programme to a state where it will be sustainable</w:t>
            </w:r>
            <w:r w:rsidR="0047335D">
              <w:rPr>
                <w:rFonts w:cs="Arial"/>
                <w:color w:val="000000"/>
                <w:szCs w:val="24"/>
              </w:rPr>
              <w:t xml:space="preserve"> by reaching an implementation tipping point.</w:t>
            </w:r>
            <w:r w:rsidR="0065756E" w:rsidRPr="0065756E">
              <w:rPr>
                <w:rFonts w:cs="Arial"/>
                <w:color w:val="000000"/>
                <w:szCs w:val="24"/>
              </w:rPr>
              <w:t xml:space="preserve">  If a similar programme had been developed by a private sector technology company the costs </w:t>
            </w:r>
            <w:r w:rsidR="0065756E">
              <w:rPr>
                <w:rFonts w:cs="Arial"/>
                <w:color w:val="000000"/>
                <w:szCs w:val="24"/>
              </w:rPr>
              <w:t xml:space="preserve">to the NHS </w:t>
            </w:r>
            <w:r w:rsidR="0065756E" w:rsidRPr="0065756E">
              <w:rPr>
                <w:rFonts w:cs="Arial"/>
                <w:color w:val="000000"/>
                <w:szCs w:val="24"/>
              </w:rPr>
              <w:t xml:space="preserve">would have been much greater and on-going implementation would have extracted profit from the NHS. If the </w:t>
            </w:r>
            <w:r w:rsidR="0065756E">
              <w:rPr>
                <w:rFonts w:cs="Arial"/>
                <w:color w:val="000000"/>
                <w:szCs w:val="24"/>
              </w:rPr>
              <w:t xml:space="preserve">on-going </w:t>
            </w:r>
            <w:r w:rsidR="0065756E" w:rsidRPr="0065756E">
              <w:rPr>
                <w:rFonts w:cs="Arial"/>
                <w:color w:val="000000"/>
                <w:szCs w:val="24"/>
              </w:rPr>
              <w:t xml:space="preserve">CQUIN funding </w:t>
            </w:r>
            <w:r w:rsidR="0065756E">
              <w:rPr>
                <w:rFonts w:cs="Arial"/>
                <w:color w:val="000000"/>
                <w:szCs w:val="24"/>
              </w:rPr>
              <w:t xml:space="preserve">from 2019 </w:t>
            </w:r>
            <w:r w:rsidR="0065756E" w:rsidRPr="0065756E">
              <w:rPr>
                <w:rFonts w:cs="Arial"/>
                <w:color w:val="000000"/>
                <w:szCs w:val="24"/>
              </w:rPr>
              <w:t xml:space="preserve">is not </w:t>
            </w:r>
            <w:proofErr w:type="gramStart"/>
            <w:r w:rsidR="0065756E" w:rsidRPr="0065756E">
              <w:rPr>
                <w:rFonts w:cs="Arial"/>
                <w:color w:val="000000"/>
                <w:szCs w:val="24"/>
              </w:rPr>
              <w:t>available</w:t>
            </w:r>
            <w:proofErr w:type="gramEnd"/>
            <w:r w:rsidR="0065756E" w:rsidRPr="0065756E">
              <w:rPr>
                <w:rFonts w:cs="Arial"/>
                <w:color w:val="000000"/>
                <w:szCs w:val="24"/>
              </w:rPr>
              <w:t xml:space="preserve"> the </w:t>
            </w:r>
            <w:r>
              <w:rPr>
                <w:rFonts w:cs="Arial"/>
                <w:color w:val="000000"/>
                <w:szCs w:val="24"/>
              </w:rPr>
              <w:t>three</w:t>
            </w:r>
            <w:r w:rsidR="0065756E" w:rsidRPr="0065756E">
              <w:rPr>
                <w:rFonts w:cs="Arial"/>
                <w:color w:val="000000"/>
                <w:szCs w:val="24"/>
              </w:rPr>
              <w:t xml:space="preserve"> year CQUIN funding and </w:t>
            </w:r>
            <w:r>
              <w:rPr>
                <w:rFonts w:cs="Arial"/>
                <w:color w:val="000000"/>
                <w:szCs w:val="24"/>
              </w:rPr>
              <w:t>five</w:t>
            </w:r>
            <w:r w:rsidR="0065756E" w:rsidRPr="0065756E">
              <w:rPr>
                <w:rFonts w:cs="Arial"/>
                <w:color w:val="000000"/>
                <w:szCs w:val="24"/>
              </w:rPr>
              <w:t xml:space="preserve"> year NIHR funding will not leave a legacy and the potential </w:t>
            </w:r>
            <w:r w:rsidR="00CF2ECB">
              <w:rPr>
                <w:rFonts w:cs="Arial"/>
                <w:color w:val="000000"/>
                <w:szCs w:val="24"/>
              </w:rPr>
              <w:t>to save £100 million will be lost.</w:t>
            </w:r>
          </w:p>
          <w:p w14:paraId="6E3A456E" w14:textId="77777777" w:rsidR="00925247" w:rsidRDefault="00925247" w:rsidP="00091D3B">
            <w:pPr>
              <w:pStyle w:val="ListParagraph"/>
              <w:spacing w:before="40" w:after="40"/>
              <w:rPr>
                <w:rFonts w:cs="Arial"/>
                <w:b/>
                <w:szCs w:val="24"/>
              </w:rPr>
            </w:pPr>
          </w:p>
          <w:p w14:paraId="023FD20D" w14:textId="2C059BE4" w:rsidR="00416E27" w:rsidRPr="00925247" w:rsidRDefault="00416E27" w:rsidP="00925247">
            <w:pPr>
              <w:spacing w:before="40" w:after="40"/>
              <w:rPr>
                <w:rFonts w:cs="Arial"/>
                <w:szCs w:val="24"/>
              </w:rPr>
            </w:pPr>
            <w:r w:rsidRPr="00925247">
              <w:rPr>
                <w:rFonts w:cs="Arial"/>
                <w:b/>
                <w:szCs w:val="24"/>
              </w:rPr>
              <w:t>The rationale of the CF CQUIN is to create a learning health system that moves CF care from rescue to prevention via behaviour change accompanied by key metrics that drive change and monitor progress</w:t>
            </w:r>
            <w:r w:rsidRPr="00925247">
              <w:rPr>
                <w:rFonts w:cs="Arial"/>
                <w:szCs w:val="24"/>
              </w:rPr>
              <w:t xml:space="preserve">. </w:t>
            </w:r>
            <w:r w:rsidRPr="00925247">
              <w:rPr>
                <w:rFonts w:cs="Arial"/>
                <w:b/>
                <w:szCs w:val="24"/>
              </w:rPr>
              <w:t>RCT evidence demonstrates that adequate prevention prevents the need for rescue but that median use of prevention is only 36%</w:t>
            </w:r>
            <w:r w:rsidRPr="00925247">
              <w:rPr>
                <w:rFonts w:cs="Arial"/>
                <w:szCs w:val="24"/>
              </w:rPr>
              <w:t xml:space="preserve">. </w:t>
            </w:r>
          </w:p>
          <w:p w14:paraId="4BE355DA" w14:textId="77777777" w:rsidR="00416E27" w:rsidRPr="00925247" w:rsidRDefault="00416E27" w:rsidP="00925247">
            <w:pPr>
              <w:spacing w:before="40" w:after="40"/>
              <w:rPr>
                <w:rFonts w:cs="Arial"/>
                <w:szCs w:val="24"/>
              </w:rPr>
            </w:pPr>
            <w:r w:rsidRPr="00925247">
              <w:rPr>
                <w:rFonts w:cs="Arial"/>
                <w:szCs w:val="24"/>
              </w:rPr>
              <w:t>The CQUIN incentive funds</w:t>
            </w:r>
          </w:p>
          <w:p w14:paraId="6B6168A8" w14:textId="6437711D" w:rsidR="00416E27" w:rsidRPr="00472DD9" w:rsidRDefault="00416E27" w:rsidP="0003373B">
            <w:pPr>
              <w:pStyle w:val="ListParagraph"/>
              <w:numPr>
                <w:ilvl w:val="0"/>
                <w:numId w:val="7"/>
              </w:numPr>
              <w:spacing w:before="40" w:after="40"/>
              <w:rPr>
                <w:rFonts w:cs="Arial"/>
                <w:szCs w:val="24"/>
              </w:rPr>
            </w:pPr>
            <w:r w:rsidRPr="00472DD9">
              <w:rPr>
                <w:rFonts w:cs="Arial"/>
                <w:szCs w:val="24"/>
              </w:rPr>
              <w:t xml:space="preserve">The </w:t>
            </w:r>
            <w:proofErr w:type="spellStart"/>
            <w:r w:rsidRPr="00472DD9">
              <w:rPr>
                <w:rFonts w:cs="Arial"/>
                <w:szCs w:val="24"/>
              </w:rPr>
              <w:t>CFHealthHub</w:t>
            </w:r>
            <w:proofErr w:type="spellEnd"/>
            <w:r w:rsidRPr="00472DD9">
              <w:rPr>
                <w:rFonts w:cs="Arial"/>
                <w:szCs w:val="24"/>
              </w:rPr>
              <w:t xml:space="preserve"> platform that automatically collects data that provides date and time stamped data indicating the extent to which patients are reaching target levels of preventative therapy. If these targets are met RCT evidence tells us that exacerbation</w:t>
            </w:r>
            <w:r w:rsidR="005C2514" w:rsidRPr="00472DD9">
              <w:rPr>
                <w:rFonts w:cs="Arial"/>
                <w:szCs w:val="24"/>
              </w:rPr>
              <w:t xml:space="preserve"> rate</w:t>
            </w:r>
            <w:r w:rsidRPr="00472DD9">
              <w:rPr>
                <w:rFonts w:cs="Arial"/>
                <w:szCs w:val="24"/>
              </w:rPr>
              <w:t xml:space="preserve">s will fall, quality of life and lung function will improve </w:t>
            </w:r>
            <w:r w:rsidR="0065756E" w:rsidRPr="00472DD9">
              <w:rPr>
                <w:rFonts w:cs="Arial"/>
                <w:szCs w:val="24"/>
              </w:rPr>
              <w:t xml:space="preserve">(Ryan et al Cochrane Database </w:t>
            </w:r>
            <w:proofErr w:type="spellStart"/>
            <w:r w:rsidR="0065756E" w:rsidRPr="00472DD9">
              <w:rPr>
                <w:rFonts w:cs="Arial"/>
                <w:szCs w:val="24"/>
              </w:rPr>
              <w:t>Syst</w:t>
            </w:r>
            <w:proofErr w:type="spellEnd"/>
            <w:r w:rsidR="0065756E" w:rsidRPr="00472DD9">
              <w:rPr>
                <w:rFonts w:cs="Arial"/>
                <w:szCs w:val="24"/>
              </w:rPr>
              <w:t xml:space="preserve"> Rev 2011;3:CD</w:t>
            </w:r>
            <w:proofErr w:type="gramStart"/>
            <w:r w:rsidR="0065756E" w:rsidRPr="00472DD9">
              <w:rPr>
                <w:rFonts w:cs="Arial"/>
                <w:szCs w:val="24"/>
              </w:rPr>
              <w:t>001021 ,</w:t>
            </w:r>
            <w:proofErr w:type="gramEnd"/>
            <w:r w:rsidR="0065756E" w:rsidRPr="00472DD9">
              <w:rPr>
                <w:rFonts w:cs="Arial"/>
                <w:szCs w:val="24"/>
              </w:rPr>
              <w:t xml:space="preserve"> </w:t>
            </w:r>
            <w:proofErr w:type="spellStart"/>
            <w:r w:rsidR="0065756E" w:rsidRPr="00472DD9">
              <w:rPr>
                <w:rFonts w:cs="Arial"/>
                <w:szCs w:val="24"/>
              </w:rPr>
              <w:t>Wark</w:t>
            </w:r>
            <w:proofErr w:type="spellEnd"/>
            <w:r w:rsidR="0065756E" w:rsidRPr="00472DD9">
              <w:rPr>
                <w:rFonts w:cs="Arial"/>
                <w:szCs w:val="24"/>
              </w:rPr>
              <w:t xml:space="preserve"> &amp; McDonald Cochrane Database </w:t>
            </w:r>
            <w:proofErr w:type="spellStart"/>
            <w:r w:rsidR="0065756E" w:rsidRPr="00472DD9">
              <w:rPr>
                <w:rFonts w:cs="Arial"/>
                <w:szCs w:val="24"/>
              </w:rPr>
              <w:t>Syst</w:t>
            </w:r>
            <w:proofErr w:type="spellEnd"/>
            <w:r w:rsidR="0065756E" w:rsidRPr="00472DD9">
              <w:rPr>
                <w:rFonts w:cs="Arial"/>
                <w:szCs w:val="24"/>
              </w:rPr>
              <w:t xml:space="preserve"> Rev 2009;2:CD001506 3 Yang et al Cochrane Database </w:t>
            </w:r>
            <w:proofErr w:type="spellStart"/>
            <w:r w:rsidR="0065756E" w:rsidRPr="00472DD9">
              <w:rPr>
                <w:rFonts w:cs="Arial"/>
                <w:szCs w:val="24"/>
              </w:rPr>
              <w:t>Syst</w:t>
            </w:r>
            <w:proofErr w:type="spellEnd"/>
            <w:r w:rsidR="0065756E" w:rsidRPr="00472DD9">
              <w:rPr>
                <w:rFonts w:cs="Arial"/>
                <w:szCs w:val="24"/>
              </w:rPr>
              <w:t xml:space="preserve"> Rev 2016;4:CD001127).</w:t>
            </w:r>
          </w:p>
          <w:p w14:paraId="2C3356F7" w14:textId="792C787C" w:rsidR="00416E27" w:rsidRPr="00472DD9" w:rsidRDefault="00416E27" w:rsidP="0003373B">
            <w:pPr>
              <w:pStyle w:val="ListParagraph"/>
              <w:numPr>
                <w:ilvl w:val="0"/>
                <w:numId w:val="7"/>
              </w:numPr>
              <w:spacing w:before="40" w:after="40"/>
              <w:rPr>
                <w:rFonts w:cs="Arial"/>
                <w:szCs w:val="24"/>
              </w:rPr>
            </w:pPr>
            <w:proofErr w:type="spellStart"/>
            <w:r w:rsidRPr="00472DD9">
              <w:rPr>
                <w:rFonts w:cs="Arial"/>
                <w:szCs w:val="24"/>
              </w:rPr>
              <w:t>CFHealthHub</w:t>
            </w:r>
            <w:proofErr w:type="spellEnd"/>
            <w:r w:rsidRPr="00472DD9">
              <w:rPr>
                <w:rFonts w:cs="Arial"/>
                <w:szCs w:val="24"/>
              </w:rPr>
              <w:t xml:space="preserve"> programmers working at Farr </w:t>
            </w:r>
            <w:r w:rsidR="0037141C">
              <w:rPr>
                <w:rFonts w:cs="Arial"/>
                <w:szCs w:val="24"/>
              </w:rPr>
              <w:t>U</w:t>
            </w:r>
            <w:r w:rsidRPr="00472DD9">
              <w:rPr>
                <w:rFonts w:cs="Arial"/>
                <w:szCs w:val="24"/>
              </w:rPr>
              <w:t xml:space="preserve">niversity of Manchester who will ensure that the metrics required by centres are made available initially as bespoke reports and subsequently as routine </w:t>
            </w:r>
            <w:r w:rsidR="00356BAF" w:rsidRPr="00472DD9">
              <w:rPr>
                <w:rFonts w:cs="Arial"/>
                <w:szCs w:val="24"/>
              </w:rPr>
              <w:t>system-</w:t>
            </w:r>
            <w:r w:rsidRPr="00472DD9">
              <w:rPr>
                <w:rFonts w:cs="Arial"/>
                <w:szCs w:val="24"/>
              </w:rPr>
              <w:t xml:space="preserve">wide menus within </w:t>
            </w:r>
            <w:proofErr w:type="spellStart"/>
            <w:r w:rsidRPr="00472DD9">
              <w:rPr>
                <w:rFonts w:cs="Arial"/>
                <w:szCs w:val="24"/>
              </w:rPr>
              <w:t>CFHealthHub</w:t>
            </w:r>
            <w:proofErr w:type="spellEnd"/>
            <w:r w:rsidRPr="00472DD9">
              <w:rPr>
                <w:rFonts w:cs="Arial"/>
                <w:szCs w:val="24"/>
              </w:rPr>
              <w:t xml:space="preserve"> </w:t>
            </w:r>
          </w:p>
          <w:p w14:paraId="080DF136" w14:textId="6776A147" w:rsidR="00416E27" w:rsidRPr="00472DD9" w:rsidRDefault="00416E27" w:rsidP="0003373B">
            <w:pPr>
              <w:pStyle w:val="ListParagraph"/>
              <w:numPr>
                <w:ilvl w:val="0"/>
                <w:numId w:val="7"/>
              </w:numPr>
              <w:spacing w:before="40" w:after="40"/>
              <w:rPr>
                <w:rFonts w:cs="Arial"/>
                <w:szCs w:val="24"/>
              </w:rPr>
            </w:pPr>
            <w:r w:rsidRPr="00472DD9">
              <w:rPr>
                <w:rFonts w:cs="Arial"/>
                <w:szCs w:val="24"/>
              </w:rPr>
              <w:t xml:space="preserve">The central expertise within the national programme team to provide training for a behaviour change lead in each centre to embed </w:t>
            </w:r>
            <w:proofErr w:type="spellStart"/>
            <w:r w:rsidRPr="00472DD9">
              <w:rPr>
                <w:rFonts w:cs="Arial"/>
                <w:szCs w:val="24"/>
              </w:rPr>
              <w:t>CFHealthHub</w:t>
            </w:r>
            <w:proofErr w:type="spellEnd"/>
            <w:r w:rsidRPr="00472DD9">
              <w:rPr>
                <w:rFonts w:cs="Arial"/>
                <w:szCs w:val="24"/>
              </w:rPr>
              <w:t xml:space="preserve"> and drive the learning health system and weekly </w:t>
            </w:r>
            <w:r w:rsidR="00356BAF" w:rsidRPr="00472DD9">
              <w:rPr>
                <w:rFonts w:cs="Arial"/>
                <w:szCs w:val="24"/>
              </w:rPr>
              <w:t>system-</w:t>
            </w:r>
            <w:r w:rsidRPr="00472DD9">
              <w:rPr>
                <w:rFonts w:cs="Arial"/>
                <w:szCs w:val="24"/>
              </w:rPr>
              <w:t>wide support to create a community of practice across all adult centres.</w:t>
            </w:r>
          </w:p>
          <w:p w14:paraId="19EB6AE7" w14:textId="4D161C33" w:rsidR="00416E27" w:rsidRPr="00472DD9" w:rsidRDefault="00416E27" w:rsidP="0003373B">
            <w:pPr>
              <w:pStyle w:val="ListParagraph"/>
              <w:numPr>
                <w:ilvl w:val="0"/>
                <w:numId w:val="7"/>
              </w:numPr>
              <w:spacing w:before="40" w:after="40"/>
              <w:rPr>
                <w:rFonts w:cs="Arial"/>
                <w:szCs w:val="24"/>
              </w:rPr>
            </w:pPr>
            <w:r w:rsidRPr="00472DD9">
              <w:rPr>
                <w:rFonts w:cs="Arial"/>
                <w:szCs w:val="24"/>
              </w:rPr>
              <w:t xml:space="preserve">Salary for the behaviour change lead to ensure that they have the protected time to build capacity, habits and routine in the local system so that when the posts finish </w:t>
            </w:r>
            <w:r w:rsidR="00356BAF" w:rsidRPr="00472DD9">
              <w:rPr>
                <w:rFonts w:cs="Arial"/>
                <w:szCs w:val="24"/>
              </w:rPr>
              <w:t xml:space="preserve">in 2021, </w:t>
            </w:r>
            <w:r w:rsidRPr="00472DD9">
              <w:rPr>
                <w:rFonts w:cs="Arial"/>
                <w:szCs w:val="24"/>
              </w:rPr>
              <w:t>expertise around prevention is embedded in routine care.</w:t>
            </w:r>
          </w:p>
          <w:p w14:paraId="7E6E1723" w14:textId="57CD87F7" w:rsidR="00416E27" w:rsidRPr="00472DD9" w:rsidRDefault="00416E27" w:rsidP="0003373B">
            <w:pPr>
              <w:pStyle w:val="ListParagraph"/>
              <w:numPr>
                <w:ilvl w:val="0"/>
                <w:numId w:val="7"/>
              </w:numPr>
              <w:spacing w:before="40" w:after="40"/>
              <w:rPr>
                <w:rFonts w:cs="Arial"/>
                <w:szCs w:val="24"/>
              </w:rPr>
            </w:pPr>
            <w:r w:rsidRPr="00472DD9">
              <w:rPr>
                <w:rFonts w:cs="Arial"/>
                <w:szCs w:val="24"/>
              </w:rPr>
              <w:t xml:space="preserve">Medicines optimisation programme that develops modules within </w:t>
            </w:r>
            <w:proofErr w:type="spellStart"/>
            <w:r w:rsidRPr="00472DD9">
              <w:rPr>
                <w:rFonts w:cs="Arial"/>
                <w:szCs w:val="24"/>
              </w:rPr>
              <w:t>CFHealthHub</w:t>
            </w:r>
            <w:proofErr w:type="spellEnd"/>
            <w:r w:rsidRPr="00472DD9">
              <w:rPr>
                <w:rFonts w:cs="Arial"/>
                <w:szCs w:val="24"/>
              </w:rPr>
              <w:t xml:space="preserve"> to support medicines optimisation in individual centres and develops the local expertise to make medicines optimisation part of routine care.</w:t>
            </w:r>
          </w:p>
          <w:p w14:paraId="20F28610" w14:textId="77777777" w:rsidR="00091D3B" w:rsidRPr="00F726C2" w:rsidRDefault="00091D3B" w:rsidP="00091D3B">
            <w:pPr>
              <w:pStyle w:val="ListParagraph"/>
              <w:spacing w:before="40" w:after="40"/>
              <w:rPr>
                <w:rFonts w:cs="Arial"/>
                <w:i/>
                <w:color w:val="FF0000"/>
                <w:szCs w:val="24"/>
              </w:rPr>
            </w:pPr>
          </w:p>
          <w:p w14:paraId="130DCD6F" w14:textId="77777777" w:rsidR="009D54C2" w:rsidRPr="006E49C5" w:rsidRDefault="0026417D" w:rsidP="0003373B">
            <w:pPr>
              <w:pStyle w:val="ListParagraph"/>
              <w:numPr>
                <w:ilvl w:val="0"/>
                <w:numId w:val="2"/>
              </w:numPr>
              <w:spacing w:before="40" w:after="40"/>
              <w:rPr>
                <w:rFonts w:cs="Arial"/>
                <w:i/>
                <w:szCs w:val="24"/>
                <w:u w:val="single"/>
              </w:rPr>
            </w:pPr>
            <w:r w:rsidRPr="006E49C5">
              <w:rPr>
                <w:rFonts w:cs="Arial"/>
                <w:i/>
                <w:szCs w:val="24"/>
                <w:u w:val="single"/>
              </w:rPr>
              <w:t>the benefits accruing to patients</w:t>
            </w:r>
          </w:p>
          <w:p w14:paraId="4193A0AC" w14:textId="77777777" w:rsidR="007103D5" w:rsidRPr="007103D5" w:rsidRDefault="00147BCC" w:rsidP="007103D5">
            <w:pPr>
              <w:spacing w:before="40" w:after="40"/>
              <w:rPr>
                <w:rFonts w:cs="Arial"/>
                <w:b/>
                <w:szCs w:val="24"/>
              </w:rPr>
            </w:pPr>
            <w:r>
              <w:rPr>
                <w:rFonts w:cs="Arial"/>
                <w:b/>
                <w:szCs w:val="24"/>
              </w:rPr>
              <w:t>Enduring b</w:t>
            </w:r>
            <w:r w:rsidR="007103D5" w:rsidRPr="007103D5">
              <w:rPr>
                <w:rFonts w:cs="Arial"/>
                <w:b/>
                <w:szCs w:val="24"/>
              </w:rPr>
              <w:t>enefits accruing to patients</w:t>
            </w:r>
          </w:p>
          <w:p w14:paraId="5787C485" w14:textId="5CB846E3" w:rsidR="007103D5" w:rsidRPr="00CD0C3C" w:rsidRDefault="007103D5" w:rsidP="0003373B">
            <w:pPr>
              <w:pStyle w:val="ListParagraph"/>
              <w:numPr>
                <w:ilvl w:val="0"/>
                <w:numId w:val="4"/>
              </w:numPr>
              <w:spacing w:before="40" w:after="40"/>
              <w:rPr>
                <w:rFonts w:cs="Arial"/>
                <w:szCs w:val="24"/>
              </w:rPr>
            </w:pPr>
            <w:proofErr w:type="spellStart"/>
            <w:r w:rsidRPr="00CD0C3C">
              <w:rPr>
                <w:rFonts w:cs="Arial"/>
                <w:szCs w:val="24"/>
              </w:rPr>
              <w:t>CFHealthHub</w:t>
            </w:r>
            <w:proofErr w:type="spellEnd"/>
            <w:r w:rsidRPr="00CD0C3C">
              <w:rPr>
                <w:rFonts w:cs="Arial"/>
                <w:szCs w:val="24"/>
              </w:rPr>
              <w:t xml:space="preserve"> is projected to </w:t>
            </w:r>
            <w:r w:rsidR="00D66EE8" w:rsidRPr="00CD0C3C">
              <w:rPr>
                <w:rFonts w:cs="Arial"/>
                <w:szCs w:val="24"/>
              </w:rPr>
              <w:t xml:space="preserve">support patients in moving from hospital led rescue to patient led community self-care with a consequent </w:t>
            </w:r>
            <w:r w:rsidRPr="00CD0C3C">
              <w:rPr>
                <w:rFonts w:cs="Arial"/>
                <w:szCs w:val="24"/>
              </w:rPr>
              <w:t>reduc</w:t>
            </w:r>
            <w:r w:rsidR="00D66EE8" w:rsidRPr="00CD0C3C">
              <w:rPr>
                <w:rFonts w:cs="Arial"/>
                <w:szCs w:val="24"/>
              </w:rPr>
              <w:t xml:space="preserve">tion in </w:t>
            </w:r>
            <w:r w:rsidR="00191598" w:rsidRPr="00CD0C3C">
              <w:rPr>
                <w:rFonts w:cs="Arial"/>
                <w:szCs w:val="24"/>
              </w:rPr>
              <w:t xml:space="preserve">the </w:t>
            </w:r>
            <w:r w:rsidR="00D66EE8" w:rsidRPr="00CD0C3C">
              <w:rPr>
                <w:rFonts w:cs="Arial"/>
                <w:szCs w:val="24"/>
              </w:rPr>
              <w:t xml:space="preserve">number exacerbations requiring </w:t>
            </w:r>
            <w:r w:rsidR="00191598" w:rsidRPr="00CD0C3C">
              <w:rPr>
                <w:rFonts w:cs="Arial"/>
                <w:szCs w:val="24"/>
              </w:rPr>
              <w:t xml:space="preserve">intravenous antibiotic courses used per year by an average of 50% </w:t>
            </w:r>
            <w:r w:rsidR="00D66EE8" w:rsidRPr="00CD0C3C">
              <w:rPr>
                <w:rFonts w:cs="Arial"/>
                <w:szCs w:val="24"/>
              </w:rPr>
              <w:t>per patient (</w:t>
            </w:r>
            <w:proofErr w:type="spellStart"/>
            <w:r w:rsidR="00191598" w:rsidRPr="00CD0C3C">
              <w:rPr>
                <w:rFonts w:cs="Arial"/>
                <w:szCs w:val="24"/>
              </w:rPr>
              <w:t>Tappenden</w:t>
            </w:r>
            <w:proofErr w:type="spellEnd"/>
            <w:r w:rsidR="00191598" w:rsidRPr="00CD0C3C">
              <w:rPr>
                <w:rFonts w:cs="Arial"/>
                <w:szCs w:val="24"/>
              </w:rPr>
              <w:t xml:space="preserve"> et al </w:t>
            </w:r>
            <w:proofErr w:type="spellStart"/>
            <w:r w:rsidR="0065756E" w:rsidRPr="00CD0C3C">
              <w:rPr>
                <w:rFonts w:cs="Arial"/>
                <w:szCs w:val="24"/>
              </w:rPr>
              <w:t>PharmacoEconomics</w:t>
            </w:r>
            <w:proofErr w:type="spellEnd"/>
            <w:r w:rsidR="00356BAF" w:rsidRPr="00CD0C3C">
              <w:rPr>
                <w:rFonts w:cs="Arial"/>
                <w:szCs w:val="24"/>
              </w:rPr>
              <w:t xml:space="preserve"> </w:t>
            </w:r>
            <w:proofErr w:type="gramStart"/>
            <w:r w:rsidR="00191598" w:rsidRPr="00CD0C3C">
              <w:rPr>
                <w:rFonts w:cs="Arial"/>
                <w:szCs w:val="24"/>
              </w:rPr>
              <w:t>2017</w:t>
            </w:r>
            <w:r w:rsidR="00356BAF" w:rsidRPr="00CD0C3C">
              <w:rPr>
                <w:rFonts w:cs="Arial"/>
                <w:szCs w:val="24"/>
              </w:rPr>
              <w:t>;</w:t>
            </w:r>
            <w:r w:rsidR="00191598" w:rsidRPr="00CD0C3C">
              <w:rPr>
                <w:rFonts w:cs="Arial"/>
                <w:szCs w:val="24"/>
              </w:rPr>
              <w:t>35</w:t>
            </w:r>
            <w:r w:rsidR="00356BAF" w:rsidRPr="00CD0C3C">
              <w:rPr>
                <w:rFonts w:cs="Arial"/>
                <w:szCs w:val="24"/>
              </w:rPr>
              <w:t>:</w:t>
            </w:r>
            <w:r w:rsidR="00D66EE8" w:rsidRPr="00CD0C3C">
              <w:rPr>
                <w:rFonts w:cs="Arial"/>
                <w:szCs w:val="24"/>
              </w:rPr>
              <w:t>647</w:t>
            </w:r>
            <w:proofErr w:type="gramEnd"/>
            <w:r w:rsidR="00191598" w:rsidRPr="00CD0C3C">
              <w:rPr>
                <w:rFonts w:cs="Arial"/>
                <w:szCs w:val="24"/>
              </w:rPr>
              <w:t>-659</w:t>
            </w:r>
            <w:r w:rsidR="00D66EE8" w:rsidRPr="00CD0C3C">
              <w:rPr>
                <w:rFonts w:cs="Arial"/>
                <w:szCs w:val="24"/>
              </w:rPr>
              <w:t>)</w:t>
            </w:r>
            <w:r w:rsidRPr="00CD0C3C">
              <w:rPr>
                <w:rFonts w:cs="Arial"/>
                <w:szCs w:val="24"/>
              </w:rPr>
              <w:t xml:space="preserve"> </w:t>
            </w:r>
            <w:r w:rsidR="00191598" w:rsidRPr="00CD0C3C">
              <w:rPr>
                <w:rFonts w:cs="Arial"/>
                <w:szCs w:val="24"/>
              </w:rPr>
              <w:t>Intravenous antibiotics are disruptive</w:t>
            </w:r>
            <w:r w:rsidR="002752AC" w:rsidRPr="00CD0C3C">
              <w:rPr>
                <w:rFonts w:cs="Arial"/>
                <w:szCs w:val="24"/>
              </w:rPr>
              <w:t>, hence</w:t>
            </w:r>
            <w:r w:rsidR="00191598" w:rsidRPr="00CD0C3C">
              <w:rPr>
                <w:rFonts w:cs="Arial"/>
                <w:szCs w:val="24"/>
              </w:rPr>
              <w:t xml:space="preserve"> this is a major benefit to patients </w:t>
            </w:r>
            <w:r w:rsidR="002752AC" w:rsidRPr="00CD0C3C">
              <w:rPr>
                <w:rFonts w:cs="Arial"/>
                <w:szCs w:val="24"/>
              </w:rPr>
              <w:t>by</w:t>
            </w:r>
            <w:r w:rsidR="00191598" w:rsidRPr="00CD0C3C">
              <w:rPr>
                <w:rFonts w:cs="Arial"/>
                <w:szCs w:val="24"/>
              </w:rPr>
              <w:t xml:space="preserve"> </w:t>
            </w:r>
            <w:r w:rsidR="002752AC" w:rsidRPr="00CD0C3C">
              <w:rPr>
                <w:rFonts w:cs="Arial"/>
                <w:szCs w:val="24"/>
              </w:rPr>
              <w:t xml:space="preserve">avoiding </w:t>
            </w:r>
            <w:r w:rsidR="00191598" w:rsidRPr="00CD0C3C">
              <w:rPr>
                <w:rFonts w:cs="Arial"/>
                <w:szCs w:val="24"/>
              </w:rPr>
              <w:t xml:space="preserve">disruption </w:t>
            </w:r>
            <w:r w:rsidR="00191598" w:rsidRPr="00CD0C3C">
              <w:rPr>
                <w:rFonts w:cs="Arial"/>
                <w:szCs w:val="24"/>
              </w:rPr>
              <w:lastRenderedPageBreak/>
              <w:t xml:space="preserve">to work, education and family life. </w:t>
            </w:r>
            <w:r w:rsidR="00D66EE8" w:rsidRPr="00CD0C3C">
              <w:rPr>
                <w:rFonts w:cs="Arial"/>
                <w:szCs w:val="24"/>
              </w:rPr>
              <w:t xml:space="preserve">The reduction of exacerbations is an important benefit to patients since exacerbations </w:t>
            </w:r>
            <w:r w:rsidR="002752AC" w:rsidRPr="00CD0C3C">
              <w:rPr>
                <w:rFonts w:cs="Arial"/>
                <w:szCs w:val="24"/>
              </w:rPr>
              <w:t xml:space="preserve">accelerate </w:t>
            </w:r>
            <w:r w:rsidR="00D66EE8" w:rsidRPr="00CD0C3C">
              <w:rPr>
                <w:rFonts w:cs="Arial"/>
                <w:szCs w:val="24"/>
              </w:rPr>
              <w:t xml:space="preserve">lung function </w:t>
            </w:r>
            <w:r w:rsidR="002752AC" w:rsidRPr="00CD0C3C">
              <w:rPr>
                <w:rFonts w:cs="Arial"/>
                <w:szCs w:val="24"/>
              </w:rPr>
              <w:t xml:space="preserve">decline </w:t>
            </w:r>
            <w:r w:rsidR="00D66EE8" w:rsidRPr="00CD0C3C">
              <w:rPr>
                <w:rFonts w:cs="Arial"/>
                <w:szCs w:val="24"/>
              </w:rPr>
              <w:t>which reduces quality of life and survival.</w:t>
            </w:r>
            <w:r w:rsidR="0065756E" w:rsidRPr="00CD0C3C">
              <w:t xml:space="preserve"> (</w:t>
            </w:r>
            <w:r w:rsidR="0065756E" w:rsidRPr="00CD0C3C">
              <w:rPr>
                <w:rFonts w:cs="Arial"/>
                <w:szCs w:val="24"/>
              </w:rPr>
              <w:t xml:space="preserve">Bhatt Eur Respir Rev </w:t>
            </w:r>
            <w:proofErr w:type="gramStart"/>
            <w:r w:rsidR="0065756E" w:rsidRPr="00CD0C3C">
              <w:rPr>
                <w:rFonts w:cs="Arial"/>
                <w:szCs w:val="24"/>
              </w:rPr>
              <w:t>2013;22:205</w:t>
            </w:r>
            <w:proofErr w:type="gramEnd"/>
            <w:r w:rsidR="0065756E" w:rsidRPr="00CD0C3C">
              <w:rPr>
                <w:rFonts w:cs="Arial"/>
                <w:szCs w:val="24"/>
              </w:rPr>
              <w:t>-216)</w:t>
            </w:r>
          </w:p>
          <w:p w14:paraId="0E8AFA96" w14:textId="7F5811DB" w:rsidR="007103D5" w:rsidRDefault="007103D5" w:rsidP="0003373B">
            <w:pPr>
              <w:pStyle w:val="ListParagraph"/>
              <w:numPr>
                <w:ilvl w:val="0"/>
                <w:numId w:val="4"/>
              </w:numPr>
              <w:spacing w:before="40" w:after="40"/>
              <w:rPr>
                <w:rFonts w:cs="Arial"/>
                <w:szCs w:val="24"/>
              </w:rPr>
            </w:pPr>
            <w:proofErr w:type="spellStart"/>
            <w:r w:rsidRPr="00CD0C3C">
              <w:rPr>
                <w:rFonts w:cs="Arial"/>
                <w:szCs w:val="24"/>
              </w:rPr>
              <w:t>CFHealthHub</w:t>
            </w:r>
            <w:proofErr w:type="spellEnd"/>
            <w:r w:rsidRPr="00CD0C3C">
              <w:rPr>
                <w:rFonts w:cs="Arial"/>
                <w:szCs w:val="24"/>
              </w:rPr>
              <w:t xml:space="preserve"> is projected</w:t>
            </w:r>
            <w:r w:rsidR="00D66EE8" w:rsidRPr="00CD0C3C">
              <w:rPr>
                <w:rFonts w:cs="Arial"/>
                <w:szCs w:val="24"/>
              </w:rPr>
              <w:t xml:space="preserve"> both</w:t>
            </w:r>
            <w:r w:rsidR="002752AC" w:rsidRPr="00CD0C3C">
              <w:rPr>
                <w:rFonts w:cs="Arial"/>
                <w:szCs w:val="24"/>
              </w:rPr>
              <w:t xml:space="preserve"> to</w:t>
            </w:r>
            <w:r w:rsidR="00D66EE8" w:rsidRPr="00CD0C3C">
              <w:rPr>
                <w:rFonts w:cs="Arial"/>
                <w:szCs w:val="24"/>
              </w:rPr>
              <w:t xml:space="preserve"> save money and</w:t>
            </w:r>
            <w:r w:rsidRPr="00CD0C3C">
              <w:rPr>
                <w:rFonts w:cs="Arial"/>
                <w:szCs w:val="24"/>
              </w:rPr>
              <w:t xml:space="preserve"> to deliver lifetime 0.19 QALYs </w:t>
            </w:r>
            <w:r w:rsidR="00D66EE8" w:rsidRPr="00CD0C3C">
              <w:rPr>
                <w:rFonts w:cs="Arial"/>
                <w:szCs w:val="24"/>
              </w:rPr>
              <w:t xml:space="preserve">increase </w:t>
            </w:r>
            <w:r w:rsidRPr="00CD0C3C">
              <w:rPr>
                <w:rFonts w:cs="Arial"/>
                <w:szCs w:val="24"/>
              </w:rPr>
              <w:t xml:space="preserve">per patient </w:t>
            </w:r>
            <w:r w:rsidR="00D66EE8" w:rsidRPr="00CD0C3C">
              <w:rPr>
                <w:rFonts w:cs="Arial"/>
                <w:szCs w:val="24"/>
              </w:rPr>
              <w:t>(</w:t>
            </w:r>
            <w:proofErr w:type="spellStart"/>
            <w:r w:rsidR="00D66EE8" w:rsidRPr="00CD0C3C">
              <w:rPr>
                <w:rFonts w:cs="Arial"/>
                <w:szCs w:val="24"/>
              </w:rPr>
              <w:t>Tappenden</w:t>
            </w:r>
            <w:proofErr w:type="spellEnd"/>
            <w:r w:rsidR="00D66EE8" w:rsidRPr="00CD0C3C">
              <w:rPr>
                <w:rFonts w:cs="Arial"/>
                <w:szCs w:val="24"/>
              </w:rPr>
              <w:t xml:space="preserve"> et al </w:t>
            </w:r>
            <w:proofErr w:type="spellStart"/>
            <w:r w:rsidR="0065756E" w:rsidRPr="00CD0C3C">
              <w:rPr>
                <w:rFonts w:cs="Arial"/>
                <w:szCs w:val="24"/>
              </w:rPr>
              <w:t>PharmacoEconomics</w:t>
            </w:r>
            <w:proofErr w:type="spellEnd"/>
            <w:r w:rsidR="00356BAF" w:rsidRPr="00CD0C3C">
              <w:rPr>
                <w:rFonts w:cs="Arial"/>
                <w:szCs w:val="24"/>
              </w:rPr>
              <w:t xml:space="preserve"> </w:t>
            </w:r>
            <w:r w:rsidR="00D66EE8" w:rsidRPr="00CD0C3C">
              <w:rPr>
                <w:rFonts w:cs="Arial"/>
                <w:szCs w:val="24"/>
              </w:rPr>
              <w:t>2017</w:t>
            </w:r>
            <w:r w:rsidR="00356BAF" w:rsidRPr="00CD0C3C">
              <w:rPr>
                <w:rFonts w:cs="Arial"/>
                <w:szCs w:val="24"/>
              </w:rPr>
              <w:t>;</w:t>
            </w:r>
            <w:r w:rsidR="00D66EE8" w:rsidRPr="00CD0C3C">
              <w:rPr>
                <w:rFonts w:cs="Arial"/>
                <w:szCs w:val="24"/>
              </w:rPr>
              <w:t>35</w:t>
            </w:r>
            <w:r w:rsidR="00356BAF" w:rsidRPr="00CD0C3C">
              <w:rPr>
                <w:rFonts w:cs="Arial"/>
                <w:szCs w:val="24"/>
              </w:rPr>
              <w:t>:</w:t>
            </w:r>
            <w:r w:rsidR="00D66EE8" w:rsidRPr="00CD0C3C">
              <w:rPr>
                <w:rFonts w:cs="Arial"/>
                <w:szCs w:val="24"/>
              </w:rPr>
              <w:t>647-659</w:t>
            </w:r>
            <w:proofErr w:type="gramStart"/>
            <w:r w:rsidR="00D66EE8" w:rsidRPr="00CD0C3C">
              <w:rPr>
                <w:rFonts w:cs="Arial"/>
                <w:szCs w:val="24"/>
              </w:rPr>
              <w:t>) )</w:t>
            </w:r>
            <w:proofErr w:type="gramEnd"/>
          </w:p>
          <w:p w14:paraId="70B1FF95" w14:textId="77777777" w:rsidR="00925247" w:rsidRPr="00CD0C3C" w:rsidRDefault="00925247" w:rsidP="00925247">
            <w:pPr>
              <w:pStyle w:val="ListParagraph"/>
              <w:spacing w:before="40" w:after="40"/>
              <w:rPr>
                <w:rFonts w:cs="Arial"/>
                <w:szCs w:val="24"/>
              </w:rPr>
            </w:pPr>
          </w:p>
          <w:p w14:paraId="5D79A685" w14:textId="655FB408" w:rsidR="00416E27" w:rsidRPr="006E49C5" w:rsidRDefault="00416E27" w:rsidP="005A3346">
            <w:pPr>
              <w:pStyle w:val="ListParagraph"/>
              <w:numPr>
                <w:ilvl w:val="0"/>
                <w:numId w:val="2"/>
              </w:numPr>
              <w:spacing w:before="40" w:after="40"/>
              <w:rPr>
                <w:rFonts w:cs="Arial"/>
                <w:i/>
                <w:color w:val="FF0000"/>
                <w:szCs w:val="24"/>
              </w:rPr>
            </w:pPr>
            <w:r w:rsidRPr="006E49C5">
              <w:rPr>
                <w:rFonts w:cs="Arial"/>
                <w:i/>
                <w:szCs w:val="24"/>
                <w:u w:val="single"/>
              </w:rPr>
              <w:t>cost-savings accruing to commissioners (NHS E, CCGs, other]</w:t>
            </w:r>
            <w:r w:rsidRPr="006E49C5">
              <w:rPr>
                <w:rFonts w:cs="Arial"/>
                <w:i/>
                <w:szCs w:val="24"/>
              </w:rPr>
              <w:t xml:space="preserve"> </w:t>
            </w:r>
          </w:p>
          <w:p w14:paraId="436478CF" w14:textId="77777777" w:rsidR="00416E27" w:rsidRPr="00416E27" w:rsidRDefault="00416E27" w:rsidP="00416E27">
            <w:pPr>
              <w:spacing w:before="40" w:after="40"/>
              <w:rPr>
                <w:rFonts w:cs="Arial"/>
                <w:szCs w:val="24"/>
              </w:rPr>
            </w:pPr>
          </w:p>
          <w:p w14:paraId="3A77364C" w14:textId="77777777" w:rsidR="007103D5" w:rsidRPr="007103D5" w:rsidRDefault="00147BCC" w:rsidP="007103D5">
            <w:pPr>
              <w:spacing w:before="40" w:after="40"/>
              <w:rPr>
                <w:rFonts w:cs="Arial"/>
                <w:b/>
                <w:szCs w:val="24"/>
              </w:rPr>
            </w:pPr>
            <w:r>
              <w:rPr>
                <w:rFonts w:cs="Arial"/>
                <w:b/>
                <w:szCs w:val="24"/>
              </w:rPr>
              <w:t>Enduring w</w:t>
            </w:r>
            <w:r w:rsidR="007103D5" w:rsidRPr="007103D5">
              <w:rPr>
                <w:rFonts w:cs="Arial"/>
                <w:b/>
                <w:szCs w:val="24"/>
              </w:rPr>
              <w:t>hole-system savings</w:t>
            </w:r>
          </w:p>
          <w:p w14:paraId="0A6AE7E4" w14:textId="747EBE0C" w:rsidR="007103D5" w:rsidRDefault="007103D5" w:rsidP="0003373B">
            <w:pPr>
              <w:pStyle w:val="ListParagraph"/>
              <w:numPr>
                <w:ilvl w:val="0"/>
                <w:numId w:val="5"/>
              </w:numPr>
              <w:spacing w:before="40" w:after="40"/>
              <w:rPr>
                <w:rFonts w:cs="Arial"/>
                <w:szCs w:val="24"/>
              </w:rPr>
            </w:pPr>
            <w:r w:rsidRPr="007103D5">
              <w:rPr>
                <w:rFonts w:cs="Arial"/>
                <w:szCs w:val="24"/>
              </w:rPr>
              <w:t xml:space="preserve">For the </w:t>
            </w:r>
            <w:r>
              <w:rPr>
                <w:rFonts w:cs="Arial"/>
                <w:szCs w:val="24"/>
              </w:rPr>
              <w:t xml:space="preserve">3,000 </w:t>
            </w:r>
            <w:r w:rsidR="001657B3">
              <w:rPr>
                <w:rFonts w:cs="Arial"/>
                <w:szCs w:val="24"/>
              </w:rPr>
              <w:t xml:space="preserve">adult </w:t>
            </w:r>
            <w:r>
              <w:rPr>
                <w:rFonts w:cs="Arial"/>
                <w:szCs w:val="24"/>
              </w:rPr>
              <w:t xml:space="preserve">patients with chronic pseudomonas, </w:t>
            </w:r>
            <w:proofErr w:type="spellStart"/>
            <w:r>
              <w:rPr>
                <w:rFonts w:cs="Arial"/>
                <w:szCs w:val="24"/>
              </w:rPr>
              <w:t>CFHealthHub</w:t>
            </w:r>
            <w:proofErr w:type="spellEnd"/>
            <w:r>
              <w:rPr>
                <w:rFonts w:cs="Arial"/>
                <w:szCs w:val="24"/>
              </w:rPr>
              <w:t xml:space="preserve"> is projected to deliver </w:t>
            </w:r>
            <w:r w:rsidR="00147BCC">
              <w:rPr>
                <w:rFonts w:cs="Arial"/>
                <w:szCs w:val="24"/>
              </w:rPr>
              <w:t xml:space="preserve">enduring </w:t>
            </w:r>
            <w:r>
              <w:rPr>
                <w:rFonts w:cs="Arial"/>
                <w:szCs w:val="24"/>
              </w:rPr>
              <w:t>whole system savings of:</w:t>
            </w:r>
          </w:p>
          <w:p w14:paraId="424EC6FB" w14:textId="5E327B59" w:rsidR="00147BCC" w:rsidRDefault="001A541E" w:rsidP="0003373B">
            <w:pPr>
              <w:pStyle w:val="ListParagraph"/>
              <w:numPr>
                <w:ilvl w:val="1"/>
                <w:numId w:val="5"/>
              </w:numPr>
              <w:spacing w:before="40" w:after="40"/>
              <w:rPr>
                <w:rFonts w:cs="Arial"/>
                <w:szCs w:val="24"/>
              </w:rPr>
            </w:pPr>
            <w:r>
              <w:rPr>
                <w:rFonts w:cs="Arial"/>
                <w:szCs w:val="24"/>
              </w:rPr>
              <w:t>£</w:t>
            </w:r>
            <w:r w:rsidR="003748C8">
              <w:rPr>
                <w:rFonts w:cs="Arial"/>
                <w:szCs w:val="24"/>
              </w:rPr>
              <w:t>8.7</w:t>
            </w:r>
            <w:r w:rsidR="00147BCC">
              <w:rPr>
                <w:rFonts w:cs="Arial"/>
                <w:szCs w:val="24"/>
              </w:rPr>
              <w:t xml:space="preserve"> million per annum (approx. £</w:t>
            </w:r>
            <w:r w:rsidR="003748C8">
              <w:rPr>
                <w:rFonts w:cs="Arial"/>
                <w:szCs w:val="24"/>
              </w:rPr>
              <w:t>2</w:t>
            </w:r>
            <w:r w:rsidR="00147BCC">
              <w:rPr>
                <w:rFonts w:cs="Arial"/>
                <w:szCs w:val="24"/>
              </w:rPr>
              <w:t>,900 per patient)</w:t>
            </w:r>
          </w:p>
          <w:p w14:paraId="63346B04" w14:textId="15021564" w:rsidR="00147BCC" w:rsidRDefault="00416E27" w:rsidP="0003373B">
            <w:pPr>
              <w:pStyle w:val="ListParagraph"/>
              <w:numPr>
                <w:ilvl w:val="1"/>
                <w:numId w:val="5"/>
              </w:numPr>
              <w:spacing w:before="40" w:after="40"/>
              <w:rPr>
                <w:rFonts w:cs="Arial"/>
                <w:szCs w:val="24"/>
              </w:rPr>
            </w:pPr>
            <w:r>
              <w:rPr>
                <w:rFonts w:cs="Arial"/>
                <w:szCs w:val="24"/>
              </w:rPr>
              <w:t xml:space="preserve">25,000 bed days </w:t>
            </w:r>
            <w:r w:rsidR="00147BCC">
              <w:rPr>
                <w:rFonts w:cs="Arial"/>
                <w:szCs w:val="24"/>
              </w:rPr>
              <w:t>per annum</w:t>
            </w:r>
          </w:p>
          <w:p w14:paraId="6CFA5E81" w14:textId="77777777" w:rsidR="00147BCC" w:rsidRDefault="00147BCC" w:rsidP="00147BCC">
            <w:pPr>
              <w:spacing w:before="40" w:after="40"/>
              <w:rPr>
                <w:rFonts w:cs="Arial"/>
                <w:szCs w:val="24"/>
              </w:rPr>
            </w:pPr>
          </w:p>
          <w:p w14:paraId="5C0863D6" w14:textId="77777777" w:rsidR="00147BCC" w:rsidRPr="00147BCC" w:rsidRDefault="00147BCC" w:rsidP="00147BCC">
            <w:pPr>
              <w:spacing w:before="40" w:after="40"/>
              <w:rPr>
                <w:rFonts w:cs="Arial"/>
                <w:b/>
                <w:szCs w:val="24"/>
              </w:rPr>
            </w:pPr>
            <w:r w:rsidRPr="00147BCC">
              <w:rPr>
                <w:rFonts w:cs="Arial"/>
                <w:b/>
                <w:szCs w:val="24"/>
              </w:rPr>
              <w:t>Enduring benefits to commissioners</w:t>
            </w:r>
          </w:p>
          <w:p w14:paraId="53B77610" w14:textId="0797B8AE" w:rsidR="00576A8C" w:rsidRPr="00CD0C3C" w:rsidRDefault="00576A8C" w:rsidP="0003373B">
            <w:pPr>
              <w:pStyle w:val="ListParagraph"/>
              <w:numPr>
                <w:ilvl w:val="0"/>
                <w:numId w:val="5"/>
              </w:numPr>
              <w:spacing w:before="40" w:after="40"/>
              <w:rPr>
                <w:rFonts w:cs="Arial"/>
                <w:szCs w:val="24"/>
              </w:rPr>
            </w:pPr>
            <w:r w:rsidRPr="00CD0C3C">
              <w:rPr>
                <w:rFonts w:cs="Arial"/>
                <w:szCs w:val="24"/>
              </w:rPr>
              <w:t xml:space="preserve">Quantitative </w:t>
            </w:r>
            <w:r w:rsidR="0053461A" w:rsidRPr="00CD0C3C">
              <w:rPr>
                <w:rFonts w:cs="Arial"/>
                <w:szCs w:val="24"/>
              </w:rPr>
              <w:t>enduring benefits</w:t>
            </w:r>
            <w:r w:rsidRPr="00CD0C3C">
              <w:rPr>
                <w:rFonts w:cs="Arial"/>
                <w:szCs w:val="24"/>
              </w:rPr>
              <w:t>:</w:t>
            </w:r>
          </w:p>
          <w:p w14:paraId="621ACB5C" w14:textId="67FCC97D" w:rsidR="00576A8C" w:rsidRPr="00CD0C3C" w:rsidRDefault="00576A8C" w:rsidP="0003373B">
            <w:pPr>
              <w:pStyle w:val="ListParagraph"/>
              <w:numPr>
                <w:ilvl w:val="1"/>
                <w:numId w:val="5"/>
              </w:numPr>
              <w:spacing w:before="40" w:after="40"/>
              <w:rPr>
                <w:rFonts w:cs="Arial"/>
                <w:sz w:val="22"/>
                <w:szCs w:val="22"/>
              </w:rPr>
            </w:pPr>
            <w:r w:rsidRPr="00CD0C3C">
              <w:rPr>
                <w:rFonts w:cs="Arial"/>
                <w:sz w:val="22"/>
                <w:szCs w:val="22"/>
              </w:rPr>
              <w:t>Patient and clinician activation</w:t>
            </w:r>
            <w:r w:rsidR="00D6280A" w:rsidRPr="00CD0C3C">
              <w:rPr>
                <w:rFonts w:cs="Arial"/>
                <w:sz w:val="22"/>
                <w:szCs w:val="22"/>
              </w:rPr>
              <w:t xml:space="preserve"> creating savings to providers by switching care from rescue to prevention</w:t>
            </w:r>
            <w:r w:rsidRPr="00CD0C3C">
              <w:rPr>
                <w:rFonts w:cs="Arial"/>
                <w:sz w:val="22"/>
                <w:szCs w:val="22"/>
              </w:rPr>
              <w:t>:</w:t>
            </w:r>
            <w:r w:rsidR="00D6280A" w:rsidRPr="00CD0C3C">
              <w:rPr>
                <w:rFonts w:cs="Arial"/>
                <w:sz w:val="22"/>
                <w:szCs w:val="22"/>
              </w:rPr>
              <w:t xml:space="preserve"> It is feasible that</w:t>
            </w:r>
            <w:r w:rsidRPr="00CD0C3C">
              <w:rPr>
                <w:rFonts w:cs="Arial"/>
                <w:sz w:val="22"/>
                <w:szCs w:val="22"/>
              </w:rPr>
              <w:t xml:space="preserve"> a proportion</w:t>
            </w:r>
            <w:r w:rsidR="0053461A" w:rsidRPr="00CD0C3C">
              <w:rPr>
                <w:rStyle w:val="FootnoteReference"/>
                <w:rFonts w:cs="Arial"/>
                <w:sz w:val="22"/>
                <w:szCs w:val="22"/>
              </w:rPr>
              <w:footnoteReference w:id="2"/>
            </w:r>
            <w:r w:rsidRPr="00CD0C3C">
              <w:rPr>
                <w:rFonts w:cs="Arial"/>
                <w:sz w:val="22"/>
                <w:szCs w:val="22"/>
              </w:rPr>
              <w:t xml:space="preserve"> of the projected £10.6m in annual enduring savings arising from reduced hospitalisations</w:t>
            </w:r>
            <w:r w:rsidR="00D6280A" w:rsidRPr="00CD0C3C">
              <w:rPr>
                <w:rFonts w:cs="Arial"/>
                <w:sz w:val="22"/>
                <w:szCs w:val="22"/>
              </w:rPr>
              <w:t xml:space="preserve"> might </w:t>
            </w:r>
            <w:r w:rsidR="001B3C62" w:rsidRPr="00CD0C3C">
              <w:rPr>
                <w:rFonts w:cs="Arial"/>
                <w:sz w:val="22"/>
                <w:szCs w:val="22"/>
              </w:rPr>
              <w:t xml:space="preserve">eventually </w:t>
            </w:r>
            <w:r w:rsidR="00D6280A" w:rsidRPr="00CD0C3C">
              <w:rPr>
                <w:rFonts w:cs="Arial"/>
                <w:sz w:val="22"/>
                <w:szCs w:val="22"/>
              </w:rPr>
              <w:t>inform a reworking of the tariff to allow some of the savings to reach commissioners</w:t>
            </w:r>
            <w:r w:rsidRPr="00CD0C3C">
              <w:rPr>
                <w:rFonts w:cs="Arial"/>
                <w:sz w:val="22"/>
                <w:szCs w:val="22"/>
              </w:rPr>
              <w:t xml:space="preserve">. </w:t>
            </w:r>
          </w:p>
          <w:p w14:paraId="3B77CD9B" w14:textId="1CFD74DC" w:rsidR="00576A8C" w:rsidRPr="00CD0C3C" w:rsidRDefault="00576A8C" w:rsidP="0003373B">
            <w:pPr>
              <w:pStyle w:val="ListParagraph"/>
              <w:numPr>
                <w:ilvl w:val="1"/>
                <w:numId w:val="5"/>
              </w:numPr>
              <w:spacing w:before="40" w:after="40"/>
              <w:rPr>
                <w:rFonts w:cs="Arial"/>
                <w:sz w:val="22"/>
                <w:szCs w:val="22"/>
              </w:rPr>
            </w:pPr>
            <w:r w:rsidRPr="00CD0C3C">
              <w:rPr>
                <w:rFonts w:cs="Arial"/>
                <w:sz w:val="22"/>
                <w:szCs w:val="22"/>
              </w:rPr>
              <w:t>Medicines optimisation: £2.1m per annum</w:t>
            </w:r>
            <w:r w:rsidR="00D6280A" w:rsidRPr="00CD0C3C">
              <w:rPr>
                <w:rFonts w:cs="Arial"/>
                <w:sz w:val="22"/>
                <w:szCs w:val="22"/>
              </w:rPr>
              <w:t>. This comes from savings in the</w:t>
            </w:r>
            <w:r w:rsidR="00D6280A" w:rsidRPr="00CD0C3C">
              <w:rPr>
                <w:rFonts w:cs="Arial"/>
                <w:szCs w:val="24"/>
              </w:rPr>
              <w:t xml:space="preserve"> </w:t>
            </w:r>
            <w:r w:rsidR="00D6280A" w:rsidRPr="00CD0C3C">
              <w:rPr>
                <w:rFonts w:cs="Arial"/>
                <w:sz w:val="22"/>
                <w:szCs w:val="22"/>
              </w:rPr>
              <w:t xml:space="preserve">high cost inhaled therapies otherwise delivered to patients who are adhering poorly.  </w:t>
            </w:r>
          </w:p>
          <w:p w14:paraId="020090DA" w14:textId="330387D6" w:rsidR="0053461A" w:rsidRPr="00CD0C3C" w:rsidRDefault="0053461A" w:rsidP="0003373B">
            <w:pPr>
              <w:pStyle w:val="ListParagraph"/>
              <w:numPr>
                <w:ilvl w:val="1"/>
                <w:numId w:val="5"/>
              </w:numPr>
              <w:spacing w:before="40" w:after="40"/>
              <w:rPr>
                <w:rFonts w:cs="Arial"/>
                <w:sz w:val="22"/>
                <w:szCs w:val="22"/>
              </w:rPr>
            </w:pPr>
            <w:r w:rsidRPr="00CD0C3C">
              <w:rPr>
                <w:rFonts w:cs="Arial"/>
                <w:sz w:val="22"/>
                <w:szCs w:val="22"/>
              </w:rPr>
              <w:t>Intelligent commissioning</w:t>
            </w:r>
            <w:r w:rsidR="00D6280A" w:rsidRPr="00CD0C3C">
              <w:rPr>
                <w:rFonts w:cs="Arial"/>
                <w:sz w:val="22"/>
                <w:szCs w:val="22"/>
              </w:rPr>
              <w:t xml:space="preserve"> supporting medicines optimisation</w:t>
            </w:r>
            <w:r w:rsidRPr="00CD0C3C">
              <w:rPr>
                <w:rFonts w:cs="Arial"/>
                <w:sz w:val="22"/>
                <w:szCs w:val="22"/>
              </w:rPr>
              <w:t>: potential enduring savings</w:t>
            </w:r>
            <w:r w:rsidR="00D6280A" w:rsidRPr="00CD0C3C">
              <w:rPr>
                <w:rFonts w:cs="Arial"/>
                <w:sz w:val="22"/>
                <w:szCs w:val="22"/>
              </w:rPr>
              <w:t xml:space="preserve"> related to optimising escalation to new generation inhaled antibiotics</w:t>
            </w:r>
            <w:r w:rsidRPr="00CD0C3C">
              <w:rPr>
                <w:rFonts w:cs="Arial"/>
                <w:sz w:val="22"/>
                <w:szCs w:val="22"/>
              </w:rPr>
              <w:t xml:space="preserve"> run to the hundreds of thousands per annum. Further research is required to quantify these savings.</w:t>
            </w:r>
          </w:p>
          <w:p w14:paraId="6D5D35F6" w14:textId="42374DD8" w:rsidR="007103D5" w:rsidRPr="0037141C" w:rsidRDefault="00C808D3" w:rsidP="0037141C">
            <w:pPr>
              <w:spacing w:before="40" w:after="40"/>
              <w:jc w:val="center"/>
              <w:rPr>
                <w:rFonts w:cs="Arial"/>
                <w:b/>
                <w:szCs w:val="24"/>
              </w:rPr>
            </w:pPr>
            <w:r w:rsidRPr="0037141C">
              <w:rPr>
                <w:rFonts w:cs="Arial"/>
                <w:b/>
                <w:szCs w:val="24"/>
              </w:rPr>
              <w:t xml:space="preserve">Table </w:t>
            </w:r>
            <w:r w:rsidR="006F34C7">
              <w:rPr>
                <w:rFonts w:cs="Arial"/>
                <w:b/>
                <w:szCs w:val="24"/>
              </w:rPr>
              <w:t>2</w:t>
            </w:r>
          </w:p>
          <w:tbl>
            <w:tblPr>
              <w:tblStyle w:val="TableGrid"/>
              <w:tblW w:w="9700" w:type="dxa"/>
              <w:tblLook w:val="04A0" w:firstRow="1" w:lastRow="0" w:firstColumn="1" w:lastColumn="0" w:noHBand="0" w:noVBand="1"/>
            </w:tblPr>
            <w:tblGrid>
              <w:gridCol w:w="3823"/>
              <w:gridCol w:w="1784"/>
              <w:gridCol w:w="2047"/>
              <w:gridCol w:w="2046"/>
            </w:tblGrid>
            <w:tr w:rsidR="005C3528" w14:paraId="08B5AB6C" w14:textId="77777777" w:rsidTr="006B7574">
              <w:tc>
                <w:tcPr>
                  <w:tcW w:w="9700" w:type="dxa"/>
                  <w:gridSpan w:val="4"/>
                </w:tcPr>
                <w:p w14:paraId="290D9263" w14:textId="4F4D148B" w:rsidR="005C3528" w:rsidRPr="00653DAC" w:rsidRDefault="005C3528" w:rsidP="005C3528">
                  <w:pPr>
                    <w:spacing w:before="40" w:after="40"/>
                    <w:jc w:val="center"/>
                    <w:rPr>
                      <w:rFonts w:cs="Arial"/>
                      <w:b/>
                      <w:szCs w:val="24"/>
                    </w:rPr>
                  </w:pPr>
                  <w:r>
                    <w:rPr>
                      <w:rFonts w:cs="Arial"/>
                      <w:b/>
                      <w:szCs w:val="24"/>
                    </w:rPr>
                    <w:t>Long-term enduring benefits f</w:t>
                  </w:r>
                  <w:r w:rsidRPr="00653DAC">
                    <w:rPr>
                      <w:rFonts w:cs="Arial"/>
                      <w:b/>
                      <w:szCs w:val="24"/>
                    </w:rPr>
                    <w:t xml:space="preserve">or </w:t>
                  </w:r>
                  <w:r>
                    <w:rPr>
                      <w:rFonts w:cs="Arial"/>
                      <w:b/>
                      <w:szCs w:val="24"/>
                    </w:rPr>
                    <w:t xml:space="preserve">the </w:t>
                  </w:r>
                  <w:r w:rsidRPr="00653DAC">
                    <w:rPr>
                      <w:rFonts w:cs="Arial"/>
                      <w:b/>
                      <w:szCs w:val="24"/>
                    </w:rPr>
                    <w:t>3,000 patients with chronic pseudomonas</w:t>
                  </w:r>
                </w:p>
              </w:tc>
            </w:tr>
            <w:tr w:rsidR="005C3528" w14:paraId="2D5E12AE" w14:textId="77777777" w:rsidTr="003748C8">
              <w:tc>
                <w:tcPr>
                  <w:tcW w:w="3823" w:type="dxa"/>
                </w:tcPr>
                <w:p w14:paraId="3C7DFE57" w14:textId="77777777" w:rsidR="005C3528" w:rsidRDefault="005C3528" w:rsidP="005C3528">
                  <w:pPr>
                    <w:spacing w:before="40" w:after="40"/>
                    <w:rPr>
                      <w:rFonts w:cs="Arial"/>
                      <w:szCs w:val="24"/>
                    </w:rPr>
                  </w:pPr>
                </w:p>
              </w:tc>
              <w:tc>
                <w:tcPr>
                  <w:tcW w:w="1784" w:type="dxa"/>
                </w:tcPr>
                <w:p w14:paraId="48931A9C" w14:textId="77777777" w:rsidR="005C3528" w:rsidRPr="00653DAC" w:rsidRDefault="005C3528" w:rsidP="005C3528">
                  <w:pPr>
                    <w:spacing w:before="40" w:after="40"/>
                    <w:jc w:val="center"/>
                    <w:rPr>
                      <w:rFonts w:cs="Arial"/>
                      <w:b/>
                      <w:szCs w:val="24"/>
                    </w:rPr>
                  </w:pPr>
                  <w:r w:rsidRPr="00653DAC">
                    <w:rPr>
                      <w:rFonts w:cs="Arial"/>
                      <w:b/>
                      <w:szCs w:val="24"/>
                    </w:rPr>
                    <w:t>Whole system</w:t>
                  </w:r>
                </w:p>
              </w:tc>
              <w:tc>
                <w:tcPr>
                  <w:tcW w:w="2047" w:type="dxa"/>
                </w:tcPr>
                <w:p w14:paraId="4E70A5B1" w14:textId="77777777" w:rsidR="005C3528" w:rsidRPr="00653DAC" w:rsidRDefault="005C3528" w:rsidP="005C3528">
                  <w:pPr>
                    <w:spacing w:before="40" w:after="40"/>
                    <w:jc w:val="center"/>
                    <w:rPr>
                      <w:rFonts w:cs="Arial"/>
                      <w:b/>
                      <w:szCs w:val="24"/>
                    </w:rPr>
                  </w:pPr>
                  <w:r w:rsidRPr="00653DAC">
                    <w:rPr>
                      <w:rFonts w:cs="Arial"/>
                      <w:b/>
                      <w:szCs w:val="24"/>
                    </w:rPr>
                    <w:t>Commissioners</w:t>
                  </w:r>
                </w:p>
              </w:tc>
              <w:tc>
                <w:tcPr>
                  <w:tcW w:w="2046" w:type="dxa"/>
                </w:tcPr>
                <w:p w14:paraId="52915B08" w14:textId="77777777" w:rsidR="005C3528" w:rsidRPr="00653DAC" w:rsidRDefault="005C3528" w:rsidP="005C3528">
                  <w:pPr>
                    <w:spacing w:before="40" w:after="40"/>
                    <w:jc w:val="center"/>
                    <w:rPr>
                      <w:rFonts w:cs="Arial"/>
                      <w:b/>
                      <w:szCs w:val="24"/>
                    </w:rPr>
                  </w:pPr>
                  <w:r w:rsidRPr="00653DAC">
                    <w:rPr>
                      <w:rFonts w:cs="Arial"/>
                      <w:b/>
                      <w:szCs w:val="24"/>
                    </w:rPr>
                    <w:t>Providers</w:t>
                  </w:r>
                </w:p>
              </w:tc>
            </w:tr>
            <w:tr w:rsidR="005C3528" w14:paraId="3E6D4C12" w14:textId="77777777" w:rsidTr="006B7574">
              <w:tc>
                <w:tcPr>
                  <w:tcW w:w="9700" w:type="dxa"/>
                  <w:gridSpan w:val="4"/>
                </w:tcPr>
                <w:p w14:paraId="0CFF6FB6" w14:textId="44D6AC9E" w:rsidR="005C3528" w:rsidRDefault="006B7574" w:rsidP="005C3528">
                  <w:pPr>
                    <w:spacing w:before="40" w:after="40"/>
                    <w:jc w:val="center"/>
                    <w:rPr>
                      <w:rFonts w:cs="Arial"/>
                      <w:szCs w:val="24"/>
                    </w:rPr>
                  </w:pPr>
                  <w:r>
                    <w:rPr>
                      <w:rFonts w:cs="Arial"/>
                      <w:b/>
                      <w:szCs w:val="24"/>
                    </w:rPr>
                    <w:t>Financial Impacts</w:t>
                  </w:r>
                </w:p>
              </w:tc>
            </w:tr>
            <w:tr w:rsidR="005C3528" w14:paraId="1CC221AD" w14:textId="77777777" w:rsidTr="00CC1445">
              <w:tc>
                <w:tcPr>
                  <w:tcW w:w="3823" w:type="dxa"/>
                </w:tcPr>
                <w:p w14:paraId="020C15CD" w14:textId="77777777" w:rsidR="005C3528" w:rsidRDefault="005C3528" w:rsidP="005C3528">
                  <w:pPr>
                    <w:spacing w:before="40" w:after="40"/>
                    <w:rPr>
                      <w:rFonts w:cs="Arial"/>
                      <w:szCs w:val="24"/>
                    </w:rPr>
                  </w:pPr>
                  <w:proofErr w:type="spellStart"/>
                  <w:r>
                    <w:rPr>
                      <w:rFonts w:cs="Arial"/>
                      <w:szCs w:val="24"/>
                    </w:rPr>
                    <w:t>CFHealthHub</w:t>
                  </w:r>
                  <w:proofErr w:type="spellEnd"/>
                </w:p>
              </w:tc>
              <w:tc>
                <w:tcPr>
                  <w:tcW w:w="1784" w:type="dxa"/>
                </w:tcPr>
                <w:p w14:paraId="24AD02FC" w14:textId="290C947E" w:rsidR="005C3528" w:rsidRDefault="006B7574" w:rsidP="005C3528">
                  <w:pPr>
                    <w:spacing w:before="40" w:after="40"/>
                    <w:jc w:val="right"/>
                    <w:rPr>
                      <w:rFonts w:cs="Arial"/>
                      <w:szCs w:val="24"/>
                    </w:rPr>
                  </w:pPr>
                  <w:r>
                    <w:rPr>
                      <w:rFonts w:cs="Arial"/>
                      <w:szCs w:val="24"/>
                    </w:rPr>
                    <w:t>-</w:t>
                  </w:r>
                  <w:r w:rsidR="005C3528">
                    <w:rPr>
                      <w:rFonts w:cs="Arial"/>
                      <w:szCs w:val="24"/>
                    </w:rPr>
                    <w:t>£1.</w:t>
                  </w:r>
                  <w:r w:rsidR="003748C8">
                    <w:rPr>
                      <w:rFonts w:cs="Arial"/>
                      <w:szCs w:val="24"/>
                    </w:rPr>
                    <w:t>0</w:t>
                  </w:r>
                  <w:r w:rsidR="005C3528">
                    <w:rPr>
                      <w:rFonts w:cs="Arial"/>
                      <w:szCs w:val="24"/>
                    </w:rPr>
                    <w:t>m</w:t>
                  </w:r>
                </w:p>
              </w:tc>
              <w:tc>
                <w:tcPr>
                  <w:tcW w:w="2047" w:type="dxa"/>
                </w:tcPr>
                <w:p w14:paraId="1C584928" w14:textId="77777777" w:rsidR="005C3528" w:rsidRDefault="005C3528" w:rsidP="005C3528">
                  <w:pPr>
                    <w:spacing w:before="40" w:after="40"/>
                    <w:jc w:val="right"/>
                    <w:rPr>
                      <w:rFonts w:cs="Arial"/>
                      <w:szCs w:val="24"/>
                    </w:rPr>
                  </w:pPr>
                  <w:r>
                    <w:rPr>
                      <w:rFonts w:cs="Arial"/>
                      <w:szCs w:val="24"/>
                    </w:rPr>
                    <w:t>£0</w:t>
                  </w:r>
                </w:p>
              </w:tc>
              <w:tc>
                <w:tcPr>
                  <w:tcW w:w="2046" w:type="dxa"/>
                </w:tcPr>
                <w:p w14:paraId="01FB3237" w14:textId="3554EBB3" w:rsidR="005C3528" w:rsidRDefault="006B7574" w:rsidP="005C3528">
                  <w:pPr>
                    <w:spacing w:before="40" w:after="40"/>
                    <w:jc w:val="right"/>
                    <w:rPr>
                      <w:rFonts w:cs="Arial"/>
                      <w:szCs w:val="24"/>
                    </w:rPr>
                  </w:pPr>
                  <w:r>
                    <w:rPr>
                      <w:rFonts w:cs="Arial"/>
                      <w:szCs w:val="24"/>
                    </w:rPr>
                    <w:t>-</w:t>
                  </w:r>
                  <w:r w:rsidR="005C3528">
                    <w:rPr>
                      <w:rFonts w:cs="Arial"/>
                      <w:szCs w:val="24"/>
                    </w:rPr>
                    <w:t>£1.</w:t>
                  </w:r>
                  <w:r w:rsidR="003748C8">
                    <w:rPr>
                      <w:rFonts w:cs="Arial"/>
                      <w:szCs w:val="24"/>
                    </w:rPr>
                    <w:t>0</w:t>
                  </w:r>
                  <w:r w:rsidR="005C3528">
                    <w:rPr>
                      <w:rFonts w:cs="Arial"/>
                      <w:szCs w:val="24"/>
                    </w:rPr>
                    <w:t>m</w:t>
                  </w:r>
                </w:p>
              </w:tc>
            </w:tr>
            <w:tr w:rsidR="005C3528" w14:paraId="556B2BCE" w14:textId="77777777" w:rsidTr="00CC1445">
              <w:tc>
                <w:tcPr>
                  <w:tcW w:w="3823" w:type="dxa"/>
                </w:tcPr>
                <w:p w14:paraId="5E92BE71" w14:textId="33BDB570" w:rsidR="005C3528" w:rsidRDefault="005C3528" w:rsidP="00CC1445">
                  <w:pPr>
                    <w:spacing w:before="40" w:after="40"/>
                    <w:rPr>
                      <w:rFonts w:cs="Arial"/>
                      <w:szCs w:val="24"/>
                    </w:rPr>
                  </w:pPr>
                  <w:r>
                    <w:rPr>
                      <w:rFonts w:cs="Arial"/>
                      <w:szCs w:val="24"/>
                    </w:rPr>
                    <w:t>Additional inhaled drug costs</w:t>
                  </w:r>
                  <w:r w:rsidR="00CC1445">
                    <w:rPr>
                      <w:rFonts w:cs="Arial"/>
                      <w:szCs w:val="24"/>
                    </w:rPr>
                    <w:t xml:space="preserve"> [3]</w:t>
                  </w:r>
                </w:p>
              </w:tc>
              <w:tc>
                <w:tcPr>
                  <w:tcW w:w="1784" w:type="dxa"/>
                </w:tcPr>
                <w:p w14:paraId="3EA0E8AA" w14:textId="2982B436" w:rsidR="005C3528" w:rsidRDefault="006B7574" w:rsidP="00A11929">
                  <w:pPr>
                    <w:spacing w:before="40" w:after="40"/>
                    <w:jc w:val="right"/>
                    <w:rPr>
                      <w:rFonts w:cs="Arial"/>
                      <w:szCs w:val="24"/>
                    </w:rPr>
                  </w:pPr>
                  <w:r>
                    <w:rPr>
                      <w:rFonts w:cs="Arial"/>
                      <w:szCs w:val="24"/>
                    </w:rPr>
                    <w:t>-£</w:t>
                  </w:r>
                  <w:r w:rsidR="00A724AD">
                    <w:rPr>
                      <w:rFonts w:cs="Arial"/>
                      <w:szCs w:val="24"/>
                    </w:rPr>
                    <w:t>3</w:t>
                  </w:r>
                  <w:r w:rsidR="005C3528">
                    <w:rPr>
                      <w:rFonts w:cs="Arial"/>
                      <w:szCs w:val="24"/>
                    </w:rPr>
                    <w:t>.</w:t>
                  </w:r>
                  <w:r w:rsidR="00A11929">
                    <w:rPr>
                      <w:rFonts w:cs="Arial"/>
                      <w:szCs w:val="24"/>
                    </w:rPr>
                    <w:t>0</w:t>
                  </w:r>
                  <w:r w:rsidR="005C3528">
                    <w:rPr>
                      <w:rFonts w:cs="Arial"/>
                      <w:szCs w:val="24"/>
                    </w:rPr>
                    <w:t>m</w:t>
                  </w:r>
                </w:p>
              </w:tc>
              <w:tc>
                <w:tcPr>
                  <w:tcW w:w="2047" w:type="dxa"/>
                </w:tcPr>
                <w:p w14:paraId="3E0AA603" w14:textId="6FACFF0E" w:rsidR="005C3528" w:rsidRDefault="006B7574" w:rsidP="00A11929">
                  <w:pPr>
                    <w:spacing w:before="40" w:after="40"/>
                    <w:jc w:val="right"/>
                    <w:rPr>
                      <w:rFonts w:cs="Arial"/>
                      <w:szCs w:val="24"/>
                    </w:rPr>
                  </w:pPr>
                  <w:r>
                    <w:rPr>
                      <w:rFonts w:cs="Arial"/>
                      <w:szCs w:val="24"/>
                    </w:rPr>
                    <w:t>-</w:t>
                  </w:r>
                  <w:r w:rsidR="005C3528">
                    <w:rPr>
                      <w:rFonts w:cs="Arial"/>
                      <w:szCs w:val="24"/>
                    </w:rPr>
                    <w:t>£</w:t>
                  </w:r>
                  <w:r w:rsidR="00A724AD">
                    <w:rPr>
                      <w:rFonts w:cs="Arial"/>
                      <w:szCs w:val="24"/>
                    </w:rPr>
                    <w:t>3</w:t>
                  </w:r>
                  <w:r w:rsidR="005C3528">
                    <w:rPr>
                      <w:rFonts w:cs="Arial"/>
                      <w:szCs w:val="24"/>
                    </w:rPr>
                    <w:t>.</w:t>
                  </w:r>
                  <w:r w:rsidR="00A11929">
                    <w:rPr>
                      <w:rFonts w:cs="Arial"/>
                      <w:szCs w:val="24"/>
                    </w:rPr>
                    <w:t>0</w:t>
                  </w:r>
                  <w:r w:rsidR="005C3528">
                    <w:rPr>
                      <w:rFonts w:cs="Arial"/>
                      <w:szCs w:val="24"/>
                    </w:rPr>
                    <w:t>m</w:t>
                  </w:r>
                </w:p>
              </w:tc>
              <w:tc>
                <w:tcPr>
                  <w:tcW w:w="2046" w:type="dxa"/>
                </w:tcPr>
                <w:p w14:paraId="398F9C47" w14:textId="77777777" w:rsidR="005C3528" w:rsidRDefault="005C3528" w:rsidP="005C3528">
                  <w:pPr>
                    <w:spacing w:before="40" w:after="40"/>
                    <w:jc w:val="right"/>
                    <w:rPr>
                      <w:rFonts w:cs="Arial"/>
                      <w:szCs w:val="24"/>
                    </w:rPr>
                  </w:pPr>
                  <w:r>
                    <w:rPr>
                      <w:rFonts w:cs="Arial"/>
                      <w:szCs w:val="24"/>
                    </w:rPr>
                    <w:t>£0</w:t>
                  </w:r>
                </w:p>
              </w:tc>
            </w:tr>
            <w:tr w:rsidR="005C3528" w14:paraId="63407A64" w14:textId="77777777" w:rsidTr="00CC1445">
              <w:tc>
                <w:tcPr>
                  <w:tcW w:w="3823" w:type="dxa"/>
                </w:tcPr>
                <w:p w14:paraId="70EB3AAA" w14:textId="77777777" w:rsidR="005C3528" w:rsidRDefault="005C3528" w:rsidP="005C3528">
                  <w:pPr>
                    <w:spacing w:before="40" w:after="40"/>
                    <w:rPr>
                      <w:rFonts w:cs="Arial"/>
                      <w:szCs w:val="24"/>
                    </w:rPr>
                  </w:pPr>
                  <w:r>
                    <w:rPr>
                      <w:rFonts w:cs="Arial"/>
                      <w:szCs w:val="24"/>
                    </w:rPr>
                    <w:t>Reduced hospitalisations (patient and clinician activation)</w:t>
                  </w:r>
                </w:p>
              </w:tc>
              <w:tc>
                <w:tcPr>
                  <w:tcW w:w="1784" w:type="dxa"/>
                </w:tcPr>
                <w:p w14:paraId="0B369195" w14:textId="77777777" w:rsidR="005C3528" w:rsidRDefault="005C3528" w:rsidP="005C3528">
                  <w:pPr>
                    <w:spacing w:before="40" w:after="40"/>
                    <w:jc w:val="right"/>
                    <w:rPr>
                      <w:rFonts w:cs="Arial"/>
                      <w:szCs w:val="24"/>
                    </w:rPr>
                  </w:pPr>
                  <w:r>
                    <w:rPr>
                      <w:rFonts w:cs="Arial"/>
                      <w:szCs w:val="24"/>
                    </w:rPr>
                    <w:t>£10.6m</w:t>
                  </w:r>
                </w:p>
              </w:tc>
              <w:tc>
                <w:tcPr>
                  <w:tcW w:w="2047" w:type="dxa"/>
                </w:tcPr>
                <w:p w14:paraId="477BC47D" w14:textId="77777777" w:rsidR="005C3528" w:rsidRDefault="005C3528" w:rsidP="005C3528">
                  <w:pPr>
                    <w:spacing w:before="40" w:after="40"/>
                    <w:jc w:val="right"/>
                    <w:rPr>
                      <w:rFonts w:cs="Arial"/>
                      <w:szCs w:val="24"/>
                    </w:rPr>
                  </w:pPr>
                  <w:r>
                    <w:rPr>
                      <w:rFonts w:cs="Arial"/>
                      <w:szCs w:val="24"/>
                    </w:rPr>
                    <w:t>£0</w:t>
                  </w:r>
                </w:p>
              </w:tc>
              <w:tc>
                <w:tcPr>
                  <w:tcW w:w="2046" w:type="dxa"/>
                </w:tcPr>
                <w:p w14:paraId="722DD490" w14:textId="77777777" w:rsidR="005C3528" w:rsidRDefault="005C3528" w:rsidP="005C3528">
                  <w:pPr>
                    <w:spacing w:before="40" w:after="40"/>
                    <w:jc w:val="right"/>
                    <w:rPr>
                      <w:rFonts w:cs="Arial"/>
                      <w:szCs w:val="24"/>
                    </w:rPr>
                  </w:pPr>
                  <w:r>
                    <w:rPr>
                      <w:rFonts w:cs="Arial"/>
                      <w:szCs w:val="24"/>
                    </w:rPr>
                    <w:t>£10.6m</w:t>
                  </w:r>
                </w:p>
              </w:tc>
            </w:tr>
            <w:tr w:rsidR="005C3528" w14:paraId="33EDDE30" w14:textId="77777777" w:rsidTr="00CC1445">
              <w:tc>
                <w:tcPr>
                  <w:tcW w:w="3823" w:type="dxa"/>
                </w:tcPr>
                <w:p w14:paraId="3BA445B1" w14:textId="77777777" w:rsidR="005C3528" w:rsidRDefault="005C3528" w:rsidP="005C3528">
                  <w:pPr>
                    <w:spacing w:before="40" w:after="40"/>
                    <w:rPr>
                      <w:rFonts w:cs="Arial"/>
                      <w:szCs w:val="24"/>
                    </w:rPr>
                  </w:pPr>
                  <w:r>
                    <w:rPr>
                      <w:rFonts w:cs="Arial"/>
                      <w:szCs w:val="24"/>
                    </w:rPr>
                    <w:t>Medicines optimisation</w:t>
                  </w:r>
                </w:p>
              </w:tc>
              <w:tc>
                <w:tcPr>
                  <w:tcW w:w="1784" w:type="dxa"/>
                </w:tcPr>
                <w:p w14:paraId="28125857" w14:textId="77777777" w:rsidR="005C3528" w:rsidRDefault="005C3528" w:rsidP="005C3528">
                  <w:pPr>
                    <w:spacing w:before="40" w:after="40"/>
                    <w:jc w:val="right"/>
                    <w:rPr>
                      <w:rFonts w:cs="Arial"/>
                      <w:szCs w:val="24"/>
                    </w:rPr>
                  </w:pPr>
                  <w:r>
                    <w:rPr>
                      <w:rFonts w:cs="Arial"/>
                      <w:szCs w:val="24"/>
                    </w:rPr>
                    <w:t>£2.1m</w:t>
                  </w:r>
                </w:p>
              </w:tc>
              <w:tc>
                <w:tcPr>
                  <w:tcW w:w="2047" w:type="dxa"/>
                </w:tcPr>
                <w:p w14:paraId="62D3CE8E" w14:textId="77777777" w:rsidR="005C3528" w:rsidRDefault="005C3528" w:rsidP="005C3528">
                  <w:pPr>
                    <w:spacing w:before="40" w:after="40"/>
                    <w:jc w:val="right"/>
                    <w:rPr>
                      <w:rFonts w:cs="Arial"/>
                      <w:szCs w:val="24"/>
                    </w:rPr>
                  </w:pPr>
                  <w:r>
                    <w:rPr>
                      <w:rFonts w:cs="Arial"/>
                      <w:szCs w:val="24"/>
                    </w:rPr>
                    <w:t>£2.1m</w:t>
                  </w:r>
                </w:p>
              </w:tc>
              <w:tc>
                <w:tcPr>
                  <w:tcW w:w="2046" w:type="dxa"/>
                </w:tcPr>
                <w:p w14:paraId="72A80C54" w14:textId="77777777" w:rsidR="005C3528" w:rsidRDefault="005C3528" w:rsidP="005C3528">
                  <w:pPr>
                    <w:spacing w:before="40" w:after="40"/>
                    <w:jc w:val="right"/>
                    <w:rPr>
                      <w:rFonts w:cs="Arial"/>
                      <w:szCs w:val="24"/>
                    </w:rPr>
                  </w:pPr>
                  <w:r>
                    <w:rPr>
                      <w:rFonts w:cs="Arial"/>
                      <w:szCs w:val="24"/>
                    </w:rPr>
                    <w:t>£0</w:t>
                  </w:r>
                </w:p>
              </w:tc>
            </w:tr>
            <w:tr w:rsidR="005C3528" w14:paraId="53B34B87" w14:textId="77777777" w:rsidTr="00CC1445">
              <w:tc>
                <w:tcPr>
                  <w:tcW w:w="3823" w:type="dxa"/>
                </w:tcPr>
                <w:p w14:paraId="4771B207" w14:textId="26B602D2" w:rsidR="005C3528" w:rsidRDefault="005C3528" w:rsidP="00CC1445">
                  <w:pPr>
                    <w:spacing w:before="40" w:after="40"/>
                    <w:rPr>
                      <w:rFonts w:cs="Arial"/>
                      <w:szCs w:val="24"/>
                    </w:rPr>
                  </w:pPr>
                  <w:r>
                    <w:rPr>
                      <w:rFonts w:cs="Arial"/>
                      <w:szCs w:val="24"/>
                    </w:rPr>
                    <w:t>Intelligent commissioning</w:t>
                  </w:r>
                  <w:r w:rsidR="00CC1445">
                    <w:rPr>
                      <w:rFonts w:cs="Arial"/>
                      <w:szCs w:val="24"/>
                    </w:rPr>
                    <w:t xml:space="preserve"> [4]</w:t>
                  </w:r>
                </w:p>
              </w:tc>
              <w:tc>
                <w:tcPr>
                  <w:tcW w:w="5877" w:type="dxa"/>
                  <w:gridSpan w:val="3"/>
                </w:tcPr>
                <w:p w14:paraId="6FC7812B" w14:textId="77777777" w:rsidR="005C3528" w:rsidRPr="00653DAC" w:rsidRDefault="005C3528" w:rsidP="005C3528">
                  <w:pPr>
                    <w:spacing w:before="40" w:after="40"/>
                    <w:jc w:val="center"/>
                    <w:rPr>
                      <w:rFonts w:cs="Arial"/>
                      <w:i/>
                      <w:szCs w:val="24"/>
                    </w:rPr>
                  </w:pPr>
                  <w:r w:rsidRPr="00653DAC">
                    <w:rPr>
                      <w:rFonts w:cs="Arial"/>
                      <w:i/>
                      <w:szCs w:val="24"/>
                    </w:rPr>
                    <w:t>Further research required</w:t>
                  </w:r>
                </w:p>
              </w:tc>
            </w:tr>
            <w:tr w:rsidR="005C3528" w14:paraId="43B639D5" w14:textId="77777777" w:rsidTr="00CC1445">
              <w:tc>
                <w:tcPr>
                  <w:tcW w:w="3823" w:type="dxa"/>
                </w:tcPr>
                <w:p w14:paraId="20654C17" w14:textId="08E62298" w:rsidR="005C3528" w:rsidRPr="005C3528" w:rsidRDefault="005C3528" w:rsidP="00CC1445">
                  <w:pPr>
                    <w:spacing w:before="40" w:after="40"/>
                    <w:rPr>
                      <w:rFonts w:cs="Arial"/>
                      <w:i/>
                      <w:szCs w:val="24"/>
                    </w:rPr>
                  </w:pPr>
                  <w:r w:rsidRPr="005C3528">
                    <w:rPr>
                      <w:rFonts w:cs="Arial"/>
                      <w:i/>
                      <w:szCs w:val="24"/>
                    </w:rPr>
                    <w:t>Tariff band change</w:t>
                  </w:r>
                  <w:r w:rsidR="00CC1445">
                    <w:rPr>
                      <w:rFonts w:cs="Arial"/>
                      <w:i/>
                      <w:szCs w:val="24"/>
                    </w:rPr>
                    <w:t xml:space="preserve"> [5]</w:t>
                  </w:r>
                </w:p>
              </w:tc>
              <w:tc>
                <w:tcPr>
                  <w:tcW w:w="1784" w:type="dxa"/>
                </w:tcPr>
                <w:p w14:paraId="6924E439" w14:textId="15877938" w:rsidR="005C3528" w:rsidRPr="005C3528" w:rsidRDefault="005C3528" w:rsidP="005C3528">
                  <w:pPr>
                    <w:spacing w:before="40" w:after="40"/>
                    <w:jc w:val="right"/>
                    <w:rPr>
                      <w:rFonts w:cs="Arial"/>
                      <w:i/>
                      <w:szCs w:val="24"/>
                    </w:rPr>
                  </w:pPr>
                </w:p>
              </w:tc>
              <w:tc>
                <w:tcPr>
                  <w:tcW w:w="2047" w:type="dxa"/>
                </w:tcPr>
                <w:p w14:paraId="47543EB1" w14:textId="77777777" w:rsidR="005C3528" w:rsidRPr="005C3528" w:rsidRDefault="005C3528" w:rsidP="005C3528">
                  <w:pPr>
                    <w:spacing w:before="40" w:after="40"/>
                    <w:jc w:val="right"/>
                    <w:rPr>
                      <w:rFonts w:cs="Arial"/>
                      <w:i/>
                      <w:szCs w:val="24"/>
                    </w:rPr>
                  </w:pPr>
                  <w:r w:rsidRPr="005C3528">
                    <w:rPr>
                      <w:rFonts w:cs="Arial"/>
                      <w:i/>
                      <w:szCs w:val="24"/>
                    </w:rPr>
                    <w:t>£4.3m</w:t>
                  </w:r>
                </w:p>
              </w:tc>
              <w:tc>
                <w:tcPr>
                  <w:tcW w:w="2046" w:type="dxa"/>
                </w:tcPr>
                <w:p w14:paraId="05F5D9EE" w14:textId="50AC3814" w:rsidR="005C3528" w:rsidRPr="005C3528" w:rsidRDefault="006B7574" w:rsidP="006B7574">
                  <w:pPr>
                    <w:spacing w:before="40" w:after="40"/>
                    <w:jc w:val="right"/>
                    <w:rPr>
                      <w:rFonts w:cs="Arial"/>
                      <w:i/>
                      <w:szCs w:val="24"/>
                    </w:rPr>
                  </w:pPr>
                  <w:r>
                    <w:rPr>
                      <w:rFonts w:cs="Arial"/>
                      <w:i/>
                      <w:szCs w:val="24"/>
                    </w:rPr>
                    <w:t>-</w:t>
                  </w:r>
                  <w:r w:rsidR="005C3528" w:rsidRPr="005C3528">
                    <w:rPr>
                      <w:rFonts w:cs="Arial"/>
                      <w:i/>
                      <w:szCs w:val="24"/>
                    </w:rPr>
                    <w:t>£</w:t>
                  </w:r>
                  <w:r>
                    <w:rPr>
                      <w:rFonts w:cs="Arial"/>
                      <w:i/>
                      <w:szCs w:val="24"/>
                    </w:rPr>
                    <w:t>4.3m</w:t>
                  </w:r>
                </w:p>
              </w:tc>
            </w:tr>
            <w:tr w:rsidR="005C3528" w14:paraId="6BC48CF1" w14:textId="77777777" w:rsidTr="00CC1445">
              <w:tc>
                <w:tcPr>
                  <w:tcW w:w="3823" w:type="dxa"/>
                </w:tcPr>
                <w:p w14:paraId="40D566F6" w14:textId="77777777" w:rsidR="005C3528" w:rsidRDefault="005C3528" w:rsidP="005C3528">
                  <w:pPr>
                    <w:spacing w:before="40" w:after="40"/>
                    <w:rPr>
                      <w:rFonts w:cs="Arial"/>
                      <w:szCs w:val="24"/>
                    </w:rPr>
                  </w:pPr>
                </w:p>
              </w:tc>
              <w:tc>
                <w:tcPr>
                  <w:tcW w:w="5877" w:type="dxa"/>
                  <w:gridSpan w:val="3"/>
                </w:tcPr>
                <w:p w14:paraId="55DBC940" w14:textId="77777777" w:rsidR="005C3528" w:rsidRPr="00653DAC" w:rsidRDefault="005C3528" w:rsidP="005C3528">
                  <w:pPr>
                    <w:spacing w:before="40" w:after="40"/>
                    <w:jc w:val="center"/>
                    <w:rPr>
                      <w:rFonts w:cs="Arial"/>
                      <w:i/>
                      <w:szCs w:val="24"/>
                    </w:rPr>
                  </w:pPr>
                </w:p>
              </w:tc>
            </w:tr>
            <w:tr w:rsidR="005C3528" w14:paraId="3AE79BC2" w14:textId="77777777" w:rsidTr="00CC1445">
              <w:tc>
                <w:tcPr>
                  <w:tcW w:w="3823" w:type="dxa"/>
                  <w:shd w:val="clear" w:color="auto" w:fill="F2F2F2" w:themeFill="background1" w:themeFillShade="F2"/>
                </w:tcPr>
                <w:p w14:paraId="1BD4C137" w14:textId="77777777" w:rsidR="005C3528" w:rsidRPr="00653DAC" w:rsidRDefault="005C3528" w:rsidP="005C3528">
                  <w:pPr>
                    <w:spacing w:before="40" w:after="40"/>
                    <w:rPr>
                      <w:rFonts w:cs="Arial"/>
                      <w:b/>
                      <w:szCs w:val="24"/>
                    </w:rPr>
                  </w:pPr>
                  <w:r>
                    <w:rPr>
                      <w:rFonts w:cs="Arial"/>
                      <w:b/>
                      <w:szCs w:val="24"/>
                    </w:rPr>
                    <w:t>Annual enduring n</w:t>
                  </w:r>
                  <w:r w:rsidRPr="00653DAC">
                    <w:rPr>
                      <w:rFonts w:cs="Arial"/>
                      <w:b/>
                      <w:szCs w:val="24"/>
                    </w:rPr>
                    <w:t>et savings</w:t>
                  </w:r>
                </w:p>
              </w:tc>
              <w:tc>
                <w:tcPr>
                  <w:tcW w:w="1784" w:type="dxa"/>
                  <w:shd w:val="clear" w:color="auto" w:fill="F2F2F2" w:themeFill="background1" w:themeFillShade="F2"/>
                </w:tcPr>
                <w:p w14:paraId="4C05260F" w14:textId="15586B13" w:rsidR="005C3528" w:rsidRPr="00653DAC" w:rsidRDefault="00A11929" w:rsidP="00A11929">
                  <w:pPr>
                    <w:spacing w:before="40" w:after="40"/>
                    <w:jc w:val="right"/>
                    <w:rPr>
                      <w:rFonts w:cs="Arial"/>
                      <w:b/>
                      <w:szCs w:val="24"/>
                    </w:rPr>
                  </w:pPr>
                  <w:r>
                    <w:rPr>
                      <w:rFonts w:cs="Arial"/>
                      <w:b/>
                      <w:szCs w:val="24"/>
                    </w:rPr>
                    <w:t xml:space="preserve">&gt; </w:t>
                  </w:r>
                  <w:r w:rsidR="005C3528">
                    <w:rPr>
                      <w:rFonts w:cs="Arial"/>
                      <w:b/>
                      <w:szCs w:val="24"/>
                    </w:rPr>
                    <w:t>£</w:t>
                  </w:r>
                  <w:r>
                    <w:rPr>
                      <w:rFonts w:cs="Arial"/>
                      <w:b/>
                      <w:szCs w:val="24"/>
                    </w:rPr>
                    <w:t>8</w:t>
                  </w:r>
                  <w:r w:rsidR="00A724AD">
                    <w:rPr>
                      <w:rFonts w:cs="Arial"/>
                      <w:b/>
                      <w:szCs w:val="24"/>
                    </w:rPr>
                    <w:t>.</w:t>
                  </w:r>
                  <w:r w:rsidR="003748C8">
                    <w:rPr>
                      <w:rFonts w:cs="Arial"/>
                      <w:b/>
                      <w:szCs w:val="24"/>
                    </w:rPr>
                    <w:t>7</w:t>
                  </w:r>
                  <w:r w:rsidR="005C3528">
                    <w:rPr>
                      <w:rFonts w:cs="Arial"/>
                      <w:b/>
                      <w:szCs w:val="24"/>
                    </w:rPr>
                    <w:t>m</w:t>
                  </w:r>
                </w:p>
              </w:tc>
              <w:tc>
                <w:tcPr>
                  <w:tcW w:w="2047" w:type="dxa"/>
                  <w:shd w:val="clear" w:color="auto" w:fill="F2F2F2" w:themeFill="background1" w:themeFillShade="F2"/>
                </w:tcPr>
                <w:p w14:paraId="7C91E76F" w14:textId="1A4750B3" w:rsidR="005C3528" w:rsidRPr="00653DAC" w:rsidRDefault="00A11929" w:rsidP="00A11929">
                  <w:pPr>
                    <w:spacing w:before="40" w:after="40"/>
                    <w:jc w:val="right"/>
                    <w:rPr>
                      <w:rFonts w:cs="Arial"/>
                      <w:b/>
                      <w:szCs w:val="24"/>
                    </w:rPr>
                  </w:pPr>
                  <w:r>
                    <w:rPr>
                      <w:rFonts w:cs="Arial"/>
                      <w:b/>
                      <w:szCs w:val="24"/>
                    </w:rPr>
                    <w:t xml:space="preserve">&gt; </w:t>
                  </w:r>
                  <w:r w:rsidR="005C3528">
                    <w:rPr>
                      <w:rFonts w:cs="Arial"/>
                      <w:b/>
                      <w:szCs w:val="24"/>
                    </w:rPr>
                    <w:t>£</w:t>
                  </w:r>
                  <w:r>
                    <w:rPr>
                      <w:rFonts w:cs="Arial"/>
                      <w:b/>
                      <w:szCs w:val="24"/>
                    </w:rPr>
                    <w:t>3</w:t>
                  </w:r>
                  <w:r w:rsidR="005C3528">
                    <w:rPr>
                      <w:rFonts w:cs="Arial"/>
                      <w:b/>
                      <w:szCs w:val="24"/>
                    </w:rPr>
                    <w:t>.</w:t>
                  </w:r>
                  <w:r>
                    <w:rPr>
                      <w:rFonts w:cs="Arial"/>
                      <w:b/>
                      <w:szCs w:val="24"/>
                    </w:rPr>
                    <w:t>4</w:t>
                  </w:r>
                  <w:r w:rsidR="005C3528">
                    <w:rPr>
                      <w:rFonts w:cs="Arial"/>
                      <w:b/>
                      <w:szCs w:val="24"/>
                    </w:rPr>
                    <w:t>m</w:t>
                  </w:r>
                </w:p>
              </w:tc>
              <w:tc>
                <w:tcPr>
                  <w:tcW w:w="2046" w:type="dxa"/>
                  <w:shd w:val="clear" w:color="auto" w:fill="F2F2F2" w:themeFill="background1" w:themeFillShade="F2"/>
                </w:tcPr>
                <w:p w14:paraId="0468934D" w14:textId="11D06BBB" w:rsidR="005C3528" w:rsidRPr="00653DAC" w:rsidRDefault="005C3528" w:rsidP="005C3528">
                  <w:pPr>
                    <w:spacing w:before="40" w:after="40"/>
                    <w:jc w:val="right"/>
                    <w:rPr>
                      <w:rFonts w:cs="Arial"/>
                      <w:b/>
                      <w:szCs w:val="24"/>
                    </w:rPr>
                  </w:pPr>
                  <w:r>
                    <w:rPr>
                      <w:rFonts w:cs="Arial"/>
                      <w:b/>
                      <w:szCs w:val="24"/>
                    </w:rPr>
                    <w:t>£</w:t>
                  </w:r>
                  <w:r w:rsidR="003748C8">
                    <w:rPr>
                      <w:rFonts w:cs="Arial"/>
                      <w:b/>
                      <w:szCs w:val="24"/>
                    </w:rPr>
                    <w:t>5</w:t>
                  </w:r>
                  <w:r>
                    <w:rPr>
                      <w:rFonts w:cs="Arial"/>
                      <w:b/>
                      <w:szCs w:val="24"/>
                    </w:rPr>
                    <w:t>.</w:t>
                  </w:r>
                  <w:r w:rsidR="003748C8">
                    <w:rPr>
                      <w:rFonts w:cs="Arial"/>
                      <w:b/>
                      <w:szCs w:val="24"/>
                    </w:rPr>
                    <w:t>3</w:t>
                  </w:r>
                  <w:r>
                    <w:rPr>
                      <w:rFonts w:cs="Arial"/>
                      <w:b/>
                      <w:szCs w:val="24"/>
                    </w:rPr>
                    <w:t>m</w:t>
                  </w:r>
                </w:p>
              </w:tc>
            </w:tr>
            <w:tr w:rsidR="00A724AD" w14:paraId="5D044839" w14:textId="77777777" w:rsidTr="00CC1445">
              <w:tc>
                <w:tcPr>
                  <w:tcW w:w="3823" w:type="dxa"/>
                  <w:shd w:val="clear" w:color="auto" w:fill="F2F2F2" w:themeFill="background1" w:themeFillShade="F2"/>
                </w:tcPr>
                <w:p w14:paraId="59958AB7" w14:textId="7CEEA276" w:rsidR="00A724AD" w:rsidRDefault="00A724AD" w:rsidP="00CC1445">
                  <w:pPr>
                    <w:spacing w:before="40" w:after="40"/>
                    <w:rPr>
                      <w:rFonts w:cs="Arial"/>
                      <w:b/>
                      <w:szCs w:val="24"/>
                    </w:rPr>
                  </w:pPr>
                  <w:r>
                    <w:rPr>
                      <w:rFonts w:cs="Arial"/>
                      <w:b/>
                      <w:szCs w:val="24"/>
                    </w:rPr>
                    <w:lastRenderedPageBreak/>
                    <w:t>Long run impact (as tariffs adjust to lower costs)</w:t>
                  </w:r>
                  <w:r w:rsidR="00CC1445">
                    <w:rPr>
                      <w:rFonts w:cs="Arial"/>
                      <w:b/>
                      <w:szCs w:val="24"/>
                    </w:rPr>
                    <w:t xml:space="preserve"> [6]</w:t>
                  </w:r>
                </w:p>
              </w:tc>
              <w:tc>
                <w:tcPr>
                  <w:tcW w:w="1784" w:type="dxa"/>
                  <w:shd w:val="clear" w:color="auto" w:fill="F2F2F2" w:themeFill="background1" w:themeFillShade="F2"/>
                </w:tcPr>
                <w:p w14:paraId="58F76386" w14:textId="1D5BB542" w:rsidR="00A724AD" w:rsidRDefault="00A11929" w:rsidP="00A11929">
                  <w:pPr>
                    <w:spacing w:before="40" w:after="40"/>
                    <w:jc w:val="right"/>
                    <w:rPr>
                      <w:rFonts w:cs="Arial"/>
                      <w:b/>
                      <w:szCs w:val="24"/>
                    </w:rPr>
                  </w:pPr>
                  <w:r>
                    <w:rPr>
                      <w:rFonts w:cs="Arial"/>
                      <w:b/>
                      <w:szCs w:val="24"/>
                    </w:rPr>
                    <w:t>&gt; £8.</w:t>
                  </w:r>
                  <w:r w:rsidR="003748C8">
                    <w:rPr>
                      <w:rFonts w:cs="Arial"/>
                      <w:b/>
                      <w:szCs w:val="24"/>
                    </w:rPr>
                    <w:t>7</w:t>
                  </w:r>
                  <w:r>
                    <w:rPr>
                      <w:rFonts w:cs="Arial"/>
                      <w:b/>
                      <w:szCs w:val="24"/>
                    </w:rPr>
                    <w:t>m</w:t>
                  </w:r>
                </w:p>
              </w:tc>
              <w:tc>
                <w:tcPr>
                  <w:tcW w:w="2047" w:type="dxa"/>
                  <w:shd w:val="clear" w:color="auto" w:fill="F2F2F2" w:themeFill="background1" w:themeFillShade="F2"/>
                </w:tcPr>
                <w:p w14:paraId="25B1EBBD" w14:textId="3784A8D9" w:rsidR="00A724AD" w:rsidRDefault="00A11929" w:rsidP="00A11929">
                  <w:pPr>
                    <w:spacing w:before="40" w:after="40"/>
                    <w:jc w:val="right"/>
                    <w:rPr>
                      <w:rFonts w:cs="Arial"/>
                      <w:b/>
                      <w:szCs w:val="24"/>
                    </w:rPr>
                  </w:pPr>
                  <w:r>
                    <w:rPr>
                      <w:rFonts w:cs="Arial"/>
                      <w:b/>
                      <w:szCs w:val="24"/>
                    </w:rPr>
                    <w:t>&gt; £8.</w:t>
                  </w:r>
                  <w:r w:rsidR="003748C8">
                    <w:rPr>
                      <w:rFonts w:cs="Arial"/>
                      <w:b/>
                      <w:szCs w:val="24"/>
                    </w:rPr>
                    <w:t>7</w:t>
                  </w:r>
                  <w:r>
                    <w:rPr>
                      <w:rFonts w:cs="Arial"/>
                      <w:b/>
                      <w:szCs w:val="24"/>
                    </w:rPr>
                    <w:t>m</w:t>
                  </w:r>
                </w:p>
              </w:tc>
              <w:tc>
                <w:tcPr>
                  <w:tcW w:w="2046" w:type="dxa"/>
                  <w:shd w:val="clear" w:color="auto" w:fill="F2F2F2" w:themeFill="background1" w:themeFillShade="F2"/>
                </w:tcPr>
                <w:p w14:paraId="35AD8641" w14:textId="0200496B" w:rsidR="00A724AD" w:rsidRDefault="00A11929" w:rsidP="005C3528">
                  <w:pPr>
                    <w:spacing w:before="40" w:after="40"/>
                    <w:jc w:val="right"/>
                    <w:rPr>
                      <w:rFonts w:cs="Arial"/>
                      <w:b/>
                      <w:szCs w:val="24"/>
                    </w:rPr>
                  </w:pPr>
                  <w:r>
                    <w:rPr>
                      <w:rFonts w:cs="Arial"/>
                      <w:b/>
                      <w:szCs w:val="24"/>
                    </w:rPr>
                    <w:t>0</w:t>
                  </w:r>
                </w:p>
              </w:tc>
            </w:tr>
          </w:tbl>
          <w:p w14:paraId="6C0F7BCF" w14:textId="77777777" w:rsidR="005C3528" w:rsidRDefault="005C3528" w:rsidP="007103D5">
            <w:pPr>
              <w:spacing w:before="40" w:after="40"/>
              <w:rPr>
                <w:rFonts w:cs="Arial"/>
                <w:szCs w:val="24"/>
              </w:rPr>
            </w:pPr>
          </w:p>
          <w:p w14:paraId="0EF9F09E" w14:textId="00AC463E" w:rsidR="00891FCC" w:rsidRDefault="00891FCC" w:rsidP="007103D5">
            <w:pPr>
              <w:spacing w:before="40" w:after="40"/>
              <w:rPr>
                <w:rFonts w:cs="Arial"/>
                <w:szCs w:val="24"/>
              </w:rPr>
            </w:pPr>
            <w:r>
              <w:rPr>
                <w:rFonts w:cs="Arial"/>
                <w:szCs w:val="24"/>
              </w:rPr>
              <w:t>Notes</w:t>
            </w:r>
          </w:p>
          <w:p w14:paraId="1856EE60" w14:textId="67FB95EB" w:rsidR="00653DAC" w:rsidRPr="0065756E" w:rsidRDefault="0053461A" w:rsidP="0003373B">
            <w:pPr>
              <w:pStyle w:val="ListParagraph"/>
              <w:numPr>
                <w:ilvl w:val="0"/>
                <w:numId w:val="6"/>
              </w:numPr>
              <w:spacing w:before="40" w:after="40"/>
              <w:rPr>
                <w:rFonts w:cs="Arial"/>
                <w:sz w:val="22"/>
                <w:szCs w:val="22"/>
              </w:rPr>
            </w:pPr>
            <w:r w:rsidRPr="0065756E">
              <w:rPr>
                <w:rFonts w:cs="Arial"/>
                <w:sz w:val="22"/>
                <w:szCs w:val="22"/>
              </w:rPr>
              <w:t xml:space="preserve">This table has been based on 3,000 patients with chronic pseudomonas </w:t>
            </w:r>
            <w:r w:rsidR="00891FCC" w:rsidRPr="0065756E">
              <w:rPr>
                <w:rFonts w:cs="Arial"/>
                <w:sz w:val="22"/>
                <w:szCs w:val="22"/>
              </w:rPr>
              <w:t>which is the closest round figure to th</w:t>
            </w:r>
            <w:r w:rsidR="00416E27" w:rsidRPr="0065756E">
              <w:rPr>
                <w:rFonts w:cs="Arial"/>
                <w:sz w:val="22"/>
                <w:szCs w:val="22"/>
              </w:rPr>
              <w:t xml:space="preserve">e 2,979 patients considered in </w:t>
            </w:r>
            <w:proofErr w:type="spellStart"/>
            <w:r w:rsidR="00416E27" w:rsidRPr="0065756E">
              <w:rPr>
                <w:rFonts w:cs="Arial"/>
                <w:sz w:val="22"/>
                <w:szCs w:val="22"/>
              </w:rPr>
              <w:t>Tappenden</w:t>
            </w:r>
            <w:proofErr w:type="spellEnd"/>
            <w:r w:rsidR="00416E27" w:rsidRPr="0065756E">
              <w:rPr>
                <w:rFonts w:cs="Arial"/>
                <w:sz w:val="22"/>
                <w:szCs w:val="22"/>
              </w:rPr>
              <w:t xml:space="preserve"> et al </w:t>
            </w:r>
            <w:proofErr w:type="spellStart"/>
            <w:r w:rsidR="00416E27" w:rsidRPr="0065756E">
              <w:rPr>
                <w:rFonts w:cs="Arial"/>
                <w:sz w:val="22"/>
                <w:szCs w:val="22"/>
              </w:rPr>
              <w:t>PharmacoEconomics</w:t>
            </w:r>
            <w:proofErr w:type="spellEnd"/>
            <w:r w:rsidR="00416E27" w:rsidRPr="0065756E">
              <w:rPr>
                <w:rFonts w:cs="Arial"/>
                <w:sz w:val="22"/>
                <w:szCs w:val="22"/>
              </w:rPr>
              <w:t xml:space="preserve"> (2017) 35; 647-659 </w:t>
            </w:r>
            <w:r w:rsidR="00891FCC" w:rsidRPr="0065756E">
              <w:rPr>
                <w:rFonts w:cs="Arial"/>
                <w:sz w:val="22"/>
                <w:szCs w:val="22"/>
              </w:rPr>
              <w:t xml:space="preserve">and offers a helpful approximation to the current number of English patients with chronic pseudomonas. </w:t>
            </w:r>
          </w:p>
          <w:p w14:paraId="2BAFE276" w14:textId="136CA9D0" w:rsidR="00891FCC" w:rsidRPr="0065756E" w:rsidRDefault="00891FCC" w:rsidP="0003373B">
            <w:pPr>
              <w:pStyle w:val="ListParagraph"/>
              <w:numPr>
                <w:ilvl w:val="0"/>
                <w:numId w:val="6"/>
              </w:numPr>
              <w:spacing w:before="40" w:after="40"/>
              <w:rPr>
                <w:rFonts w:cs="Arial"/>
                <w:sz w:val="22"/>
                <w:szCs w:val="22"/>
              </w:rPr>
            </w:pPr>
            <w:r w:rsidRPr="0065756E">
              <w:rPr>
                <w:rFonts w:cs="Arial"/>
                <w:sz w:val="22"/>
                <w:szCs w:val="22"/>
              </w:rPr>
              <w:t xml:space="preserve">These potential enduring net savings may be exceeded in the long-run because of the increasing life expectancy of the UK CF population. The UK adult CF population will inevitably grow by a third within a decade. </w:t>
            </w:r>
            <w:proofErr w:type="spellStart"/>
            <w:r w:rsidRPr="0065756E">
              <w:rPr>
                <w:rFonts w:cs="Arial"/>
                <w:sz w:val="22"/>
                <w:szCs w:val="22"/>
              </w:rPr>
              <w:t>CFHealthHub</w:t>
            </w:r>
            <w:proofErr w:type="spellEnd"/>
            <w:r w:rsidRPr="0065756E">
              <w:rPr>
                <w:rFonts w:cs="Arial"/>
                <w:sz w:val="22"/>
                <w:szCs w:val="22"/>
              </w:rPr>
              <w:t xml:space="preserve"> builds the learning health system to mitigate the costs of this growth.</w:t>
            </w:r>
          </w:p>
          <w:p w14:paraId="486FF588" w14:textId="77777777" w:rsidR="00A11929" w:rsidRPr="00CC1445" w:rsidRDefault="00D822D5" w:rsidP="0003373B">
            <w:pPr>
              <w:pStyle w:val="ListParagraph"/>
              <w:numPr>
                <w:ilvl w:val="0"/>
                <w:numId w:val="6"/>
              </w:numPr>
              <w:spacing w:before="40" w:after="40"/>
              <w:rPr>
                <w:rFonts w:cs="Arial"/>
                <w:szCs w:val="24"/>
              </w:rPr>
            </w:pPr>
            <w:proofErr w:type="spellStart"/>
            <w:r w:rsidRPr="0065756E">
              <w:rPr>
                <w:rFonts w:cs="Arial"/>
                <w:sz w:val="22"/>
                <w:szCs w:val="22"/>
              </w:rPr>
              <w:t>CFHealthHub</w:t>
            </w:r>
            <w:proofErr w:type="spellEnd"/>
            <w:r w:rsidRPr="0065756E">
              <w:rPr>
                <w:rFonts w:cs="Arial"/>
                <w:sz w:val="22"/>
                <w:szCs w:val="22"/>
              </w:rPr>
              <w:t xml:space="preserve"> is likely to deliver substantial savings without a corresponding increase in expenditure on high-cost drugs</w:t>
            </w:r>
            <w:r w:rsidR="00576A8C" w:rsidRPr="0065756E">
              <w:rPr>
                <w:rFonts w:cs="Arial"/>
                <w:sz w:val="22"/>
                <w:szCs w:val="22"/>
              </w:rPr>
              <w:t xml:space="preserve"> because while increased adherence equates to increased drug use, even with the 28%</w:t>
            </w:r>
            <w:r w:rsidR="00A724AD">
              <w:rPr>
                <w:rFonts w:cs="Arial"/>
                <w:sz w:val="22"/>
                <w:szCs w:val="22"/>
              </w:rPr>
              <w:t xml:space="preserve"> increase in national adherence</w:t>
            </w:r>
            <w:r w:rsidR="00416E27" w:rsidRPr="0065756E">
              <w:rPr>
                <w:rFonts w:cs="Arial"/>
                <w:sz w:val="22"/>
                <w:szCs w:val="22"/>
              </w:rPr>
              <w:t xml:space="preserve"> considered to underpin the </w:t>
            </w:r>
            <w:proofErr w:type="spellStart"/>
            <w:r w:rsidR="00416E27" w:rsidRPr="0065756E">
              <w:rPr>
                <w:rFonts w:cs="Arial"/>
                <w:sz w:val="22"/>
                <w:szCs w:val="22"/>
              </w:rPr>
              <w:t>Tappenden</w:t>
            </w:r>
            <w:proofErr w:type="spellEnd"/>
            <w:r w:rsidR="00416E27" w:rsidRPr="0065756E">
              <w:rPr>
                <w:rFonts w:cs="Arial"/>
                <w:sz w:val="22"/>
                <w:szCs w:val="22"/>
              </w:rPr>
              <w:t xml:space="preserve"> health economic model </w:t>
            </w:r>
            <w:r w:rsidR="00576A8C" w:rsidRPr="0065756E">
              <w:rPr>
                <w:rFonts w:cs="Arial"/>
                <w:sz w:val="22"/>
                <w:szCs w:val="22"/>
              </w:rPr>
              <w:t>the resultant new national adherence level of 61% would be below the current best estimate for the medicine possession ratio of 63%.</w:t>
            </w:r>
            <w:r w:rsidR="00576A8C" w:rsidRPr="00A724AD">
              <w:rPr>
                <w:rFonts w:cs="Arial"/>
                <w:sz w:val="22"/>
                <w:szCs w:val="22"/>
              </w:rPr>
              <w:t xml:space="preserve"> </w:t>
            </w:r>
            <w:r w:rsidR="0032505F" w:rsidRPr="00A724AD">
              <w:rPr>
                <w:rFonts w:cs="Arial"/>
                <w:sz w:val="22"/>
                <w:szCs w:val="22"/>
              </w:rPr>
              <w:t>See figure 1</w:t>
            </w:r>
            <w:r w:rsidR="00576A8C" w:rsidRPr="00A724AD">
              <w:rPr>
                <w:rFonts w:cs="Arial"/>
                <w:sz w:val="22"/>
                <w:szCs w:val="22"/>
              </w:rPr>
              <w:t xml:space="preserve"> below.</w:t>
            </w:r>
            <w:r w:rsidR="00A724AD" w:rsidRPr="00A724AD">
              <w:rPr>
                <w:rFonts w:cs="Arial"/>
                <w:sz w:val="22"/>
                <w:szCs w:val="22"/>
              </w:rPr>
              <w:t xml:space="preserve"> The table assumes, that</w:t>
            </w:r>
            <w:r w:rsidR="00A11929">
              <w:rPr>
                <w:rFonts w:cs="Arial"/>
                <w:sz w:val="22"/>
                <w:szCs w:val="22"/>
              </w:rPr>
              <w:t xml:space="preserve"> 60% of </w:t>
            </w:r>
            <w:r w:rsidR="00A724AD" w:rsidRPr="00A724AD">
              <w:rPr>
                <w:rFonts w:cs="Arial"/>
                <w:sz w:val="22"/>
                <w:szCs w:val="22"/>
              </w:rPr>
              <w:t>the increased utilisation is offset by the improve waste avoidance that the system facilitates.</w:t>
            </w:r>
            <w:r w:rsidR="00A11929">
              <w:t xml:space="preserve"> </w:t>
            </w:r>
          </w:p>
          <w:p w14:paraId="7ACD909E" w14:textId="20A38B77" w:rsidR="00CC1445" w:rsidRPr="00CC1445" w:rsidRDefault="00CC1445" w:rsidP="0003373B">
            <w:pPr>
              <w:pStyle w:val="ListParagraph"/>
              <w:numPr>
                <w:ilvl w:val="0"/>
                <w:numId w:val="6"/>
              </w:numPr>
              <w:spacing w:before="40" w:after="40"/>
              <w:rPr>
                <w:rFonts w:cs="Arial"/>
                <w:sz w:val="22"/>
                <w:szCs w:val="22"/>
              </w:rPr>
            </w:pPr>
            <w:r w:rsidRPr="00CC1445">
              <w:rPr>
                <w:rFonts w:cs="Arial"/>
                <w:sz w:val="22"/>
                <w:szCs w:val="22"/>
              </w:rPr>
              <w:t>Potential enduring savings run to the hundreds of thousands per annum. Further research is required to quantify these savings.</w:t>
            </w:r>
          </w:p>
          <w:p w14:paraId="49A1C5A6" w14:textId="7EE7373A" w:rsidR="00D52490" w:rsidRPr="00CC1445" w:rsidRDefault="00A11929" w:rsidP="0003373B">
            <w:pPr>
              <w:pStyle w:val="ListParagraph"/>
              <w:numPr>
                <w:ilvl w:val="0"/>
                <w:numId w:val="6"/>
              </w:numPr>
              <w:spacing w:before="40" w:after="40"/>
              <w:rPr>
                <w:rFonts w:cs="Arial"/>
                <w:sz w:val="22"/>
                <w:szCs w:val="22"/>
              </w:rPr>
            </w:pPr>
            <w:r w:rsidRPr="00CC1445">
              <w:rPr>
                <w:rFonts w:cs="Arial"/>
                <w:sz w:val="22"/>
                <w:szCs w:val="22"/>
              </w:rPr>
              <w:t xml:space="preserve">As patients increase their adherence they </w:t>
            </w:r>
            <w:r w:rsidR="00CC1445" w:rsidRPr="00CC1445">
              <w:rPr>
                <w:rFonts w:cs="Arial"/>
                <w:sz w:val="22"/>
                <w:szCs w:val="22"/>
              </w:rPr>
              <w:t>should</w:t>
            </w:r>
            <w:r w:rsidRPr="00CC1445">
              <w:rPr>
                <w:rFonts w:cs="Arial"/>
                <w:sz w:val="22"/>
                <w:szCs w:val="22"/>
              </w:rPr>
              <w:t xml:space="preserve"> move to a lower tariff band. The timing of this tariff band change will lag the other savings by a year, because it is based on annual reporting of data within the CF registry</w:t>
            </w:r>
            <w:r w:rsidR="00C4780C">
              <w:rPr>
                <w:rFonts w:cs="Arial"/>
                <w:sz w:val="22"/>
                <w:szCs w:val="22"/>
              </w:rPr>
              <w:t>.</w:t>
            </w:r>
            <w:r w:rsidRPr="00CC1445">
              <w:rPr>
                <w:rFonts w:cs="Arial"/>
                <w:sz w:val="22"/>
                <w:szCs w:val="22"/>
              </w:rPr>
              <w:t xml:space="preserve"> Based on modelling by </w:t>
            </w:r>
            <w:proofErr w:type="spellStart"/>
            <w:r w:rsidRPr="00CC1445">
              <w:rPr>
                <w:rFonts w:cs="Arial"/>
                <w:sz w:val="22"/>
                <w:szCs w:val="22"/>
              </w:rPr>
              <w:t>Tappenden</w:t>
            </w:r>
            <w:proofErr w:type="spellEnd"/>
            <w:r w:rsidRPr="00CC1445">
              <w:rPr>
                <w:rFonts w:cs="Arial"/>
                <w:sz w:val="22"/>
                <w:szCs w:val="22"/>
              </w:rPr>
              <w:t>, the average tariff band change is £1,421 per patient. This tariff shift might be expected to persist.</w:t>
            </w:r>
          </w:p>
          <w:p w14:paraId="6E0E3563" w14:textId="62C14B24" w:rsidR="00CC1445" w:rsidRDefault="00CC1445" w:rsidP="0003373B">
            <w:pPr>
              <w:pStyle w:val="ListParagraph"/>
              <w:numPr>
                <w:ilvl w:val="0"/>
                <w:numId w:val="6"/>
              </w:numPr>
              <w:spacing w:before="40" w:after="40"/>
              <w:rPr>
                <w:rFonts w:cs="Arial"/>
                <w:sz w:val="22"/>
                <w:szCs w:val="22"/>
              </w:rPr>
            </w:pPr>
            <w:r w:rsidRPr="00CC1445">
              <w:rPr>
                <w:rFonts w:cs="Arial"/>
                <w:sz w:val="22"/>
                <w:szCs w:val="22"/>
              </w:rPr>
              <w:t>In due course, reduced costs to providers should feed through into reduced reference cost returns and reduced tariffs, freeing resources for commissioners.</w:t>
            </w:r>
          </w:p>
          <w:p w14:paraId="67512A9E" w14:textId="52CB138F" w:rsidR="0053461A" w:rsidRDefault="0053461A" w:rsidP="007103D5">
            <w:pPr>
              <w:spacing w:before="40" w:after="40"/>
              <w:rPr>
                <w:rFonts w:cs="Arial"/>
                <w:szCs w:val="24"/>
              </w:rPr>
            </w:pPr>
            <w:r w:rsidRPr="007103D5">
              <w:rPr>
                <w:rFonts w:cs="Arial"/>
                <w:i/>
                <w:noProof/>
                <w:color w:val="FF0000"/>
                <w:szCs w:val="24"/>
              </w:rPr>
              <w:lastRenderedPageBreak/>
              <w:drawing>
                <wp:inline distT="0" distB="0" distL="0" distR="0" wp14:anchorId="53BA3455" wp14:editId="2976837C">
                  <wp:extent cx="6120000" cy="4563975"/>
                  <wp:effectExtent l="19050" t="19050" r="14605" b="27305"/>
                  <wp:docPr id="3" name="Picture 3" descr="C:\Users\Dave\AppData\Local\Temp\Screen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AppData\Local\Temp\ScreenCli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0" cy="4563975"/>
                          </a:xfrm>
                          <a:prstGeom prst="rect">
                            <a:avLst/>
                          </a:prstGeom>
                          <a:noFill/>
                          <a:ln>
                            <a:solidFill>
                              <a:schemeClr val="tx1">
                                <a:lumMod val="85000"/>
                                <a:lumOff val="15000"/>
                              </a:schemeClr>
                            </a:solidFill>
                          </a:ln>
                        </pic:spPr>
                      </pic:pic>
                    </a:graphicData>
                  </a:graphic>
                </wp:inline>
              </w:drawing>
            </w:r>
          </w:p>
          <w:p w14:paraId="4873A90B" w14:textId="39AFFA4D" w:rsidR="0053461A" w:rsidRDefault="0032505F" w:rsidP="007103D5">
            <w:pPr>
              <w:spacing w:before="40" w:after="40"/>
              <w:rPr>
                <w:rFonts w:cs="Arial"/>
                <w:b/>
                <w:szCs w:val="24"/>
              </w:rPr>
            </w:pPr>
            <w:r w:rsidRPr="0032505F">
              <w:rPr>
                <w:rFonts w:cs="Arial"/>
                <w:b/>
                <w:szCs w:val="24"/>
              </w:rPr>
              <w:t xml:space="preserve">Figure 1 Medicines possession ratio and objective medication use </w:t>
            </w:r>
          </w:p>
          <w:p w14:paraId="0D8C3B31" w14:textId="67599AB6" w:rsidR="00C808D3" w:rsidRDefault="00C808D3" w:rsidP="007103D5">
            <w:pPr>
              <w:spacing w:before="40" w:after="40"/>
              <w:rPr>
                <w:rFonts w:cs="Arial"/>
                <w:sz w:val="20"/>
                <w:szCs w:val="20"/>
              </w:rPr>
            </w:pPr>
            <w:r w:rsidRPr="00C808D3">
              <w:rPr>
                <w:rFonts w:cs="Arial"/>
                <w:sz w:val="20"/>
                <w:szCs w:val="20"/>
              </w:rPr>
              <w:t>(adherence of 35% in figure 1 is the objective adherence rates measured by chipped devices)</w:t>
            </w:r>
          </w:p>
          <w:p w14:paraId="6B8872DD" w14:textId="77777777" w:rsidR="0053461A" w:rsidRDefault="0053461A" w:rsidP="007103D5">
            <w:pPr>
              <w:spacing w:before="40" w:after="40"/>
              <w:rPr>
                <w:rFonts w:cs="Arial"/>
                <w:szCs w:val="24"/>
              </w:rPr>
            </w:pPr>
          </w:p>
          <w:p w14:paraId="6303EF09" w14:textId="33BD9352" w:rsidR="00653DAC" w:rsidRDefault="0053461A" w:rsidP="007103D5">
            <w:pPr>
              <w:spacing w:before="40" w:after="40"/>
              <w:rPr>
                <w:rFonts w:cs="Arial"/>
                <w:b/>
                <w:szCs w:val="24"/>
              </w:rPr>
            </w:pPr>
            <w:r w:rsidRPr="0053461A">
              <w:rPr>
                <w:rFonts w:cs="Arial"/>
                <w:b/>
                <w:szCs w:val="24"/>
              </w:rPr>
              <w:t>Medicines optimisation</w:t>
            </w:r>
          </w:p>
          <w:p w14:paraId="0312BDCD" w14:textId="558A22EB" w:rsidR="00653DAC" w:rsidRPr="0065756E" w:rsidRDefault="009E4497" w:rsidP="007103D5">
            <w:pPr>
              <w:spacing w:before="40" w:after="40"/>
              <w:rPr>
                <w:rFonts w:cs="Arial"/>
                <w:sz w:val="22"/>
                <w:szCs w:val="22"/>
              </w:rPr>
            </w:pPr>
            <w:r w:rsidRPr="0065756E">
              <w:rPr>
                <w:rFonts w:cs="Arial"/>
                <w:sz w:val="22"/>
                <w:szCs w:val="22"/>
              </w:rPr>
              <w:t xml:space="preserve">The medicine possession ratio for high cost inhaled therapy in adults in the UK is reported as 63% (White et al Eur Respir J 2017; 49: 1600987) whereas </w:t>
            </w:r>
            <w:r w:rsidR="005F2F86">
              <w:rPr>
                <w:rFonts w:cs="Arial"/>
                <w:sz w:val="22"/>
                <w:szCs w:val="22"/>
              </w:rPr>
              <w:t xml:space="preserve">actual objectively measured </w:t>
            </w:r>
            <w:r w:rsidRPr="0065756E">
              <w:rPr>
                <w:rFonts w:cs="Arial"/>
                <w:sz w:val="22"/>
                <w:szCs w:val="22"/>
              </w:rPr>
              <w:t xml:space="preserve">adherence is reported as 36% (Daniels et al CHEST 2011; 140(2):425–432). As homecare companies deliver a greater proportion of medicines there is the possibility of waste. </w:t>
            </w:r>
            <w:proofErr w:type="spellStart"/>
            <w:r w:rsidRPr="0065756E">
              <w:rPr>
                <w:rFonts w:cs="Arial"/>
                <w:sz w:val="22"/>
                <w:szCs w:val="22"/>
              </w:rPr>
              <w:t>CFHealthHu</w:t>
            </w:r>
            <w:r w:rsidR="00C808D3">
              <w:rPr>
                <w:rFonts w:cs="Arial"/>
                <w:sz w:val="22"/>
                <w:szCs w:val="22"/>
              </w:rPr>
              <w:t>b</w:t>
            </w:r>
            <w:proofErr w:type="spellEnd"/>
            <w:r w:rsidR="00C808D3">
              <w:rPr>
                <w:rFonts w:cs="Arial"/>
                <w:sz w:val="22"/>
                <w:szCs w:val="22"/>
              </w:rPr>
              <w:t xml:space="preserve"> will develop modules to support the use of </w:t>
            </w:r>
            <w:r w:rsidRPr="0065756E">
              <w:rPr>
                <w:rFonts w:cs="Arial"/>
                <w:sz w:val="22"/>
                <w:szCs w:val="22"/>
              </w:rPr>
              <w:t>time and</w:t>
            </w:r>
            <w:r w:rsidR="00C808D3">
              <w:rPr>
                <w:rFonts w:cs="Arial"/>
                <w:sz w:val="22"/>
                <w:szCs w:val="22"/>
              </w:rPr>
              <w:t xml:space="preserve"> date stamped drug use data to </w:t>
            </w:r>
            <w:r w:rsidRPr="0065756E">
              <w:rPr>
                <w:rFonts w:cs="Arial"/>
                <w:sz w:val="22"/>
                <w:szCs w:val="22"/>
              </w:rPr>
              <w:t xml:space="preserve">guide homecare deliveries so that the MPR approaches actual use thus avoiding waste. This </w:t>
            </w:r>
            <w:proofErr w:type="spellStart"/>
            <w:r w:rsidRPr="0065756E">
              <w:rPr>
                <w:rFonts w:cs="Arial"/>
                <w:sz w:val="22"/>
                <w:szCs w:val="22"/>
              </w:rPr>
              <w:t>CFHealthHub</w:t>
            </w:r>
            <w:proofErr w:type="spellEnd"/>
            <w:r w:rsidRPr="0065756E">
              <w:rPr>
                <w:rFonts w:cs="Arial"/>
                <w:sz w:val="22"/>
                <w:szCs w:val="22"/>
              </w:rPr>
              <w:t xml:space="preserve"> functionality will also support patients in the Lind alliance survey priority of simplifying the administration of medications to ensure just in time availability.</w:t>
            </w:r>
          </w:p>
          <w:p w14:paraId="05A72188" w14:textId="04691A6F" w:rsidR="009E4497" w:rsidRPr="0065756E" w:rsidRDefault="009E4497" w:rsidP="007103D5">
            <w:pPr>
              <w:spacing w:before="40" w:after="40"/>
              <w:rPr>
                <w:rFonts w:cs="Arial"/>
                <w:sz w:val="22"/>
                <w:szCs w:val="22"/>
              </w:rPr>
            </w:pPr>
            <w:r w:rsidRPr="0065756E">
              <w:rPr>
                <w:rFonts w:cs="Arial"/>
                <w:sz w:val="22"/>
                <w:szCs w:val="22"/>
              </w:rPr>
              <w:t>Based on initial analysis with CF pharmacists participating in the data observatory, the annual enduring saving is modelled at £708 per patient.</w:t>
            </w:r>
          </w:p>
          <w:p w14:paraId="3009C994" w14:textId="02870CC1" w:rsidR="00653DAC" w:rsidRDefault="00653DAC" w:rsidP="007103D5">
            <w:pPr>
              <w:spacing w:before="40" w:after="40"/>
              <w:rPr>
                <w:rFonts w:cs="Arial"/>
                <w:szCs w:val="24"/>
              </w:rPr>
            </w:pPr>
          </w:p>
          <w:p w14:paraId="48BF889D" w14:textId="516962A6" w:rsidR="00653DAC" w:rsidRDefault="005A0D4A" w:rsidP="00653DAC">
            <w:pPr>
              <w:spacing w:before="40" w:after="40"/>
              <w:rPr>
                <w:rFonts w:cs="Arial"/>
                <w:b/>
                <w:szCs w:val="24"/>
              </w:rPr>
            </w:pPr>
            <w:r>
              <w:rPr>
                <w:rFonts w:cs="Arial"/>
                <w:b/>
                <w:szCs w:val="24"/>
              </w:rPr>
              <w:t>Adherence data supporting i</w:t>
            </w:r>
            <w:r w:rsidR="00653DAC" w:rsidRPr="006B4C6D">
              <w:rPr>
                <w:rFonts w:cs="Arial"/>
                <w:b/>
                <w:szCs w:val="24"/>
              </w:rPr>
              <w:t>ntelligent commissioning</w:t>
            </w:r>
            <w:r>
              <w:rPr>
                <w:rFonts w:cs="Arial"/>
                <w:b/>
                <w:szCs w:val="24"/>
              </w:rPr>
              <w:t xml:space="preserve"> around new generation antibiotics</w:t>
            </w:r>
          </w:p>
          <w:p w14:paraId="31EC9F13" w14:textId="699BEADB" w:rsidR="0032505F" w:rsidRDefault="00452FCC" w:rsidP="00653DAC">
            <w:pPr>
              <w:spacing w:before="40" w:after="40"/>
              <w:rPr>
                <w:rFonts w:cs="Arial"/>
                <w:sz w:val="22"/>
                <w:szCs w:val="22"/>
              </w:rPr>
            </w:pPr>
            <w:r w:rsidRPr="0065756E">
              <w:rPr>
                <w:rFonts w:cs="Arial"/>
                <w:sz w:val="22"/>
                <w:szCs w:val="22"/>
              </w:rPr>
              <w:t xml:space="preserve">New generation inhaled antibiotics (Aztreonam and Levofloxacin) cost in the region of £12K per patient per year whereas </w:t>
            </w:r>
            <w:proofErr w:type="spellStart"/>
            <w:r w:rsidRPr="0065756E">
              <w:rPr>
                <w:rFonts w:cs="Arial"/>
                <w:sz w:val="22"/>
                <w:szCs w:val="22"/>
              </w:rPr>
              <w:t>colomycin</w:t>
            </w:r>
            <w:proofErr w:type="spellEnd"/>
            <w:r w:rsidRPr="0065756E">
              <w:rPr>
                <w:rFonts w:cs="Arial"/>
                <w:sz w:val="22"/>
                <w:szCs w:val="22"/>
              </w:rPr>
              <w:t xml:space="preserve"> costs in the region of </w:t>
            </w:r>
            <w:r w:rsidR="005F2F86">
              <w:rPr>
                <w:rFonts w:cs="Arial"/>
                <w:sz w:val="22"/>
                <w:szCs w:val="22"/>
              </w:rPr>
              <w:t>£1.1</w:t>
            </w:r>
            <w:r w:rsidR="005A0D4A" w:rsidRPr="0065756E">
              <w:rPr>
                <w:rFonts w:cs="Arial"/>
                <w:sz w:val="22"/>
                <w:szCs w:val="22"/>
              </w:rPr>
              <w:t>K per annum. Specialised commissioning guidance suggests that patients should only escalate to the more expensive new generation inhaled antibiotics if patients cannot tolerate the first line antibiotics or are deteriorating. However</w:t>
            </w:r>
            <w:r w:rsidR="00BD3D07" w:rsidRPr="0065756E">
              <w:rPr>
                <w:rFonts w:cs="Arial"/>
                <w:sz w:val="22"/>
                <w:szCs w:val="22"/>
              </w:rPr>
              <w:t>,</w:t>
            </w:r>
            <w:r w:rsidR="005A0D4A" w:rsidRPr="0065756E">
              <w:rPr>
                <w:rFonts w:cs="Arial"/>
                <w:sz w:val="22"/>
                <w:szCs w:val="22"/>
              </w:rPr>
              <w:t xml:space="preserve"> given that median adherence to inhaled antibiotics is in the region of 36%</w:t>
            </w:r>
            <w:r w:rsidR="00BD3D07" w:rsidRPr="0065756E">
              <w:rPr>
                <w:rFonts w:cs="Arial"/>
                <w:sz w:val="22"/>
                <w:szCs w:val="22"/>
              </w:rPr>
              <w:t>,</w:t>
            </w:r>
            <w:r w:rsidR="005A0D4A" w:rsidRPr="0065756E">
              <w:rPr>
                <w:rFonts w:cs="Arial"/>
                <w:sz w:val="22"/>
                <w:szCs w:val="22"/>
              </w:rPr>
              <w:t xml:space="preserve"> a significant amount of treatment failure is likely to result from non-adherence</w:t>
            </w:r>
            <w:r w:rsidR="00BD3D07" w:rsidRPr="0065756E">
              <w:rPr>
                <w:rFonts w:cs="Arial"/>
                <w:sz w:val="22"/>
                <w:szCs w:val="22"/>
              </w:rPr>
              <w:t>.</w:t>
            </w:r>
            <w:r w:rsidR="005A0D4A" w:rsidRPr="0065756E">
              <w:rPr>
                <w:rFonts w:cs="Arial"/>
                <w:sz w:val="22"/>
                <w:szCs w:val="22"/>
              </w:rPr>
              <w:t xml:space="preserve"> </w:t>
            </w:r>
            <w:r w:rsidR="00BD3D07" w:rsidRPr="0065756E">
              <w:rPr>
                <w:rFonts w:cs="Arial"/>
                <w:sz w:val="22"/>
                <w:szCs w:val="22"/>
              </w:rPr>
              <w:t>I</w:t>
            </w:r>
            <w:r w:rsidR="005A0D4A" w:rsidRPr="0065756E">
              <w:rPr>
                <w:rFonts w:cs="Arial"/>
                <w:sz w:val="22"/>
                <w:szCs w:val="22"/>
              </w:rPr>
              <w:t>n the context of non-adherence</w:t>
            </w:r>
            <w:r w:rsidR="00BD3D07" w:rsidRPr="0065756E">
              <w:rPr>
                <w:rFonts w:cs="Arial"/>
                <w:sz w:val="22"/>
                <w:szCs w:val="22"/>
              </w:rPr>
              <w:t>,</w:t>
            </w:r>
            <w:r w:rsidR="005A0D4A" w:rsidRPr="0065756E">
              <w:rPr>
                <w:rFonts w:cs="Arial"/>
                <w:sz w:val="22"/>
                <w:szCs w:val="22"/>
              </w:rPr>
              <w:t xml:space="preserve"> escalation from a twice daily £2k per annum drug to a</w:t>
            </w:r>
            <w:r w:rsidR="00BD3D07" w:rsidRPr="0065756E">
              <w:rPr>
                <w:rFonts w:cs="Arial"/>
                <w:sz w:val="22"/>
                <w:szCs w:val="22"/>
              </w:rPr>
              <w:t xml:space="preserve"> more complex</w:t>
            </w:r>
            <w:r w:rsidR="005A0D4A" w:rsidRPr="0065756E">
              <w:rPr>
                <w:rFonts w:cs="Arial"/>
                <w:sz w:val="22"/>
                <w:szCs w:val="22"/>
              </w:rPr>
              <w:t xml:space="preserve"> thrice daily </w:t>
            </w:r>
            <w:r w:rsidR="00BD3D07" w:rsidRPr="0065756E">
              <w:rPr>
                <w:rFonts w:cs="Arial"/>
                <w:sz w:val="22"/>
                <w:szCs w:val="22"/>
              </w:rPr>
              <w:t xml:space="preserve">regime with </w:t>
            </w:r>
            <w:r w:rsidR="005A0D4A" w:rsidRPr="0065756E">
              <w:rPr>
                <w:rFonts w:cs="Arial"/>
                <w:sz w:val="22"/>
                <w:szCs w:val="22"/>
              </w:rPr>
              <w:t xml:space="preserve">£12k per year drug is unlikely to deliver patient benefit. </w:t>
            </w:r>
            <w:r w:rsidR="00653DAC" w:rsidRPr="0065756E">
              <w:rPr>
                <w:rFonts w:cs="Arial"/>
                <w:sz w:val="22"/>
                <w:szCs w:val="22"/>
              </w:rPr>
              <w:t xml:space="preserve">Reducing inappropriate variation in the use of high cost </w:t>
            </w:r>
            <w:proofErr w:type="gramStart"/>
            <w:r w:rsidR="00653DAC" w:rsidRPr="0065756E">
              <w:rPr>
                <w:rFonts w:cs="Arial"/>
                <w:sz w:val="22"/>
                <w:szCs w:val="22"/>
              </w:rPr>
              <w:t>third and fourth line</w:t>
            </w:r>
            <w:proofErr w:type="gramEnd"/>
            <w:r w:rsidR="00653DAC" w:rsidRPr="0065756E">
              <w:rPr>
                <w:rFonts w:cs="Arial"/>
                <w:sz w:val="22"/>
                <w:szCs w:val="22"/>
              </w:rPr>
              <w:t xml:space="preserve"> medication </w:t>
            </w:r>
            <w:r w:rsidR="00653DAC" w:rsidRPr="0065756E">
              <w:rPr>
                <w:rFonts w:cs="Arial"/>
                <w:sz w:val="22"/>
                <w:szCs w:val="22"/>
              </w:rPr>
              <w:lastRenderedPageBreak/>
              <w:t>might save hundreds of thousands per annum.</w:t>
            </w:r>
            <w:r w:rsidR="005A0D4A" w:rsidRPr="0065756E">
              <w:rPr>
                <w:rFonts w:cs="Arial"/>
                <w:sz w:val="22"/>
                <w:szCs w:val="22"/>
              </w:rPr>
              <w:t xml:space="preserve"> </w:t>
            </w:r>
            <w:proofErr w:type="spellStart"/>
            <w:r w:rsidR="005A0D4A" w:rsidRPr="0065756E">
              <w:rPr>
                <w:rFonts w:cs="Arial"/>
                <w:sz w:val="22"/>
                <w:szCs w:val="22"/>
              </w:rPr>
              <w:t>CFHealthHub</w:t>
            </w:r>
            <w:proofErr w:type="spellEnd"/>
            <w:r w:rsidR="005A0D4A" w:rsidRPr="0065756E">
              <w:rPr>
                <w:rFonts w:cs="Arial"/>
                <w:sz w:val="22"/>
                <w:szCs w:val="22"/>
              </w:rPr>
              <w:t xml:space="preserve"> can automatically provide adherence data to support escalation decisions. Aztreonam was introduced into the UK in January 2015 and the annual spend in England in 2016/17 was in the region of £5.5 million which probably represents an additional cost of £3 million per year resulting from aztreonam replacing the cheaper alternatives.  If adherence is invisible</w:t>
            </w:r>
            <w:r w:rsidR="00BD3D07" w:rsidRPr="0065756E">
              <w:rPr>
                <w:rFonts w:cs="Arial"/>
                <w:sz w:val="22"/>
                <w:szCs w:val="22"/>
              </w:rPr>
              <w:t>,</w:t>
            </w:r>
            <w:r w:rsidR="005A0D4A" w:rsidRPr="0065756E">
              <w:rPr>
                <w:rFonts w:cs="Arial"/>
                <w:sz w:val="22"/>
                <w:szCs w:val="22"/>
              </w:rPr>
              <w:t xml:space="preserve"> it is impossible to be sure how often escalation might be avoided by adherence support for the cheaper regimen.</w:t>
            </w:r>
          </w:p>
          <w:p w14:paraId="6C629DBD" w14:textId="77777777" w:rsidR="00C808D3" w:rsidRDefault="00C808D3" w:rsidP="0026417D">
            <w:pPr>
              <w:spacing w:before="40" w:after="40"/>
              <w:rPr>
                <w:rFonts w:cs="Arial"/>
                <w:i/>
                <w:color w:val="FF0000"/>
                <w:szCs w:val="24"/>
              </w:rPr>
            </w:pPr>
          </w:p>
          <w:p w14:paraId="5761D742" w14:textId="543E131D" w:rsidR="000366C6" w:rsidRPr="00CD0C3C" w:rsidRDefault="005C3528" w:rsidP="0026417D">
            <w:pPr>
              <w:spacing w:before="40" w:after="40"/>
              <w:rPr>
                <w:rFonts w:cs="Arial"/>
                <w:b/>
                <w:szCs w:val="24"/>
              </w:rPr>
            </w:pPr>
            <w:r w:rsidRPr="000366C6">
              <w:rPr>
                <w:rFonts w:cs="Arial"/>
                <w:b/>
                <w:szCs w:val="24"/>
              </w:rPr>
              <w:t xml:space="preserve">Timing </w:t>
            </w:r>
            <w:r w:rsidR="00394EA2" w:rsidRPr="000366C6">
              <w:rPr>
                <w:rFonts w:cs="Arial"/>
                <w:b/>
                <w:szCs w:val="24"/>
              </w:rPr>
              <w:t>of savings</w:t>
            </w:r>
            <w:r w:rsidR="000366C6" w:rsidRPr="001F0813">
              <w:rPr>
                <w:rFonts w:cs="Arial"/>
                <w:strike/>
                <w:sz w:val="22"/>
                <w:szCs w:val="22"/>
              </w:rPr>
              <w:t xml:space="preserve"> </w:t>
            </w:r>
          </w:p>
          <w:p w14:paraId="0D5555C9" w14:textId="6C702177" w:rsidR="000366C6" w:rsidRPr="0065756E" w:rsidRDefault="000366C6" w:rsidP="0026417D">
            <w:pPr>
              <w:spacing w:before="40" w:after="40"/>
              <w:rPr>
                <w:rFonts w:cs="Arial"/>
                <w:sz w:val="22"/>
                <w:szCs w:val="22"/>
              </w:rPr>
            </w:pPr>
            <w:r w:rsidRPr="0065756E">
              <w:rPr>
                <w:rFonts w:cs="Arial"/>
                <w:sz w:val="22"/>
                <w:szCs w:val="22"/>
              </w:rPr>
              <w:t xml:space="preserve">In 2019-20 the medicines optimisation work will be focused on developing </w:t>
            </w:r>
            <w:r w:rsidR="00CD0C3C">
              <w:rPr>
                <w:rFonts w:cs="Arial"/>
                <w:sz w:val="22"/>
                <w:szCs w:val="22"/>
              </w:rPr>
              <w:t>simple protocols that can be delivered as part of routine care once the development phase carried out in the CQUIN is completed.</w:t>
            </w:r>
          </w:p>
          <w:p w14:paraId="6F06CD29" w14:textId="016C6914" w:rsidR="00404706" w:rsidRPr="0065756E" w:rsidRDefault="00C808D3" w:rsidP="0037141C">
            <w:pPr>
              <w:spacing w:before="40" w:after="40"/>
              <w:jc w:val="center"/>
              <w:rPr>
                <w:rFonts w:cs="Arial"/>
                <w:b/>
                <w:szCs w:val="24"/>
              </w:rPr>
            </w:pPr>
            <w:r>
              <w:rPr>
                <w:rFonts w:cs="Arial"/>
                <w:b/>
                <w:szCs w:val="24"/>
              </w:rPr>
              <w:t xml:space="preserve">Table </w:t>
            </w:r>
            <w:r w:rsidR="006F34C7">
              <w:rPr>
                <w:rFonts w:cs="Arial"/>
                <w:b/>
                <w:szCs w:val="24"/>
              </w:rPr>
              <w:t>3</w:t>
            </w:r>
            <w:r w:rsidR="00C4780C" w:rsidRPr="00C4780C">
              <w:rPr>
                <w:rFonts w:cs="Arial"/>
                <w:b/>
                <w:szCs w:val="24"/>
              </w:rPr>
              <w:t>:</w:t>
            </w:r>
            <w:r w:rsidR="00C4780C">
              <w:rPr>
                <w:rFonts w:cs="Arial"/>
                <w:b/>
                <w:sz w:val="22"/>
                <w:szCs w:val="22"/>
              </w:rPr>
              <w:t xml:space="preserve"> </w:t>
            </w:r>
            <w:r w:rsidR="00404706" w:rsidRPr="0065756E">
              <w:rPr>
                <w:rFonts w:cs="Arial"/>
                <w:b/>
                <w:szCs w:val="24"/>
              </w:rPr>
              <w:t xml:space="preserve">Example showing the potential progression of savings for a centre </w:t>
            </w:r>
            <w:r w:rsidR="00C4780C">
              <w:rPr>
                <w:rFonts w:cs="Arial"/>
                <w:b/>
                <w:szCs w:val="24"/>
              </w:rPr>
              <w:t xml:space="preserve">of </w:t>
            </w:r>
            <w:r w:rsidR="00404706" w:rsidRPr="0065756E">
              <w:rPr>
                <w:rFonts w:cs="Arial"/>
                <w:b/>
                <w:szCs w:val="24"/>
              </w:rPr>
              <w:t>1</w:t>
            </w:r>
            <w:r w:rsidR="00804982" w:rsidRPr="0065756E">
              <w:rPr>
                <w:rFonts w:cs="Arial"/>
                <w:b/>
                <w:szCs w:val="24"/>
              </w:rPr>
              <w:t>5</w:t>
            </w:r>
            <w:r w:rsidR="00404706" w:rsidRPr="0065756E">
              <w:rPr>
                <w:rFonts w:cs="Arial"/>
                <w:b/>
                <w:szCs w:val="24"/>
              </w:rPr>
              <w:t>0 patients</w:t>
            </w:r>
            <w:r w:rsidR="00C4780C">
              <w:rPr>
                <w:rFonts w:cs="Arial"/>
                <w:b/>
                <w:szCs w:val="24"/>
              </w:rPr>
              <w:t xml:space="preserve"> with CF of whom 60 are patients with Chronic </w:t>
            </w:r>
            <w:proofErr w:type="spellStart"/>
            <w:r w:rsidR="00C4780C">
              <w:rPr>
                <w:rFonts w:cs="Arial"/>
                <w:b/>
                <w:szCs w:val="24"/>
              </w:rPr>
              <w:t>Psuedomonas</w:t>
            </w:r>
            <w:proofErr w:type="spellEnd"/>
          </w:p>
          <w:p w14:paraId="2EBD7100" w14:textId="4EC65AA5" w:rsidR="00804982" w:rsidRPr="0065756E" w:rsidRDefault="001F0813" w:rsidP="0026417D">
            <w:pPr>
              <w:spacing w:before="40" w:after="40"/>
              <w:rPr>
                <w:rFonts w:cs="Arial"/>
                <w:b/>
                <w:szCs w:val="24"/>
              </w:rPr>
            </w:pPr>
            <w:r>
              <w:rPr>
                <w:rFonts w:cs="Arial"/>
                <w:b/>
                <w:szCs w:val="24"/>
              </w:rPr>
              <w:t>T</w:t>
            </w:r>
            <w:r w:rsidR="00804982" w:rsidRPr="0065756E">
              <w:rPr>
                <w:rFonts w:cs="Arial"/>
                <w:b/>
                <w:szCs w:val="24"/>
              </w:rPr>
              <w:t>he 202</w:t>
            </w:r>
            <w:r w:rsidR="00C4780C">
              <w:rPr>
                <w:rFonts w:cs="Arial"/>
                <w:b/>
                <w:szCs w:val="24"/>
              </w:rPr>
              <w:t>2</w:t>
            </w:r>
            <w:r w:rsidR="00804982" w:rsidRPr="0065756E">
              <w:rPr>
                <w:rFonts w:cs="Arial"/>
                <w:b/>
                <w:szCs w:val="24"/>
              </w:rPr>
              <w:t>-2</w:t>
            </w:r>
            <w:r w:rsidR="00C4780C">
              <w:rPr>
                <w:rFonts w:cs="Arial"/>
                <w:b/>
                <w:szCs w:val="24"/>
              </w:rPr>
              <w:t>3</w:t>
            </w:r>
            <w:r w:rsidR="00804982" w:rsidRPr="0065756E">
              <w:rPr>
                <w:rFonts w:cs="Arial"/>
                <w:b/>
                <w:szCs w:val="24"/>
              </w:rPr>
              <w:t xml:space="preserve"> savings represent the </w:t>
            </w:r>
            <w:r w:rsidR="00804982" w:rsidRPr="001F0813">
              <w:rPr>
                <w:rFonts w:cs="Arial"/>
                <w:b/>
                <w:i/>
                <w:szCs w:val="24"/>
              </w:rPr>
              <w:t>enduring</w:t>
            </w:r>
            <w:r w:rsidR="00804982" w:rsidRPr="0065756E">
              <w:rPr>
                <w:rFonts w:cs="Arial"/>
                <w:b/>
                <w:szCs w:val="24"/>
              </w:rPr>
              <w:t xml:space="preserve"> annual savings.</w:t>
            </w:r>
          </w:p>
          <w:tbl>
            <w:tblPr>
              <w:tblW w:w="9912" w:type="dxa"/>
              <w:tblLook w:val="04A0" w:firstRow="1" w:lastRow="0" w:firstColumn="1" w:lastColumn="0" w:noHBand="0" w:noVBand="1"/>
            </w:tblPr>
            <w:tblGrid>
              <w:gridCol w:w="3280"/>
              <w:gridCol w:w="1658"/>
              <w:gridCol w:w="1658"/>
              <w:gridCol w:w="1658"/>
              <w:gridCol w:w="1658"/>
            </w:tblGrid>
            <w:tr w:rsidR="00E45DB7" w:rsidRPr="00E45DB7" w14:paraId="47384B46" w14:textId="77777777" w:rsidTr="00E45DB7">
              <w:trPr>
                <w:trHeight w:val="255"/>
              </w:trPr>
              <w:tc>
                <w:tcPr>
                  <w:tcW w:w="3280" w:type="dxa"/>
                  <w:tcBorders>
                    <w:top w:val="single" w:sz="4" w:space="0" w:color="auto"/>
                    <w:left w:val="single" w:sz="4" w:space="0" w:color="auto"/>
                    <w:bottom w:val="nil"/>
                    <w:right w:val="nil"/>
                  </w:tcBorders>
                  <w:shd w:val="clear" w:color="auto" w:fill="auto"/>
                  <w:noWrap/>
                  <w:vAlign w:val="bottom"/>
                  <w:hideMark/>
                </w:tcPr>
                <w:p w14:paraId="211A33A4"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w:t>
                  </w:r>
                </w:p>
              </w:tc>
              <w:tc>
                <w:tcPr>
                  <w:tcW w:w="1658" w:type="dxa"/>
                  <w:tcBorders>
                    <w:top w:val="single" w:sz="4" w:space="0" w:color="auto"/>
                    <w:left w:val="nil"/>
                    <w:bottom w:val="single" w:sz="4" w:space="0" w:color="auto"/>
                    <w:right w:val="nil"/>
                  </w:tcBorders>
                  <w:shd w:val="clear" w:color="auto" w:fill="auto"/>
                  <w:noWrap/>
                  <w:vAlign w:val="bottom"/>
                  <w:hideMark/>
                </w:tcPr>
                <w:p w14:paraId="053BDA45"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2019-20 </w:t>
                  </w:r>
                </w:p>
              </w:tc>
              <w:tc>
                <w:tcPr>
                  <w:tcW w:w="1658" w:type="dxa"/>
                  <w:tcBorders>
                    <w:top w:val="single" w:sz="4" w:space="0" w:color="auto"/>
                    <w:left w:val="nil"/>
                    <w:bottom w:val="single" w:sz="4" w:space="0" w:color="auto"/>
                    <w:right w:val="nil"/>
                  </w:tcBorders>
                  <w:shd w:val="clear" w:color="auto" w:fill="auto"/>
                  <w:noWrap/>
                  <w:vAlign w:val="bottom"/>
                  <w:hideMark/>
                </w:tcPr>
                <w:p w14:paraId="64314BAD"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2020-21 </w:t>
                  </w:r>
                </w:p>
              </w:tc>
              <w:tc>
                <w:tcPr>
                  <w:tcW w:w="1658" w:type="dxa"/>
                  <w:tcBorders>
                    <w:top w:val="single" w:sz="4" w:space="0" w:color="auto"/>
                    <w:left w:val="nil"/>
                    <w:bottom w:val="single" w:sz="4" w:space="0" w:color="auto"/>
                    <w:right w:val="nil"/>
                  </w:tcBorders>
                  <w:shd w:val="clear" w:color="auto" w:fill="auto"/>
                  <w:noWrap/>
                  <w:vAlign w:val="bottom"/>
                  <w:hideMark/>
                </w:tcPr>
                <w:p w14:paraId="5231180B"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2021-22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407442ED"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2022-23 </w:t>
                  </w:r>
                </w:p>
              </w:tc>
            </w:tr>
            <w:tr w:rsidR="00E45DB7" w:rsidRPr="00E45DB7" w14:paraId="16C3C495" w14:textId="77777777" w:rsidTr="00E45DB7">
              <w:trPr>
                <w:trHeight w:val="255"/>
              </w:trPr>
              <w:tc>
                <w:tcPr>
                  <w:tcW w:w="3280" w:type="dxa"/>
                  <w:tcBorders>
                    <w:top w:val="nil"/>
                    <w:left w:val="single" w:sz="4" w:space="0" w:color="auto"/>
                    <w:bottom w:val="nil"/>
                    <w:right w:val="nil"/>
                  </w:tcBorders>
                  <w:shd w:val="clear" w:color="auto" w:fill="auto"/>
                  <w:noWrap/>
                  <w:vAlign w:val="bottom"/>
                  <w:hideMark/>
                </w:tcPr>
                <w:p w14:paraId="55AC99B7"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w:t>
                  </w:r>
                </w:p>
              </w:tc>
              <w:tc>
                <w:tcPr>
                  <w:tcW w:w="1658" w:type="dxa"/>
                  <w:tcBorders>
                    <w:top w:val="nil"/>
                    <w:left w:val="nil"/>
                    <w:bottom w:val="nil"/>
                    <w:right w:val="nil"/>
                  </w:tcBorders>
                  <w:shd w:val="clear" w:color="auto" w:fill="auto"/>
                  <w:noWrap/>
                  <w:vAlign w:val="bottom"/>
                  <w:hideMark/>
                </w:tcPr>
                <w:p w14:paraId="5991E0CA"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31/03/2020</w:t>
                  </w:r>
                </w:p>
              </w:tc>
              <w:tc>
                <w:tcPr>
                  <w:tcW w:w="1658" w:type="dxa"/>
                  <w:tcBorders>
                    <w:top w:val="nil"/>
                    <w:left w:val="nil"/>
                    <w:bottom w:val="nil"/>
                    <w:right w:val="nil"/>
                  </w:tcBorders>
                  <w:shd w:val="clear" w:color="auto" w:fill="auto"/>
                  <w:noWrap/>
                  <w:vAlign w:val="bottom"/>
                  <w:hideMark/>
                </w:tcPr>
                <w:p w14:paraId="4C698105"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31/03/2021</w:t>
                  </w:r>
                </w:p>
              </w:tc>
              <w:tc>
                <w:tcPr>
                  <w:tcW w:w="1658" w:type="dxa"/>
                  <w:tcBorders>
                    <w:top w:val="nil"/>
                    <w:left w:val="nil"/>
                    <w:bottom w:val="nil"/>
                    <w:right w:val="nil"/>
                  </w:tcBorders>
                  <w:shd w:val="clear" w:color="auto" w:fill="auto"/>
                  <w:noWrap/>
                  <w:vAlign w:val="bottom"/>
                  <w:hideMark/>
                </w:tcPr>
                <w:p w14:paraId="06877C47"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31/03/2022</w:t>
                  </w:r>
                </w:p>
              </w:tc>
              <w:tc>
                <w:tcPr>
                  <w:tcW w:w="1658" w:type="dxa"/>
                  <w:tcBorders>
                    <w:top w:val="nil"/>
                    <w:left w:val="nil"/>
                    <w:bottom w:val="nil"/>
                    <w:right w:val="single" w:sz="4" w:space="0" w:color="auto"/>
                  </w:tcBorders>
                  <w:shd w:val="clear" w:color="auto" w:fill="auto"/>
                  <w:noWrap/>
                  <w:vAlign w:val="bottom"/>
                  <w:hideMark/>
                </w:tcPr>
                <w:p w14:paraId="16B77302"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31/03/2023</w:t>
                  </w:r>
                </w:p>
              </w:tc>
            </w:tr>
            <w:tr w:rsidR="00E45DB7" w:rsidRPr="00E45DB7" w14:paraId="17921767" w14:textId="77777777" w:rsidTr="00E45DB7">
              <w:trPr>
                <w:trHeight w:val="255"/>
              </w:trPr>
              <w:tc>
                <w:tcPr>
                  <w:tcW w:w="3280" w:type="dxa"/>
                  <w:tcBorders>
                    <w:top w:val="nil"/>
                    <w:left w:val="single" w:sz="4" w:space="0" w:color="auto"/>
                    <w:bottom w:val="single" w:sz="4" w:space="0" w:color="auto"/>
                    <w:right w:val="nil"/>
                  </w:tcBorders>
                  <w:shd w:val="clear" w:color="auto" w:fill="auto"/>
                  <w:noWrap/>
                  <w:vAlign w:val="bottom"/>
                  <w:hideMark/>
                </w:tcPr>
                <w:p w14:paraId="6F594C16"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w:t>
                  </w:r>
                </w:p>
              </w:tc>
              <w:tc>
                <w:tcPr>
                  <w:tcW w:w="1658" w:type="dxa"/>
                  <w:tcBorders>
                    <w:top w:val="nil"/>
                    <w:left w:val="nil"/>
                    <w:bottom w:val="single" w:sz="4" w:space="0" w:color="auto"/>
                    <w:right w:val="nil"/>
                  </w:tcBorders>
                  <w:shd w:val="clear" w:color="auto" w:fill="auto"/>
                  <w:noWrap/>
                  <w:vAlign w:val="bottom"/>
                  <w:hideMark/>
                </w:tcPr>
                <w:p w14:paraId="4FC8DE87"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12m </w:t>
                  </w:r>
                </w:p>
              </w:tc>
              <w:tc>
                <w:tcPr>
                  <w:tcW w:w="1658" w:type="dxa"/>
                  <w:tcBorders>
                    <w:top w:val="nil"/>
                    <w:left w:val="nil"/>
                    <w:bottom w:val="single" w:sz="4" w:space="0" w:color="auto"/>
                    <w:right w:val="nil"/>
                  </w:tcBorders>
                  <w:shd w:val="clear" w:color="auto" w:fill="auto"/>
                  <w:noWrap/>
                  <w:vAlign w:val="bottom"/>
                  <w:hideMark/>
                </w:tcPr>
                <w:p w14:paraId="680DC8AB"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12m </w:t>
                  </w:r>
                </w:p>
              </w:tc>
              <w:tc>
                <w:tcPr>
                  <w:tcW w:w="1658" w:type="dxa"/>
                  <w:tcBorders>
                    <w:top w:val="nil"/>
                    <w:left w:val="nil"/>
                    <w:bottom w:val="single" w:sz="4" w:space="0" w:color="auto"/>
                    <w:right w:val="nil"/>
                  </w:tcBorders>
                  <w:shd w:val="clear" w:color="auto" w:fill="auto"/>
                  <w:noWrap/>
                  <w:vAlign w:val="bottom"/>
                  <w:hideMark/>
                </w:tcPr>
                <w:p w14:paraId="73D829F9"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12m </w:t>
                  </w:r>
                </w:p>
              </w:tc>
              <w:tc>
                <w:tcPr>
                  <w:tcW w:w="1658" w:type="dxa"/>
                  <w:tcBorders>
                    <w:top w:val="nil"/>
                    <w:left w:val="nil"/>
                    <w:bottom w:val="single" w:sz="4" w:space="0" w:color="auto"/>
                    <w:right w:val="single" w:sz="4" w:space="0" w:color="auto"/>
                  </w:tcBorders>
                  <w:shd w:val="clear" w:color="auto" w:fill="auto"/>
                  <w:noWrap/>
                  <w:vAlign w:val="bottom"/>
                  <w:hideMark/>
                </w:tcPr>
                <w:p w14:paraId="46CF3E33"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12m </w:t>
                  </w:r>
                </w:p>
              </w:tc>
            </w:tr>
            <w:tr w:rsidR="00E45DB7" w:rsidRPr="00E45DB7" w14:paraId="680E7CA8" w14:textId="77777777" w:rsidTr="00E45DB7">
              <w:trPr>
                <w:trHeight w:val="255"/>
              </w:trPr>
              <w:tc>
                <w:tcPr>
                  <w:tcW w:w="3280" w:type="dxa"/>
                  <w:tcBorders>
                    <w:top w:val="nil"/>
                    <w:left w:val="nil"/>
                    <w:bottom w:val="nil"/>
                    <w:right w:val="nil"/>
                  </w:tcBorders>
                  <w:shd w:val="clear" w:color="auto" w:fill="auto"/>
                  <w:noWrap/>
                  <w:vAlign w:val="bottom"/>
                  <w:hideMark/>
                </w:tcPr>
                <w:p w14:paraId="5A987AF8" w14:textId="77777777" w:rsidR="00E45DB7" w:rsidRPr="00E45DB7" w:rsidRDefault="00E45DB7" w:rsidP="00E45DB7">
                  <w:pPr>
                    <w:jc w:val="center"/>
                    <w:rPr>
                      <w:rFonts w:ascii="Calibri" w:hAnsi="Calibri" w:cs="Calibri"/>
                      <w:b/>
                      <w:color w:val="000000"/>
                      <w:sz w:val="20"/>
                      <w:szCs w:val="20"/>
                      <w:lang w:eastAsia="en-GB"/>
                    </w:rPr>
                  </w:pPr>
                </w:p>
              </w:tc>
              <w:tc>
                <w:tcPr>
                  <w:tcW w:w="1658" w:type="dxa"/>
                  <w:tcBorders>
                    <w:top w:val="nil"/>
                    <w:left w:val="nil"/>
                    <w:bottom w:val="nil"/>
                    <w:right w:val="nil"/>
                  </w:tcBorders>
                  <w:shd w:val="clear" w:color="auto" w:fill="auto"/>
                  <w:noWrap/>
                  <w:vAlign w:val="bottom"/>
                  <w:hideMark/>
                </w:tcPr>
                <w:p w14:paraId="26B270E9"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26A254F1"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3CA1612A"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16196A44" w14:textId="77777777" w:rsidR="00E45DB7" w:rsidRPr="00E45DB7" w:rsidRDefault="00E45DB7" w:rsidP="00E45DB7">
                  <w:pPr>
                    <w:rPr>
                      <w:rFonts w:ascii="Times New Roman" w:hAnsi="Times New Roman"/>
                      <w:bCs w:val="0"/>
                      <w:sz w:val="20"/>
                      <w:szCs w:val="20"/>
                      <w:lang w:eastAsia="en-GB"/>
                    </w:rPr>
                  </w:pPr>
                </w:p>
              </w:tc>
            </w:tr>
            <w:tr w:rsidR="00E45DB7" w:rsidRPr="00E45DB7" w14:paraId="0768D432" w14:textId="77777777" w:rsidTr="00E45DB7">
              <w:trPr>
                <w:trHeight w:val="255"/>
              </w:trPr>
              <w:tc>
                <w:tcPr>
                  <w:tcW w:w="9912" w:type="dxa"/>
                  <w:gridSpan w:val="5"/>
                  <w:tcBorders>
                    <w:top w:val="nil"/>
                    <w:left w:val="nil"/>
                    <w:bottom w:val="single" w:sz="4" w:space="0" w:color="auto"/>
                    <w:right w:val="nil"/>
                  </w:tcBorders>
                  <w:shd w:val="clear" w:color="auto" w:fill="auto"/>
                  <w:noWrap/>
                  <w:vAlign w:val="bottom"/>
                  <w:hideMark/>
                </w:tcPr>
                <w:p w14:paraId="0ED11D97" w14:textId="77777777" w:rsidR="00E45DB7" w:rsidRPr="00E45DB7" w:rsidRDefault="00E45DB7" w:rsidP="00E45DB7">
                  <w:pPr>
                    <w:jc w:val="center"/>
                    <w:rPr>
                      <w:rFonts w:cs="Arial"/>
                      <w:b/>
                      <w:color w:val="000000"/>
                      <w:sz w:val="20"/>
                      <w:szCs w:val="20"/>
                      <w:lang w:eastAsia="en-GB"/>
                    </w:rPr>
                  </w:pPr>
                  <w:r w:rsidRPr="00E45DB7">
                    <w:rPr>
                      <w:rFonts w:cs="Arial"/>
                      <w:b/>
                      <w:color w:val="000000"/>
                      <w:sz w:val="20"/>
                      <w:szCs w:val="20"/>
                      <w:lang w:eastAsia="en-GB"/>
                    </w:rPr>
                    <w:t xml:space="preserve"> Whole System Financial Impacts </w:t>
                  </w:r>
                </w:p>
              </w:tc>
            </w:tr>
            <w:tr w:rsidR="00E45DB7" w:rsidRPr="00E45DB7" w14:paraId="2A2B22B5"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5BA12754"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Annual savings </w:t>
                  </w:r>
                </w:p>
              </w:tc>
              <w:tc>
                <w:tcPr>
                  <w:tcW w:w="1658" w:type="dxa"/>
                  <w:tcBorders>
                    <w:top w:val="nil"/>
                    <w:left w:val="nil"/>
                    <w:bottom w:val="nil"/>
                    <w:right w:val="nil"/>
                  </w:tcBorders>
                  <w:shd w:val="clear" w:color="auto" w:fill="auto"/>
                  <w:noWrap/>
                  <w:vAlign w:val="bottom"/>
                  <w:hideMark/>
                </w:tcPr>
                <w:p w14:paraId="506E9EF3" w14:textId="7BE203C3"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-130,372 </w:t>
                  </w:r>
                </w:p>
              </w:tc>
              <w:tc>
                <w:tcPr>
                  <w:tcW w:w="1658" w:type="dxa"/>
                  <w:tcBorders>
                    <w:top w:val="nil"/>
                    <w:left w:val="nil"/>
                    <w:bottom w:val="nil"/>
                    <w:right w:val="nil"/>
                  </w:tcBorders>
                  <w:shd w:val="clear" w:color="auto" w:fill="auto"/>
                  <w:noWrap/>
                  <w:vAlign w:val="bottom"/>
                  <w:hideMark/>
                </w:tcPr>
                <w:p w14:paraId="3ED4BD86" w14:textId="28B73CDD"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129,986 </w:t>
                  </w:r>
                </w:p>
              </w:tc>
              <w:tc>
                <w:tcPr>
                  <w:tcW w:w="1658" w:type="dxa"/>
                  <w:tcBorders>
                    <w:top w:val="nil"/>
                    <w:left w:val="nil"/>
                    <w:bottom w:val="nil"/>
                    <w:right w:val="nil"/>
                  </w:tcBorders>
                  <w:shd w:val="clear" w:color="auto" w:fill="auto"/>
                  <w:noWrap/>
                  <w:vAlign w:val="bottom"/>
                  <w:hideMark/>
                </w:tcPr>
                <w:p w14:paraId="02779114" w14:textId="18A6A8DA"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176,052 </w:t>
                  </w:r>
                </w:p>
              </w:tc>
              <w:tc>
                <w:tcPr>
                  <w:tcW w:w="1658" w:type="dxa"/>
                  <w:tcBorders>
                    <w:top w:val="nil"/>
                    <w:left w:val="nil"/>
                    <w:bottom w:val="nil"/>
                    <w:right w:val="single" w:sz="4" w:space="0" w:color="auto"/>
                  </w:tcBorders>
                  <w:shd w:val="clear" w:color="auto" w:fill="auto"/>
                  <w:noWrap/>
                  <w:vAlign w:val="bottom"/>
                  <w:hideMark/>
                </w:tcPr>
                <w:p w14:paraId="4005661C" w14:textId="4CA8805F"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176,052 </w:t>
                  </w:r>
                </w:p>
              </w:tc>
            </w:tr>
            <w:tr w:rsidR="00E45DB7" w:rsidRPr="00E45DB7" w14:paraId="4EC350BB" w14:textId="77777777" w:rsidTr="00E45DB7">
              <w:trPr>
                <w:trHeight w:val="300"/>
              </w:trPr>
              <w:tc>
                <w:tcPr>
                  <w:tcW w:w="3280" w:type="dxa"/>
                  <w:tcBorders>
                    <w:top w:val="nil"/>
                    <w:left w:val="single" w:sz="4" w:space="0" w:color="auto"/>
                    <w:bottom w:val="single" w:sz="4" w:space="0" w:color="auto"/>
                    <w:right w:val="nil"/>
                  </w:tcBorders>
                  <w:shd w:val="clear" w:color="auto" w:fill="auto"/>
                  <w:noWrap/>
                  <w:vAlign w:val="bottom"/>
                  <w:hideMark/>
                </w:tcPr>
                <w:p w14:paraId="53DF3EC3"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Bed days saved </w:t>
                  </w:r>
                </w:p>
              </w:tc>
              <w:tc>
                <w:tcPr>
                  <w:tcW w:w="1658" w:type="dxa"/>
                  <w:tcBorders>
                    <w:top w:val="nil"/>
                    <w:left w:val="nil"/>
                    <w:bottom w:val="single" w:sz="4" w:space="0" w:color="auto"/>
                    <w:right w:val="nil"/>
                  </w:tcBorders>
                  <w:shd w:val="clear" w:color="auto" w:fill="auto"/>
                  <w:noWrap/>
                  <w:vAlign w:val="bottom"/>
                  <w:hideMark/>
                </w:tcPr>
                <w:p w14:paraId="3677A3D8" w14:textId="775199CB" w:rsidR="00E45DB7" w:rsidRPr="00E45DB7" w:rsidRDefault="00E45DB7" w:rsidP="00E45DB7">
                  <w:pPr>
                    <w:jc w:val="right"/>
                    <w:rPr>
                      <w:rFonts w:cs="Arial"/>
                      <w:b/>
                      <w:sz w:val="20"/>
                      <w:szCs w:val="20"/>
                      <w:lang w:eastAsia="en-GB"/>
                    </w:rPr>
                  </w:pPr>
                  <w:r w:rsidRPr="00E45DB7">
                    <w:rPr>
                      <w:rFonts w:cs="Arial"/>
                      <w:b/>
                      <w:sz w:val="20"/>
                      <w:szCs w:val="20"/>
                      <w:lang w:eastAsia="en-GB"/>
                    </w:rPr>
                    <w:t xml:space="preserve">128 </w:t>
                  </w:r>
                </w:p>
              </w:tc>
              <w:tc>
                <w:tcPr>
                  <w:tcW w:w="1658" w:type="dxa"/>
                  <w:tcBorders>
                    <w:top w:val="nil"/>
                    <w:left w:val="nil"/>
                    <w:bottom w:val="single" w:sz="4" w:space="0" w:color="auto"/>
                    <w:right w:val="nil"/>
                  </w:tcBorders>
                  <w:shd w:val="clear" w:color="auto" w:fill="auto"/>
                  <w:noWrap/>
                  <w:vAlign w:val="bottom"/>
                  <w:hideMark/>
                </w:tcPr>
                <w:p w14:paraId="26D5699D" w14:textId="1086066C" w:rsidR="00E45DB7" w:rsidRPr="00E45DB7" w:rsidRDefault="00E45DB7" w:rsidP="00E45DB7">
                  <w:pPr>
                    <w:jc w:val="right"/>
                    <w:rPr>
                      <w:rFonts w:cs="Arial"/>
                      <w:b/>
                      <w:sz w:val="20"/>
                      <w:szCs w:val="20"/>
                      <w:lang w:eastAsia="en-GB"/>
                    </w:rPr>
                  </w:pPr>
                  <w:r w:rsidRPr="00E45DB7">
                    <w:rPr>
                      <w:rFonts w:cs="Arial"/>
                      <w:b/>
                      <w:sz w:val="20"/>
                      <w:szCs w:val="20"/>
                      <w:lang w:eastAsia="en-GB"/>
                    </w:rPr>
                    <w:t xml:space="preserve">357 </w:t>
                  </w:r>
                </w:p>
              </w:tc>
              <w:tc>
                <w:tcPr>
                  <w:tcW w:w="1658" w:type="dxa"/>
                  <w:tcBorders>
                    <w:top w:val="nil"/>
                    <w:left w:val="nil"/>
                    <w:bottom w:val="single" w:sz="4" w:space="0" w:color="auto"/>
                    <w:right w:val="nil"/>
                  </w:tcBorders>
                  <w:shd w:val="clear" w:color="auto" w:fill="auto"/>
                  <w:noWrap/>
                  <w:vAlign w:val="bottom"/>
                  <w:hideMark/>
                </w:tcPr>
                <w:p w14:paraId="64418533" w14:textId="11299A54" w:rsidR="00E45DB7" w:rsidRPr="00E45DB7" w:rsidRDefault="00E45DB7" w:rsidP="00E45DB7">
                  <w:pPr>
                    <w:jc w:val="right"/>
                    <w:rPr>
                      <w:rFonts w:cs="Arial"/>
                      <w:b/>
                      <w:sz w:val="20"/>
                      <w:szCs w:val="20"/>
                      <w:lang w:eastAsia="en-GB"/>
                    </w:rPr>
                  </w:pPr>
                  <w:r w:rsidRPr="00E45DB7">
                    <w:rPr>
                      <w:rFonts w:cs="Arial"/>
                      <w:b/>
                      <w:sz w:val="20"/>
                      <w:szCs w:val="20"/>
                      <w:lang w:eastAsia="en-GB"/>
                    </w:rPr>
                    <w:t xml:space="preserve">510 </w:t>
                  </w:r>
                </w:p>
              </w:tc>
              <w:tc>
                <w:tcPr>
                  <w:tcW w:w="1658" w:type="dxa"/>
                  <w:tcBorders>
                    <w:top w:val="nil"/>
                    <w:left w:val="nil"/>
                    <w:bottom w:val="single" w:sz="4" w:space="0" w:color="auto"/>
                    <w:right w:val="single" w:sz="4" w:space="0" w:color="auto"/>
                  </w:tcBorders>
                  <w:shd w:val="clear" w:color="auto" w:fill="auto"/>
                  <w:noWrap/>
                  <w:vAlign w:val="bottom"/>
                  <w:hideMark/>
                </w:tcPr>
                <w:p w14:paraId="409FD536" w14:textId="04124968" w:rsidR="00E45DB7" w:rsidRPr="00E45DB7" w:rsidRDefault="00E45DB7" w:rsidP="00E45DB7">
                  <w:pPr>
                    <w:jc w:val="right"/>
                    <w:rPr>
                      <w:rFonts w:cs="Arial"/>
                      <w:b/>
                      <w:sz w:val="20"/>
                      <w:szCs w:val="20"/>
                      <w:lang w:eastAsia="en-GB"/>
                    </w:rPr>
                  </w:pPr>
                  <w:r w:rsidRPr="00E45DB7">
                    <w:rPr>
                      <w:rFonts w:cs="Arial"/>
                      <w:b/>
                      <w:sz w:val="20"/>
                      <w:szCs w:val="20"/>
                      <w:lang w:eastAsia="en-GB"/>
                    </w:rPr>
                    <w:t xml:space="preserve">510 </w:t>
                  </w:r>
                </w:p>
              </w:tc>
            </w:tr>
            <w:tr w:rsidR="00E45DB7" w:rsidRPr="00E45DB7" w14:paraId="13D0E232" w14:textId="77777777" w:rsidTr="00E45DB7">
              <w:trPr>
                <w:trHeight w:val="300"/>
              </w:trPr>
              <w:tc>
                <w:tcPr>
                  <w:tcW w:w="3280" w:type="dxa"/>
                  <w:tcBorders>
                    <w:top w:val="nil"/>
                    <w:left w:val="nil"/>
                    <w:bottom w:val="nil"/>
                    <w:right w:val="nil"/>
                  </w:tcBorders>
                  <w:shd w:val="clear" w:color="auto" w:fill="auto"/>
                  <w:noWrap/>
                  <w:vAlign w:val="bottom"/>
                  <w:hideMark/>
                </w:tcPr>
                <w:p w14:paraId="35FD0727" w14:textId="77777777" w:rsidR="00E45DB7" w:rsidRPr="00E45DB7" w:rsidRDefault="00E45DB7" w:rsidP="00E45DB7">
                  <w:pPr>
                    <w:rPr>
                      <w:rFonts w:ascii="Calibri" w:hAnsi="Calibri" w:cs="Calibri"/>
                      <w:b/>
                      <w:sz w:val="22"/>
                      <w:szCs w:val="22"/>
                      <w:lang w:eastAsia="en-GB"/>
                    </w:rPr>
                  </w:pPr>
                </w:p>
              </w:tc>
              <w:tc>
                <w:tcPr>
                  <w:tcW w:w="1658" w:type="dxa"/>
                  <w:tcBorders>
                    <w:top w:val="nil"/>
                    <w:left w:val="nil"/>
                    <w:bottom w:val="nil"/>
                    <w:right w:val="nil"/>
                  </w:tcBorders>
                  <w:shd w:val="clear" w:color="auto" w:fill="auto"/>
                  <w:noWrap/>
                  <w:vAlign w:val="bottom"/>
                  <w:hideMark/>
                </w:tcPr>
                <w:p w14:paraId="47082840"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1EFD0B39"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6CA459BA"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78133478" w14:textId="77777777" w:rsidR="00E45DB7" w:rsidRPr="00E45DB7" w:rsidRDefault="00E45DB7" w:rsidP="00E45DB7">
                  <w:pPr>
                    <w:rPr>
                      <w:rFonts w:ascii="Times New Roman" w:hAnsi="Times New Roman"/>
                      <w:bCs w:val="0"/>
                      <w:sz w:val="20"/>
                      <w:szCs w:val="20"/>
                      <w:lang w:eastAsia="en-GB"/>
                    </w:rPr>
                  </w:pPr>
                </w:p>
              </w:tc>
            </w:tr>
            <w:tr w:rsidR="00E45DB7" w:rsidRPr="00E45DB7" w14:paraId="5811FC6B" w14:textId="77777777" w:rsidTr="00E45DB7">
              <w:trPr>
                <w:trHeight w:val="300"/>
              </w:trPr>
              <w:tc>
                <w:tcPr>
                  <w:tcW w:w="9912"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F8262B8" w14:textId="77777777" w:rsidR="00E45DB7" w:rsidRPr="00E45DB7" w:rsidRDefault="00E45DB7" w:rsidP="00E45DB7">
                  <w:pPr>
                    <w:jc w:val="center"/>
                    <w:rPr>
                      <w:rFonts w:cs="Arial"/>
                      <w:b/>
                      <w:color w:val="000000"/>
                      <w:sz w:val="20"/>
                      <w:szCs w:val="20"/>
                      <w:lang w:eastAsia="en-GB"/>
                    </w:rPr>
                  </w:pPr>
                  <w:r w:rsidRPr="00E45DB7">
                    <w:rPr>
                      <w:rFonts w:cs="Arial"/>
                      <w:b/>
                      <w:color w:val="000000"/>
                      <w:sz w:val="20"/>
                      <w:szCs w:val="20"/>
                      <w:lang w:eastAsia="en-GB"/>
                    </w:rPr>
                    <w:t xml:space="preserve"> Financial Impacts: Provider </w:t>
                  </w:r>
                </w:p>
              </w:tc>
            </w:tr>
            <w:tr w:rsidR="00E45DB7" w:rsidRPr="00E45DB7" w14:paraId="79D40A2C"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450D6AF7"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roofErr w:type="spellStart"/>
                  <w:r w:rsidRPr="00E45DB7">
                    <w:rPr>
                      <w:rFonts w:cs="Arial"/>
                      <w:bCs w:val="0"/>
                      <w:color w:val="000000"/>
                      <w:sz w:val="20"/>
                      <w:szCs w:val="20"/>
                      <w:lang w:eastAsia="en-GB"/>
                    </w:rPr>
                    <w:t>CFHealthHub</w:t>
                  </w:r>
                  <w:proofErr w:type="spellEnd"/>
                  <w:r w:rsidRPr="00E45DB7">
                    <w:rPr>
                      <w:rFonts w:cs="Arial"/>
                      <w:bCs w:val="0"/>
                      <w:color w:val="000000"/>
                      <w:sz w:val="20"/>
                      <w:szCs w:val="20"/>
                      <w:lang w:eastAsia="en-GB"/>
                    </w:rPr>
                    <w:t xml:space="preserve"> </w:t>
                  </w:r>
                </w:p>
              </w:tc>
              <w:tc>
                <w:tcPr>
                  <w:tcW w:w="1658" w:type="dxa"/>
                  <w:tcBorders>
                    <w:top w:val="nil"/>
                    <w:left w:val="nil"/>
                    <w:bottom w:val="nil"/>
                    <w:right w:val="nil"/>
                  </w:tcBorders>
                  <w:shd w:val="clear" w:color="auto" w:fill="auto"/>
                  <w:noWrap/>
                  <w:vAlign w:val="bottom"/>
                  <w:hideMark/>
                </w:tcPr>
                <w:p w14:paraId="2ECD5442" w14:textId="5428CC33" w:rsidR="00E45DB7" w:rsidRPr="00E45DB7" w:rsidRDefault="00E45DB7" w:rsidP="00E45DB7">
                  <w:pPr>
                    <w:jc w:val="right"/>
                    <w:rPr>
                      <w:rFonts w:cs="Arial"/>
                      <w:bCs w:val="0"/>
                      <w:sz w:val="20"/>
                      <w:szCs w:val="20"/>
                      <w:lang w:eastAsia="en-GB"/>
                    </w:rPr>
                  </w:pPr>
                  <w:r w:rsidRPr="00E45DB7">
                    <w:rPr>
                      <w:rFonts w:cs="Arial"/>
                      <w:bCs w:val="0"/>
                      <w:sz w:val="20"/>
                      <w:szCs w:val="20"/>
                      <w:lang w:eastAsia="en-GB"/>
                    </w:rPr>
                    <w:t xml:space="preserve">-190,000 </w:t>
                  </w:r>
                </w:p>
              </w:tc>
              <w:tc>
                <w:tcPr>
                  <w:tcW w:w="1658" w:type="dxa"/>
                  <w:tcBorders>
                    <w:top w:val="nil"/>
                    <w:left w:val="nil"/>
                    <w:bottom w:val="nil"/>
                    <w:right w:val="nil"/>
                  </w:tcBorders>
                  <w:shd w:val="clear" w:color="auto" w:fill="auto"/>
                  <w:noWrap/>
                  <w:vAlign w:val="bottom"/>
                  <w:hideMark/>
                </w:tcPr>
                <w:p w14:paraId="1626293E" w14:textId="3C2EAE00"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-19,980 </w:t>
                  </w:r>
                </w:p>
              </w:tc>
              <w:tc>
                <w:tcPr>
                  <w:tcW w:w="1658" w:type="dxa"/>
                  <w:tcBorders>
                    <w:top w:val="nil"/>
                    <w:left w:val="nil"/>
                    <w:bottom w:val="nil"/>
                    <w:right w:val="nil"/>
                  </w:tcBorders>
                  <w:shd w:val="clear" w:color="auto" w:fill="auto"/>
                  <w:noWrap/>
                  <w:vAlign w:val="bottom"/>
                  <w:hideMark/>
                </w:tcPr>
                <w:p w14:paraId="5108EB04" w14:textId="65D5F7EF"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-19,980 </w:t>
                  </w:r>
                </w:p>
              </w:tc>
              <w:tc>
                <w:tcPr>
                  <w:tcW w:w="1658" w:type="dxa"/>
                  <w:tcBorders>
                    <w:top w:val="nil"/>
                    <w:left w:val="nil"/>
                    <w:bottom w:val="nil"/>
                    <w:right w:val="single" w:sz="4" w:space="0" w:color="auto"/>
                  </w:tcBorders>
                  <w:shd w:val="clear" w:color="auto" w:fill="auto"/>
                  <w:noWrap/>
                  <w:vAlign w:val="bottom"/>
                  <w:hideMark/>
                </w:tcPr>
                <w:p w14:paraId="5E2CDAD5" w14:textId="5C958608"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-19,980 </w:t>
                  </w:r>
                </w:p>
              </w:tc>
            </w:tr>
            <w:tr w:rsidR="00E45DB7" w:rsidRPr="00E45DB7" w14:paraId="065BF71F"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5697304C"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Tariff band change </w:t>
                  </w:r>
                </w:p>
              </w:tc>
              <w:tc>
                <w:tcPr>
                  <w:tcW w:w="1658" w:type="dxa"/>
                  <w:tcBorders>
                    <w:top w:val="nil"/>
                    <w:left w:val="nil"/>
                    <w:bottom w:val="nil"/>
                    <w:right w:val="nil"/>
                  </w:tcBorders>
                  <w:shd w:val="clear" w:color="auto" w:fill="auto"/>
                  <w:noWrap/>
                  <w:vAlign w:val="bottom"/>
                  <w:hideMark/>
                </w:tcPr>
                <w:p w14:paraId="0124A642" w14:textId="058190F7" w:rsidR="00E45DB7" w:rsidRPr="00E45DB7" w:rsidRDefault="00E45DB7" w:rsidP="00E45DB7">
                  <w:pPr>
                    <w:jc w:val="right"/>
                    <w:rPr>
                      <w:rFonts w:cs="Arial"/>
                      <w:bCs w:val="0"/>
                      <w:color w:val="000000"/>
                      <w:sz w:val="20"/>
                      <w:szCs w:val="20"/>
                      <w:lang w:eastAsia="en-GB"/>
                    </w:rPr>
                  </w:pPr>
                  <w:r w:rsidRPr="00900190">
                    <w:rPr>
                      <w:rFonts w:cs="Arial"/>
                      <w:bCs w:val="0"/>
                      <w:color w:val="000000"/>
                      <w:sz w:val="20"/>
                      <w:szCs w:val="20"/>
                      <w:lang w:eastAsia="en-GB"/>
                    </w:rPr>
                    <w:t>0</w:t>
                  </w:r>
                </w:p>
              </w:tc>
              <w:tc>
                <w:tcPr>
                  <w:tcW w:w="1658" w:type="dxa"/>
                  <w:tcBorders>
                    <w:top w:val="nil"/>
                    <w:left w:val="nil"/>
                    <w:bottom w:val="nil"/>
                    <w:right w:val="nil"/>
                  </w:tcBorders>
                  <w:shd w:val="clear" w:color="auto" w:fill="auto"/>
                  <w:noWrap/>
                  <w:vAlign w:val="bottom"/>
                  <w:hideMark/>
                </w:tcPr>
                <w:p w14:paraId="760AF2DD" w14:textId="4C96D9CC"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-21,315 </w:t>
                  </w:r>
                </w:p>
              </w:tc>
              <w:tc>
                <w:tcPr>
                  <w:tcW w:w="1658" w:type="dxa"/>
                  <w:tcBorders>
                    <w:top w:val="nil"/>
                    <w:left w:val="nil"/>
                    <w:bottom w:val="nil"/>
                    <w:right w:val="nil"/>
                  </w:tcBorders>
                  <w:shd w:val="clear" w:color="auto" w:fill="auto"/>
                  <w:noWrap/>
                  <w:vAlign w:val="bottom"/>
                  <w:hideMark/>
                </w:tcPr>
                <w:p w14:paraId="1D13EDAB" w14:textId="522E37BB"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-59,682 </w:t>
                  </w:r>
                </w:p>
              </w:tc>
              <w:tc>
                <w:tcPr>
                  <w:tcW w:w="1658" w:type="dxa"/>
                  <w:tcBorders>
                    <w:top w:val="nil"/>
                    <w:left w:val="nil"/>
                    <w:bottom w:val="nil"/>
                    <w:right w:val="single" w:sz="4" w:space="0" w:color="auto"/>
                  </w:tcBorders>
                  <w:shd w:val="clear" w:color="auto" w:fill="auto"/>
                  <w:noWrap/>
                  <w:vAlign w:val="bottom"/>
                  <w:hideMark/>
                </w:tcPr>
                <w:p w14:paraId="20916EFF" w14:textId="521CEBDB"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-85,260 </w:t>
                  </w:r>
                </w:p>
              </w:tc>
            </w:tr>
            <w:tr w:rsidR="00E45DB7" w:rsidRPr="00E45DB7" w14:paraId="15D6EA80"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11240282"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Reduced hospitalisations </w:t>
                  </w:r>
                </w:p>
              </w:tc>
              <w:tc>
                <w:tcPr>
                  <w:tcW w:w="1658" w:type="dxa"/>
                  <w:tcBorders>
                    <w:top w:val="nil"/>
                    <w:left w:val="nil"/>
                    <w:bottom w:val="single" w:sz="4" w:space="0" w:color="auto"/>
                    <w:right w:val="nil"/>
                  </w:tcBorders>
                  <w:shd w:val="clear" w:color="auto" w:fill="auto"/>
                  <w:noWrap/>
                  <w:vAlign w:val="bottom"/>
                  <w:hideMark/>
                </w:tcPr>
                <w:p w14:paraId="2D80E914" w14:textId="56A312D2"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53,190 </w:t>
                  </w:r>
                </w:p>
              </w:tc>
              <w:tc>
                <w:tcPr>
                  <w:tcW w:w="1658" w:type="dxa"/>
                  <w:tcBorders>
                    <w:top w:val="nil"/>
                    <w:left w:val="nil"/>
                    <w:bottom w:val="single" w:sz="4" w:space="0" w:color="auto"/>
                    <w:right w:val="nil"/>
                  </w:tcBorders>
                  <w:shd w:val="clear" w:color="auto" w:fill="auto"/>
                  <w:noWrap/>
                  <w:vAlign w:val="bottom"/>
                  <w:hideMark/>
                </w:tcPr>
                <w:p w14:paraId="457A726A" w14:textId="4915D9E1"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148,932 </w:t>
                  </w:r>
                </w:p>
              </w:tc>
              <w:tc>
                <w:tcPr>
                  <w:tcW w:w="1658" w:type="dxa"/>
                  <w:tcBorders>
                    <w:top w:val="nil"/>
                    <w:left w:val="nil"/>
                    <w:bottom w:val="single" w:sz="4" w:space="0" w:color="auto"/>
                    <w:right w:val="nil"/>
                  </w:tcBorders>
                  <w:shd w:val="clear" w:color="auto" w:fill="auto"/>
                  <w:noWrap/>
                  <w:vAlign w:val="bottom"/>
                  <w:hideMark/>
                </w:tcPr>
                <w:p w14:paraId="058437A9" w14:textId="6654738A"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212,760 </w:t>
                  </w:r>
                </w:p>
              </w:tc>
              <w:tc>
                <w:tcPr>
                  <w:tcW w:w="1658" w:type="dxa"/>
                  <w:tcBorders>
                    <w:top w:val="nil"/>
                    <w:left w:val="nil"/>
                    <w:bottom w:val="single" w:sz="4" w:space="0" w:color="auto"/>
                    <w:right w:val="single" w:sz="4" w:space="0" w:color="auto"/>
                  </w:tcBorders>
                  <w:shd w:val="clear" w:color="auto" w:fill="auto"/>
                  <w:noWrap/>
                  <w:vAlign w:val="bottom"/>
                  <w:hideMark/>
                </w:tcPr>
                <w:p w14:paraId="3C57F821" w14:textId="50E15710"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212,760 </w:t>
                  </w:r>
                </w:p>
              </w:tc>
            </w:tr>
            <w:tr w:rsidR="00E45DB7" w:rsidRPr="00E45DB7" w14:paraId="04DF0D1C" w14:textId="77777777" w:rsidTr="00E45DB7">
              <w:trPr>
                <w:trHeight w:val="300"/>
              </w:trPr>
              <w:tc>
                <w:tcPr>
                  <w:tcW w:w="3280" w:type="dxa"/>
                  <w:tcBorders>
                    <w:top w:val="nil"/>
                    <w:left w:val="single" w:sz="4" w:space="0" w:color="auto"/>
                    <w:bottom w:val="single" w:sz="4" w:space="0" w:color="auto"/>
                    <w:right w:val="nil"/>
                  </w:tcBorders>
                  <w:shd w:val="clear" w:color="auto" w:fill="auto"/>
                  <w:noWrap/>
                  <w:vAlign w:val="bottom"/>
                  <w:hideMark/>
                </w:tcPr>
                <w:p w14:paraId="70EEE22D"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Annual savings </w:t>
                  </w:r>
                </w:p>
              </w:tc>
              <w:tc>
                <w:tcPr>
                  <w:tcW w:w="1658" w:type="dxa"/>
                  <w:tcBorders>
                    <w:top w:val="nil"/>
                    <w:left w:val="nil"/>
                    <w:bottom w:val="single" w:sz="4" w:space="0" w:color="auto"/>
                    <w:right w:val="nil"/>
                  </w:tcBorders>
                  <w:shd w:val="clear" w:color="auto" w:fill="auto"/>
                  <w:noWrap/>
                  <w:vAlign w:val="bottom"/>
                  <w:hideMark/>
                </w:tcPr>
                <w:p w14:paraId="1767C299" w14:textId="15489F66" w:rsidR="00E45DB7" w:rsidRPr="00E45DB7" w:rsidRDefault="00E45DB7" w:rsidP="00900190">
                  <w:pPr>
                    <w:jc w:val="right"/>
                    <w:rPr>
                      <w:rFonts w:cs="Arial"/>
                      <w:b/>
                      <w:color w:val="000000"/>
                      <w:sz w:val="20"/>
                      <w:szCs w:val="20"/>
                      <w:lang w:eastAsia="en-GB"/>
                    </w:rPr>
                  </w:pPr>
                  <w:r w:rsidRPr="00E45DB7">
                    <w:rPr>
                      <w:rFonts w:cs="Arial"/>
                      <w:b/>
                      <w:color w:val="000000"/>
                      <w:sz w:val="20"/>
                      <w:szCs w:val="20"/>
                      <w:lang w:eastAsia="en-GB"/>
                    </w:rPr>
                    <w:t xml:space="preserve">-136,810 </w:t>
                  </w:r>
                </w:p>
              </w:tc>
              <w:tc>
                <w:tcPr>
                  <w:tcW w:w="1658" w:type="dxa"/>
                  <w:tcBorders>
                    <w:top w:val="nil"/>
                    <w:left w:val="nil"/>
                    <w:bottom w:val="single" w:sz="4" w:space="0" w:color="auto"/>
                    <w:right w:val="nil"/>
                  </w:tcBorders>
                  <w:shd w:val="clear" w:color="auto" w:fill="auto"/>
                  <w:noWrap/>
                  <w:vAlign w:val="bottom"/>
                  <w:hideMark/>
                </w:tcPr>
                <w:p w14:paraId="02A130F1" w14:textId="1E17D291"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107,637 </w:t>
                  </w:r>
                </w:p>
              </w:tc>
              <w:tc>
                <w:tcPr>
                  <w:tcW w:w="1658" w:type="dxa"/>
                  <w:tcBorders>
                    <w:top w:val="nil"/>
                    <w:left w:val="nil"/>
                    <w:bottom w:val="single" w:sz="4" w:space="0" w:color="auto"/>
                    <w:right w:val="nil"/>
                  </w:tcBorders>
                  <w:shd w:val="clear" w:color="auto" w:fill="auto"/>
                  <w:noWrap/>
                  <w:vAlign w:val="bottom"/>
                  <w:hideMark/>
                </w:tcPr>
                <w:p w14:paraId="7CDF3A5B" w14:textId="12F5B53B"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133,098 </w:t>
                  </w:r>
                </w:p>
              </w:tc>
              <w:tc>
                <w:tcPr>
                  <w:tcW w:w="1658" w:type="dxa"/>
                  <w:tcBorders>
                    <w:top w:val="nil"/>
                    <w:left w:val="nil"/>
                    <w:bottom w:val="single" w:sz="4" w:space="0" w:color="auto"/>
                    <w:right w:val="single" w:sz="4" w:space="0" w:color="auto"/>
                  </w:tcBorders>
                  <w:shd w:val="clear" w:color="auto" w:fill="auto"/>
                  <w:noWrap/>
                  <w:vAlign w:val="bottom"/>
                  <w:hideMark/>
                </w:tcPr>
                <w:p w14:paraId="1ACEA6BB" w14:textId="773666E1"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107,520 </w:t>
                  </w:r>
                </w:p>
              </w:tc>
            </w:tr>
            <w:tr w:rsidR="00E45DB7" w:rsidRPr="00E45DB7" w14:paraId="6EA26D70" w14:textId="77777777" w:rsidTr="00E45DB7">
              <w:trPr>
                <w:trHeight w:val="255"/>
              </w:trPr>
              <w:tc>
                <w:tcPr>
                  <w:tcW w:w="3280" w:type="dxa"/>
                  <w:tcBorders>
                    <w:top w:val="nil"/>
                    <w:left w:val="nil"/>
                    <w:bottom w:val="nil"/>
                    <w:right w:val="nil"/>
                  </w:tcBorders>
                  <w:shd w:val="clear" w:color="auto" w:fill="auto"/>
                  <w:noWrap/>
                  <w:vAlign w:val="bottom"/>
                  <w:hideMark/>
                </w:tcPr>
                <w:p w14:paraId="7C068EFC" w14:textId="77777777" w:rsidR="00E45DB7" w:rsidRPr="00E45DB7" w:rsidRDefault="00E45DB7" w:rsidP="00E45DB7">
                  <w:pPr>
                    <w:rPr>
                      <w:rFonts w:ascii="Calibri" w:hAnsi="Calibri" w:cs="Calibri"/>
                      <w:b/>
                      <w:color w:val="000000"/>
                      <w:sz w:val="22"/>
                      <w:szCs w:val="22"/>
                      <w:lang w:eastAsia="en-GB"/>
                    </w:rPr>
                  </w:pPr>
                </w:p>
              </w:tc>
              <w:tc>
                <w:tcPr>
                  <w:tcW w:w="1658" w:type="dxa"/>
                  <w:tcBorders>
                    <w:top w:val="nil"/>
                    <w:left w:val="nil"/>
                    <w:bottom w:val="nil"/>
                    <w:right w:val="nil"/>
                  </w:tcBorders>
                  <w:shd w:val="clear" w:color="auto" w:fill="auto"/>
                  <w:noWrap/>
                  <w:vAlign w:val="bottom"/>
                  <w:hideMark/>
                </w:tcPr>
                <w:p w14:paraId="22A85302"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2E853823"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47C76A56" w14:textId="77777777" w:rsidR="00E45DB7" w:rsidRPr="00E45DB7" w:rsidRDefault="00E45DB7" w:rsidP="00E45DB7">
                  <w:pPr>
                    <w:rPr>
                      <w:rFonts w:ascii="Times New Roman" w:hAnsi="Times New Roman"/>
                      <w:bCs w:val="0"/>
                      <w:sz w:val="20"/>
                      <w:szCs w:val="20"/>
                      <w:lang w:eastAsia="en-GB"/>
                    </w:rPr>
                  </w:pPr>
                </w:p>
              </w:tc>
              <w:tc>
                <w:tcPr>
                  <w:tcW w:w="1658" w:type="dxa"/>
                  <w:tcBorders>
                    <w:top w:val="nil"/>
                    <w:left w:val="nil"/>
                    <w:bottom w:val="nil"/>
                    <w:right w:val="nil"/>
                  </w:tcBorders>
                  <w:shd w:val="clear" w:color="auto" w:fill="auto"/>
                  <w:noWrap/>
                  <w:vAlign w:val="bottom"/>
                  <w:hideMark/>
                </w:tcPr>
                <w:p w14:paraId="484733FE" w14:textId="77777777" w:rsidR="00E45DB7" w:rsidRPr="00E45DB7" w:rsidRDefault="00E45DB7" w:rsidP="00E45DB7">
                  <w:pPr>
                    <w:rPr>
                      <w:rFonts w:ascii="Times New Roman" w:hAnsi="Times New Roman"/>
                      <w:bCs w:val="0"/>
                      <w:sz w:val="20"/>
                      <w:szCs w:val="20"/>
                      <w:lang w:eastAsia="en-GB"/>
                    </w:rPr>
                  </w:pPr>
                </w:p>
              </w:tc>
            </w:tr>
            <w:tr w:rsidR="00E45DB7" w:rsidRPr="00E45DB7" w14:paraId="7B0A8113" w14:textId="77777777" w:rsidTr="00E45DB7">
              <w:trPr>
                <w:trHeight w:val="300"/>
              </w:trPr>
              <w:tc>
                <w:tcPr>
                  <w:tcW w:w="9912"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84D5D8B" w14:textId="77777777" w:rsidR="00E45DB7" w:rsidRPr="00E45DB7" w:rsidRDefault="00E45DB7" w:rsidP="00E45DB7">
                  <w:pPr>
                    <w:jc w:val="center"/>
                    <w:rPr>
                      <w:rFonts w:cs="Arial"/>
                      <w:b/>
                      <w:color w:val="000000"/>
                      <w:sz w:val="20"/>
                      <w:szCs w:val="20"/>
                      <w:lang w:eastAsia="en-GB"/>
                    </w:rPr>
                  </w:pPr>
                  <w:r w:rsidRPr="00E45DB7">
                    <w:rPr>
                      <w:rFonts w:cs="Arial"/>
                      <w:b/>
                      <w:color w:val="000000"/>
                      <w:sz w:val="20"/>
                      <w:szCs w:val="20"/>
                      <w:lang w:eastAsia="en-GB"/>
                    </w:rPr>
                    <w:t xml:space="preserve"> Financial Impacts: Commissioner </w:t>
                  </w:r>
                </w:p>
              </w:tc>
            </w:tr>
            <w:tr w:rsidR="00E45DB7" w:rsidRPr="00E45DB7" w14:paraId="39090398"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5D069F1A"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Additional inhaled drug costs* </w:t>
                  </w:r>
                </w:p>
              </w:tc>
              <w:tc>
                <w:tcPr>
                  <w:tcW w:w="1658" w:type="dxa"/>
                  <w:tcBorders>
                    <w:top w:val="nil"/>
                    <w:left w:val="nil"/>
                    <w:bottom w:val="nil"/>
                    <w:right w:val="nil"/>
                  </w:tcBorders>
                  <w:shd w:val="clear" w:color="auto" w:fill="auto"/>
                  <w:noWrap/>
                  <w:vAlign w:val="bottom"/>
                  <w:hideMark/>
                </w:tcPr>
                <w:p w14:paraId="6212832F" w14:textId="7D15CCC1"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-14,802 </w:t>
                  </w:r>
                </w:p>
              </w:tc>
              <w:tc>
                <w:tcPr>
                  <w:tcW w:w="1658" w:type="dxa"/>
                  <w:tcBorders>
                    <w:top w:val="nil"/>
                    <w:left w:val="nil"/>
                    <w:bottom w:val="nil"/>
                    <w:right w:val="nil"/>
                  </w:tcBorders>
                  <w:shd w:val="clear" w:color="auto" w:fill="auto"/>
                  <w:noWrap/>
                  <w:vAlign w:val="bottom"/>
                  <w:hideMark/>
                </w:tcPr>
                <w:p w14:paraId="7B3F7AA3" w14:textId="485D149B"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-41,446 </w:t>
                  </w:r>
                </w:p>
              </w:tc>
              <w:tc>
                <w:tcPr>
                  <w:tcW w:w="1658" w:type="dxa"/>
                  <w:tcBorders>
                    <w:top w:val="nil"/>
                    <w:left w:val="nil"/>
                    <w:bottom w:val="nil"/>
                    <w:right w:val="nil"/>
                  </w:tcBorders>
                  <w:shd w:val="clear" w:color="auto" w:fill="auto"/>
                  <w:noWrap/>
                  <w:vAlign w:val="bottom"/>
                  <w:hideMark/>
                </w:tcPr>
                <w:p w14:paraId="4D50B3E1" w14:textId="35EC47F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-59,208 </w:t>
                  </w:r>
                </w:p>
              </w:tc>
              <w:tc>
                <w:tcPr>
                  <w:tcW w:w="1658" w:type="dxa"/>
                  <w:tcBorders>
                    <w:top w:val="nil"/>
                    <w:left w:val="nil"/>
                    <w:bottom w:val="nil"/>
                    <w:right w:val="single" w:sz="4" w:space="0" w:color="auto"/>
                  </w:tcBorders>
                  <w:shd w:val="clear" w:color="auto" w:fill="auto"/>
                  <w:noWrap/>
                  <w:vAlign w:val="bottom"/>
                  <w:hideMark/>
                </w:tcPr>
                <w:p w14:paraId="2C119189" w14:textId="44919769"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-59,208 </w:t>
                  </w:r>
                </w:p>
              </w:tc>
            </w:tr>
            <w:tr w:rsidR="00E45DB7" w:rsidRPr="00E45DB7" w14:paraId="41FF2889"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29DBBB5B"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Tariff band change </w:t>
                  </w:r>
                </w:p>
              </w:tc>
              <w:tc>
                <w:tcPr>
                  <w:tcW w:w="1658" w:type="dxa"/>
                  <w:tcBorders>
                    <w:top w:val="nil"/>
                    <w:left w:val="nil"/>
                    <w:bottom w:val="nil"/>
                    <w:right w:val="nil"/>
                  </w:tcBorders>
                  <w:shd w:val="clear" w:color="auto" w:fill="auto"/>
                  <w:noWrap/>
                  <w:vAlign w:val="bottom"/>
                  <w:hideMark/>
                </w:tcPr>
                <w:p w14:paraId="6DAF636E" w14:textId="206A7854"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
              </w:tc>
              <w:tc>
                <w:tcPr>
                  <w:tcW w:w="1658" w:type="dxa"/>
                  <w:tcBorders>
                    <w:top w:val="nil"/>
                    <w:left w:val="nil"/>
                    <w:bottom w:val="nil"/>
                    <w:right w:val="nil"/>
                  </w:tcBorders>
                  <w:shd w:val="clear" w:color="auto" w:fill="auto"/>
                  <w:noWrap/>
                  <w:vAlign w:val="bottom"/>
                  <w:hideMark/>
                </w:tcPr>
                <w:p w14:paraId="7C8656D6" w14:textId="2F96F88C"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21,315 </w:t>
                  </w:r>
                </w:p>
              </w:tc>
              <w:tc>
                <w:tcPr>
                  <w:tcW w:w="1658" w:type="dxa"/>
                  <w:tcBorders>
                    <w:top w:val="nil"/>
                    <w:left w:val="nil"/>
                    <w:bottom w:val="nil"/>
                    <w:right w:val="nil"/>
                  </w:tcBorders>
                  <w:shd w:val="clear" w:color="auto" w:fill="auto"/>
                  <w:noWrap/>
                  <w:vAlign w:val="bottom"/>
                  <w:hideMark/>
                </w:tcPr>
                <w:p w14:paraId="48BE54E4" w14:textId="4DC9D805"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59,682 </w:t>
                  </w:r>
                </w:p>
              </w:tc>
              <w:tc>
                <w:tcPr>
                  <w:tcW w:w="1658" w:type="dxa"/>
                  <w:tcBorders>
                    <w:top w:val="nil"/>
                    <w:left w:val="nil"/>
                    <w:bottom w:val="nil"/>
                    <w:right w:val="single" w:sz="4" w:space="0" w:color="auto"/>
                  </w:tcBorders>
                  <w:shd w:val="clear" w:color="auto" w:fill="auto"/>
                  <w:noWrap/>
                  <w:vAlign w:val="bottom"/>
                  <w:hideMark/>
                </w:tcPr>
                <w:p w14:paraId="48CB8020" w14:textId="53710464"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85,260 </w:t>
                  </w:r>
                </w:p>
              </w:tc>
            </w:tr>
            <w:tr w:rsidR="00E45DB7" w:rsidRPr="00E45DB7" w14:paraId="6236115D"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74C2F299"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Medicines optimisation </w:t>
                  </w:r>
                </w:p>
              </w:tc>
              <w:tc>
                <w:tcPr>
                  <w:tcW w:w="1658" w:type="dxa"/>
                  <w:tcBorders>
                    <w:top w:val="nil"/>
                    <w:left w:val="nil"/>
                    <w:bottom w:val="nil"/>
                    <w:right w:val="nil"/>
                  </w:tcBorders>
                  <w:shd w:val="clear" w:color="auto" w:fill="auto"/>
                  <w:noWrap/>
                  <w:vAlign w:val="bottom"/>
                  <w:hideMark/>
                </w:tcPr>
                <w:p w14:paraId="75E1C7D2" w14:textId="31C26298"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21,240 </w:t>
                  </w:r>
                </w:p>
              </w:tc>
              <w:tc>
                <w:tcPr>
                  <w:tcW w:w="1658" w:type="dxa"/>
                  <w:tcBorders>
                    <w:top w:val="nil"/>
                    <w:left w:val="nil"/>
                    <w:bottom w:val="nil"/>
                    <w:right w:val="nil"/>
                  </w:tcBorders>
                  <w:shd w:val="clear" w:color="auto" w:fill="auto"/>
                  <w:noWrap/>
                  <w:vAlign w:val="bottom"/>
                  <w:hideMark/>
                </w:tcPr>
                <w:p w14:paraId="71BBC763" w14:textId="094D3B23"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42,480 </w:t>
                  </w:r>
                </w:p>
              </w:tc>
              <w:tc>
                <w:tcPr>
                  <w:tcW w:w="1658" w:type="dxa"/>
                  <w:tcBorders>
                    <w:top w:val="nil"/>
                    <w:left w:val="nil"/>
                    <w:bottom w:val="nil"/>
                    <w:right w:val="nil"/>
                  </w:tcBorders>
                  <w:shd w:val="clear" w:color="auto" w:fill="auto"/>
                  <w:noWrap/>
                  <w:vAlign w:val="bottom"/>
                  <w:hideMark/>
                </w:tcPr>
                <w:p w14:paraId="4BDD03CB" w14:textId="72E25FFD"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42,480 </w:t>
                  </w:r>
                </w:p>
              </w:tc>
              <w:tc>
                <w:tcPr>
                  <w:tcW w:w="1658" w:type="dxa"/>
                  <w:tcBorders>
                    <w:top w:val="nil"/>
                    <w:left w:val="nil"/>
                    <w:bottom w:val="nil"/>
                    <w:right w:val="single" w:sz="4" w:space="0" w:color="auto"/>
                  </w:tcBorders>
                  <w:shd w:val="clear" w:color="auto" w:fill="auto"/>
                  <w:noWrap/>
                  <w:vAlign w:val="bottom"/>
                  <w:hideMark/>
                </w:tcPr>
                <w:p w14:paraId="78E7730F" w14:textId="7189688A"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42,480 </w:t>
                  </w:r>
                </w:p>
              </w:tc>
            </w:tr>
            <w:tr w:rsidR="00E45DB7" w:rsidRPr="00E45DB7" w14:paraId="02A83A75" w14:textId="77777777" w:rsidTr="00E45DB7">
              <w:trPr>
                <w:trHeight w:val="300"/>
              </w:trPr>
              <w:tc>
                <w:tcPr>
                  <w:tcW w:w="3280" w:type="dxa"/>
                  <w:tcBorders>
                    <w:top w:val="nil"/>
                    <w:left w:val="single" w:sz="4" w:space="0" w:color="auto"/>
                    <w:bottom w:val="nil"/>
                    <w:right w:val="nil"/>
                  </w:tcBorders>
                  <w:shd w:val="clear" w:color="auto" w:fill="auto"/>
                  <w:noWrap/>
                  <w:vAlign w:val="bottom"/>
                  <w:hideMark/>
                </w:tcPr>
                <w:p w14:paraId="4F4513FF" w14:textId="77777777"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Intelligent commissioning </w:t>
                  </w:r>
                </w:p>
              </w:tc>
              <w:tc>
                <w:tcPr>
                  <w:tcW w:w="1658" w:type="dxa"/>
                  <w:tcBorders>
                    <w:top w:val="nil"/>
                    <w:left w:val="nil"/>
                    <w:bottom w:val="single" w:sz="4" w:space="0" w:color="auto"/>
                    <w:right w:val="nil"/>
                  </w:tcBorders>
                  <w:shd w:val="clear" w:color="auto" w:fill="auto"/>
                  <w:noWrap/>
                  <w:vAlign w:val="bottom"/>
                  <w:hideMark/>
                </w:tcPr>
                <w:p w14:paraId="281CF71A" w14:textId="3F7C6B3F"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
              </w:tc>
              <w:tc>
                <w:tcPr>
                  <w:tcW w:w="1658" w:type="dxa"/>
                  <w:tcBorders>
                    <w:top w:val="nil"/>
                    <w:left w:val="nil"/>
                    <w:bottom w:val="single" w:sz="4" w:space="0" w:color="auto"/>
                    <w:right w:val="nil"/>
                  </w:tcBorders>
                  <w:shd w:val="clear" w:color="auto" w:fill="auto"/>
                  <w:noWrap/>
                  <w:vAlign w:val="bottom"/>
                  <w:hideMark/>
                </w:tcPr>
                <w:p w14:paraId="7A4075A3" w14:textId="232B2622"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
              </w:tc>
              <w:tc>
                <w:tcPr>
                  <w:tcW w:w="1658" w:type="dxa"/>
                  <w:tcBorders>
                    <w:top w:val="nil"/>
                    <w:left w:val="nil"/>
                    <w:bottom w:val="single" w:sz="4" w:space="0" w:color="auto"/>
                    <w:right w:val="nil"/>
                  </w:tcBorders>
                  <w:shd w:val="clear" w:color="auto" w:fill="auto"/>
                  <w:noWrap/>
                  <w:vAlign w:val="bottom"/>
                  <w:hideMark/>
                </w:tcPr>
                <w:p w14:paraId="15EDDC36" w14:textId="49629C73"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
              </w:tc>
              <w:tc>
                <w:tcPr>
                  <w:tcW w:w="1658" w:type="dxa"/>
                  <w:tcBorders>
                    <w:top w:val="nil"/>
                    <w:left w:val="nil"/>
                    <w:bottom w:val="single" w:sz="4" w:space="0" w:color="auto"/>
                    <w:right w:val="single" w:sz="4" w:space="0" w:color="auto"/>
                  </w:tcBorders>
                  <w:shd w:val="clear" w:color="auto" w:fill="auto"/>
                  <w:noWrap/>
                  <w:vAlign w:val="bottom"/>
                  <w:hideMark/>
                </w:tcPr>
                <w:p w14:paraId="6125CFF8" w14:textId="6718C729" w:rsidR="00E45DB7" w:rsidRPr="00E45DB7" w:rsidRDefault="00E45DB7" w:rsidP="00E45DB7">
                  <w:pPr>
                    <w:jc w:val="right"/>
                    <w:rPr>
                      <w:rFonts w:cs="Arial"/>
                      <w:bCs w:val="0"/>
                      <w:color w:val="000000"/>
                      <w:sz w:val="20"/>
                      <w:szCs w:val="20"/>
                      <w:lang w:eastAsia="en-GB"/>
                    </w:rPr>
                  </w:pPr>
                  <w:r w:rsidRPr="00E45DB7">
                    <w:rPr>
                      <w:rFonts w:cs="Arial"/>
                      <w:bCs w:val="0"/>
                      <w:color w:val="000000"/>
                      <w:sz w:val="20"/>
                      <w:szCs w:val="20"/>
                      <w:lang w:eastAsia="en-GB"/>
                    </w:rPr>
                    <w:t xml:space="preserve">-   </w:t>
                  </w:r>
                </w:p>
              </w:tc>
            </w:tr>
            <w:tr w:rsidR="00E45DB7" w:rsidRPr="00E45DB7" w14:paraId="596A5580" w14:textId="77777777" w:rsidTr="00E45DB7">
              <w:trPr>
                <w:trHeight w:val="300"/>
              </w:trPr>
              <w:tc>
                <w:tcPr>
                  <w:tcW w:w="3280" w:type="dxa"/>
                  <w:tcBorders>
                    <w:top w:val="nil"/>
                    <w:left w:val="single" w:sz="4" w:space="0" w:color="auto"/>
                    <w:bottom w:val="single" w:sz="4" w:space="0" w:color="auto"/>
                    <w:right w:val="nil"/>
                  </w:tcBorders>
                  <w:shd w:val="clear" w:color="auto" w:fill="auto"/>
                  <w:noWrap/>
                  <w:vAlign w:val="bottom"/>
                  <w:hideMark/>
                </w:tcPr>
                <w:p w14:paraId="0AD75A6C" w14:textId="77777777"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 Annual savings </w:t>
                  </w:r>
                </w:p>
              </w:tc>
              <w:tc>
                <w:tcPr>
                  <w:tcW w:w="1658" w:type="dxa"/>
                  <w:tcBorders>
                    <w:top w:val="nil"/>
                    <w:left w:val="nil"/>
                    <w:bottom w:val="single" w:sz="4" w:space="0" w:color="auto"/>
                    <w:right w:val="nil"/>
                  </w:tcBorders>
                  <w:shd w:val="clear" w:color="auto" w:fill="auto"/>
                  <w:noWrap/>
                  <w:vAlign w:val="bottom"/>
                  <w:hideMark/>
                </w:tcPr>
                <w:p w14:paraId="02B49265" w14:textId="3C9D5280"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6,438 </w:t>
                  </w:r>
                </w:p>
              </w:tc>
              <w:tc>
                <w:tcPr>
                  <w:tcW w:w="1658" w:type="dxa"/>
                  <w:tcBorders>
                    <w:top w:val="nil"/>
                    <w:left w:val="nil"/>
                    <w:bottom w:val="single" w:sz="4" w:space="0" w:color="auto"/>
                    <w:right w:val="nil"/>
                  </w:tcBorders>
                  <w:shd w:val="clear" w:color="auto" w:fill="auto"/>
                  <w:noWrap/>
                  <w:vAlign w:val="bottom"/>
                  <w:hideMark/>
                </w:tcPr>
                <w:p w14:paraId="6460D6CA" w14:textId="7A72D3D6"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22,349 </w:t>
                  </w:r>
                </w:p>
              </w:tc>
              <w:tc>
                <w:tcPr>
                  <w:tcW w:w="1658" w:type="dxa"/>
                  <w:tcBorders>
                    <w:top w:val="nil"/>
                    <w:left w:val="nil"/>
                    <w:bottom w:val="single" w:sz="4" w:space="0" w:color="auto"/>
                    <w:right w:val="nil"/>
                  </w:tcBorders>
                  <w:shd w:val="clear" w:color="auto" w:fill="auto"/>
                  <w:noWrap/>
                  <w:vAlign w:val="bottom"/>
                  <w:hideMark/>
                </w:tcPr>
                <w:p w14:paraId="721CF779" w14:textId="2235A2B1"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42,954 </w:t>
                  </w:r>
                </w:p>
              </w:tc>
              <w:tc>
                <w:tcPr>
                  <w:tcW w:w="1658" w:type="dxa"/>
                  <w:tcBorders>
                    <w:top w:val="nil"/>
                    <w:left w:val="nil"/>
                    <w:bottom w:val="single" w:sz="4" w:space="0" w:color="auto"/>
                    <w:right w:val="single" w:sz="4" w:space="0" w:color="auto"/>
                  </w:tcBorders>
                  <w:shd w:val="clear" w:color="auto" w:fill="auto"/>
                  <w:noWrap/>
                  <w:vAlign w:val="bottom"/>
                  <w:hideMark/>
                </w:tcPr>
                <w:p w14:paraId="5C4EE314" w14:textId="7EAF3424" w:rsidR="00E45DB7" w:rsidRPr="00E45DB7" w:rsidRDefault="00E45DB7" w:rsidP="00E45DB7">
                  <w:pPr>
                    <w:jc w:val="right"/>
                    <w:rPr>
                      <w:rFonts w:cs="Arial"/>
                      <w:b/>
                      <w:color w:val="000000"/>
                      <w:sz w:val="20"/>
                      <w:szCs w:val="20"/>
                      <w:lang w:eastAsia="en-GB"/>
                    </w:rPr>
                  </w:pPr>
                  <w:r w:rsidRPr="00E45DB7">
                    <w:rPr>
                      <w:rFonts w:cs="Arial"/>
                      <w:b/>
                      <w:color w:val="000000"/>
                      <w:sz w:val="20"/>
                      <w:szCs w:val="20"/>
                      <w:lang w:eastAsia="en-GB"/>
                    </w:rPr>
                    <w:t xml:space="preserve">68,532 </w:t>
                  </w:r>
                </w:p>
              </w:tc>
            </w:tr>
          </w:tbl>
          <w:p w14:paraId="7902E42C" w14:textId="43C5B08C" w:rsidR="00404706" w:rsidRPr="00762F54" w:rsidRDefault="00762F54" w:rsidP="0026417D">
            <w:pPr>
              <w:spacing w:before="40" w:after="40"/>
              <w:rPr>
                <w:rFonts w:cs="Arial"/>
                <w:sz w:val="22"/>
                <w:szCs w:val="22"/>
              </w:rPr>
            </w:pPr>
            <w:r w:rsidRPr="00762F54">
              <w:rPr>
                <w:rFonts w:cs="Arial"/>
                <w:sz w:val="22"/>
                <w:szCs w:val="22"/>
              </w:rPr>
              <w:t>* Arising from increased adherence</w:t>
            </w:r>
          </w:p>
          <w:p w14:paraId="1ECD1F43" w14:textId="3E3503E3" w:rsidR="00C4780C" w:rsidRDefault="00C4780C" w:rsidP="0026417D">
            <w:pPr>
              <w:spacing w:before="40" w:after="40"/>
              <w:rPr>
                <w:rFonts w:cs="Arial"/>
                <w:color w:val="FF0000"/>
                <w:szCs w:val="24"/>
              </w:rPr>
            </w:pPr>
          </w:p>
          <w:p w14:paraId="12E2FE4C" w14:textId="352BE8DB" w:rsidR="00C4780C" w:rsidRDefault="00C4780C" w:rsidP="0026417D">
            <w:pPr>
              <w:spacing w:before="40" w:after="40"/>
              <w:rPr>
                <w:rFonts w:cs="Arial"/>
                <w:color w:val="000000" w:themeColor="text1"/>
                <w:sz w:val="22"/>
                <w:szCs w:val="22"/>
              </w:rPr>
            </w:pPr>
            <w:r w:rsidRPr="00C4780C">
              <w:rPr>
                <w:rFonts w:cs="Arial"/>
                <w:color w:val="000000" w:themeColor="text1"/>
                <w:sz w:val="22"/>
                <w:szCs w:val="22"/>
              </w:rPr>
              <w:t>Notes</w:t>
            </w:r>
            <w:r>
              <w:rPr>
                <w:rFonts w:cs="Arial"/>
                <w:color w:val="000000" w:themeColor="text1"/>
                <w:sz w:val="22"/>
                <w:szCs w:val="22"/>
              </w:rPr>
              <w:t xml:space="preserve"> – </w:t>
            </w:r>
          </w:p>
          <w:p w14:paraId="08FF5B37" w14:textId="698DD551" w:rsidR="00C4780C" w:rsidRDefault="00C4780C" w:rsidP="0003373B">
            <w:pPr>
              <w:pStyle w:val="ListParagraph"/>
              <w:numPr>
                <w:ilvl w:val="0"/>
                <w:numId w:val="8"/>
              </w:numPr>
              <w:spacing w:before="40" w:after="40"/>
              <w:rPr>
                <w:rFonts w:cs="Arial"/>
                <w:color w:val="000000" w:themeColor="text1"/>
                <w:sz w:val="22"/>
                <w:szCs w:val="22"/>
              </w:rPr>
            </w:pPr>
            <w:r w:rsidRPr="00E45DB7">
              <w:rPr>
                <w:rFonts w:cs="Arial"/>
                <w:color w:val="000000" w:themeColor="text1"/>
                <w:sz w:val="22"/>
                <w:szCs w:val="22"/>
              </w:rPr>
              <w:t>As</w:t>
            </w:r>
            <w:r w:rsidR="00CD0C3C">
              <w:rPr>
                <w:rFonts w:cs="Arial"/>
                <w:color w:val="000000" w:themeColor="text1"/>
                <w:sz w:val="22"/>
                <w:szCs w:val="22"/>
              </w:rPr>
              <w:t xml:space="preserve"> noted above, the timing of any </w:t>
            </w:r>
            <w:r w:rsidRPr="00E45DB7">
              <w:rPr>
                <w:rFonts w:cs="Arial"/>
                <w:color w:val="000000" w:themeColor="text1"/>
                <w:sz w:val="22"/>
                <w:szCs w:val="22"/>
              </w:rPr>
              <w:t>tariff band change will lag the other savings by a year, because it is based on annual reporting of data within the CF registry</w:t>
            </w:r>
            <w:r w:rsidR="00CD0C3C">
              <w:rPr>
                <w:rFonts w:cs="Arial"/>
                <w:color w:val="000000" w:themeColor="text1"/>
                <w:sz w:val="22"/>
                <w:szCs w:val="22"/>
              </w:rPr>
              <w:t xml:space="preserve"> and will occur </w:t>
            </w:r>
            <w:proofErr w:type="gramStart"/>
            <w:r w:rsidR="00CD0C3C">
              <w:rPr>
                <w:rFonts w:cs="Arial"/>
                <w:color w:val="000000" w:themeColor="text1"/>
                <w:sz w:val="22"/>
                <w:szCs w:val="22"/>
              </w:rPr>
              <w:t>if and when</w:t>
            </w:r>
            <w:proofErr w:type="gramEnd"/>
            <w:r w:rsidR="00CD0C3C">
              <w:rPr>
                <w:rFonts w:cs="Arial"/>
                <w:color w:val="000000" w:themeColor="text1"/>
                <w:sz w:val="22"/>
                <w:szCs w:val="22"/>
              </w:rPr>
              <w:t xml:space="preserve"> improvements in adherence reduce the need for hospital admissions for IVs that will reduce service pressures and create savings for providers in terms of bed days and drug costs.</w:t>
            </w:r>
          </w:p>
          <w:p w14:paraId="2958B204" w14:textId="6BB074C9" w:rsidR="00E45DB7" w:rsidRDefault="00E45DB7" w:rsidP="0003373B">
            <w:pPr>
              <w:pStyle w:val="ListParagraph"/>
              <w:numPr>
                <w:ilvl w:val="0"/>
                <w:numId w:val="8"/>
              </w:numPr>
              <w:spacing w:before="40" w:after="40"/>
              <w:rPr>
                <w:rFonts w:cs="Arial"/>
                <w:color w:val="000000" w:themeColor="text1"/>
                <w:sz w:val="22"/>
                <w:szCs w:val="22"/>
              </w:rPr>
            </w:pPr>
            <w:r>
              <w:rPr>
                <w:rFonts w:cs="Arial"/>
                <w:color w:val="000000" w:themeColor="text1"/>
                <w:sz w:val="22"/>
                <w:szCs w:val="22"/>
              </w:rPr>
              <w:t xml:space="preserve">For simplicity and </w:t>
            </w:r>
            <w:r w:rsidR="004B0E39">
              <w:rPr>
                <w:rFonts w:cs="Arial"/>
                <w:color w:val="000000" w:themeColor="text1"/>
                <w:sz w:val="22"/>
                <w:szCs w:val="22"/>
              </w:rPr>
              <w:t>consistency,</w:t>
            </w:r>
            <w:r>
              <w:rPr>
                <w:rFonts w:cs="Arial"/>
                <w:color w:val="000000" w:themeColor="text1"/>
                <w:sz w:val="22"/>
                <w:szCs w:val="22"/>
              </w:rPr>
              <w:t xml:space="preserve"> we have only considered patients with Chronic Pseudomonas although other patients with CF would also be likely beneficiaries were they to use CFHH.</w:t>
            </w:r>
          </w:p>
          <w:p w14:paraId="35BE459D" w14:textId="43C2E98C" w:rsidR="00394EA2" w:rsidRPr="00C808D3" w:rsidRDefault="00764E33" w:rsidP="0003373B">
            <w:pPr>
              <w:pStyle w:val="ListParagraph"/>
              <w:numPr>
                <w:ilvl w:val="0"/>
                <w:numId w:val="8"/>
              </w:numPr>
              <w:spacing w:before="40" w:after="40"/>
              <w:rPr>
                <w:rFonts w:cs="Arial"/>
                <w:color w:val="000000" w:themeColor="text1"/>
                <w:sz w:val="22"/>
                <w:szCs w:val="22"/>
              </w:rPr>
            </w:pPr>
            <w:r>
              <w:rPr>
                <w:rFonts w:cs="Arial"/>
                <w:color w:val="000000" w:themeColor="text1"/>
                <w:sz w:val="22"/>
                <w:szCs w:val="22"/>
              </w:rPr>
              <w:t>Savings are conservative. W</w:t>
            </w:r>
            <w:r w:rsidR="00900190">
              <w:rPr>
                <w:rFonts w:cs="Arial"/>
                <w:color w:val="000000" w:themeColor="text1"/>
                <w:sz w:val="22"/>
                <w:szCs w:val="22"/>
              </w:rPr>
              <w:t>e have assumed a gradual realisation of savings</w:t>
            </w:r>
            <w:r>
              <w:rPr>
                <w:rFonts w:cs="Arial"/>
                <w:color w:val="000000" w:themeColor="text1"/>
                <w:sz w:val="22"/>
                <w:szCs w:val="22"/>
              </w:rPr>
              <w:t xml:space="preserve"> since increased adherence </w:t>
            </w:r>
            <w:r w:rsidR="005F2F86">
              <w:rPr>
                <w:rFonts w:cs="Arial"/>
                <w:color w:val="000000" w:themeColor="text1"/>
                <w:sz w:val="22"/>
                <w:szCs w:val="22"/>
              </w:rPr>
              <w:t>may take</w:t>
            </w:r>
            <w:r>
              <w:rPr>
                <w:rFonts w:cs="Arial"/>
                <w:color w:val="000000" w:themeColor="text1"/>
                <w:sz w:val="22"/>
                <w:szCs w:val="22"/>
              </w:rPr>
              <w:t xml:space="preserve"> a while to stabilise lung health. This is illustrated</w:t>
            </w:r>
            <w:r w:rsidR="00900190">
              <w:rPr>
                <w:rFonts w:cs="Arial"/>
                <w:color w:val="000000" w:themeColor="text1"/>
                <w:sz w:val="22"/>
                <w:szCs w:val="22"/>
              </w:rPr>
              <w:t xml:space="preserve"> </w:t>
            </w:r>
            <w:r>
              <w:rPr>
                <w:rFonts w:cs="Arial"/>
                <w:color w:val="000000" w:themeColor="text1"/>
                <w:sz w:val="22"/>
                <w:szCs w:val="22"/>
              </w:rPr>
              <w:t xml:space="preserve">in graph </w:t>
            </w:r>
            <w:r w:rsidR="00900190">
              <w:rPr>
                <w:rFonts w:cs="Arial"/>
                <w:color w:val="000000" w:themeColor="text1"/>
                <w:sz w:val="22"/>
                <w:szCs w:val="22"/>
              </w:rPr>
              <w:t>below</w:t>
            </w:r>
            <w:r>
              <w:rPr>
                <w:rFonts w:cs="Arial"/>
                <w:color w:val="000000" w:themeColor="text1"/>
                <w:sz w:val="22"/>
                <w:szCs w:val="22"/>
              </w:rPr>
              <w:t xml:space="preserve"> where medicines optimisation gains occur more quickly. The local 8a pharmacist is expected to create local protocols to embed recurrent savings by the end of 2019/20 CQUIN.</w:t>
            </w:r>
          </w:p>
          <w:p w14:paraId="2BD340BC" w14:textId="626744A3" w:rsidR="00427E7E" w:rsidRDefault="00427E7E" w:rsidP="0026417D">
            <w:pPr>
              <w:spacing w:before="40" w:after="40"/>
              <w:rPr>
                <w:rFonts w:cs="Arial"/>
                <w:i/>
                <w:color w:val="FF0000"/>
                <w:szCs w:val="24"/>
              </w:rPr>
            </w:pPr>
          </w:p>
          <w:p w14:paraId="2EC100F9" w14:textId="2C14747B" w:rsidR="00427E7E" w:rsidRDefault="00427E7E" w:rsidP="00900190">
            <w:pPr>
              <w:spacing w:before="40" w:after="40"/>
              <w:jc w:val="center"/>
              <w:rPr>
                <w:rFonts w:cs="Arial"/>
                <w:i/>
                <w:color w:val="FF0000"/>
                <w:szCs w:val="24"/>
              </w:rPr>
            </w:pPr>
            <w:r>
              <w:rPr>
                <w:noProof/>
              </w:rPr>
              <w:lastRenderedPageBreak/>
              <w:drawing>
                <wp:inline distT="0" distB="0" distL="0" distR="0" wp14:anchorId="27C56242" wp14:editId="6F6BF576">
                  <wp:extent cx="4572000" cy="2743200"/>
                  <wp:effectExtent l="0" t="0" r="0" b="0"/>
                  <wp:docPr id="5" name="Chart 5">
                    <a:extLst xmlns:a="http://schemas.openxmlformats.org/drawingml/2006/main">
                      <a:ext uri="{FF2B5EF4-FFF2-40B4-BE49-F238E27FC236}">
                        <a16:creationId xmlns:a16="http://schemas.microsoft.com/office/drawing/2014/main" id="{38B22224-E73F-4B1F-BA2C-E250265BD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EB47F2" w14:textId="77777777" w:rsidR="0026417D" w:rsidRDefault="0026417D" w:rsidP="006E49C5">
            <w:pPr>
              <w:spacing w:before="40" w:after="40"/>
              <w:rPr>
                <w:rFonts w:cs="Arial"/>
                <w:i/>
                <w:color w:val="000000"/>
                <w:szCs w:val="24"/>
              </w:rPr>
            </w:pPr>
          </w:p>
        </w:tc>
      </w:tr>
      <w:tr w:rsidR="00C25612" w:rsidRPr="000412A1" w14:paraId="5BC9AB14" w14:textId="77777777" w:rsidTr="00427E7E">
        <w:tc>
          <w:tcPr>
            <w:tcW w:w="5000" w:type="pct"/>
            <w:gridSpan w:val="2"/>
            <w:shd w:val="clear" w:color="auto" w:fill="D9D9D9" w:themeFill="background1" w:themeFillShade="D9"/>
          </w:tcPr>
          <w:p w14:paraId="7CFB9D2C"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6FA2345F" w14:textId="77777777" w:rsidTr="00427E7E">
        <w:tc>
          <w:tcPr>
            <w:tcW w:w="5000" w:type="pct"/>
            <w:gridSpan w:val="2"/>
            <w:shd w:val="clear" w:color="auto" w:fill="auto"/>
          </w:tcPr>
          <w:p w14:paraId="62B5060A" w14:textId="774CC750"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3E416232" w14:textId="2226DA23" w:rsidR="005D1862" w:rsidRPr="0065756E" w:rsidRDefault="00B15B13" w:rsidP="005D1862">
            <w:pPr>
              <w:spacing w:before="40" w:after="40"/>
              <w:rPr>
                <w:rFonts w:cs="Arial"/>
                <w:sz w:val="22"/>
                <w:szCs w:val="22"/>
              </w:rPr>
            </w:pPr>
            <w:r>
              <w:rPr>
                <w:rFonts w:cs="Arial"/>
                <w:sz w:val="22"/>
                <w:szCs w:val="22"/>
              </w:rPr>
              <w:t>T</w:t>
            </w:r>
            <w:r w:rsidR="009E4497" w:rsidRPr="0065756E">
              <w:rPr>
                <w:rFonts w:cs="Arial"/>
                <w:sz w:val="22"/>
                <w:szCs w:val="22"/>
              </w:rPr>
              <w:t xml:space="preserve">he exit route is </w:t>
            </w:r>
            <w:r w:rsidR="00340669">
              <w:rPr>
                <w:rFonts w:cs="Arial"/>
                <w:sz w:val="22"/>
                <w:szCs w:val="22"/>
              </w:rPr>
              <w:t xml:space="preserve">that </w:t>
            </w:r>
            <w:proofErr w:type="spellStart"/>
            <w:r w:rsidR="00340669">
              <w:rPr>
                <w:rFonts w:cs="Arial"/>
                <w:sz w:val="22"/>
                <w:szCs w:val="22"/>
              </w:rPr>
              <w:t>CFHealthHub</w:t>
            </w:r>
            <w:proofErr w:type="spellEnd"/>
            <w:r w:rsidR="00340669">
              <w:rPr>
                <w:rFonts w:cs="Arial"/>
                <w:sz w:val="22"/>
                <w:szCs w:val="22"/>
              </w:rPr>
              <w:t xml:space="preserve"> will</w:t>
            </w:r>
            <w:r w:rsidR="009E4497" w:rsidRPr="0065756E">
              <w:rPr>
                <w:rFonts w:cs="Arial"/>
                <w:sz w:val="22"/>
                <w:szCs w:val="22"/>
              </w:rPr>
              <w:t xml:space="preserve"> sustain the benefits for patients, providers and commissioners through the incorporation of a special purpose, independent not for profit legacy vehicle</w:t>
            </w:r>
            <w:r w:rsidR="00B467C9">
              <w:rPr>
                <w:rFonts w:cs="Arial"/>
                <w:sz w:val="22"/>
                <w:szCs w:val="22"/>
              </w:rPr>
              <w:t>. This vehicle will</w:t>
            </w:r>
            <w:r w:rsidR="00CD0C3C">
              <w:rPr>
                <w:rFonts w:cs="Arial"/>
                <w:sz w:val="22"/>
                <w:szCs w:val="22"/>
              </w:rPr>
              <w:t xml:space="preserve"> ensure</w:t>
            </w:r>
            <w:r w:rsidR="00340669">
              <w:rPr>
                <w:rFonts w:cs="Arial"/>
                <w:sz w:val="22"/>
                <w:szCs w:val="22"/>
              </w:rPr>
              <w:t xml:space="preserve"> the continuation </w:t>
            </w:r>
            <w:r w:rsidR="00B467C9">
              <w:rPr>
                <w:rFonts w:cs="Arial"/>
                <w:sz w:val="22"/>
                <w:szCs w:val="22"/>
              </w:rPr>
              <w:t>of the</w:t>
            </w:r>
            <w:r w:rsidR="00CD0C3C">
              <w:rPr>
                <w:rFonts w:cs="Arial"/>
                <w:sz w:val="22"/>
                <w:szCs w:val="22"/>
              </w:rPr>
              <w:t xml:space="preserve"> infrastructure required to deliver the </w:t>
            </w:r>
            <w:proofErr w:type="spellStart"/>
            <w:r w:rsidR="00CD0C3C">
              <w:rPr>
                <w:rFonts w:cs="Arial"/>
                <w:sz w:val="22"/>
                <w:szCs w:val="22"/>
              </w:rPr>
              <w:t>CFHealthHub</w:t>
            </w:r>
            <w:proofErr w:type="spellEnd"/>
            <w:r w:rsidR="00CD0C3C">
              <w:rPr>
                <w:rFonts w:cs="Arial"/>
                <w:sz w:val="22"/>
                <w:szCs w:val="22"/>
              </w:rPr>
              <w:t xml:space="preserve"> digital platform for system wide use</w:t>
            </w:r>
            <w:r w:rsidR="005D1862" w:rsidRPr="0065756E">
              <w:rPr>
                <w:rFonts w:cs="Arial"/>
                <w:sz w:val="22"/>
                <w:szCs w:val="22"/>
              </w:rPr>
              <w:t xml:space="preserve">. This is the approach identified by an options appraisal </w:t>
            </w:r>
            <w:r w:rsidR="0058253F" w:rsidRPr="0065756E">
              <w:rPr>
                <w:rFonts w:cs="Arial"/>
                <w:sz w:val="22"/>
                <w:szCs w:val="22"/>
              </w:rPr>
              <w:t xml:space="preserve">performed </w:t>
            </w:r>
            <w:r w:rsidR="005D1862" w:rsidRPr="0065756E">
              <w:rPr>
                <w:rFonts w:cs="Arial"/>
                <w:sz w:val="22"/>
                <w:szCs w:val="22"/>
              </w:rPr>
              <w:t xml:space="preserve">for NIHR and supported in principle by the </w:t>
            </w:r>
            <w:proofErr w:type="spellStart"/>
            <w:r w:rsidR="0058253F" w:rsidRPr="0065756E">
              <w:rPr>
                <w:rFonts w:cs="Arial"/>
                <w:sz w:val="22"/>
                <w:szCs w:val="22"/>
              </w:rPr>
              <w:t>CFHealthHub</w:t>
            </w:r>
            <w:proofErr w:type="spellEnd"/>
            <w:r w:rsidR="0058253F" w:rsidRPr="0065756E">
              <w:rPr>
                <w:rFonts w:cs="Arial"/>
                <w:sz w:val="22"/>
                <w:szCs w:val="22"/>
              </w:rPr>
              <w:t xml:space="preserve"> </w:t>
            </w:r>
            <w:r w:rsidR="005D1862" w:rsidRPr="0065756E">
              <w:rPr>
                <w:rFonts w:cs="Arial"/>
                <w:sz w:val="22"/>
                <w:szCs w:val="22"/>
              </w:rPr>
              <w:t xml:space="preserve">intellectual property holders who are working with the </w:t>
            </w:r>
            <w:proofErr w:type="spellStart"/>
            <w:r w:rsidR="005D1862" w:rsidRPr="0065756E">
              <w:rPr>
                <w:rFonts w:cs="Arial"/>
                <w:sz w:val="22"/>
                <w:szCs w:val="22"/>
              </w:rPr>
              <w:t>CFHealthHub</w:t>
            </w:r>
            <w:proofErr w:type="spellEnd"/>
            <w:r w:rsidR="005D1862" w:rsidRPr="0065756E">
              <w:rPr>
                <w:rFonts w:cs="Arial"/>
                <w:sz w:val="22"/>
                <w:szCs w:val="22"/>
              </w:rPr>
              <w:t xml:space="preserve"> principal investigator to achieve this exit route.</w:t>
            </w:r>
            <w:r w:rsidR="0065756E" w:rsidRPr="0065756E">
              <w:rPr>
                <w:rFonts w:cs="Arial"/>
                <w:sz w:val="22"/>
                <w:szCs w:val="22"/>
              </w:rPr>
              <w:t xml:space="preserve"> </w:t>
            </w:r>
            <w:r w:rsidR="005D1862" w:rsidRPr="0065756E">
              <w:rPr>
                <w:rFonts w:cs="Arial"/>
                <w:sz w:val="22"/>
                <w:szCs w:val="22"/>
              </w:rPr>
              <w:t xml:space="preserve">The enduring savings to the </w:t>
            </w:r>
            <w:r w:rsidR="005D1862" w:rsidRPr="0032505F">
              <w:rPr>
                <w:rFonts w:cs="Arial"/>
                <w:sz w:val="22"/>
                <w:szCs w:val="22"/>
              </w:rPr>
              <w:t xml:space="preserve">provider </w:t>
            </w:r>
            <w:r w:rsidR="0032505F" w:rsidRPr="0032505F">
              <w:rPr>
                <w:rFonts w:cs="Arial"/>
                <w:sz w:val="22"/>
                <w:szCs w:val="22"/>
              </w:rPr>
              <w:t>(</w:t>
            </w:r>
            <w:proofErr w:type="gramStart"/>
            <w:r w:rsidR="0032505F" w:rsidRPr="0032505F">
              <w:rPr>
                <w:rFonts w:cs="Arial"/>
                <w:sz w:val="22"/>
                <w:szCs w:val="22"/>
              </w:rPr>
              <w:t>see</w:t>
            </w:r>
            <w:proofErr w:type="gramEnd"/>
            <w:r w:rsidR="0032505F" w:rsidRPr="0032505F">
              <w:rPr>
                <w:rFonts w:cs="Arial"/>
                <w:sz w:val="22"/>
                <w:szCs w:val="22"/>
              </w:rPr>
              <w:t xml:space="preserve"> table </w:t>
            </w:r>
            <w:r w:rsidR="00925247">
              <w:rPr>
                <w:rFonts w:cs="Arial"/>
                <w:sz w:val="22"/>
                <w:szCs w:val="22"/>
              </w:rPr>
              <w:t>3</w:t>
            </w:r>
            <w:r w:rsidR="005D1862" w:rsidRPr="0032505F">
              <w:rPr>
                <w:rFonts w:cs="Arial"/>
                <w:sz w:val="22"/>
                <w:szCs w:val="22"/>
              </w:rPr>
              <w:t xml:space="preserve">) </w:t>
            </w:r>
            <w:r w:rsidR="0058253F" w:rsidRPr="0065756E">
              <w:rPr>
                <w:rFonts w:cs="Arial"/>
                <w:sz w:val="22"/>
                <w:szCs w:val="22"/>
              </w:rPr>
              <w:t xml:space="preserve">support a revenue model for </w:t>
            </w:r>
            <w:proofErr w:type="spellStart"/>
            <w:r w:rsidR="0058253F" w:rsidRPr="0065756E">
              <w:rPr>
                <w:rFonts w:cs="Arial"/>
                <w:sz w:val="22"/>
                <w:szCs w:val="22"/>
              </w:rPr>
              <w:t>CFHealthHub</w:t>
            </w:r>
            <w:proofErr w:type="spellEnd"/>
            <w:r w:rsidR="0058253F" w:rsidRPr="0065756E">
              <w:rPr>
                <w:rFonts w:cs="Arial"/>
                <w:sz w:val="22"/>
                <w:szCs w:val="22"/>
              </w:rPr>
              <w:t xml:space="preserve"> whereby providers invest a modest proportion of those savings to sustain the system-wide infrastructure and data transfer while retaining the net savings</w:t>
            </w:r>
            <w:r w:rsidR="00394EA2" w:rsidRPr="0065756E">
              <w:rPr>
                <w:rFonts w:cs="Arial"/>
                <w:sz w:val="22"/>
                <w:szCs w:val="22"/>
              </w:rPr>
              <w:t xml:space="preserve">. For 3,000 patients </w:t>
            </w:r>
            <w:r w:rsidR="003C5200" w:rsidRPr="0065756E">
              <w:rPr>
                <w:rFonts w:cs="Arial"/>
                <w:sz w:val="22"/>
                <w:szCs w:val="22"/>
              </w:rPr>
              <w:t>providers would retain £4.8m per annum</w:t>
            </w:r>
            <w:r w:rsidR="003C5200" w:rsidRPr="0065756E">
              <w:rPr>
                <w:rStyle w:val="FootnoteReference"/>
                <w:rFonts w:cs="Arial"/>
                <w:sz w:val="22"/>
                <w:szCs w:val="22"/>
              </w:rPr>
              <w:footnoteReference w:id="3"/>
            </w:r>
            <w:r w:rsidR="003C5200" w:rsidRPr="0065756E">
              <w:rPr>
                <w:rFonts w:cs="Arial"/>
                <w:sz w:val="22"/>
                <w:szCs w:val="22"/>
              </w:rPr>
              <w:t xml:space="preserve"> after an </w:t>
            </w:r>
            <w:r w:rsidR="0058253F" w:rsidRPr="0065756E">
              <w:rPr>
                <w:rFonts w:cs="Arial"/>
                <w:sz w:val="22"/>
                <w:szCs w:val="22"/>
              </w:rPr>
              <w:t xml:space="preserve">investment </w:t>
            </w:r>
            <w:r w:rsidR="003C5200" w:rsidRPr="0065756E">
              <w:rPr>
                <w:rFonts w:cs="Arial"/>
                <w:sz w:val="22"/>
                <w:szCs w:val="22"/>
              </w:rPr>
              <w:t xml:space="preserve">of </w:t>
            </w:r>
            <w:r w:rsidR="00394EA2" w:rsidRPr="0065756E">
              <w:rPr>
                <w:rFonts w:cs="Arial"/>
                <w:sz w:val="22"/>
                <w:szCs w:val="22"/>
              </w:rPr>
              <w:t>£1m per annum (approximately £</w:t>
            </w:r>
            <w:r w:rsidR="003748C8">
              <w:rPr>
                <w:rFonts w:cs="Arial"/>
                <w:sz w:val="22"/>
                <w:szCs w:val="22"/>
              </w:rPr>
              <w:t>333</w:t>
            </w:r>
            <w:r w:rsidR="00394EA2" w:rsidRPr="0065756E">
              <w:rPr>
                <w:rFonts w:cs="Arial"/>
                <w:sz w:val="22"/>
                <w:szCs w:val="22"/>
              </w:rPr>
              <w:t xml:space="preserve"> per patient) </w:t>
            </w:r>
            <w:r w:rsidR="003C5200" w:rsidRPr="0065756E">
              <w:rPr>
                <w:rFonts w:cs="Arial"/>
                <w:sz w:val="22"/>
                <w:szCs w:val="22"/>
              </w:rPr>
              <w:t xml:space="preserve">to sustain </w:t>
            </w:r>
            <w:proofErr w:type="spellStart"/>
            <w:r w:rsidR="003C5200" w:rsidRPr="0065756E">
              <w:rPr>
                <w:rFonts w:cs="Arial"/>
                <w:sz w:val="22"/>
                <w:szCs w:val="22"/>
              </w:rPr>
              <w:t>CFHealthHub</w:t>
            </w:r>
            <w:proofErr w:type="spellEnd"/>
            <w:r w:rsidR="003C5200" w:rsidRPr="0065756E">
              <w:rPr>
                <w:rFonts w:cs="Arial"/>
                <w:sz w:val="22"/>
                <w:szCs w:val="22"/>
              </w:rPr>
              <w:t xml:space="preserve"> for their patients</w:t>
            </w:r>
            <w:r w:rsidR="00394EA2" w:rsidRPr="0065756E">
              <w:rPr>
                <w:rFonts w:cs="Arial"/>
                <w:sz w:val="22"/>
                <w:szCs w:val="22"/>
              </w:rPr>
              <w:t>.</w:t>
            </w:r>
            <w:r w:rsidR="0065756E" w:rsidRPr="0065756E">
              <w:rPr>
                <w:rFonts w:cs="Arial"/>
                <w:sz w:val="22"/>
                <w:szCs w:val="22"/>
              </w:rPr>
              <w:t xml:space="preserve"> It is important to set the £</w:t>
            </w:r>
            <w:r w:rsidR="003748C8">
              <w:rPr>
                <w:rFonts w:cs="Arial"/>
                <w:sz w:val="22"/>
                <w:szCs w:val="22"/>
              </w:rPr>
              <w:t>333</w:t>
            </w:r>
            <w:r w:rsidR="0065756E" w:rsidRPr="0065756E">
              <w:rPr>
                <w:rFonts w:cs="Arial"/>
                <w:sz w:val="22"/>
                <w:szCs w:val="22"/>
              </w:rPr>
              <w:t xml:space="preserve"> per patient per annum in context.  A single patient escalated from tobramycin to aztreonam cost an additional £5000 per annum and a single admission for rescue intravenous antibiotics costs in the region of £3000. </w:t>
            </w:r>
          </w:p>
          <w:p w14:paraId="7DF87096" w14:textId="1149D907" w:rsidR="005D1862" w:rsidRPr="0065756E" w:rsidRDefault="005D1862" w:rsidP="001F6AA3">
            <w:pPr>
              <w:spacing w:before="40" w:after="40"/>
              <w:rPr>
                <w:rFonts w:cs="Arial"/>
                <w:color w:val="000000"/>
                <w:sz w:val="22"/>
                <w:szCs w:val="22"/>
              </w:rPr>
            </w:pPr>
            <w:r w:rsidRPr="0065756E">
              <w:rPr>
                <w:rFonts w:cs="Arial"/>
                <w:color w:val="000000"/>
                <w:sz w:val="22"/>
                <w:szCs w:val="22"/>
              </w:rPr>
              <w:t xml:space="preserve">As is typical with platform business models, </w:t>
            </w:r>
            <w:proofErr w:type="spellStart"/>
            <w:r w:rsidRPr="0065756E">
              <w:rPr>
                <w:rFonts w:cs="Arial"/>
                <w:color w:val="000000"/>
                <w:sz w:val="22"/>
                <w:szCs w:val="22"/>
              </w:rPr>
              <w:t>CFHealthHub</w:t>
            </w:r>
            <w:proofErr w:type="spellEnd"/>
            <w:r w:rsidRPr="0065756E">
              <w:rPr>
                <w:rFonts w:cs="Arial"/>
                <w:color w:val="000000"/>
                <w:sz w:val="22"/>
                <w:szCs w:val="22"/>
              </w:rPr>
              <w:t xml:space="preserve"> experiences increasing returns to scale as the number of users increases.</w:t>
            </w:r>
            <w:r w:rsidR="00B41ED5" w:rsidRPr="0065756E">
              <w:rPr>
                <w:rFonts w:cs="Arial"/>
                <w:color w:val="000000"/>
                <w:sz w:val="22"/>
                <w:szCs w:val="22"/>
              </w:rPr>
              <w:t xml:space="preserve"> Increasing the number of patients for whom </w:t>
            </w:r>
            <w:proofErr w:type="spellStart"/>
            <w:r w:rsidR="00B41ED5" w:rsidRPr="0065756E">
              <w:rPr>
                <w:rFonts w:cs="Arial"/>
                <w:color w:val="000000"/>
                <w:sz w:val="22"/>
                <w:szCs w:val="22"/>
              </w:rPr>
              <w:t>CFHealthHub</w:t>
            </w:r>
            <w:proofErr w:type="spellEnd"/>
            <w:r w:rsidR="00B41ED5" w:rsidRPr="0065756E">
              <w:rPr>
                <w:rFonts w:cs="Arial"/>
                <w:color w:val="000000"/>
                <w:sz w:val="22"/>
                <w:szCs w:val="22"/>
              </w:rPr>
              <w:t xml:space="preserve"> is available not only scales the benefits and extends</w:t>
            </w:r>
            <w:r w:rsidR="0065756E">
              <w:rPr>
                <w:rFonts w:cs="Arial"/>
                <w:color w:val="000000"/>
                <w:sz w:val="22"/>
                <w:szCs w:val="22"/>
              </w:rPr>
              <w:t xml:space="preserve"> the learning, it increases the </w:t>
            </w:r>
            <w:r w:rsidR="00B41ED5" w:rsidRPr="0065756E">
              <w:rPr>
                <w:rFonts w:cs="Arial"/>
                <w:color w:val="000000"/>
                <w:sz w:val="22"/>
                <w:szCs w:val="22"/>
              </w:rPr>
              <w:t>per patient return on investment.</w:t>
            </w:r>
          </w:p>
          <w:p w14:paraId="4D3E71D7" w14:textId="77777777" w:rsidR="00C25612" w:rsidRPr="0026417D" w:rsidRDefault="00C25612" w:rsidP="005D1862">
            <w:pPr>
              <w:spacing w:before="40" w:after="40"/>
              <w:rPr>
                <w:rFonts w:cs="Arial"/>
                <w:b/>
                <w:color w:val="000000"/>
                <w:szCs w:val="24"/>
                <w:u w:val="single"/>
              </w:rPr>
            </w:pPr>
          </w:p>
        </w:tc>
      </w:tr>
      <w:tr w:rsidR="00234135" w:rsidRPr="00BB243E" w14:paraId="302FCF9D" w14:textId="77777777" w:rsidTr="00427E7E">
        <w:tc>
          <w:tcPr>
            <w:tcW w:w="5000" w:type="pct"/>
            <w:gridSpan w:val="2"/>
            <w:shd w:val="clear" w:color="auto" w:fill="D9D9D9" w:themeFill="background1" w:themeFillShade="D9"/>
          </w:tcPr>
          <w:p w14:paraId="3CC01699"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350724CD" w14:textId="77777777" w:rsidTr="00427E7E">
        <w:tc>
          <w:tcPr>
            <w:tcW w:w="5000" w:type="pct"/>
            <w:gridSpan w:val="2"/>
          </w:tcPr>
          <w:p w14:paraId="353C8052" w14:textId="77777777" w:rsidR="00234135" w:rsidRPr="001F6AA3"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075C7E08" w14:textId="77777777" w:rsidR="006F34C7" w:rsidRPr="00BC4EA9" w:rsidRDefault="006F34C7" w:rsidP="0084461B">
            <w:pPr>
              <w:rPr>
                <w:rFonts w:cs="Arial"/>
                <w:i/>
                <w:color w:val="FF0000"/>
                <w:szCs w:val="24"/>
              </w:rPr>
            </w:pPr>
          </w:p>
          <w:p w14:paraId="60340A2F" w14:textId="5FBAEE98" w:rsidR="00234135" w:rsidRPr="00D864AC" w:rsidRDefault="00C808D3" w:rsidP="0037141C">
            <w:pPr>
              <w:jc w:val="center"/>
              <w:rPr>
                <w:rFonts w:eastAsiaTheme="minorEastAsia" w:cs="Arial"/>
                <w:b/>
                <w:szCs w:val="24"/>
              </w:rPr>
            </w:pPr>
            <w:r>
              <w:rPr>
                <w:rFonts w:eastAsiaTheme="minorEastAsia" w:cs="Arial"/>
                <w:b/>
                <w:szCs w:val="24"/>
              </w:rPr>
              <w:t xml:space="preserve">Table </w:t>
            </w:r>
            <w:r w:rsidR="006F34C7">
              <w:rPr>
                <w:rFonts w:eastAsiaTheme="minorEastAsia" w:cs="Arial"/>
                <w:b/>
                <w:szCs w:val="24"/>
              </w:rPr>
              <w:t>4</w:t>
            </w:r>
            <w:r w:rsidR="00002F6F" w:rsidRPr="00D864AC">
              <w:rPr>
                <w:rFonts w:eastAsiaTheme="minorEastAsia" w:cs="Arial"/>
                <w:b/>
                <w:szCs w:val="24"/>
              </w:rPr>
              <w:t xml:space="preserve"> CQUIN </w:t>
            </w:r>
            <w:r w:rsidR="00D864AC" w:rsidRPr="00D864AC">
              <w:rPr>
                <w:rFonts w:eastAsiaTheme="minorEastAsia" w:cs="Arial"/>
                <w:b/>
                <w:szCs w:val="24"/>
              </w:rPr>
              <w:t xml:space="preserve">investment </w:t>
            </w:r>
            <w:r w:rsidR="00002F6F" w:rsidRPr="00D864AC">
              <w:rPr>
                <w:rFonts w:eastAsiaTheme="minorEastAsia" w:cs="Arial"/>
                <w:b/>
                <w:szCs w:val="24"/>
              </w:rPr>
              <w:t>per site</w:t>
            </w:r>
          </w:p>
          <w:tbl>
            <w:tblPr>
              <w:tblW w:w="9923" w:type="dxa"/>
              <w:tblLook w:val="04A0" w:firstRow="1" w:lastRow="0" w:firstColumn="1" w:lastColumn="0" w:noHBand="0" w:noVBand="1"/>
            </w:tblPr>
            <w:tblGrid>
              <w:gridCol w:w="1701"/>
              <w:gridCol w:w="567"/>
              <w:gridCol w:w="567"/>
              <w:gridCol w:w="1417"/>
              <w:gridCol w:w="1417"/>
              <w:gridCol w:w="1418"/>
              <w:gridCol w:w="1441"/>
              <w:gridCol w:w="1419"/>
            </w:tblGrid>
            <w:tr w:rsidR="00762F54" w:rsidRPr="00C71809" w14:paraId="48A87468" w14:textId="77777777" w:rsidTr="00762F54">
              <w:trPr>
                <w:trHeight w:val="255"/>
              </w:trPr>
              <w:tc>
                <w:tcPr>
                  <w:tcW w:w="9923"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5EED176C" w14:textId="77777777" w:rsidR="00762F54" w:rsidRPr="00C71809" w:rsidRDefault="00762F54" w:rsidP="00762F54">
                  <w:pPr>
                    <w:jc w:val="center"/>
                    <w:rPr>
                      <w:rFonts w:ascii="Calibri" w:hAnsi="Calibri" w:cs="Calibri"/>
                      <w:b/>
                      <w:color w:val="000000"/>
                      <w:sz w:val="20"/>
                      <w:szCs w:val="20"/>
                      <w:lang w:eastAsia="en-GB"/>
                    </w:rPr>
                  </w:pPr>
                  <w:r w:rsidRPr="00C71809">
                    <w:rPr>
                      <w:rFonts w:ascii="Calibri" w:hAnsi="Calibri" w:cs="Calibri"/>
                      <w:b/>
                      <w:color w:val="000000"/>
                      <w:sz w:val="20"/>
                      <w:szCs w:val="20"/>
                      <w:lang w:eastAsia="en-GB"/>
                    </w:rPr>
                    <w:t>Per site CQUIN investment: NHS financial year ending 31/3/2020</w:t>
                  </w:r>
                </w:p>
              </w:tc>
            </w:tr>
            <w:tr w:rsidR="00762F54" w:rsidRPr="00C71809" w14:paraId="4D03178E" w14:textId="77777777" w:rsidTr="00762F54">
              <w:trPr>
                <w:trHeight w:val="255"/>
              </w:trPr>
              <w:tc>
                <w:tcPr>
                  <w:tcW w:w="2835" w:type="dxa"/>
                  <w:gridSpan w:val="3"/>
                  <w:tcBorders>
                    <w:top w:val="single" w:sz="4" w:space="0" w:color="auto"/>
                    <w:left w:val="single" w:sz="8" w:space="0" w:color="auto"/>
                    <w:bottom w:val="nil"/>
                    <w:right w:val="single" w:sz="4" w:space="0" w:color="000000"/>
                  </w:tcBorders>
                  <w:shd w:val="clear" w:color="auto" w:fill="auto"/>
                  <w:noWrap/>
                  <w:vAlign w:val="bottom"/>
                  <w:hideMark/>
                </w:tcPr>
                <w:p w14:paraId="1C3EC70A" w14:textId="67642572"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Number of years site has been in improvement collaborative</w:t>
                  </w:r>
                  <w:r w:rsidR="00492F74">
                    <w:rPr>
                      <w:rFonts w:ascii="Calibri" w:hAnsi="Calibri" w:cs="Calibri"/>
                      <w:color w:val="000000"/>
                      <w:sz w:val="20"/>
                      <w:szCs w:val="20"/>
                      <w:lang w:eastAsia="en-GB"/>
                    </w:rPr>
                    <w:t xml:space="preserve"> by 2020</w:t>
                  </w:r>
                </w:p>
              </w:tc>
              <w:tc>
                <w:tcPr>
                  <w:tcW w:w="425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669231" w14:textId="77777777" w:rsidR="00762F54" w:rsidRPr="00C71809" w:rsidRDefault="00762F54" w:rsidP="00762F54">
                  <w:pPr>
                    <w:jc w:val="center"/>
                    <w:rPr>
                      <w:rFonts w:ascii="Calibri" w:hAnsi="Calibri" w:cs="Calibri"/>
                      <w:b/>
                      <w:color w:val="000000"/>
                      <w:sz w:val="20"/>
                      <w:szCs w:val="20"/>
                      <w:lang w:eastAsia="en-GB"/>
                    </w:rPr>
                  </w:pPr>
                  <w:r w:rsidRPr="00C71809">
                    <w:rPr>
                      <w:rFonts w:ascii="Calibri" w:hAnsi="Calibri" w:cs="Calibri"/>
                      <w:b/>
                      <w:color w:val="000000"/>
                      <w:sz w:val="20"/>
                      <w:szCs w:val="20"/>
                      <w:lang w:eastAsia="en-GB"/>
                    </w:rPr>
                    <w:t>1</w:t>
                  </w:r>
                </w:p>
              </w:tc>
              <w:tc>
                <w:tcPr>
                  <w:tcW w:w="283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032730" w14:textId="77777777" w:rsidR="00762F54" w:rsidRPr="00C71809" w:rsidRDefault="00762F54" w:rsidP="00762F54">
                  <w:pPr>
                    <w:jc w:val="center"/>
                    <w:rPr>
                      <w:rFonts w:ascii="Calibri" w:hAnsi="Calibri" w:cs="Calibri"/>
                      <w:b/>
                      <w:color w:val="000000"/>
                      <w:sz w:val="20"/>
                      <w:szCs w:val="20"/>
                      <w:lang w:eastAsia="en-GB"/>
                    </w:rPr>
                  </w:pPr>
                  <w:r w:rsidRPr="00C71809">
                    <w:rPr>
                      <w:rFonts w:ascii="Calibri" w:hAnsi="Calibri" w:cs="Calibri"/>
                      <w:b/>
                      <w:color w:val="000000"/>
                      <w:sz w:val="20"/>
                      <w:szCs w:val="20"/>
                      <w:lang w:eastAsia="en-GB"/>
                    </w:rPr>
                    <w:t>3</w:t>
                  </w:r>
                </w:p>
              </w:tc>
            </w:tr>
            <w:tr w:rsidR="00762F54" w:rsidRPr="00C71809" w14:paraId="7CB1F0D5" w14:textId="77777777" w:rsidTr="00762F54">
              <w:trPr>
                <w:trHeight w:val="255"/>
              </w:trPr>
              <w:tc>
                <w:tcPr>
                  <w:tcW w:w="2835" w:type="dxa"/>
                  <w:gridSpan w:val="3"/>
                  <w:tcBorders>
                    <w:top w:val="nil"/>
                    <w:left w:val="single" w:sz="8" w:space="0" w:color="auto"/>
                    <w:bottom w:val="nil"/>
                    <w:right w:val="nil"/>
                  </w:tcBorders>
                  <w:shd w:val="clear" w:color="auto" w:fill="auto"/>
                  <w:noWrap/>
                  <w:vAlign w:val="bottom"/>
                  <w:hideMark/>
                </w:tcPr>
                <w:p w14:paraId="0AAB887E"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lastRenderedPageBreak/>
                    <w:t>Site category</w:t>
                  </w:r>
                </w:p>
              </w:tc>
              <w:tc>
                <w:tcPr>
                  <w:tcW w:w="1417" w:type="dxa"/>
                  <w:tcBorders>
                    <w:top w:val="nil"/>
                    <w:left w:val="single" w:sz="4" w:space="0" w:color="auto"/>
                    <w:bottom w:val="single" w:sz="4" w:space="0" w:color="auto"/>
                    <w:right w:val="nil"/>
                  </w:tcBorders>
                  <w:shd w:val="clear" w:color="auto" w:fill="auto"/>
                  <w:noWrap/>
                  <w:vAlign w:val="bottom"/>
                  <w:hideMark/>
                </w:tcPr>
                <w:p w14:paraId="719FFE72" w14:textId="2F3297D4" w:rsidR="00762F54" w:rsidRPr="00C71809" w:rsidRDefault="00E8127A" w:rsidP="00762F54">
                  <w:pPr>
                    <w:jc w:val="center"/>
                    <w:rPr>
                      <w:rFonts w:ascii="Calibri" w:hAnsi="Calibri" w:cs="Calibri"/>
                      <w:b/>
                      <w:color w:val="000000"/>
                      <w:sz w:val="20"/>
                      <w:szCs w:val="20"/>
                      <w:lang w:eastAsia="en-GB"/>
                    </w:rPr>
                  </w:pPr>
                  <w:r>
                    <w:rPr>
                      <w:rFonts w:ascii="Calibri" w:hAnsi="Calibri" w:cs="Calibri"/>
                      <w:b/>
                      <w:color w:val="000000"/>
                      <w:sz w:val="20"/>
                      <w:szCs w:val="20"/>
                      <w:lang w:eastAsia="en-GB"/>
                    </w:rPr>
                    <w:t xml:space="preserve">Small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F14FDB" w14:textId="2847780C" w:rsidR="00762F54" w:rsidRPr="00C71809" w:rsidRDefault="00E8127A" w:rsidP="00E8127A">
                  <w:pPr>
                    <w:rPr>
                      <w:rFonts w:ascii="Calibri" w:hAnsi="Calibri" w:cs="Calibri"/>
                      <w:b/>
                      <w:color w:val="000000"/>
                      <w:sz w:val="20"/>
                      <w:szCs w:val="20"/>
                      <w:lang w:eastAsia="en-GB"/>
                    </w:rPr>
                  </w:pPr>
                  <w:r>
                    <w:rPr>
                      <w:rFonts w:ascii="Calibri" w:hAnsi="Calibri" w:cs="Calibri"/>
                      <w:b/>
                      <w:color w:val="000000"/>
                      <w:sz w:val="20"/>
                      <w:szCs w:val="20"/>
                      <w:lang w:eastAsia="en-GB"/>
                    </w:rPr>
                    <w:t xml:space="preserve">Medium </w:t>
                  </w:r>
                </w:p>
              </w:tc>
              <w:tc>
                <w:tcPr>
                  <w:tcW w:w="4254"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1914286" w14:textId="0461A300" w:rsidR="00762F54" w:rsidRPr="00C71809" w:rsidRDefault="00E8127A" w:rsidP="00762F54">
                  <w:pPr>
                    <w:jc w:val="center"/>
                    <w:rPr>
                      <w:rFonts w:ascii="Calibri" w:hAnsi="Calibri" w:cs="Calibri"/>
                      <w:b/>
                      <w:color w:val="000000"/>
                      <w:sz w:val="20"/>
                      <w:szCs w:val="20"/>
                      <w:lang w:eastAsia="en-GB"/>
                    </w:rPr>
                  </w:pPr>
                  <w:r>
                    <w:rPr>
                      <w:rFonts w:ascii="Calibri" w:hAnsi="Calibri" w:cs="Calibri"/>
                      <w:b/>
                      <w:color w:val="000000"/>
                      <w:sz w:val="20"/>
                      <w:szCs w:val="20"/>
                      <w:lang w:eastAsia="en-GB"/>
                    </w:rPr>
                    <w:t>Large</w:t>
                  </w:r>
                </w:p>
              </w:tc>
            </w:tr>
            <w:tr w:rsidR="00F45F14" w:rsidRPr="00E21A8A" w14:paraId="13D7F5C0" w14:textId="77777777" w:rsidTr="00CC15FD">
              <w:trPr>
                <w:trHeight w:val="255"/>
              </w:trPr>
              <w:tc>
                <w:tcPr>
                  <w:tcW w:w="1701" w:type="dxa"/>
                  <w:tcBorders>
                    <w:top w:val="nil"/>
                    <w:left w:val="single" w:sz="8" w:space="0" w:color="auto"/>
                    <w:bottom w:val="nil"/>
                    <w:right w:val="nil"/>
                  </w:tcBorders>
                  <w:shd w:val="clear" w:color="auto" w:fill="auto"/>
                  <w:noWrap/>
                  <w:vAlign w:val="bottom"/>
                  <w:hideMark/>
                </w:tcPr>
                <w:p w14:paraId="517119A2" w14:textId="77777777" w:rsidR="00F45F14" w:rsidRPr="00C71809" w:rsidRDefault="00F45F1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Role</w:t>
                  </w:r>
                </w:p>
              </w:tc>
              <w:tc>
                <w:tcPr>
                  <w:tcW w:w="567" w:type="dxa"/>
                  <w:tcBorders>
                    <w:top w:val="nil"/>
                    <w:left w:val="nil"/>
                    <w:bottom w:val="nil"/>
                    <w:right w:val="nil"/>
                  </w:tcBorders>
                  <w:shd w:val="clear" w:color="auto" w:fill="auto"/>
                  <w:noWrap/>
                  <w:vAlign w:val="bottom"/>
                </w:tcPr>
                <w:p w14:paraId="7AF1383C" w14:textId="77777777" w:rsidR="00F45F14" w:rsidRPr="00C71809" w:rsidRDefault="00F45F14" w:rsidP="00762F54">
                  <w:pPr>
                    <w:rPr>
                      <w:rFonts w:ascii="Calibri" w:hAnsi="Calibri" w:cs="Calibri"/>
                      <w:color w:val="000000"/>
                      <w:sz w:val="20"/>
                      <w:szCs w:val="20"/>
                      <w:lang w:eastAsia="en-GB"/>
                    </w:rPr>
                  </w:pPr>
                </w:p>
              </w:tc>
              <w:tc>
                <w:tcPr>
                  <w:tcW w:w="567" w:type="dxa"/>
                  <w:tcBorders>
                    <w:top w:val="nil"/>
                    <w:left w:val="nil"/>
                    <w:bottom w:val="nil"/>
                    <w:right w:val="nil"/>
                  </w:tcBorders>
                  <w:shd w:val="clear" w:color="auto" w:fill="auto"/>
                  <w:noWrap/>
                  <w:vAlign w:val="bottom"/>
                  <w:hideMark/>
                </w:tcPr>
                <w:p w14:paraId="13075494" w14:textId="77777777" w:rsidR="00F45F14" w:rsidRPr="00C71809" w:rsidRDefault="00F45F14" w:rsidP="00762F54">
                  <w:pPr>
                    <w:rPr>
                      <w:rFonts w:ascii="Times New Roman" w:hAnsi="Times New Roman"/>
                      <w:sz w:val="20"/>
                      <w:szCs w:val="20"/>
                      <w:lang w:eastAsia="en-GB"/>
                    </w:rPr>
                  </w:pPr>
                </w:p>
              </w:tc>
              <w:tc>
                <w:tcPr>
                  <w:tcW w:w="4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447222" w14:textId="77777777" w:rsidR="00F45F14" w:rsidRPr="00C71809" w:rsidRDefault="00F45F14" w:rsidP="00762F54">
                  <w:pPr>
                    <w:jc w:val="center"/>
                    <w:rPr>
                      <w:rFonts w:ascii="Calibri" w:hAnsi="Calibri" w:cs="Calibri"/>
                      <w:b/>
                      <w:color w:val="000000"/>
                      <w:sz w:val="20"/>
                      <w:szCs w:val="20"/>
                      <w:lang w:eastAsia="en-GB"/>
                    </w:rPr>
                  </w:pPr>
                  <w:r w:rsidRPr="00C71809">
                    <w:rPr>
                      <w:rFonts w:ascii="Calibri" w:hAnsi="Calibri" w:cs="Calibri"/>
                      <w:b/>
                      <w:color w:val="000000"/>
                      <w:sz w:val="20"/>
                      <w:szCs w:val="20"/>
                      <w:lang w:eastAsia="en-GB"/>
                    </w:rPr>
                    <w:t> </w:t>
                  </w:r>
                </w:p>
              </w:tc>
              <w:tc>
                <w:tcPr>
                  <w:tcW w:w="1418" w:type="dxa"/>
                  <w:tcBorders>
                    <w:top w:val="nil"/>
                    <w:left w:val="nil"/>
                    <w:bottom w:val="single" w:sz="4" w:space="0" w:color="auto"/>
                    <w:right w:val="single" w:sz="8" w:space="0" w:color="auto"/>
                  </w:tcBorders>
                  <w:shd w:val="clear" w:color="auto" w:fill="auto"/>
                  <w:noWrap/>
                  <w:vAlign w:val="bottom"/>
                  <w:hideMark/>
                </w:tcPr>
                <w:p w14:paraId="57C0365B" w14:textId="748D46D5" w:rsidR="00F45F14" w:rsidRPr="00C71809" w:rsidRDefault="00E8127A" w:rsidP="00762F54">
                  <w:pPr>
                    <w:jc w:val="center"/>
                    <w:rPr>
                      <w:rFonts w:ascii="Calibri" w:hAnsi="Calibri" w:cs="Calibri"/>
                      <w:b/>
                      <w:color w:val="000000"/>
                      <w:sz w:val="20"/>
                      <w:szCs w:val="20"/>
                      <w:lang w:eastAsia="en-GB"/>
                    </w:rPr>
                  </w:pPr>
                  <w:r>
                    <w:rPr>
                      <w:rFonts w:ascii="Calibri" w:hAnsi="Calibri" w:cs="Calibri"/>
                      <w:b/>
                      <w:color w:val="000000"/>
                      <w:sz w:val="20"/>
                      <w:szCs w:val="20"/>
                      <w:lang w:eastAsia="en-GB"/>
                    </w:rPr>
                    <w:t>Southampton/</w:t>
                  </w:r>
                  <w:r>
                    <w:rPr>
                      <w:rFonts w:ascii="Calibri" w:hAnsi="Calibri" w:cs="Calibri"/>
                      <w:b/>
                      <w:color w:val="000000"/>
                      <w:sz w:val="20"/>
                      <w:szCs w:val="20"/>
                      <w:lang w:eastAsia="en-GB"/>
                    </w:rPr>
                    <w:br/>
                    <w:t xml:space="preserve">Nottingham </w:t>
                  </w:r>
                </w:p>
              </w:tc>
              <w:tc>
                <w:tcPr>
                  <w:tcW w:w="1418" w:type="dxa"/>
                  <w:tcBorders>
                    <w:top w:val="nil"/>
                    <w:left w:val="nil"/>
                    <w:bottom w:val="single" w:sz="4" w:space="0" w:color="auto"/>
                    <w:right w:val="single" w:sz="8" w:space="0" w:color="auto"/>
                  </w:tcBorders>
                  <w:shd w:val="clear" w:color="auto" w:fill="auto"/>
                  <w:vAlign w:val="bottom"/>
                </w:tcPr>
                <w:p w14:paraId="2BDB36F4" w14:textId="71D0E347" w:rsidR="00F45F14" w:rsidRPr="00C71809" w:rsidRDefault="00FF1DE6" w:rsidP="00762F54">
                  <w:pPr>
                    <w:jc w:val="center"/>
                    <w:rPr>
                      <w:rFonts w:ascii="Calibri" w:hAnsi="Calibri" w:cs="Calibri"/>
                      <w:b/>
                      <w:color w:val="000000"/>
                      <w:sz w:val="20"/>
                      <w:szCs w:val="20"/>
                      <w:lang w:eastAsia="en-GB"/>
                    </w:rPr>
                  </w:pPr>
                  <w:r w:rsidRPr="00C71809">
                    <w:rPr>
                      <w:rFonts w:ascii="Calibri" w:hAnsi="Calibri" w:cs="Calibri"/>
                      <w:b/>
                      <w:color w:val="000000"/>
                      <w:sz w:val="20"/>
                      <w:szCs w:val="20"/>
                      <w:lang w:eastAsia="en-GB"/>
                    </w:rPr>
                    <w:t>Lead site</w:t>
                  </w:r>
                </w:p>
              </w:tc>
            </w:tr>
            <w:tr w:rsidR="00762F54" w:rsidRPr="00E21A8A" w14:paraId="205A366F"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C270F" w14:textId="20BFAE45" w:rsidR="00762F54" w:rsidRPr="00C71809" w:rsidRDefault="00E8127A" w:rsidP="00762F54">
                  <w:pPr>
                    <w:rPr>
                      <w:rFonts w:ascii="Calibri" w:hAnsi="Calibri" w:cs="Calibri"/>
                      <w:color w:val="000000"/>
                      <w:sz w:val="20"/>
                      <w:szCs w:val="20"/>
                      <w:lang w:eastAsia="en-GB"/>
                    </w:rPr>
                  </w:pPr>
                  <w:proofErr w:type="spellStart"/>
                  <w:r>
                    <w:rPr>
                      <w:rFonts w:ascii="Calibri" w:hAnsi="Calibri" w:cs="Calibri"/>
                      <w:color w:val="000000"/>
                      <w:sz w:val="20"/>
                      <w:szCs w:val="20"/>
                      <w:lang w:eastAsia="en-GB"/>
                    </w:rPr>
                    <w:t>eTrack</w:t>
                  </w:r>
                  <w:proofErr w:type="spellEnd"/>
                  <w:r w:rsidR="00762F54" w:rsidRPr="00C71809">
                    <w:rPr>
                      <w:rFonts w:ascii="Calibri" w:hAnsi="Calibri" w:cs="Calibri"/>
                      <w:color w:val="000000"/>
                      <w:sz w:val="20"/>
                      <w:szCs w:val="20"/>
                      <w:lang w:eastAsia="en-GB"/>
                    </w:rPr>
                    <w:t xml:space="preserve"> data transfer expenses for existing CFHH patients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57B2"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6,834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1B0F"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11,716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EEA9"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11,716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858F"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26,361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B9AF"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26,361 </w:t>
                  </w:r>
                </w:p>
              </w:tc>
            </w:tr>
            <w:tr w:rsidR="00762F54" w:rsidRPr="00E21A8A" w14:paraId="2DFEB68F"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E6FB38" w14:textId="1749DC48" w:rsidR="00762F54" w:rsidRPr="00C71809" w:rsidRDefault="00762F54" w:rsidP="00762F54">
                  <w:pPr>
                    <w:rPr>
                      <w:rFonts w:ascii="Calibri" w:hAnsi="Calibri" w:cs="Calibri"/>
                      <w:sz w:val="20"/>
                      <w:szCs w:val="20"/>
                      <w:lang w:eastAsia="en-GB"/>
                    </w:rPr>
                  </w:pPr>
                  <w:r w:rsidRPr="00C71809">
                    <w:rPr>
                      <w:rFonts w:ascii="Calibri" w:hAnsi="Calibri" w:cs="Calibri"/>
                      <w:sz w:val="20"/>
                      <w:szCs w:val="20"/>
                      <w:lang w:eastAsia="en-GB"/>
                    </w:rPr>
                    <w:t xml:space="preserve">Behaviour change specialist </w:t>
                  </w:r>
                  <w:r w:rsidR="00492F74">
                    <w:rPr>
                      <w:rFonts w:ascii="Calibri" w:hAnsi="Calibri" w:cs="Calibri"/>
                      <w:sz w:val="20"/>
                      <w:szCs w:val="20"/>
                      <w:lang w:eastAsia="en-GB"/>
                    </w:rPr>
                    <w:t xml:space="preserve">(Band 7) </w:t>
                  </w:r>
                  <w:r w:rsidRPr="00C71809">
                    <w:rPr>
                      <w:rFonts w:ascii="Calibri" w:hAnsi="Calibri" w:cs="Calibri"/>
                      <w:sz w:val="20"/>
                      <w:szCs w:val="20"/>
                      <w:lang w:eastAsia="en-GB"/>
                    </w:rPr>
                    <w:t>and co-ordinating roles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06458"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43,955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4502"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54,944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2AAD"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54,944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1D97"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54,944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1587"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161,024 </w:t>
                  </w:r>
                </w:p>
              </w:tc>
            </w:tr>
            <w:tr w:rsidR="00762F54" w:rsidRPr="00E21A8A" w14:paraId="03CF3B76"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AE4F9D"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Behaviour change specialist travel to patient homes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EE55"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5,250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42AD7"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7,250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4C9A"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38943"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9698"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r>
            <w:tr w:rsidR="00762F54" w:rsidRPr="00E21A8A" w14:paraId="1CAE2D02"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8C342"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Quality improvement travel and accommodation for behaviour change team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86F3"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7,000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1F86"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9,000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2C46"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560B"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FAAF5"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10,000 </w:t>
                  </w:r>
                </w:p>
              </w:tc>
            </w:tr>
            <w:tr w:rsidR="00762F54" w:rsidRPr="00E21A8A" w14:paraId="4E6E56BD"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015B73" w14:textId="394EEB04"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Establishing local systems expertise in medicines optimisation</w:t>
                  </w:r>
                  <w:r w:rsidR="00492F74">
                    <w:rPr>
                      <w:rFonts w:ascii="Calibri" w:hAnsi="Calibri" w:cs="Calibri"/>
                      <w:color w:val="000000"/>
                      <w:sz w:val="20"/>
                      <w:szCs w:val="20"/>
                      <w:lang w:eastAsia="en-GB"/>
                    </w:rPr>
                    <w:t xml:space="preserve"> (Band 8a Pharmacist</w:t>
                  </w:r>
                  <w:r w:rsidR="00C808D3">
                    <w:rPr>
                      <w:rFonts w:ascii="Calibri" w:hAnsi="Calibri" w:cs="Calibri"/>
                      <w:color w:val="000000"/>
                      <w:sz w:val="20"/>
                      <w:szCs w:val="20"/>
                      <w:lang w:eastAsia="en-GB"/>
                    </w:rPr>
                    <w:t xml:space="preserve"> or CF MDT member able to deliver medicines optimisation</w:t>
                  </w:r>
                  <w:r w:rsidR="00492F74">
                    <w:rPr>
                      <w:rFonts w:ascii="Calibri" w:hAnsi="Calibri" w:cs="Calibri"/>
                      <w:color w:val="000000"/>
                      <w:sz w:val="20"/>
                      <w:szCs w:val="20"/>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E2DB0"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12,260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B636B"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12,260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FFB3"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12,260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4B5F"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12,260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5114" w14:textId="77777777" w:rsidR="00762F54" w:rsidRPr="00C71809" w:rsidRDefault="00762F54" w:rsidP="00762F54">
                  <w:pPr>
                    <w:rPr>
                      <w:rFonts w:ascii="Calibri" w:hAnsi="Calibri" w:cs="Calibri"/>
                      <w:color w:val="000000"/>
                      <w:sz w:val="20"/>
                      <w:szCs w:val="20"/>
                      <w:lang w:eastAsia="en-GB"/>
                    </w:rPr>
                  </w:pPr>
                  <w:r w:rsidRPr="00C71809">
                    <w:rPr>
                      <w:rFonts w:ascii="Calibri" w:hAnsi="Calibri" w:cs="Calibri"/>
                      <w:color w:val="000000"/>
                      <w:sz w:val="20"/>
                      <w:szCs w:val="20"/>
                      <w:lang w:eastAsia="en-GB"/>
                    </w:rPr>
                    <w:t xml:space="preserve"> £     12,260 </w:t>
                  </w:r>
                </w:p>
              </w:tc>
            </w:tr>
            <w:tr w:rsidR="00762F54" w:rsidRPr="00C36A31" w14:paraId="43CAF7B4" w14:textId="77777777" w:rsidTr="00762F54">
              <w:trPr>
                <w:trHeight w:val="255"/>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026ED8" w14:textId="3702E12B" w:rsidR="00762F54" w:rsidRPr="00C36A31" w:rsidRDefault="00CD0C3C" w:rsidP="00CD0C3C">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Expenses </w:t>
                  </w:r>
                  <w:r w:rsidR="00C36A31">
                    <w:rPr>
                      <w:rFonts w:ascii="Calibri" w:hAnsi="Calibri" w:cs="Calibri"/>
                      <w:b/>
                      <w:i/>
                      <w:color w:val="000000"/>
                      <w:sz w:val="20"/>
                      <w:szCs w:val="20"/>
                      <w:lang w:eastAsia="en-GB"/>
                    </w:rPr>
                    <w:t xml:space="preserve">to be invoiced under Trigger 1 for </w:t>
                  </w:r>
                  <w:r w:rsidRPr="00C36A31">
                    <w:rPr>
                      <w:rFonts w:ascii="Calibri" w:hAnsi="Calibri" w:cs="Calibri"/>
                      <w:b/>
                      <w:i/>
                      <w:color w:val="000000"/>
                      <w:sz w:val="20"/>
                      <w:szCs w:val="20"/>
                      <w:lang w:eastAsia="en-GB"/>
                    </w:rPr>
                    <w:t>transfer to lead site for distribution to clinical trials unit and university of Manchester to deliver digital platform, evaluation and data to participating centres.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3AAC" w14:textId="77777777" w:rsidR="00762F54" w:rsidRPr="00C36A31" w:rsidRDefault="00762F54" w:rsidP="00762F54">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 £      59,701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A908" w14:textId="77777777" w:rsidR="00762F54" w:rsidRPr="00C36A31" w:rsidRDefault="00762F54" w:rsidP="00762F54">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 £      94,830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7BDD" w14:textId="77777777" w:rsidR="00762F54" w:rsidRPr="00C36A31" w:rsidRDefault="00762F54" w:rsidP="00762F54">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 £    176,080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8C99" w14:textId="77777777" w:rsidR="00762F54" w:rsidRPr="00C36A31" w:rsidRDefault="00762F54" w:rsidP="00762F54">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 £       161,435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B614" w14:textId="150DFFAB" w:rsidR="00C34E3B" w:rsidRPr="00C36A31" w:rsidRDefault="00CD0C3C" w:rsidP="00CD0C3C">
                  <w:pPr>
                    <w:rPr>
                      <w:rFonts w:ascii="Calibri" w:hAnsi="Calibri" w:cs="Calibri"/>
                      <w:b/>
                      <w:i/>
                      <w:color w:val="000000"/>
                      <w:sz w:val="20"/>
                      <w:szCs w:val="20"/>
                      <w:lang w:eastAsia="en-GB"/>
                    </w:rPr>
                  </w:pPr>
                  <w:r w:rsidRPr="00C36A31">
                    <w:rPr>
                      <w:rFonts w:ascii="Calibri" w:hAnsi="Calibri" w:cs="Calibri"/>
                      <w:b/>
                      <w:i/>
                      <w:color w:val="000000"/>
                      <w:sz w:val="20"/>
                      <w:szCs w:val="20"/>
                      <w:lang w:eastAsia="en-GB"/>
                    </w:rPr>
                    <w:t xml:space="preserve"> </w:t>
                  </w:r>
                  <w:r w:rsidR="00C34E3B" w:rsidRPr="00C36A31">
                    <w:rPr>
                      <w:rFonts w:ascii="Calibri" w:hAnsi="Calibri" w:cs="Calibri"/>
                      <w:b/>
                      <w:i/>
                      <w:color w:val="000000"/>
                      <w:sz w:val="20"/>
                      <w:szCs w:val="20"/>
                      <w:lang w:eastAsia="en-GB"/>
                    </w:rPr>
                    <w:t>£</w:t>
                  </w:r>
                  <w:r w:rsidR="00646A84" w:rsidRPr="00C36A31">
                    <w:rPr>
                      <w:rFonts w:ascii="Calibri" w:hAnsi="Calibri" w:cs="Calibri"/>
                      <w:b/>
                      <w:i/>
                      <w:color w:val="000000"/>
                      <w:sz w:val="20"/>
                      <w:szCs w:val="20"/>
                      <w:lang w:eastAsia="en-GB"/>
                    </w:rPr>
                    <w:t xml:space="preserve">     </w:t>
                  </w:r>
                  <w:r w:rsidR="00C34E3B" w:rsidRPr="00C36A31">
                    <w:rPr>
                      <w:rFonts w:ascii="Calibri" w:hAnsi="Calibri" w:cs="Calibri"/>
                      <w:b/>
                      <w:i/>
                      <w:color w:val="000000"/>
                      <w:sz w:val="20"/>
                      <w:szCs w:val="20"/>
                      <w:lang w:eastAsia="en-GB"/>
                    </w:rPr>
                    <w:t>55</w:t>
                  </w:r>
                  <w:r w:rsidR="00646A84" w:rsidRPr="00C36A31">
                    <w:rPr>
                      <w:rFonts w:ascii="Calibri" w:hAnsi="Calibri" w:cs="Calibri"/>
                      <w:b/>
                      <w:i/>
                      <w:color w:val="000000"/>
                      <w:sz w:val="20"/>
                      <w:szCs w:val="20"/>
                      <w:lang w:eastAsia="en-GB"/>
                    </w:rPr>
                    <w:t>,</w:t>
                  </w:r>
                  <w:r w:rsidR="00C34E3B" w:rsidRPr="00C36A31">
                    <w:rPr>
                      <w:rFonts w:ascii="Calibri" w:hAnsi="Calibri" w:cs="Calibri"/>
                      <w:b/>
                      <w:i/>
                      <w:color w:val="000000"/>
                      <w:sz w:val="20"/>
                      <w:szCs w:val="20"/>
                      <w:lang w:eastAsia="en-GB"/>
                    </w:rPr>
                    <w:t>355</w:t>
                  </w:r>
                </w:p>
              </w:tc>
            </w:tr>
            <w:tr w:rsidR="00762F54" w:rsidRPr="00E21A8A" w14:paraId="44D52F01" w14:textId="77777777" w:rsidTr="00762F54">
              <w:trPr>
                <w:trHeight w:val="270"/>
              </w:trPr>
              <w:tc>
                <w:tcPr>
                  <w:tcW w:w="2835" w:type="dxa"/>
                  <w:gridSpan w:val="3"/>
                  <w:tcBorders>
                    <w:top w:val="single" w:sz="4" w:space="0" w:color="auto"/>
                    <w:left w:val="single" w:sz="8" w:space="0" w:color="auto"/>
                    <w:bottom w:val="single" w:sz="8" w:space="0" w:color="auto"/>
                    <w:right w:val="single" w:sz="4" w:space="0" w:color="auto"/>
                  </w:tcBorders>
                  <w:shd w:val="clear" w:color="000000" w:fill="BFBFBF"/>
                  <w:vAlign w:val="bottom"/>
                  <w:hideMark/>
                </w:tcPr>
                <w:p w14:paraId="5C8D9772" w14:textId="77777777" w:rsidR="00762F54" w:rsidRPr="00C71809" w:rsidRDefault="00762F54" w:rsidP="00762F54">
                  <w:pPr>
                    <w:rPr>
                      <w:rFonts w:ascii="Calibri" w:hAnsi="Calibri" w:cs="Calibri"/>
                      <w:b/>
                      <w:color w:val="000000"/>
                      <w:sz w:val="20"/>
                      <w:szCs w:val="20"/>
                      <w:lang w:eastAsia="en-GB"/>
                    </w:rPr>
                  </w:pPr>
                  <w:r w:rsidRPr="00C71809">
                    <w:rPr>
                      <w:rFonts w:ascii="Calibri" w:hAnsi="Calibri" w:cs="Calibri"/>
                      <w:b/>
                      <w:color w:val="000000"/>
                      <w:sz w:val="20"/>
                      <w:szCs w:val="20"/>
                      <w:lang w:eastAsia="en-GB"/>
                    </w:rPr>
                    <w:t>Total per site CQUIN investment</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EF7CF33" w14:textId="77777777" w:rsidR="00762F54" w:rsidRPr="00C71809" w:rsidRDefault="00762F54" w:rsidP="00762F54">
                  <w:pPr>
                    <w:rPr>
                      <w:rFonts w:ascii="Calibri" w:hAnsi="Calibri" w:cs="Calibri"/>
                      <w:b/>
                      <w:color w:val="000000"/>
                      <w:sz w:val="20"/>
                      <w:szCs w:val="20"/>
                      <w:lang w:eastAsia="en-GB"/>
                    </w:rPr>
                  </w:pPr>
                  <w:r w:rsidRPr="00C71809">
                    <w:rPr>
                      <w:rFonts w:ascii="Calibri" w:hAnsi="Calibri" w:cs="Calibri"/>
                      <w:b/>
                      <w:color w:val="000000"/>
                      <w:sz w:val="20"/>
                      <w:szCs w:val="20"/>
                      <w:lang w:eastAsia="en-GB"/>
                    </w:rPr>
                    <w:t xml:space="preserve"> £    135,000 </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3D4A8C0" w14:textId="77777777" w:rsidR="00762F54" w:rsidRPr="00C71809" w:rsidRDefault="00762F54" w:rsidP="00762F54">
                  <w:pPr>
                    <w:rPr>
                      <w:rFonts w:ascii="Calibri" w:hAnsi="Calibri" w:cs="Calibri"/>
                      <w:b/>
                      <w:color w:val="000000"/>
                      <w:sz w:val="20"/>
                      <w:szCs w:val="20"/>
                      <w:lang w:eastAsia="en-GB"/>
                    </w:rPr>
                  </w:pPr>
                  <w:r w:rsidRPr="00C71809">
                    <w:rPr>
                      <w:rFonts w:ascii="Calibri" w:hAnsi="Calibri" w:cs="Calibri"/>
                      <w:b/>
                      <w:color w:val="000000"/>
                      <w:sz w:val="20"/>
                      <w:szCs w:val="20"/>
                      <w:lang w:eastAsia="en-GB"/>
                    </w:rPr>
                    <w:t xml:space="preserve"> £    190,000 </w:t>
                  </w:r>
                </w:p>
              </w:tc>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5AA3B1" w14:textId="77777777" w:rsidR="00762F54" w:rsidRPr="00C71809" w:rsidRDefault="00762F54" w:rsidP="00762F54">
                  <w:pPr>
                    <w:rPr>
                      <w:rFonts w:ascii="Calibri" w:hAnsi="Calibri" w:cs="Calibri"/>
                      <w:b/>
                      <w:color w:val="000000"/>
                      <w:sz w:val="20"/>
                      <w:szCs w:val="20"/>
                      <w:lang w:eastAsia="en-GB"/>
                    </w:rPr>
                  </w:pPr>
                  <w:r w:rsidRPr="00C71809">
                    <w:rPr>
                      <w:rFonts w:ascii="Calibri" w:hAnsi="Calibri" w:cs="Calibri"/>
                      <w:b/>
                      <w:color w:val="000000"/>
                      <w:sz w:val="20"/>
                      <w:szCs w:val="20"/>
                      <w:lang w:eastAsia="en-GB"/>
                    </w:rPr>
                    <w:t xml:space="preserve"> £    275,000 </w:t>
                  </w:r>
                </w:p>
              </w:tc>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46A441" w14:textId="77777777" w:rsidR="00762F54" w:rsidRPr="00C71809" w:rsidRDefault="00762F54" w:rsidP="00762F54">
                  <w:pPr>
                    <w:rPr>
                      <w:rFonts w:ascii="Calibri" w:hAnsi="Calibri" w:cs="Calibri"/>
                      <w:b/>
                      <w:color w:val="000000"/>
                      <w:sz w:val="20"/>
                      <w:szCs w:val="20"/>
                      <w:lang w:eastAsia="en-GB"/>
                    </w:rPr>
                  </w:pPr>
                  <w:r w:rsidRPr="00C71809">
                    <w:rPr>
                      <w:rFonts w:ascii="Calibri" w:hAnsi="Calibri" w:cs="Calibri"/>
                      <w:b/>
                      <w:color w:val="000000"/>
                      <w:sz w:val="20"/>
                      <w:szCs w:val="20"/>
                      <w:lang w:eastAsia="en-GB"/>
                    </w:rPr>
                    <w:t xml:space="preserve"> £       275,000 </w:t>
                  </w:r>
                </w:p>
              </w:tc>
              <w:tc>
                <w:tcPr>
                  <w:tcW w:w="141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181B1E" w14:textId="211CE1BA" w:rsidR="00762F54" w:rsidRPr="00C71809" w:rsidRDefault="00E8127A" w:rsidP="00762F54">
                  <w:pPr>
                    <w:rPr>
                      <w:rFonts w:ascii="Calibri" w:hAnsi="Calibri" w:cs="Calibri"/>
                      <w:b/>
                      <w:color w:val="000000"/>
                      <w:sz w:val="20"/>
                      <w:szCs w:val="20"/>
                      <w:lang w:eastAsia="en-GB"/>
                    </w:rPr>
                  </w:pPr>
                  <w:r>
                    <w:rPr>
                      <w:rFonts w:ascii="Calibri" w:hAnsi="Calibri" w:cs="Calibri"/>
                      <w:b/>
                      <w:color w:val="000000"/>
                      <w:sz w:val="20"/>
                      <w:szCs w:val="20"/>
                      <w:lang w:eastAsia="en-GB"/>
                    </w:rPr>
                    <w:t xml:space="preserve"> £   275,000</w:t>
                  </w:r>
                  <w:r w:rsidR="00762F54" w:rsidRPr="00C71809">
                    <w:rPr>
                      <w:rFonts w:ascii="Calibri" w:hAnsi="Calibri" w:cs="Calibri"/>
                      <w:b/>
                      <w:color w:val="000000"/>
                      <w:sz w:val="20"/>
                      <w:szCs w:val="20"/>
                      <w:lang w:eastAsia="en-GB"/>
                    </w:rPr>
                    <w:t xml:space="preserve"> </w:t>
                  </w:r>
                </w:p>
              </w:tc>
            </w:tr>
          </w:tbl>
          <w:p w14:paraId="5401E7D8" w14:textId="77777777" w:rsidR="00762F54" w:rsidRDefault="00762F54" w:rsidP="0084461B">
            <w:pPr>
              <w:rPr>
                <w:rFonts w:eastAsiaTheme="minorEastAsia" w:cs="Arial"/>
                <w:szCs w:val="24"/>
              </w:rPr>
            </w:pPr>
          </w:p>
          <w:tbl>
            <w:tblPr>
              <w:tblStyle w:val="TableGrid"/>
              <w:tblW w:w="0" w:type="auto"/>
              <w:tblLook w:val="04A0" w:firstRow="1" w:lastRow="0" w:firstColumn="1" w:lastColumn="0" w:noHBand="0" w:noVBand="1"/>
            </w:tblPr>
            <w:tblGrid>
              <w:gridCol w:w="1576"/>
              <w:gridCol w:w="3261"/>
              <w:gridCol w:w="5114"/>
            </w:tblGrid>
            <w:tr w:rsidR="00E21A8A" w:rsidRPr="00E21A8A" w14:paraId="6FFA44AF" w14:textId="77777777" w:rsidTr="00E21A8A">
              <w:tc>
                <w:tcPr>
                  <w:tcW w:w="1576" w:type="dxa"/>
                </w:tcPr>
                <w:p w14:paraId="6B55D79A" w14:textId="79A44299" w:rsidR="00E21A8A" w:rsidRPr="00E21A8A" w:rsidRDefault="00E21A8A" w:rsidP="003B5023">
                  <w:pPr>
                    <w:rPr>
                      <w:rFonts w:eastAsiaTheme="minorEastAsia" w:cs="Arial"/>
                      <w:b/>
                      <w:sz w:val="20"/>
                      <w:szCs w:val="20"/>
                    </w:rPr>
                  </w:pPr>
                  <w:r w:rsidRPr="00E21A8A">
                    <w:rPr>
                      <w:rFonts w:eastAsiaTheme="minorEastAsia" w:cs="Arial"/>
                      <w:b/>
                      <w:sz w:val="20"/>
                      <w:szCs w:val="20"/>
                    </w:rPr>
                    <w:t>Site category</w:t>
                  </w:r>
                </w:p>
              </w:tc>
              <w:tc>
                <w:tcPr>
                  <w:tcW w:w="3261" w:type="dxa"/>
                </w:tcPr>
                <w:p w14:paraId="7A671BAB" w14:textId="77777777" w:rsidR="00E21A8A" w:rsidRDefault="00E21A8A" w:rsidP="003B5023">
                  <w:pPr>
                    <w:rPr>
                      <w:rFonts w:eastAsiaTheme="minorEastAsia" w:cs="Arial"/>
                      <w:b/>
                      <w:sz w:val="20"/>
                      <w:szCs w:val="20"/>
                    </w:rPr>
                  </w:pPr>
                  <w:r w:rsidRPr="00E21A8A">
                    <w:rPr>
                      <w:rFonts w:eastAsiaTheme="minorEastAsia" w:cs="Arial"/>
                      <w:b/>
                      <w:sz w:val="20"/>
                      <w:szCs w:val="20"/>
                    </w:rPr>
                    <w:t>Number of CF registry patients</w:t>
                  </w:r>
                </w:p>
                <w:p w14:paraId="573D2FAC" w14:textId="11DB283A" w:rsidR="00492F74" w:rsidRPr="00E21A8A" w:rsidRDefault="00492F74" w:rsidP="003B5023">
                  <w:pPr>
                    <w:rPr>
                      <w:rFonts w:eastAsiaTheme="minorEastAsia" w:cs="Arial"/>
                      <w:b/>
                      <w:sz w:val="20"/>
                      <w:szCs w:val="20"/>
                    </w:rPr>
                  </w:pPr>
                  <w:r>
                    <w:rPr>
                      <w:rFonts w:eastAsiaTheme="minorEastAsia" w:cs="Arial"/>
                      <w:b/>
                      <w:sz w:val="20"/>
                      <w:szCs w:val="20"/>
                    </w:rPr>
                    <w:t>(Registry data 2017)</w:t>
                  </w:r>
                </w:p>
              </w:tc>
              <w:tc>
                <w:tcPr>
                  <w:tcW w:w="5114" w:type="dxa"/>
                </w:tcPr>
                <w:p w14:paraId="615AB5B8" w14:textId="53F59210" w:rsidR="00E21A8A" w:rsidRPr="00E21A8A" w:rsidRDefault="00E21A8A" w:rsidP="003B5023">
                  <w:pPr>
                    <w:rPr>
                      <w:rFonts w:eastAsiaTheme="minorEastAsia" w:cs="Arial"/>
                      <w:b/>
                      <w:sz w:val="20"/>
                      <w:szCs w:val="20"/>
                    </w:rPr>
                  </w:pPr>
                  <w:r w:rsidRPr="00E21A8A">
                    <w:rPr>
                      <w:rFonts w:eastAsiaTheme="minorEastAsia" w:cs="Arial"/>
                      <w:b/>
                      <w:sz w:val="20"/>
                      <w:szCs w:val="20"/>
                    </w:rPr>
                    <w:t>Sites</w:t>
                  </w:r>
                </w:p>
              </w:tc>
            </w:tr>
            <w:tr w:rsidR="00E21A8A" w:rsidRPr="00E21A8A" w14:paraId="0A80939E" w14:textId="77777777" w:rsidTr="00E21A8A">
              <w:tc>
                <w:tcPr>
                  <w:tcW w:w="1576" w:type="dxa"/>
                </w:tcPr>
                <w:p w14:paraId="6F29DC8A" w14:textId="3C13DF93" w:rsidR="00E21A8A" w:rsidRPr="00E21A8A" w:rsidRDefault="00E21A8A" w:rsidP="003B5023">
                  <w:pPr>
                    <w:rPr>
                      <w:rFonts w:eastAsiaTheme="minorEastAsia" w:cs="Arial"/>
                      <w:sz w:val="20"/>
                      <w:szCs w:val="20"/>
                    </w:rPr>
                  </w:pPr>
                  <w:r>
                    <w:rPr>
                      <w:rFonts w:eastAsiaTheme="minorEastAsia" w:cs="Arial"/>
                      <w:sz w:val="20"/>
                      <w:szCs w:val="20"/>
                    </w:rPr>
                    <w:t>1</w:t>
                  </w:r>
                </w:p>
              </w:tc>
              <w:tc>
                <w:tcPr>
                  <w:tcW w:w="3261" w:type="dxa"/>
                </w:tcPr>
                <w:p w14:paraId="33FE9AC9" w14:textId="35390F6B" w:rsidR="00E21A8A" w:rsidRPr="00E21A8A" w:rsidRDefault="00E21A8A" w:rsidP="003B5023">
                  <w:pPr>
                    <w:rPr>
                      <w:rFonts w:eastAsiaTheme="minorEastAsia" w:cs="Arial"/>
                      <w:sz w:val="20"/>
                      <w:szCs w:val="20"/>
                    </w:rPr>
                  </w:pPr>
                  <w:r>
                    <w:rPr>
                      <w:rFonts w:eastAsiaTheme="minorEastAsia" w:cs="Arial"/>
                      <w:sz w:val="20"/>
                      <w:szCs w:val="20"/>
                    </w:rPr>
                    <w:t>Under 115</w:t>
                  </w:r>
                </w:p>
              </w:tc>
              <w:tc>
                <w:tcPr>
                  <w:tcW w:w="5114" w:type="dxa"/>
                </w:tcPr>
                <w:p w14:paraId="18C4EE8C" w14:textId="77777777" w:rsidR="00E21A8A" w:rsidRDefault="00E21A8A" w:rsidP="003B5023">
                  <w:pPr>
                    <w:rPr>
                      <w:rFonts w:eastAsiaTheme="minorEastAsia" w:cs="Arial"/>
                      <w:sz w:val="20"/>
                      <w:szCs w:val="20"/>
                    </w:rPr>
                  </w:pPr>
                  <w:r>
                    <w:rPr>
                      <w:rFonts w:eastAsiaTheme="minorEastAsia" w:cs="Arial"/>
                      <w:sz w:val="20"/>
                      <w:szCs w:val="20"/>
                    </w:rPr>
                    <w:t>Cornwall/Plymouth</w:t>
                  </w:r>
                </w:p>
                <w:p w14:paraId="5BBD84AF" w14:textId="3CF77A8B" w:rsidR="00E21A8A" w:rsidRDefault="00E21A8A" w:rsidP="003B5023">
                  <w:pPr>
                    <w:rPr>
                      <w:rFonts w:eastAsiaTheme="minorEastAsia" w:cs="Arial"/>
                      <w:sz w:val="20"/>
                      <w:szCs w:val="20"/>
                    </w:rPr>
                  </w:pPr>
                  <w:r>
                    <w:rPr>
                      <w:rFonts w:eastAsiaTheme="minorEastAsia" w:cs="Arial"/>
                      <w:sz w:val="20"/>
                      <w:szCs w:val="20"/>
                    </w:rPr>
                    <w:t>Exeter</w:t>
                  </w:r>
                </w:p>
                <w:p w14:paraId="6AEBC8A5" w14:textId="77777777" w:rsidR="00E21A8A" w:rsidRDefault="00E21A8A" w:rsidP="00E21A8A">
                  <w:pPr>
                    <w:rPr>
                      <w:rFonts w:eastAsiaTheme="minorEastAsia" w:cs="Arial"/>
                      <w:sz w:val="20"/>
                      <w:szCs w:val="20"/>
                    </w:rPr>
                  </w:pPr>
                  <w:r>
                    <w:rPr>
                      <w:rFonts w:eastAsiaTheme="minorEastAsia" w:cs="Arial"/>
                      <w:sz w:val="20"/>
                      <w:szCs w:val="20"/>
                    </w:rPr>
                    <w:t>Leicester</w:t>
                  </w:r>
                </w:p>
                <w:p w14:paraId="55DC4C83" w14:textId="77777777" w:rsidR="00E21A8A" w:rsidRDefault="00E21A8A" w:rsidP="00E21A8A">
                  <w:pPr>
                    <w:rPr>
                      <w:rFonts w:eastAsiaTheme="minorEastAsia" w:cs="Arial"/>
                      <w:sz w:val="20"/>
                      <w:szCs w:val="20"/>
                    </w:rPr>
                  </w:pPr>
                  <w:r>
                    <w:rPr>
                      <w:rFonts w:eastAsiaTheme="minorEastAsia" w:cs="Arial"/>
                      <w:sz w:val="20"/>
                      <w:szCs w:val="20"/>
                    </w:rPr>
                    <w:t>Norfolk</w:t>
                  </w:r>
                </w:p>
                <w:p w14:paraId="65E687DF" w14:textId="064807E5" w:rsidR="00E21A8A" w:rsidRDefault="00E21A8A" w:rsidP="00E21A8A">
                  <w:pPr>
                    <w:rPr>
                      <w:rFonts w:eastAsiaTheme="minorEastAsia" w:cs="Arial"/>
                      <w:sz w:val="20"/>
                      <w:szCs w:val="20"/>
                    </w:rPr>
                  </w:pPr>
                  <w:r>
                    <w:rPr>
                      <w:rFonts w:eastAsiaTheme="minorEastAsia" w:cs="Arial"/>
                      <w:sz w:val="20"/>
                      <w:szCs w:val="20"/>
                    </w:rPr>
                    <w:t>York</w:t>
                  </w:r>
                  <w:r w:rsidR="00057E1D">
                    <w:rPr>
                      <w:rFonts w:eastAsiaTheme="minorEastAsia" w:cs="Arial"/>
                      <w:sz w:val="20"/>
                      <w:szCs w:val="20"/>
                    </w:rPr>
                    <w:t xml:space="preserve"> (including patients in </w:t>
                  </w:r>
                  <w:r>
                    <w:rPr>
                      <w:rFonts w:eastAsiaTheme="minorEastAsia" w:cs="Arial"/>
                      <w:sz w:val="20"/>
                      <w:szCs w:val="20"/>
                    </w:rPr>
                    <w:t>Hull</w:t>
                  </w:r>
                  <w:r w:rsidR="00057E1D">
                    <w:rPr>
                      <w:rFonts w:eastAsiaTheme="minorEastAsia" w:cs="Arial"/>
                      <w:sz w:val="20"/>
                      <w:szCs w:val="20"/>
                    </w:rPr>
                    <w:t>)</w:t>
                  </w:r>
                </w:p>
                <w:p w14:paraId="57F751F3" w14:textId="77777777" w:rsidR="00F26C09" w:rsidRDefault="00F26C09" w:rsidP="00E21A8A">
                  <w:pPr>
                    <w:rPr>
                      <w:rFonts w:eastAsiaTheme="minorEastAsia" w:cs="Arial"/>
                      <w:sz w:val="20"/>
                      <w:szCs w:val="20"/>
                    </w:rPr>
                  </w:pPr>
                  <w:r>
                    <w:rPr>
                      <w:rFonts w:eastAsiaTheme="minorEastAsia" w:cs="Arial"/>
                      <w:sz w:val="20"/>
                      <w:szCs w:val="20"/>
                    </w:rPr>
                    <w:t>Lewisham</w:t>
                  </w:r>
                </w:p>
                <w:p w14:paraId="4984E636" w14:textId="4DA1A947" w:rsidR="00F26C09" w:rsidRPr="00E21A8A" w:rsidRDefault="001710ED" w:rsidP="00E21A8A">
                  <w:pPr>
                    <w:rPr>
                      <w:rFonts w:eastAsiaTheme="minorEastAsia" w:cs="Arial"/>
                      <w:sz w:val="20"/>
                      <w:szCs w:val="20"/>
                    </w:rPr>
                  </w:pPr>
                  <w:r>
                    <w:rPr>
                      <w:rFonts w:eastAsiaTheme="minorEastAsia" w:cs="Arial"/>
                      <w:sz w:val="20"/>
                      <w:szCs w:val="20"/>
                    </w:rPr>
                    <w:t xml:space="preserve">Manchester (for </w:t>
                  </w:r>
                  <w:r w:rsidR="00F26C09">
                    <w:rPr>
                      <w:rFonts w:eastAsiaTheme="minorEastAsia" w:cs="Arial"/>
                      <w:sz w:val="20"/>
                      <w:szCs w:val="20"/>
                    </w:rPr>
                    <w:t>Blackpool</w:t>
                  </w:r>
                  <w:r>
                    <w:rPr>
                      <w:rFonts w:eastAsiaTheme="minorEastAsia" w:cs="Arial"/>
                      <w:sz w:val="20"/>
                      <w:szCs w:val="20"/>
                    </w:rPr>
                    <w:t>)</w:t>
                  </w:r>
                </w:p>
              </w:tc>
            </w:tr>
            <w:tr w:rsidR="00E21A8A" w:rsidRPr="00E21A8A" w14:paraId="7EA6D57A" w14:textId="77777777" w:rsidTr="00E21A8A">
              <w:tc>
                <w:tcPr>
                  <w:tcW w:w="1576" w:type="dxa"/>
                </w:tcPr>
                <w:p w14:paraId="01ABBA64" w14:textId="460FAC3F" w:rsidR="00E21A8A" w:rsidRPr="00E21A8A" w:rsidRDefault="00E21A8A" w:rsidP="003B5023">
                  <w:pPr>
                    <w:rPr>
                      <w:rFonts w:eastAsiaTheme="minorEastAsia" w:cs="Arial"/>
                      <w:sz w:val="20"/>
                      <w:szCs w:val="20"/>
                    </w:rPr>
                  </w:pPr>
                  <w:r>
                    <w:rPr>
                      <w:rFonts w:eastAsiaTheme="minorEastAsia" w:cs="Arial"/>
                      <w:sz w:val="20"/>
                      <w:szCs w:val="20"/>
                    </w:rPr>
                    <w:t>2</w:t>
                  </w:r>
                </w:p>
              </w:tc>
              <w:tc>
                <w:tcPr>
                  <w:tcW w:w="3261" w:type="dxa"/>
                </w:tcPr>
                <w:p w14:paraId="341A4554" w14:textId="3220DB03" w:rsidR="00E21A8A" w:rsidRPr="00E21A8A" w:rsidRDefault="00E21A8A" w:rsidP="003B5023">
                  <w:pPr>
                    <w:rPr>
                      <w:rFonts w:eastAsiaTheme="minorEastAsia" w:cs="Arial"/>
                      <w:sz w:val="20"/>
                      <w:szCs w:val="20"/>
                    </w:rPr>
                  </w:pPr>
                  <w:r>
                    <w:rPr>
                      <w:rFonts w:eastAsiaTheme="minorEastAsia" w:cs="Arial"/>
                      <w:sz w:val="20"/>
                      <w:szCs w:val="20"/>
                    </w:rPr>
                    <w:t>115 to 180</w:t>
                  </w:r>
                </w:p>
              </w:tc>
              <w:tc>
                <w:tcPr>
                  <w:tcW w:w="5114" w:type="dxa"/>
                </w:tcPr>
                <w:p w14:paraId="3DA69A67" w14:textId="77777777" w:rsidR="00E21A8A" w:rsidRDefault="00E21A8A" w:rsidP="003B5023">
                  <w:pPr>
                    <w:rPr>
                      <w:rFonts w:eastAsiaTheme="minorEastAsia" w:cs="Arial"/>
                      <w:sz w:val="20"/>
                      <w:szCs w:val="20"/>
                    </w:rPr>
                  </w:pPr>
                  <w:proofErr w:type="spellStart"/>
                  <w:r>
                    <w:rPr>
                      <w:rFonts w:eastAsiaTheme="minorEastAsia" w:cs="Arial"/>
                      <w:sz w:val="20"/>
                      <w:szCs w:val="20"/>
                    </w:rPr>
                    <w:t>Barts</w:t>
                  </w:r>
                  <w:proofErr w:type="spellEnd"/>
                </w:p>
                <w:p w14:paraId="18B21BBE" w14:textId="77777777" w:rsidR="00E21A8A" w:rsidRDefault="00E21A8A" w:rsidP="003B5023">
                  <w:pPr>
                    <w:rPr>
                      <w:rFonts w:eastAsiaTheme="minorEastAsia" w:cs="Arial"/>
                      <w:sz w:val="20"/>
                      <w:szCs w:val="20"/>
                    </w:rPr>
                  </w:pPr>
                  <w:r>
                    <w:rPr>
                      <w:rFonts w:eastAsiaTheme="minorEastAsia" w:cs="Arial"/>
                      <w:sz w:val="20"/>
                      <w:szCs w:val="20"/>
                    </w:rPr>
                    <w:t>Frimley</w:t>
                  </w:r>
                </w:p>
                <w:p w14:paraId="361B33D4" w14:textId="77777777" w:rsidR="00E21A8A" w:rsidRDefault="00E21A8A" w:rsidP="003B5023">
                  <w:pPr>
                    <w:rPr>
                      <w:rFonts w:eastAsiaTheme="minorEastAsia" w:cs="Arial"/>
                      <w:sz w:val="20"/>
                      <w:szCs w:val="20"/>
                    </w:rPr>
                  </w:pPr>
                  <w:r>
                    <w:rPr>
                      <w:rFonts w:eastAsiaTheme="minorEastAsia" w:cs="Arial"/>
                      <w:sz w:val="20"/>
                      <w:szCs w:val="20"/>
                    </w:rPr>
                    <w:t>Oxford</w:t>
                  </w:r>
                </w:p>
                <w:p w14:paraId="6EE2676E" w14:textId="45AD10E2" w:rsidR="00E21A8A" w:rsidRPr="00E21A8A" w:rsidRDefault="001710ED" w:rsidP="003B5023">
                  <w:pPr>
                    <w:rPr>
                      <w:rFonts w:eastAsiaTheme="minorEastAsia" w:cs="Arial"/>
                      <w:sz w:val="20"/>
                      <w:szCs w:val="20"/>
                    </w:rPr>
                  </w:pPr>
                  <w:r>
                    <w:rPr>
                      <w:rFonts w:eastAsiaTheme="minorEastAsia" w:cs="Arial"/>
                      <w:sz w:val="20"/>
                      <w:szCs w:val="20"/>
                    </w:rPr>
                    <w:t>UHNM (</w:t>
                  </w:r>
                  <w:r w:rsidR="00E21A8A">
                    <w:rPr>
                      <w:rFonts w:eastAsiaTheme="minorEastAsia" w:cs="Arial"/>
                      <w:sz w:val="20"/>
                      <w:szCs w:val="20"/>
                    </w:rPr>
                    <w:t>Stoke</w:t>
                  </w:r>
                  <w:r>
                    <w:rPr>
                      <w:rFonts w:eastAsiaTheme="minorEastAsia" w:cs="Arial"/>
                      <w:sz w:val="20"/>
                      <w:szCs w:val="20"/>
                    </w:rPr>
                    <w:t>)</w:t>
                  </w:r>
                </w:p>
              </w:tc>
            </w:tr>
            <w:tr w:rsidR="00E21A8A" w:rsidRPr="00E21A8A" w14:paraId="4B45EC0A" w14:textId="77777777" w:rsidTr="00E21A8A">
              <w:tc>
                <w:tcPr>
                  <w:tcW w:w="1576" w:type="dxa"/>
                </w:tcPr>
                <w:p w14:paraId="229C3707" w14:textId="6174EAAF" w:rsidR="00E21A8A" w:rsidRDefault="00E54705" w:rsidP="003B5023">
                  <w:pPr>
                    <w:rPr>
                      <w:rFonts w:eastAsiaTheme="minorEastAsia" w:cs="Arial"/>
                      <w:sz w:val="20"/>
                      <w:szCs w:val="20"/>
                    </w:rPr>
                  </w:pPr>
                  <w:r>
                    <w:rPr>
                      <w:rFonts w:eastAsiaTheme="minorEastAsia" w:cs="Arial"/>
                      <w:sz w:val="20"/>
                      <w:szCs w:val="20"/>
                    </w:rPr>
                    <w:t>3</w:t>
                  </w:r>
                </w:p>
              </w:tc>
              <w:tc>
                <w:tcPr>
                  <w:tcW w:w="3261" w:type="dxa"/>
                </w:tcPr>
                <w:p w14:paraId="5DF7C522" w14:textId="4AC30C90" w:rsidR="00E21A8A" w:rsidRDefault="00E21A8A" w:rsidP="003B5023">
                  <w:pPr>
                    <w:rPr>
                      <w:rFonts w:eastAsiaTheme="minorEastAsia" w:cs="Arial"/>
                      <w:sz w:val="20"/>
                      <w:szCs w:val="20"/>
                    </w:rPr>
                  </w:pPr>
                  <w:r>
                    <w:rPr>
                      <w:rFonts w:eastAsiaTheme="minorEastAsia" w:cs="Arial"/>
                      <w:sz w:val="20"/>
                      <w:szCs w:val="20"/>
                    </w:rPr>
                    <w:t>Above 180</w:t>
                  </w:r>
                </w:p>
              </w:tc>
              <w:tc>
                <w:tcPr>
                  <w:tcW w:w="5114" w:type="dxa"/>
                </w:tcPr>
                <w:p w14:paraId="3135CB2D" w14:textId="77777777" w:rsidR="00E21A8A" w:rsidRDefault="00E21A8A" w:rsidP="003B5023">
                  <w:pPr>
                    <w:rPr>
                      <w:rFonts w:eastAsiaTheme="minorEastAsia" w:cs="Arial"/>
                      <w:sz w:val="20"/>
                      <w:szCs w:val="20"/>
                    </w:rPr>
                  </w:pPr>
                  <w:r>
                    <w:rPr>
                      <w:rFonts w:eastAsiaTheme="minorEastAsia" w:cs="Arial"/>
                      <w:sz w:val="20"/>
                      <w:szCs w:val="20"/>
                    </w:rPr>
                    <w:t>Birmingham</w:t>
                  </w:r>
                </w:p>
                <w:p w14:paraId="164432D8" w14:textId="77777777" w:rsidR="00E21A8A" w:rsidRDefault="00E21A8A" w:rsidP="003B5023">
                  <w:pPr>
                    <w:rPr>
                      <w:rFonts w:eastAsiaTheme="minorEastAsia" w:cs="Arial"/>
                      <w:sz w:val="20"/>
                      <w:szCs w:val="20"/>
                    </w:rPr>
                  </w:pPr>
                  <w:r>
                    <w:rPr>
                      <w:rFonts w:eastAsiaTheme="minorEastAsia" w:cs="Arial"/>
                      <w:sz w:val="20"/>
                      <w:szCs w:val="20"/>
                    </w:rPr>
                    <w:t>Bristol</w:t>
                  </w:r>
                </w:p>
                <w:p w14:paraId="3D4DAB34" w14:textId="77777777" w:rsidR="00E21A8A" w:rsidRDefault="00E21A8A" w:rsidP="003B5023">
                  <w:pPr>
                    <w:rPr>
                      <w:rFonts w:eastAsiaTheme="minorEastAsia" w:cs="Arial"/>
                      <w:sz w:val="20"/>
                      <w:szCs w:val="20"/>
                    </w:rPr>
                  </w:pPr>
                  <w:r>
                    <w:rPr>
                      <w:rFonts w:eastAsiaTheme="minorEastAsia" w:cs="Arial"/>
                      <w:sz w:val="20"/>
                      <w:szCs w:val="20"/>
                    </w:rPr>
                    <w:t>Brompton</w:t>
                  </w:r>
                </w:p>
                <w:p w14:paraId="3C71A4DB" w14:textId="77777777" w:rsidR="00E21A8A" w:rsidRDefault="00E21A8A" w:rsidP="003B5023">
                  <w:pPr>
                    <w:rPr>
                      <w:rFonts w:eastAsiaTheme="minorEastAsia" w:cs="Arial"/>
                      <w:sz w:val="20"/>
                      <w:szCs w:val="20"/>
                    </w:rPr>
                  </w:pPr>
                  <w:r>
                    <w:rPr>
                      <w:rFonts w:eastAsiaTheme="minorEastAsia" w:cs="Arial"/>
                      <w:sz w:val="20"/>
                      <w:szCs w:val="20"/>
                    </w:rPr>
                    <w:t>Kings</w:t>
                  </w:r>
                </w:p>
                <w:p w14:paraId="4B9B7CFA" w14:textId="77777777" w:rsidR="00E21A8A" w:rsidRDefault="00E21A8A" w:rsidP="003B5023">
                  <w:pPr>
                    <w:rPr>
                      <w:rFonts w:eastAsiaTheme="minorEastAsia" w:cs="Arial"/>
                      <w:sz w:val="20"/>
                      <w:szCs w:val="20"/>
                    </w:rPr>
                  </w:pPr>
                  <w:r>
                    <w:rPr>
                      <w:rFonts w:eastAsiaTheme="minorEastAsia" w:cs="Arial"/>
                      <w:sz w:val="20"/>
                      <w:szCs w:val="20"/>
                    </w:rPr>
                    <w:t>Leeds</w:t>
                  </w:r>
                </w:p>
                <w:p w14:paraId="6CF94CDC" w14:textId="77777777" w:rsidR="00E21A8A" w:rsidRDefault="00E21A8A" w:rsidP="003B5023">
                  <w:pPr>
                    <w:rPr>
                      <w:rFonts w:eastAsiaTheme="minorEastAsia" w:cs="Arial"/>
                      <w:sz w:val="20"/>
                      <w:szCs w:val="20"/>
                    </w:rPr>
                  </w:pPr>
                  <w:r>
                    <w:rPr>
                      <w:rFonts w:eastAsiaTheme="minorEastAsia" w:cs="Arial"/>
                      <w:sz w:val="20"/>
                      <w:szCs w:val="20"/>
                    </w:rPr>
                    <w:t>Newcastle</w:t>
                  </w:r>
                </w:p>
                <w:p w14:paraId="29F8C82E" w14:textId="77777777" w:rsidR="00E21A8A" w:rsidRDefault="00E21A8A" w:rsidP="003B5023">
                  <w:pPr>
                    <w:rPr>
                      <w:rFonts w:eastAsiaTheme="minorEastAsia" w:cs="Arial"/>
                      <w:sz w:val="20"/>
                      <w:szCs w:val="20"/>
                    </w:rPr>
                  </w:pPr>
                  <w:r>
                    <w:rPr>
                      <w:rFonts w:eastAsiaTheme="minorEastAsia" w:cs="Arial"/>
                      <w:sz w:val="20"/>
                      <w:szCs w:val="20"/>
                    </w:rPr>
                    <w:t>Nottingham (in 3</w:t>
                  </w:r>
                  <w:r w:rsidRPr="00E21A8A">
                    <w:rPr>
                      <w:rFonts w:eastAsiaTheme="minorEastAsia" w:cs="Arial"/>
                      <w:sz w:val="20"/>
                      <w:szCs w:val="20"/>
                      <w:vertAlign w:val="superscript"/>
                    </w:rPr>
                    <w:t>rd</w:t>
                  </w:r>
                  <w:r>
                    <w:rPr>
                      <w:rFonts w:eastAsiaTheme="minorEastAsia" w:cs="Arial"/>
                      <w:sz w:val="20"/>
                      <w:szCs w:val="20"/>
                    </w:rPr>
                    <w:t xml:space="preserve"> year of improvement collective)</w:t>
                  </w:r>
                </w:p>
                <w:p w14:paraId="37BE3E0D" w14:textId="380EBB88" w:rsidR="00E21A8A" w:rsidRDefault="00E21A8A" w:rsidP="00E21A8A">
                  <w:pPr>
                    <w:rPr>
                      <w:rFonts w:eastAsiaTheme="minorEastAsia" w:cs="Arial"/>
                      <w:sz w:val="20"/>
                      <w:szCs w:val="20"/>
                    </w:rPr>
                  </w:pPr>
                  <w:r>
                    <w:rPr>
                      <w:rFonts w:eastAsiaTheme="minorEastAsia" w:cs="Arial"/>
                      <w:sz w:val="20"/>
                      <w:szCs w:val="20"/>
                    </w:rPr>
                    <w:t>Southampton (in 3</w:t>
                  </w:r>
                  <w:r w:rsidRPr="00E21A8A">
                    <w:rPr>
                      <w:rFonts w:eastAsiaTheme="minorEastAsia" w:cs="Arial"/>
                      <w:sz w:val="20"/>
                      <w:szCs w:val="20"/>
                      <w:vertAlign w:val="superscript"/>
                    </w:rPr>
                    <w:t>rd</w:t>
                  </w:r>
                  <w:r>
                    <w:rPr>
                      <w:rFonts w:eastAsiaTheme="minorEastAsia" w:cs="Arial"/>
                      <w:sz w:val="20"/>
                      <w:szCs w:val="20"/>
                    </w:rPr>
                    <w:t xml:space="preserve"> year of improvement collective)</w:t>
                  </w:r>
                </w:p>
                <w:p w14:paraId="537260D1" w14:textId="77777777" w:rsidR="00E21A8A" w:rsidRDefault="00E21A8A" w:rsidP="003B5023">
                  <w:pPr>
                    <w:rPr>
                      <w:rFonts w:eastAsiaTheme="minorEastAsia" w:cs="Arial"/>
                      <w:sz w:val="20"/>
                      <w:szCs w:val="20"/>
                    </w:rPr>
                  </w:pPr>
                  <w:r>
                    <w:rPr>
                      <w:rFonts w:eastAsiaTheme="minorEastAsia" w:cs="Arial"/>
                      <w:sz w:val="20"/>
                      <w:szCs w:val="20"/>
                    </w:rPr>
                    <w:t>Sheffield (in 3</w:t>
                  </w:r>
                  <w:r w:rsidRPr="00E21A8A">
                    <w:rPr>
                      <w:rFonts w:eastAsiaTheme="minorEastAsia" w:cs="Arial"/>
                      <w:sz w:val="20"/>
                      <w:szCs w:val="20"/>
                      <w:vertAlign w:val="superscript"/>
                    </w:rPr>
                    <w:t>rd</w:t>
                  </w:r>
                  <w:r>
                    <w:rPr>
                      <w:rFonts w:eastAsiaTheme="minorEastAsia" w:cs="Arial"/>
                      <w:sz w:val="20"/>
                      <w:szCs w:val="20"/>
                    </w:rPr>
                    <w:t xml:space="preserve"> year of improvement collective – lead site)</w:t>
                  </w:r>
                </w:p>
                <w:p w14:paraId="05528F08" w14:textId="31BD7E43" w:rsidR="001710ED" w:rsidRDefault="001710ED" w:rsidP="003B5023">
                  <w:pPr>
                    <w:rPr>
                      <w:rFonts w:eastAsiaTheme="minorEastAsia" w:cs="Arial"/>
                      <w:sz w:val="20"/>
                      <w:szCs w:val="20"/>
                    </w:rPr>
                  </w:pPr>
                  <w:r>
                    <w:rPr>
                      <w:rFonts w:eastAsiaTheme="minorEastAsia" w:cs="Arial"/>
                      <w:sz w:val="20"/>
                      <w:szCs w:val="20"/>
                    </w:rPr>
                    <w:t>Liverpool</w:t>
                  </w:r>
                </w:p>
              </w:tc>
            </w:tr>
          </w:tbl>
          <w:p w14:paraId="3FA3270D" w14:textId="77777777" w:rsidR="003B5023" w:rsidRDefault="003B5023" w:rsidP="003B5023">
            <w:pPr>
              <w:rPr>
                <w:rFonts w:eastAsiaTheme="minorEastAsia" w:cs="Arial"/>
                <w:szCs w:val="24"/>
              </w:rPr>
            </w:pPr>
          </w:p>
          <w:p w14:paraId="5E060CC2" w14:textId="77777777" w:rsidR="00E54705" w:rsidRDefault="00E54705" w:rsidP="0084461B">
            <w:pPr>
              <w:rPr>
                <w:rFonts w:eastAsiaTheme="minorEastAsia" w:cs="Arial"/>
                <w:szCs w:val="24"/>
              </w:rPr>
            </w:pPr>
          </w:p>
          <w:p w14:paraId="5F99742F" w14:textId="20A0BD1F" w:rsidR="006F34C7" w:rsidRDefault="006F34C7" w:rsidP="006F34C7">
            <w:pPr>
              <w:rPr>
                <w:rFonts w:eastAsiaTheme="minorEastAsia" w:cs="Arial"/>
                <w:b/>
                <w:color w:val="000000" w:themeColor="text1"/>
                <w:szCs w:val="24"/>
              </w:rPr>
            </w:pPr>
            <w:r>
              <w:rPr>
                <w:rFonts w:eastAsiaTheme="minorEastAsia" w:cs="Arial"/>
                <w:b/>
                <w:color w:val="000000" w:themeColor="text1"/>
                <w:szCs w:val="24"/>
              </w:rPr>
              <w:t xml:space="preserve">Table </w:t>
            </w:r>
            <w:r w:rsidR="00C36A31">
              <w:rPr>
                <w:rFonts w:eastAsiaTheme="minorEastAsia" w:cs="Arial"/>
                <w:b/>
                <w:color w:val="000000" w:themeColor="text1"/>
                <w:szCs w:val="24"/>
              </w:rPr>
              <w:t>5</w:t>
            </w:r>
            <w:r>
              <w:rPr>
                <w:rFonts w:eastAsiaTheme="minorEastAsia" w:cs="Arial"/>
                <w:b/>
                <w:color w:val="000000" w:themeColor="text1"/>
                <w:szCs w:val="24"/>
              </w:rPr>
              <w:t xml:space="preserve"> sets out the parameters that determine payments, which are set out provider by provider in Table </w:t>
            </w:r>
            <w:r w:rsidR="00C36A31">
              <w:rPr>
                <w:rFonts w:eastAsiaTheme="minorEastAsia" w:cs="Arial"/>
                <w:b/>
                <w:color w:val="000000" w:themeColor="text1"/>
                <w:szCs w:val="24"/>
              </w:rPr>
              <w:t>6</w:t>
            </w:r>
            <w:r>
              <w:rPr>
                <w:rFonts w:eastAsiaTheme="minorEastAsia" w:cs="Arial"/>
                <w:b/>
                <w:color w:val="000000" w:themeColor="text1"/>
                <w:szCs w:val="24"/>
              </w:rPr>
              <w:t>.</w:t>
            </w:r>
            <w:r w:rsidR="00925247">
              <w:rPr>
                <w:rFonts w:eastAsiaTheme="minorEastAsia" w:cs="Arial"/>
                <w:b/>
                <w:color w:val="000000" w:themeColor="text1"/>
                <w:szCs w:val="24"/>
              </w:rPr>
              <w:t xml:space="preserve"> </w:t>
            </w:r>
          </w:p>
          <w:p w14:paraId="307D6538" w14:textId="55A0F2DA" w:rsidR="00E20E02" w:rsidRDefault="00E20E02" w:rsidP="006F34C7">
            <w:pPr>
              <w:rPr>
                <w:rFonts w:eastAsiaTheme="minorEastAsia" w:cs="Arial"/>
                <w:b/>
                <w:color w:val="000000" w:themeColor="text1"/>
                <w:szCs w:val="24"/>
              </w:rPr>
            </w:pPr>
          </w:p>
          <w:tbl>
            <w:tblPr>
              <w:tblStyle w:val="TableGrid"/>
              <w:tblW w:w="0" w:type="auto"/>
              <w:tblLook w:val="04A0" w:firstRow="1" w:lastRow="0" w:firstColumn="1" w:lastColumn="0" w:noHBand="0" w:noVBand="1"/>
            </w:tblPr>
            <w:tblGrid>
              <w:gridCol w:w="4836"/>
              <w:gridCol w:w="1417"/>
            </w:tblGrid>
            <w:tr w:rsidR="00E20E02" w14:paraId="0E311379" w14:textId="77777777" w:rsidTr="00E20E02">
              <w:tc>
                <w:tcPr>
                  <w:tcW w:w="4836" w:type="dxa"/>
                  <w:vAlign w:val="center"/>
                </w:tcPr>
                <w:p w14:paraId="284CA45F" w14:textId="54BFC670" w:rsidR="00E20E02" w:rsidRPr="00802251" w:rsidRDefault="00E20E02" w:rsidP="00E20E02">
                  <w:pPr>
                    <w:rPr>
                      <w:rFonts w:ascii="Calibri" w:hAnsi="Calibri" w:cs="Calibri"/>
                      <w:bCs w:val="0"/>
                      <w:color w:val="000000"/>
                      <w:sz w:val="22"/>
                      <w:szCs w:val="22"/>
                    </w:rPr>
                  </w:pPr>
                  <w:r>
                    <w:rPr>
                      <w:rFonts w:ascii="Calibri" w:hAnsi="Calibri" w:cs="Calibri"/>
                      <w:b/>
                      <w:bCs w:val="0"/>
                      <w:color w:val="000000"/>
                      <w:sz w:val="22"/>
                      <w:szCs w:val="22"/>
                    </w:rPr>
                    <w:t>Table 5. CQUIN payment parameters</w:t>
                  </w:r>
                </w:p>
              </w:tc>
              <w:tc>
                <w:tcPr>
                  <w:tcW w:w="1417" w:type="dxa"/>
                  <w:vAlign w:val="center"/>
                </w:tcPr>
                <w:p w14:paraId="1F4AA88E" w14:textId="77777777" w:rsidR="00E20E02" w:rsidRPr="00802251" w:rsidRDefault="00E20E02" w:rsidP="00E20E02">
                  <w:pPr>
                    <w:rPr>
                      <w:rFonts w:ascii="Calibri" w:hAnsi="Calibri" w:cs="Calibri"/>
                      <w:bCs w:val="0"/>
                      <w:color w:val="000000"/>
                      <w:sz w:val="22"/>
                      <w:szCs w:val="22"/>
                    </w:rPr>
                  </w:pPr>
                </w:p>
              </w:tc>
            </w:tr>
            <w:tr w:rsidR="00E20E02" w14:paraId="277468C6" w14:textId="77777777" w:rsidTr="00E20E02">
              <w:tc>
                <w:tcPr>
                  <w:tcW w:w="4836" w:type="dxa"/>
                  <w:vAlign w:val="center"/>
                </w:tcPr>
                <w:p w14:paraId="10F8ECB9" w14:textId="2CEE6C8F"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Large centre</w:t>
                  </w:r>
                  <w:r>
                    <w:rPr>
                      <w:rFonts w:ascii="Calibri" w:hAnsi="Calibri" w:cs="Calibri"/>
                      <w:bCs w:val="0"/>
                      <w:color w:val="000000"/>
                      <w:sz w:val="22"/>
                      <w:szCs w:val="22"/>
                    </w:rPr>
                    <w:t xml:space="preserve"> estimated costs</w:t>
                  </w:r>
                </w:p>
              </w:tc>
              <w:tc>
                <w:tcPr>
                  <w:tcW w:w="1417" w:type="dxa"/>
                  <w:vAlign w:val="center"/>
                </w:tcPr>
                <w:p w14:paraId="389E2EC1" w14:textId="51C7769A"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£275,000</w:t>
                  </w:r>
                </w:p>
              </w:tc>
            </w:tr>
            <w:tr w:rsidR="00E20E02" w14:paraId="6A161375" w14:textId="77777777" w:rsidTr="00E20E02">
              <w:tc>
                <w:tcPr>
                  <w:tcW w:w="4836" w:type="dxa"/>
                  <w:vAlign w:val="center"/>
                </w:tcPr>
                <w:p w14:paraId="37E4326C" w14:textId="6C1DC4D0"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Medium centre</w:t>
                  </w:r>
                  <w:r>
                    <w:rPr>
                      <w:rFonts w:ascii="Calibri" w:hAnsi="Calibri" w:cs="Calibri"/>
                      <w:bCs w:val="0"/>
                      <w:color w:val="000000"/>
                      <w:sz w:val="22"/>
                      <w:szCs w:val="22"/>
                    </w:rPr>
                    <w:t xml:space="preserve"> estimated costs</w:t>
                  </w:r>
                </w:p>
              </w:tc>
              <w:tc>
                <w:tcPr>
                  <w:tcW w:w="1417" w:type="dxa"/>
                  <w:vAlign w:val="center"/>
                </w:tcPr>
                <w:p w14:paraId="486F1F71" w14:textId="4D145BB8"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£190,000</w:t>
                  </w:r>
                </w:p>
              </w:tc>
            </w:tr>
            <w:tr w:rsidR="00E20E02" w14:paraId="6BED3BAE" w14:textId="77777777" w:rsidTr="00E20E02">
              <w:tc>
                <w:tcPr>
                  <w:tcW w:w="4836" w:type="dxa"/>
                  <w:vAlign w:val="center"/>
                </w:tcPr>
                <w:p w14:paraId="6BF54E70" w14:textId="210F7AF0"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Small centre</w:t>
                  </w:r>
                  <w:r>
                    <w:rPr>
                      <w:rFonts w:ascii="Calibri" w:hAnsi="Calibri" w:cs="Calibri"/>
                      <w:bCs w:val="0"/>
                      <w:color w:val="000000"/>
                      <w:sz w:val="22"/>
                      <w:szCs w:val="22"/>
                    </w:rPr>
                    <w:t xml:space="preserve"> estimated costs</w:t>
                  </w:r>
                </w:p>
              </w:tc>
              <w:tc>
                <w:tcPr>
                  <w:tcW w:w="1417" w:type="dxa"/>
                  <w:vAlign w:val="center"/>
                </w:tcPr>
                <w:p w14:paraId="3CCEFDD9" w14:textId="69EBFB89"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£135,000</w:t>
                  </w:r>
                </w:p>
              </w:tc>
            </w:tr>
            <w:tr w:rsidR="00E20E02" w14:paraId="64E5A142" w14:textId="77777777" w:rsidTr="00E20E02">
              <w:tc>
                <w:tcPr>
                  <w:tcW w:w="4836" w:type="dxa"/>
                  <w:vAlign w:val="center"/>
                </w:tcPr>
                <w:p w14:paraId="071777DA" w14:textId="1D1DB95F"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 xml:space="preserve">CQUIN premium </w:t>
                  </w:r>
                </w:p>
              </w:tc>
              <w:tc>
                <w:tcPr>
                  <w:tcW w:w="1417" w:type="dxa"/>
                  <w:vAlign w:val="center"/>
                </w:tcPr>
                <w:p w14:paraId="2A5DA091" w14:textId="185D3BFE"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50%</w:t>
                  </w:r>
                </w:p>
              </w:tc>
            </w:tr>
            <w:tr w:rsidR="00E20E02" w14:paraId="6CE05E11" w14:textId="77777777" w:rsidTr="00E20E02">
              <w:tc>
                <w:tcPr>
                  <w:tcW w:w="4836" w:type="dxa"/>
                  <w:vAlign w:val="center"/>
                </w:tcPr>
                <w:p w14:paraId="4BD347E1" w14:textId="77777777" w:rsidR="00E20E02" w:rsidRDefault="00E20E02" w:rsidP="00E20E02">
                  <w:pPr>
                    <w:rPr>
                      <w:rFonts w:ascii="Calibri" w:hAnsi="Calibri" w:cs="Calibri"/>
                      <w:bCs w:val="0"/>
                      <w:color w:val="000000"/>
                      <w:sz w:val="22"/>
                      <w:szCs w:val="22"/>
                    </w:rPr>
                  </w:pPr>
                  <w:r w:rsidRPr="00802251">
                    <w:rPr>
                      <w:rFonts w:ascii="Calibri" w:hAnsi="Calibri" w:cs="Calibri"/>
                      <w:bCs w:val="0"/>
                      <w:color w:val="000000"/>
                      <w:sz w:val="22"/>
                      <w:szCs w:val="22"/>
                    </w:rPr>
                    <w:t>E</w:t>
                  </w:r>
                  <w:r>
                    <w:rPr>
                      <w:rFonts w:ascii="Calibri" w:hAnsi="Calibri" w:cs="Calibri"/>
                      <w:bCs w:val="0"/>
                      <w:color w:val="000000"/>
                      <w:sz w:val="22"/>
                      <w:szCs w:val="22"/>
                    </w:rPr>
                    <w:t>-</w:t>
                  </w:r>
                  <w:r w:rsidRPr="00802251">
                    <w:rPr>
                      <w:rFonts w:ascii="Calibri" w:hAnsi="Calibri" w:cs="Calibri"/>
                      <w:bCs w:val="0"/>
                      <w:color w:val="000000"/>
                      <w:sz w:val="22"/>
                      <w:szCs w:val="22"/>
                    </w:rPr>
                    <w:t>track</w:t>
                  </w:r>
                  <w:r>
                    <w:rPr>
                      <w:rFonts w:ascii="Calibri" w:hAnsi="Calibri" w:cs="Calibri"/>
                      <w:bCs w:val="0"/>
                      <w:color w:val="000000"/>
                      <w:sz w:val="22"/>
                      <w:szCs w:val="22"/>
                    </w:rPr>
                    <w:t xml:space="preserve"> </w:t>
                  </w:r>
                  <w:r w:rsidRPr="00802251">
                    <w:rPr>
                      <w:rFonts w:ascii="Calibri" w:hAnsi="Calibri" w:cs="Calibri"/>
                      <w:bCs w:val="0"/>
                      <w:color w:val="000000"/>
                      <w:sz w:val="22"/>
                      <w:szCs w:val="22"/>
                    </w:rPr>
                    <w:t>cost for one year</w:t>
                  </w:r>
                  <w:r>
                    <w:rPr>
                      <w:rFonts w:ascii="Calibri" w:hAnsi="Calibri" w:cs="Calibri"/>
                      <w:bCs w:val="0"/>
                      <w:color w:val="000000"/>
                      <w:sz w:val="22"/>
                      <w:szCs w:val="22"/>
                    </w:rPr>
                    <w:t>*</w:t>
                  </w:r>
                </w:p>
                <w:p w14:paraId="58683EDC" w14:textId="03795CF5" w:rsidR="00E20E02" w:rsidRDefault="00E20E02" w:rsidP="00E20E02">
                  <w:pPr>
                    <w:rPr>
                      <w:rFonts w:eastAsiaTheme="minorEastAsia" w:cs="Arial"/>
                      <w:b/>
                      <w:color w:val="000000" w:themeColor="text1"/>
                      <w:szCs w:val="24"/>
                    </w:rPr>
                  </w:pPr>
                  <w:r w:rsidRPr="00BB7882">
                    <w:rPr>
                      <w:rFonts w:ascii="Calibri" w:hAnsi="Calibri" w:cs="Calibri"/>
                      <w:bCs w:val="0"/>
                      <w:color w:val="000000"/>
                      <w:sz w:val="22"/>
                      <w:szCs w:val="22"/>
                    </w:rPr>
                    <w:t>(</w:t>
                  </w:r>
                  <w:proofErr w:type="gramStart"/>
                  <w:r>
                    <w:rPr>
                      <w:rFonts w:ascii="Calibri" w:hAnsi="Calibri" w:cs="Calibri"/>
                      <w:bCs w:val="0"/>
                      <w:color w:val="000000"/>
                      <w:sz w:val="22"/>
                      <w:szCs w:val="22"/>
                    </w:rPr>
                    <w:t xml:space="preserve">includes </w:t>
                  </w:r>
                  <w:r w:rsidRPr="00BB7882">
                    <w:rPr>
                      <w:rFonts w:ascii="Calibri" w:hAnsi="Calibri" w:cs="Calibri"/>
                      <w:bCs w:val="0"/>
                      <w:color w:val="000000"/>
                      <w:sz w:val="22"/>
                      <w:szCs w:val="22"/>
                    </w:rPr>
                    <w:t xml:space="preserve"> heads</w:t>
                  </w:r>
                  <w:proofErr w:type="gramEnd"/>
                  <w:r w:rsidRPr="00BB7882">
                    <w:rPr>
                      <w:rFonts w:ascii="Calibri" w:hAnsi="Calibri" w:cs="Calibri"/>
                      <w:bCs w:val="0"/>
                      <w:color w:val="000000"/>
                      <w:sz w:val="22"/>
                      <w:szCs w:val="22"/>
                    </w:rPr>
                    <w:t xml:space="preserve"> and data transfer)</w:t>
                  </w:r>
                </w:p>
              </w:tc>
              <w:tc>
                <w:tcPr>
                  <w:tcW w:w="1417" w:type="dxa"/>
                  <w:vAlign w:val="center"/>
                </w:tcPr>
                <w:p w14:paraId="32406E9D" w14:textId="61EFCACA" w:rsidR="00E20E02" w:rsidRDefault="00E20E02" w:rsidP="00E20E02">
                  <w:pPr>
                    <w:rPr>
                      <w:rFonts w:eastAsiaTheme="minorEastAsia" w:cs="Arial"/>
                      <w:b/>
                      <w:color w:val="000000" w:themeColor="text1"/>
                      <w:szCs w:val="24"/>
                    </w:rPr>
                  </w:pPr>
                  <w:r w:rsidRPr="00802251">
                    <w:rPr>
                      <w:rFonts w:ascii="Calibri" w:hAnsi="Calibri" w:cs="Calibri"/>
                      <w:bCs w:val="0"/>
                      <w:color w:val="000000"/>
                      <w:sz w:val="22"/>
                      <w:szCs w:val="22"/>
                    </w:rPr>
                    <w:t>£1,280</w:t>
                  </w:r>
                </w:p>
              </w:tc>
            </w:tr>
          </w:tbl>
          <w:p w14:paraId="1A918969" w14:textId="77777777" w:rsidR="00E20E02" w:rsidRDefault="00E20E02" w:rsidP="006F34C7">
            <w:pPr>
              <w:rPr>
                <w:rFonts w:eastAsiaTheme="minorEastAsia" w:cs="Arial"/>
                <w:b/>
                <w:color w:val="000000" w:themeColor="text1"/>
                <w:szCs w:val="24"/>
              </w:rPr>
            </w:pPr>
          </w:p>
          <w:p w14:paraId="0A4C96D3" w14:textId="41EF3FAB" w:rsidR="00E20E02" w:rsidRDefault="006F34C7" w:rsidP="00E20E02">
            <w:pPr>
              <w:rPr>
                <w:rFonts w:eastAsiaTheme="minorEastAsia" w:cs="Arial"/>
                <w:color w:val="000000" w:themeColor="text1"/>
                <w:sz w:val="20"/>
                <w:szCs w:val="20"/>
              </w:rPr>
            </w:pPr>
            <w:r>
              <w:rPr>
                <w:rFonts w:eastAsiaTheme="minorEastAsia" w:cs="Arial"/>
                <w:color w:val="000000" w:themeColor="text1"/>
                <w:sz w:val="20"/>
                <w:szCs w:val="20"/>
              </w:rPr>
              <w:t>*</w:t>
            </w:r>
            <w:r w:rsidRPr="002F2327">
              <w:rPr>
                <w:rFonts w:eastAsiaTheme="minorEastAsia" w:cs="Arial"/>
                <w:color w:val="000000" w:themeColor="text1"/>
                <w:sz w:val="20"/>
                <w:szCs w:val="20"/>
              </w:rPr>
              <w:t>E</w:t>
            </w:r>
            <w:r>
              <w:rPr>
                <w:rFonts w:eastAsiaTheme="minorEastAsia" w:cs="Arial"/>
                <w:color w:val="000000" w:themeColor="text1"/>
                <w:sz w:val="20"/>
                <w:szCs w:val="20"/>
              </w:rPr>
              <w:t>-</w:t>
            </w:r>
            <w:r w:rsidRPr="002F2327">
              <w:rPr>
                <w:rFonts w:eastAsiaTheme="minorEastAsia" w:cs="Arial"/>
                <w:color w:val="000000" w:themeColor="text1"/>
                <w:sz w:val="20"/>
                <w:szCs w:val="20"/>
              </w:rPr>
              <w:t xml:space="preserve">tracks have a warranty for </w:t>
            </w:r>
            <w:r w:rsidR="00885B69">
              <w:rPr>
                <w:rFonts w:eastAsiaTheme="minorEastAsia" w:cs="Arial"/>
                <w:color w:val="000000" w:themeColor="text1"/>
                <w:sz w:val="20"/>
                <w:szCs w:val="20"/>
              </w:rPr>
              <w:t>two</w:t>
            </w:r>
            <w:r w:rsidR="00E20E02">
              <w:rPr>
                <w:rFonts w:eastAsiaTheme="minorEastAsia" w:cs="Arial"/>
                <w:color w:val="000000" w:themeColor="text1"/>
                <w:sz w:val="20"/>
                <w:szCs w:val="20"/>
              </w:rPr>
              <w:t xml:space="preserve"> </w:t>
            </w:r>
            <w:r w:rsidRPr="002F2327">
              <w:rPr>
                <w:rFonts w:eastAsiaTheme="minorEastAsia" w:cs="Arial"/>
                <w:color w:val="000000" w:themeColor="text1"/>
                <w:sz w:val="20"/>
                <w:szCs w:val="20"/>
              </w:rPr>
              <w:t>years</w:t>
            </w:r>
            <w:r w:rsidR="00E20E02">
              <w:rPr>
                <w:rFonts w:eastAsiaTheme="minorEastAsia" w:cs="Arial"/>
                <w:color w:val="000000" w:themeColor="text1"/>
                <w:sz w:val="20"/>
                <w:szCs w:val="20"/>
              </w:rPr>
              <w:t>. I</w:t>
            </w:r>
            <w:r>
              <w:rPr>
                <w:rFonts w:eastAsiaTheme="minorEastAsia" w:cs="Arial"/>
                <w:color w:val="000000" w:themeColor="text1"/>
                <w:sz w:val="20"/>
                <w:szCs w:val="20"/>
              </w:rPr>
              <w:t xml:space="preserve">n year </w:t>
            </w:r>
            <w:r w:rsidR="00E20E02">
              <w:rPr>
                <w:rFonts w:eastAsiaTheme="minorEastAsia" w:cs="Arial"/>
                <w:color w:val="000000" w:themeColor="text1"/>
                <w:sz w:val="20"/>
                <w:szCs w:val="20"/>
              </w:rPr>
              <w:t>two</w:t>
            </w:r>
            <w:r>
              <w:rPr>
                <w:rFonts w:eastAsiaTheme="minorEastAsia" w:cs="Arial"/>
                <w:color w:val="000000" w:themeColor="text1"/>
                <w:sz w:val="20"/>
                <w:szCs w:val="20"/>
              </w:rPr>
              <w:t xml:space="preserve"> and onwards costs</w:t>
            </w:r>
            <w:r w:rsidR="00E20E02">
              <w:rPr>
                <w:rFonts w:eastAsiaTheme="minorEastAsia" w:cs="Arial"/>
                <w:color w:val="000000" w:themeColor="text1"/>
                <w:sz w:val="20"/>
                <w:szCs w:val="20"/>
              </w:rPr>
              <w:t xml:space="preserve"> </w:t>
            </w:r>
            <w:r>
              <w:rPr>
                <w:rFonts w:eastAsiaTheme="minorEastAsia" w:cs="Arial"/>
                <w:color w:val="000000" w:themeColor="text1"/>
                <w:sz w:val="20"/>
                <w:szCs w:val="20"/>
              </w:rPr>
              <w:t xml:space="preserve">would simply include data transfer at circa 144 euros per patient and any replacement heads that might be required. Patients on </w:t>
            </w:r>
            <w:proofErr w:type="spellStart"/>
            <w:r>
              <w:rPr>
                <w:rFonts w:eastAsiaTheme="minorEastAsia" w:cs="Arial"/>
                <w:color w:val="000000" w:themeColor="text1"/>
                <w:sz w:val="20"/>
                <w:szCs w:val="20"/>
              </w:rPr>
              <w:t>Vantobra</w:t>
            </w:r>
            <w:proofErr w:type="spellEnd"/>
            <w:r>
              <w:rPr>
                <w:rFonts w:eastAsiaTheme="minorEastAsia" w:cs="Arial"/>
                <w:color w:val="000000" w:themeColor="text1"/>
                <w:sz w:val="20"/>
                <w:szCs w:val="20"/>
              </w:rPr>
              <w:t xml:space="preserve">, Aztreonam </w:t>
            </w:r>
          </w:p>
          <w:p w14:paraId="486B7433" w14:textId="77777777" w:rsidR="00E20E02" w:rsidRDefault="006F34C7" w:rsidP="00E20E02">
            <w:pPr>
              <w:rPr>
                <w:rFonts w:eastAsiaTheme="minorEastAsia" w:cs="Arial"/>
                <w:color w:val="000000" w:themeColor="text1"/>
                <w:sz w:val="20"/>
                <w:szCs w:val="20"/>
              </w:rPr>
            </w:pPr>
            <w:r>
              <w:rPr>
                <w:rFonts w:eastAsiaTheme="minorEastAsia" w:cs="Arial"/>
                <w:color w:val="000000" w:themeColor="text1"/>
                <w:sz w:val="20"/>
                <w:szCs w:val="20"/>
              </w:rPr>
              <w:t>and Levofloxacin receive free heads bundled with the drugs</w:t>
            </w:r>
            <w:r w:rsidR="00E20E02">
              <w:rPr>
                <w:rFonts w:eastAsiaTheme="minorEastAsia" w:cs="Arial"/>
                <w:color w:val="000000" w:themeColor="text1"/>
                <w:sz w:val="20"/>
                <w:szCs w:val="20"/>
              </w:rPr>
              <w:t>.</w:t>
            </w:r>
          </w:p>
          <w:p w14:paraId="375A17CE" w14:textId="77777777" w:rsidR="00E20E02" w:rsidRDefault="00E20E02" w:rsidP="00E20E02">
            <w:pPr>
              <w:rPr>
                <w:rFonts w:eastAsiaTheme="minorEastAsia" w:cs="Arial"/>
                <w:color w:val="000000" w:themeColor="text1"/>
                <w:sz w:val="20"/>
                <w:szCs w:val="20"/>
              </w:rPr>
            </w:pPr>
          </w:p>
          <w:tbl>
            <w:tblPr>
              <w:tblW w:w="10169" w:type="dxa"/>
              <w:tblLook w:val="04A0" w:firstRow="1" w:lastRow="0" w:firstColumn="1" w:lastColumn="0" w:noHBand="0" w:noVBand="1"/>
            </w:tblPr>
            <w:tblGrid>
              <w:gridCol w:w="673"/>
              <w:gridCol w:w="3313"/>
              <w:gridCol w:w="973"/>
              <w:gridCol w:w="1055"/>
              <w:gridCol w:w="1091"/>
              <w:gridCol w:w="955"/>
              <w:gridCol w:w="1055"/>
              <w:gridCol w:w="1054"/>
            </w:tblGrid>
            <w:tr w:rsidR="00E20E02" w:rsidRPr="00802251" w14:paraId="096D1DCB" w14:textId="77777777" w:rsidTr="00E20E02">
              <w:trPr>
                <w:trHeight w:val="1200"/>
              </w:trPr>
              <w:tc>
                <w:tcPr>
                  <w:tcW w:w="67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CA6C60"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w:t>
                  </w:r>
                </w:p>
              </w:tc>
              <w:tc>
                <w:tcPr>
                  <w:tcW w:w="3313" w:type="dxa"/>
                  <w:tcBorders>
                    <w:top w:val="single" w:sz="8" w:space="0" w:color="auto"/>
                    <w:left w:val="nil"/>
                    <w:bottom w:val="single" w:sz="4" w:space="0" w:color="auto"/>
                    <w:right w:val="single" w:sz="4" w:space="0" w:color="auto"/>
                  </w:tcBorders>
                  <w:shd w:val="clear" w:color="auto" w:fill="auto"/>
                  <w:noWrap/>
                  <w:vAlign w:val="bottom"/>
                  <w:hideMark/>
                </w:tcPr>
                <w:p w14:paraId="5360BA8E" w14:textId="77777777" w:rsidR="00E20E02" w:rsidRPr="00C808D3" w:rsidRDefault="006F34C7" w:rsidP="00E20E02">
                  <w:pPr>
                    <w:rPr>
                      <w:rFonts w:eastAsiaTheme="minorEastAsia" w:cs="Arial"/>
                      <w:b/>
                      <w:color w:val="000000" w:themeColor="text1"/>
                      <w:szCs w:val="24"/>
                    </w:rPr>
                  </w:pPr>
                  <w:r w:rsidRPr="00802251">
                    <w:rPr>
                      <w:rFonts w:ascii="Calibri" w:hAnsi="Calibri" w:cs="Calibri"/>
                      <w:bCs w:val="0"/>
                      <w:color w:val="000000"/>
                      <w:sz w:val="22"/>
                      <w:szCs w:val="22"/>
                      <w:lang w:eastAsia="en-GB"/>
                    </w:rPr>
                    <w:t> </w:t>
                  </w:r>
                  <w:r w:rsidR="00E20E02" w:rsidRPr="00C808D3">
                    <w:rPr>
                      <w:rFonts w:eastAsiaTheme="minorEastAsia" w:cs="Arial"/>
                      <w:b/>
                      <w:color w:val="000000" w:themeColor="text1"/>
                      <w:szCs w:val="24"/>
                    </w:rPr>
                    <w:t xml:space="preserve">Table </w:t>
                  </w:r>
                  <w:r w:rsidR="00E20E02">
                    <w:rPr>
                      <w:rFonts w:eastAsiaTheme="minorEastAsia" w:cs="Arial"/>
                      <w:b/>
                      <w:color w:val="000000" w:themeColor="text1"/>
                      <w:szCs w:val="24"/>
                    </w:rPr>
                    <w:t>6</w:t>
                  </w:r>
                </w:p>
                <w:p w14:paraId="65ACA778" w14:textId="77777777" w:rsidR="006F34C7" w:rsidRPr="00802251" w:rsidRDefault="006F34C7" w:rsidP="006F34C7">
                  <w:pPr>
                    <w:rPr>
                      <w:rFonts w:ascii="Calibri" w:hAnsi="Calibri" w:cs="Calibri"/>
                      <w:bCs w:val="0"/>
                      <w:color w:val="000000"/>
                      <w:sz w:val="22"/>
                      <w:szCs w:val="22"/>
                      <w:lang w:eastAsia="en-GB"/>
                    </w:rPr>
                  </w:pPr>
                </w:p>
              </w:tc>
              <w:tc>
                <w:tcPr>
                  <w:tcW w:w="973" w:type="dxa"/>
                  <w:tcBorders>
                    <w:top w:val="single" w:sz="8" w:space="0" w:color="auto"/>
                    <w:left w:val="nil"/>
                    <w:bottom w:val="single" w:sz="4" w:space="0" w:color="auto"/>
                    <w:right w:val="single" w:sz="4" w:space="0" w:color="auto"/>
                  </w:tcBorders>
                  <w:shd w:val="clear" w:color="auto" w:fill="auto"/>
                  <w:noWrap/>
                  <w:vAlign w:val="bottom"/>
                  <w:hideMark/>
                </w:tcPr>
                <w:p w14:paraId="2BA18588"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w:t>
                  </w:r>
                  <w:r>
                    <w:rPr>
                      <w:rFonts w:ascii="Calibri" w:hAnsi="Calibri" w:cs="Calibri"/>
                      <w:bCs w:val="0"/>
                      <w:color w:val="000000"/>
                      <w:sz w:val="22"/>
                      <w:szCs w:val="22"/>
                      <w:lang w:eastAsia="en-GB"/>
                    </w:rPr>
                    <w:t>Size of CF Centre</w:t>
                  </w:r>
                </w:p>
              </w:tc>
              <w:tc>
                <w:tcPr>
                  <w:tcW w:w="1055" w:type="dxa"/>
                  <w:tcBorders>
                    <w:top w:val="single" w:sz="8" w:space="0" w:color="auto"/>
                    <w:left w:val="nil"/>
                    <w:bottom w:val="single" w:sz="4" w:space="0" w:color="auto"/>
                    <w:right w:val="single" w:sz="4" w:space="0" w:color="auto"/>
                  </w:tcBorders>
                  <w:shd w:val="clear" w:color="auto" w:fill="auto"/>
                  <w:vAlign w:val="bottom"/>
                  <w:hideMark/>
                </w:tcPr>
                <w:p w14:paraId="6E8C6B33" w14:textId="77777777" w:rsidR="006F34C7" w:rsidRPr="00802251" w:rsidRDefault="006F34C7" w:rsidP="006F34C7">
                  <w:pPr>
                    <w:jc w:val="center"/>
                    <w:rPr>
                      <w:rFonts w:ascii="Calibri" w:hAnsi="Calibri" w:cs="Calibri"/>
                      <w:b/>
                      <w:color w:val="000000"/>
                      <w:sz w:val="22"/>
                      <w:szCs w:val="22"/>
                      <w:lang w:eastAsia="en-GB"/>
                    </w:rPr>
                  </w:pPr>
                  <w:r w:rsidRPr="00802251">
                    <w:rPr>
                      <w:rFonts w:ascii="Calibri" w:hAnsi="Calibri" w:cs="Calibri"/>
                      <w:b/>
                      <w:color w:val="000000"/>
                      <w:sz w:val="22"/>
                      <w:szCs w:val="22"/>
                      <w:lang w:eastAsia="en-GB"/>
                    </w:rPr>
                    <w:t>CQUIN (A)</w:t>
                  </w:r>
                </w:p>
              </w:tc>
              <w:tc>
                <w:tcPr>
                  <w:tcW w:w="1091" w:type="dxa"/>
                  <w:tcBorders>
                    <w:top w:val="single" w:sz="8" w:space="0" w:color="auto"/>
                    <w:left w:val="nil"/>
                    <w:bottom w:val="single" w:sz="4" w:space="0" w:color="auto"/>
                    <w:right w:val="single" w:sz="4" w:space="0" w:color="auto"/>
                  </w:tcBorders>
                  <w:shd w:val="clear" w:color="auto" w:fill="auto"/>
                  <w:vAlign w:val="bottom"/>
                  <w:hideMark/>
                </w:tcPr>
                <w:p w14:paraId="1BF97798" w14:textId="77777777" w:rsidR="006F34C7" w:rsidRPr="00802251" w:rsidRDefault="006F34C7" w:rsidP="006F34C7">
                  <w:pPr>
                    <w:jc w:val="center"/>
                    <w:rPr>
                      <w:rFonts w:ascii="Calibri" w:hAnsi="Calibri" w:cs="Calibri"/>
                      <w:b/>
                      <w:color w:val="000000"/>
                      <w:sz w:val="22"/>
                      <w:szCs w:val="22"/>
                      <w:lang w:eastAsia="en-GB"/>
                    </w:rPr>
                  </w:pPr>
                  <w:r w:rsidRPr="00802251">
                    <w:rPr>
                      <w:rFonts w:ascii="Calibri" w:hAnsi="Calibri" w:cs="Calibri"/>
                      <w:b/>
                      <w:color w:val="000000"/>
                      <w:sz w:val="22"/>
                      <w:szCs w:val="22"/>
                      <w:lang w:eastAsia="en-GB"/>
                    </w:rPr>
                    <w:t>50% CQUIN premium (B)</w:t>
                  </w:r>
                </w:p>
              </w:tc>
              <w:tc>
                <w:tcPr>
                  <w:tcW w:w="955" w:type="dxa"/>
                  <w:tcBorders>
                    <w:top w:val="single" w:sz="8" w:space="0" w:color="auto"/>
                    <w:left w:val="nil"/>
                    <w:bottom w:val="single" w:sz="4" w:space="0" w:color="auto"/>
                    <w:right w:val="single" w:sz="4" w:space="0" w:color="auto"/>
                  </w:tcBorders>
                  <w:shd w:val="clear" w:color="auto" w:fill="auto"/>
                  <w:vAlign w:val="bottom"/>
                  <w:hideMark/>
                </w:tcPr>
                <w:p w14:paraId="4C6DC3A1" w14:textId="77777777" w:rsidR="006F34C7" w:rsidRPr="00802251" w:rsidRDefault="006F34C7" w:rsidP="006F34C7">
                  <w:pPr>
                    <w:jc w:val="center"/>
                    <w:rPr>
                      <w:rFonts w:ascii="Calibri" w:hAnsi="Calibri" w:cs="Calibri"/>
                      <w:b/>
                      <w:i/>
                      <w:iCs/>
                      <w:color w:val="000000"/>
                      <w:sz w:val="22"/>
                      <w:szCs w:val="22"/>
                      <w:lang w:eastAsia="en-GB"/>
                    </w:rPr>
                  </w:pPr>
                  <w:r w:rsidRPr="00802251">
                    <w:rPr>
                      <w:rFonts w:ascii="Calibri" w:hAnsi="Calibri" w:cs="Calibri"/>
                      <w:b/>
                      <w:i/>
                      <w:iCs/>
                      <w:color w:val="000000"/>
                      <w:sz w:val="22"/>
                      <w:szCs w:val="22"/>
                      <w:lang w:eastAsia="en-GB"/>
                    </w:rPr>
                    <w:t xml:space="preserve">Number of </w:t>
                  </w:r>
                  <w:proofErr w:type="spellStart"/>
                  <w:r w:rsidRPr="00802251">
                    <w:rPr>
                      <w:rFonts w:ascii="Calibri" w:hAnsi="Calibri" w:cs="Calibri"/>
                      <w:b/>
                      <w:i/>
                      <w:iCs/>
                      <w:color w:val="000000"/>
                      <w:sz w:val="22"/>
                      <w:szCs w:val="22"/>
                      <w:lang w:eastAsia="en-GB"/>
                    </w:rPr>
                    <w:t>Etracks</w:t>
                  </w:r>
                  <w:proofErr w:type="spellEnd"/>
                  <w:r w:rsidRPr="00802251">
                    <w:rPr>
                      <w:rFonts w:ascii="Calibri" w:hAnsi="Calibri" w:cs="Calibri"/>
                      <w:b/>
                      <w:i/>
                      <w:iCs/>
                      <w:color w:val="000000"/>
                      <w:sz w:val="22"/>
                      <w:szCs w:val="22"/>
                      <w:lang w:eastAsia="en-GB"/>
                    </w:rPr>
                    <w:t xml:space="preserve"> needed</w:t>
                  </w:r>
                </w:p>
              </w:tc>
              <w:tc>
                <w:tcPr>
                  <w:tcW w:w="1055" w:type="dxa"/>
                  <w:tcBorders>
                    <w:top w:val="single" w:sz="8" w:space="0" w:color="auto"/>
                    <w:left w:val="nil"/>
                    <w:bottom w:val="single" w:sz="4" w:space="0" w:color="auto"/>
                    <w:right w:val="single" w:sz="4" w:space="0" w:color="auto"/>
                  </w:tcBorders>
                  <w:shd w:val="clear" w:color="auto" w:fill="auto"/>
                  <w:vAlign w:val="bottom"/>
                  <w:hideMark/>
                </w:tcPr>
                <w:p w14:paraId="14280A33" w14:textId="77777777" w:rsidR="00E20E02" w:rsidRDefault="006F34C7" w:rsidP="006F34C7">
                  <w:pPr>
                    <w:jc w:val="center"/>
                    <w:rPr>
                      <w:rFonts w:ascii="Calibri" w:hAnsi="Calibri" w:cs="Calibri"/>
                      <w:b/>
                      <w:color w:val="000000"/>
                      <w:sz w:val="22"/>
                      <w:szCs w:val="22"/>
                      <w:lang w:eastAsia="en-GB"/>
                    </w:rPr>
                  </w:pPr>
                  <w:proofErr w:type="spellStart"/>
                  <w:r w:rsidRPr="00802251">
                    <w:rPr>
                      <w:rFonts w:ascii="Calibri" w:hAnsi="Calibri" w:cs="Calibri"/>
                      <w:b/>
                      <w:color w:val="000000"/>
                      <w:sz w:val="22"/>
                      <w:szCs w:val="22"/>
                      <w:lang w:eastAsia="en-GB"/>
                    </w:rPr>
                    <w:t>Etrack</w:t>
                  </w:r>
                  <w:proofErr w:type="spellEnd"/>
                  <w:r w:rsidRPr="00802251">
                    <w:rPr>
                      <w:rFonts w:ascii="Calibri" w:hAnsi="Calibri" w:cs="Calibri"/>
                      <w:b/>
                      <w:color w:val="000000"/>
                      <w:sz w:val="22"/>
                      <w:szCs w:val="22"/>
                      <w:lang w:eastAsia="en-GB"/>
                    </w:rPr>
                    <w:t xml:space="preserve"> costs </w:t>
                  </w:r>
                </w:p>
                <w:p w14:paraId="29F6E748" w14:textId="36130EB5" w:rsidR="006F34C7" w:rsidRPr="00802251" w:rsidRDefault="006F34C7" w:rsidP="006F34C7">
                  <w:pPr>
                    <w:jc w:val="center"/>
                    <w:rPr>
                      <w:rFonts w:ascii="Calibri" w:hAnsi="Calibri" w:cs="Calibri"/>
                      <w:b/>
                      <w:color w:val="000000"/>
                      <w:sz w:val="22"/>
                      <w:szCs w:val="22"/>
                      <w:lang w:eastAsia="en-GB"/>
                    </w:rPr>
                  </w:pPr>
                  <w:r w:rsidRPr="00802251">
                    <w:rPr>
                      <w:rFonts w:ascii="Calibri" w:hAnsi="Calibri" w:cs="Calibri"/>
                      <w:b/>
                      <w:color w:val="000000"/>
                      <w:sz w:val="22"/>
                      <w:szCs w:val="22"/>
                      <w:lang w:eastAsia="en-GB"/>
                    </w:rPr>
                    <w:t>(C)</w:t>
                  </w:r>
                </w:p>
              </w:tc>
              <w:tc>
                <w:tcPr>
                  <w:tcW w:w="1054" w:type="dxa"/>
                  <w:tcBorders>
                    <w:top w:val="single" w:sz="8" w:space="0" w:color="auto"/>
                    <w:left w:val="nil"/>
                    <w:bottom w:val="single" w:sz="4" w:space="0" w:color="auto"/>
                    <w:right w:val="single" w:sz="8" w:space="0" w:color="auto"/>
                  </w:tcBorders>
                  <w:shd w:val="clear" w:color="auto" w:fill="auto"/>
                  <w:vAlign w:val="bottom"/>
                  <w:hideMark/>
                </w:tcPr>
                <w:p w14:paraId="00138F4D" w14:textId="77777777" w:rsidR="006F34C7" w:rsidRPr="00802251" w:rsidRDefault="006F34C7" w:rsidP="006F34C7">
                  <w:pPr>
                    <w:jc w:val="center"/>
                    <w:rPr>
                      <w:rFonts w:ascii="Calibri" w:hAnsi="Calibri" w:cs="Calibri"/>
                      <w:b/>
                      <w:color w:val="000000"/>
                      <w:sz w:val="22"/>
                      <w:szCs w:val="22"/>
                      <w:lang w:eastAsia="en-GB"/>
                    </w:rPr>
                  </w:pPr>
                  <w:r w:rsidRPr="00802251">
                    <w:rPr>
                      <w:rFonts w:ascii="Calibri" w:hAnsi="Calibri" w:cs="Calibri"/>
                      <w:b/>
                      <w:color w:val="000000"/>
                      <w:sz w:val="22"/>
                      <w:szCs w:val="22"/>
                      <w:lang w:eastAsia="en-GB"/>
                    </w:rPr>
                    <w:t>Total CQUIN payment (A+B+C)</w:t>
                  </w:r>
                </w:p>
              </w:tc>
            </w:tr>
            <w:tr w:rsidR="00E20E02" w:rsidRPr="00802251" w14:paraId="7A5EE504"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3A1CBDA7"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RT3</w:t>
                  </w:r>
                </w:p>
              </w:tc>
              <w:tc>
                <w:tcPr>
                  <w:tcW w:w="3313" w:type="dxa"/>
                  <w:tcBorders>
                    <w:top w:val="nil"/>
                    <w:left w:val="nil"/>
                    <w:bottom w:val="single" w:sz="4" w:space="0" w:color="auto"/>
                    <w:right w:val="single" w:sz="4" w:space="0" w:color="auto"/>
                  </w:tcBorders>
                  <w:shd w:val="clear" w:color="auto" w:fill="auto"/>
                  <w:noWrap/>
                  <w:vAlign w:val="bottom"/>
                  <w:hideMark/>
                </w:tcPr>
                <w:p w14:paraId="7BA48D0B"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Royal Brompton &amp; Harefield </w:t>
                  </w:r>
                </w:p>
              </w:tc>
              <w:tc>
                <w:tcPr>
                  <w:tcW w:w="973" w:type="dxa"/>
                  <w:tcBorders>
                    <w:top w:val="nil"/>
                    <w:left w:val="nil"/>
                    <w:bottom w:val="single" w:sz="4" w:space="0" w:color="auto"/>
                    <w:right w:val="single" w:sz="4" w:space="0" w:color="auto"/>
                  </w:tcBorders>
                  <w:shd w:val="clear" w:color="auto" w:fill="auto"/>
                  <w:noWrap/>
                  <w:vAlign w:val="bottom"/>
                  <w:hideMark/>
                </w:tcPr>
                <w:p w14:paraId="72C3E3C4"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6005D14F"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5A3BAE5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3E9B6BD6"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298</w:t>
                  </w:r>
                </w:p>
              </w:tc>
              <w:tc>
                <w:tcPr>
                  <w:tcW w:w="1055" w:type="dxa"/>
                  <w:tcBorders>
                    <w:top w:val="nil"/>
                    <w:left w:val="nil"/>
                    <w:bottom w:val="single" w:sz="4" w:space="0" w:color="auto"/>
                    <w:right w:val="single" w:sz="4" w:space="0" w:color="auto"/>
                  </w:tcBorders>
                  <w:shd w:val="clear" w:color="auto" w:fill="auto"/>
                  <w:noWrap/>
                  <w:vAlign w:val="bottom"/>
                  <w:hideMark/>
                </w:tcPr>
                <w:p w14:paraId="6B84C7BB"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£381,440</w:t>
                  </w:r>
                </w:p>
              </w:tc>
              <w:tc>
                <w:tcPr>
                  <w:tcW w:w="1054" w:type="dxa"/>
                  <w:tcBorders>
                    <w:top w:val="nil"/>
                    <w:left w:val="nil"/>
                    <w:bottom w:val="single" w:sz="4" w:space="0" w:color="auto"/>
                    <w:right w:val="single" w:sz="8" w:space="0" w:color="auto"/>
                  </w:tcBorders>
                  <w:shd w:val="clear" w:color="auto" w:fill="auto"/>
                  <w:noWrap/>
                  <w:vAlign w:val="bottom"/>
                  <w:hideMark/>
                </w:tcPr>
                <w:p w14:paraId="5FEF4CB7"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£793,940</w:t>
                  </w:r>
                </w:p>
              </w:tc>
            </w:tr>
            <w:tr w:rsidR="00E20E02" w:rsidRPr="00802251" w14:paraId="2FAE277D"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2584B0CF"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RR8</w:t>
                  </w:r>
                </w:p>
              </w:tc>
              <w:tc>
                <w:tcPr>
                  <w:tcW w:w="3313" w:type="dxa"/>
                  <w:tcBorders>
                    <w:top w:val="nil"/>
                    <w:left w:val="nil"/>
                    <w:bottom w:val="single" w:sz="4" w:space="0" w:color="auto"/>
                    <w:right w:val="single" w:sz="4" w:space="0" w:color="auto"/>
                  </w:tcBorders>
                  <w:shd w:val="clear" w:color="auto" w:fill="auto"/>
                  <w:noWrap/>
                  <w:vAlign w:val="bottom"/>
                  <w:hideMark/>
                </w:tcPr>
                <w:p w14:paraId="6E7FAD78"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Leeds Teaching Hospitals NHS Trust</w:t>
                  </w:r>
                </w:p>
              </w:tc>
              <w:tc>
                <w:tcPr>
                  <w:tcW w:w="973" w:type="dxa"/>
                  <w:tcBorders>
                    <w:top w:val="nil"/>
                    <w:left w:val="nil"/>
                    <w:bottom w:val="single" w:sz="4" w:space="0" w:color="auto"/>
                    <w:right w:val="single" w:sz="4" w:space="0" w:color="auto"/>
                  </w:tcBorders>
                  <w:shd w:val="clear" w:color="auto" w:fill="auto"/>
                  <w:noWrap/>
                  <w:vAlign w:val="bottom"/>
                  <w:hideMark/>
                </w:tcPr>
                <w:p w14:paraId="332EBE3E"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23452EDC"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30237BB3"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5C4D4A55"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160</w:t>
                  </w:r>
                </w:p>
              </w:tc>
              <w:tc>
                <w:tcPr>
                  <w:tcW w:w="1055" w:type="dxa"/>
                  <w:tcBorders>
                    <w:top w:val="nil"/>
                    <w:left w:val="nil"/>
                    <w:bottom w:val="single" w:sz="4" w:space="0" w:color="auto"/>
                    <w:right w:val="single" w:sz="4" w:space="0" w:color="auto"/>
                  </w:tcBorders>
                  <w:shd w:val="clear" w:color="auto" w:fill="auto"/>
                  <w:noWrap/>
                  <w:vAlign w:val="bottom"/>
                  <w:hideMark/>
                </w:tcPr>
                <w:p w14:paraId="1C298396"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£204,800</w:t>
                  </w:r>
                </w:p>
              </w:tc>
              <w:tc>
                <w:tcPr>
                  <w:tcW w:w="1054" w:type="dxa"/>
                  <w:tcBorders>
                    <w:top w:val="nil"/>
                    <w:left w:val="nil"/>
                    <w:bottom w:val="single" w:sz="4" w:space="0" w:color="auto"/>
                    <w:right w:val="single" w:sz="8" w:space="0" w:color="auto"/>
                  </w:tcBorders>
                  <w:shd w:val="clear" w:color="auto" w:fill="auto"/>
                  <w:noWrap/>
                  <w:vAlign w:val="bottom"/>
                  <w:hideMark/>
                </w:tcPr>
                <w:p w14:paraId="7FA9C9C3"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£617,300</w:t>
                  </w:r>
                </w:p>
              </w:tc>
            </w:tr>
            <w:tr w:rsidR="00E20E02" w:rsidRPr="00802251" w14:paraId="180C888C"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472DC4BF"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RHM</w:t>
                  </w:r>
                </w:p>
              </w:tc>
              <w:tc>
                <w:tcPr>
                  <w:tcW w:w="3313" w:type="dxa"/>
                  <w:tcBorders>
                    <w:top w:val="nil"/>
                    <w:left w:val="nil"/>
                    <w:bottom w:val="single" w:sz="4" w:space="0" w:color="auto"/>
                    <w:right w:val="single" w:sz="4" w:space="0" w:color="auto"/>
                  </w:tcBorders>
                  <w:shd w:val="clear" w:color="auto" w:fill="auto"/>
                  <w:noWrap/>
                  <w:vAlign w:val="bottom"/>
                  <w:hideMark/>
                </w:tcPr>
                <w:p w14:paraId="41E1A12A"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 Southampton </w:t>
                  </w:r>
                </w:p>
              </w:tc>
              <w:tc>
                <w:tcPr>
                  <w:tcW w:w="973" w:type="dxa"/>
                  <w:tcBorders>
                    <w:top w:val="nil"/>
                    <w:left w:val="nil"/>
                    <w:bottom w:val="single" w:sz="4" w:space="0" w:color="auto"/>
                    <w:right w:val="single" w:sz="4" w:space="0" w:color="auto"/>
                  </w:tcBorders>
                  <w:shd w:val="clear" w:color="auto" w:fill="auto"/>
                  <w:noWrap/>
                  <w:vAlign w:val="bottom"/>
                  <w:hideMark/>
                </w:tcPr>
                <w:p w14:paraId="07F09091"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32E6C904"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5ABA7D16"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3F5D9EA4"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30</w:t>
                  </w:r>
                </w:p>
              </w:tc>
              <w:tc>
                <w:tcPr>
                  <w:tcW w:w="1055" w:type="dxa"/>
                  <w:tcBorders>
                    <w:top w:val="nil"/>
                    <w:left w:val="nil"/>
                    <w:bottom w:val="single" w:sz="4" w:space="0" w:color="auto"/>
                    <w:right w:val="single" w:sz="4" w:space="0" w:color="auto"/>
                  </w:tcBorders>
                  <w:shd w:val="clear" w:color="auto" w:fill="auto"/>
                  <w:noWrap/>
                  <w:vAlign w:val="bottom"/>
                  <w:hideMark/>
                </w:tcPr>
                <w:p w14:paraId="059BD7C4"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£38,400</w:t>
                  </w:r>
                </w:p>
              </w:tc>
              <w:tc>
                <w:tcPr>
                  <w:tcW w:w="1054" w:type="dxa"/>
                  <w:tcBorders>
                    <w:top w:val="nil"/>
                    <w:left w:val="nil"/>
                    <w:bottom w:val="single" w:sz="4" w:space="0" w:color="auto"/>
                    <w:right w:val="single" w:sz="8" w:space="0" w:color="auto"/>
                  </w:tcBorders>
                  <w:shd w:val="clear" w:color="auto" w:fill="auto"/>
                  <w:noWrap/>
                  <w:vAlign w:val="bottom"/>
                  <w:hideMark/>
                </w:tcPr>
                <w:p w14:paraId="46B13A0B"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£450,900</w:t>
                  </w:r>
                </w:p>
              </w:tc>
            </w:tr>
            <w:tr w:rsidR="00E20E02" w:rsidRPr="00802251" w14:paraId="4F138F37"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33DF2074"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RTD</w:t>
                  </w:r>
                </w:p>
              </w:tc>
              <w:tc>
                <w:tcPr>
                  <w:tcW w:w="3313" w:type="dxa"/>
                  <w:tcBorders>
                    <w:top w:val="nil"/>
                    <w:left w:val="nil"/>
                    <w:bottom w:val="single" w:sz="4" w:space="0" w:color="auto"/>
                    <w:right w:val="single" w:sz="4" w:space="0" w:color="auto"/>
                  </w:tcBorders>
                  <w:shd w:val="clear" w:color="auto" w:fill="auto"/>
                  <w:noWrap/>
                  <w:vAlign w:val="bottom"/>
                  <w:hideMark/>
                </w:tcPr>
                <w:p w14:paraId="11ECC175"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The Newcastle Upon Tyne Hospitals </w:t>
                  </w:r>
                </w:p>
              </w:tc>
              <w:tc>
                <w:tcPr>
                  <w:tcW w:w="973" w:type="dxa"/>
                  <w:tcBorders>
                    <w:top w:val="nil"/>
                    <w:left w:val="nil"/>
                    <w:bottom w:val="single" w:sz="4" w:space="0" w:color="auto"/>
                    <w:right w:val="single" w:sz="4" w:space="0" w:color="auto"/>
                  </w:tcBorders>
                  <w:shd w:val="clear" w:color="auto" w:fill="auto"/>
                  <w:noWrap/>
                  <w:vAlign w:val="bottom"/>
                  <w:hideMark/>
                </w:tcPr>
                <w:p w14:paraId="42C66BA3"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511C26A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4003B7B9"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69AC12FD" w14:textId="77777777" w:rsidR="006F34C7" w:rsidRPr="00802251" w:rsidRDefault="006F34C7" w:rsidP="006F34C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120</w:t>
                  </w:r>
                </w:p>
              </w:tc>
              <w:tc>
                <w:tcPr>
                  <w:tcW w:w="1055" w:type="dxa"/>
                  <w:tcBorders>
                    <w:top w:val="nil"/>
                    <w:left w:val="nil"/>
                    <w:bottom w:val="single" w:sz="4" w:space="0" w:color="auto"/>
                    <w:right w:val="single" w:sz="4" w:space="0" w:color="auto"/>
                  </w:tcBorders>
                  <w:shd w:val="clear" w:color="auto" w:fill="auto"/>
                  <w:noWrap/>
                  <w:vAlign w:val="bottom"/>
                  <w:hideMark/>
                </w:tcPr>
                <w:p w14:paraId="09616B80" w14:textId="77777777" w:rsidR="006F34C7" w:rsidRPr="00802251" w:rsidRDefault="006F34C7" w:rsidP="006F34C7">
                  <w:pPr>
                    <w:jc w:val="right"/>
                    <w:rPr>
                      <w:rFonts w:ascii="Calibri" w:hAnsi="Calibri" w:cs="Calibri"/>
                      <w:bCs w:val="0"/>
                      <w:color w:val="000000"/>
                      <w:sz w:val="22"/>
                      <w:szCs w:val="22"/>
                      <w:lang w:eastAsia="en-GB"/>
                    </w:rPr>
                  </w:pPr>
                  <w:r>
                    <w:rPr>
                      <w:rFonts w:ascii="Calibri" w:hAnsi="Calibri" w:cs="Calibri"/>
                      <w:bCs w:val="0"/>
                      <w:color w:val="000000"/>
                      <w:sz w:val="22"/>
                      <w:szCs w:val="22"/>
                      <w:lang w:eastAsia="en-GB"/>
                    </w:rPr>
                    <w:t>£153,600</w:t>
                  </w:r>
                </w:p>
              </w:tc>
              <w:tc>
                <w:tcPr>
                  <w:tcW w:w="1054" w:type="dxa"/>
                  <w:tcBorders>
                    <w:top w:val="nil"/>
                    <w:left w:val="nil"/>
                    <w:bottom w:val="single" w:sz="4" w:space="0" w:color="auto"/>
                    <w:right w:val="single" w:sz="8" w:space="0" w:color="auto"/>
                  </w:tcBorders>
                  <w:shd w:val="clear" w:color="auto" w:fill="auto"/>
                  <w:noWrap/>
                  <w:vAlign w:val="bottom"/>
                  <w:hideMark/>
                </w:tcPr>
                <w:p w14:paraId="7965BD14" w14:textId="77777777" w:rsidR="006F34C7" w:rsidRPr="00802251" w:rsidRDefault="006F34C7" w:rsidP="006F34C7">
                  <w:pPr>
                    <w:jc w:val="right"/>
                    <w:rPr>
                      <w:rFonts w:ascii="Calibri" w:hAnsi="Calibri" w:cs="Calibri"/>
                      <w:b/>
                      <w:color w:val="000000"/>
                      <w:sz w:val="22"/>
                      <w:szCs w:val="22"/>
                      <w:lang w:eastAsia="en-GB"/>
                    </w:rPr>
                  </w:pPr>
                  <w:r>
                    <w:rPr>
                      <w:rFonts w:ascii="Calibri" w:hAnsi="Calibri" w:cs="Calibri"/>
                      <w:b/>
                      <w:color w:val="000000"/>
                      <w:sz w:val="22"/>
                      <w:szCs w:val="22"/>
                      <w:lang w:eastAsia="en-GB"/>
                    </w:rPr>
                    <w:t>£566,100</w:t>
                  </w:r>
                </w:p>
              </w:tc>
            </w:tr>
            <w:tr w:rsidR="00E20E02" w:rsidRPr="00802251" w14:paraId="4594C6DB"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3C6A2100"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RJZ</w:t>
                  </w:r>
                </w:p>
              </w:tc>
              <w:tc>
                <w:tcPr>
                  <w:tcW w:w="3313" w:type="dxa"/>
                  <w:tcBorders>
                    <w:top w:val="nil"/>
                    <w:left w:val="nil"/>
                    <w:bottom w:val="single" w:sz="4" w:space="0" w:color="auto"/>
                    <w:right w:val="single" w:sz="4" w:space="0" w:color="auto"/>
                  </w:tcBorders>
                  <w:shd w:val="clear" w:color="auto" w:fill="auto"/>
                  <w:noWrap/>
                  <w:vAlign w:val="bottom"/>
                  <w:hideMark/>
                </w:tcPr>
                <w:p w14:paraId="4E80C5AE"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King's College Hospital </w:t>
                  </w:r>
                </w:p>
              </w:tc>
              <w:tc>
                <w:tcPr>
                  <w:tcW w:w="973" w:type="dxa"/>
                  <w:tcBorders>
                    <w:top w:val="nil"/>
                    <w:left w:val="nil"/>
                    <w:bottom w:val="single" w:sz="4" w:space="0" w:color="auto"/>
                    <w:right w:val="single" w:sz="4" w:space="0" w:color="auto"/>
                  </w:tcBorders>
                  <w:shd w:val="clear" w:color="auto" w:fill="auto"/>
                  <w:noWrap/>
                  <w:vAlign w:val="bottom"/>
                  <w:hideMark/>
                </w:tcPr>
                <w:p w14:paraId="3D2C8565"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70063DB8"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3A7AA75E"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0E738DCE"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20</w:t>
                  </w:r>
                </w:p>
              </w:tc>
              <w:tc>
                <w:tcPr>
                  <w:tcW w:w="1055" w:type="dxa"/>
                  <w:tcBorders>
                    <w:top w:val="nil"/>
                    <w:left w:val="nil"/>
                    <w:bottom w:val="single" w:sz="4" w:space="0" w:color="auto"/>
                    <w:right w:val="single" w:sz="4" w:space="0" w:color="auto"/>
                  </w:tcBorders>
                  <w:shd w:val="clear" w:color="auto" w:fill="auto"/>
                  <w:noWrap/>
                  <w:vAlign w:val="bottom"/>
                  <w:hideMark/>
                </w:tcPr>
                <w:p w14:paraId="0213C459"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£25,600</w:t>
                  </w:r>
                </w:p>
              </w:tc>
              <w:tc>
                <w:tcPr>
                  <w:tcW w:w="1054" w:type="dxa"/>
                  <w:tcBorders>
                    <w:top w:val="nil"/>
                    <w:left w:val="nil"/>
                    <w:bottom w:val="single" w:sz="4" w:space="0" w:color="auto"/>
                    <w:right w:val="single" w:sz="8" w:space="0" w:color="auto"/>
                  </w:tcBorders>
                  <w:shd w:val="clear" w:color="auto" w:fill="auto"/>
                  <w:noWrap/>
                  <w:vAlign w:val="bottom"/>
                  <w:hideMark/>
                </w:tcPr>
                <w:p w14:paraId="4B6039C3"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£438,100</w:t>
                  </w:r>
                </w:p>
              </w:tc>
            </w:tr>
            <w:tr w:rsidR="00E20E02" w:rsidRPr="00802251" w14:paraId="08D4BEC5"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29092B2B"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RA7</w:t>
                  </w:r>
                </w:p>
              </w:tc>
              <w:tc>
                <w:tcPr>
                  <w:tcW w:w="3313" w:type="dxa"/>
                  <w:tcBorders>
                    <w:top w:val="nil"/>
                    <w:left w:val="nil"/>
                    <w:bottom w:val="single" w:sz="4" w:space="0" w:color="auto"/>
                    <w:right w:val="single" w:sz="4" w:space="0" w:color="auto"/>
                  </w:tcBorders>
                  <w:shd w:val="clear" w:color="auto" w:fill="auto"/>
                  <w:noWrap/>
                  <w:vAlign w:val="bottom"/>
                  <w:hideMark/>
                </w:tcPr>
                <w:p w14:paraId="5FC9CA9D"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Bristol </w:t>
                  </w:r>
                </w:p>
              </w:tc>
              <w:tc>
                <w:tcPr>
                  <w:tcW w:w="973" w:type="dxa"/>
                  <w:tcBorders>
                    <w:top w:val="nil"/>
                    <w:left w:val="nil"/>
                    <w:bottom w:val="single" w:sz="4" w:space="0" w:color="auto"/>
                    <w:right w:val="single" w:sz="4" w:space="0" w:color="auto"/>
                  </w:tcBorders>
                  <w:shd w:val="clear" w:color="auto" w:fill="auto"/>
                  <w:noWrap/>
                  <w:vAlign w:val="bottom"/>
                  <w:hideMark/>
                </w:tcPr>
                <w:p w14:paraId="5B6ED980"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469AF5FE"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41DBD9BB"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2A3CA736" w14:textId="77777777" w:rsidR="006F34C7" w:rsidRPr="00802251" w:rsidRDefault="006F34C7" w:rsidP="006F34C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73E79902" w14:textId="77777777" w:rsidR="006F34C7" w:rsidRPr="00802251" w:rsidRDefault="006F34C7" w:rsidP="006F34C7">
                  <w:pPr>
                    <w:jc w:val="right"/>
                    <w:rPr>
                      <w:rFonts w:ascii="Calibri" w:hAnsi="Calibri" w:cs="Calibri"/>
                      <w:bCs w:val="0"/>
                      <w:color w:val="000000"/>
                      <w:sz w:val="22"/>
                      <w:szCs w:val="22"/>
                      <w:lang w:eastAsia="en-GB"/>
                    </w:rPr>
                  </w:pPr>
                  <w:r>
                    <w:rPr>
                      <w:rFonts w:ascii="Calibri" w:hAnsi="Calibri" w:cs="Calibri"/>
                      <w:bCs w:val="0"/>
                      <w:color w:val="000000"/>
                      <w:sz w:val="22"/>
                      <w:szCs w:val="22"/>
                      <w:lang w:eastAsia="en-GB"/>
                    </w:rPr>
                    <w:t>£128,000</w:t>
                  </w:r>
                </w:p>
              </w:tc>
              <w:tc>
                <w:tcPr>
                  <w:tcW w:w="1054" w:type="dxa"/>
                  <w:tcBorders>
                    <w:top w:val="nil"/>
                    <w:left w:val="nil"/>
                    <w:bottom w:val="single" w:sz="4" w:space="0" w:color="auto"/>
                    <w:right w:val="single" w:sz="8" w:space="0" w:color="auto"/>
                  </w:tcBorders>
                  <w:shd w:val="clear" w:color="auto" w:fill="auto"/>
                  <w:noWrap/>
                  <w:vAlign w:val="bottom"/>
                  <w:hideMark/>
                </w:tcPr>
                <w:p w14:paraId="16E5CC21" w14:textId="77777777" w:rsidR="006F34C7" w:rsidRPr="00802251" w:rsidRDefault="006F34C7" w:rsidP="006F34C7">
                  <w:pPr>
                    <w:jc w:val="right"/>
                    <w:rPr>
                      <w:rFonts w:ascii="Calibri" w:hAnsi="Calibri" w:cs="Calibri"/>
                      <w:b/>
                      <w:color w:val="000000"/>
                      <w:sz w:val="22"/>
                      <w:szCs w:val="22"/>
                      <w:lang w:eastAsia="en-GB"/>
                    </w:rPr>
                  </w:pPr>
                  <w:r>
                    <w:rPr>
                      <w:rFonts w:ascii="Calibri" w:hAnsi="Calibri" w:cs="Calibri"/>
                      <w:b/>
                      <w:color w:val="000000"/>
                      <w:sz w:val="22"/>
                      <w:szCs w:val="22"/>
                      <w:lang w:eastAsia="en-GB"/>
                    </w:rPr>
                    <w:t>£540,500</w:t>
                  </w:r>
                </w:p>
              </w:tc>
            </w:tr>
            <w:tr w:rsidR="00E20E02" w:rsidRPr="00802251" w14:paraId="247749FF"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64A7488E"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R1H</w:t>
                  </w:r>
                </w:p>
              </w:tc>
              <w:tc>
                <w:tcPr>
                  <w:tcW w:w="3313" w:type="dxa"/>
                  <w:tcBorders>
                    <w:top w:val="nil"/>
                    <w:left w:val="nil"/>
                    <w:bottom w:val="single" w:sz="4" w:space="0" w:color="auto"/>
                    <w:right w:val="single" w:sz="4" w:space="0" w:color="auto"/>
                  </w:tcBorders>
                  <w:shd w:val="clear" w:color="auto" w:fill="auto"/>
                  <w:noWrap/>
                  <w:vAlign w:val="bottom"/>
                  <w:hideMark/>
                </w:tcPr>
                <w:p w14:paraId="00976A3F" w14:textId="77777777" w:rsidR="006F34C7" w:rsidRPr="00802251" w:rsidRDefault="006F34C7" w:rsidP="006F34C7">
                  <w:pPr>
                    <w:rPr>
                      <w:rFonts w:ascii="Calibri" w:hAnsi="Calibri" w:cs="Calibri"/>
                      <w:bCs w:val="0"/>
                      <w:color w:val="000000"/>
                      <w:sz w:val="22"/>
                      <w:szCs w:val="22"/>
                      <w:lang w:eastAsia="en-GB"/>
                    </w:rPr>
                  </w:pPr>
                  <w:proofErr w:type="spellStart"/>
                  <w:r w:rsidRPr="00802251">
                    <w:rPr>
                      <w:rFonts w:ascii="Calibri" w:hAnsi="Calibri" w:cs="Calibri"/>
                      <w:bCs w:val="0"/>
                      <w:color w:val="000000"/>
                      <w:sz w:val="22"/>
                      <w:szCs w:val="22"/>
                      <w:lang w:eastAsia="en-GB"/>
                    </w:rPr>
                    <w:t>Barts</w:t>
                  </w:r>
                  <w:proofErr w:type="spellEnd"/>
                  <w:r w:rsidRPr="00802251">
                    <w:rPr>
                      <w:rFonts w:ascii="Calibri" w:hAnsi="Calibri" w:cs="Calibri"/>
                      <w:bCs w:val="0"/>
                      <w:color w:val="000000"/>
                      <w:sz w:val="22"/>
                      <w:szCs w:val="22"/>
                      <w:lang w:eastAsia="en-GB"/>
                    </w:rPr>
                    <w:t xml:space="preserve"> Health </w:t>
                  </w:r>
                </w:p>
              </w:tc>
              <w:tc>
                <w:tcPr>
                  <w:tcW w:w="973" w:type="dxa"/>
                  <w:tcBorders>
                    <w:top w:val="nil"/>
                    <w:left w:val="nil"/>
                    <w:bottom w:val="single" w:sz="4" w:space="0" w:color="auto"/>
                    <w:right w:val="single" w:sz="4" w:space="0" w:color="auto"/>
                  </w:tcBorders>
                  <w:shd w:val="clear" w:color="auto" w:fill="auto"/>
                  <w:noWrap/>
                  <w:vAlign w:val="bottom"/>
                  <w:hideMark/>
                </w:tcPr>
                <w:p w14:paraId="4BD3B3A0"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Medium</w:t>
                  </w:r>
                </w:p>
              </w:tc>
              <w:tc>
                <w:tcPr>
                  <w:tcW w:w="1055" w:type="dxa"/>
                  <w:tcBorders>
                    <w:top w:val="nil"/>
                    <w:left w:val="nil"/>
                    <w:bottom w:val="single" w:sz="4" w:space="0" w:color="auto"/>
                    <w:right w:val="single" w:sz="4" w:space="0" w:color="auto"/>
                  </w:tcBorders>
                  <w:shd w:val="clear" w:color="auto" w:fill="auto"/>
                  <w:noWrap/>
                  <w:vAlign w:val="bottom"/>
                  <w:hideMark/>
                </w:tcPr>
                <w:p w14:paraId="139ED89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£190,000</w:t>
                  </w:r>
                </w:p>
              </w:tc>
              <w:tc>
                <w:tcPr>
                  <w:tcW w:w="1091" w:type="dxa"/>
                  <w:tcBorders>
                    <w:top w:val="nil"/>
                    <w:left w:val="nil"/>
                    <w:bottom w:val="single" w:sz="4" w:space="0" w:color="auto"/>
                    <w:right w:val="single" w:sz="4" w:space="0" w:color="auto"/>
                  </w:tcBorders>
                  <w:shd w:val="clear" w:color="auto" w:fill="auto"/>
                  <w:noWrap/>
                  <w:vAlign w:val="bottom"/>
                  <w:hideMark/>
                </w:tcPr>
                <w:p w14:paraId="4FE71701"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£95,000</w:t>
                  </w:r>
                </w:p>
              </w:tc>
              <w:tc>
                <w:tcPr>
                  <w:tcW w:w="955" w:type="dxa"/>
                  <w:tcBorders>
                    <w:top w:val="nil"/>
                    <w:left w:val="nil"/>
                    <w:bottom w:val="single" w:sz="4" w:space="0" w:color="auto"/>
                    <w:right w:val="single" w:sz="4" w:space="0" w:color="auto"/>
                  </w:tcBorders>
                  <w:shd w:val="clear" w:color="auto" w:fill="auto"/>
                  <w:noWrap/>
                  <w:vAlign w:val="center"/>
                  <w:hideMark/>
                </w:tcPr>
                <w:p w14:paraId="6F6A6384"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10</w:t>
                  </w:r>
                </w:p>
              </w:tc>
              <w:tc>
                <w:tcPr>
                  <w:tcW w:w="1055" w:type="dxa"/>
                  <w:tcBorders>
                    <w:top w:val="nil"/>
                    <w:left w:val="nil"/>
                    <w:bottom w:val="single" w:sz="4" w:space="0" w:color="auto"/>
                    <w:right w:val="single" w:sz="4" w:space="0" w:color="auto"/>
                  </w:tcBorders>
                  <w:shd w:val="clear" w:color="auto" w:fill="auto"/>
                  <w:noWrap/>
                  <w:vAlign w:val="bottom"/>
                  <w:hideMark/>
                </w:tcPr>
                <w:p w14:paraId="5F78BD35"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£12,800</w:t>
                  </w:r>
                </w:p>
              </w:tc>
              <w:tc>
                <w:tcPr>
                  <w:tcW w:w="1054" w:type="dxa"/>
                  <w:tcBorders>
                    <w:top w:val="nil"/>
                    <w:left w:val="nil"/>
                    <w:bottom w:val="single" w:sz="4" w:space="0" w:color="auto"/>
                    <w:right w:val="single" w:sz="8" w:space="0" w:color="auto"/>
                  </w:tcBorders>
                  <w:shd w:val="clear" w:color="auto" w:fill="auto"/>
                  <w:noWrap/>
                  <w:vAlign w:val="bottom"/>
                  <w:hideMark/>
                </w:tcPr>
                <w:p w14:paraId="35FF76A4"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E20E02" w:rsidRPr="00802251" w14:paraId="48B162D6"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0F5E7C01"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RX1</w:t>
                  </w:r>
                </w:p>
              </w:tc>
              <w:tc>
                <w:tcPr>
                  <w:tcW w:w="3313" w:type="dxa"/>
                  <w:tcBorders>
                    <w:top w:val="nil"/>
                    <w:left w:val="nil"/>
                    <w:bottom w:val="single" w:sz="4" w:space="0" w:color="auto"/>
                    <w:right w:val="single" w:sz="4" w:space="0" w:color="auto"/>
                  </w:tcBorders>
                  <w:shd w:val="clear" w:color="auto" w:fill="auto"/>
                  <w:noWrap/>
                  <w:vAlign w:val="bottom"/>
                  <w:hideMark/>
                </w:tcPr>
                <w:p w14:paraId="36C7E6F7"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Nottingham University Hospitals </w:t>
                  </w:r>
                </w:p>
              </w:tc>
              <w:tc>
                <w:tcPr>
                  <w:tcW w:w="973" w:type="dxa"/>
                  <w:tcBorders>
                    <w:top w:val="nil"/>
                    <w:left w:val="nil"/>
                    <w:bottom w:val="single" w:sz="4" w:space="0" w:color="auto"/>
                    <w:right w:val="single" w:sz="4" w:space="0" w:color="auto"/>
                  </w:tcBorders>
                  <w:shd w:val="clear" w:color="auto" w:fill="auto"/>
                  <w:noWrap/>
                  <w:vAlign w:val="bottom"/>
                  <w:hideMark/>
                </w:tcPr>
                <w:p w14:paraId="2DF458D7"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1200F20C"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495263D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78CD12C2"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20</w:t>
                  </w:r>
                </w:p>
              </w:tc>
              <w:tc>
                <w:tcPr>
                  <w:tcW w:w="1055" w:type="dxa"/>
                  <w:tcBorders>
                    <w:top w:val="nil"/>
                    <w:left w:val="nil"/>
                    <w:bottom w:val="single" w:sz="4" w:space="0" w:color="auto"/>
                    <w:right w:val="single" w:sz="4" w:space="0" w:color="auto"/>
                  </w:tcBorders>
                  <w:shd w:val="clear" w:color="auto" w:fill="auto"/>
                  <w:noWrap/>
                  <w:vAlign w:val="bottom"/>
                  <w:hideMark/>
                </w:tcPr>
                <w:p w14:paraId="6E558CA4"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£25,600</w:t>
                  </w:r>
                </w:p>
              </w:tc>
              <w:tc>
                <w:tcPr>
                  <w:tcW w:w="1054" w:type="dxa"/>
                  <w:tcBorders>
                    <w:top w:val="nil"/>
                    <w:left w:val="nil"/>
                    <w:bottom w:val="single" w:sz="4" w:space="0" w:color="auto"/>
                    <w:right w:val="single" w:sz="8" w:space="0" w:color="auto"/>
                  </w:tcBorders>
                  <w:shd w:val="clear" w:color="auto" w:fill="auto"/>
                  <w:noWrap/>
                  <w:vAlign w:val="bottom"/>
                  <w:hideMark/>
                </w:tcPr>
                <w:p w14:paraId="63016CA2"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£438,100</w:t>
                  </w:r>
                </w:p>
              </w:tc>
            </w:tr>
            <w:tr w:rsidR="00E20E02" w:rsidRPr="00802251" w14:paraId="6184398C"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5829795E"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RTH</w:t>
                  </w:r>
                </w:p>
              </w:tc>
              <w:tc>
                <w:tcPr>
                  <w:tcW w:w="3313" w:type="dxa"/>
                  <w:tcBorders>
                    <w:top w:val="nil"/>
                    <w:left w:val="nil"/>
                    <w:bottom w:val="single" w:sz="4" w:space="0" w:color="auto"/>
                    <w:right w:val="single" w:sz="4" w:space="0" w:color="auto"/>
                  </w:tcBorders>
                  <w:shd w:val="clear" w:color="auto" w:fill="auto"/>
                  <w:noWrap/>
                  <w:vAlign w:val="bottom"/>
                  <w:hideMark/>
                </w:tcPr>
                <w:p w14:paraId="4A21EBE1"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Oxford University Hospitals </w:t>
                  </w:r>
                </w:p>
              </w:tc>
              <w:tc>
                <w:tcPr>
                  <w:tcW w:w="973" w:type="dxa"/>
                  <w:tcBorders>
                    <w:top w:val="nil"/>
                    <w:left w:val="nil"/>
                    <w:bottom w:val="single" w:sz="4" w:space="0" w:color="auto"/>
                    <w:right w:val="single" w:sz="4" w:space="0" w:color="auto"/>
                  </w:tcBorders>
                  <w:shd w:val="clear" w:color="auto" w:fill="auto"/>
                  <w:noWrap/>
                  <w:vAlign w:val="bottom"/>
                  <w:hideMark/>
                </w:tcPr>
                <w:p w14:paraId="126303B0"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Medium</w:t>
                  </w:r>
                </w:p>
              </w:tc>
              <w:tc>
                <w:tcPr>
                  <w:tcW w:w="1055" w:type="dxa"/>
                  <w:tcBorders>
                    <w:top w:val="nil"/>
                    <w:left w:val="nil"/>
                    <w:bottom w:val="single" w:sz="4" w:space="0" w:color="auto"/>
                    <w:right w:val="single" w:sz="4" w:space="0" w:color="auto"/>
                  </w:tcBorders>
                  <w:shd w:val="clear" w:color="auto" w:fill="auto"/>
                  <w:noWrap/>
                  <w:vAlign w:val="bottom"/>
                  <w:hideMark/>
                </w:tcPr>
                <w:p w14:paraId="7B912E75"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£190,000</w:t>
                  </w:r>
                </w:p>
              </w:tc>
              <w:tc>
                <w:tcPr>
                  <w:tcW w:w="1091" w:type="dxa"/>
                  <w:tcBorders>
                    <w:top w:val="nil"/>
                    <w:left w:val="nil"/>
                    <w:bottom w:val="single" w:sz="4" w:space="0" w:color="auto"/>
                    <w:right w:val="single" w:sz="4" w:space="0" w:color="auto"/>
                  </w:tcBorders>
                  <w:shd w:val="clear" w:color="auto" w:fill="auto"/>
                  <w:noWrap/>
                  <w:vAlign w:val="bottom"/>
                  <w:hideMark/>
                </w:tcPr>
                <w:p w14:paraId="0BB02F33"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£95,000</w:t>
                  </w:r>
                </w:p>
              </w:tc>
              <w:tc>
                <w:tcPr>
                  <w:tcW w:w="955" w:type="dxa"/>
                  <w:tcBorders>
                    <w:top w:val="nil"/>
                    <w:left w:val="nil"/>
                    <w:bottom w:val="single" w:sz="4" w:space="0" w:color="auto"/>
                    <w:right w:val="single" w:sz="4" w:space="0" w:color="auto"/>
                  </w:tcBorders>
                  <w:shd w:val="clear" w:color="auto" w:fill="auto"/>
                  <w:noWrap/>
                  <w:vAlign w:val="center"/>
                  <w:hideMark/>
                </w:tcPr>
                <w:p w14:paraId="010F7233"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10</w:t>
                  </w:r>
                </w:p>
              </w:tc>
              <w:tc>
                <w:tcPr>
                  <w:tcW w:w="1055" w:type="dxa"/>
                  <w:tcBorders>
                    <w:top w:val="nil"/>
                    <w:left w:val="nil"/>
                    <w:bottom w:val="single" w:sz="4" w:space="0" w:color="auto"/>
                    <w:right w:val="single" w:sz="4" w:space="0" w:color="auto"/>
                  </w:tcBorders>
                  <w:shd w:val="clear" w:color="auto" w:fill="auto"/>
                  <w:noWrap/>
                  <w:vAlign w:val="bottom"/>
                  <w:hideMark/>
                </w:tcPr>
                <w:p w14:paraId="489CCA9F"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£12,800</w:t>
                  </w:r>
                </w:p>
              </w:tc>
              <w:tc>
                <w:tcPr>
                  <w:tcW w:w="1054" w:type="dxa"/>
                  <w:tcBorders>
                    <w:top w:val="nil"/>
                    <w:left w:val="nil"/>
                    <w:bottom w:val="single" w:sz="4" w:space="0" w:color="auto"/>
                    <w:right w:val="single" w:sz="8" w:space="0" w:color="auto"/>
                  </w:tcBorders>
                  <w:shd w:val="clear" w:color="auto" w:fill="auto"/>
                  <w:noWrap/>
                  <w:vAlign w:val="bottom"/>
                  <w:hideMark/>
                </w:tcPr>
                <w:p w14:paraId="4216032A"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E20E02" w:rsidRPr="00802251" w14:paraId="45061C76"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28A0A127"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RDU</w:t>
                  </w:r>
                </w:p>
              </w:tc>
              <w:tc>
                <w:tcPr>
                  <w:tcW w:w="3313" w:type="dxa"/>
                  <w:tcBorders>
                    <w:top w:val="nil"/>
                    <w:left w:val="nil"/>
                    <w:bottom w:val="single" w:sz="4" w:space="0" w:color="auto"/>
                    <w:right w:val="single" w:sz="4" w:space="0" w:color="auto"/>
                  </w:tcBorders>
                  <w:shd w:val="clear" w:color="auto" w:fill="auto"/>
                  <w:noWrap/>
                  <w:vAlign w:val="bottom"/>
                  <w:hideMark/>
                </w:tcPr>
                <w:p w14:paraId="35532139"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Frimley Health </w:t>
                  </w:r>
                </w:p>
              </w:tc>
              <w:tc>
                <w:tcPr>
                  <w:tcW w:w="973" w:type="dxa"/>
                  <w:tcBorders>
                    <w:top w:val="nil"/>
                    <w:left w:val="nil"/>
                    <w:bottom w:val="single" w:sz="4" w:space="0" w:color="auto"/>
                    <w:right w:val="single" w:sz="4" w:space="0" w:color="auto"/>
                  </w:tcBorders>
                  <w:shd w:val="clear" w:color="auto" w:fill="auto"/>
                  <w:noWrap/>
                  <w:vAlign w:val="bottom"/>
                  <w:hideMark/>
                </w:tcPr>
                <w:p w14:paraId="512E4932"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Medium</w:t>
                  </w:r>
                </w:p>
              </w:tc>
              <w:tc>
                <w:tcPr>
                  <w:tcW w:w="1055" w:type="dxa"/>
                  <w:tcBorders>
                    <w:top w:val="nil"/>
                    <w:left w:val="nil"/>
                    <w:bottom w:val="single" w:sz="4" w:space="0" w:color="auto"/>
                    <w:right w:val="single" w:sz="4" w:space="0" w:color="auto"/>
                  </w:tcBorders>
                  <w:shd w:val="clear" w:color="auto" w:fill="auto"/>
                  <w:noWrap/>
                  <w:vAlign w:val="bottom"/>
                  <w:hideMark/>
                </w:tcPr>
                <w:p w14:paraId="77BAD38F"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£190,000</w:t>
                  </w:r>
                </w:p>
              </w:tc>
              <w:tc>
                <w:tcPr>
                  <w:tcW w:w="1091" w:type="dxa"/>
                  <w:tcBorders>
                    <w:top w:val="nil"/>
                    <w:left w:val="nil"/>
                    <w:bottom w:val="single" w:sz="4" w:space="0" w:color="auto"/>
                    <w:right w:val="single" w:sz="4" w:space="0" w:color="auto"/>
                  </w:tcBorders>
                  <w:shd w:val="clear" w:color="auto" w:fill="auto"/>
                  <w:noWrap/>
                  <w:vAlign w:val="bottom"/>
                  <w:hideMark/>
                </w:tcPr>
                <w:p w14:paraId="55531154"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£95,000</w:t>
                  </w:r>
                </w:p>
              </w:tc>
              <w:tc>
                <w:tcPr>
                  <w:tcW w:w="955" w:type="dxa"/>
                  <w:tcBorders>
                    <w:top w:val="nil"/>
                    <w:left w:val="nil"/>
                    <w:bottom w:val="single" w:sz="4" w:space="0" w:color="auto"/>
                    <w:right w:val="single" w:sz="4" w:space="0" w:color="auto"/>
                  </w:tcBorders>
                  <w:shd w:val="clear" w:color="auto" w:fill="auto"/>
                  <w:noWrap/>
                  <w:vAlign w:val="center"/>
                  <w:hideMark/>
                </w:tcPr>
                <w:p w14:paraId="6ECCB16F"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39</w:t>
                  </w:r>
                </w:p>
              </w:tc>
              <w:tc>
                <w:tcPr>
                  <w:tcW w:w="1055" w:type="dxa"/>
                  <w:tcBorders>
                    <w:top w:val="nil"/>
                    <w:left w:val="nil"/>
                    <w:bottom w:val="single" w:sz="4" w:space="0" w:color="auto"/>
                    <w:right w:val="single" w:sz="4" w:space="0" w:color="auto"/>
                  </w:tcBorders>
                  <w:shd w:val="clear" w:color="auto" w:fill="auto"/>
                  <w:noWrap/>
                  <w:vAlign w:val="bottom"/>
                  <w:hideMark/>
                </w:tcPr>
                <w:p w14:paraId="3DBFDB1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£49,920</w:t>
                  </w:r>
                </w:p>
              </w:tc>
              <w:tc>
                <w:tcPr>
                  <w:tcW w:w="1054" w:type="dxa"/>
                  <w:tcBorders>
                    <w:top w:val="nil"/>
                    <w:left w:val="nil"/>
                    <w:bottom w:val="single" w:sz="4" w:space="0" w:color="auto"/>
                    <w:right w:val="single" w:sz="8" w:space="0" w:color="auto"/>
                  </w:tcBorders>
                  <w:shd w:val="clear" w:color="auto" w:fill="auto"/>
                  <w:noWrap/>
                  <w:vAlign w:val="bottom"/>
                  <w:hideMark/>
                </w:tcPr>
                <w:p w14:paraId="0444232D"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£334,920</w:t>
                  </w:r>
                </w:p>
              </w:tc>
            </w:tr>
            <w:tr w:rsidR="00E20E02" w:rsidRPr="00802251" w14:paraId="39995B3A"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167EADAA"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RH8</w:t>
                  </w:r>
                </w:p>
              </w:tc>
              <w:tc>
                <w:tcPr>
                  <w:tcW w:w="3313" w:type="dxa"/>
                  <w:tcBorders>
                    <w:top w:val="nil"/>
                    <w:left w:val="nil"/>
                    <w:bottom w:val="single" w:sz="4" w:space="0" w:color="auto"/>
                    <w:right w:val="single" w:sz="4" w:space="0" w:color="auto"/>
                  </w:tcBorders>
                  <w:shd w:val="clear" w:color="auto" w:fill="auto"/>
                  <w:noWrap/>
                  <w:vAlign w:val="bottom"/>
                  <w:hideMark/>
                </w:tcPr>
                <w:p w14:paraId="14D92196"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Royal Devon And Exeter </w:t>
                  </w:r>
                </w:p>
              </w:tc>
              <w:tc>
                <w:tcPr>
                  <w:tcW w:w="973" w:type="dxa"/>
                  <w:tcBorders>
                    <w:top w:val="nil"/>
                    <w:left w:val="nil"/>
                    <w:bottom w:val="single" w:sz="4" w:space="0" w:color="auto"/>
                    <w:right w:val="single" w:sz="4" w:space="0" w:color="auto"/>
                  </w:tcBorders>
                  <w:shd w:val="clear" w:color="auto" w:fill="auto"/>
                  <w:noWrap/>
                  <w:vAlign w:val="bottom"/>
                  <w:hideMark/>
                </w:tcPr>
                <w:p w14:paraId="68EA2E43"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7AFDB81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728B94C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6FD79B70"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20</w:t>
                  </w:r>
                </w:p>
              </w:tc>
              <w:tc>
                <w:tcPr>
                  <w:tcW w:w="1055" w:type="dxa"/>
                  <w:tcBorders>
                    <w:top w:val="nil"/>
                    <w:left w:val="nil"/>
                    <w:bottom w:val="single" w:sz="4" w:space="0" w:color="auto"/>
                    <w:right w:val="single" w:sz="4" w:space="0" w:color="auto"/>
                  </w:tcBorders>
                  <w:shd w:val="clear" w:color="auto" w:fill="auto"/>
                  <w:noWrap/>
                  <w:vAlign w:val="bottom"/>
                  <w:hideMark/>
                </w:tcPr>
                <w:p w14:paraId="3D730F59"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£25,600</w:t>
                  </w:r>
                </w:p>
              </w:tc>
              <w:tc>
                <w:tcPr>
                  <w:tcW w:w="1054" w:type="dxa"/>
                  <w:tcBorders>
                    <w:top w:val="nil"/>
                    <w:left w:val="nil"/>
                    <w:bottom w:val="single" w:sz="4" w:space="0" w:color="auto"/>
                    <w:right w:val="single" w:sz="8" w:space="0" w:color="auto"/>
                  </w:tcBorders>
                  <w:shd w:val="clear" w:color="auto" w:fill="auto"/>
                  <w:noWrap/>
                  <w:vAlign w:val="bottom"/>
                  <w:hideMark/>
                </w:tcPr>
                <w:p w14:paraId="0220A652"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£228,100</w:t>
                  </w:r>
                </w:p>
              </w:tc>
            </w:tr>
            <w:tr w:rsidR="00E20E02" w:rsidRPr="00802251" w14:paraId="675A1EAD"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4B4D85D5"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RWE</w:t>
                  </w:r>
                </w:p>
              </w:tc>
              <w:tc>
                <w:tcPr>
                  <w:tcW w:w="3313" w:type="dxa"/>
                  <w:tcBorders>
                    <w:top w:val="nil"/>
                    <w:left w:val="nil"/>
                    <w:bottom w:val="single" w:sz="4" w:space="0" w:color="auto"/>
                    <w:right w:val="single" w:sz="4" w:space="0" w:color="auto"/>
                  </w:tcBorders>
                  <w:shd w:val="clear" w:color="auto" w:fill="auto"/>
                  <w:noWrap/>
                  <w:vAlign w:val="bottom"/>
                  <w:hideMark/>
                </w:tcPr>
                <w:p w14:paraId="78140AFA"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Leicester </w:t>
                  </w:r>
                </w:p>
              </w:tc>
              <w:tc>
                <w:tcPr>
                  <w:tcW w:w="973" w:type="dxa"/>
                  <w:tcBorders>
                    <w:top w:val="nil"/>
                    <w:left w:val="nil"/>
                    <w:bottom w:val="single" w:sz="4" w:space="0" w:color="auto"/>
                    <w:right w:val="single" w:sz="4" w:space="0" w:color="auto"/>
                  </w:tcBorders>
                  <w:shd w:val="clear" w:color="auto" w:fill="auto"/>
                  <w:noWrap/>
                  <w:vAlign w:val="bottom"/>
                  <w:hideMark/>
                </w:tcPr>
                <w:p w14:paraId="33F6076A"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00874B3F"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615E6C4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7E6CC911" w14:textId="77777777" w:rsidR="006F34C7" w:rsidRPr="00802251" w:rsidRDefault="006F34C7" w:rsidP="006F34C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30</w:t>
                  </w:r>
                </w:p>
              </w:tc>
              <w:tc>
                <w:tcPr>
                  <w:tcW w:w="1055" w:type="dxa"/>
                  <w:tcBorders>
                    <w:top w:val="nil"/>
                    <w:left w:val="nil"/>
                    <w:bottom w:val="single" w:sz="4" w:space="0" w:color="auto"/>
                    <w:right w:val="single" w:sz="4" w:space="0" w:color="auto"/>
                  </w:tcBorders>
                  <w:shd w:val="clear" w:color="auto" w:fill="auto"/>
                  <w:noWrap/>
                  <w:vAlign w:val="bottom"/>
                  <w:hideMark/>
                </w:tcPr>
                <w:p w14:paraId="2E6A7E59" w14:textId="77777777" w:rsidR="006F34C7" w:rsidRPr="00802251" w:rsidRDefault="006F34C7" w:rsidP="006F34C7">
                  <w:pPr>
                    <w:jc w:val="right"/>
                    <w:rPr>
                      <w:rFonts w:ascii="Calibri" w:hAnsi="Calibri" w:cs="Calibri"/>
                      <w:bCs w:val="0"/>
                      <w:color w:val="000000"/>
                      <w:sz w:val="22"/>
                      <w:szCs w:val="22"/>
                      <w:lang w:eastAsia="en-GB"/>
                    </w:rPr>
                  </w:pPr>
                  <w:r>
                    <w:rPr>
                      <w:rFonts w:ascii="Calibri" w:hAnsi="Calibri" w:cs="Calibri"/>
                      <w:bCs w:val="0"/>
                      <w:color w:val="000000"/>
                      <w:sz w:val="22"/>
                      <w:szCs w:val="22"/>
                      <w:lang w:eastAsia="en-GB"/>
                    </w:rPr>
                    <w:t>£38,400</w:t>
                  </w:r>
                </w:p>
              </w:tc>
              <w:tc>
                <w:tcPr>
                  <w:tcW w:w="1054" w:type="dxa"/>
                  <w:tcBorders>
                    <w:top w:val="nil"/>
                    <w:left w:val="nil"/>
                    <w:bottom w:val="single" w:sz="4" w:space="0" w:color="auto"/>
                    <w:right w:val="single" w:sz="8" w:space="0" w:color="auto"/>
                  </w:tcBorders>
                  <w:shd w:val="clear" w:color="auto" w:fill="auto"/>
                  <w:noWrap/>
                  <w:vAlign w:val="bottom"/>
                  <w:hideMark/>
                </w:tcPr>
                <w:p w14:paraId="467DE8D5" w14:textId="77777777" w:rsidR="006F34C7" w:rsidRPr="00802251" w:rsidRDefault="006F34C7" w:rsidP="006F34C7">
                  <w:pPr>
                    <w:jc w:val="right"/>
                    <w:rPr>
                      <w:rFonts w:ascii="Calibri" w:hAnsi="Calibri" w:cs="Calibri"/>
                      <w:b/>
                      <w:color w:val="000000"/>
                      <w:sz w:val="22"/>
                      <w:szCs w:val="22"/>
                      <w:lang w:eastAsia="en-GB"/>
                    </w:rPr>
                  </w:pPr>
                  <w:r>
                    <w:rPr>
                      <w:rFonts w:ascii="Calibri" w:hAnsi="Calibri" w:cs="Calibri"/>
                      <w:b/>
                      <w:color w:val="000000"/>
                      <w:sz w:val="22"/>
                      <w:szCs w:val="22"/>
                      <w:lang w:eastAsia="en-GB"/>
                    </w:rPr>
                    <w:t>£240,900</w:t>
                  </w:r>
                </w:p>
              </w:tc>
            </w:tr>
            <w:tr w:rsidR="00E20E02" w:rsidRPr="00802251" w14:paraId="336803A9"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0757B0E3"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RM1</w:t>
                  </w:r>
                </w:p>
              </w:tc>
              <w:tc>
                <w:tcPr>
                  <w:tcW w:w="3313" w:type="dxa"/>
                  <w:tcBorders>
                    <w:top w:val="nil"/>
                    <w:left w:val="nil"/>
                    <w:bottom w:val="single" w:sz="4" w:space="0" w:color="auto"/>
                    <w:right w:val="single" w:sz="4" w:space="0" w:color="auto"/>
                  </w:tcBorders>
                  <w:shd w:val="clear" w:color="auto" w:fill="auto"/>
                  <w:noWrap/>
                  <w:vAlign w:val="bottom"/>
                  <w:hideMark/>
                </w:tcPr>
                <w:p w14:paraId="4A29A65E"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Norfolk And Norwich University Hospitals </w:t>
                  </w:r>
                </w:p>
              </w:tc>
              <w:tc>
                <w:tcPr>
                  <w:tcW w:w="973" w:type="dxa"/>
                  <w:tcBorders>
                    <w:top w:val="nil"/>
                    <w:left w:val="nil"/>
                    <w:bottom w:val="single" w:sz="4" w:space="0" w:color="auto"/>
                    <w:right w:val="single" w:sz="4" w:space="0" w:color="auto"/>
                  </w:tcBorders>
                  <w:shd w:val="clear" w:color="auto" w:fill="auto"/>
                  <w:noWrap/>
                  <w:vAlign w:val="bottom"/>
                  <w:hideMark/>
                </w:tcPr>
                <w:p w14:paraId="3AE03CF0"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478EA664"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4692370D"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7256B6B3"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12</w:t>
                  </w:r>
                </w:p>
              </w:tc>
              <w:tc>
                <w:tcPr>
                  <w:tcW w:w="1055" w:type="dxa"/>
                  <w:tcBorders>
                    <w:top w:val="nil"/>
                    <w:left w:val="nil"/>
                    <w:bottom w:val="single" w:sz="4" w:space="0" w:color="auto"/>
                    <w:right w:val="single" w:sz="4" w:space="0" w:color="auto"/>
                  </w:tcBorders>
                  <w:shd w:val="clear" w:color="auto" w:fill="auto"/>
                  <w:noWrap/>
                  <w:vAlign w:val="bottom"/>
                  <w:hideMark/>
                </w:tcPr>
                <w:p w14:paraId="03ABEE16"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£15,360</w:t>
                  </w:r>
                </w:p>
              </w:tc>
              <w:tc>
                <w:tcPr>
                  <w:tcW w:w="1054" w:type="dxa"/>
                  <w:tcBorders>
                    <w:top w:val="nil"/>
                    <w:left w:val="nil"/>
                    <w:bottom w:val="single" w:sz="4" w:space="0" w:color="auto"/>
                    <w:right w:val="single" w:sz="8" w:space="0" w:color="auto"/>
                  </w:tcBorders>
                  <w:shd w:val="clear" w:color="auto" w:fill="auto"/>
                  <w:noWrap/>
                  <w:vAlign w:val="bottom"/>
                  <w:hideMark/>
                </w:tcPr>
                <w:p w14:paraId="75D97B9C"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£217,860</w:t>
                  </w:r>
                </w:p>
              </w:tc>
            </w:tr>
            <w:tr w:rsidR="00E20E02" w:rsidRPr="00802251" w14:paraId="0F94B758"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38614B21"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RK9</w:t>
                  </w:r>
                </w:p>
              </w:tc>
              <w:tc>
                <w:tcPr>
                  <w:tcW w:w="3313" w:type="dxa"/>
                  <w:tcBorders>
                    <w:top w:val="nil"/>
                    <w:left w:val="nil"/>
                    <w:bottom w:val="single" w:sz="4" w:space="0" w:color="auto"/>
                    <w:right w:val="single" w:sz="4" w:space="0" w:color="auto"/>
                  </w:tcBorders>
                  <w:shd w:val="clear" w:color="auto" w:fill="auto"/>
                  <w:noWrap/>
                  <w:vAlign w:val="bottom"/>
                  <w:hideMark/>
                </w:tcPr>
                <w:p w14:paraId="078BF793"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Plymouth Hospitals </w:t>
                  </w:r>
                </w:p>
              </w:tc>
              <w:tc>
                <w:tcPr>
                  <w:tcW w:w="973" w:type="dxa"/>
                  <w:tcBorders>
                    <w:top w:val="nil"/>
                    <w:left w:val="nil"/>
                    <w:bottom w:val="single" w:sz="4" w:space="0" w:color="auto"/>
                    <w:right w:val="single" w:sz="4" w:space="0" w:color="auto"/>
                  </w:tcBorders>
                  <w:shd w:val="clear" w:color="auto" w:fill="auto"/>
                  <w:noWrap/>
                  <w:vAlign w:val="bottom"/>
                  <w:hideMark/>
                </w:tcPr>
                <w:p w14:paraId="1FA579ED"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2A43436E"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717E8DA1"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1F0C3BF2"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0</w:t>
                  </w:r>
                </w:p>
              </w:tc>
              <w:tc>
                <w:tcPr>
                  <w:tcW w:w="1055" w:type="dxa"/>
                  <w:tcBorders>
                    <w:top w:val="nil"/>
                    <w:left w:val="nil"/>
                    <w:bottom w:val="single" w:sz="4" w:space="0" w:color="auto"/>
                    <w:right w:val="single" w:sz="4" w:space="0" w:color="auto"/>
                  </w:tcBorders>
                  <w:shd w:val="clear" w:color="auto" w:fill="auto"/>
                  <w:noWrap/>
                  <w:vAlign w:val="bottom"/>
                  <w:hideMark/>
                </w:tcPr>
                <w:p w14:paraId="3364807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£0</w:t>
                  </w:r>
                </w:p>
              </w:tc>
              <w:tc>
                <w:tcPr>
                  <w:tcW w:w="1054" w:type="dxa"/>
                  <w:tcBorders>
                    <w:top w:val="nil"/>
                    <w:left w:val="nil"/>
                    <w:bottom w:val="single" w:sz="4" w:space="0" w:color="auto"/>
                    <w:right w:val="single" w:sz="8" w:space="0" w:color="auto"/>
                  </w:tcBorders>
                  <w:shd w:val="clear" w:color="auto" w:fill="auto"/>
                  <w:noWrap/>
                  <w:vAlign w:val="bottom"/>
                  <w:hideMark/>
                </w:tcPr>
                <w:p w14:paraId="31A12EFF"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£202,500</w:t>
                  </w:r>
                </w:p>
              </w:tc>
            </w:tr>
            <w:tr w:rsidR="00E20E02" w:rsidRPr="00802251" w14:paraId="60EA5636"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574A621D" w14:textId="303DA270"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w:t>
                  </w:r>
                  <w:r w:rsidR="00AA597E">
                    <w:rPr>
                      <w:rFonts w:ascii="Calibri" w:hAnsi="Calibri" w:cs="Calibri"/>
                      <w:b/>
                      <w:color w:val="000000"/>
                      <w:sz w:val="22"/>
                      <w:szCs w:val="22"/>
                      <w:lang w:eastAsia="en-GB"/>
                    </w:rPr>
                    <w:t>CB</w:t>
                  </w:r>
                </w:p>
              </w:tc>
              <w:tc>
                <w:tcPr>
                  <w:tcW w:w="3313" w:type="dxa"/>
                  <w:tcBorders>
                    <w:top w:val="nil"/>
                    <w:left w:val="nil"/>
                    <w:bottom w:val="single" w:sz="4" w:space="0" w:color="auto"/>
                    <w:right w:val="single" w:sz="4" w:space="0" w:color="auto"/>
                  </w:tcBorders>
                  <w:shd w:val="clear" w:color="auto" w:fill="auto"/>
                  <w:noWrap/>
                  <w:vAlign w:val="bottom"/>
                  <w:hideMark/>
                </w:tcPr>
                <w:p w14:paraId="5BA2E6BF" w14:textId="7BCC6CBD" w:rsidR="006F34C7" w:rsidRPr="00802251" w:rsidRDefault="00AA597E" w:rsidP="006F34C7">
                  <w:pPr>
                    <w:rPr>
                      <w:rFonts w:ascii="Calibri" w:hAnsi="Calibri" w:cs="Calibri"/>
                      <w:bCs w:val="0"/>
                      <w:color w:val="000000"/>
                      <w:sz w:val="22"/>
                      <w:szCs w:val="22"/>
                      <w:lang w:eastAsia="en-GB"/>
                    </w:rPr>
                  </w:pPr>
                  <w:r>
                    <w:rPr>
                      <w:rFonts w:ascii="Calibri" w:hAnsi="Calibri" w:cs="Calibri"/>
                      <w:bCs w:val="0"/>
                      <w:color w:val="000000"/>
                      <w:sz w:val="22"/>
                      <w:szCs w:val="22"/>
                      <w:lang w:eastAsia="en-GB"/>
                    </w:rPr>
                    <w:t>York Teaching Hospitals</w:t>
                  </w:r>
                  <w:r w:rsidR="006F34C7" w:rsidRPr="00802251">
                    <w:rPr>
                      <w:rFonts w:ascii="Calibri" w:hAnsi="Calibri" w:cs="Calibri"/>
                      <w:bCs w:val="0"/>
                      <w:color w:val="000000"/>
                      <w:sz w:val="22"/>
                      <w:szCs w:val="22"/>
                      <w:lang w:eastAsia="en-GB"/>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137B2307"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75FB7DC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4C1480D9"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499FEAF6" w14:textId="77777777" w:rsidR="006F34C7" w:rsidRPr="00802251" w:rsidRDefault="006F34C7" w:rsidP="006F34C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20</w:t>
                  </w:r>
                </w:p>
              </w:tc>
              <w:tc>
                <w:tcPr>
                  <w:tcW w:w="1055" w:type="dxa"/>
                  <w:tcBorders>
                    <w:top w:val="nil"/>
                    <w:left w:val="nil"/>
                    <w:bottom w:val="single" w:sz="4" w:space="0" w:color="auto"/>
                    <w:right w:val="single" w:sz="4" w:space="0" w:color="auto"/>
                  </w:tcBorders>
                  <w:shd w:val="clear" w:color="auto" w:fill="auto"/>
                  <w:noWrap/>
                  <w:vAlign w:val="bottom"/>
                  <w:hideMark/>
                </w:tcPr>
                <w:p w14:paraId="1705A8F3" w14:textId="77777777" w:rsidR="006F34C7" w:rsidRPr="00802251" w:rsidRDefault="006F34C7" w:rsidP="006F34C7">
                  <w:pPr>
                    <w:jc w:val="right"/>
                    <w:rPr>
                      <w:rFonts w:ascii="Calibri" w:hAnsi="Calibri" w:cs="Calibri"/>
                      <w:bCs w:val="0"/>
                      <w:color w:val="000000"/>
                      <w:sz w:val="22"/>
                      <w:szCs w:val="22"/>
                      <w:lang w:eastAsia="en-GB"/>
                    </w:rPr>
                  </w:pPr>
                  <w:r>
                    <w:rPr>
                      <w:rFonts w:ascii="Calibri" w:hAnsi="Calibri" w:cs="Calibri"/>
                      <w:bCs w:val="0"/>
                      <w:color w:val="000000"/>
                      <w:sz w:val="22"/>
                      <w:szCs w:val="22"/>
                      <w:lang w:eastAsia="en-GB"/>
                    </w:rPr>
                    <w:t>£25,600</w:t>
                  </w:r>
                </w:p>
              </w:tc>
              <w:tc>
                <w:tcPr>
                  <w:tcW w:w="1054" w:type="dxa"/>
                  <w:tcBorders>
                    <w:top w:val="nil"/>
                    <w:left w:val="nil"/>
                    <w:bottom w:val="single" w:sz="4" w:space="0" w:color="auto"/>
                    <w:right w:val="single" w:sz="8" w:space="0" w:color="auto"/>
                  </w:tcBorders>
                  <w:shd w:val="clear" w:color="auto" w:fill="auto"/>
                  <w:noWrap/>
                  <w:vAlign w:val="bottom"/>
                  <w:hideMark/>
                </w:tcPr>
                <w:p w14:paraId="4F2F33FD" w14:textId="77777777" w:rsidR="006F34C7" w:rsidRPr="00802251" w:rsidRDefault="006F34C7" w:rsidP="006F34C7">
                  <w:pPr>
                    <w:jc w:val="right"/>
                    <w:rPr>
                      <w:rFonts w:ascii="Calibri" w:hAnsi="Calibri" w:cs="Calibri"/>
                      <w:b/>
                      <w:color w:val="000000"/>
                      <w:sz w:val="22"/>
                      <w:szCs w:val="22"/>
                      <w:lang w:eastAsia="en-GB"/>
                    </w:rPr>
                  </w:pPr>
                  <w:r>
                    <w:rPr>
                      <w:rFonts w:ascii="Calibri" w:hAnsi="Calibri" w:cs="Calibri"/>
                      <w:b/>
                      <w:color w:val="000000"/>
                      <w:sz w:val="22"/>
                      <w:szCs w:val="22"/>
                      <w:lang w:eastAsia="en-GB"/>
                    </w:rPr>
                    <w:t>£228 100</w:t>
                  </w:r>
                </w:p>
              </w:tc>
            </w:tr>
            <w:tr w:rsidR="00E20E02" w:rsidRPr="00802251" w14:paraId="6E10DCF1"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18FA45A3"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RRK</w:t>
                  </w:r>
                </w:p>
              </w:tc>
              <w:tc>
                <w:tcPr>
                  <w:tcW w:w="3313" w:type="dxa"/>
                  <w:tcBorders>
                    <w:top w:val="nil"/>
                    <w:left w:val="nil"/>
                    <w:bottom w:val="single" w:sz="4" w:space="0" w:color="auto"/>
                    <w:right w:val="single" w:sz="4" w:space="0" w:color="auto"/>
                  </w:tcBorders>
                  <w:shd w:val="clear" w:color="auto" w:fill="auto"/>
                  <w:noWrap/>
                  <w:vAlign w:val="bottom"/>
                  <w:hideMark/>
                </w:tcPr>
                <w:p w14:paraId="544E46E5"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 xml:space="preserve">University Hospitals Birmingham </w:t>
                  </w:r>
                </w:p>
              </w:tc>
              <w:tc>
                <w:tcPr>
                  <w:tcW w:w="973" w:type="dxa"/>
                  <w:tcBorders>
                    <w:top w:val="nil"/>
                    <w:left w:val="nil"/>
                    <w:bottom w:val="single" w:sz="4" w:space="0" w:color="auto"/>
                    <w:right w:val="single" w:sz="4" w:space="0" w:color="auto"/>
                  </w:tcBorders>
                  <w:shd w:val="clear" w:color="auto" w:fill="auto"/>
                  <w:noWrap/>
                  <w:vAlign w:val="bottom"/>
                  <w:hideMark/>
                </w:tcPr>
                <w:p w14:paraId="5A02A05F"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4" w:space="0" w:color="auto"/>
                    <w:right w:val="single" w:sz="4" w:space="0" w:color="auto"/>
                  </w:tcBorders>
                  <w:shd w:val="clear" w:color="auto" w:fill="auto"/>
                  <w:noWrap/>
                  <w:vAlign w:val="bottom"/>
                  <w:hideMark/>
                </w:tcPr>
                <w:p w14:paraId="31CF4CE8"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hideMark/>
                </w:tcPr>
                <w:p w14:paraId="78C62570"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hideMark/>
                </w:tcPr>
                <w:p w14:paraId="64972CA0"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1697E88B"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£128,000</w:t>
                  </w:r>
                </w:p>
              </w:tc>
              <w:tc>
                <w:tcPr>
                  <w:tcW w:w="1054" w:type="dxa"/>
                  <w:tcBorders>
                    <w:top w:val="nil"/>
                    <w:left w:val="nil"/>
                    <w:bottom w:val="single" w:sz="4" w:space="0" w:color="auto"/>
                    <w:right w:val="single" w:sz="8" w:space="0" w:color="auto"/>
                  </w:tcBorders>
                  <w:shd w:val="clear" w:color="auto" w:fill="auto"/>
                  <w:noWrap/>
                  <w:vAlign w:val="bottom"/>
                  <w:hideMark/>
                </w:tcPr>
                <w:p w14:paraId="5CC0DDFB"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£540,500</w:t>
                  </w:r>
                </w:p>
              </w:tc>
            </w:tr>
            <w:tr w:rsidR="00E20E02" w:rsidRPr="00802251" w14:paraId="0A7BF71E"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17F905EF" w14:textId="77777777" w:rsidR="006F34C7" w:rsidRPr="00802251" w:rsidRDefault="006F34C7" w:rsidP="006F34C7">
                  <w:pPr>
                    <w:rPr>
                      <w:rFonts w:ascii="Calibri" w:hAnsi="Calibri" w:cs="Calibri"/>
                      <w:b/>
                      <w:color w:val="000000"/>
                      <w:sz w:val="22"/>
                      <w:szCs w:val="22"/>
                      <w:lang w:eastAsia="en-GB"/>
                    </w:rPr>
                  </w:pPr>
                  <w:r w:rsidRPr="00802251">
                    <w:rPr>
                      <w:rFonts w:ascii="Calibri" w:hAnsi="Calibri" w:cs="Calibri"/>
                      <w:b/>
                      <w:color w:val="000000"/>
                      <w:sz w:val="22"/>
                      <w:szCs w:val="22"/>
                      <w:lang w:eastAsia="en-GB"/>
                    </w:rPr>
                    <w:t>RJE</w:t>
                  </w:r>
                </w:p>
              </w:tc>
              <w:tc>
                <w:tcPr>
                  <w:tcW w:w="3313" w:type="dxa"/>
                  <w:tcBorders>
                    <w:top w:val="nil"/>
                    <w:left w:val="nil"/>
                    <w:bottom w:val="single" w:sz="4" w:space="0" w:color="auto"/>
                    <w:right w:val="single" w:sz="4" w:space="0" w:color="auto"/>
                  </w:tcBorders>
                  <w:shd w:val="clear" w:color="auto" w:fill="auto"/>
                  <w:noWrap/>
                  <w:vAlign w:val="bottom"/>
                  <w:hideMark/>
                </w:tcPr>
                <w:p w14:paraId="47656961" w14:textId="6584E658"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University Hospital</w:t>
                  </w:r>
                  <w:r>
                    <w:rPr>
                      <w:rFonts w:ascii="Calibri" w:hAnsi="Calibri" w:cs="Calibri"/>
                      <w:bCs w:val="0"/>
                      <w:color w:val="000000"/>
                      <w:sz w:val="22"/>
                      <w:szCs w:val="22"/>
                      <w:lang w:eastAsia="en-GB"/>
                    </w:rPr>
                    <w:t xml:space="preserve"> </w:t>
                  </w:r>
                  <w:r w:rsidRPr="00802251">
                    <w:rPr>
                      <w:rFonts w:ascii="Calibri" w:hAnsi="Calibri" w:cs="Calibri"/>
                      <w:bCs w:val="0"/>
                      <w:color w:val="000000"/>
                      <w:sz w:val="22"/>
                      <w:szCs w:val="22"/>
                      <w:lang w:eastAsia="en-GB"/>
                    </w:rPr>
                    <w:t xml:space="preserve">of North Midlands </w:t>
                  </w:r>
                  <w:r w:rsidR="001710ED">
                    <w:rPr>
                      <w:rFonts w:ascii="Calibri" w:hAnsi="Calibri" w:cs="Calibri"/>
                      <w:bCs w:val="0"/>
                      <w:color w:val="000000"/>
                      <w:sz w:val="22"/>
                      <w:szCs w:val="22"/>
                      <w:lang w:eastAsia="en-GB"/>
                    </w:rPr>
                    <w:t>(Stoke)</w:t>
                  </w:r>
                </w:p>
              </w:tc>
              <w:tc>
                <w:tcPr>
                  <w:tcW w:w="973" w:type="dxa"/>
                  <w:tcBorders>
                    <w:top w:val="nil"/>
                    <w:left w:val="nil"/>
                    <w:bottom w:val="single" w:sz="4" w:space="0" w:color="auto"/>
                    <w:right w:val="single" w:sz="4" w:space="0" w:color="auto"/>
                  </w:tcBorders>
                  <w:shd w:val="clear" w:color="auto" w:fill="auto"/>
                  <w:noWrap/>
                  <w:vAlign w:val="bottom"/>
                  <w:hideMark/>
                </w:tcPr>
                <w:p w14:paraId="188899FD" w14:textId="77777777" w:rsidR="006F34C7" w:rsidRPr="00802251" w:rsidRDefault="006F34C7" w:rsidP="006F34C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Medium</w:t>
                  </w:r>
                </w:p>
              </w:tc>
              <w:tc>
                <w:tcPr>
                  <w:tcW w:w="1055" w:type="dxa"/>
                  <w:tcBorders>
                    <w:top w:val="nil"/>
                    <w:left w:val="nil"/>
                    <w:bottom w:val="single" w:sz="4" w:space="0" w:color="auto"/>
                    <w:right w:val="single" w:sz="4" w:space="0" w:color="auto"/>
                  </w:tcBorders>
                  <w:shd w:val="clear" w:color="auto" w:fill="auto"/>
                  <w:noWrap/>
                  <w:vAlign w:val="bottom"/>
                  <w:hideMark/>
                </w:tcPr>
                <w:p w14:paraId="4B883A07"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£190,000</w:t>
                  </w:r>
                </w:p>
              </w:tc>
              <w:tc>
                <w:tcPr>
                  <w:tcW w:w="1091" w:type="dxa"/>
                  <w:tcBorders>
                    <w:top w:val="nil"/>
                    <w:left w:val="nil"/>
                    <w:bottom w:val="single" w:sz="4" w:space="0" w:color="auto"/>
                    <w:right w:val="single" w:sz="4" w:space="0" w:color="auto"/>
                  </w:tcBorders>
                  <w:shd w:val="clear" w:color="auto" w:fill="auto"/>
                  <w:noWrap/>
                  <w:vAlign w:val="bottom"/>
                  <w:hideMark/>
                </w:tcPr>
                <w:p w14:paraId="44270472"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£95,000</w:t>
                  </w:r>
                </w:p>
              </w:tc>
              <w:tc>
                <w:tcPr>
                  <w:tcW w:w="955" w:type="dxa"/>
                  <w:tcBorders>
                    <w:top w:val="nil"/>
                    <w:left w:val="nil"/>
                    <w:bottom w:val="single" w:sz="4" w:space="0" w:color="auto"/>
                    <w:right w:val="single" w:sz="4" w:space="0" w:color="auto"/>
                  </w:tcBorders>
                  <w:shd w:val="clear" w:color="auto" w:fill="auto"/>
                  <w:noWrap/>
                  <w:vAlign w:val="center"/>
                  <w:hideMark/>
                </w:tcPr>
                <w:p w14:paraId="27E26474" w14:textId="77777777" w:rsidR="006F34C7" w:rsidRPr="00802251" w:rsidRDefault="006F34C7" w:rsidP="006F34C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10</w:t>
                  </w:r>
                </w:p>
              </w:tc>
              <w:tc>
                <w:tcPr>
                  <w:tcW w:w="1055" w:type="dxa"/>
                  <w:tcBorders>
                    <w:top w:val="nil"/>
                    <w:left w:val="nil"/>
                    <w:bottom w:val="single" w:sz="4" w:space="0" w:color="auto"/>
                    <w:right w:val="single" w:sz="4" w:space="0" w:color="auto"/>
                  </w:tcBorders>
                  <w:shd w:val="clear" w:color="auto" w:fill="auto"/>
                  <w:noWrap/>
                  <w:vAlign w:val="bottom"/>
                  <w:hideMark/>
                </w:tcPr>
                <w:p w14:paraId="33348438" w14:textId="77777777" w:rsidR="006F34C7" w:rsidRPr="00802251" w:rsidRDefault="006F34C7" w:rsidP="006F34C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£12,800</w:t>
                  </w:r>
                </w:p>
              </w:tc>
              <w:tc>
                <w:tcPr>
                  <w:tcW w:w="1054" w:type="dxa"/>
                  <w:tcBorders>
                    <w:top w:val="nil"/>
                    <w:left w:val="nil"/>
                    <w:bottom w:val="single" w:sz="4" w:space="0" w:color="auto"/>
                    <w:right w:val="single" w:sz="8" w:space="0" w:color="auto"/>
                  </w:tcBorders>
                  <w:shd w:val="clear" w:color="auto" w:fill="auto"/>
                  <w:noWrap/>
                  <w:vAlign w:val="bottom"/>
                  <w:hideMark/>
                </w:tcPr>
                <w:p w14:paraId="00C1162A" w14:textId="77777777" w:rsidR="006F34C7" w:rsidRPr="00802251" w:rsidRDefault="006F34C7" w:rsidP="006F34C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£297,800</w:t>
                  </w:r>
                </w:p>
              </w:tc>
            </w:tr>
            <w:tr w:rsidR="00785007" w:rsidRPr="00802251" w14:paraId="79918996"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tcPr>
                <w:p w14:paraId="46801B34" w14:textId="6CF3AAFE" w:rsidR="00785007" w:rsidRPr="00802251" w:rsidRDefault="00785007" w:rsidP="00785007">
                  <w:pPr>
                    <w:rPr>
                      <w:rFonts w:ascii="Calibri" w:hAnsi="Calibri" w:cs="Calibri"/>
                      <w:b/>
                      <w:color w:val="000000"/>
                      <w:sz w:val="22"/>
                      <w:szCs w:val="22"/>
                      <w:lang w:eastAsia="en-GB"/>
                    </w:rPr>
                  </w:pPr>
                  <w:r>
                    <w:rPr>
                      <w:rFonts w:ascii="Calibri" w:hAnsi="Calibri" w:cs="Calibri"/>
                      <w:b/>
                      <w:color w:val="000000"/>
                      <w:sz w:val="22"/>
                      <w:szCs w:val="22"/>
                      <w:lang w:eastAsia="en-GB"/>
                    </w:rPr>
                    <w:t>RBQ</w:t>
                  </w:r>
                </w:p>
              </w:tc>
              <w:tc>
                <w:tcPr>
                  <w:tcW w:w="3313" w:type="dxa"/>
                  <w:tcBorders>
                    <w:top w:val="nil"/>
                    <w:left w:val="nil"/>
                    <w:bottom w:val="single" w:sz="4" w:space="0" w:color="auto"/>
                    <w:right w:val="single" w:sz="4" w:space="0" w:color="auto"/>
                  </w:tcBorders>
                  <w:shd w:val="clear" w:color="auto" w:fill="auto"/>
                  <w:noWrap/>
                  <w:vAlign w:val="bottom"/>
                </w:tcPr>
                <w:p w14:paraId="3BA06B87" w14:textId="35E6A6F5" w:rsidR="00785007" w:rsidRPr="00802251" w:rsidRDefault="00785007" w:rsidP="00785007">
                  <w:pPr>
                    <w:rPr>
                      <w:rFonts w:ascii="Calibri" w:hAnsi="Calibri" w:cs="Calibri"/>
                      <w:bCs w:val="0"/>
                      <w:color w:val="000000"/>
                      <w:sz w:val="22"/>
                      <w:szCs w:val="22"/>
                      <w:lang w:eastAsia="en-GB"/>
                    </w:rPr>
                  </w:pPr>
                  <w:r>
                    <w:rPr>
                      <w:rFonts w:ascii="Calibri" w:hAnsi="Calibri" w:cs="Calibri"/>
                      <w:bCs w:val="0"/>
                      <w:color w:val="000000"/>
                      <w:sz w:val="22"/>
                      <w:szCs w:val="22"/>
                      <w:lang w:eastAsia="en-GB"/>
                    </w:rPr>
                    <w:t xml:space="preserve">Liverpool Heart and Chest </w:t>
                  </w:r>
                </w:p>
              </w:tc>
              <w:tc>
                <w:tcPr>
                  <w:tcW w:w="973" w:type="dxa"/>
                  <w:tcBorders>
                    <w:top w:val="nil"/>
                    <w:left w:val="nil"/>
                    <w:bottom w:val="single" w:sz="4" w:space="0" w:color="auto"/>
                    <w:right w:val="single" w:sz="4" w:space="0" w:color="auto"/>
                  </w:tcBorders>
                  <w:shd w:val="clear" w:color="auto" w:fill="auto"/>
                  <w:noWrap/>
                  <w:vAlign w:val="bottom"/>
                </w:tcPr>
                <w:p w14:paraId="1449DCBB" w14:textId="5275A49D" w:rsidR="00785007" w:rsidRPr="00802251" w:rsidRDefault="00785007" w:rsidP="00785007">
                  <w:pPr>
                    <w:rPr>
                      <w:rFonts w:ascii="Calibri" w:hAnsi="Calibri" w:cs="Calibri"/>
                      <w:bCs w:val="0"/>
                      <w:color w:val="000000"/>
                      <w:sz w:val="22"/>
                      <w:szCs w:val="22"/>
                      <w:lang w:eastAsia="en-GB"/>
                    </w:rPr>
                  </w:pPr>
                  <w:r>
                    <w:rPr>
                      <w:rFonts w:ascii="Calibri" w:hAnsi="Calibri" w:cs="Calibri"/>
                      <w:bCs w:val="0"/>
                      <w:color w:val="000000"/>
                      <w:sz w:val="22"/>
                      <w:szCs w:val="22"/>
                      <w:lang w:eastAsia="en-GB"/>
                    </w:rPr>
                    <w:t xml:space="preserve">Large </w:t>
                  </w:r>
                </w:p>
              </w:tc>
              <w:tc>
                <w:tcPr>
                  <w:tcW w:w="1055" w:type="dxa"/>
                  <w:tcBorders>
                    <w:top w:val="nil"/>
                    <w:left w:val="nil"/>
                    <w:bottom w:val="single" w:sz="4" w:space="0" w:color="auto"/>
                    <w:right w:val="single" w:sz="4" w:space="0" w:color="auto"/>
                  </w:tcBorders>
                  <w:shd w:val="clear" w:color="auto" w:fill="auto"/>
                  <w:noWrap/>
                  <w:vAlign w:val="bottom"/>
                </w:tcPr>
                <w:p w14:paraId="70A5BEBC" w14:textId="16243459"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4" w:space="0" w:color="auto"/>
                    <w:right w:val="single" w:sz="4" w:space="0" w:color="auto"/>
                  </w:tcBorders>
                  <w:shd w:val="clear" w:color="auto" w:fill="auto"/>
                  <w:noWrap/>
                  <w:vAlign w:val="bottom"/>
                </w:tcPr>
                <w:p w14:paraId="2193131B" w14:textId="05F90424"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4" w:space="0" w:color="auto"/>
                    <w:right w:val="single" w:sz="4" w:space="0" w:color="auto"/>
                  </w:tcBorders>
                  <w:shd w:val="clear" w:color="auto" w:fill="auto"/>
                  <w:noWrap/>
                  <w:vAlign w:val="center"/>
                </w:tcPr>
                <w:p w14:paraId="2250C05D" w14:textId="547F37CA" w:rsidR="00785007" w:rsidRPr="00802251" w:rsidRDefault="00785007" w:rsidP="0078500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150</w:t>
                  </w:r>
                </w:p>
              </w:tc>
              <w:tc>
                <w:tcPr>
                  <w:tcW w:w="1055" w:type="dxa"/>
                  <w:tcBorders>
                    <w:top w:val="nil"/>
                    <w:left w:val="nil"/>
                    <w:bottom w:val="single" w:sz="4" w:space="0" w:color="auto"/>
                    <w:right w:val="single" w:sz="4" w:space="0" w:color="auto"/>
                  </w:tcBorders>
                  <w:shd w:val="clear" w:color="auto" w:fill="auto"/>
                  <w:noWrap/>
                  <w:vAlign w:val="bottom"/>
                </w:tcPr>
                <w:p w14:paraId="0EF06330" w14:textId="4F35893E" w:rsidR="00785007" w:rsidRPr="00802251" w:rsidRDefault="00785007" w:rsidP="00785007">
                  <w:pPr>
                    <w:jc w:val="right"/>
                    <w:rPr>
                      <w:rFonts w:ascii="Calibri" w:hAnsi="Calibri" w:cs="Calibri"/>
                      <w:bCs w:val="0"/>
                      <w:color w:val="000000"/>
                      <w:sz w:val="22"/>
                      <w:szCs w:val="22"/>
                      <w:lang w:eastAsia="en-GB"/>
                    </w:rPr>
                  </w:pPr>
                  <w:r>
                    <w:rPr>
                      <w:rFonts w:ascii="Calibri" w:hAnsi="Calibri" w:cs="Calibri"/>
                      <w:bCs w:val="0"/>
                      <w:color w:val="000000"/>
                      <w:sz w:val="22"/>
                      <w:szCs w:val="22"/>
                      <w:lang w:eastAsia="en-GB"/>
                    </w:rPr>
                    <w:t>£192,000</w:t>
                  </w:r>
                </w:p>
              </w:tc>
              <w:tc>
                <w:tcPr>
                  <w:tcW w:w="1054" w:type="dxa"/>
                  <w:tcBorders>
                    <w:top w:val="nil"/>
                    <w:left w:val="nil"/>
                    <w:bottom w:val="single" w:sz="4" w:space="0" w:color="auto"/>
                    <w:right w:val="single" w:sz="8" w:space="0" w:color="auto"/>
                  </w:tcBorders>
                  <w:shd w:val="clear" w:color="auto" w:fill="auto"/>
                  <w:noWrap/>
                  <w:vAlign w:val="bottom"/>
                </w:tcPr>
                <w:p w14:paraId="3719F324" w14:textId="67B16131" w:rsidR="00785007" w:rsidRPr="00802251" w:rsidRDefault="00140275" w:rsidP="00140275">
                  <w:pPr>
                    <w:rPr>
                      <w:rFonts w:ascii="Calibri" w:hAnsi="Calibri" w:cs="Calibri"/>
                      <w:b/>
                      <w:color w:val="000000"/>
                      <w:sz w:val="22"/>
                      <w:szCs w:val="22"/>
                      <w:lang w:eastAsia="en-GB"/>
                    </w:rPr>
                  </w:pPr>
                  <w:r w:rsidRPr="00802251">
                    <w:rPr>
                      <w:rFonts w:ascii="Calibri" w:hAnsi="Calibri" w:cs="Calibri"/>
                      <w:b/>
                      <w:color w:val="000000"/>
                      <w:sz w:val="22"/>
                      <w:szCs w:val="22"/>
                      <w:lang w:eastAsia="en-GB"/>
                    </w:rPr>
                    <w:t>£</w:t>
                  </w:r>
                  <w:r>
                    <w:rPr>
                      <w:rFonts w:ascii="Calibri" w:hAnsi="Calibri" w:cs="Calibri"/>
                      <w:b/>
                      <w:color w:val="000000"/>
                      <w:sz w:val="22"/>
                      <w:szCs w:val="22"/>
                      <w:lang w:eastAsia="en-GB"/>
                    </w:rPr>
                    <w:t>604,5</w:t>
                  </w:r>
                  <w:r w:rsidRPr="00802251">
                    <w:rPr>
                      <w:rFonts w:ascii="Calibri" w:hAnsi="Calibri" w:cs="Calibri"/>
                      <w:b/>
                      <w:color w:val="000000"/>
                      <w:sz w:val="22"/>
                      <w:szCs w:val="22"/>
                      <w:lang w:eastAsia="en-GB"/>
                    </w:rPr>
                    <w:t>00</w:t>
                  </w:r>
                </w:p>
              </w:tc>
            </w:tr>
            <w:tr w:rsidR="00785007" w:rsidRPr="00802251" w14:paraId="2109AE54"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50C3F3AB" w14:textId="77777777" w:rsidR="00785007" w:rsidRPr="00802251" w:rsidRDefault="00785007" w:rsidP="00785007">
                  <w:pPr>
                    <w:rPr>
                      <w:rFonts w:ascii="Calibri" w:hAnsi="Calibri" w:cs="Calibri"/>
                      <w:b/>
                      <w:color w:val="000000"/>
                      <w:sz w:val="22"/>
                      <w:szCs w:val="22"/>
                      <w:lang w:eastAsia="en-GB"/>
                    </w:rPr>
                  </w:pPr>
                  <w:r w:rsidRPr="00802251">
                    <w:rPr>
                      <w:rFonts w:ascii="Calibri" w:hAnsi="Calibri" w:cs="Calibri"/>
                      <w:b/>
                      <w:color w:val="000000"/>
                      <w:sz w:val="22"/>
                      <w:szCs w:val="22"/>
                      <w:lang w:eastAsia="en-GB"/>
                    </w:rPr>
                    <w:t>RJ2</w:t>
                  </w:r>
                </w:p>
              </w:tc>
              <w:tc>
                <w:tcPr>
                  <w:tcW w:w="3313" w:type="dxa"/>
                  <w:tcBorders>
                    <w:top w:val="nil"/>
                    <w:left w:val="nil"/>
                    <w:bottom w:val="single" w:sz="4" w:space="0" w:color="auto"/>
                    <w:right w:val="single" w:sz="4" w:space="0" w:color="auto"/>
                  </w:tcBorders>
                  <w:shd w:val="clear" w:color="auto" w:fill="auto"/>
                  <w:noWrap/>
                  <w:vAlign w:val="bottom"/>
                  <w:hideMark/>
                </w:tcPr>
                <w:p w14:paraId="0867CE30" w14:textId="77777777"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Lewisham and Greenwich</w:t>
                  </w:r>
                </w:p>
              </w:tc>
              <w:tc>
                <w:tcPr>
                  <w:tcW w:w="973" w:type="dxa"/>
                  <w:tcBorders>
                    <w:top w:val="nil"/>
                    <w:left w:val="nil"/>
                    <w:bottom w:val="single" w:sz="4" w:space="0" w:color="auto"/>
                    <w:right w:val="single" w:sz="4" w:space="0" w:color="auto"/>
                  </w:tcBorders>
                  <w:shd w:val="clear" w:color="auto" w:fill="auto"/>
                  <w:noWrap/>
                  <w:vAlign w:val="bottom"/>
                  <w:hideMark/>
                </w:tcPr>
                <w:p w14:paraId="115DC82E" w14:textId="77777777"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55D53DCA"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70B0473F"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35AA2610" w14:textId="77777777" w:rsidR="00785007" w:rsidRPr="00802251" w:rsidRDefault="00785007" w:rsidP="00785007">
                  <w:pPr>
                    <w:jc w:val="right"/>
                    <w:rPr>
                      <w:rFonts w:ascii="Calibri" w:hAnsi="Calibri" w:cs="Calibri"/>
                      <w:bCs w:val="0"/>
                      <w:i/>
                      <w:iCs/>
                      <w:color w:val="000000"/>
                      <w:sz w:val="22"/>
                      <w:szCs w:val="22"/>
                      <w:lang w:eastAsia="en-GB"/>
                    </w:rPr>
                  </w:pPr>
                  <w:r w:rsidRPr="00802251">
                    <w:rPr>
                      <w:rFonts w:ascii="Calibri" w:hAnsi="Calibri" w:cs="Calibri"/>
                      <w:bCs w:val="0"/>
                      <w:i/>
                      <w:iCs/>
                      <w:color w:val="000000"/>
                      <w:sz w:val="22"/>
                      <w:szCs w:val="22"/>
                      <w:lang w:eastAsia="en-GB"/>
                    </w:rPr>
                    <w:t>25</w:t>
                  </w:r>
                </w:p>
              </w:tc>
              <w:tc>
                <w:tcPr>
                  <w:tcW w:w="1055" w:type="dxa"/>
                  <w:tcBorders>
                    <w:top w:val="nil"/>
                    <w:left w:val="nil"/>
                    <w:bottom w:val="single" w:sz="4" w:space="0" w:color="auto"/>
                    <w:right w:val="single" w:sz="4" w:space="0" w:color="auto"/>
                  </w:tcBorders>
                  <w:shd w:val="clear" w:color="auto" w:fill="auto"/>
                  <w:noWrap/>
                  <w:vAlign w:val="bottom"/>
                  <w:hideMark/>
                </w:tcPr>
                <w:p w14:paraId="5B82F61F"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£32,000</w:t>
                  </w:r>
                </w:p>
              </w:tc>
              <w:tc>
                <w:tcPr>
                  <w:tcW w:w="1054" w:type="dxa"/>
                  <w:tcBorders>
                    <w:top w:val="nil"/>
                    <w:left w:val="nil"/>
                    <w:bottom w:val="single" w:sz="4" w:space="0" w:color="auto"/>
                    <w:right w:val="single" w:sz="8" w:space="0" w:color="auto"/>
                  </w:tcBorders>
                  <w:shd w:val="clear" w:color="auto" w:fill="auto"/>
                  <w:noWrap/>
                  <w:vAlign w:val="bottom"/>
                  <w:hideMark/>
                </w:tcPr>
                <w:p w14:paraId="4A28F9F3" w14:textId="77777777" w:rsidR="00785007" w:rsidRPr="00802251" w:rsidRDefault="00785007" w:rsidP="0078500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£234,500</w:t>
                  </w:r>
                </w:p>
              </w:tc>
            </w:tr>
            <w:tr w:rsidR="00785007" w:rsidRPr="00802251" w14:paraId="62EE83DD" w14:textId="77777777" w:rsidTr="00E20E02">
              <w:trPr>
                <w:trHeight w:val="300"/>
              </w:trPr>
              <w:tc>
                <w:tcPr>
                  <w:tcW w:w="673" w:type="dxa"/>
                  <w:tcBorders>
                    <w:top w:val="nil"/>
                    <w:left w:val="single" w:sz="8" w:space="0" w:color="auto"/>
                    <w:bottom w:val="single" w:sz="4" w:space="0" w:color="auto"/>
                    <w:right w:val="single" w:sz="4" w:space="0" w:color="auto"/>
                  </w:tcBorders>
                  <w:shd w:val="clear" w:color="auto" w:fill="auto"/>
                  <w:noWrap/>
                  <w:vAlign w:val="bottom"/>
                  <w:hideMark/>
                </w:tcPr>
                <w:p w14:paraId="0B719832" w14:textId="3F944E06" w:rsidR="00785007" w:rsidRPr="00802251" w:rsidRDefault="0033349B" w:rsidP="00785007">
                  <w:pPr>
                    <w:rPr>
                      <w:rFonts w:ascii="Calibri" w:hAnsi="Calibri" w:cs="Calibri"/>
                      <w:b/>
                      <w:color w:val="000000"/>
                      <w:sz w:val="22"/>
                      <w:szCs w:val="22"/>
                      <w:lang w:eastAsia="en-GB"/>
                    </w:rPr>
                  </w:pPr>
                  <w:r>
                    <w:rPr>
                      <w:rFonts w:ascii="Calibri" w:hAnsi="Calibri" w:cs="Calibri"/>
                      <w:b/>
                      <w:color w:val="000000"/>
                      <w:sz w:val="22"/>
                      <w:szCs w:val="22"/>
                      <w:lang w:eastAsia="en-GB"/>
                    </w:rPr>
                    <w:t>RXL</w:t>
                  </w:r>
                </w:p>
              </w:tc>
              <w:tc>
                <w:tcPr>
                  <w:tcW w:w="3313" w:type="dxa"/>
                  <w:tcBorders>
                    <w:top w:val="nil"/>
                    <w:left w:val="nil"/>
                    <w:bottom w:val="single" w:sz="4" w:space="0" w:color="auto"/>
                    <w:right w:val="single" w:sz="4" w:space="0" w:color="auto"/>
                  </w:tcBorders>
                  <w:shd w:val="clear" w:color="auto" w:fill="auto"/>
                  <w:noWrap/>
                  <w:vAlign w:val="bottom"/>
                  <w:hideMark/>
                </w:tcPr>
                <w:p w14:paraId="1FE87B2D" w14:textId="445AC97F"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Blackpool Teaching Hospital</w:t>
                  </w:r>
                  <w:r w:rsidR="0033349B">
                    <w:rPr>
                      <w:rFonts w:ascii="Calibri" w:hAnsi="Calibri" w:cs="Calibri"/>
                      <w:bCs w:val="0"/>
                      <w:color w:val="000000"/>
                      <w:sz w:val="22"/>
                      <w:szCs w:val="22"/>
                      <w:lang w:eastAsia="en-GB"/>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34CA2BFD" w14:textId="77777777"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Small</w:t>
                  </w:r>
                </w:p>
              </w:tc>
              <w:tc>
                <w:tcPr>
                  <w:tcW w:w="1055" w:type="dxa"/>
                  <w:tcBorders>
                    <w:top w:val="nil"/>
                    <w:left w:val="nil"/>
                    <w:bottom w:val="single" w:sz="4" w:space="0" w:color="auto"/>
                    <w:right w:val="single" w:sz="4" w:space="0" w:color="auto"/>
                  </w:tcBorders>
                  <w:shd w:val="clear" w:color="auto" w:fill="auto"/>
                  <w:noWrap/>
                  <w:vAlign w:val="bottom"/>
                  <w:hideMark/>
                </w:tcPr>
                <w:p w14:paraId="4B065D0E"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£135,000</w:t>
                  </w:r>
                </w:p>
              </w:tc>
              <w:tc>
                <w:tcPr>
                  <w:tcW w:w="1091" w:type="dxa"/>
                  <w:tcBorders>
                    <w:top w:val="nil"/>
                    <w:left w:val="nil"/>
                    <w:bottom w:val="single" w:sz="4" w:space="0" w:color="auto"/>
                    <w:right w:val="single" w:sz="4" w:space="0" w:color="auto"/>
                  </w:tcBorders>
                  <w:shd w:val="clear" w:color="auto" w:fill="auto"/>
                  <w:noWrap/>
                  <w:vAlign w:val="bottom"/>
                  <w:hideMark/>
                </w:tcPr>
                <w:p w14:paraId="4E2CBB40"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£67,500</w:t>
                  </w:r>
                </w:p>
              </w:tc>
              <w:tc>
                <w:tcPr>
                  <w:tcW w:w="955" w:type="dxa"/>
                  <w:tcBorders>
                    <w:top w:val="nil"/>
                    <w:left w:val="nil"/>
                    <w:bottom w:val="single" w:sz="4" w:space="0" w:color="auto"/>
                    <w:right w:val="single" w:sz="4" w:space="0" w:color="auto"/>
                  </w:tcBorders>
                  <w:shd w:val="clear" w:color="auto" w:fill="auto"/>
                  <w:noWrap/>
                  <w:vAlign w:val="center"/>
                  <w:hideMark/>
                </w:tcPr>
                <w:p w14:paraId="251865EF" w14:textId="7A5E18D4" w:rsidR="00785007" w:rsidRPr="00802251" w:rsidRDefault="001710ED" w:rsidP="0078500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30</w:t>
                  </w:r>
                </w:p>
              </w:tc>
              <w:tc>
                <w:tcPr>
                  <w:tcW w:w="1055" w:type="dxa"/>
                  <w:tcBorders>
                    <w:top w:val="nil"/>
                    <w:left w:val="nil"/>
                    <w:bottom w:val="single" w:sz="4" w:space="0" w:color="auto"/>
                    <w:right w:val="single" w:sz="4" w:space="0" w:color="auto"/>
                  </w:tcBorders>
                  <w:shd w:val="clear" w:color="auto" w:fill="auto"/>
                  <w:noWrap/>
                  <w:vAlign w:val="bottom"/>
                  <w:hideMark/>
                </w:tcPr>
                <w:p w14:paraId="340B59F1"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£32,000</w:t>
                  </w:r>
                </w:p>
              </w:tc>
              <w:tc>
                <w:tcPr>
                  <w:tcW w:w="1054" w:type="dxa"/>
                  <w:tcBorders>
                    <w:top w:val="nil"/>
                    <w:left w:val="nil"/>
                    <w:bottom w:val="single" w:sz="4" w:space="0" w:color="auto"/>
                    <w:right w:val="single" w:sz="8" w:space="0" w:color="auto"/>
                  </w:tcBorders>
                  <w:shd w:val="clear" w:color="auto" w:fill="auto"/>
                  <w:noWrap/>
                  <w:vAlign w:val="bottom"/>
                  <w:hideMark/>
                </w:tcPr>
                <w:p w14:paraId="32863D68" w14:textId="662B6D05" w:rsidR="00785007" w:rsidRPr="00802251" w:rsidRDefault="00785007" w:rsidP="0078500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£2</w:t>
                  </w:r>
                  <w:r w:rsidR="001710ED">
                    <w:rPr>
                      <w:rFonts w:ascii="Calibri" w:hAnsi="Calibri" w:cs="Calibri"/>
                      <w:b/>
                      <w:color w:val="000000"/>
                      <w:sz w:val="22"/>
                      <w:szCs w:val="22"/>
                      <w:lang w:eastAsia="en-GB"/>
                    </w:rPr>
                    <w:t>40</w:t>
                  </w:r>
                  <w:r w:rsidRPr="00802251">
                    <w:rPr>
                      <w:rFonts w:ascii="Calibri" w:hAnsi="Calibri" w:cs="Calibri"/>
                      <w:b/>
                      <w:color w:val="000000"/>
                      <w:sz w:val="22"/>
                      <w:szCs w:val="22"/>
                      <w:lang w:eastAsia="en-GB"/>
                    </w:rPr>
                    <w:t>,</w:t>
                  </w:r>
                  <w:r w:rsidR="001710ED">
                    <w:rPr>
                      <w:rFonts w:ascii="Calibri" w:hAnsi="Calibri" w:cs="Calibri"/>
                      <w:b/>
                      <w:color w:val="000000"/>
                      <w:sz w:val="22"/>
                      <w:szCs w:val="22"/>
                      <w:lang w:eastAsia="en-GB"/>
                    </w:rPr>
                    <w:t>9</w:t>
                  </w:r>
                  <w:r w:rsidRPr="00802251">
                    <w:rPr>
                      <w:rFonts w:ascii="Calibri" w:hAnsi="Calibri" w:cs="Calibri"/>
                      <w:b/>
                      <w:color w:val="000000"/>
                      <w:sz w:val="22"/>
                      <w:szCs w:val="22"/>
                      <w:lang w:eastAsia="en-GB"/>
                    </w:rPr>
                    <w:t>00</w:t>
                  </w:r>
                </w:p>
              </w:tc>
            </w:tr>
            <w:tr w:rsidR="00785007" w:rsidRPr="00802251" w14:paraId="477E19A0" w14:textId="77777777" w:rsidTr="00E20E02">
              <w:trPr>
                <w:trHeight w:val="315"/>
              </w:trPr>
              <w:tc>
                <w:tcPr>
                  <w:tcW w:w="673" w:type="dxa"/>
                  <w:tcBorders>
                    <w:top w:val="nil"/>
                    <w:left w:val="single" w:sz="8" w:space="0" w:color="auto"/>
                    <w:bottom w:val="single" w:sz="8" w:space="0" w:color="auto"/>
                    <w:right w:val="single" w:sz="4" w:space="0" w:color="auto"/>
                  </w:tcBorders>
                  <w:shd w:val="clear" w:color="auto" w:fill="auto"/>
                  <w:noWrap/>
                  <w:vAlign w:val="bottom"/>
                  <w:hideMark/>
                </w:tcPr>
                <w:p w14:paraId="7345A141" w14:textId="77777777" w:rsidR="00785007" w:rsidRPr="00802251" w:rsidRDefault="00785007" w:rsidP="00785007">
                  <w:pPr>
                    <w:rPr>
                      <w:rFonts w:ascii="Calibri" w:hAnsi="Calibri" w:cs="Calibri"/>
                      <w:b/>
                      <w:color w:val="000000"/>
                      <w:sz w:val="22"/>
                      <w:szCs w:val="22"/>
                      <w:lang w:eastAsia="en-GB"/>
                    </w:rPr>
                  </w:pPr>
                  <w:r w:rsidRPr="00802251">
                    <w:rPr>
                      <w:rFonts w:ascii="Calibri" w:hAnsi="Calibri" w:cs="Calibri"/>
                      <w:b/>
                      <w:color w:val="000000"/>
                      <w:sz w:val="22"/>
                      <w:szCs w:val="22"/>
                      <w:lang w:eastAsia="en-GB"/>
                    </w:rPr>
                    <w:t>RHQ</w:t>
                  </w:r>
                </w:p>
              </w:tc>
              <w:tc>
                <w:tcPr>
                  <w:tcW w:w="3313" w:type="dxa"/>
                  <w:tcBorders>
                    <w:top w:val="nil"/>
                    <w:left w:val="nil"/>
                    <w:bottom w:val="single" w:sz="8" w:space="0" w:color="auto"/>
                    <w:right w:val="single" w:sz="4" w:space="0" w:color="auto"/>
                  </w:tcBorders>
                  <w:shd w:val="clear" w:color="auto" w:fill="auto"/>
                  <w:noWrap/>
                  <w:vAlign w:val="bottom"/>
                  <w:hideMark/>
                </w:tcPr>
                <w:p w14:paraId="51483100" w14:textId="77777777"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Sheffield Teaching Hospitals -</w:t>
                  </w:r>
                  <w:r w:rsidRPr="00802251">
                    <w:rPr>
                      <w:rFonts w:ascii="Calibri" w:hAnsi="Calibri" w:cs="Calibri"/>
                      <w:bCs w:val="0"/>
                      <w:i/>
                      <w:iCs/>
                      <w:color w:val="000000"/>
                      <w:sz w:val="22"/>
                      <w:szCs w:val="22"/>
                      <w:lang w:eastAsia="en-GB"/>
                    </w:rPr>
                    <w:t xml:space="preserve"> lead site</w:t>
                  </w:r>
                </w:p>
              </w:tc>
              <w:tc>
                <w:tcPr>
                  <w:tcW w:w="973" w:type="dxa"/>
                  <w:tcBorders>
                    <w:top w:val="nil"/>
                    <w:left w:val="nil"/>
                    <w:bottom w:val="single" w:sz="8" w:space="0" w:color="auto"/>
                    <w:right w:val="single" w:sz="4" w:space="0" w:color="auto"/>
                  </w:tcBorders>
                  <w:shd w:val="clear" w:color="auto" w:fill="auto"/>
                  <w:noWrap/>
                  <w:vAlign w:val="bottom"/>
                  <w:hideMark/>
                </w:tcPr>
                <w:p w14:paraId="598CA68A" w14:textId="77777777" w:rsidR="00785007" w:rsidRPr="00802251" w:rsidRDefault="00785007" w:rsidP="00785007">
                  <w:pPr>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Large</w:t>
                  </w:r>
                </w:p>
              </w:tc>
              <w:tc>
                <w:tcPr>
                  <w:tcW w:w="1055" w:type="dxa"/>
                  <w:tcBorders>
                    <w:top w:val="nil"/>
                    <w:left w:val="nil"/>
                    <w:bottom w:val="single" w:sz="8" w:space="0" w:color="auto"/>
                    <w:right w:val="single" w:sz="4" w:space="0" w:color="auto"/>
                  </w:tcBorders>
                  <w:shd w:val="clear" w:color="auto" w:fill="auto"/>
                  <w:noWrap/>
                  <w:vAlign w:val="bottom"/>
                  <w:hideMark/>
                </w:tcPr>
                <w:p w14:paraId="03DDD84C"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£275,000</w:t>
                  </w:r>
                </w:p>
              </w:tc>
              <w:tc>
                <w:tcPr>
                  <w:tcW w:w="1091" w:type="dxa"/>
                  <w:tcBorders>
                    <w:top w:val="nil"/>
                    <w:left w:val="nil"/>
                    <w:bottom w:val="single" w:sz="8" w:space="0" w:color="auto"/>
                    <w:right w:val="single" w:sz="4" w:space="0" w:color="auto"/>
                  </w:tcBorders>
                  <w:shd w:val="clear" w:color="auto" w:fill="auto"/>
                  <w:noWrap/>
                  <w:vAlign w:val="bottom"/>
                  <w:hideMark/>
                </w:tcPr>
                <w:p w14:paraId="70BF9F1E" w14:textId="77777777"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£137,500</w:t>
                  </w:r>
                </w:p>
              </w:tc>
              <w:tc>
                <w:tcPr>
                  <w:tcW w:w="955" w:type="dxa"/>
                  <w:tcBorders>
                    <w:top w:val="nil"/>
                    <w:left w:val="nil"/>
                    <w:bottom w:val="single" w:sz="8" w:space="0" w:color="auto"/>
                    <w:right w:val="single" w:sz="4" w:space="0" w:color="auto"/>
                  </w:tcBorders>
                  <w:shd w:val="clear" w:color="auto" w:fill="auto"/>
                  <w:noWrap/>
                  <w:vAlign w:val="center"/>
                  <w:hideMark/>
                </w:tcPr>
                <w:p w14:paraId="024834FE" w14:textId="400241B8" w:rsidR="00785007" w:rsidRPr="00802251" w:rsidRDefault="00AC1694" w:rsidP="00785007">
                  <w:pPr>
                    <w:jc w:val="right"/>
                    <w:rPr>
                      <w:rFonts w:ascii="Calibri" w:hAnsi="Calibri" w:cs="Calibri"/>
                      <w:bCs w:val="0"/>
                      <w:i/>
                      <w:iCs/>
                      <w:color w:val="000000"/>
                      <w:sz w:val="22"/>
                      <w:szCs w:val="22"/>
                      <w:lang w:eastAsia="en-GB"/>
                    </w:rPr>
                  </w:pPr>
                  <w:r>
                    <w:rPr>
                      <w:rFonts w:ascii="Calibri" w:hAnsi="Calibri" w:cs="Calibri"/>
                      <w:bCs w:val="0"/>
                      <w:i/>
                      <w:iCs/>
                      <w:color w:val="000000"/>
                      <w:sz w:val="22"/>
                      <w:szCs w:val="22"/>
                      <w:lang w:eastAsia="en-GB"/>
                    </w:rPr>
                    <w:t>40</w:t>
                  </w:r>
                </w:p>
              </w:tc>
              <w:tc>
                <w:tcPr>
                  <w:tcW w:w="1055" w:type="dxa"/>
                  <w:tcBorders>
                    <w:top w:val="nil"/>
                    <w:left w:val="nil"/>
                    <w:bottom w:val="single" w:sz="8" w:space="0" w:color="auto"/>
                    <w:right w:val="single" w:sz="4" w:space="0" w:color="auto"/>
                  </w:tcBorders>
                  <w:shd w:val="clear" w:color="auto" w:fill="auto"/>
                  <w:noWrap/>
                  <w:vAlign w:val="bottom"/>
                  <w:hideMark/>
                </w:tcPr>
                <w:p w14:paraId="2725A7C0" w14:textId="695F1976" w:rsidR="00785007" w:rsidRPr="00802251" w:rsidRDefault="00785007" w:rsidP="00785007">
                  <w:pPr>
                    <w:jc w:val="right"/>
                    <w:rPr>
                      <w:rFonts w:ascii="Calibri" w:hAnsi="Calibri" w:cs="Calibri"/>
                      <w:bCs w:val="0"/>
                      <w:color w:val="000000"/>
                      <w:sz w:val="22"/>
                      <w:szCs w:val="22"/>
                      <w:lang w:eastAsia="en-GB"/>
                    </w:rPr>
                  </w:pPr>
                  <w:r w:rsidRPr="00802251">
                    <w:rPr>
                      <w:rFonts w:ascii="Calibri" w:hAnsi="Calibri" w:cs="Calibri"/>
                      <w:bCs w:val="0"/>
                      <w:color w:val="000000"/>
                      <w:sz w:val="22"/>
                      <w:szCs w:val="22"/>
                      <w:lang w:eastAsia="en-GB"/>
                    </w:rPr>
                    <w:t>£</w:t>
                  </w:r>
                  <w:r w:rsidR="00AC1694">
                    <w:rPr>
                      <w:rFonts w:ascii="Calibri" w:hAnsi="Calibri" w:cs="Calibri"/>
                      <w:bCs w:val="0"/>
                      <w:color w:val="000000"/>
                      <w:sz w:val="22"/>
                      <w:szCs w:val="22"/>
                      <w:lang w:eastAsia="en-GB"/>
                    </w:rPr>
                    <w:t>51</w:t>
                  </w:r>
                  <w:r w:rsidRPr="00802251">
                    <w:rPr>
                      <w:rFonts w:ascii="Calibri" w:hAnsi="Calibri" w:cs="Calibri"/>
                      <w:bCs w:val="0"/>
                      <w:color w:val="000000"/>
                      <w:sz w:val="22"/>
                      <w:szCs w:val="22"/>
                      <w:lang w:eastAsia="en-GB"/>
                    </w:rPr>
                    <w:t>,</w:t>
                  </w:r>
                  <w:r w:rsidR="00AC1694">
                    <w:rPr>
                      <w:rFonts w:ascii="Calibri" w:hAnsi="Calibri" w:cs="Calibri"/>
                      <w:bCs w:val="0"/>
                      <w:color w:val="000000"/>
                      <w:sz w:val="22"/>
                      <w:szCs w:val="22"/>
                      <w:lang w:eastAsia="en-GB"/>
                    </w:rPr>
                    <w:t>2</w:t>
                  </w:r>
                  <w:r w:rsidRPr="00802251">
                    <w:rPr>
                      <w:rFonts w:ascii="Calibri" w:hAnsi="Calibri" w:cs="Calibri"/>
                      <w:bCs w:val="0"/>
                      <w:color w:val="000000"/>
                      <w:sz w:val="22"/>
                      <w:szCs w:val="22"/>
                      <w:lang w:eastAsia="en-GB"/>
                    </w:rPr>
                    <w:t>00</w:t>
                  </w:r>
                </w:p>
              </w:tc>
              <w:tc>
                <w:tcPr>
                  <w:tcW w:w="1054" w:type="dxa"/>
                  <w:tcBorders>
                    <w:top w:val="nil"/>
                    <w:left w:val="nil"/>
                    <w:bottom w:val="single" w:sz="8" w:space="0" w:color="auto"/>
                    <w:right w:val="single" w:sz="8" w:space="0" w:color="auto"/>
                  </w:tcBorders>
                  <w:shd w:val="clear" w:color="auto" w:fill="auto"/>
                  <w:noWrap/>
                  <w:vAlign w:val="bottom"/>
                  <w:hideMark/>
                </w:tcPr>
                <w:p w14:paraId="6AA1426C" w14:textId="2A5BC0EC" w:rsidR="00785007" w:rsidRPr="00802251" w:rsidRDefault="00785007" w:rsidP="00785007">
                  <w:pPr>
                    <w:jc w:val="right"/>
                    <w:rPr>
                      <w:rFonts w:ascii="Calibri" w:hAnsi="Calibri" w:cs="Calibri"/>
                      <w:b/>
                      <w:color w:val="000000"/>
                      <w:sz w:val="22"/>
                      <w:szCs w:val="22"/>
                      <w:lang w:eastAsia="en-GB"/>
                    </w:rPr>
                  </w:pPr>
                  <w:r w:rsidRPr="00802251">
                    <w:rPr>
                      <w:rFonts w:ascii="Calibri" w:hAnsi="Calibri" w:cs="Calibri"/>
                      <w:b/>
                      <w:color w:val="000000"/>
                      <w:sz w:val="22"/>
                      <w:szCs w:val="22"/>
                      <w:lang w:eastAsia="en-GB"/>
                    </w:rPr>
                    <w:t>£4</w:t>
                  </w:r>
                  <w:r w:rsidR="00AC1694">
                    <w:rPr>
                      <w:rFonts w:ascii="Calibri" w:hAnsi="Calibri" w:cs="Calibri"/>
                      <w:b/>
                      <w:color w:val="000000"/>
                      <w:sz w:val="22"/>
                      <w:szCs w:val="22"/>
                      <w:lang w:eastAsia="en-GB"/>
                    </w:rPr>
                    <w:t>63</w:t>
                  </w:r>
                  <w:r w:rsidRPr="00802251">
                    <w:rPr>
                      <w:rFonts w:ascii="Calibri" w:hAnsi="Calibri" w:cs="Calibri"/>
                      <w:b/>
                      <w:color w:val="000000"/>
                      <w:sz w:val="22"/>
                      <w:szCs w:val="22"/>
                      <w:lang w:eastAsia="en-GB"/>
                    </w:rPr>
                    <w:t>,</w:t>
                  </w:r>
                  <w:r w:rsidR="00AC1694">
                    <w:rPr>
                      <w:rFonts w:ascii="Calibri" w:hAnsi="Calibri" w:cs="Calibri"/>
                      <w:b/>
                      <w:color w:val="000000"/>
                      <w:sz w:val="22"/>
                      <w:szCs w:val="22"/>
                      <w:lang w:eastAsia="en-GB"/>
                    </w:rPr>
                    <w:t>7</w:t>
                  </w:r>
                  <w:r w:rsidRPr="00802251">
                    <w:rPr>
                      <w:rFonts w:ascii="Calibri" w:hAnsi="Calibri" w:cs="Calibri"/>
                      <w:b/>
                      <w:color w:val="000000"/>
                      <w:sz w:val="22"/>
                      <w:szCs w:val="22"/>
                      <w:lang w:eastAsia="en-GB"/>
                    </w:rPr>
                    <w:t>00</w:t>
                  </w:r>
                </w:p>
              </w:tc>
            </w:tr>
          </w:tbl>
          <w:p w14:paraId="4BA9FAA6" w14:textId="77777777" w:rsidR="006F34C7" w:rsidRPr="003A0C63" w:rsidRDefault="006F34C7" w:rsidP="006F34C7">
            <w:pPr>
              <w:rPr>
                <w:rFonts w:eastAsiaTheme="minorEastAsia" w:cs="Arial"/>
                <w:i/>
                <w:color w:val="FF0000"/>
                <w:szCs w:val="24"/>
              </w:rPr>
            </w:pPr>
          </w:p>
          <w:p w14:paraId="204C9544" w14:textId="1D6AEFE7" w:rsidR="00E54705" w:rsidRPr="000F6360" w:rsidRDefault="00E54705" w:rsidP="0037141C">
            <w:pPr>
              <w:rPr>
                <w:rFonts w:eastAsiaTheme="minorEastAsia" w:cs="Arial"/>
                <w:szCs w:val="24"/>
              </w:rPr>
            </w:pPr>
          </w:p>
        </w:tc>
      </w:tr>
      <w:tr w:rsidR="0026417D" w:rsidRPr="00970018" w14:paraId="328F21DA" w14:textId="77777777" w:rsidTr="00427E7E">
        <w:tc>
          <w:tcPr>
            <w:tcW w:w="5000" w:type="pct"/>
            <w:gridSpan w:val="2"/>
            <w:shd w:val="clear" w:color="auto" w:fill="BFBFBF" w:themeFill="background1" w:themeFillShade="BF"/>
          </w:tcPr>
          <w:p w14:paraId="6E1B90CE" w14:textId="0B591957" w:rsidR="0026417D" w:rsidRPr="00970018" w:rsidRDefault="00970018" w:rsidP="004429A4">
            <w:pPr>
              <w:rPr>
                <w:rFonts w:cs="Arial"/>
                <w:b/>
                <w:szCs w:val="24"/>
              </w:rPr>
            </w:pPr>
            <w:r w:rsidRPr="00970018">
              <w:rPr>
                <w:rFonts w:cs="Arial"/>
                <w:b/>
                <w:szCs w:val="24"/>
              </w:rPr>
              <w:lastRenderedPageBreak/>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4E1EFB1F" w14:textId="77777777" w:rsidTr="00427E7E">
        <w:tc>
          <w:tcPr>
            <w:tcW w:w="5000" w:type="pct"/>
            <w:gridSpan w:val="2"/>
          </w:tcPr>
          <w:p w14:paraId="380AF0D7" w14:textId="664795E9" w:rsidR="0026417D" w:rsidRDefault="0026417D" w:rsidP="006E49C5">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634F05ED" w14:textId="77777777" w:rsidR="006E49C5" w:rsidRDefault="006E49C5" w:rsidP="006E49C5">
            <w:pPr>
              <w:rPr>
                <w:rFonts w:cs="Arial"/>
                <w:i/>
                <w:color w:val="FF0000"/>
                <w:szCs w:val="24"/>
              </w:rPr>
            </w:pPr>
          </w:p>
          <w:p w14:paraId="11AA5A38" w14:textId="77777777" w:rsidR="004A086E" w:rsidRPr="004A086E" w:rsidRDefault="004A086E" w:rsidP="0026417D">
            <w:pPr>
              <w:rPr>
                <w:rFonts w:cs="Arial"/>
                <w:b/>
                <w:szCs w:val="24"/>
              </w:rPr>
            </w:pPr>
            <w:r w:rsidRPr="004A086E">
              <w:rPr>
                <w:rFonts w:cs="Arial"/>
                <w:b/>
                <w:szCs w:val="24"/>
              </w:rPr>
              <w:lastRenderedPageBreak/>
              <w:t>Summary</w:t>
            </w:r>
          </w:p>
          <w:p w14:paraId="4F53E086" w14:textId="1FBB7F27" w:rsidR="004A086E" w:rsidRDefault="004A086E" w:rsidP="0026417D">
            <w:pPr>
              <w:rPr>
                <w:rFonts w:cs="Arial"/>
                <w:sz w:val="22"/>
                <w:szCs w:val="22"/>
              </w:rPr>
            </w:pPr>
            <w:r w:rsidRPr="00886F02">
              <w:rPr>
                <w:rFonts w:cs="Arial"/>
                <w:sz w:val="22"/>
                <w:szCs w:val="22"/>
              </w:rPr>
              <w:t xml:space="preserve">Randomised Controlled Trial, mixed methods process evaluation and </w:t>
            </w:r>
            <w:r w:rsidR="00886F02">
              <w:rPr>
                <w:rFonts w:cs="Arial"/>
                <w:sz w:val="22"/>
                <w:szCs w:val="22"/>
              </w:rPr>
              <w:t xml:space="preserve">formal </w:t>
            </w:r>
            <w:r w:rsidRPr="00886F02">
              <w:rPr>
                <w:rFonts w:cs="Arial"/>
                <w:sz w:val="22"/>
                <w:szCs w:val="22"/>
              </w:rPr>
              <w:t>health economic evaluation reports late 2019. Involves 600 patients and 19 centres</w:t>
            </w:r>
            <w:r w:rsidR="004B0E39">
              <w:rPr>
                <w:rFonts w:cs="Arial"/>
                <w:sz w:val="22"/>
                <w:szCs w:val="22"/>
              </w:rPr>
              <w:t>.</w:t>
            </w:r>
          </w:p>
          <w:p w14:paraId="7709C5DE" w14:textId="77777777" w:rsidR="004B0E39" w:rsidRPr="004B0E39" w:rsidRDefault="004B0E39" w:rsidP="0026417D">
            <w:pPr>
              <w:rPr>
                <w:rFonts w:cs="Arial"/>
                <w:szCs w:val="24"/>
              </w:rPr>
            </w:pPr>
          </w:p>
          <w:p w14:paraId="677060F1" w14:textId="4CF8D986" w:rsidR="004A086E" w:rsidRPr="004B0E39" w:rsidRDefault="004A086E" w:rsidP="0026417D">
            <w:pPr>
              <w:rPr>
                <w:rFonts w:cs="Arial"/>
                <w:szCs w:val="24"/>
              </w:rPr>
            </w:pPr>
            <w:r w:rsidRPr="004B0E39">
              <w:rPr>
                <w:rFonts w:cs="Arial"/>
                <w:szCs w:val="24"/>
              </w:rPr>
              <w:t xml:space="preserve">On-going Learning health system evaluation reporting centre level and benchmarked system level metrics with process evaluation of system implementation. Currently includes 3 centres and around 400 patients and from 2019 will include up to 20 centres. </w:t>
            </w:r>
            <w:r w:rsidR="00886F02" w:rsidRPr="004B0E39">
              <w:rPr>
                <w:rFonts w:cs="Arial"/>
                <w:szCs w:val="24"/>
              </w:rPr>
              <w:t xml:space="preserve"> Learning health system provides a constant flow of real time metrics to support evaluation. </w:t>
            </w:r>
          </w:p>
          <w:p w14:paraId="7C3C1982" w14:textId="77777777" w:rsidR="00886F02" w:rsidRPr="004B0E39" w:rsidRDefault="00886F02" w:rsidP="0026417D">
            <w:pPr>
              <w:rPr>
                <w:rFonts w:cs="Arial"/>
                <w:szCs w:val="24"/>
              </w:rPr>
            </w:pPr>
          </w:p>
          <w:p w14:paraId="4968AA63" w14:textId="4F5D6D62" w:rsidR="004A086E" w:rsidRPr="004B0E39" w:rsidRDefault="004A086E" w:rsidP="0026417D">
            <w:pPr>
              <w:rPr>
                <w:rFonts w:cs="Arial"/>
                <w:b/>
                <w:szCs w:val="24"/>
              </w:rPr>
            </w:pPr>
            <w:r w:rsidRPr="004B0E39">
              <w:rPr>
                <w:rFonts w:cs="Arial"/>
                <w:b/>
                <w:szCs w:val="24"/>
              </w:rPr>
              <w:t>Methods of evaluation</w:t>
            </w:r>
          </w:p>
          <w:p w14:paraId="088FE51B" w14:textId="6224B255" w:rsidR="0065756E" w:rsidRDefault="008E04C1" w:rsidP="0026417D">
            <w:pPr>
              <w:rPr>
                <w:rFonts w:cs="Arial"/>
                <w:szCs w:val="24"/>
              </w:rPr>
            </w:pPr>
            <w:r w:rsidRPr="004B0E39">
              <w:rPr>
                <w:rFonts w:cs="Arial"/>
                <w:szCs w:val="24"/>
              </w:rPr>
              <w:t xml:space="preserve">The </w:t>
            </w:r>
            <w:proofErr w:type="spellStart"/>
            <w:r w:rsidRPr="004B0E39">
              <w:rPr>
                <w:rFonts w:cs="Arial"/>
                <w:szCs w:val="24"/>
              </w:rPr>
              <w:t>CFHealthHub</w:t>
            </w:r>
            <w:proofErr w:type="spellEnd"/>
            <w:r w:rsidRPr="004B0E39">
              <w:rPr>
                <w:rFonts w:cs="Arial"/>
                <w:szCs w:val="24"/>
              </w:rPr>
              <w:t xml:space="preserve"> programme has been designed as a Learni</w:t>
            </w:r>
            <w:r w:rsidR="00886F02" w:rsidRPr="004B0E39">
              <w:rPr>
                <w:rFonts w:cs="Arial"/>
                <w:szCs w:val="24"/>
              </w:rPr>
              <w:t>ng health system in which metrics are</w:t>
            </w:r>
            <w:r w:rsidRPr="004B0E39">
              <w:rPr>
                <w:rFonts w:cs="Arial"/>
                <w:szCs w:val="24"/>
              </w:rPr>
              <w:t xml:space="preserve"> continually collected to allow on-going </w:t>
            </w:r>
            <w:r w:rsidR="00886F02" w:rsidRPr="004B0E39">
              <w:rPr>
                <w:rFonts w:cs="Arial"/>
                <w:szCs w:val="24"/>
              </w:rPr>
              <w:t xml:space="preserve">evaluation, iteration and redesign for improvement. The metrics are </w:t>
            </w:r>
            <w:r w:rsidRPr="004B0E39">
              <w:rPr>
                <w:rFonts w:cs="Arial"/>
                <w:szCs w:val="24"/>
              </w:rPr>
              <w:t xml:space="preserve">fed back to the users of the system </w:t>
            </w:r>
            <w:r w:rsidR="00886F02" w:rsidRPr="004B0E39">
              <w:rPr>
                <w:rFonts w:cs="Arial"/>
                <w:szCs w:val="24"/>
              </w:rPr>
              <w:t xml:space="preserve">in a co-produced clinician facing dashboard and clinicians are then </w:t>
            </w:r>
            <w:r w:rsidRPr="004B0E39">
              <w:rPr>
                <w:rFonts w:cs="Arial"/>
                <w:szCs w:val="24"/>
              </w:rPr>
              <w:t>supported</w:t>
            </w:r>
            <w:r w:rsidR="00886F02" w:rsidRPr="004B0E39">
              <w:rPr>
                <w:rFonts w:cs="Arial"/>
                <w:szCs w:val="24"/>
              </w:rPr>
              <w:t xml:space="preserve"> to reengineer service delivery</w:t>
            </w:r>
            <w:r w:rsidRPr="004B0E39">
              <w:rPr>
                <w:rFonts w:cs="Arial"/>
                <w:szCs w:val="24"/>
              </w:rPr>
              <w:t xml:space="preserve"> via </w:t>
            </w:r>
            <w:proofErr w:type="gramStart"/>
            <w:r w:rsidRPr="004B0E39">
              <w:rPr>
                <w:rFonts w:cs="Arial"/>
                <w:szCs w:val="24"/>
              </w:rPr>
              <w:t>evidence based</w:t>
            </w:r>
            <w:proofErr w:type="gramEnd"/>
            <w:r w:rsidRPr="004B0E39">
              <w:rPr>
                <w:rFonts w:cs="Arial"/>
                <w:szCs w:val="24"/>
              </w:rPr>
              <w:t xml:space="preserve"> frameworks that support change intended to create improvement </w:t>
            </w:r>
            <w:r w:rsidR="002D0399" w:rsidRPr="004B0E39">
              <w:rPr>
                <w:rFonts w:cs="Arial"/>
                <w:szCs w:val="24"/>
              </w:rPr>
              <w:t>and then further</w:t>
            </w:r>
            <w:r w:rsidRPr="004B0E39">
              <w:rPr>
                <w:rFonts w:cs="Arial"/>
                <w:szCs w:val="24"/>
              </w:rPr>
              <w:t xml:space="preserve"> on-going </w:t>
            </w:r>
            <w:r w:rsidR="002D0399" w:rsidRPr="004B0E39">
              <w:rPr>
                <w:rFonts w:cs="Arial"/>
                <w:szCs w:val="24"/>
              </w:rPr>
              <w:t xml:space="preserve">collection of </w:t>
            </w:r>
            <w:r w:rsidRPr="004B0E39">
              <w:rPr>
                <w:rFonts w:cs="Arial"/>
                <w:szCs w:val="24"/>
              </w:rPr>
              <w:t>metrics allowing participants to understand whether improvement has occurred.</w:t>
            </w:r>
            <w:r w:rsidR="002D0399" w:rsidRPr="004B0E39">
              <w:rPr>
                <w:rFonts w:cs="Arial"/>
                <w:szCs w:val="24"/>
              </w:rPr>
              <w:t xml:space="preserve"> </w:t>
            </w:r>
            <w:r w:rsidR="00886F02" w:rsidRPr="004B0E39">
              <w:rPr>
                <w:rFonts w:cs="Arial"/>
                <w:szCs w:val="24"/>
              </w:rPr>
              <w:t xml:space="preserve">Patients receive data about adherence linked to behaviour change interventions around habit formation that allows evaluation to support them to improve habits of self-care. </w:t>
            </w:r>
            <w:r w:rsidR="004B0E39">
              <w:rPr>
                <w:rFonts w:cs="Arial"/>
                <w:szCs w:val="24"/>
              </w:rPr>
              <w:t>G</w:t>
            </w:r>
            <w:r w:rsidR="00886F02" w:rsidRPr="004B0E39">
              <w:rPr>
                <w:rFonts w:cs="Arial"/>
                <w:szCs w:val="24"/>
              </w:rPr>
              <w:t>eneration of metrics</w:t>
            </w:r>
            <w:r w:rsidR="002D0399" w:rsidRPr="004B0E39">
              <w:rPr>
                <w:rFonts w:cs="Arial"/>
                <w:szCs w:val="24"/>
              </w:rPr>
              <w:t xml:space="preserve"> is a key system attribute.</w:t>
            </w:r>
            <w:r w:rsidRPr="004B0E39">
              <w:rPr>
                <w:rFonts w:cs="Arial"/>
                <w:szCs w:val="24"/>
              </w:rPr>
              <w:t xml:space="preserve">  The Microsystems approach to quality improvement supports system improvement in the light of evaluation and the COMB model and habit formation supports </w:t>
            </w:r>
            <w:r w:rsidR="002D0399" w:rsidRPr="004B0E39">
              <w:rPr>
                <w:rFonts w:cs="Arial"/>
                <w:szCs w:val="24"/>
              </w:rPr>
              <w:t xml:space="preserve">the behaviour change necessary to enable individuals within the system to </w:t>
            </w:r>
            <w:r w:rsidRPr="004B0E39">
              <w:rPr>
                <w:rFonts w:cs="Arial"/>
                <w:szCs w:val="24"/>
              </w:rPr>
              <w:t>change.</w:t>
            </w:r>
          </w:p>
          <w:p w14:paraId="34DA4B0F" w14:textId="77777777" w:rsidR="004B0E39" w:rsidRPr="004B0E39" w:rsidRDefault="004B0E39" w:rsidP="0026417D">
            <w:pPr>
              <w:rPr>
                <w:rFonts w:cs="Arial"/>
                <w:szCs w:val="24"/>
              </w:rPr>
            </w:pPr>
          </w:p>
          <w:p w14:paraId="2F5250E0" w14:textId="6350FA9B" w:rsidR="008E04C1" w:rsidRPr="004B0E39" w:rsidRDefault="00886F02" w:rsidP="0026417D">
            <w:pPr>
              <w:rPr>
                <w:rFonts w:cs="Arial"/>
                <w:szCs w:val="24"/>
              </w:rPr>
            </w:pPr>
            <w:r w:rsidRPr="004B0E39">
              <w:rPr>
                <w:rFonts w:cs="Arial"/>
                <w:szCs w:val="24"/>
              </w:rPr>
              <w:t xml:space="preserve">It is important to bear in mind that since meta-analysis of randomised controlled trials have already demonstrated that the process of taking inhaled preventative therapy improves outcome metrics which measure adherence to inhaled preventative therapy become valid quality indicators and the system will continually provide these data thus generating real time evaluation ((Ryan et al Cochrane Database </w:t>
            </w:r>
            <w:proofErr w:type="spellStart"/>
            <w:r w:rsidRPr="004B0E39">
              <w:rPr>
                <w:rFonts w:cs="Arial"/>
                <w:szCs w:val="24"/>
              </w:rPr>
              <w:t>Syst</w:t>
            </w:r>
            <w:proofErr w:type="spellEnd"/>
            <w:r w:rsidRPr="004B0E39">
              <w:rPr>
                <w:rFonts w:cs="Arial"/>
                <w:szCs w:val="24"/>
              </w:rPr>
              <w:t xml:space="preserve"> Rev 2011;3:CD001021 , </w:t>
            </w:r>
            <w:proofErr w:type="spellStart"/>
            <w:r w:rsidRPr="004B0E39">
              <w:rPr>
                <w:rFonts w:cs="Arial"/>
                <w:szCs w:val="24"/>
              </w:rPr>
              <w:t>Wark</w:t>
            </w:r>
            <w:proofErr w:type="spellEnd"/>
            <w:r w:rsidRPr="004B0E39">
              <w:rPr>
                <w:rFonts w:cs="Arial"/>
                <w:szCs w:val="24"/>
              </w:rPr>
              <w:t xml:space="preserve"> &amp; McDonald Cochrane Database </w:t>
            </w:r>
            <w:proofErr w:type="spellStart"/>
            <w:r w:rsidRPr="004B0E39">
              <w:rPr>
                <w:rFonts w:cs="Arial"/>
                <w:szCs w:val="24"/>
              </w:rPr>
              <w:t>Syst</w:t>
            </w:r>
            <w:proofErr w:type="spellEnd"/>
            <w:r w:rsidRPr="004B0E39">
              <w:rPr>
                <w:rFonts w:cs="Arial"/>
                <w:szCs w:val="24"/>
              </w:rPr>
              <w:t xml:space="preserve"> Rev 2009;2:CD001506 3 Yang et al Cochrane Database </w:t>
            </w:r>
            <w:proofErr w:type="spellStart"/>
            <w:r w:rsidRPr="004B0E39">
              <w:rPr>
                <w:rFonts w:cs="Arial"/>
                <w:szCs w:val="24"/>
              </w:rPr>
              <w:t>Syst</w:t>
            </w:r>
            <w:proofErr w:type="spellEnd"/>
            <w:r w:rsidRPr="004B0E39">
              <w:rPr>
                <w:rFonts w:cs="Arial"/>
                <w:szCs w:val="24"/>
              </w:rPr>
              <w:t xml:space="preserve"> Rev 2016;4:CD001127).</w:t>
            </w:r>
            <w:r w:rsidR="008E04C1" w:rsidRPr="004B0E39">
              <w:rPr>
                <w:rFonts w:cs="Arial"/>
                <w:szCs w:val="24"/>
              </w:rPr>
              <w:t xml:space="preserve"> </w:t>
            </w:r>
          </w:p>
          <w:p w14:paraId="16C63D01" w14:textId="77777777" w:rsidR="0026417D" w:rsidRPr="00BB243E" w:rsidRDefault="0026417D" w:rsidP="0084461B">
            <w:pPr>
              <w:rPr>
                <w:rFonts w:cs="Arial"/>
                <w:szCs w:val="24"/>
              </w:rPr>
            </w:pPr>
          </w:p>
        </w:tc>
      </w:tr>
      <w:tr w:rsidR="004429A4" w:rsidRPr="000412A1" w14:paraId="2E80FCEA" w14:textId="77777777" w:rsidTr="00427E7E">
        <w:trPr>
          <w:trHeight w:val="135"/>
        </w:trPr>
        <w:tc>
          <w:tcPr>
            <w:tcW w:w="1377" w:type="pct"/>
            <w:shd w:val="clear" w:color="auto" w:fill="D9D9D9" w:themeFill="background1" w:themeFillShade="D9"/>
          </w:tcPr>
          <w:p w14:paraId="1594B11A" w14:textId="77777777" w:rsidR="004429A4" w:rsidRPr="0026417D" w:rsidRDefault="004429A4" w:rsidP="0026417D">
            <w:pPr>
              <w:rPr>
                <w:rFonts w:cs="Arial"/>
                <w:b/>
                <w:szCs w:val="24"/>
                <w:u w:val="single"/>
              </w:rPr>
            </w:pPr>
            <w:r>
              <w:rPr>
                <w:rFonts w:cs="Arial"/>
                <w:b/>
                <w:szCs w:val="24"/>
                <w:u w:val="single"/>
              </w:rPr>
              <w:lastRenderedPageBreak/>
              <w:t>Information for Evaluation</w:t>
            </w:r>
          </w:p>
        </w:tc>
        <w:tc>
          <w:tcPr>
            <w:tcW w:w="3623" w:type="pct"/>
          </w:tcPr>
          <w:p w14:paraId="1CB3E766" w14:textId="77777777" w:rsidR="004429A4" w:rsidRDefault="004429A4" w:rsidP="004429A4">
            <w:pPr>
              <w:rPr>
                <w:rFonts w:cs="Arial"/>
                <w:i/>
                <w:color w:val="FF0000"/>
                <w:szCs w:val="24"/>
              </w:rPr>
            </w:pPr>
            <w:r w:rsidRPr="00BC4EA9">
              <w:rPr>
                <w:rFonts w:cs="Arial"/>
                <w:i/>
                <w:color w:val="FF0000"/>
                <w:szCs w:val="24"/>
              </w:rPr>
              <w:t>[Information flows required for evaluation should be referenced here, building on those set out at C5]</w:t>
            </w:r>
          </w:p>
          <w:p w14:paraId="772A3696" w14:textId="798FF486" w:rsidR="00E455A5" w:rsidRPr="00E20E02" w:rsidRDefault="00E455A5" w:rsidP="004429A4">
            <w:pPr>
              <w:rPr>
                <w:rFonts w:cs="Arial"/>
                <w:szCs w:val="24"/>
              </w:rPr>
            </w:pPr>
            <w:proofErr w:type="spellStart"/>
            <w:r w:rsidRPr="00E20E02">
              <w:rPr>
                <w:rFonts w:cs="Arial"/>
                <w:szCs w:val="24"/>
              </w:rPr>
              <w:t>CFHealthHub</w:t>
            </w:r>
            <w:proofErr w:type="spellEnd"/>
            <w:r w:rsidRPr="00E20E02">
              <w:rPr>
                <w:rFonts w:cs="Arial"/>
                <w:szCs w:val="24"/>
              </w:rPr>
              <w:t xml:space="preserve"> is a digital platform explicitly desi</w:t>
            </w:r>
            <w:r w:rsidR="001B3C62" w:rsidRPr="00E20E02">
              <w:rPr>
                <w:rFonts w:cs="Arial"/>
                <w:szCs w:val="24"/>
              </w:rPr>
              <w:t>g</w:t>
            </w:r>
            <w:r w:rsidRPr="00E20E02">
              <w:rPr>
                <w:rFonts w:cs="Arial"/>
                <w:szCs w:val="24"/>
              </w:rPr>
              <w:t>ned to collect metrics for evaluation that also support behaviour cha</w:t>
            </w:r>
            <w:r w:rsidR="00E20E02">
              <w:rPr>
                <w:rFonts w:cs="Arial"/>
                <w:szCs w:val="24"/>
              </w:rPr>
              <w:t xml:space="preserve">nge in clinicians and patients. </w:t>
            </w:r>
            <w:r w:rsidRPr="00E20E02">
              <w:rPr>
                <w:rFonts w:cs="Arial"/>
                <w:szCs w:val="24"/>
              </w:rPr>
              <w:t>National Ethics approvals already exist allowing patients to share data for the purposes of evaluation with work planned to allow HES data linkage with appropriate consent in 2019/20. An important task of the local behaviour change specialist is to ensure appropriate patient consent for this routine data capture.</w:t>
            </w:r>
          </w:p>
          <w:p w14:paraId="045AE7F3" w14:textId="21504AB7" w:rsidR="00886F02" w:rsidRPr="00BC4EA9" w:rsidRDefault="00886F02" w:rsidP="00E20E02">
            <w:pPr>
              <w:rPr>
                <w:rFonts w:cs="Arial"/>
                <w:color w:val="FF0000"/>
                <w:szCs w:val="24"/>
                <w:u w:val="single"/>
              </w:rPr>
            </w:pPr>
            <w:r w:rsidRPr="00E20E02">
              <w:rPr>
                <w:rFonts w:cs="Arial"/>
                <w:szCs w:val="24"/>
              </w:rPr>
              <w:t>Adh</w:t>
            </w:r>
            <w:r w:rsidR="00E455A5" w:rsidRPr="00E20E02">
              <w:rPr>
                <w:rFonts w:cs="Arial"/>
                <w:szCs w:val="24"/>
              </w:rPr>
              <w:t xml:space="preserve">erence to inhaled therapy is a metric routinely available within </w:t>
            </w:r>
            <w:proofErr w:type="spellStart"/>
            <w:r w:rsidR="00E455A5" w:rsidRPr="00E20E02">
              <w:rPr>
                <w:rFonts w:cs="Arial"/>
                <w:szCs w:val="24"/>
              </w:rPr>
              <w:t>CFHealthHub</w:t>
            </w:r>
            <w:proofErr w:type="spellEnd"/>
            <w:r w:rsidR="00E455A5" w:rsidRPr="00E20E02">
              <w:rPr>
                <w:rFonts w:cs="Arial"/>
                <w:szCs w:val="24"/>
              </w:rPr>
              <w:t xml:space="preserve">. The adherence metric is also being used in </w:t>
            </w:r>
            <w:r w:rsidR="00764E33" w:rsidRPr="00E20E02">
              <w:rPr>
                <w:rFonts w:cs="Arial"/>
                <w:szCs w:val="24"/>
              </w:rPr>
              <w:t>the development of</w:t>
            </w:r>
            <w:r w:rsidRPr="00E20E02">
              <w:rPr>
                <w:rFonts w:cs="Arial"/>
                <w:szCs w:val="24"/>
              </w:rPr>
              <w:t xml:space="preserve"> a UK national indicator</w:t>
            </w:r>
            <w:r w:rsidR="00764E33" w:rsidRPr="00E20E02">
              <w:rPr>
                <w:rFonts w:cs="Arial"/>
                <w:szCs w:val="24"/>
              </w:rPr>
              <w:t xml:space="preserve"> via the NHS Digital Indicator Library process</w:t>
            </w:r>
            <w:r w:rsidRPr="00E20E02">
              <w:rPr>
                <w:rFonts w:cs="Arial"/>
                <w:szCs w:val="24"/>
              </w:rPr>
              <w:t>.</w:t>
            </w:r>
            <w:r w:rsidR="00E20E02">
              <w:rPr>
                <w:rFonts w:cs="Arial"/>
                <w:szCs w:val="24"/>
              </w:rPr>
              <w:t xml:space="preserve"> </w:t>
            </w:r>
            <w:r w:rsidRPr="00E20E02">
              <w:rPr>
                <w:rFonts w:cs="Arial"/>
                <w:szCs w:val="24"/>
              </w:rPr>
              <w:t>Click analytics around key behaviour change processes of care such as the use of adherence data during clinic visits and the creation of implementation plans and coping plans by people with CF</w:t>
            </w:r>
            <w:r w:rsidR="00764E33" w:rsidRPr="00E20E02">
              <w:rPr>
                <w:rFonts w:cs="Arial"/>
                <w:szCs w:val="24"/>
              </w:rPr>
              <w:t xml:space="preserve"> are routine outputs of </w:t>
            </w:r>
            <w:proofErr w:type="spellStart"/>
            <w:r w:rsidR="00764E33" w:rsidRPr="00E20E02">
              <w:rPr>
                <w:rFonts w:cs="Arial"/>
                <w:szCs w:val="24"/>
              </w:rPr>
              <w:t>CFHealthHub</w:t>
            </w:r>
            <w:proofErr w:type="spellEnd"/>
            <w:r w:rsidRPr="00E20E02">
              <w:rPr>
                <w:rFonts w:cs="Arial"/>
                <w:szCs w:val="24"/>
              </w:rPr>
              <w:t>.</w:t>
            </w:r>
          </w:p>
        </w:tc>
      </w:tr>
      <w:tr w:rsidR="004429A4" w:rsidRPr="000412A1" w14:paraId="4782AF55" w14:textId="77777777" w:rsidTr="00427E7E">
        <w:trPr>
          <w:trHeight w:val="135"/>
        </w:trPr>
        <w:tc>
          <w:tcPr>
            <w:tcW w:w="1377" w:type="pct"/>
            <w:shd w:val="clear" w:color="auto" w:fill="D9D9D9" w:themeFill="background1" w:themeFillShade="D9"/>
          </w:tcPr>
          <w:p w14:paraId="25737A38" w14:textId="50E38E0A"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14:paraId="5A248EAF" w14:textId="282307B1" w:rsidR="00886F02" w:rsidRPr="00E20E02" w:rsidRDefault="00886F02" w:rsidP="00E455A5">
            <w:pPr>
              <w:rPr>
                <w:rFonts w:cs="Arial"/>
                <w:color w:val="FF0000"/>
                <w:szCs w:val="24"/>
                <w:u w:val="single"/>
              </w:rPr>
            </w:pPr>
            <w:r w:rsidRPr="00E20E02">
              <w:rPr>
                <w:rFonts w:cs="Arial"/>
                <w:sz w:val="22"/>
                <w:szCs w:val="22"/>
              </w:rPr>
              <w:t>Personnel involved in evaluation include staff at University of Sheffield and University of Manchester and are costed with the CQUIN as the central costs involved in delivering the learning health system.</w:t>
            </w:r>
            <w:r w:rsidR="00764E33" w:rsidRPr="00E20E02">
              <w:rPr>
                <w:rFonts w:cs="Arial"/>
                <w:sz w:val="22"/>
                <w:szCs w:val="22"/>
              </w:rPr>
              <w:t xml:space="preserve"> </w:t>
            </w:r>
          </w:p>
        </w:tc>
      </w:tr>
    </w:tbl>
    <w:p w14:paraId="7B8D2EF6" w14:textId="77777777" w:rsidR="006B2327" w:rsidRDefault="006B2327" w:rsidP="00154269">
      <w:pPr>
        <w:rPr>
          <w:rFonts w:cs="Arial"/>
          <w:b/>
          <w:szCs w:val="24"/>
        </w:rPr>
      </w:pPr>
    </w:p>
    <w:p w14:paraId="724F8076" w14:textId="77777777" w:rsidR="006B2327" w:rsidRDefault="006B2327" w:rsidP="00154269">
      <w:pPr>
        <w:rPr>
          <w:rFonts w:cs="Arial"/>
          <w:b/>
          <w:szCs w:val="24"/>
        </w:rPr>
      </w:pPr>
    </w:p>
    <w:p w14:paraId="720CBA76" w14:textId="77777777" w:rsidR="005931C4" w:rsidRPr="006F038B" w:rsidRDefault="005931C4" w:rsidP="006F038B">
      <w:pPr>
        <w:rPr>
          <w:rFonts w:cs="Arial"/>
          <w:b/>
          <w:i/>
          <w:szCs w:val="24"/>
        </w:rPr>
      </w:pPr>
    </w:p>
    <w:sectPr w:rsidR="005931C4" w:rsidRPr="006F038B" w:rsidSect="006B232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41F16" w14:textId="77777777" w:rsidR="008C5B5A" w:rsidRDefault="008C5B5A" w:rsidP="00AD55CE">
      <w:r>
        <w:separator/>
      </w:r>
    </w:p>
  </w:endnote>
  <w:endnote w:type="continuationSeparator" w:id="0">
    <w:p w14:paraId="714DAC5D" w14:textId="77777777" w:rsidR="008C5B5A" w:rsidRDefault="008C5B5A"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34060"/>
      <w:docPartObj>
        <w:docPartGallery w:val="Page Numbers (Bottom of Page)"/>
        <w:docPartUnique/>
      </w:docPartObj>
    </w:sdtPr>
    <w:sdtEndPr>
      <w:rPr>
        <w:noProof/>
      </w:rPr>
    </w:sdtEndPr>
    <w:sdtContent>
      <w:p w14:paraId="2EC6AD8D" w14:textId="0B7B0869" w:rsidR="008C5B5A" w:rsidRDefault="008C5B5A">
        <w:pPr>
          <w:pStyle w:val="Footer"/>
          <w:jc w:val="center"/>
        </w:pPr>
        <w:r>
          <w:fldChar w:fldCharType="begin"/>
        </w:r>
        <w:r>
          <w:instrText xml:space="preserve"> PAGE   \* MERGEFORMAT </w:instrText>
        </w:r>
        <w:r>
          <w:fldChar w:fldCharType="separate"/>
        </w:r>
        <w:r w:rsidR="006E49C5">
          <w:rPr>
            <w:noProof/>
          </w:rPr>
          <w:t>1</w:t>
        </w:r>
        <w:r>
          <w:rPr>
            <w:noProof/>
          </w:rPr>
          <w:fldChar w:fldCharType="end"/>
        </w:r>
      </w:p>
    </w:sdtContent>
  </w:sdt>
  <w:p w14:paraId="687455B8" w14:textId="77777777" w:rsidR="00026BBF" w:rsidRDefault="00026BBF" w:rsidP="00026BBF">
    <w:pPr>
      <w:pStyle w:val="Footer"/>
      <w:rPr>
        <w:sz w:val="16"/>
        <w:szCs w:val="16"/>
        <w:lang w:val="en-US"/>
      </w:rPr>
    </w:pPr>
    <w:r w:rsidRPr="00805D9C">
      <w:rPr>
        <w:sz w:val="16"/>
        <w:szCs w:val="16"/>
        <w:lang w:val="en-US"/>
      </w:rPr>
      <w:t>NHS England and NHS Improvement – Working together for the NHS</w:t>
    </w:r>
  </w:p>
  <w:p w14:paraId="52095C5E" w14:textId="77777777" w:rsidR="00026BBF" w:rsidRPr="00805D9C" w:rsidRDefault="00026BBF" w:rsidP="00026BBF">
    <w:pPr>
      <w:pStyle w:val="Footer"/>
      <w:rPr>
        <w:color w:val="00B0F0"/>
        <w:sz w:val="16"/>
        <w:szCs w:val="16"/>
        <w:lang w:val="en-US"/>
      </w:rPr>
    </w:pPr>
    <w:r w:rsidRPr="00805D9C">
      <w:rPr>
        <w:color w:val="00B0F0"/>
        <w:sz w:val="16"/>
        <w:szCs w:val="16"/>
        <w:lang w:val="en-US"/>
      </w:rPr>
      <w:t>March 2019</w:t>
    </w:r>
  </w:p>
  <w:p w14:paraId="4C296AE6" w14:textId="77777777" w:rsidR="00026BBF" w:rsidRPr="00805D9C" w:rsidRDefault="00026BBF" w:rsidP="00026BBF">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26EEC" w14:textId="77777777" w:rsidR="008C5B5A" w:rsidRDefault="008C5B5A" w:rsidP="00AD55CE">
      <w:r>
        <w:separator/>
      </w:r>
    </w:p>
  </w:footnote>
  <w:footnote w:type="continuationSeparator" w:id="0">
    <w:p w14:paraId="577D003E" w14:textId="77777777" w:rsidR="008C5B5A" w:rsidRDefault="008C5B5A" w:rsidP="00AD55CE">
      <w:r>
        <w:continuationSeparator/>
      </w:r>
    </w:p>
  </w:footnote>
  <w:footnote w:id="1">
    <w:p w14:paraId="795BF91F" w14:textId="5BB350A9" w:rsidR="008C5B5A" w:rsidRDefault="008C5B5A">
      <w:pPr>
        <w:pStyle w:val="FootnoteText"/>
      </w:pPr>
      <w:r>
        <w:rPr>
          <w:rStyle w:val="FootnoteReference"/>
        </w:rPr>
        <w:footnoteRef/>
      </w:r>
      <w:r>
        <w:t xml:space="preserve"> </w:t>
      </w:r>
      <w:r w:rsidRPr="008B32C4">
        <w:t xml:space="preserve">Central costs deliver digital platform expertise from the Centre for Health Informatics University of Manchester, behaviour change expertise from The Behavioural Sciences Consortium </w:t>
      </w:r>
      <w:r>
        <w:t>(</w:t>
      </w:r>
      <w:r w:rsidRPr="008B32C4">
        <w:t>Sheffield Hallam</w:t>
      </w:r>
      <w:r>
        <w:t>)</w:t>
      </w:r>
      <w:r w:rsidRPr="008B32C4">
        <w:t xml:space="preserve"> and Improvement collaborative/ National Ethics /Trials support from the Clinical trials unit University of Sheffield. This technical support is necessary to enable system wide digital platform implementation, data sharing and improvement work. These partners have all vested intellectual property to the NHS and provide the expertise necessary for system wide digital innovation.</w:t>
      </w:r>
    </w:p>
  </w:footnote>
  <w:footnote w:id="2">
    <w:p w14:paraId="304433A6" w14:textId="2750E1BF" w:rsidR="008C5B5A" w:rsidRDefault="008C5B5A">
      <w:pPr>
        <w:pStyle w:val="FootnoteText"/>
      </w:pPr>
      <w:r>
        <w:rPr>
          <w:rStyle w:val="FootnoteReference"/>
        </w:rPr>
        <w:footnoteRef/>
      </w:r>
      <w:r>
        <w:t xml:space="preserve"> While in the short-run the savings from reduced hospitalisations accrue to the provider, </w:t>
      </w:r>
      <w:r w:rsidRPr="0053461A">
        <w:t>In the long-run</w:t>
      </w:r>
      <w:r>
        <w:t>, as Table 3</w:t>
      </w:r>
      <w:r w:rsidRPr="003748C8">
        <w:t xml:space="preserve"> shows</w:t>
      </w:r>
      <w:r>
        <w:t xml:space="preserve">, providers will receive enduring net </w:t>
      </w:r>
      <w:r w:rsidRPr="0053461A">
        <w:t xml:space="preserve">savings </w:t>
      </w:r>
      <w:r>
        <w:t xml:space="preserve">after </w:t>
      </w:r>
      <w:r w:rsidRPr="0053461A">
        <w:t>pay</w:t>
      </w:r>
      <w:r>
        <w:t>ing</w:t>
      </w:r>
      <w:r w:rsidRPr="0053461A">
        <w:t xml:space="preserve"> NHSE to </w:t>
      </w:r>
      <w:r>
        <w:t xml:space="preserve">enable CFHealthHub </w:t>
      </w:r>
      <w:r w:rsidRPr="0053461A">
        <w:t>to exist</w:t>
      </w:r>
      <w:r>
        <w:t xml:space="preserve"> (</w:t>
      </w:r>
      <w:r w:rsidRPr="003748C8">
        <w:t xml:space="preserve">see Exit Route in D2 below). </w:t>
      </w:r>
      <w:r>
        <w:t>B</w:t>
      </w:r>
      <w:r w:rsidRPr="0053461A">
        <w:t xml:space="preserve">earing </w:t>
      </w:r>
      <w:r>
        <w:t xml:space="preserve">in mind </w:t>
      </w:r>
      <w:r w:rsidRPr="0053461A">
        <w:t>the substantial whole-system savings and the prevailing split, there is the option for the commissioner to receive some of those benefits</w:t>
      </w:r>
      <w:r>
        <w:t>.</w:t>
      </w:r>
    </w:p>
  </w:footnote>
  <w:footnote w:id="3">
    <w:p w14:paraId="500F3CE6" w14:textId="77777777" w:rsidR="008C5B5A" w:rsidRDefault="008C5B5A" w:rsidP="003C5200">
      <w:pPr>
        <w:pStyle w:val="FootnoteText"/>
      </w:pPr>
      <w:r>
        <w:rPr>
          <w:rStyle w:val="FootnoteReference"/>
        </w:rPr>
        <w:footnoteRef/>
      </w:r>
      <w:r>
        <w:t xml:space="preserve"> </w:t>
      </w:r>
      <w:r w:rsidRPr="00394EA2">
        <w:t>Bearing in mind the substantial whole-system savings and the prevailing split, there is the option for the commissioner to receive some of those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5355" w14:textId="7C4B9F1F" w:rsidR="008C5B5A" w:rsidRDefault="008C5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80CB" w14:textId="7C2452E2" w:rsidR="008C5B5A" w:rsidRDefault="008C5B5A" w:rsidP="003525B3">
    <w:pPr>
      <w:pStyle w:val="Header"/>
      <w:tabs>
        <w:tab w:val="clear" w:pos="4513"/>
        <w:tab w:val="clear" w:pos="9026"/>
        <w:tab w:val="left" w:pos="7395"/>
        <w:tab w:val="left" w:pos="8829"/>
      </w:tabs>
      <w:ind w:left="73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842F" w14:textId="74E47AE5" w:rsidR="008C5B5A" w:rsidRDefault="008C5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8AB"/>
    <w:multiLevelType w:val="multilevel"/>
    <w:tmpl w:val="C554C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96484"/>
    <w:multiLevelType w:val="hybridMultilevel"/>
    <w:tmpl w:val="CAE4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DE43324"/>
    <w:multiLevelType w:val="hybridMultilevel"/>
    <w:tmpl w:val="F5486470"/>
    <w:lvl w:ilvl="0" w:tplc="4DFE960C">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F4B18"/>
    <w:multiLevelType w:val="hybridMultilevel"/>
    <w:tmpl w:val="23AE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958D8"/>
    <w:multiLevelType w:val="hybridMultilevel"/>
    <w:tmpl w:val="559A6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706C2"/>
    <w:multiLevelType w:val="hybridMultilevel"/>
    <w:tmpl w:val="E682A21C"/>
    <w:lvl w:ilvl="0" w:tplc="E578B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F25C8"/>
    <w:multiLevelType w:val="hybridMultilevel"/>
    <w:tmpl w:val="57B66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D2A60"/>
    <w:multiLevelType w:val="hybridMultilevel"/>
    <w:tmpl w:val="874E569A"/>
    <w:lvl w:ilvl="0" w:tplc="193C920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834D4"/>
    <w:multiLevelType w:val="hybridMultilevel"/>
    <w:tmpl w:val="CB4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959DA"/>
    <w:multiLevelType w:val="hybridMultilevel"/>
    <w:tmpl w:val="46629546"/>
    <w:lvl w:ilvl="0" w:tplc="EBBC2E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7A685D"/>
    <w:multiLevelType w:val="hybridMultilevel"/>
    <w:tmpl w:val="4D7611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41EC6"/>
    <w:multiLevelType w:val="hybridMultilevel"/>
    <w:tmpl w:val="2F36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F2E23"/>
    <w:multiLevelType w:val="hybridMultilevel"/>
    <w:tmpl w:val="59463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5"/>
  </w:num>
  <w:num w:numId="5">
    <w:abstractNumId w:val="7"/>
  </w:num>
  <w:num w:numId="6">
    <w:abstractNumId w:val="6"/>
  </w:num>
  <w:num w:numId="7">
    <w:abstractNumId w:val="11"/>
  </w:num>
  <w:num w:numId="8">
    <w:abstractNumId w:val="15"/>
  </w:num>
  <w:num w:numId="9">
    <w:abstractNumId w:val="14"/>
  </w:num>
  <w:num w:numId="10">
    <w:abstractNumId w:val="8"/>
  </w:num>
  <w:num w:numId="11">
    <w:abstractNumId w:val="12"/>
  </w:num>
  <w:num w:numId="12">
    <w:abstractNumId w:val="1"/>
  </w:num>
  <w:num w:numId="13">
    <w:abstractNumId w:val="0"/>
  </w:num>
  <w:num w:numId="14">
    <w:abstractNumId w:val="4"/>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0A03"/>
    <w:rsid w:val="00002F6F"/>
    <w:rsid w:val="000069E4"/>
    <w:rsid w:val="000146A0"/>
    <w:rsid w:val="00023708"/>
    <w:rsid w:val="00026BBF"/>
    <w:rsid w:val="0003373B"/>
    <w:rsid w:val="000366C6"/>
    <w:rsid w:val="00052447"/>
    <w:rsid w:val="00057E1D"/>
    <w:rsid w:val="00062C3E"/>
    <w:rsid w:val="00062C5C"/>
    <w:rsid w:val="00063D6D"/>
    <w:rsid w:val="000767C7"/>
    <w:rsid w:val="00090D40"/>
    <w:rsid w:val="000918A6"/>
    <w:rsid w:val="00091D3B"/>
    <w:rsid w:val="000A0AB0"/>
    <w:rsid w:val="000A3694"/>
    <w:rsid w:val="000A37A6"/>
    <w:rsid w:val="000A4FAD"/>
    <w:rsid w:val="000D0AC1"/>
    <w:rsid w:val="000D1B47"/>
    <w:rsid w:val="000D576D"/>
    <w:rsid w:val="000E2FBD"/>
    <w:rsid w:val="000E33C9"/>
    <w:rsid w:val="000F3C6A"/>
    <w:rsid w:val="000F571D"/>
    <w:rsid w:val="000F6360"/>
    <w:rsid w:val="00101D1B"/>
    <w:rsid w:val="00103836"/>
    <w:rsid w:val="00105F00"/>
    <w:rsid w:val="00113D4F"/>
    <w:rsid w:val="00123E9D"/>
    <w:rsid w:val="001350E0"/>
    <w:rsid w:val="0013692D"/>
    <w:rsid w:val="00140275"/>
    <w:rsid w:val="0014411B"/>
    <w:rsid w:val="0014498E"/>
    <w:rsid w:val="00144E81"/>
    <w:rsid w:val="00147BCC"/>
    <w:rsid w:val="00150AC8"/>
    <w:rsid w:val="00154269"/>
    <w:rsid w:val="00162909"/>
    <w:rsid w:val="00162C52"/>
    <w:rsid w:val="001646F2"/>
    <w:rsid w:val="001657B3"/>
    <w:rsid w:val="00171067"/>
    <w:rsid w:val="001710ED"/>
    <w:rsid w:val="00172658"/>
    <w:rsid w:val="00173A03"/>
    <w:rsid w:val="00182AEF"/>
    <w:rsid w:val="00191598"/>
    <w:rsid w:val="001A142B"/>
    <w:rsid w:val="001A541E"/>
    <w:rsid w:val="001A672F"/>
    <w:rsid w:val="001B04FF"/>
    <w:rsid w:val="001B157E"/>
    <w:rsid w:val="001B3C62"/>
    <w:rsid w:val="001D0C44"/>
    <w:rsid w:val="001E69A0"/>
    <w:rsid w:val="001F0813"/>
    <w:rsid w:val="001F421F"/>
    <w:rsid w:val="001F4C90"/>
    <w:rsid w:val="001F6AA3"/>
    <w:rsid w:val="00226678"/>
    <w:rsid w:val="00234135"/>
    <w:rsid w:val="0024503A"/>
    <w:rsid w:val="00260C95"/>
    <w:rsid w:val="00261AF1"/>
    <w:rsid w:val="00263E56"/>
    <w:rsid w:val="0026417D"/>
    <w:rsid w:val="002654FD"/>
    <w:rsid w:val="0026578E"/>
    <w:rsid w:val="002733E6"/>
    <w:rsid w:val="002752AC"/>
    <w:rsid w:val="00275FD0"/>
    <w:rsid w:val="00292053"/>
    <w:rsid w:val="002A07E5"/>
    <w:rsid w:val="002B11D3"/>
    <w:rsid w:val="002B24D2"/>
    <w:rsid w:val="002C2DEC"/>
    <w:rsid w:val="002C4571"/>
    <w:rsid w:val="002C5610"/>
    <w:rsid w:val="002C641E"/>
    <w:rsid w:val="002D0399"/>
    <w:rsid w:val="002D6D95"/>
    <w:rsid w:val="002D7684"/>
    <w:rsid w:val="002E03A9"/>
    <w:rsid w:val="002E15FA"/>
    <w:rsid w:val="002E3D60"/>
    <w:rsid w:val="002F2327"/>
    <w:rsid w:val="003043C9"/>
    <w:rsid w:val="0030585D"/>
    <w:rsid w:val="00314FB7"/>
    <w:rsid w:val="00320909"/>
    <w:rsid w:val="00321F34"/>
    <w:rsid w:val="0032505F"/>
    <w:rsid w:val="00326B23"/>
    <w:rsid w:val="0033349B"/>
    <w:rsid w:val="003346C4"/>
    <w:rsid w:val="00340669"/>
    <w:rsid w:val="0034775E"/>
    <w:rsid w:val="003525B3"/>
    <w:rsid w:val="00353936"/>
    <w:rsid w:val="00356BAF"/>
    <w:rsid w:val="0037141C"/>
    <w:rsid w:val="003748C8"/>
    <w:rsid w:val="003759F0"/>
    <w:rsid w:val="003806BB"/>
    <w:rsid w:val="00381258"/>
    <w:rsid w:val="0039449D"/>
    <w:rsid w:val="00394EA2"/>
    <w:rsid w:val="003957D2"/>
    <w:rsid w:val="003A0C63"/>
    <w:rsid w:val="003B5023"/>
    <w:rsid w:val="003C4055"/>
    <w:rsid w:val="003C5200"/>
    <w:rsid w:val="003C5F85"/>
    <w:rsid w:val="003D4091"/>
    <w:rsid w:val="003E2050"/>
    <w:rsid w:val="0040022C"/>
    <w:rsid w:val="00401332"/>
    <w:rsid w:val="00404601"/>
    <w:rsid w:val="00404706"/>
    <w:rsid w:val="00413961"/>
    <w:rsid w:val="00413A58"/>
    <w:rsid w:val="00416E27"/>
    <w:rsid w:val="00427E7E"/>
    <w:rsid w:val="00432B8D"/>
    <w:rsid w:val="004429A4"/>
    <w:rsid w:val="00450000"/>
    <w:rsid w:val="00451E49"/>
    <w:rsid w:val="004528FF"/>
    <w:rsid w:val="00452A04"/>
    <w:rsid w:val="00452FCC"/>
    <w:rsid w:val="00461B51"/>
    <w:rsid w:val="00463C2A"/>
    <w:rsid w:val="00471F5E"/>
    <w:rsid w:val="00472DD9"/>
    <w:rsid w:val="0047335D"/>
    <w:rsid w:val="00473CBB"/>
    <w:rsid w:val="00477F25"/>
    <w:rsid w:val="004846E0"/>
    <w:rsid w:val="00492F74"/>
    <w:rsid w:val="004A086E"/>
    <w:rsid w:val="004A0998"/>
    <w:rsid w:val="004B0E39"/>
    <w:rsid w:val="004B2785"/>
    <w:rsid w:val="004B2DC0"/>
    <w:rsid w:val="004B784D"/>
    <w:rsid w:val="004C11DE"/>
    <w:rsid w:val="004C5B82"/>
    <w:rsid w:val="004C7756"/>
    <w:rsid w:val="004D00EB"/>
    <w:rsid w:val="004E320B"/>
    <w:rsid w:val="004E377A"/>
    <w:rsid w:val="004F0840"/>
    <w:rsid w:val="004F1D5E"/>
    <w:rsid w:val="004F3FC4"/>
    <w:rsid w:val="004F5E61"/>
    <w:rsid w:val="004F6723"/>
    <w:rsid w:val="004F7FE6"/>
    <w:rsid w:val="00512E30"/>
    <w:rsid w:val="005150E4"/>
    <w:rsid w:val="005308AC"/>
    <w:rsid w:val="0053461A"/>
    <w:rsid w:val="0053771A"/>
    <w:rsid w:val="0054589F"/>
    <w:rsid w:val="0055000B"/>
    <w:rsid w:val="00555BEF"/>
    <w:rsid w:val="005601C2"/>
    <w:rsid w:val="00563CBA"/>
    <w:rsid w:val="0057313B"/>
    <w:rsid w:val="00576A8C"/>
    <w:rsid w:val="0058253F"/>
    <w:rsid w:val="005914D7"/>
    <w:rsid w:val="005931C4"/>
    <w:rsid w:val="00594D30"/>
    <w:rsid w:val="005A0D4A"/>
    <w:rsid w:val="005C2514"/>
    <w:rsid w:val="005C3528"/>
    <w:rsid w:val="005C7109"/>
    <w:rsid w:val="005D1862"/>
    <w:rsid w:val="005D485E"/>
    <w:rsid w:val="005D7F98"/>
    <w:rsid w:val="005E7286"/>
    <w:rsid w:val="005F2EB5"/>
    <w:rsid w:val="005F2F86"/>
    <w:rsid w:val="005F707E"/>
    <w:rsid w:val="005F7379"/>
    <w:rsid w:val="006230B0"/>
    <w:rsid w:val="00626400"/>
    <w:rsid w:val="0063090A"/>
    <w:rsid w:val="00646A84"/>
    <w:rsid w:val="006473E7"/>
    <w:rsid w:val="00650494"/>
    <w:rsid w:val="00653DAC"/>
    <w:rsid w:val="006554B8"/>
    <w:rsid w:val="0065756E"/>
    <w:rsid w:val="006726A3"/>
    <w:rsid w:val="00674048"/>
    <w:rsid w:val="00682184"/>
    <w:rsid w:val="0068269F"/>
    <w:rsid w:val="00683026"/>
    <w:rsid w:val="00687780"/>
    <w:rsid w:val="006B0974"/>
    <w:rsid w:val="006B2327"/>
    <w:rsid w:val="006B4C6D"/>
    <w:rsid w:val="006B7574"/>
    <w:rsid w:val="006C1EAB"/>
    <w:rsid w:val="006C624B"/>
    <w:rsid w:val="006D0CDB"/>
    <w:rsid w:val="006D7379"/>
    <w:rsid w:val="006E010F"/>
    <w:rsid w:val="006E49C5"/>
    <w:rsid w:val="006E59C2"/>
    <w:rsid w:val="006F038B"/>
    <w:rsid w:val="006F34C7"/>
    <w:rsid w:val="006F6ECC"/>
    <w:rsid w:val="007018D6"/>
    <w:rsid w:val="00703898"/>
    <w:rsid w:val="00704A1E"/>
    <w:rsid w:val="007103D5"/>
    <w:rsid w:val="00713105"/>
    <w:rsid w:val="00720B6C"/>
    <w:rsid w:val="00730EB7"/>
    <w:rsid w:val="007372C5"/>
    <w:rsid w:val="00741DD1"/>
    <w:rsid w:val="00743EE1"/>
    <w:rsid w:val="007442F8"/>
    <w:rsid w:val="00762F54"/>
    <w:rsid w:val="00763D57"/>
    <w:rsid w:val="00764BCE"/>
    <w:rsid w:val="00764E33"/>
    <w:rsid w:val="00767018"/>
    <w:rsid w:val="00777713"/>
    <w:rsid w:val="00780889"/>
    <w:rsid w:val="00785007"/>
    <w:rsid w:val="00792815"/>
    <w:rsid w:val="007A0CED"/>
    <w:rsid w:val="007A15E6"/>
    <w:rsid w:val="007A6687"/>
    <w:rsid w:val="007E605D"/>
    <w:rsid w:val="007F364C"/>
    <w:rsid w:val="00802251"/>
    <w:rsid w:val="00802768"/>
    <w:rsid w:val="00802E6C"/>
    <w:rsid w:val="00804228"/>
    <w:rsid w:val="00804982"/>
    <w:rsid w:val="00805A48"/>
    <w:rsid w:val="0080613A"/>
    <w:rsid w:val="00810B71"/>
    <w:rsid w:val="00814A7B"/>
    <w:rsid w:val="00814ED1"/>
    <w:rsid w:val="00822294"/>
    <w:rsid w:val="00825DF1"/>
    <w:rsid w:val="00842A4D"/>
    <w:rsid w:val="0084461B"/>
    <w:rsid w:val="00845FF7"/>
    <w:rsid w:val="00867F40"/>
    <w:rsid w:val="008711A8"/>
    <w:rsid w:val="0087228C"/>
    <w:rsid w:val="00885B69"/>
    <w:rsid w:val="00885F0A"/>
    <w:rsid w:val="00886F02"/>
    <w:rsid w:val="00891FCC"/>
    <w:rsid w:val="008948D6"/>
    <w:rsid w:val="008A20C5"/>
    <w:rsid w:val="008A382A"/>
    <w:rsid w:val="008B16C1"/>
    <w:rsid w:val="008B32C4"/>
    <w:rsid w:val="008B3632"/>
    <w:rsid w:val="008B4525"/>
    <w:rsid w:val="008B7475"/>
    <w:rsid w:val="008C22C1"/>
    <w:rsid w:val="008C3509"/>
    <w:rsid w:val="008C5B5A"/>
    <w:rsid w:val="008D1E65"/>
    <w:rsid w:val="008E04C1"/>
    <w:rsid w:val="008E41A1"/>
    <w:rsid w:val="008E555B"/>
    <w:rsid w:val="008E5927"/>
    <w:rsid w:val="008E780B"/>
    <w:rsid w:val="008F41A1"/>
    <w:rsid w:val="00900190"/>
    <w:rsid w:val="00900584"/>
    <w:rsid w:val="00900FFC"/>
    <w:rsid w:val="009105F1"/>
    <w:rsid w:val="00913CCB"/>
    <w:rsid w:val="0092274B"/>
    <w:rsid w:val="00925247"/>
    <w:rsid w:val="009321F4"/>
    <w:rsid w:val="00940854"/>
    <w:rsid w:val="00952BE6"/>
    <w:rsid w:val="00957AB7"/>
    <w:rsid w:val="00962E16"/>
    <w:rsid w:val="0096737E"/>
    <w:rsid w:val="00970018"/>
    <w:rsid w:val="00970BD6"/>
    <w:rsid w:val="00970DC2"/>
    <w:rsid w:val="00970F64"/>
    <w:rsid w:val="00983851"/>
    <w:rsid w:val="00984B9B"/>
    <w:rsid w:val="00995E7A"/>
    <w:rsid w:val="009A0AB2"/>
    <w:rsid w:val="009A1B7E"/>
    <w:rsid w:val="009A4469"/>
    <w:rsid w:val="009A692F"/>
    <w:rsid w:val="009A6B19"/>
    <w:rsid w:val="009C2B05"/>
    <w:rsid w:val="009C46EB"/>
    <w:rsid w:val="009D064A"/>
    <w:rsid w:val="009D54C2"/>
    <w:rsid w:val="009E02AD"/>
    <w:rsid w:val="009E4497"/>
    <w:rsid w:val="00A11929"/>
    <w:rsid w:val="00A17F95"/>
    <w:rsid w:val="00A35D20"/>
    <w:rsid w:val="00A47753"/>
    <w:rsid w:val="00A50F66"/>
    <w:rsid w:val="00A536ED"/>
    <w:rsid w:val="00A663EA"/>
    <w:rsid w:val="00A724AD"/>
    <w:rsid w:val="00A77EA5"/>
    <w:rsid w:val="00A813D4"/>
    <w:rsid w:val="00A95BE1"/>
    <w:rsid w:val="00AA597E"/>
    <w:rsid w:val="00AC13A9"/>
    <w:rsid w:val="00AC1694"/>
    <w:rsid w:val="00AD3F8D"/>
    <w:rsid w:val="00AD55CE"/>
    <w:rsid w:val="00AD6969"/>
    <w:rsid w:val="00AD7484"/>
    <w:rsid w:val="00AE2C61"/>
    <w:rsid w:val="00AE3F74"/>
    <w:rsid w:val="00AE6D54"/>
    <w:rsid w:val="00AF7FA0"/>
    <w:rsid w:val="00B000B3"/>
    <w:rsid w:val="00B012C4"/>
    <w:rsid w:val="00B0183E"/>
    <w:rsid w:val="00B10050"/>
    <w:rsid w:val="00B13E85"/>
    <w:rsid w:val="00B15B13"/>
    <w:rsid w:val="00B23E9A"/>
    <w:rsid w:val="00B267D8"/>
    <w:rsid w:val="00B33375"/>
    <w:rsid w:val="00B33B72"/>
    <w:rsid w:val="00B40790"/>
    <w:rsid w:val="00B41A07"/>
    <w:rsid w:val="00B41ED5"/>
    <w:rsid w:val="00B42BA1"/>
    <w:rsid w:val="00B452B9"/>
    <w:rsid w:val="00B467C9"/>
    <w:rsid w:val="00B518A2"/>
    <w:rsid w:val="00B55D0A"/>
    <w:rsid w:val="00B63290"/>
    <w:rsid w:val="00B634DF"/>
    <w:rsid w:val="00B66FF6"/>
    <w:rsid w:val="00B77154"/>
    <w:rsid w:val="00B80E2E"/>
    <w:rsid w:val="00B819FE"/>
    <w:rsid w:val="00B82D71"/>
    <w:rsid w:val="00B96F6E"/>
    <w:rsid w:val="00B973D4"/>
    <w:rsid w:val="00BA0A92"/>
    <w:rsid w:val="00BB243E"/>
    <w:rsid w:val="00BB3751"/>
    <w:rsid w:val="00BB7882"/>
    <w:rsid w:val="00BC2EF6"/>
    <w:rsid w:val="00BC4EA9"/>
    <w:rsid w:val="00BD09A7"/>
    <w:rsid w:val="00BD3D07"/>
    <w:rsid w:val="00BD79CB"/>
    <w:rsid w:val="00BE2912"/>
    <w:rsid w:val="00C00C64"/>
    <w:rsid w:val="00C01886"/>
    <w:rsid w:val="00C0210F"/>
    <w:rsid w:val="00C03E00"/>
    <w:rsid w:val="00C042DA"/>
    <w:rsid w:val="00C05207"/>
    <w:rsid w:val="00C06FD2"/>
    <w:rsid w:val="00C134AD"/>
    <w:rsid w:val="00C16B1D"/>
    <w:rsid w:val="00C25612"/>
    <w:rsid w:val="00C30A1F"/>
    <w:rsid w:val="00C34E3B"/>
    <w:rsid w:val="00C36A31"/>
    <w:rsid w:val="00C463A8"/>
    <w:rsid w:val="00C4780C"/>
    <w:rsid w:val="00C55AF8"/>
    <w:rsid w:val="00C60578"/>
    <w:rsid w:val="00C66EF1"/>
    <w:rsid w:val="00C70CD7"/>
    <w:rsid w:val="00C808D3"/>
    <w:rsid w:val="00CA40CD"/>
    <w:rsid w:val="00CA4F0E"/>
    <w:rsid w:val="00CB5F4C"/>
    <w:rsid w:val="00CC1445"/>
    <w:rsid w:val="00CC15FD"/>
    <w:rsid w:val="00CC704E"/>
    <w:rsid w:val="00CD0815"/>
    <w:rsid w:val="00CD0C3C"/>
    <w:rsid w:val="00CD6F8E"/>
    <w:rsid w:val="00CE35D1"/>
    <w:rsid w:val="00CF2ECB"/>
    <w:rsid w:val="00CF3963"/>
    <w:rsid w:val="00CF63DA"/>
    <w:rsid w:val="00CF731E"/>
    <w:rsid w:val="00D47082"/>
    <w:rsid w:val="00D516FF"/>
    <w:rsid w:val="00D52490"/>
    <w:rsid w:val="00D54163"/>
    <w:rsid w:val="00D57273"/>
    <w:rsid w:val="00D57413"/>
    <w:rsid w:val="00D6280A"/>
    <w:rsid w:val="00D66EE8"/>
    <w:rsid w:val="00D67817"/>
    <w:rsid w:val="00D70C27"/>
    <w:rsid w:val="00D8197B"/>
    <w:rsid w:val="00D81F23"/>
    <w:rsid w:val="00D822D5"/>
    <w:rsid w:val="00D8234C"/>
    <w:rsid w:val="00D864AC"/>
    <w:rsid w:val="00D87E24"/>
    <w:rsid w:val="00D910B7"/>
    <w:rsid w:val="00D91C98"/>
    <w:rsid w:val="00D95C75"/>
    <w:rsid w:val="00DB24C5"/>
    <w:rsid w:val="00DB6319"/>
    <w:rsid w:val="00DC18B7"/>
    <w:rsid w:val="00DC7A53"/>
    <w:rsid w:val="00E003A1"/>
    <w:rsid w:val="00E02B87"/>
    <w:rsid w:val="00E158DA"/>
    <w:rsid w:val="00E160EB"/>
    <w:rsid w:val="00E17A0D"/>
    <w:rsid w:val="00E20E02"/>
    <w:rsid w:val="00E21A8A"/>
    <w:rsid w:val="00E455A5"/>
    <w:rsid w:val="00E45DB7"/>
    <w:rsid w:val="00E463EF"/>
    <w:rsid w:val="00E50BE0"/>
    <w:rsid w:val="00E54705"/>
    <w:rsid w:val="00E63305"/>
    <w:rsid w:val="00E637E9"/>
    <w:rsid w:val="00E71611"/>
    <w:rsid w:val="00E71FA2"/>
    <w:rsid w:val="00E8127A"/>
    <w:rsid w:val="00E81AE2"/>
    <w:rsid w:val="00E9087C"/>
    <w:rsid w:val="00E92706"/>
    <w:rsid w:val="00EA4630"/>
    <w:rsid w:val="00EA6B46"/>
    <w:rsid w:val="00EB176B"/>
    <w:rsid w:val="00EB47F7"/>
    <w:rsid w:val="00EC3C9D"/>
    <w:rsid w:val="00ED0464"/>
    <w:rsid w:val="00ED1DAA"/>
    <w:rsid w:val="00ED5CEF"/>
    <w:rsid w:val="00ED695B"/>
    <w:rsid w:val="00EE1DDF"/>
    <w:rsid w:val="00EF0E7E"/>
    <w:rsid w:val="00F05BD9"/>
    <w:rsid w:val="00F11C98"/>
    <w:rsid w:val="00F16F77"/>
    <w:rsid w:val="00F21037"/>
    <w:rsid w:val="00F243D0"/>
    <w:rsid w:val="00F26C09"/>
    <w:rsid w:val="00F32B57"/>
    <w:rsid w:val="00F33BC4"/>
    <w:rsid w:val="00F3655F"/>
    <w:rsid w:val="00F373E4"/>
    <w:rsid w:val="00F42905"/>
    <w:rsid w:val="00F43116"/>
    <w:rsid w:val="00F45327"/>
    <w:rsid w:val="00F45F14"/>
    <w:rsid w:val="00F506AC"/>
    <w:rsid w:val="00F54629"/>
    <w:rsid w:val="00F726C2"/>
    <w:rsid w:val="00F84A34"/>
    <w:rsid w:val="00F86256"/>
    <w:rsid w:val="00F97E78"/>
    <w:rsid w:val="00FA2712"/>
    <w:rsid w:val="00FA2FC6"/>
    <w:rsid w:val="00FB43B8"/>
    <w:rsid w:val="00FC304C"/>
    <w:rsid w:val="00FC632F"/>
    <w:rsid w:val="00FC6443"/>
    <w:rsid w:val="00FD0716"/>
    <w:rsid w:val="00FD6404"/>
    <w:rsid w:val="00FE3AEC"/>
    <w:rsid w:val="00FF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B7C2FD"/>
  <w15:docId w15:val="{75C34F73-BCFD-4392-BFD8-61B7E892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4C7"/>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paragraph" w:customStyle="1" w:styleId="TableParagraph">
    <w:name w:val="Table Paragraph"/>
    <w:basedOn w:val="Normal"/>
    <w:uiPriority w:val="1"/>
    <w:qFormat/>
    <w:rsid w:val="00F16F77"/>
    <w:pPr>
      <w:widowControl w:val="0"/>
      <w:autoSpaceDE w:val="0"/>
      <w:autoSpaceDN w:val="0"/>
      <w:ind w:left="107"/>
    </w:pPr>
    <w:rPr>
      <w:rFonts w:eastAsia="Arial" w:cs="Arial"/>
      <w:bCs w:val="0"/>
      <w:sz w:val="22"/>
      <w:szCs w:val="22"/>
      <w:lang w:eastAsia="en-GB" w:bidi="en-GB"/>
    </w:rPr>
  </w:style>
  <w:style w:type="character" w:styleId="CommentReference">
    <w:name w:val="annotation reference"/>
    <w:basedOn w:val="DefaultParagraphFont"/>
    <w:uiPriority w:val="99"/>
    <w:semiHidden/>
    <w:unhideWhenUsed/>
    <w:rsid w:val="00147BCC"/>
    <w:rPr>
      <w:sz w:val="16"/>
      <w:szCs w:val="16"/>
    </w:rPr>
  </w:style>
  <w:style w:type="paragraph" w:styleId="CommentText">
    <w:name w:val="annotation text"/>
    <w:basedOn w:val="Normal"/>
    <w:link w:val="CommentTextChar"/>
    <w:uiPriority w:val="99"/>
    <w:unhideWhenUsed/>
    <w:rsid w:val="00147BCC"/>
    <w:rPr>
      <w:sz w:val="20"/>
      <w:szCs w:val="20"/>
    </w:rPr>
  </w:style>
  <w:style w:type="character" w:customStyle="1" w:styleId="CommentTextChar">
    <w:name w:val="Comment Text Char"/>
    <w:basedOn w:val="DefaultParagraphFont"/>
    <w:link w:val="CommentText"/>
    <w:uiPriority w:val="99"/>
    <w:rsid w:val="00147BCC"/>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147BCC"/>
    <w:rPr>
      <w:b/>
    </w:rPr>
  </w:style>
  <w:style w:type="character" w:customStyle="1" w:styleId="CommentSubjectChar">
    <w:name w:val="Comment Subject Char"/>
    <w:basedOn w:val="CommentTextChar"/>
    <w:link w:val="CommentSubject"/>
    <w:uiPriority w:val="99"/>
    <w:semiHidden/>
    <w:rsid w:val="00147BCC"/>
    <w:rPr>
      <w:rFonts w:ascii="Arial" w:eastAsia="Times New Roman" w:hAnsi="Arial" w:cs="Times New Roman"/>
      <w:b/>
      <w:bCs/>
      <w:sz w:val="20"/>
      <w:szCs w:val="20"/>
    </w:rPr>
  </w:style>
  <w:style w:type="paragraph" w:customStyle="1" w:styleId="m-175348693228344381msolistparagraph">
    <w:name w:val="m_-175348693228344381msolistparagraph"/>
    <w:basedOn w:val="Normal"/>
    <w:rsid w:val="009D064A"/>
    <w:pPr>
      <w:spacing w:before="100" w:beforeAutospacing="1" w:after="100" w:afterAutospacing="1"/>
    </w:pPr>
    <w:rPr>
      <w:rFonts w:ascii="Times New Roman" w:hAnsi="Times New Roman"/>
      <w:bCs w:val="0"/>
      <w:szCs w:val="24"/>
      <w:lang w:eastAsia="en-GB"/>
    </w:rPr>
  </w:style>
  <w:style w:type="paragraph" w:customStyle="1" w:styleId="m962791338746424281msolistparagraph">
    <w:name w:val="m_962791338746424281msolistparagraph"/>
    <w:basedOn w:val="Normal"/>
    <w:rsid w:val="009D064A"/>
    <w:pPr>
      <w:spacing w:before="100" w:beforeAutospacing="1" w:after="100" w:afterAutospacing="1"/>
    </w:pPr>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8278">
      <w:bodyDiv w:val="1"/>
      <w:marLeft w:val="0"/>
      <w:marRight w:val="0"/>
      <w:marTop w:val="0"/>
      <w:marBottom w:val="0"/>
      <w:divBdr>
        <w:top w:val="none" w:sz="0" w:space="0" w:color="auto"/>
        <w:left w:val="none" w:sz="0" w:space="0" w:color="auto"/>
        <w:bottom w:val="none" w:sz="0" w:space="0" w:color="auto"/>
        <w:right w:val="none" w:sz="0" w:space="0" w:color="auto"/>
      </w:divBdr>
    </w:div>
    <w:div w:id="205459270">
      <w:bodyDiv w:val="1"/>
      <w:marLeft w:val="0"/>
      <w:marRight w:val="0"/>
      <w:marTop w:val="0"/>
      <w:marBottom w:val="0"/>
      <w:divBdr>
        <w:top w:val="none" w:sz="0" w:space="0" w:color="auto"/>
        <w:left w:val="none" w:sz="0" w:space="0" w:color="auto"/>
        <w:bottom w:val="none" w:sz="0" w:space="0" w:color="auto"/>
        <w:right w:val="none" w:sz="0" w:space="0" w:color="auto"/>
      </w:divBdr>
    </w:div>
    <w:div w:id="266429921">
      <w:bodyDiv w:val="1"/>
      <w:marLeft w:val="0"/>
      <w:marRight w:val="0"/>
      <w:marTop w:val="0"/>
      <w:marBottom w:val="0"/>
      <w:divBdr>
        <w:top w:val="none" w:sz="0" w:space="0" w:color="auto"/>
        <w:left w:val="none" w:sz="0" w:space="0" w:color="auto"/>
        <w:bottom w:val="none" w:sz="0" w:space="0" w:color="auto"/>
        <w:right w:val="none" w:sz="0" w:space="0" w:color="auto"/>
      </w:divBdr>
    </w:div>
    <w:div w:id="409084876">
      <w:bodyDiv w:val="1"/>
      <w:marLeft w:val="0"/>
      <w:marRight w:val="0"/>
      <w:marTop w:val="0"/>
      <w:marBottom w:val="0"/>
      <w:divBdr>
        <w:top w:val="none" w:sz="0" w:space="0" w:color="auto"/>
        <w:left w:val="none" w:sz="0" w:space="0" w:color="auto"/>
        <w:bottom w:val="none" w:sz="0" w:space="0" w:color="auto"/>
        <w:right w:val="none" w:sz="0" w:space="0" w:color="auto"/>
      </w:divBdr>
    </w:div>
    <w:div w:id="717437166">
      <w:bodyDiv w:val="1"/>
      <w:marLeft w:val="0"/>
      <w:marRight w:val="0"/>
      <w:marTop w:val="0"/>
      <w:marBottom w:val="0"/>
      <w:divBdr>
        <w:top w:val="none" w:sz="0" w:space="0" w:color="auto"/>
        <w:left w:val="none" w:sz="0" w:space="0" w:color="auto"/>
        <w:bottom w:val="none" w:sz="0" w:space="0" w:color="auto"/>
        <w:right w:val="none" w:sz="0" w:space="0" w:color="auto"/>
      </w:divBdr>
    </w:div>
    <w:div w:id="799803822">
      <w:bodyDiv w:val="1"/>
      <w:marLeft w:val="0"/>
      <w:marRight w:val="0"/>
      <w:marTop w:val="0"/>
      <w:marBottom w:val="0"/>
      <w:divBdr>
        <w:top w:val="none" w:sz="0" w:space="0" w:color="auto"/>
        <w:left w:val="none" w:sz="0" w:space="0" w:color="auto"/>
        <w:bottom w:val="none" w:sz="0" w:space="0" w:color="auto"/>
        <w:right w:val="none" w:sz="0" w:space="0" w:color="auto"/>
      </w:divBdr>
    </w:div>
    <w:div w:id="941299385">
      <w:bodyDiv w:val="1"/>
      <w:marLeft w:val="0"/>
      <w:marRight w:val="0"/>
      <w:marTop w:val="0"/>
      <w:marBottom w:val="0"/>
      <w:divBdr>
        <w:top w:val="none" w:sz="0" w:space="0" w:color="auto"/>
        <w:left w:val="none" w:sz="0" w:space="0" w:color="auto"/>
        <w:bottom w:val="none" w:sz="0" w:space="0" w:color="auto"/>
        <w:right w:val="none" w:sz="0" w:space="0" w:color="auto"/>
      </w:divBdr>
    </w:div>
    <w:div w:id="970599449">
      <w:bodyDiv w:val="1"/>
      <w:marLeft w:val="0"/>
      <w:marRight w:val="0"/>
      <w:marTop w:val="0"/>
      <w:marBottom w:val="0"/>
      <w:divBdr>
        <w:top w:val="none" w:sz="0" w:space="0" w:color="auto"/>
        <w:left w:val="none" w:sz="0" w:space="0" w:color="auto"/>
        <w:bottom w:val="none" w:sz="0" w:space="0" w:color="auto"/>
        <w:right w:val="none" w:sz="0" w:space="0" w:color="auto"/>
      </w:divBdr>
    </w:div>
    <w:div w:id="1055350068">
      <w:bodyDiv w:val="1"/>
      <w:marLeft w:val="0"/>
      <w:marRight w:val="0"/>
      <w:marTop w:val="0"/>
      <w:marBottom w:val="0"/>
      <w:divBdr>
        <w:top w:val="none" w:sz="0" w:space="0" w:color="auto"/>
        <w:left w:val="none" w:sz="0" w:space="0" w:color="auto"/>
        <w:bottom w:val="none" w:sz="0" w:space="0" w:color="auto"/>
        <w:right w:val="none" w:sz="0" w:space="0" w:color="auto"/>
      </w:divBdr>
    </w:div>
    <w:div w:id="1087384524">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432162159">
      <w:bodyDiv w:val="1"/>
      <w:marLeft w:val="0"/>
      <w:marRight w:val="0"/>
      <w:marTop w:val="0"/>
      <w:marBottom w:val="0"/>
      <w:divBdr>
        <w:top w:val="none" w:sz="0" w:space="0" w:color="auto"/>
        <w:left w:val="none" w:sz="0" w:space="0" w:color="auto"/>
        <w:bottom w:val="none" w:sz="0" w:space="0" w:color="auto"/>
        <w:right w:val="none" w:sz="0" w:space="0" w:color="auto"/>
      </w:divBdr>
    </w:div>
    <w:div w:id="1449546888">
      <w:bodyDiv w:val="1"/>
      <w:marLeft w:val="0"/>
      <w:marRight w:val="0"/>
      <w:marTop w:val="0"/>
      <w:marBottom w:val="0"/>
      <w:divBdr>
        <w:top w:val="none" w:sz="0" w:space="0" w:color="auto"/>
        <w:left w:val="none" w:sz="0" w:space="0" w:color="auto"/>
        <w:bottom w:val="none" w:sz="0" w:space="0" w:color="auto"/>
        <w:right w:val="none" w:sz="0" w:space="0" w:color="auto"/>
      </w:divBdr>
    </w:div>
    <w:div w:id="1899633013">
      <w:bodyDiv w:val="1"/>
      <w:marLeft w:val="0"/>
      <w:marRight w:val="0"/>
      <w:marTop w:val="0"/>
      <w:marBottom w:val="0"/>
      <w:divBdr>
        <w:top w:val="none" w:sz="0" w:space="0" w:color="auto"/>
        <w:left w:val="none" w:sz="0" w:space="0" w:color="auto"/>
        <w:bottom w:val="none" w:sz="0" w:space="0" w:color="auto"/>
        <w:right w:val="none" w:sz="0" w:space="0" w:color="auto"/>
      </w:divBdr>
    </w:div>
    <w:div w:id="2002468862">
      <w:bodyDiv w:val="1"/>
      <w:marLeft w:val="0"/>
      <w:marRight w:val="0"/>
      <w:marTop w:val="0"/>
      <w:marBottom w:val="0"/>
      <w:divBdr>
        <w:top w:val="none" w:sz="0" w:space="0" w:color="auto"/>
        <w:left w:val="none" w:sz="0" w:space="0" w:color="auto"/>
        <w:bottom w:val="none" w:sz="0" w:space="0" w:color="auto"/>
        <w:right w:val="none" w:sz="0" w:space="0" w:color="auto"/>
      </w:divBdr>
    </w:div>
    <w:div w:id="2018069064">
      <w:bodyDiv w:val="1"/>
      <w:marLeft w:val="0"/>
      <w:marRight w:val="0"/>
      <w:marTop w:val="0"/>
      <w:marBottom w:val="0"/>
      <w:divBdr>
        <w:top w:val="none" w:sz="0" w:space="0" w:color="auto"/>
        <w:left w:val="none" w:sz="0" w:space="0" w:color="auto"/>
        <w:bottom w:val="none" w:sz="0" w:space="0" w:color="auto"/>
        <w:right w:val="none" w:sz="0" w:space="0" w:color="auto"/>
      </w:divBdr>
    </w:div>
    <w:div w:id="2074229251">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wildman@sth.nhs.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e\Dropbox\Shared\CFHealthHub\CQUIN2\Understanding%20costs%20by%20scenario%20vs%2019%2020181016%20DJ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Conservative assumptions</a:t>
            </a:r>
            <a:r>
              <a:rPr lang="en-GB" baseline="0"/>
              <a:t> regarding gradual realisation of savings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Savings'!$M$50</c:f>
              <c:strCache>
                <c:ptCount val="1"/>
                <c:pt idx="0">
                  <c:v> Proportion of potential reduced hospitalisations savings  </c:v>
                </c:pt>
              </c:strCache>
            </c:strRef>
          </c:tx>
          <c:spPr>
            <a:ln w="28575" cap="rnd">
              <a:solidFill>
                <a:schemeClr val="accent1"/>
              </a:solidFill>
              <a:round/>
            </a:ln>
            <a:effectLst/>
          </c:spPr>
          <c:marker>
            <c:symbol val="none"/>
          </c:marker>
          <c:cat>
            <c:numRef>
              <c:f>'New Savings'!$N$49:$Q$49</c:f>
              <c:numCache>
                <c:formatCode>m/d/yyyy</c:formatCode>
                <c:ptCount val="4"/>
                <c:pt idx="0">
                  <c:v>43555</c:v>
                </c:pt>
                <c:pt idx="1">
                  <c:v>43921</c:v>
                </c:pt>
                <c:pt idx="2">
                  <c:v>44286</c:v>
                </c:pt>
                <c:pt idx="3">
                  <c:v>44651</c:v>
                </c:pt>
              </c:numCache>
            </c:numRef>
          </c:cat>
          <c:val>
            <c:numRef>
              <c:f>'New Savings'!$N$50:$Q$50</c:f>
              <c:numCache>
                <c:formatCode>0%</c:formatCode>
                <c:ptCount val="4"/>
                <c:pt idx="0">
                  <c:v>0</c:v>
                </c:pt>
                <c:pt idx="1">
                  <c:v>0.5</c:v>
                </c:pt>
                <c:pt idx="2">
                  <c:v>0.9</c:v>
                </c:pt>
                <c:pt idx="3">
                  <c:v>1</c:v>
                </c:pt>
              </c:numCache>
            </c:numRef>
          </c:val>
          <c:smooth val="0"/>
          <c:extLst>
            <c:ext xmlns:c16="http://schemas.microsoft.com/office/drawing/2014/chart" uri="{C3380CC4-5D6E-409C-BE32-E72D297353CC}">
              <c16:uniqueId val="{00000000-BC7D-4BBB-8D2F-09E4F2ED140D}"/>
            </c:ext>
          </c:extLst>
        </c:ser>
        <c:ser>
          <c:idx val="1"/>
          <c:order val="1"/>
          <c:tx>
            <c:strRef>
              <c:f>'New Savings'!$M$51</c:f>
              <c:strCache>
                <c:ptCount val="1"/>
                <c:pt idx="0">
                  <c:v> Proportion of potential medicines optimisation savings </c:v>
                </c:pt>
              </c:strCache>
            </c:strRef>
          </c:tx>
          <c:spPr>
            <a:ln w="28575" cap="rnd">
              <a:solidFill>
                <a:schemeClr val="accent2"/>
              </a:solidFill>
              <a:round/>
            </a:ln>
            <a:effectLst/>
          </c:spPr>
          <c:marker>
            <c:symbol val="none"/>
          </c:marker>
          <c:cat>
            <c:numRef>
              <c:f>'New Savings'!$N$49:$Q$49</c:f>
              <c:numCache>
                <c:formatCode>m/d/yyyy</c:formatCode>
                <c:ptCount val="4"/>
                <c:pt idx="0">
                  <c:v>43555</c:v>
                </c:pt>
                <c:pt idx="1">
                  <c:v>43921</c:v>
                </c:pt>
                <c:pt idx="2">
                  <c:v>44286</c:v>
                </c:pt>
                <c:pt idx="3">
                  <c:v>44651</c:v>
                </c:pt>
              </c:numCache>
            </c:numRef>
          </c:cat>
          <c:val>
            <c:numRef>
              <c:f>'New Savings'!$N$51:$Q$51</c:f>
              <c:numCache>
                <c:formatCode>0%</c:formatCode>
                <c:ptCount val="4"/>
                <c:pt idx="0">
                  <c:v>0</c:v>
                </c:pt>
                <c:pt idx="1">
                  <c:v>1</c:v>
                </c:pt>
                <c:pt idx="2">
                  <c:v>1</c:v>
                </c:pt>
                <c:pt idx="3">
                  <c:v>1</c:v>
                </c:pt>
              </c:numCache>
            </c:numRef>
          </c:val>
          <c:smooth val="0"/>
          <c:extLst>
            <c:ext xmlns:c16="http://schemas.microsoft.com/office/drawing/2014/chart" uri="{C3380CC4-5D6E-409C-BE32-E72D297353CC}">
              <c16:uniqueId val="{00000001-BC7D-4BBB-8D2F-09E4F2ED140D}"/>
            </c:ext>
          </c:extLst>
        </c:ser>
        <c:dLbls>
          <c:showLegendKey val="0"/>
          <c:showVal val="0"/>
          <c:showCatName val="0"/>
          <c:showSerName val="0"/>
          <c:showPercent val="0"/>
          <c:showBubbleSize val="0"/>
        </c:dLbls>
        <c:smooth val="0"/>
        <c:axId val="70121344"/>
        <c:axId val="70122880"/>
      </c:lineChart>
      <c:catAx>
        <c:axId val="701213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22880"/>
        <c:crosses val="autoZero"/>
        <c:auto val="0"/>
        <c:lblAlgn val="ctr"/>
        <c:lblOffset val="100"/>
        <c:tickLblSkip val="1"/>
        <c:noMultiLvlLbl val="0"/>
      </c:catAx>
      <c:valAx>
        <c:axId val="70122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2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K57F673QWXRZ-1522804672-263</_dlc_DocId>
    <_dlc_DocIdUrl xmlns="cccaf3ac-2de9-44d4-aa31-54302fceb5f7">
      <Url>https://nhsengland.sharepoint.com/TeamCentre/Operations/SpecialisedCommissioning/TWA/Contracting/contracting1920/_layouts/15/DocIdRedir.aspx?ID=K57F673QWXRZ-1522804672-263</Url>
      <Description>K57F673QWXRZ-1522804672-263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7CBD-54E7-42C8-855F-FB4FC17AC484}">
  <ds:schemaRefs>
    <ds:schemaRef ds:uri="http://schemas.microsoft.com/sharepoint/events"/>
  </ds:schemaRefs>
</ds:datastoreItem>
</file>

<file path=customXml/itemProps2.xml><?xml version="1.0" encoding="utf-8"?>
<ds:datastoreItem xmlns:ds="http://schemas.openxmlformats.org/officeDocument/2006/customXml" ds:itemID="{54F65928-D4E0-4287-8335-D11C5A96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A476-0FCE-4DC6-8724-BE4C9382D653}">
  <ds:schemaRefs>
    <ds:schemaRef ds:uri="51367701-27c8-403e-a234-85855c5cd7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e45911-8684-44ac-990d-f1e99ad4ef49"/>
    <ds:schemaRef ds:uri="cccaf3ac-2de9-44d4-aa31-54302fceb5f7"/>
    <ds:schemaRef ds:uri="http://www.w3.org/XML/1998/namespace"/>
    <ds:schemaRef ds:uri="http://purl.org/dc/dcmitype/"/>
  </ds:schemaRefs>
</ds:datastoreItem>
</file>

<file path=customXml/itemProps4.xml><?xml version="1.0" encoding="utf-8"?>
<ds:datastoreItem xmlns:ds="http://schemas.openxmlformats.org/officeDocument/2006/customXml" ds:itemID="{E4064BE5-4CB5-46C5-B1F1-A5A36B8A70CD}">
  <ds:schemaRefs>
    <ds:schemaRef ds:uri="http://schemas.microsoft.com/sharepoint/v3/contenttype/forms"/>
  </ds:schemaRefs>
</ds:datastoreItem>
</file>

<file path=customXml/itemProps5.xml><?xml version="1.0" encoding="utf-8"?>
<ds:datastoreItem xmlns:ds="http://schemas.openxmlformats.org/officeDocument/2006/customXml" ds:itemID="{28FD6775-1BEB-46FA-9E73-86010925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7982</Words>
  <Characters>45501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Towers, Jennifer</cp:lastModifiedBy>
  <cp:revision>3</cp:revision>
  <cp:lastPrinted>2018-10-01T07:39:00Z</cp:lastPrinted>
  <dcterms:created xsi:type="dcterms:W3CDTF">2019-07-03T22:48:00Z</dcterms:created>
  <dcterms:modified xsi:type="dcterms:W3CDTF">2019-07-08T15:51:00Z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4d34fca8-c658-4a34-98a4-a80303e6a01b</vt:lpwstr>
  </property>
</Properties>
</file>