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AFF" w:rsidRDefault="00D82AFF" w:rsidP="00D82AFF">
      <w:pPr>
        <w:pStyle w:val="Heading2"/>
        <w:numPr>
          <w:ilvl w:val="0"/>
          <w:numId w:val="0"/>
        </w:numPr>
        <w:jc w:val="right"/>
        <w:rPr>
          <w:rFonts w:cs="Arial"/>
          <w:color w:val="auto"/>
        </w:rPr>
      </w:pPr>
      <w:bookmarkStart w:id="0" w:name="_Toc444592572"/>
      <w:r>
        <w:rPr>
          <w:noProof/>
          <w:lang w:eastAsia="en-GB"/>
        </w:rPr>
        <w:drawing>
          <wp:inline distT="0" distB="0" distL="0" distR="0" wp14:anchorId="21111806" wp14:editId="27D37207">
            <wp:extent cx="1038225" cy="420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rsidR="00B965A3" w:rsidRDefault="00B965A3" w:rsidP="00CB2903">
      <w:pPr>
        <w:pStyle w:val="Heading2"/>
        <w:numPr>
          <w:ilvl w:val="0"/>
          <w:numId w:val="0"/>
        </w:numPr>
        <w:rPr>
          <w:rFonts w:cs="Arial"/>
          <w:i/>
        </w:rPr>
      </w:pPr>
      <w:r w:rsidRPr="001F421F">
        <w:rPr>
          <w:rFonts w:cs="Arial"/>
          <w:color w:val="auto"/>
        </w:rPr>
        <w:t>Indicator Template</w:t>
      </w:r>
      <w:r>
        <w:rPr>
          <w:rFonts w:cs="Arial"/>
          <w:i/>
        </w:rPr>
        <w:t xml:space="preserve"> </w:t>
      </w:r>
    </w:p>
    <w:p w:rsidR="00CB2903" w:rsidRDefault="00CB2903" w:rsidP="00CB2903">
      <w:pPr>
        <w:pStyle w:val="Heading2"/>
        <w:numPr>
          <w:ilvl w:val="0"/>
          <w:numId w:val="0"/>
        </w:numPr>
        <w:rPr>
          <w:rFonts w:cs="Arial"/>
          <w:i/>
        </w:rPr>
      </w:pPr>
      <w:r>
        <w:rPr>
          <w:rFonts w:cs="Arial"/>
          <w:i/>
        </w:rPr>
        <w:t>[Section B to be completed before insertion in contracts.]</w:t>
      </w:r>
    </w:p>
    <w:p w:rsidR="00154269" w:rsidRPr="000B3C6B" w:rsidRDefault="00ED071B" w:rsidP="00AD55CE">
      <w:pPr>
        <w:pStyle w:val="Heading2"/>
        <w:numPr>
          <w:ilvl w:val="0"/>
          <w:numId w:val="0"/>
        </w:numPr>
        <w:rPr>
          <w:rFonts w:cs="Arial"/>
          <w:color w:val="auto"/>
        </w:rPr>
      </w:pPr>
      <w:bookmarkStart w:id="1" w:name="_Hlk536719669"/>
      <w:r>
        <w:rPr>
          <w:rFonts w:cs="Arial"/>
          <w:color w:val="auto"/>
        </w:rPr>
        <w:t>PSS8</w:t>
      </w:r>
      <w:r w:rsidR="00234C4D" w:rsidRPr="000B3C6B">
        <w:rPr>
          <w:rFonts w:cs="Arial"/>
          <w:color w:val="auto"/>
        </w:rPr>
        <w:t xml:space="preserve"> Severe Asthma </w:t>
      </w:r>
      <w:bookmarkEnd w:id="0"/>
      <w:r w:rsidR="00133705" w:rsidRPr="00133705">
        <w:rPr>
          <w:rFonts w:cs="Arial"/>
          <w:color w:val="auto"/>
          <w:sz w:val="22"/>
        </w:rPr>
        <w:t>(v1 published 20 March 2019)</w:t>
      </w:r>
    </w:p>
    <w:tbl>
      <w:tblPr>
        <w:tblStyle w:val="TableGrid"/>
        <w:tblW w:w="5349" w:type="pct"/>
        <w:tblLook w:val="04A0" w:firstRow="1" w:lastRow="0" w:firstColumn="1" w:lastColumn="0" w:noHBand="0" w:noVBand="1"/>
      </w:tblPr>
      <w:tblGrid>
        <w:gridCol w:w="2319"/>
        <w:gridCol w:w="1103"/>
        <w:gridCol w:w="6090"/>
        <w:gridCol w:w="133"/>
      </w:tblGrid>
      <w:tr w:rsidR="00154269" w:rsidRPr="000412A1" w:rsidTr="008711A8">
        <w:trPr>
          <w:gridAfter w:val="1"/>
          <w:wAfter w:w="70" w:type="pct"/>
        </w:trPr>
        <w:tc>
          <w:tcPr>
            <w:tcW w:w="1202" w:type="pct"/>
            <w:shd w:val="clear" w:color="auto" w:fill="4F81BD" w:themeFill="accent1"/>
          </w:tcPr>
          <w:bookmarkEnd w:id="1"/>
          <w:p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rsidR="00154269" w:rsidRPr="00151EB5" w:rsidRDefault="00CE2CAD" w:rsidP="001F421F">
            <w:pPr>
              <w:rPr>
                <w:rFonts w:cs="Arial"/>
                <w:color w:val="FFFFFF" w:themeColor="background1"/>
                <w:szCs w:val="24"/>
              </w:rPr>
            </w:pPr>
            <w:r w:rsidRPr="00151EB5">
              <w:rPr>
                <w:rFonts w:cs="Arial"/>
                <w:color w:val="FFFFFF" w:themeColor="background1"/>
                <w:szCs w:val="24"/>
              </w:rPr>
              <w:t xml:space="preserve">Severe Asthma </w:t>
            </w:r>
            <w:r w:rsidR="00C56F91">
              <w:rPr>
                <w:rFonts w:cs="Arial"/>
                <w:color w:val="FFFFFF" w:themeColor="background1"/>
                <w:szCs w:val="24"/>
              </w:rPr>
              <w:t>Specialised Care Review</w:t>
            </w:r>
          </w:p>
        </w:tc>
      </w:tr>
      <w:tr w:rsidR="00326B23" w:rsidRPr="000412A1" w:rsidTr="0084461B">
        <w:trPr>
          <w:gridAfter w:val="1"/>
          <w:wAfter w:w="70" w:type="pct"/>
        </w:trPr>
        <w:tc>
          <w:tcPr>
            <w:tcW w:w="4930" w:type="pct"/>
            <w:gridSpan w:val="3"/>
            <w:shd w:val="clear" w:color="auto" w:fill="BFBFBF" w:themeFill="background1" w:themeFillShade="BF"/>
          </w:tcPr>
          <w:p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rsidTr="008711A8">
        <w:trPr>
          <w:gridAfter w:val="1"/>
          <w:wAfter w:w="70" w:type="pct"/>
        </w:trPr>
        <w:tc>
          <w:tcPr>
            <w:tcW w:w="1202" w:type="pct"/>
            <w:shd w:val="clear" w:color="auto" w:fill="D9D9D9" w:themeFill="background1" w:themeFillShade="D9"/>
          </w:tcPr>
          <w:p w:rsidR="00023708" w:rsidRDefault="00023708" w:rsidP="0084461B">
            <w:pPr>
              <w:rPr>
                <w:rFonts w:cs="Arial"/>
                <w:szCs w:val="24"/>
              </w:rPr>
            </w:pPr>
            <w:r>
              <w:rPr>
                <w:rFonts w:cs="Arial"/>
                <w:szCs w:val="24"/>
              </w:rPr>
              <w:t>Indicator Sponsor (with email address)</w:t>
            </w:r>
          </w:p>
        </w:tc>
        <w:tc>
          <w:tcPr>
            <w:tcW w:w="3729" w:type="pct"/>
            <w:gridSpan w:val="2"/>
          </w:tcPr>
          <w:p w:rsidR="00023708" w:rsidRPr="00CE2CAD" w:rsidRDefault="00CE2CAD" w:rsidP="0084461B">
            <w:pPr>
              <w:rPr>
                <w:rFonts w:cs="Arial"/>
                <w:szCs w:val="24"/>
              </w:rPr>
            </w:pPr>
            <w:r w:rsidRPr="00CE2CAD">
              <w:rPr>
                <w:rFonts w:cs="Arial"/>
                <w:szCs w:val="24"/>
              </w:rPr>
              <w:t>Kathy Blacker</w:t>
            </w:r>
          </w:p>
          <w:p w:rsidR="00CE2CAD" w:rsidRDefault="00133705" w:rsidP="0084461B">
            <w:pPr>
              <w:rPr>
                <w:rFonts w:cs="Arial"/>
                <w:szCs w:val="24"/>
              </w:rPr>
            </w:pPr>
            <w:hyperlink r:id="rId12" w:history="1">
              <w:r w:rsidR="00222EFC" w:rsidRPr="003067CD">
                <w:rPr>
                  <w:rStyle w:val="Hyperlink"/>
                  <w:rFonts w:cs="Arial"/>
                  <w:szCs w:val="24"/>
                </w:rPr>
                <w:t>Kathy.blacker@nhs.net</w:t>
              </w:r>
            </w:hyperlink>
          </w:p>
          <w:p w:rsidR="00222EFC" w:rsidRDefault="00222EFC" w:rsidP="0084461B">
            <w:pPr>
              <w:rPr>
                <w:rFonts w:cs="Arial"/>
                <w:i/>
                <w:szCs w:val="24"/>
              </w:rPr>
            </w:pPr>
          </w:p>
        </w:tc>
      </w:tr>
      <w:tr w:rsidR="00822294" w:rsidRPr="000412A1" w:rsidTr="008711A8">
        <w:trPr>
          <w:gridAfter w:val="1"/>
          <w:wAfter w:w="70" w:type="pct"/>
        </w:trPr>
        <w:tc>
          <w:tcPr>
            <w:tcW w:w="1202" w:type="pct"/>
            <w:shd w:val="clear" w:color="auto" w:fill="D9D9D9" w:themeFill="background1" w:themeFillShade="D9"/>
          </w:tcPr>
          <w:p w:rsidR="00822294" w:rsidRPr="000412A1" w:rsidRDefault="008506B7" w:rsidP="0084461B">
            <w:pPr>
              <w:rPr>
                <w:rFonts w:cs="Arial"/>
                <w:szCs w:val="24"/>
              </w:rPr>
            </w:pPr>
            <w:r>
              <w:rPr>
                <w:rFonts w:cs="Arial"/>
                <w:szCs w:val="24"/>
              </w:rPr>
              <w:t>Improving Value</w:t>
            </w:r>
            <w:r w:rsidR="00822294">
              <w:rPr>
                <w:rFonts w:cs="Arial"/>
                <w:szCs w:val="24"/>
              </w:rPr>
              <w:t xml:space="preserve"> Reference</w:t>
            </w:r>
          </w:p>
        </w:tc>
        <w:tc>
          <w:tcPr>
            <w:tcW w:w="3729" w:type="pct"/>
            <w:gridSpan w:val="2"/>
          </w:tcPr>
          <w:p w:rsidR="00822294" w:rsidRPr="00CA40CD" w:rsidRDefault="00D82AFF" w:rsidP="0084461B">
            <w:pPr>
              <w:rPr>
                <w:rFonts w:cs="Arial"/>
                <w:i/>
                <w:szCs w:val="24"/>
              </w:rPr>
            </w:pPr>
            <w:r w:rsidRPr="00D82AFF">
              <w:t>A01181913</w:t>
            </w:r>
            <w:proofErr w:type="gramStart"/>
            <w:r w:rsidRPr="00D82AFF">
              <w:t>IM</w:t>
            </w:r>
            <w:r>
              <w:t xml:space="preserve">  </w:t>
            </w:r>
            <w:r>
              <w:rPr>
                <w:b/>
                <w:bCs w:val="0"/>
              </w:rPr>
              <w:t>Current</w:t>
            </w:r>
            <w:proofErr w:type="gramEnd"/>
            <w:r>
              <w:rPr>
                <w:b/>
                <w:bCs w:val="0"/>
              </w:rPr>
              <w:t xml:space="preserve"> national IV scheme</w:t>
            </w:r>
            <w:bookmarkStart w:id="2" w:name="_GoBack"/>
            <w:bookmarkEnd w:id="2"/>
          </w:p>
        </w:tc>
      </w:tr>
      <w:tr w:rsidR="00822294" w:rsidRPr="000412A1" w:rsidTr="008711A8">
        <w:trPr>
          <w:gridAfter w:val="1"/>
          <w:wAfter w:w="70" w:type="pct"/>
        </w:trPr>
        <w:tc>
          <w:tcPr>
            <w:tcW w:w="1202" w:type="pct"/>
            <w:shd w:val="clear" w:color="auto" w:fill="D9D9D9" w:themeFill="background1" w:themeFillShade="D9"/>
          </w:tcPr>
          <w:p w:rsidR="00822294" w:rsidRPr="000412A1" w:rsidRDefault="00822294" w:rsidP="0084461B">
            <w:pPr>
              <w:rPr>
                <w:rFonts w:cs="Arial"/>
                <w:szCs w:val="24"/>
              </w:rPr>
            </w:pPr>
            <w:r w:rsidRPr="000412A1">
              <w:rPr>
                <w:rFonts w:cs="Arial"/>
                <w:szCs w:val="24"/>
              </w:rPr>
              <w:t>Duration</w:t>
            </w:r>
          </w:p>
        </w:tc>
        <w:tc>
          <w:tcPr>
            <w:tcW w:w="3729" w:type="pct"/>
            <w:gridSpan w:val="2"/>
          </w:tcPr>
          <w:p w:rsidR="00822294" w:rsidRPr="00CA40CD" w:rsidRDefault="00822294" w:rsidP="00296324">
            <w:pPr>
              <w:rPr>
                <w:rFonts w:cs="Arial"/>
                <w:i/>
                <w:szCs w:val="24"/>
              </w:rPr>
            </w:pPr>
            <w:r>
              <w:rPr>
                <w:rFonts w:cs="Arial"/>
                <w:szCs w:val="24"/>
              </w:rPr>
              <w:t>Three years</w:t>
            </w:r>
          </w:p>
        </w:tc>
      </w:tr>
      <w:tr w:rsidR="00B77154" w:rsidRPr="000412A1" w:rsidTr="008711A8">
        <w:trPr>
          <w:gridAfter w:val="1"/>
          <w:wAfter w:w="70" w:type="pct"/>
        </w:trPr>
        <w:tc>
          <w:tcPr>
            <w:tcW w:w="1202" w:type="pct"/>
            <w:shd w:val="clear" w:color="auto" w:fill="D9D9D9" w:themeFill="background1" w:themeFillShade="D9"/>
          </w:tcPr>
          <w:p w:rsidR="00B77154" w:rsidRPr="000412A1" w:rsidRDefault="00B77154" w:rsidP="0084461B">
            <w:pPr>
              <w:rPr>
                <w:rFonts w:cs="Arial"/>
                <w:szCs w:val="24"/>
              </w:rPr>
            </w:pPr>
            <w:r>
              <w:rPr>
                <w:rFonts w:cs="Arial"/>
                <w:szCs w:val="24"/>
              </w:rPr>
              <w:t>CCG Complementarity</w:t>
            </w:r>
          </w:p>
        </w:tc>
        <w:tc>
          <w:tcPr>
            <w:tcW w:w="3729" w:type="pct"/>
            <w:gridSpan w:val="2"/>
          </w:tcPr>
          <w:p w:rsidR="00B77154" w:rsidRPr="00B77154" w:rsidRDefault="00B77154" w:rsidP="00052447">
            <w:pPr>
              <w:rPr>
                <w:rFonts w:cs="Arial"/>
                <w:i/>
                <w:szCs w:val="24"/>
              </w:rPr>
            </w:pPr>
          </w:p>
        </w:tc>
      </w:tr>
      <w:tr w:rsidR="00C042DA" w:rsidRPr="000412A1" w:rsidTr="00326B23">
        <w:trPr>
          <w:gridAfter w:val="1"/>
          <w:wAfter w:w="70" w:type="pct"/>
          <w:trHeight w:val="1365"/>
        </w:trPr>
        <w:tc>
          <w:tcPr>
            <w:tcW w:w="4930" w:type="pct"/>
            <w:gridSpan w:val="3"/>
          </w:tcPr>
          <w:p w:rsidR="00C042DA" w:rsidRDefault="00C042DA" w:rsidP="0084461B">
            <w:pPr>
              <w:rPr>
                <w:rFonts w:cs="Arial"/>
                <w:b/>
                <w:szCs w:val="24"/>
              </w:rPr>
            </w:pPr>
            <w:r w:rsidRPr="00326B23">
              <w:rPr>
                <w:rFonts w:cs="Arial"/>
                <w:b/>
                <w:szCs w:val="24"/>
                <w:u w:val="single"/>
              </w:rPr>
              <w:t>Problem to be addressed</w:t>
            </w:r>
            <w:r w:rsidR="000F3C6A">
              <w:rPr>
                <w:rFonts w:cs="Arial"/>
                <w:b/>
                <w:szCs w:val="24"/>
                <w:u w:val="single"/>
              </w:rPr>
              <w:t xml:space="preserve"> (maximum 1</w:t>
            </w:r>
            <w:r w:rsidR="003A0C63">
              <w:rPr>
                <w:rFonts w:cs="Arial"/>
                <w:b/>
                <w:szCs w:val="24"/>
                <w:u w:val="single"/>
              </w:rPr>
              <w:t>5</w:t>
            </w:r>
            <w:r w:rsidR="000F3C6A">
              <w:rPr>
                <w:rFonts w:cs="Arial"/>
                <w:b/>
                <w:szCs w:val="24"/>
                <w:u w:val="single"/>
              </w:rPr>
              <w:t>0 words)</w:t>
            </w:r>
            <w:r w:rsidRPr="00A95BE1">
              <w:rPr>
                <w:rFonts w:cs="Arial"/>
                <w:b/>
                <w:szCs w:val="24"/>
              </w:rPr>
              <w:t>:</w:t>
            </w:r>
          </w:p>
          <w:p w:rsidR="00C56F91" w:rsidRPr="00966053" w:rsidRDefault="00C56F91" w:rsidP="00C56F91">
            <w:pPr>
              <w:rPr>
                <w:b/>
                <w:color w:val="FF0000"/>
              </w:rPr>
            </w:pPr>
            <w:r w:rsidRPr="00966053">
              <w:rPr>
                <w:b/>
                <w:i/>
                <w:color w:val="FF0000"/>
              </w:rPr>
              <w:t>[</w:t>
            </w:r>
            <w:r w:rsidRPr="00966053">
              <w:rPr>
                <w:i/>
                <w:color w:val="FF0000"/>
              </w:rPr>
              <w:t>Briefly characterise the shortfall in quality or efficiency that the indicator is designed to address; detailed evidence should be placed in section D1</w:t>
            </w:r>
            <w:r w:rsidRPr="00966053">
              <w:rPr>
                <w:b/>
                <w:i/>
                <w:color w:val="FF0000"/>
              </w:rPr>
              <w:t>]</w:t>
            </w:r>
            <w:r w:rsidRPr="00966053">
              <w:rPr>
                <w:b/>
                <w:color w:val="FF0000"/>
              </w:rPr>
              <w:t xml:space="preserve"> </w:t>
            </w:r>
          </w:p>
          <w:p w:rsidR="00CE2CAD" w:rsidRDefault="00CE2CAD" w:rsidP="0084461B">
            <w:pPr>
              <w:rPr>
                <w:rFonts w:cs="Arial"/>
                <w:b/>
                <w:szCs w:val="24"/>
              </w:rPr>
            </w:pPr>
          </w:p>
          <w:p w:rsidR="009730C5" w:rsidRDefault="009730C5" w:rsidP="00CE2CAD">
            <w:pPr>
              <w:rPr>
                <w:rFonts w:cs="Arial"/>
                <w:szCs w:val="24"/>
              </w:rPr>
            </w:pPr>
            <w:r>
              <w:rPr>
                <w:rFonts w:cs="Arial"/>
                <w:szCs w:val="24"/>
              </w:rPr>
              <w:t>There is currently no assurance process in place to ensure that the right patients are receiving the right high cost biologic medications in severe asthma. Not a</w:t>
            </w:r>
            <w:r w:rsidR="00CE2CAD" w:rsidRPr="00637BBA">
              <w:rPr>
                <w:rFonts w:cs="Arial"/>
                <w:szCs w:val="24"/>
              </w:rPr>
              <w:t xml:space="preserve">ll patients with severe asthma </w:t>
            </w:r>
            <w:r>
              <w:rPr>
                <w:rFonts w:cs="Arial"/>
                <w:szCs w:val="24"/>
              </w:rPr>
              <w:t xml:space="preserve">who are </w:t>
            </w:r>
            <w:r w:rsidR="00CE2CAD" w:rsidRPr="00637BBA">
              <w:rPr>
                <w:rFonts w:cs="Arial"/>
                <w:szCs w:val="24"/>
              </w:rPr>
              <w:t xml:space="preserve">receiving biologics </w:t>
            </w:r>
            <w:r>
              <w:rPr>
                <w:rFonts w:cs="Arial"/>
                <w:szCs w:val="24"/>
              </w:rPr>
              <w:t>are currently</w:t>
            </w:r>
            <w:r w:rsidR="00CE2CAD" w:rsidRPr="00637BBA">
              <w:rPr>
                <w:rFonts w:cs="Arial"/>
                <w:szCs w:val="24"/>
              </w:rPr>
              <w:t xml:space="preserve"> cared for under the auspices of severe asthma networks</w:t>
            </w:r>
            <w:r>
              <w:rPr>
                <w:rFonts w:cs="Arial"/>
                <w:szCs w:val="24"/>
              </w:rPr>
              <w:t>.</w:t>
            </w:r>
            <w:r w:rsidR="00234C4D">
              <w:rPr>
                <w:rFonts w:cs="Arial"/>
                <w:szCs w:val="24"/>
              </w:rPr>
              <w:t xml:space="preserve"> Consequently, there is currently significant geographical variation in the prescribing and management of patients with severe asthma</w:t>
            </w:r>
          </w:p>
          <w:p w:rsidR="00234C4D" w:rsidRDefault="00234C4D" w:rsidP="00CE2CAD">
            <w:pPr>
              <w:rPr>
                <w:rFonts w:cs="Arial"/>
                <w:szCs w:val="24"/>
              </w:rPr>
            </w:pPr>
          </w:p>
          <w:p w:rsidR="00CE2CAD" w:rsidRPr="00637BBA" w:rsidRDefault="009730C5" w:rsidP="00CE2CAD">
            <w:pPr>
              <w:rPr>
                <w:rFonts w:cs="Arial"/>
                <w:szCs w:val="24"/>
              </w:rPr>
            </w:pPr>
            <w:r>
              <w:rPr>
                <w:rFonts w:cs="Arial"/>
                <w:szCs w:val="24"/>
              </w:rPr>
              <w:t>T</w:t>
            </w:r>
            <w:r w:rsidR="00CE2CAD" w:rsidRPr="00637BBA">
              <w:rPr>
                <w:rFonts w:cs="Arial"/>
                <w:szCs w:val="24"/>
              </w:rPr>
              <w:t xml:space="preserve">he service specification for severe asthma services promotes a </w:t>
            </w:r>
            <w:r w:rsidR="00CE2CAD" w:rsidRPr="00637BBA">
              <w:t>networked model of care as</w:t>
            </w:r>
            <w:r w:rsidR="00CE2CAD">
              <w:t xml:space="preserve"> a vehicle for delivering </w:t>
            </w:r>
            <w:r w:rsidR="00CE2CAD" w:rsidRPr="00637BBA">
              <w:t>an optimal pathway and maximising patient outcomes and experience.</w:t>
            </w:r>
            <w:r w:rsidR="00234C4D">
              <w:t xml:space="preserve"> This is not fully implemented.</w:t>
            </w:r>
          </w:p>
          <w:p w:rsidR="00C042DA" w:rsidRPr="000412A1" w:rsidRDefault="00C042DA" w:rsidP="000F3C6A">
            <w:pPr>
              <w:rPr>
                <w:rFonts w:cs="Arial"/>
                <w:szCs w:val="24"/>
              </w:rPr>
            </w:pPr>
          </w:p>
        </w:tc>
      </w:tr>
      <w:tr w:rsidR="00326B23" w:rsidRPr="000412A1" w:rsidTr="00A536ED">
        <w:trPr>
          <w:gridAfter w:val="1"/>
          <w:wAfter w:w="70" w:type="pct"/>
        </w:trPr>
        <w:tc>
          <w:tcPr>
            <w:tcW w:w="4930" w:type="pct"/>
            <w:gridSpan w:val="3"/>
          </w:tcPr>
          <w:p w:rsidR="00326B23" w:rsidRDefault="00326B23" w:rsidP="00326B23">
            <w:pPr>
              <w:rPr>
                <w:rFonts w:cs="Arial"/>
                <w:b/>
                <w:szCs w:val="24"/>
                <w:u w:val="single"/>
              </w:rPr>
            </w:pPr>
            <w:r w:rsidRPr="00326B23">
              <w:rPr>
                <w:rFonts w:cs="Arial"/>
                <w:b/>
                <w:szCs w:val="24"/>
                <w:u w:val="single"/>
              </w:rPr>
              <w:t>Change sought:</w:t>
            </w:r>
          </w:p>
          <w:p w:rsidR="00C56F91" w:rsidRPr="00994BF4" w:rsidRDefault="00C56F91" w:rsidP="00C56F91">
            <w:pPr>
              <w:rPr>
                <w:rFonts w:cs="Arial"/>
                <w:b/>
                <w:i/>
              </w:rPr>
            </w:pPr>
            <w:r w:rsidRPr="00994BF4">
              <w:rPr>
                <w:rFonts w:cs="Arial"/>
                <w:i/>
                <w:color w:val="FF0000"/>
              </w:rPr>
              <w:t>[Specify what change in behaviour is sought in general terms, with detailed specification set out in section C4</w:t>
            </w:r>
            <w:r w:rsidRPr="00994BF4">
              <w:rPr>
                <w:rFonts w:cs="Arial"/>
                <w:b/>
                <w:i/>
                <w:color w:val="FF0000"/>
              </w:rPr>
              <w:t xml:space="preserve">.] </w:t>
            </w:r>
          </w:p>
          <w:p w:rsidR="00CE2CAD" w:rsidRPr="00326B23" w:rsidRDefault="00CE2CAD" w:rsidP="00326B23">
            <w:pPr>
              <w:rPr>
                <w:rFonts w:cs="Arial"/>
                <w:b/>
                <w:szCs w:val="24"/>
                <w:u w:val="single"/>
              </w:rPr>
            </w:pPr>
          </w:p>
          <w:p w:rsidR="00CE2CAD" w:rsidRDefault="00CE2CAD" w:rsidP="00CE2CAD">
            <w:pPr>
              <w:rPr>
                <w:rFonts w:cs="Arial"/>
                <w:szCs w:val="24"/>
              </w:rPr>
            </w:pPr>
            <w:r>
              <w:rPr>
                <w:rFonts w:cs="Arial"/>
                <w:szCs w:val="24"/>
              </w:rPr>
              <w:t xml:space="preserve">Through this scheme the </w:t>
            </w:r>
            <w:r w:rsidR="00234C4D">
              <w:rPr>
                <w:rFonts w:cs="Arial"/>
                <w:szCs w:val="24"/>
              </w:rPr>
              <w:t xml:space="preserve">geographical variation in the prescribing and management of patients with severe asthma </w:t>
            </w:r>
            <w:r>
              <w:rPr>
                <w:rFonts w:cs="Arial"/>
                <w:szCs w:val="24"/>
              </w:rPr>
              <w:t>will be lessened</w:t>
            </w:r>
            <w:r w:rsidR="00234C4D">
              <w:rPr>
                <w:rFonts w:cs="Arial"/>
                <w:szCs w:val="24"/>
              </w:rPr>
              <w:t xml:space="preserve">; through </w:t>
            </w:r>
            <w:r>
              <w:rPr>
                <w:rFonts w:cs="Arial"/>
                <w:szCs w:val="24"/>
              </w:rPr>
              <w:t>the development of severe asthma networks all services will rapidly mature to the performance of the best. Patient outcomes will be improved and will be able to be evidenced by the National Asthma Audit and the UK Severe Asthma Registry.</w:t>
            </w:r>
          </w:p>
          <w:p w:rsidR="00CE2CAD" w:rsidRDefault="00CE2CAD" w:rsidP="00CE2CAD">
            <w:pPr>
              <w:rPr>
                <w:rFonts w:cs="Arial"/>
                <w:szCs w:val="24"/>
              </w:rPr>
            </w:pPr>
          </w:p>
          <w:p w:rsidR="00CE2CAD" w:rsidRDefault="00CE2CAD" w:rsidP="00CE2CAD">
            <w:pPr>
              <w:rPr>
                <w:rFonts w:cs="Arial"/>
                <w:szCs w:val="24"/>
              </w:rPr>
            </w:pPr>
            <w:r>
              <w:rPr>
                <w:rFonts w:cs="Arial"/>
                <w:szCs w:val="24"/>
              </w:rPr>
              <w:t>Currently patients in many areas of the country are receiving high cost biologics for severe asthma without the oversight of a specialist severe asthma centre. By developing severe asthma networks</w:t>
            </w:r>
            <w:r w:rsidR="00CB2903">
              <w:rPr>
                <w:rFonts w:cs="Arial"/>
                <w:szCs w:val="24"/>
              </w:rPr>
              <w:t>,</w:t>
            </w:r>
            <w:r>
              <w:rPr>
                <w:rFonts w:cs="Arial"/>
                <w:szCs w:val="24"/>
              </w:rPr>
              <w:t xml:space="preserve"> we estimate that approximately </w:t>
            </w:r>
            <w:r w:rsidR="00234C4D">
              <w:rPr>
                <w:rFonts w:cs="Arial"/>
                <w:szCs w:val="24"/>
              </w:rPr>
              <w:t>one third</w:t>
            </w:r>
            <w:r>
              <w:rPr>
                <w:rFonts w:cs="Arial"/>
                <w:szCs w:val="24"/>
              </w:rPr>
              <w:t xml:space="preserve"> of current Omalizumab spend could be </w:t>
            </w:r>
            <w:r w:rsidR="00234C4D">
              <w:rPr>
                <w:rFonts w:cs="Arial"/>
                <w:szCs w:val="24"/>
              </w:rPr>
              <w:t>avoided</w:t>
            </w:r>
            <w:r>
              <w:rPr>
                <w:rFonts w:cs="Arial"/>
                <w:szCs w:val="24"/>
              </w:rPr>
              <w:t xml:space="preserve">, as has happened in the areas of the </w:t>
            </w:r>
            <w:r>
              <w:rPr>
                <w:rFonts w:cs="Arial"/>
                <w:szCs w:val="24"/>
              </w:rPr>
              <w:lastRenderedPageBreak/>
              <w:t>country with the most developed networks. This will result in patients receiving the correct treatment at the correct time with commissioner assurance.</w:t>
            </w:r>
          </w:p>
          <w:p w:rsidR="00FE4C46" w:rsidRDefault="00FE4C46" w:rsidP="00CE2CAD">
            <w:pPr>
              <w:rPr>
                <w:rFonts w:cs="Arial"/>
                <w:szCs w:val="24"/>
              </w:rPr>
            </w:pPr>
          </w:p>
          <w:p w:rsidR="00CE2CAD" w:rsidRDefault="00CE2CAD" w:rsidP="00CE2CAD">
            <w:pPr>
              <w:rPr>
                <w:rFonts w:cs="Arial"/>
                <w:szCs w:val="24"/>
              </w:rPr>
            </w:pPr>
            <w:r>
              <w:rPr>
                <w:rFonts w:cs="Arial"/>
                <w:szCs w:val="24"/>
              </w:rPr>
              <w:t xml:space="preserve">Upskilling of general respiratory clinicians in the linked district general hospitals will also lead to better management of patients with both moderate and severe asthma. </w:t>
            </w:r>
          </w:p>
          <w:p w:rsidR="00CE2CAD" w:rsidRDefault="00CE2CAD" w:rsidP="00CE2CAD">
            <w:pPr>
              <w:rPr>
                <w:rFonts w:cs="Arial"/>
                <w:szCs w:val="24"/>
              </w:rPr>
            </w:pPr>
            <w:r>
              <w:rPr>
                <w:rFonts w:cs="Arial"/>
                <w:szCs w:val="24"/>
              </w:rPr>
              <w:t xml:space="preserve">Patient travel can also be minimised </w:t>
            </w:r>
            <w:proofErr w:type="gramStart"/>
            <w:r>
              <w:rPr>
                <w:rFonts w:cs="Arial"/>
                <w:szCs w:val="24"/>
              </w:rPr>
              <w:t>by the use of</w:t>
            </w:r>
            <w:proofErr w:type="gramEnd"/>
            <w:r>
              <w:rPr>
                <w:rFonts w:cs="Arial"/>
                <w:szCs w:val="24"/>
              </w:rPr>
              <w:t xml:space="preserve"> virtual MDTs to discuss case management.</w:t>
            </w:r>
          </w:p>
          <w:p w:rsidR="00D22F49" w:rsidRDefault="00D22F49" w:rsidP="00CE2CAD">
            <w:pPr>
              <w:rPr>
                <w:rFonts w:cs="Arial"/>
                <w:szCs w:val="24"/>
              </w:rPr>
            </w:pPr>
          </w:p>
          <w:p w:rsidR="00D22F49" w:rsidRDefault="00D22F49" w:rsidP="00D22F49">
            <w:pPr>
              <w:spacing w:before="40" w:after="40"/>
              <w:rPr>
                <w:rFonts w:cs="Arial"/>
                <w:color w:val="000000"/>
                <w:szCs w:val="24"/>
              </w:rPr>
            </w:pPr>
            <w:r w:rsidRPr="005A29EB">
              <w:rPr>
                <w:rFonts w:cs="Arial"/>
                <w:color w:val="000000"/>
                <w:szCs w:val="24"/>
              </w:rPr>
              <w:t xml:space="preserve">Biologics will be deployed appropriately via refreshed </w:t>
            </w:r>
            <w:proofErr w:type="spellStart"/>
            <w:r w:rsidRPr="005A29EB">
              <w:rPr>
                <w:rFonts w:cs="Arial"/>
                <w:color w:val="000000"/>
                <w:szCs w:val="24"/>
              </w:rPr>
              <w:t>Blueteq</w:t>
            </w:r>
            <w:proofErr w:type="spellEnd"/>
            <w:r w:rsidRPr="005A29EB">
              <w:rPr>
                <w:rFonts w:cs="Arial"/>
                <w:color w:val="000000"/>
                <w:szCs w:val="24"/>
              </w:rPr>
              <w:t xml:space="preserve"> prior approval forms </w:t>
            </w:r>
            <w:proofErr w:type="gramStart"/>
            <w:r w:rsidRPr="005A29EB">
              <w:rPr>
                <w:rFonts w:cs="Arial"/>
                <w:color w:val="000000"/>
                <w:szCs w:val="24"/>
              </w:rPr>
              <w:t>aligned  with</w:t>
            </w:r>
            <w:proofErr w:type="gramEnd"/>
            <w:r w:rsidRPr="005A29EB">
              <w:rPr>
                <w:rFonts w:cs="Arial"/>
                <w:color w:val="000000"/>
                <w:szCs w:val="24"/>
              </w:rPr>
              <w:t xml:space="preserve">  service specification recommendations to support the optimal pathway</w:t>
            </w:r>
            <w:r>
              <w:rPr>
                <w:rFonts w:cs="Arial"/>
                <w:color w:val="000000"/>
                <w:szCs w:val="24"/>
              </w:rPr>
              <w:t xml:space="preserve">. </w:t>
            </w:r>
            <w:r w:rsidRPr="005A29EB">
              <w:rPr>
                <w:rFonts w:cs="Arial"/>
                <w:color w:val="000000"/>
                <w:szCs w:val="24"/>
              </w:rPr>
              <w:t>The severe asthma specialist MDT will be hosted by a designated severe asthma centre and all specialist centres will adopt the optimal pathway of care</w:t>
            </w:r>
            <w:r>
              <w:rPr>
                <w:rFonts w:cs="Arial"/>
                <w:color w:val="000000"/>
                <w:szCs w:val="24"/>
              </w:rPr>
              <w:t xml:space="preserve">. </w:t>
            </w:r>
            <w:r w:rsidRPr="005A29EB">
              <w:rPr>
                <w:rFonts w:cs="Arial"/>
                <w:color w:val="000000"/>
                <w:szCs w:val="24"/>
              </w:rPr>
              <w:t xml:space="preserve">All designated severe asthma centres will collaborate to develop, </w:t>
            </w:r>
            <w:r>
              <w:rPr>
                <w:rFonts w:cs="Arial"/>
                <w:color w:val="000000"/>
                <w:szCs w:val="24"/>
              </w:rPr>
              <w:t xml:space="preserve">to </w:t>
            </w:r>
            <w:r w:rsidRPr="005A29EB">
              <w:rPr>
                <w:rFonts w:cs="Arial"/>
                <w:color w:val="000000"/>
                <w:szCs w:val="24"/>
              </w:rPr>
              <w:t xml:space="preserve">agree and </w:t>
            </w:r>
            <w:r>
              <w:rPr>
                <w:rFonts w:cs="Arial"/>
                <w:color w:val="000000"/>
                <w:szCs w:val="24"/>
              </w:rPr>
              <w:t xml:space="preserve">to </w:t>
            </w:r>
            <w:r w:rsidRPr="005A29EB">
              <w:rPr>
                <w:rFonts w:cs="Arial"/>
                <w:color w:val="000000"/>
                <w:szCs w:val="24"/>
              </w:rPr>
              <w:t>implement an optimal</w:t>
            </w:r>
            <w:r>
              <w:rPr>
                <w:rFonts w:cs="Arial"/>
                <w:color w:val="000000"/>
                <w:szCs w:val="24"/>
              </w:rPr>
              <w:t xml:space="preserve"> care pathway for severe asthma. </w:t>
            </w:r>
            <w:r w:rsidRPr="005A29EB">
              <w:rPr>
                <w:rFonts w:cs="Arial"/>
                <w:color w:val="000000"/>
                <w:szCs w:val="24"/>
              </w:rPr>
              <w:t xml:space="preserve">There will be a reconfiguration of defined networks for severe </w:t>
            </w:r>
            <w:proofErr w:type="gramStart"/>
            <w:r w:rsidRPr="005A29EB">
              <w:rPr>
                <w:rFonts w:cs="Arial"/>
                <w:color w:val="000000"/>
                <w:szCs w:val="24"/>
              </w:rPr>
              <w:t>asthma  in</w:t>
            </w:r>
            <w:proofErr w:type="gramEnd"/>
            <w:r w:rsidRPr="005A29EB">
              <w:rPr>
                <w:rFonts w:cs="Arial"/>
                <w:color w:val="000000"/>
                <w:szCs w:val="24"/>
              </w:rPr>
              <w:t xml:space="preserve"> each part of the country</w:t>
            </w:r>
            <w:r>
              <w:rPr>
                <w:rFonts w:cs="Arial"/>
                <w:color w:val="000000"/>
                <w:szCs w:val="24"/>
              </w:rPr>
              <w:t xml:space="preserve">. </w:t>
            </w:r>
          </w:p>
          <w:p w:rsidR="00D22F49" w:rsidRDefault="00D22F49" w:rsidP="00D22F49">
            <w:pPr>
              <w:spacing w:before="40" w:after="40"/>
              <w:rPr>
                <w:rFonts w:cs="Arial"/>
                <w:color w:val="000000"/>
                <w:szCs w:val="24"/>
              </w:rPr>
            </w:pPr>
          </w:p>
          <w:p w:rsidR="00D22F49" w:rsidRPr="005A29EB" w:rsidRDefault="00D22F49" w:rsidP="00D22F49">
            <w:pPr>
              <w:spacing w:before="40" w:after="40"/>
              <w:rPr>
                <w:rFonts w:cs="Arial"/>
                <w:color w:val="000000"/>
                <w:szCs w:val="24"/>
              </w:rPr>
            </w:pPr>
            <w:r w:rsidRPr="005A29EB">
              <w:rPr>
                <w:rFonts w:cs="Arial"/>
                <w:color w:val="000000"/>
                <w:szCs w:val="24"/>
              </w:rPr>
              <w:t xml:space="preserve">All patients newly diagnosed with severe asthma </w:t>
            </w:r>
          </w:p>
          <w:p w:rsidR="00D22F49" w:rsidRPr="00D22F49" w:rsidRDefault="00D22F49" w:rsidP="00D22F49">
            <w:pPr>
              <w:pStyle w:val="ListParagraph"/>
              <w:numPr>
                <w:ilvl w:val="0"/>
                <w:numId w:val="30"/>
              </w:numPr>
              <w:spacing w:before="40" w:after="40"/>
              <w:rPr>
                <w:rFonts w:cs="Arial"/>
                <w:color w:val="000000"/>
                <w:szCs w:val="24"/>
              </w:rPr>
            </w:pPr>
            <w:r w:rsidRPr="00D22F49">
              <w:rPr>
                <w:rFonts w:cs="Arial"/>
                <w:color w:val="000000"/>
                <w:szCs w:val="24"/>
              </w:rPr>
              <w:t>will receive an MDT review of their care by a specialist asthma MDT hosted by a designated severe asthma centre</w:t>
            </w:r>
          </w:p>
          <w:p w:rsidR="00D22F49" w:rsidRPr="00D22F49" w:rsidRDefault="00D22F49" w:rsidP="00D22F49">
            <w:pPr>
              <w:pStyle w:val="ListParagraph"/>
              <w:numPr>
                <w:ilvl w:val="0"/>
                <w:numId w:val="30"/>
              </w:numPr>
              <w:spacing w:before="40" w:after="40"/>
              <w:rPr>
                <w:rFonts w:cs="Arial"/>
                <w:color w:val="000000"/>
                <w:szCs w:val="24"/>
              </w:rPr>
            </w:pPr>
            <w:r w:rsidRPr="00D22F49">
              <w:rPr>
                <w:rFonts w:cs="Arial"/>
                <w:color w:val="000000"/>
                <w:szCs w:val="24"/>
              </w:rPr>
              <w:t xml:space="preserve">requiring acute admission will, wherever clinically appropriate, be cared for </w:t>
            </w:r>
            <w:proofErr w:type="gramStart"/>
            <w:r w:rsidRPr="00D22F49">
              <w:rPr>
                <w:rFonts w:cs="Arial"/>
                <w:color w:val="000000"/>
                <w:szCs w:val="24"/>
              </w:rPr>
              <w:t>within  a</w:t>
            </w:r>
            <w:proofErr w:type="gramEnd"/>
            <w:r w:rsidRPr="00D22F49">
              <w:rPr>
                <w:rFonts w:cs="Arial"/>
                <w:color w:val="000000"/>
                <w:szCs w:val="24"/>
              </w:rPr>
              <w:t xml:space="preserve"> commissioned severe asthma centre (or be notified to a commissioned severe asthma centre).</w:t>
            </w:r>
          </w:p>
          <w:p w:rsidR="00D22F49" w:rsidRDefault="00D22F49" w:rsidP="00D22F49">
            <w:pPr>
              <w:spacing w:before="40" w:after="40"/>
              <w:rPr>
                <w:rFonts w:cs="Arial"/>
                <w:color w:val="000000"/>
                <w:szCs w:val="24"/>
              </w:rPr>
            </w:pPr>
          </w:p>
          <w:p w:rsidR="00D22F49" w:rsidRDefault="00D22F49" w:rsidP="00D22F49">
            <w:pPr>
              <w:spacing w:before="40" w:after="40"/>
              <w:rPr>
                <w:rFonts w:cs="Arial"/>
                <w:color w:val="000000"/>
                <w:szCs w:val="24"/>
              </w:rPr>
            </w:pPr>
            <w:r w:rsidRPr="005A29EB">
              <w:rPr>
                <w:rFonts w:cs="Arial"/>
                <w:color w:val="000000"/>
                <w:szCs w:val="24"/>
              </w:rPr>
              <w:t xml:space="preserve">All existing patients, not already reviewed by specialist MDT who are currently prescribed omalizumab, mepolizumab or </w:t>
            </w:r>
            <w:proofErr w:type="spellStart"/>
            <w:r w:rsidRPr="005A29EB">
              <w:rPr>
                <w:rFonts w:cs="Arial"/>
                <w:color w:val="000000"/>
                <w:szCs w:val="24"/>
              </w:rPr>
              <w:t>reslizumab</w:t>
            </w:r>
            <w:proofErr w:type="spellEnd"/>
            <w:r w:rsidRPr="005A29EB">
              <w:rPr>
                <w:rFonts w:cs="Arial"/>
                <w:color w:val="000000"/>
                <w:szCs w:val="24"/>
              </w:rPr>
              <w:t xml:space="preserve"> will be </w:t>
            </w:r>
            <w:proofErr w:type="gramStart"/>
            <w:r w:rsidRPr="005A29EB">
              <w:rPr>
                <w:rFonts w:cs="Arial"/>
                <w:color w:val="000000"/>
                <w:szCs w:val="24"/>
              </w:rPr>
              <w:t>reviewed  to</w:t>
            </w:r>
            <w:proofErr w:type="gramEnd"/>
            <w:r w:rsidRPr="005A29EB">
              <w:rPr>
                <w:rFonts w:cs="Arial"/>
                <w:color w:val="000000"/>
                <w:szCs w:val="24"/>
              </w:rPr>
              <w:t xml:space="preserve"> identify patients appropriate for withdrawal from treatment. </w:t>
            </w:r>
          </w:p>
          <w:p w:rsidR="00D22F49" w:rsidRPr="005A29EB" w:rsidRDefault="00D22F49" w:rsidP="00D22F49">
            <w:pPr>
              <w:spacing w:before="40" w:after="40"/>
              <w:rPr>
                <w:rFonts w:cs="Arial"/>
                <w:color w:val="000000"/>
                <w:szCs w:val="24"/>
              </w:rPr>
            </w:pPr>
          </w:p>
          <w:p w:rsidR="00D22F49" w:rsidRDefault="00D22F49" w:rsidP="00D22F49">
            <w:pPr>
              <w:spacing w:before="40" w:after="40"/>
              <w:rPr>
                <w:rFonts w:cs="Arial"/>
                <w:color w:val="000000"/>
                <w:szCs w:val="24"/>
              </w:rPr>
            </w:pPr>
            <w:r w:rsidRPr="005A29EB">
              <w:rPr>
                <w:rFonts w:cs="Arial"/>
                <w:color w:val="000000"/>
                <w:szCs w:val="24"/>
              </w:rPr>
              <w:t xml:space="preserve">All new treatments for omalizumab, mepolizumab and </w:t>
            </w:r>
            <w:proofErr w:type="spellStart"/>
            <w:r w:rsidRPr="005A29EB">
              <w:rPr>
                <w:rFonts w:cs="Arial"/>
                <w:color w:val="000000"/>
                <w:szCs w:val="24"/>
              </w:rPr>
              <w:t>reslizumab</w:t>
            </w:r>
            <w:proofErr w:type="spellEnd"/>
            <w:r w:rsidRPr="005A29EB">
              <w:rPr>
                <w:rFonts w:cs="Arial"/>
                <w:color w:val="000000"/>
                <w:szCs w:val="24"/>
              </w:rPr>
              <w:t xml:space="preserve"> (and other similar biologics yet to receive positive NICE Guidance) will be funded only if approved by a specialist MDT hosted by a commissioned severe asthma centre.</w:t>
            </w:r>
          </w:p>
          <w:p w:rsidR="00326B23" w:rsidRPr="00326B23" w:rsidRDefault="00326B23" w:rsidP="00CE2CAD">
            <w:pPr>
              <w:rPr>
                <w:rFonts w:cs="Arial"/>
                <w:b/>
                <w:szCs w:val="24"/>
                <w:u w:val="single"/>
              </w:rPr>
            </w:pPr>
          </w:p>
        </w:tc>
      </w:tr>
      <w:tr w:rsidR="00822294" w:rsidRPr="000412A1" w:rsidTr="001F6AA3">
        <w:trPr>
          <w:gridAfter w:val="1"/>
          <w:wAfter w:w="70" w:type="pct"/>
        </w:trPr>
        <w:tc>
          <w:tcPr>
            <w:tcW w:w="4930" w:type="pct"/>
            <w:gridSpan w:val="3"/>
            <w:shd w:val="clear" w:color="auto" w:fill="FFC000"/>
          </w:tcPr>
          <w:p w:rsidR="00822294" w:rsidRPr="00C042DA" w:rsidRDefault="00822294" w:rsidP="00F506AC">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rsidTr="008711A8">
        <w:trPr>
          <w:gridAfter w:val="1"/>
          <w:wAfter w:w="70" w:type="pct"/>
        </w:trPr>
        <w:tc>
          <w:tcPr>
            <w:tcW w:w="1202" w:type="pct"/>
            <w:shd w:val="clear" w:color="auto" w:fill="D9D9D9" w:themeFill="background1" w:themeFillShade="D9"/>
          </w:tcPr>
          <w:p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rsidR="004B2DC0" w:rsidRPr="004B2DC0" w:rsidRDefault="004B2DC0" w:rsidP="00F506AC">
            <w:pPr>
              <w:rPr>
                <w:rFonts w:cs="Arial"/>
                <w:i/>
                <w:szCs w:val="24"/>
              </w:rPr>
            </w:pPr>
          </w:p>
        </w:tc>
      </w:tr>
      <w:tr w:rsidR="001350E0" w:rsidRPr="000412A1" w:rsidTr="008711A8">
        <w:trPr>
          <w:gridAfter w:val="1"/>
          <w:wAfter w:w="70" w:type="pct"/>
        </w:trPr>
        <w:tc>
          <w:tcPr>
            <w:tcW w:w="1202" w:type="pct"/>
            <w:shd w:val="clear" w:color="auto" w:fill="D9D9D9" w:themeFill="background1" w:themeFillShade="D9"/>
          </w:tcPr>
          <w:p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rsidR="001350E0" w:rsidRPr="00D95C75" w:rsidRDefault="001350E0" w:rsidP="00F506AC">
            <w:pPr>
              <w:rPr>
                <w:rFonts w:cs="Arial"/>
                <w:b/>
                <w:szCs w:val="24"/>
                <w:u w:val="single"/>
              </w:rPr>
            </w:pPr>
          </w:p>
        </w:tc>
        <w:tc>
          <w:tcPr>
            <w:tcW w:w="3729" w:type="pct"/>
            <w:gridSpan w:val="2"/>
            <w:shd w:val="clear" w:color="auto" w:fill="FFFF00"/>
          </w:tcPr>
          <w:p w:rsidR="001350E0" w:rsidRDefault="00822294" w:rsidP="00822294">
            <w:pPr>
              <w:rPr>
                <w:rFonts w:cs="Arial"/>
                <w:i/>
                <w:color w:val="FF0000"/>
                <w:szCs w:val="24"/>
              </w:rPr>
            </w:pPr>
            <w:r>
              <w:rPr>
                <w:rFonts w:cs="Arial"/>
                <w:szCs w:val="24"/>
              </w:rPr>
              <w:t>201</w:t>
            </w:r>
            <w:r w:rsidR="00F506AC">
              <w:rPr>
                <w:rFonts w:cs="Arial"/>
                <w:szCs w:val="24"/>
              </w:rPr>
              <w:t>9/20 2020/21</w:t>
            </w:r>
            <w:r w:rsidR="00C56F91">
              <w:rPr>
                <w:rFonts w:cs="Arial"/>
                <w:szCs w:val="24"/>
              </w:rPr>
              <w:t xml:space="preserve"> 2021/22</w:t>
            </w:r>
            <w:proofErr w:type="gramStart"/>
            <w:r w:rsidR="00C56F91">
              <w:rPr>
                <w:rFonts w:cs="Arial"/>
                <w:szCs w:val="24"/>
              </w:rPr>
              <w:t xml:space="preserve">  </w:t>
            </w:r>
            <w:r w:rsidR="001350E0">
              <w:rPr>
                <w:rFonts w:cs="Arial"/>
                <w:szCs w:val="24"/>
              </w:rPr>
              <w:t xml:space="preserve"> </w:t>
            </w:r>
            <w:r w:rsidR="001350E0" w:rsidRPr="00222EFC">
              <w:rPr>
                <w:rFonts w:cs="Arial"/>
                <w:i/>
                <w:color w:val="FF0000"/>
                <w:szCs w:val="24"/>
              </w:rPr>
              <w:t>[</w:t>
            </w:r>
            <w:proofErr w:type="gramEnd"/>
            <w:r w:rsidR="001350E0" w:rsidRPr="001350E0">
              <w:rPr>
                <w:rFonts w:cs="Arial"/>
                <w:i/>
                <w:color w:val="FF0000"/>
                <w:szCs w:val="24"/>
              </w:rPr>
              <w:t>Adjust locally</w:t>
            </w:r>
            <w:r w:rsidR="001350E0">
              <w:rPr>
                <w:rFonts w:cs="Arial"/>
                <w:i/>
                <w:color w:val="FF0000"/>
                <w:szCs w:val="24"/>
              </w:rPr>
              <w:t>]</w:t>
            </w:r>
          </w:p>
          <w:p w:rsidR="00970BD6" w:rsidRDefault="00222EFC" w:rsidP="00822294">
            <w:pPr>
              <w:rPr>
                <w:rFonts w:cs="Arial"/>
                <w:i/>
                <w:color w:val="FF0000"/>
                <w:szCs w:val="24"/>
              </w:rPr>
            </w:pPr>
            <w:r>
              <w:rPr>
                <w:rFonts w:cs="Arial"/>
                <w:szCs w:val="24"/>
              </w:rPr>
              <w:t>Three</w:t>
            </w:r>
            <w:r w:rsidR="00970BD6" w:rsidRPr="00970BD6">
              <w:rPr>
                <w:rFonts w:cs="Arial"/>
                <w:i/>
                <w:szCs w:val="24"/>
              </w:rPr>
              <w:t xml:space="preserve"> </w:t>
            </w:r>
            <w:r w:rsidR="00D95C75" w:rsidRPr="00D95C75">
              <w:rPr>
                <w:rFonts w:cs="Arial"/>
                <w:szCs w:val="24"/>
              </w:rPr>
              <w:t>years</w:t>
            </w:r>
            <w:r>
              <w:rPr>
                <w:rFonts w:cs="Arial"/>
                <w:i/>
                <w:color w:val="FF0000"/>
                <w:szCs w:val="24"/>
              </w:rPr>
              <w:t xml:space="preserve"> [</w:t>
            </w:r>
            <w:r w:rsidR="00970BD6">
              <w:rPr>
                <w:rFonts w:cs="Arial"/>
                <w:i/>
                <w:color w:val="FF0000"/>
                <w:szCs w:val="24"/>
              </w:rPr>
              <w:t>Adjust locally</w:t>
            </w:r>
            <w:r>
              <w:rPr>
                <w:rFonts w:cs="Arial"/>
                <w:i/>
                <w:color w:val="FF0000"/>
                <w:szCs w:val="24"/>
              </w:rPr>
              <w:t>]</w:t>
            </w:r>
          </w:p>
          <w:p w:rsidR="00C00C64" w:rsidRDefault="00C00C64" w:rsidP="00822294">
            <w:pPr>
              <w:rPr>
                <w:rFonts w:cs="Arial"/>
                <w:i/>
                <w:color w:val="FF0000"/>
                <w:szCs w:val="24"/>
              </w:rPr>
            </w:pPr>
          </w:p>
          <w:p w:rsidR="00C00C64" w:rsidRPr="000412A1" w:rsidRDefault="00C00C64" w:rsidP="00822294">
            <w:pPr>
              <w:rPr>
                <w:rFonts w:cs="Arial"/>
                <w:szCs w:val="24"/>
              </w:rPr>
            </w:pPr>
          </w:p>
        </w:tc>
      </w:tr>
      <w:tr w:rsidR="00154269" w:rsidRPr="000412A1" w:rsidTr="008711A8">
        <w:trPr>
          <w:gridAfter w:val="1"/>
          <w:wAfter w:w="70" w:type="pct"/>
        </w:trPr>
        <w:tc>
          <w:tcPr>
            <w:tcW w:w="1202" w:type="pct"/>
            <w:shd w:val="clear" w:color="auto" w:fill="D9D9D9" w:themeFill="background1" w:themeFillShade="D9"/>
          </w:tcPr>
          <w:p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lastRenderedPageBreak/>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rsidR="00CA40CD" w:rsidRDefault="00CA40CD" w:rsidP="0084461B">
            <w:pPr>
              <w:rPr>
                <w:rFonts w:cs="Arial"/>
                <w:szCs w:val="24"/>
              </w:rPr>
            </w:pPr>
            <w:r>
              <w:rPr>
                <w:rFonts w:cs="Arial"/>
                <w:szCs w:val="24"/>
              </w:rPr>
              <w:lastRenderedPageBreak/>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rsidR="00154269" w:rsidRPr="000412A1" w:rsidRDefault="00154269" w:rsidP="0084461B">
            <w:pPr>
              <w:keepNext/>
              <w:rPr>
                <w:rFonts w:cs="Arial"/>
                <w:color w:val="000000"/>
                <w:szCs w:val="24"/>
              </w:rPr>
            </w:pPr>
            <w:r w:rsidRPr="000412A1">
              <w:rPr>
                <w:rFonts w:cs="Arial"/>
                <w:color w:val="000000"/>
                <w:szCs w:val="24"/>
              </w:rPr>
              <w:lastRenderedPageBreak/>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rsidR="000E33C9" w:rsidRPr="00EE0EE9" w:rsidRDefault="000E33C9" w:rsidP="003759F0">
            <w:pPr>
              <w:keepNext/>
              <w:rPr>
                <w:rFonts w:cs="Arial"/>
                <w:color w:val="FF0000"/>
                <w:szCs w:val="24"/>
              </w:rPr>
            </w:pPr>
          </w:p>
        </w:tc>
      </w:tr>
      <w:tr w:rsidR="00D54163" w:rsidRPr="000412A1" w:rsidTr="00F506AC">
        <w:trPr>
          <w:gridAfter w:val="1"/>
          <w:wAfter w:w="70" w:type="pct"/>
        </w:trPr>
        <w:tc>
          <w:tcPr>
            <w:tcW w:w="4930" w:type="pct"/>
            <w:gridSpan w:val="3"/>
            <w:shd w:val="clear" w:color="auto" w:fill="FFFF00"/>
          </w:tcPr>
          <w:p w:rsidR="00D54163" w:rsidRPr="00D95C75" w:rsidRDefault="00D54163" w:rsidP="0084461B">
            <w:pPr>
              <w:rPr>
                <w:rFonts w:cs="Arial"/>
                <w:b/>
                <w:szCs w:val="24"/>
                <w:u w:val="single"/>
              </w:rPr>
            </w:pPr>
            <w:r w:rsidRPr="00D95C75">
              <w:rPr>
                <w:rFonts w:cs="Arial"/>
                <w:b/>
                <w:szCs w:val="24"/>
                <w:u w:val="single"/>
              </w:rPr>
              <w:lastRenderedPageBreak/>
              <w:t>B4. Payment Triggers.</w:t>
            </w:r>
          </w:p>
          <w:p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rsidR="00EC3C9D" w:rsidRDefault="00EC3C9D" w:rsidP="0084461B">
            <w:pPr>
              <w:rPr>
                <w:rFonts w:cs="Arial"/>
                <w:szCs w:val="24"/>
              </w:rPr>
            </w:pPr>
          </w:p>
          <w:p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rsidR="00EC3C9D" w:rsidRDefault="00EC3C9D" w:rsidP="0084461B">
            <w:pPr>
              <w:rPr>
                <w:rFonts w:cs="Arial"/>
                <w:szCs w:val="24"/>
              </w:rPr>
            </w:pPr>
          </w:p>
          <w:p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3167"/>
              <w:gridCol w:w="1842"/>
              <w:gridCol w:w="1701"/>
            </w:tblGrid>
            <w:tr w:rsidR="00B965A3" w:rsidRPr="00C0263E" w:rsidTr="00B965A3">
              <w:tc>
                <w:tcPr>
                  <w:tcW w:w="1577" w:type="dxa"/>
                  <w:tcBorders>
                    <w:top w:val="single" w:sz="4" w:space="0" w:color="auto"/>
                    <w:left w:val="single" w:sz="4" w:space="0" w:color="auto"/>
                    <w:bottom w:val="single" w:sz="4" w:space="0" w:color="auto"/>
                    <w:right w:val="single" w:sz="4" w:space="0" w:color="auto"/>
                  </w:tcBorders>
                  <w:shd w:val="clear" w:color="auto" w:fill="F2F2F2"/>
                </w:tcPr>
                <w:p w:rsidR="00B965A3" w:rsidRPr="00C0263E" w:rsidRDefault="00B965A3" w:rsidP="0084461B">
                  <w:pPr>
                    <w:spacing w:before="40" w:after="40"/>
                    <w:rPr>
                      <w:rFonts w:cs="Arial"/>
                      <w:b/>
                      <w:szCs w:val="24"/>
                    </w:rPr>
                  </w:pPr>
                  <w:r>
                    <w:rPr>
                      <w:rFonts w:cs="Arial"/>
                      <w:b/>
                      <w:szCs w:val="24"/>
                    </w:rPr>
                    <w:t>Provider specific triggers</w:t>
                  </w:r>
                </w:p>
              </w:tc>
              <w:tc>
                <w:tcPr>
                  <w:tcW w:w="31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5A3" w:rsidRPr="00EC3C9D" w:rsidRDefault="00B965A3"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5A3" w:rsidRPr="00EC3C9D" w:rsidRDefault="00B965A3" w:rsidP="00F506AC">
                  <w:pPr>
                    <w:spacing w:before="40" w:after="40"/>
                    <w:rPr>
                      <w:rFonts w:cs="Arial"/>
                      <w:b/>
                      <w:szCs w:val="24"/>
                    </w:rPr>
                  </w:pPr>
                  <w:r w:rsidRPr="00EC3C9D">
                    <w:rPr>
                      <w:rFonts w:cs="Arial"/>
                      <w:b/>
                      <w:szCs w:val="24"/>
                    </w:rPr>
                    <w:t>20</w:t>
                  </w:r>
                  <w:r>
                    <w:rPr>
                      <w:rFonts w:cs="Arial"/>
                      <w:b/>
                      <w:szCs w:val="24"/>
                    </w:rPr>
                    <w:t>20</w:t>
                  </w:r>
                  <w:r w:rsidRPr="00EC3C9D">
                    <w:rPr>
                      <w:rFonts w:cs="Arial"/>
                      <w:b/>
                      <w:szCs w:val="24"/>
                    </w:rPr>
                    <w:t>/</w:t>
                  </w:r>
                  <w:r>
                    <w:rPr>
                      <w:rFonts w:cs="Arial"/>
                      <w:b/>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5A3" w:rsidRPr="00EC3C9D" w:rsidRDefault="00B965A3" w:rsidP="00F506AC">
                  <w:pPr>
                    <w:spacing w:before="40" w:after="40"/>
                    <w:rPr>
                      <w:rFonts w:cs="Arial"/>
                      <w:b/>
                      <w:szCs w:val="24"/>
                    </w:rPr>
                  </w:pPr>
                  <w:r w:rsidRPr="00EC3C9D">
                    <w:rPr>
                      <w:rFonts w:cs="Arial"/>
                      <w:b/>
                      <w:szCs w:val="24"/>
                    </w:rPr>
                    <w:t>20</w:t>
                  </w:r>
                  <w:r>
                    <w:rPr>
                      <w:rFonts w:cs="Arial"/>
                      <w:b/>
                      <w:szCs w:val="24"/>
                    </w:rPr>
                    <w:t>21</w:t>
                  </w:r>
                  <w:r w:rsidRPr="00EC3C9D">
                    <w:rPr>
                      <w:rFonts w:cs="Arial"/>
                      <w:b/>
                      <w:szCs w:val="24"/>
                    </w:rPr>
                    <w:t>/</w:t>
                  </w:r>
                  <w:r>
                    <w:rPr>
                      <w:rFonts w:cs="Arial"/>
                      <w:b/>
                      <w:szCs w:val="24"/>
                    </w:rPr>
                    <w:t>22</w:t>
                  </w:r>
                </w:p>
              </w:tc>
            </w:tr>
            <w:tr w:rsidR="00B965A3" w:rsidRPr="00C0263E" w:rsidTr="00B965A3">
              <w:tc>
                <w:tcPr>
                  <w:tcW w:w="1577" w:type="dxa"/>
                  <w:tcBorders>
                    <w:top w:val="single" w:sz="4" w:space="0" w:color="auto"/>
                    <w:left w:val="single" w:sz="4" w:space="0" w:color="auto"/>
                    <w:bottom w:val="single" w:sz="4" w:space="0" w:color="auto"/>
                    <w:right w:val="single" w:sz="4" w:space="0" w:color="auto"/>
                  </w:tcBorders>
                  <w:shd w:val="clear" w:color="auto" w:fill="F2F2F2"/>
                  <w:hideMark/>
                </w:tcPr>
                <w:p w:rsidR="00B965A3" w:rsidRDefault="00B965A3" w:rsidP="0084461B">
                  <w:pPr>
                    <w:spacing w:before="40" w:after="40"/>
                    <w:rPr>
                      <w:rFonts w:cs="Arial"/>
                      <w:b/>
                      <w:szCs w:val="24"/>
                    </w:rPr>
                  </w:pPr>
                  <w:r>
                    <w:rPr>
                      <w:rFonts w:cs="Arial"/>
                      <w:b/>
                      <w:szCs w:val="24"/>
                    </w:rPr>
                    <w:t>Trigger 1:</w:t>
                  </w:r>
                </w:p>
                <w:p w:rsidR="00B965A3" w:rsidRPr="00C0263E" w:rsidRDefault="00B965A3" w:rsidP="0084461B">
                  <w:pPr>
                    <w:spacing w:before="40" w:after="40"/>
                    <w:rPr>
                      <w:rFonts w:cs="Arial"/>
                      <w:b/>
                      <w:szCs w:val="24"/>
                    </w:rPr>
                  </w:pPr>
                </w:p>
              </w:tc>
              <w:tc>
                <w:tcPr>
                  <w:tcW w:w="3167"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65A3" w:rsidRPr="00C0263E" w:rsidRDefault="00B965A3" w:rsidP="0084461B">
                  <w:pPr>
                    <w:spacing w:before="40" w:after="4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r>
            <w:tr w:rsidR="00B965A3" w:rsidRPr="00C0263E" w:rsidTr="00B965A3">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hideMark/>
                </w:tcPr>
                <w:p w:rsidR="00B965A3" w:rsidRDefault="00B965A3" w:rsidP="0084461B">
                  <w:pPr>
                    <w:spacing w:before="40" w:after="40"/>
                    <w:rPr>
                      <w:rFonts w:cs="Arial"/>
                      <w:b/>
                      <w:szCs w:val="24"/>
                    </w:rPr>
                  </w:pPr>
                  <w:r>
                    <w:rPr>
                      <w:rFonts w:cs="Arial"/>
                      <w:b/>
                      <w:szCs w:val="24"/>
                    </w:rPr>
                    <w:t xml:space="preserve">Trigger </w:t>
                  </w:r>
                  <w:r w:rsidR="00C56F91">
                    <w:rPr>
                      <w:rFonts w:cs="Arial"/>
                      <w:b/>
                      <w:szCs w:val="24"/>
                    </w:rPr>
                    <w:t>2</w:t>
                  </w:r>
                  <w:r>
                    <w:rPr>
                      <w:rFonts w:cs="Arial"/>
                      <w:b/>
                      <w:szCs w:val="24"/>
                    </w:rPr>
                    <w:t>:</w:t>
                  </w:r>
                </w:p>
                <w:p w:rsidR="00B965A3" w:rsidRPr="00C0263E" w:rsidRDefault="00B965A3" w:rsidP="0084461B">
                  <w:pPr>
                    <w:spacing w:before="40" w:after="40"/>
                    <w:rPr>
                      <w:rFonts w:cs="Arial"/>
                      <w:b/>
                      <w:szCs w:val="24"/>
                    </w:rPr>
                  </w:pPr>
                </w:p>
              </w:tc>
              <w:tc>
                <w:tcPr>
                  <w:tcW w:w="3167"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65A3" w:rsidRPr="00C0263E" w:rsidRDefault="00B965A3" w:rsidP="0084461B">
                  <w:pPr>
                    <w:spacing w:before="40" w:after="4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r>
            <w:tr w:rsidR="00B965A3" w:rsidRPr="00C0263E" w:rsidTr="00B965A3">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rsidR="00B965A3" w:rsidRDefault="00B965A3" w:rsidP="0084461B">
                  <w:pPr>
                    <w:spacing w:before="40" w:after="40"/>
                    <w:rPr>
                      <w:rFonts w:cs="Arial"/>
                      <w:b/>
                      <w:szCs w:val="24"/>
                    </w:rPr>
                  </w:pPr>
                  <w:r>
                    <w:rPr>
                      <w:rFonts w:cs="Arial"/>
                      <w:b/>
                      <w:szCs w:val="24"/>
                    </w:rPr>
                    <w:t xml:space="preserve">Trigger </w:t>
                  </w:r>
                  <w:r w:rsidR="00C56F91">
                    <w:rPr>
                      <w:rFonts w:cs="Arial"/>
                      <w:b/>
                      <w:szCs w:val="24"/>
                    </w:rPr>
                    <w:t>3</w:t>
                  </w:r>
                  <w:r>
                    <w:rPr>
                      <w:rFonts w:cs="Arial"/>
                      <w:b/>
                      <w:szCs w:val="24"/>
                    </w:rPr>
                    <w:t>:</w:t>
                  </w:r>
                </w:p>
                <w:p w:rsidR="00B965A3" w:rsidRDefault="00B965A3" w:rsidP="00C56F91">
                  <w:pPr>
                    <w:spacing w:before="40" w:after="40"/>
                    <w:rPr>
                      <w:rFonts w:cs="Arial"/>
                      <w:b/>
                      <w:szCs w:val="24"/>
                    </w:rPr>
                  </w:pPr>
                </w:p>
              </w:tc>
              <w:tc>
                <w:tcPr>
                  <w:tcW w:w="3167"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65A3" w:rsidRPr="00C0263E" w:rsidRDefault="00B965A3" w:rsidP="0084461B">
                  <w:pPr>
                    <w:spacing w:before="40" w:after="4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r>
            <w:tr w:rsidR="00B965A3" w:rsidRPr="00C0263E" w:rsidTr="00B965A3">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rsidR="00B965A3" w:rsidRDefault="00B965A3" w:rsidP="0084461B">
                  <w:pPr>
                    <w:spacing w:before="40" w:after="40"/>
                    <w:rPr>
                      <w:rFonts w:cs="Arial"/>
                      <w:b/>
                      <w:szCs w:val="24"/>
                    </w:rPr>
                  </w:pPr>
                  <w:r>
                    <w:rPr>
                      <w:rFonts w:cs="Arial"/>
                      <w:b/>
                      <w:szCs w:val="24"/>
                    </w:rPr>
                    <w:t xml:space="preserve">Trigger </w:t>
                  </w:r>
                  <w:r w:rsidR="00C56F91">
                    <w:rPr>
                      <w:rFonts w:cs="Arial"/>
                      <w:b/>
                      <w:szCs w:val="24"/>
                    </w:rPr>
                    <w:t>4:</w:t>
                  </w:r>
                  <w:r>
                    <w:rPr>
                      <w:rFonts w:cs="Arial"/>
                      <w:b/>
                      <w:szCs w:val="24"/>
                    </w:rPr>
                    <w:t xml:space="preserve"> </w:t>
                  </w:r>
                </w:p>
              </w:tc>
              <w:tc>
                <w:tcPr>
                  <w:tcW w:w="3167"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65A3" w:rsidRPr="00C0263E" w:rsidRDefault="00B965A3" w:rsidP="0084461B">
                  <w:pPr>
                    <w:spacing w:before="40" w:after="4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r>
            <w:tr w:rsidR="00B965A3" w:rsidRPr="00C0263E" w:rsidTr="00B965A3">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rsidR="00B965A3" w:rsidRDefault="00B965A3" w:rsidP="0084461B">
                  <w:pPr>
                    <w:spacing w:before="40" w:after="40"/>
                    <w:rPr>
                      <w:rFonts w:cs="Arial"/>
                      <w:b/>
                      <w:szCs w:val="24"/>
                    </w:rPr>
                  </w:pPr>
                  <w:r>
                    <w:rPr>
                      <w:rFonts w:cs="Arial"/>
                      <w:b/>
                      <w:szCs w:val="24"/>
                    </w:rPr>
                    <w:t xml:space="preserve">Trigger </w:t>
                  </w:r>
                  <w:r w:rsidR="00C56F91">
                    <w:rPr>
                      <w:rFonts w:cs="Arial"/>
                      <w:b/>
                      <w:szCs w:val="24"/>
                    </w:rPr>
                    <w:t>5:</w:t>
                  </w:r>
                </w:p>
              </w:tc>
              <w:tc>
                <w:tcPr>
                  <w:tcW w:w="3167"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65A3" w:rsidRPr="00C0263E" w:rsidRDefault="00B965A3" w:rsidP="0084461B">
                  <w:pPr>
                    <w:spacing w:before="40" w:after="40"/>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rsidR="00B965A3" w:rsidRPr="00C0263E" w:rsidRDefault="00B965A3" w:rsidP="0084461B">
                  <w:pPr>
                    <w:spacing w:before="40" w:after="40"/>
                    <w:rPr>
                      <w:rFonts w:cs="Arial"/>
                      <w:szCs w:val="24"/>
                    </w:rPr>
                  </w:pPr>
                </w:p>
              </w:tc>
            </w:tr>
          </w:tbl>
          <w:p w:rsidR="00D54163" w:rsidRDefault="00D54163" w:rsidP="0084461B">
            <w:pPr>
              <w:rPr>
                <w:rFonts w:cs="Arial"/>
                <w:szCs w:val="24"/>
              </w:rPr>
            </w:pPr>
          </w:p>
          <w:p w:rsidR="00D54163" w:rsidRDefault="00D54163" w:rsidP="0084461B">
            <w:pPr>
              <w:rPr>
                <w:rFonts w:cs="Arial"/>
                <w:szCs w:val="24"/>
              </w:rPr>
            </w:pPr>
          </w:p>
          <w:p w:rsidR="00D54163" w:rsidRDefault="00D54163" w:rsidP="0084461B">
            <w:pPr>
              <w:rPr>
                <w:rFonts w:cs="Arial"/>
                <w:szCs w:val="24"/>
              </w:rPr>
            </w:pPr>
          </w:p>
        </w:tc>
      </w:tr>
      <w:tr w:rsidR="00D95C75" w:rsidRPr="000412A1" w:rsidTr="00A536ED">
        <w:tc>
          <w:tcPr>
            <w:tcW w:w="5000" w:type="pct"/>
            <w:gridSpan w:val="4"/>
            <w:shd w:val="clear" w:color="auto" w:fill="BFBFBF" w:themeFill="background1" w:themeFillShade="BF"/>
          </w:tcPr>
          <w:p w:rsidR="00D95C75" w:rsidRPr="00C0263E" w:rsidRDefault="00D95C75" w:rsidP="00A536ED">
            <w:pPr>
              <w:rPr>
                <w:rFonts w:cs="Arial"/>
                <w:szCs w:val="24"/>
              </w:rPr>
            </w:pPr>
            <w:r>
              <w:rPr>
                <w:rFonts w:cs="Arial"/>
                <w:b/>
                <w:color w:val="000000"/>
                <w:szCs w:val="24"/>
              </w:rPr>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rsidTr="002C4571">
        <w:tc>
          <w:tcPr>
            <w:tcW w:w="5000" w:type="pct"/>
            <w:gridSpan w:val="4"/>
            <w:shd w:val="clear" w:color="auto" w:fill="D9D9D9" w:themeFill="background1" w:themeFillShade="D9"/>
          </w:tcPr>
          <w:p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rsidTr="002C4571">
        <w:tc>
          <w:tcPr>
            <w:tcW w:w="1774" w:type="pct"/>
            <w:gridSpan w:val="2"/>
            <w:shd w:val="clear" w:color="auto" w:fill="D9D9D9" w:themeFill="background1" w:themeFillShade="D9"/>
          </w:tcPr>
          <w:p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rsidTr="002C4571">
        <w:tc>
          <w:tcPr>
            <w:tcW w:w="5000" w:type="pct"/>
            <w:gridSpan w:val="4"/>
            <w:shd w:val="clear" w:color="auto" w:fill="BFBFBF" w:themeFill="background1" w:themeFillShade="BF"/>
          </w:tcPr>
          <w:p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rsidTr="00F506AC">
        <w:tc>
          <w:tcPr>
            <w:tcW w:w="5000" w:type="pct"/>
            <w:gridSpan w:val="4"/>
            <w:shd w:val="clear" w:color="auto" w:fill="FFFF00"/>
          </w:tcPr>
          <w:p w:rsidR="00CF3963" w:rsidRDefault="00CF3963" w:rsidP="00CF3963">
            <w:r>
              <w:t xml:space="preserve">Default arrangement: half payment of target CQUIN payment each month, reconciliation end of each year depending upon achievement. </w:t>
            </w:r>
          </w:p>
          <w:p w:rsidR="00CF3963" w:rsidRDefault="00CF3963" w:rsidP="00CF3963">
            <w:pPr>
              <w:rPr>
                <w:i/>
              </w:rPr>
            </w:pPr>
          </w:p>
          <w:p w:rsidR="00CF3963" w:rsidRPr="004E377A" w:rsidRDefault="00CF3963" w:rsidP="00CF3963">
            <w:pPr>
              <w:rPr>
                <w:i/>
                <w:color w:val="FF0000"/>
              </w:rPr>
            </w:pPr>
            <w:r w:rsidRPr="004E377A">
              <w:rPr>
                <w:i/>
                <w:color w:val="FF0000"/>
              </w:rPr>
              <w:t>[Specify variation of this approach if required]</w:t>
            </w:r>
          </w:p>
          <w:p w:rsidR="006B2327" w:rsidRDefault="006B2327" w:rsidP="0084461B">
            <w:pPr>
              <w:spacing w:before="40" w:after="40"/>
              <w:rPr>
                <w:rFonts w:cs="Arial"/>
                <w:b/>
                <w:color w:val="000000"/>
                <w:szCs w:val="24"/>
              </w:rPr>
            </w:pPr>
          </w:p>
        </w:tc>
      </w:tr>
    </w:tbl>
    <w:p w:rsidR="006B2327" w:rsidRDefault="006B2327" w:rsidP="00154269">
      <w:pPr>
        <w:rPr>
          <w:rFonts w:cs="Arial"/>
          <w:b/>
          <w:szCs w:val="24"/>
        </w:rPr>
      </w:pPr>
    </w:p>
    <w:p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rsidTr="00CF3963">
        <w:tc>
          <w:tcPr>
            <w:tcW w:w="5000" w:type="pct"/>
            <w:gridSpan w:val="3"/>
            <w:shd w:val="clear" w:color="auto" w:fill="BFBFBF" w:themeFill="background1" w:themeFillShade="BF"/>
          </w:tcPr>
          <w:p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rsidTr="00CF3963">
        <w:tc>
          <w:tcPr>
            <w:tcW w:w="5000" w:type="pct"/>
            <w:gridSpan w:val="3"/>
            <w:shd w:val="clear" w:color="auto" w:fill="BFBFBF" w:themeFill="background1" w:themeFillShade="BF"/>
          </w:tcPr>
          <w:p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rsidTr="002C4571">
        <w:tc>
          <w:tcPr>
            <w:tcW w:w="2085" w:type="pct"/>
            <w:shd w:val="clear" w:color="auto" w:fill="D9D9D9" w:themeFill="background1" w:themeFillShade="D9"/>
          </w:tcPr>
          <w:p w:rsidR="00F506AC" w:rsidRDefault="00F506AC" w:rsidP="0084461B">
            <w:pPr>
              <w:rPr>
                <w:rFonts w:cs="Arial"/>
                <w:b/>
                <w:i/>
                <w:szCs w:val="24"/>
              </w:rPr>
            </w:pPr>
            <w:bookmarkStart w:id="3" w:name="_Hlk533886782"/>
            <w:r w:rsidRPr="00F506AC">
              <w:rPr>
                <w:rFonts w:cs="Arial"/>
                <w:b/>
                <w:szCs w:val="24"/>
              </w:rPr>
              <w:t>Nature of Adoption Ambition</w:t>
            </w:r>
            <w:r>
              <w:rPr>
                <w:rFonts w:cs="Arial"/>
                <w:b/>
                <w:i/>
                <w:szCs w:val="24"/>
              </w:rPr>
              <w:t xml:space="preserve">: </w:t>
            </w:r>
          </w:p>
          <w:p w:rsidR="00F506AC" w:rsidRDefault="00F506AC" w:rsidP="001F6AA3">
            <w:pPr>
              <w:rPr>
                <w:rFonts w:cs="Arial"/>
                <w:szCs w:val="24"/>
              </w:rPr>
            </w:pPr>
          </w:p>
        </w:tc>
        <w:tc>
          <w:tcPr>
            <w:tcW w:w="2915" w:type="pct"/>
            <w:gridSpan w:val="2"/>
          </w:tcPr>
          <w:p w:rsidR="00F506AC" w:rsidRPr="004E377A" w:rsidRDefault="00EC5FB0" w:rsidP="00FE4C46">
            <w:pPr>
              <w:rPr>
                <w:rFonts w:cs="Arial"/>
                <w:color w:val="FF0000"/>
                <w:szCs w:val="24"/>
              </w:rPr>
            </w:pPr>
            <w:r>
              <w:rPr>
                <w:rFonts w:cs="Arial"/>
                <w:szCs w:val="24"/>
              </w:rPr>
              <w:t xml:space="preserve">13 </w:t>
            </w:r>
            <w:r w:rsidR="00CE2CAD">
              <w:rPr>
                <w:rFonts w:cs="Arial"/>
                <w:szCs w:val="24"/>
              </w:rPr>
              <w:t xml:space="preserve">severe asthma </w:t>
            </w:r>
            <w:r w:rsidR="001912B5">
              <w:rPr>
                <w:rFonts w:cs="Arial"/>
                <w:szCs w:val="24"/>
              </w:rPr>
              <w:t>networks</w:t>
            </w:r>
            <w:r w:rsidR="00CE2CAD">
              <w:rPr>
                <w:rFonts w:cs="Arial"/>
                <w:szCs w:val="24"/>
              </w:rPr>
              <w:t xml:space="preserve"> nationally </w:t>
            </w:r>
          </w:p>
        </w:tc>
      </w:tr>
      <w:tr w:rsidR="00CF3963" w:rsidRPr="000412A1" w:rsidTr="002C4571">
        <w:tc>
          <w:tcPr>
            <w:tcW w:w="2085" w:type="pct"/>
            <w:shd w:val="clear" w:color="auto" w:fill="D9D9D9" w:themeFill="background1" w:themeFillShade="D9"/>
          </w:tcPr>
          <w:p w:rsidR="00CF3963" w:rsidRDefault="002C4571" w:rsidP="0084461B">
            <w:pPr>
              <w:rPr>
                <w:rFonts w:cs="Arial"/>
                <w:szCs w:val="24"/>
              </w:rPr>
            </w:pPr>
            <w:r w:rsidRPr="002C4571">
              <w:rPr>
                <w:rFonts w:cs="Arial"/>
                <w:b/>
                <w:szCs w:val="24"/>
              </w:rPr>
              <w:lastRenderedPageBreak/>
              <w:t xml:space="preserve">List of </w:t>
            </w:r>
            <w:r w:rsidR="004E377A">
              <w:rPr>
                <w:rFonts w:cs="Arial"/>
                <w:b/>
                <w:szCs w:val="24"/>
              </w:rPr>
              <w:t xml:space="preserve">Providers for whom Indicator is </w:t>
            </w:r>
            <w:r w:rsidR="004E377A" w:rsidRPr="002C4571">
              <w:rPr>
                <w:rFonts w:cs="Arial"/>
                <w:b/>
                <w:szCs w:val="24"/>
              </w:rPr>
              <w:t>Applicable</w:t>
            </w:r>
          </w:p>
          <w:p w:rsidR="00CF3963" w:rsidRPr="000412A1" w:rsidRDefault="00CF3963" w:rsidP="001F6AA3">
            <w:pPr>
              <w:rPr>
                <w:rFonts w:cs="Arial"/>
                <w:szCs w:val="24"/>
              </w:rPr>
            </w:pPr>
          </w:p>
        </w:tc>
        <w:tc>
          <w:tcPr>
            <w:tcW w:w="2915" w:type="pct"/>
            <w:gridSpan w:val="2"/>
          </w:tcPr>
          <w:p w:rsidR="00B965A3" w:rsidRDefault="00B965A3" w:rsidP="001912B5">
            <w:pPr>
              <w:rPr>
                <w:rFonts w:cs="Arial"/>
                <w:szCs w:val="24"/>
              </w:rPr>
            </w:pPr>
            <w:r>
              <w:rPr>
                <w:rFonts w:cs="Arial"/>
                <w:szCs w:val="24"/>
              </w:rPr>
              <w:t>To be chosen by commissioners from following list:</w:t>
            </w:r>
          </w:p>
          <w:p w:rsidR="00CF3963" w:rsidRPr="00503E44" w:rsidRDefault="007F4F8A" w:rsidP="001912B5">
            <w:pPr>
              <w:rPr>
                <w:rFonts w:cs="Arial"/>
                <w:szCs w:val="24"/>
              </w:rPr>
            </w:pPr>
            <w:r>
              <w:rPr>
                <w:rFonts w:cs="Arial"/>
                <w:szCs w:val="24"/>
              </w:rPr>
              <w:t>1.</w:t>
            </w:r>
            <w:r w:rsidR="00B965A3">
              <w:rPr>
                <w:rFonts w:cs="Arial"/>
                <w:szCs w:val="24"/>
              </w:rPr>
              <w:t xml:space="preserve"> </w:t>
            </w:r>
            <w:r w:rsidR="001912B5" w:rsidRPr="00503E44">
              <w:rPr>
                <w:rFonts w:cs="Arial"/>
                <w:szCs w:val="24"/>
              </w:rPr>
              <w:t>Newcastle</w:t>
            </w:r>
            <w:r>
              <w:rPr>
                <w:rFonts w:cs="Arial"/>
                <w:szCs w:val="24"/>
              </w:rPr>
              <w:t xml:space="preserve"> upon Tyne Hospitals NHS FT</w:t>
            </w:r>
          </w:p>
          <w:p w:rsidR="001912B5" w:rsidRPr="00503E44" w:rsidRDefault="007F4F8A" w:rsidP="001912B5">
            <w:pPr>
              <w:rPr>
                <w:rFonts w:cs="Arial"/>
                <w:szCs w:val="24"/>
              </w:rPr>
            </w:pPr>
            <w:r>
              <w:rPr>
                <w:rFonts w:cs="Arial"/>
                <w:szCs w:val="24"/>
              </w:rPr>
              <w:t xml:space="preserve">2. </w:t>
            </w:r>
            <w:r w:rsidR="001912B5" w:rsidRPr="00503E44">
              <w:rPr>
                <w:rFonts w:cs="Arial"/>
                <w:szCs w:val="24"/>
              </w:rPr>
              <w:t>Leeds</w:t>
            </w:r>
            <w:r>
              <w:rPr>
                <w:rFonts w:cs="Arial"/>
                <w:szCs w:val="24"/>
              </w:rPr>
              <w:t xml:space="preserve"> Teaching</w:t>
            </w:r>
            <w:r w:rsidR="00B965A3">
              <w:rPr>
                <w:rFonts w:cs="Arial"/>
                <w:szCs w:val="24"/>
              </w:rPr>
              <w:t xml:space="preserve"> OR </w:t>
            </w:r>
            <w:r w:rsidR="001912B5" w:rsidRPr="00503E44">
              <w:rPr>
                <w:rFonts w:cs="Arial"/>
                <w:szCs w:val="24"/>
              </w:rPr>
              <w:t>Sheffield</w:t>
            </w:r>
            <w:r>
              <w:rPr>
                <w:rFonts w:cs="Arial"/>
                <w:szCs w:val="24"/>
              </w:rPr>
              <w:t xml:space="preserve"> Teaching</w:t>
            </w:r>
          </w:p>
          <w:p w:rsidR="001912B5" w:rsidRPr="00503E44" w:rsidRDefault="007F4F8A" w:rsidP="001912B5">
            <w:pPr>
              <w:rPr>
                <w:rFonts w:cs="Arial"/>
                <w:szCs w:val="24"/>
              </w:rPr>
            </w:pPr>
            <w:r>
              <w:rPr>
                <w:rFonts w:cs="Arial"/>
                <w:szCs w:val="24"/>
              </w:rPr>
              <w:t xml:space="preserve">3. </w:t>
            </w:r>
            <w:r w:rsidR="001912B5" w:rsidRPr="00503E44">
              <w:rPr>
                <w:rFonts w:cs="Arial"/>
                <w:szCs w:val="24"/>
              </w:rPr>
              <w:t xml:space="preserve">Manchester </w:t>
            </w:r>
          </w:p>
          <w:p w:rsidR="001912B5" w:rsidRPr="00503E44" w:rsidRDefault="007F4F8A" w:rsidP="001912B5">
            <w:pPr>
              <w:rPr>
                <w:rFonts w:cs="Arial"/>
                <w:szCs w:val="24"/>
              </w:rPr>
            </w:pPr>
            <w:r>
              <w:rPr>
                <w:rFonts w:cs="Arial"/>
                <w:szCs w:val="24"/>
              </w:rPr>
              <w:t xml:space="preserve">4. </w:t>
            </w:r>
            <w:r w:rsidR="009E6281" w:rsidRPr="00503E44">
              <w:rPr>
                <w:rFonts w:cs="Arial"/>
                <w:szCs w:val="24"/>
              </w:rPr>
              <w:t>Birmingham (</w:t>
            </w:r>
            <w:r w:rsidR="001912B5" w:rsidRPr="00503E44">
              <w:rPr>
                <w:rFonts w:cs="Arial"/>
                <w:szCs w:val="24"/>
              </w:rPr>
              <w:t>Heart of England</w:t>
            </w:r>
            <w:r w:rsidR="009E6281" w:rsidRPr="00503E44">
              <w:rPr>
                <w:rFonts w:cs="Arial"/>
                <w:szCs w:val="24"/>
              </w:rPr>
              <w:t>)</w:t>
            </w:r>
          </w:p>
          <w:p w:rsidR="001912B5" w:rsidRPr="00503E44" w:rsidRDefault="007F4F8A" w:rsidP="001912B5">
            <w:pPr>
              <w:rPr>
                <w:rFonts w:cs="Arial"/>
                <w:szCs w:val="24"/>
              </w:rPr>
            </w:pPr>
            <w:r>
              <w:rPr>
                <w:rFonts w:cs="Arial"/>
                <w:szCs w:val="24"/>
              </w:rPr>
              <w:t xml:space="preserve">5. </w:t>
            </w:r>
            <w:r w:rsidR="001912B5" w:rsidRPr="00503E44">
              <w:rPr>
                <w:rFonts w:cs="Arial"/>
                <w:szCs w:val="24"/>
              </w:rPr>
              <w:t>Cambridge</w:t>
            </w:r>
          </w:p>
          <w:p w:rsidR="001912B5" w:rsidRPr="00503E44" w:rsidRDefault="007F4F8A" w:rsidP="001912B5">
            <w:pPr>
              <w:rPr>
                <w:rFonts w:cs="Arial"/>
                <w:szCs w:val="24"/>
              </w:rPr>
            </w:pPr>
            <w:r>
              <w:rPr>
                <w:rFonts w:cs="Arial"/>
                <w:szCs w:val="24"/>
              </w:rPr>
              <w:t xml:space="preserve">6. </w:t>
            </w:r>
            <w:r w:rsidR="00785113" w:rsidRPr="00503E44">
              <w:rPr>
                <w:rFonts w:cs="Arial"/>
                <w:szCs w:val="24"/>
              </w:rPr>
              <w:t>Leicester</w:t>
            </w:r>
            <w:r w:rsidR="00785113">
              <w:rPr>
                <w:rFonts w:cs="Arial"/>
                <w:szCs w:val="24"/>
              </w:rPr>
              <w:t xml:space="preserve"> OR </w:t>
            </w:r>
            <w:r w:rsidR="00785113" w:rsidRPr="00503E44">
              <w:rPr>
                <w:rFonts w:cs="Arial"/>
                <w:szCs w:val="24"/>
              </w:rPr>
              <w:t>Nottingham</w:t>
            </w:r>
          </w:p>
          <w:p w:rsidR="00785113" w:rsidRPr="00503E44" w:rsidRDefault="007F4F8A" w:rsidP="00785113">
            <w:pPr>
              <w:rPr>
                <w:rFonts w:cs="Arial"/>
                <w:szCs w:val="24"/>
              </w:rPr>
            </w:pPr>
            <w:r>
              <w:rPr>
                <w:rFonts w:cs="Arial"/>
                <w:szCs w:val="24"/>
              </w:rPr>
              <w:t xml:space="preserve">7. </w:t>
            </w:r>
            <w:r w:rsidR="00785113" w:rsidRPr="00503E44">
              <w:rPr>
                <w:rFonts w:cs="Arial"/>
                <w:szCs w:val="24"/>
              </w:rPr>
              <w:t>Royal Brompton</w:t>
            </w:r>
          </w:p>
          <w:p w:rsidR="00785113" w:rsidRPr="00503E44" w:rsidRDefault="00785113" w:rsidP="00785113">
            <w:pPr>
              <w:rPr>
                <w:rFonts w:cs="Arial"/>
                <w:szCs w:val="24"/>
              </w:rPr>
            </w:pPr>
            <w:r>
              <w:rPr>
                <w:rFonts w:cs="Arial"/>
                <w:szCs w:val="24"/>
              </w:rPr>
              <w:t xml:space="preserve">8. </w:t>
            </w:r>
            <w:proofErr w:type="spellStart"/>
            <w:r>
              <w:rPr>
                <w:rFonts w:cs="Arial"/>
                <w:szCs w:val="24"/>
              </w:rPr>
              <w:t>Barts</w:t>
            </w:r>
            <w:proofErr w:type="spellEnd"/>
            <w:r>
              <w:rPr>
                <w:rFonts w:cs="Arial"/>
                <w:szCs w:val="24"/>
              </w:rPr>
              <w:t xml:space="preserve"> Health</w:t>
            </w:r>
          </w:p>
          <w:p w:rsidR="00785113" w:rsidRDefault="00785113" w:rsidP="00785113">
            <w:pPr>
              <w:rPr>
                <w:rFonts w:cs="Arial"/>
                <w:szCs w:val="24"/>
              </w:rPr>
            </w:pPr>
            <w:r>
              <w:rPr>
                <w:rFonts w:cs="Arial"/>
                <w:szCs w:val="24"/>
              </w:rPr>
              <w:t xml:space="preserve">9. </w:t>
            </w:r>
            <w:r w:rsidRPr="00503E44">
              <w:rPr>
                <w:rFonts w:cs="Arial"/>
                <w:szCs w:val="24"/>
              </w:rPr>
              <w:t>Guys</w:t>
            </w:r>
            <w:r>
              <w:rPr>
                <w:rFonts w:cs="Arial"/>
                <w:szCs w:val="24"/>
              </w:rPr>
              <w:t xml:space="preserve"> and St Thomas’s </w:t>
            </w:r>
          </w:p>
          <w:p w:rsidR="001912B5" w:rsidRPr="00503E44" w:rsidRDefault="00785113" w:rsidP="001912B5">
            <w:pPr>
              <w:rPr>
                <w:rFonts w:cs="Arial"/>
                <w:szCs w:val="24"/>
              </w:rPr>
            </w:pPr>
            <w:r>
              <w:rPr>
                <w:rFonts w:cs="Arial"/>
                <w:szCs w:val="24"/>
              </w:rPr>
              <w:t xml:space="preserve">10. </w:t>
            </w:r>
            <w:r w:rsidR="009D3A7A">
              <w:rPr>
                <w:rFonts w:cs="Arial"/>
                <w:szCs w:val="24"/>
              </w:rPr>
              <w:t>Oxford</w:t>
            </w:r>
          </w:p>
          <w:p w:rsidR="001912B5" w:rsidRPr="00503E44" w:rsidRDefault="007F4F8A" w:rsidP="001912B5">
            <w:pPr>
              <w:rPr>
                <w:rFonts w:cs="Arial"/>
                <w:szCs w:val="24"/>
              </w:rPr>
            </w:pPr>
            <w:r>
              <w:rPr>
                <w:rFonts w:cs="Arial"/>
                <w:szCs w:val="24"/>
              </w:rPr>
              <w:t xml:space="preserve">11. </w:t>
            </w:r>
            <w:r w:rsidR="00785113" w:rsidRPr="00503E44">
              <w:rPr>
                <w:rFonts w:cs="Arial"/>
                <w:szCs w:val="24"/>
              </w:rPr>
              <w:t>Portsmouth</w:t>
            </w:r>
            <w:r w:rsidR="00785113">
              <w:rPr>
                <w:rFonts w:cs="Arial"/>
                <w:szCs w:val="24"/>
              </w:rPr>
              <w:t xml:space="preserve"> </w:t>
            </w:r>
            <w:r w:rsidR="00EC5FB0">
              <w:rPr>
                <w:rFonts w:cs="Arial"/>
                <w:szCs w:val="24"/>
              </w:rPr>
              <w:t xml:space="preserve">and </w:t>
            </w:r>
            <w:r w:rsidR="009D3A7A" w:rsidRPr="00503E44">
              <w:rPr>
                <w:rFonts w:cs="Arial"/>
                <w:szCs w:val="24"/>
              </w:rPr>
              <w:t>Southampton</w:t>
            </w:r>
            <w:r w:rsidR="00EC5FB0">
              <w:rPr>
                <w:rFonts w:cs="Arial"/>
                <w:szCs w:val="24"/>
              </w:rPr>
              <w:t xml:space="preserve"> jointly</w:t>
            </w:r>
          </w:p>
          <w:p w:rsidR="00EC5FB0" w:rsidRDefault="007F4F8A" w:rsidP="00B965A3">
            <w:pPr>
              <w:rPr>
                <w:rFonts w:cs="Arial"/>
                <w:szCs w:val="24"/>
              </w:rPr>
            </w:pPr>
            <w:r>
              <w:rPr>
                <w:rFonts w:cs="Arial"/>
                <w:szCs w:val="24"/>
              </w:rPr>
              <w:t xml:space="preserve">12. </w:t>
            </w:r>
            <w:r w:rsidR="009D3A7A" w:rsidRPr="00503E44">
              <w:rPr>
                <w:rFonts w:cs="Arial"/>
                <w:szCs w:val="24"/>
              </w:rPr>
              <w:t>North Bristol</w:t>
            </w:r>
            <w:r w:rsidR="009D3A7A">
              <w:rPr>
                <w:rFonts w:cs="Arial"/>
                <w:szCs w:val="24"/>
              </w:rPr>
              <w:t xml:space="preserve"> </w:t>
            </w:r>
          </w:p>
          <w:p w:rsidR="007F4F8A" w:rsidRPr="007F4F8A" w:rsidRDefault="00EC5FB0" w:rsidP="00B965A3">
            <w:pPr>
              <w:rPr>
                <w:rFonts w:cs="Arial"/>
                <w:szCs w:val="24"/>
              </w:rPr>
            </w:pPr>
            <w:r>
              <w:rPr>
                <w:rFonts w:cs="Arial"/>
                <w:szCs w:val="24"/>
              </w:rPr>
              <w:t xml:space="preserve">13. </w:t>
            </w:r>
            <w:r w:rsidR="009D3A7A">
              <w:rPr>
                <w:rFonts w:cs="Arial"/>
                <w:szCs w:val="24"/>
              </w:rPr>
              <w:t>Royal Devon and Exeter</w:t>
            </w:r>
            <w:r>
              <w:rPr>
                <w:rFonts w:cs="Arial"/>
                <w:szCs w:val="24"/>
              </w:rPr>
              <w:t xml:space="preserve"> </w:t>
            </w:r>
          </w:p>
        </w:tc>
      </w:tr>
      <w:bookmarkEnd w:id="3"/>
      <w:tr w:rsidR="00CF3963" w:rsidRPr="000412A1" w:rsidTr="00CF3963">
        <w:tc>
          <w:tcPr>
            <w:tcW w:w="5000" w:type="pct"/>
            <w:gridSpan w:val="3"/>
            <w:shd w:val="clear" w:color="auto" w:fill="BFBFBF" w:themeFill="background1" w:themeFillShade="BF"/>
          </w:tcPr>
          <w:p w:rsidR="00CF3963" w:rsidRPr="004B2DC0" w:rsidRDefault="00CF3963" w:rsidP="00C25612">
            <w:pPr>
              <w:spacing w:before="40" w:after="40"/>
              <w:rPr>
                <w:rFonts w:cs="Arial"/>
                <w:b/>
                <w:color w:val="000000"/>
                <w:szCs w:val="24"/>
              </w:rPr>
            </w:pPr>
            <w:r>
              <w:rPr>
                <w:rFonts w:cs="Arial"/>
                <w:b/>
                <w:szCs w:val="24"/>
              </w:rPr>
              <w:t xml:space="preserve">C2. </w:t>
            </w:r>
            <w:r w:rsidR="00C25612">
              <w:rPr>
                <w:rFonts w:cs="Arial"/>
                <w:b/>
                <w:szCs w:val="24"/>
              </w:rPr>
              <w:t>Provider Specific Parameters</w:t>
            </w:r>
          </w:p>
        </w:tc>
      </w:tr>
      <w:tr w:rsidR="00C25612" w:rsidRPr="000412A1" w:rsidTr="002C4571">
        <w:trPr>
          <w:trHeight w:val="2153"/>
        </w:trPr>
        <w:tc>
          <w:tcPr>
            <w:tcW w:w="2188" w:type="pct"/>
            <w:gridSpan w:val="2"/>
            <w:shd w:val="clear" w:color="auto" w:fill="D9D9D9" w:themeFill="background1" w:themeFillShade="D9"/>
          </w:tcPr>
          <w:p w:rsidR="00C25612" w:rsidRPr="001F6AA3" w:rsidRDefault="00C25612" w:rsidP="00C25612">
            <w:pPr>
              <w:rPr>
                <w:rFonts w:cs="Arial"/>
                <w:b/>
                <w:i/>
                <w:szCs w:val="24"/>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rsidR="00C25612" w:rsidRDefault="00C25612" w:rsidP="00C25612">
            <w:pPr>
              <w:rPr>
                <w:rFonts w:cs="Arial"/>
                <w:szCs w:val="24"/>
                <w:u w:val="single"/>
              </w:rPr>
            </w:pPr>
          </w:p>
        </w:tc>
        <w:tc>
          <w:tcPr>
            <w:tcW w:w="2812" w:type="pct"/>
          </w:tcPr>
          <w:p w:rsidR="00254984" w:rsidRPr="00EC50F0" w:rsidRDefault="00254984" w:rsidP="00C25612">
            <w:pPr>
              <w:rPr>
                <w:rFonts w:cs="Arial"/>
                <w:szCs w:val="24"/>
              </w:rPr>
            </w:pPr>
            <w:r w:rsidRPr="00EC50F0">
              <w:rPr>
                <w:rFonts w:cs="Arial"/>
                <w:szCs w:val="24"/>
              </w:rPr>
              <w:t>The provider needs to report:</w:t>
            </w:r>
          </w:p>
          <w:p w:rsidR="00254984" w:rsidRPr="00EC50F0" w:rsidRDefault="00EC50F0" w:rsidP="00EC50F0">
            <w:pPr>
              <w:pStyle w:val="ListParagraph"/>
              <w:numPr>
                <w:ilvl w:val="0"/>
                <w:numId w:val="33"/>
              </w:numPr>
              <w:rPr>
                <w:rFonts w:cs="Arial"/>
                <w:szCs w:val="24"/>
              </w:rPr>
            </w:pPr>
            <w:r w:rsidRPr="00EC50F0">
              <w:rPr>
                <w:rFonts w:cs="Arial"/>
                <w:szCs w:val="24"/>
              </w:rPr>
              <w:t>numbers of</w:t>
            </w:r>
            <w:r w:rsidR="00254984" w:rsidRPr="00EC50F0">
              <w:rPr>
                <w:rFonts w:cs="Arial"/>
                <w:szCs w:val="24"/>
              </w:rPr>
              <w:t>:</w:t>
            </w:r>
          </w:p>
          <w:p w:rsidR="00E030E6" w:rsidRPr="00EC50F0" w:rsidRDefault="00254984" w:rsidP="00254984">
            <w:pPr>
              <w:pStyle w:val="ListParagraph"/>
              <w:numPr>
                <w:ilvl w:val="0"/>
                <w:numId w:val="16"/>
              </w:numPr>
              <w:rPr>
                <w:rFonts w:cs="Arial"/>
                <w:szCs w:val="24"/>
              </w:rPr>
            </w:pPr>
            <w:r w:rsidRPr="00EC50F0">
              <w:rPr>
                <w:rFonts w:cs="Arial"/>
                <w:szCs w:val="24"/>
              </w:rPr>
              <w:t>P</w:t>
            </w:r>
            <w:r w:rsidR="00E030E6" w:rsidRPr="00EC50F0">
              <w:rPr>
                <w:rFonts w:cs="Arial"/>
                <w:szCs w:val="24"/>
              </w:rPr>
              <w:t>atient</w:t>
            </w:r>
            <w:r w:rsidRPr="00EC50F0">
              <w:rPr>
                <w:rFonts w:cs="Arial"/>
                <w:szCs w:val="24"/>
              </w:rPr>
              <w:t>s</w:t>
            </w:r>
            <w:r w:rsidR="00E030E6" w:rsidRPr="00EC50F0">
              <w:rPr>
                <w:rFonts w:cs="Arial"/>
                <w:szCs w:val="24"/>
              </w:rPr>
              <w:t xml:space="preserve"> referred to a severe asthma centre</w:t>
            </w:r>
            <w:r w:rsidRPr="00EC50F0">
              <w:rPr>
                <w:rFonts w:cs="Arial"/>
                <w:szCs w:val="24"/>
              </w:rPr>
              <w:t xml:space="preserve"> in the last 2 years</w:t>
            </w:r>
          </w:p>
          <w:p w:rsidR="00E030E6" w:rsidRPr="00EC50F0" w:rsidRDefault="00E030E6" w:rsidP="00254984">
            <w:pPr>
              <w:pStyle w:val="ListParagraph"/>
              <w:numPr>
                <w:ilvl w:val="0"/>
                <w:numId w:val="16"/>
              </w:numPr>
              <w:rPr>
                <w:rFonts w:cs="Arial"/>
                <w:szCs w:val="24"/>
              </w:rPr>
            </w:pPr>
            <w:r w:rsidRPr="00EC50F0">
              <w:rPr>
                <w:rFonts w:cs="Arial"/>
                <w:szCs w:val="24"/>
              </w:rPr>
              <w:t>Patients already on a biologic treatment for severe asthma that have been assesse</w:t>
            </w:r>
            <w:r w:rsidR="00B965A3">
              <w:rPr>
                <w:rFonts w:cs="Arial"/>
                <w:szCs w:val="24"/>
              </w:rPr>
              <w:t>d by a severe asthma centre MDT</w:t>
            </w:r>
            <w:r w:rsidRPr="00EC50F0">
              <w:rPr>
                <w:rFonts w:cs="Arial"/>
                <w:szCs w:val="24"/>
              </w:rPr>
              <w:t xml:space="preserve"> </w:t>
            </w:r>
          </w:p>
          <w:p w:rsidR="00E030E6" w:rsidRPr="00EC50F0" w:rsidRDefault="00E030E6" w:rsidP="00254984">
            <w:pPr>
              <w:pStyle w:val="ListParagraph"/>
              <w:numPr>
                <w:ilvl w:val="0"/>
                <w:numId w:val="16"/>
              </w:numPr>
              <w:rPr>
                <w:rFonts w:cs="Arial"/>
                <w:szCs w:val="24"/>
              </w:rPr>
            </w:pPr>
            <w:r w:rsidRPr="00EC50F0">
              <w:rPr>
                <w:rFonts w:cs="Arial"/>
                <w:szCs w:val="24"/>
              </w:rPr>
              <w:t xml:space="preserve">Patients already on a biologic treatment for severe asthma that have not been assessed by a severe asthma centre MDT. </w:t>
            </w:r>
          </w:p>
          <w:p w:rsidR="00E030E6" w:rsidRPr="00EC50F0" w:rsidRDefault="00254984" w:rsidP="00EC50F0">
            <w:pPr>
              <w:pStyle w:val="ListParagraph"/>
              <w:numPr>
                <w:ilvl w:val="0"/>
                <w:numId w:val="32"/>
              </w:numPr>
              <w:rPr>
                <w:rFonts w:cs="Arial"/>
                <w:szCs w:val="24"/>
              </w:rPr>
            </w:pPr>
            <w:r w:rsidRPr="00EC50F0">
              <w:rPr>
                <w:rFonts w:cs="Arial"/>
                <w:szCs w:val="24"/>
              </w:rPr>
              <w:t xml:space="preserve">If they are reporting to the </w:t>
            </w:r>
            <w:r w:rsidR="00E030E6" w:rsidRPr="00EC50F0">
              <w:rPr>
                <w:rFonts w:cs="Arial"/>
                <w:szCs w:val="24"/>
              </w:rPr>
              <w:t>Severe Asthma Registry.</w:t>
            </w:r>
          </w:p>
          <w:p w:rsidR="00C25612" w:rsidRPr="00EC50F0" w:rsidRDefault="00EC50F0" w:rsidP="00EC50F0">
            <w:pPr>
              <w:pStyle w:val="ListParagraph"/>
              <w:numPr>
                <w:ilvl w:val="0"/>
                <w:numId w:val="32"/>
              </w:numPr>
              <w:rPr>
                <w:rFonts w:cs="Arial"/>
                <w:szCs w:val="24"/>
              </w:rPr>
            </w:pPr>
            <w:r w:rsidRPr="00EC50F0">
              <w:rPr>
                <w:rFonts w:cs="Arial"/>
                <w:szCs w:val="24"/>
              </w:rPr>
              <w:t>C</w:t>
            </w:r>
            <w:r w:rsidR="00254984" w:rsidRPr="00EC50F0">
              <w:rPr>
                <w:rFonts w:cs="Arial"/>
                <w:szCs w:val="24"/>
              </w:rPr>
              <w:t>lear a</w:t>
            </w:r>
            <w:r w:rsidR="00E030E6" w:rsidRPr="00EC50F0">
              <w:rPr>
                <w:rFonts w:cs="Arial"/>
                <w:szCs w:val="24"/>
              </w:rPr>
              <w:t>rrangements for member organisations and referring organisations of the Network.</w:t>
            </w:r>
          </w:p>
        </w:tc>
      </w:tr>
      <w:tr w:rsidR="00CF3963" w:rsidRPr="000412A1" w:rsidTr="00CF3963">
        <w:tc>
          <w:tcPr>
            <w:tcW w:w="5000" w:type="pct"/>
            <w:gridSpan w:val="3"/>
            <w:shd w:val="clear" w:color="auto" w:fill="BFBFBF" w:themeFill="background1" w:themeFillShade="BF"/>
          </w:tcPr>
          <w:p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rsidTr="00CF3963">
        <w:tc>
          <w:tcPr>
            <w:tcW w:w="5000" w:type="pct"/>
            <w:gridSpan w:val="3"/>
          </w:tcPr>
          <w:p w:rsidR="00CF396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w:t>
            </w:r>
            <w:r w:rsidR="00574537">
              <w:rPr>
                <w:rFonts w:eastAsiaTheme="minorEastAsia" w:cs="Arial"/>
                <w:b/>
                <w:szCs w:val="24"/>
              </w:rPr>
              <w:t>are as follows:</w:t>
            </w:r>
            <w:r w:rsidRPr="001F6AA3">
              <w:rPr>
                <w:rFonts w:eastAsiaTheme="minorEastAsia" w:cs="Arial"/>
                <w:b/>
                <w:szCs w:val="24"/>
              </w:rPr>
              <w:t xml:space="preserve"> </w:t>
            </w:r>
          </w:p>
          <w:p w:rsidR="00FA65C2" w:rsidRDefault="00FA65C2" w:rsidP="0084461B">
            <w:pPr>
              <w:rPr>
                <w:rFonts w:eastAsiaTheme="minorEastAsia" w:cs="Arial"/>
                <w:b/>
                <w:szCs w:val="24"/>
              </w:rPr>
            </w:pPr>
          </w:p>
          <w:p w:rsidR="00443D22" w:rsidRDefault="003C5307" w:rsidP="0084461B">
            <w:pPr>
              <w:rPr>
                <w:rFonts w:eastAsiaTheme="minorEastAsia" w:cs="Arial"/>
                <w:b/>
                <w:szCs w:val="24"/>
              </w:rPr>
            </w:pPr>
            <w:r>
              <w:rPr>
                <w:rFonts w:eastAsiaTheme="minorEastAsia" w:cs="Arial"/>
                <w:b/>
                <w:szCs w:val="24"/>
              </w:rPr>
              <w:t xml:space="preserve">Year One; </w:t>
            </w:r>
            <w:r w:rsidR="00443D22">
              <w:rPr>
                <w:rFonts w:eastAsiaTheme="minorEastAsia" w:cs="Arial"/>
                <w:b/>
                <w:szCs w:val="24"/>
              </w:rPr>
              <w:t>£</w:t>
            </w:r>
            <w:r w:rsidR="004A0967">
              <w:rPr>
                <w:rFonts w:eastAsiaTheme="minorEastAsia" w:cs="Arial"/>
                <w:b/>
                <w:szCs w:val="24"/>
              </w:rPr>
              <w:t>1</w:t>
            </w:r>
            <w:r>
              <w:rPr>
                <w:rFonts w:eastAsiaTheme="minorEastAsia" w:cs="Arial"/>
                <w:b/>
                <w:szCs w:val="24"/>
              </w:rPr>
              <w:t>63</w:t>
            </w:r>
            <w:r w:rsidR="00443D22">
              <w:rPr>
                <w:rFonts w:eastAsiaTheme="minorEastAsia" w:cs="Arial"/>
                <w:b/>
                <w:szCs w:val="24"/>
              </w:rPr>
              <w:t xml:space="preserve">,000 </w:t>
            </w:r>
          </w:p>
          <w:p w:rsidR="003C5307" w:rsidRDefault="003C5307" w:rsidP="0084461B">
            <w:pPr>
              <w:rPr>
                <w:rFonts w:eastAsiaTheme="minorEastAsia" w:cs="Arial"/>
                <w:b/>
                <w:szCs w:val="24"/>
              </w:rPr>
            </w:pPr>
            <w:r>
              <w:rPr>
                <w:rFonts w:eastAsiaTheme="minorEastAsia" w:cs="Arial"/>
                <w:b/>
                <w:szCs w:val="24"/>
              </w:rPr>
              <w:t>Year Two: £160,000</w:t>
            </w:r>
          </w:p>
          <w:p w:rsidR="003C5307" w:rsidRDefault="003C5307" w:rsidP="0084461B">
            <w:pPr>
              <w:rPr>
                <w:rFonts w:eastAsiaTheme="minorEastAsia" w:cs="Arial"/>
                <w:b/>
                <w:szCs w:val="24"/>
              </w:rPr>
            </w:pPr>
            <w:r>
              <w:rPr>
                <w:rFonts w:eastAsiaTheme="minorEastAsia" w:cs="Arial"/>
                <w:b/>
                <w:szCs w:val="24"/>
              </w:rPr>
              <w:t>Year Three: £</w:t>
            </w:r>
            <w:r w:rsidR="00E55857">
              <w:rPr>
                <w:rFonts w:eastAsiaTheme="minorEastAsia" w:cs="Arial"/>
                <w:b/>
                <w:szCs w:val="24"/>
              </w:rPr>
              <w:t>209,000</w:t>
            </w:r>
          </w:p>
          <w:p w:rsidR="00CF3963" w:rsidRDefault="00CF3963" w:rsidP="0084461B">
            <w:pPr>
              <w:rPr>
                <w:rFonts w:eastAsiaTheme="minorEastAsia" w:cs="Arial"/>
                <w:i/>
                <w:szCs w:val="24"/>
              </w:rPr>
            </w:pPr>
          </w:p>
          <w:p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rsidR="00FC4255" w:rsidRDefault="00FC4255" w:rsidP="00FC4255">
            <w:pPr>
              <w:rPr>
                <w:rFonts w:eastAsiaTheme="minorEastAsia" w:cs="Arial"/>
                <w:i/>
                <w:szCs w:val="24"/>
              </w:rPr>
            </w:pPr>
          </w:p>
          <w:p w:rsidR="00FC4255" w:rsidRPr="00FF2526" w:rsidRDefault="00FC4255" w:rsidP="00FC4255">
            <w:pPr>
              <w:rPr>
                <w:rFonts w:eastAsiaTheme="minorEastAsia" w:cs="Arial"/>
                <w:szCs w:val="24"/>
              </w:rPr>
            </w:pPr>
            <w:r w:rsidRPr="00FF2526">
              <w:rPr>
                <w:rFonts w:eastAsiaTheme="minorEastAsia" w:cs="Arial"/>
                <w:szCs w:val="24"/>
              </w:rPr>
              <w:t xml:space="preserve">These numbers are </w:t>
            </w:r>
            <w:r w:rsidR="0037381B" w:rsidRPr="00FF2526">
              <w:rPr>
                <w:rFonts w:eastAsiaTheme="minorEastAsia" w:cs="Arial"/>
                <w:szCs w:val="24"/>
              </w:rPr>
              <w:t>based upon the costs and indicative patient numbers in section D3; variation in Target Payment in line with the network-specific patient numbers set out in section C2 would be appropriate.</w:t>
            </w:r>
          </w:p>
          <w:p w:rsidR="00CF3963" w:rsidRPr="001350E0" w:rsidRDefault="00CF3963" w:rsidP="0084461B">
            <w:pPr>
              <w:rPr>
                <w:rFonts w:cs="Arial"/>
                <w:szCs w:val="24"/>
              </w:rPr>
            </w:pPr>
          </w:p>
        </w:tc>
      </w:tr>
      <w:tr w:rsidR="00CF3963" w:rsidRPr="00C0210F" w:rsidTr="00CF3963">
        <w:tc>
          <w:tcPr>
            <w:tcW w:w="5000" w:type="pct"/>
            <w:gridSpan w:val="3"/>
            <w:shd w:val="clear" w:color="auto" w:fill="D9D9D9" w:themeFill="background1" w:themeFillShade="D9"/>
          </w:tcPr>
          <w:p w:rsidR="00CF3963" w:rsidRPr="00292053" w:rsidRDefault="00CF3963" w:rsidP="005931C4">
            <w:pPr>
              <w:rPr>
                <w:rFonts w:eastAsiaTheme="minorEastAsia" w:cs="Arial"/>
                <w:b/>
                <w:szCs w:val="24"/>
              </w:rPr>
            </w:pPr>
            <w:r>
              <w:rPr>
                <w:rFonts w:eastAsiaTheme="minorEastAsia" w:cs="Arial"/>
                <w:b/>
                <w:szCs w:val="24"/>
              </w:rPr>
              <w:t xml:space="preserve">C4. </w:t>
            </w:r>
            <w:r w:rsidRPr="00292053">
              <w:rPr>
                <w:rFonts w:eastAsiaTheme="minorEastAsia" w:cs="Arial"/>
                <w:b/>
                <w:szCs w:val="24"/>
              </w:rPr>
              <w:t>Payment Triggers and Partial Achievement Rules</w:t>
            </w:r>
          </w:p>
        </w:tc>
      </w:tr>
      <w:tr w:rsidR="00CF3963" w:rsidRPr="000412A1" w:rsidTr="002C4571">
        <w:tc>
          <w:tcPr>
            <w:tcW w:w="5000" w:type="pct"/>
            <w:gridSpan w:val="3"/>
            <w:shd w:val="clear" w:color="auto" w:fill="auto"/>
          </w:tcPr>
          <w:p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rsidR="00CF3963" w:rsidRDefault="00CF3963" w:rsidP="0084461B">
            <w:pPr>
              <w:rPr>
                <w:rFonts w:eastAsiaTheme="minorEastAsia" w:cs="Arial"/>
                <w:b/>
                <w:szCs w:val="24"/>
              </w:rPr>
            </w:pPr>
            <w:r w:rsidRPr="001F6AA3">
              <w:rPr>
                <w:rFonts w:eastAsiaTheme="minorEastAsia" w:cs="Arial"/>
                <w:b/>
                <w:szCs w:val="24"/>
              </w:rPr>
              <w:lastRenderedPageBreak/>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rsidR="00A71FB7" w:rsidRDefault="00A71FB7" w:rsidP="0084461B">
            <w:pPr>
              <w:rPr>
                <w:rFonts w:eastAsiaTheme="minorEastAsia" w:cs="Arial"/>
                <w:b/>
                <w:szCs w:val="24"/>
              </w:rPr>
            </w:pPr>
          </w:p>
          <w:p w:rsidR="00A71FB7" w:rsidRPr="00072357" w:rsidRDefault="00A71FB7" w:rsidP="00A71FB7">
            <w:pPr>
              <w:rPr>
                <w:rFonts w:cs="Arial"/>
                <w:szCs w:val="24"/>
              </w:rPr>
            </w:pPr>
            <w:r w:rsidRPr="00072357">
              <w:rPr>
                <w:rFonts w:cs="Arial"/>
                <w:szCs w:val="24"/>
              </w:rPr>
              <w:t>The change sought is to implement Severe Asthma Networks with a Commissioned Specialised Severe Asthma Centre as the network lead. In addition, all patients with severe asthma receiving biologics will be cared for under the auspices of severe asthma networks</w:t>
            </w:r>
            <w:r w:rsidR="00EC50F0">
              <w:rPr>
                <w:rFonts w:cs="Arial"/>
                <w:szCs w:val="24"/>
              </w:rPr>
              <w:t xml:space="preserve">. </w:t>
            </w:r>
          </w:p>
          <w:p w:rsidR="00A71FB7" w:rsidRPr="00072357" w:rsidRDefault="00A71FB7" w:rsidP="00A71FB7">
            <w:pPr>
              <w:rPr>
                <w:rFonts w:cs="Arial"/>
                <w:szCs w:val="24"/>
              </w:rPr>
            </w:pPr>
          </w:p>
          <w:p w:rsidR="00A71FB7" w:rsidRPr="00072357" w:rsidRDefault="00A71FB7" w:rsidP="00A71FB7">
            <w:pPr>
              <w:rPr>
                <w:rFonts w:cs="Arial"/>
                <w:szCs w:val="24"/>
              </w:rPr>
            </w:pPr>
            <w:r w:rsidRPr="00072357">
              <w:rPr>
                <w:rFonts w:cs="Arial"/>
                <w:szCs w:val="24"/>
              </w:rPr>
              <w:t>Change in behaviour</w:t>
            </w:r>
            <w:r w:rsidR="00EC50F0">
              <w:rPr>
                <w:rFonts w:cs="Arial"/>
                <w:szCs w:val="24"/>
              </w:rPr>
              <w:t xml:space="preserve"> sought</w:t>
            </w:r>
            <w:r w:rsidRPr="00072357">
              <w:rPr>
                <w:rFonts w:cs="Arial"/>
                <w:szCs w:val="24"/>
              </w:rPr>
              <w:t>:</w:t>
            </w:r>
          </w:p>
          <w:p w:rsidR="00A71FB7" w:rsidRPr="00FE4C46" w:rsidRDefault="00A71FB7" w:rsidP="00FE4C46">
            <w:pPr>
              <w:pStyle w:val="ListParagraph"/>
              <w:numPr>
                <w:ilvl w:val="0"/>
                <w:numId w:val="17"/>
              </w:numPr>
              <w:rPr>
                <w:rFonts w:cs="Arial"/>
                <w:szCs w:val="24"/>
              </w:rPr>
            </w:pPr>
            <w:r w:rsidRPr="00FE4C46">
              <w:rPr>
                <w:rFonts w:cs="Arial"/>
                <w:szCs w:val="24"/>
              </w:rPr>
              <w:t>Appropriate initiation prescribing and annual review of biologics by a severe asthma centre</w:t>
            </w:r>
          </w:p>
          <w:p w:rsidR="00A71FB7" w:rsidRPr="00FE4C46" w:rsidRDefault="00A71FB7" w:rsidP="00FE4C46">
            <w:pPr>
              <w:pStyle w:val="ListParagraph"/>
              <w:numPr>
                <w:ilvl w:val="0"/>
                <w:numId w:val="17"/>
              </w:numPr>
              <w:rPr>
                <w:rFonts w:cs="Arial"/>
                <w:szCs w:val="24"/>
              </w:rPr>
            </w:pPr>
            <w:r w:rsidRPr="00FE4C46">
              <w:rPr>
                <w:rFonts w:cs="Arial"/>
                <w:szCs w:val="24"/>
              </w:rPr>
              <w:t>Virtual network MDTs</w:t>
            </w:r>
          </w:p>
          <w:p w:rsidR="00A71FB7" w:rsidRPr="00FE4C46" w:rsidRDefault="00A71FB7" w:rsidP="00FE4C46">
            <w:pPr>
              <w:pStyle w:val="ListParagraph"/>
              <w:numPr>
                <w:ilvl w:val="0"/>
                <w:numId w:val="17"/>
              </w:numPr>
              <w:rPr>
                <w:rFonts w:cs="Arial"/>
                <w:szCs w:val="24"/>
              </w:rPr>
            </w:pPr>
            <w:r w:rsidRPr="00FE4C46">
              <w:rPr>
                <w:rFonts w:cs="Arial"/>
                <w:szCs w:val="24"/>
              </w:rPr>
              <w:t xml:space="preserve">Network spokes prescribe repeat medication  </w:t>
            </w:r>
          </w:p>
          <w:p w:rsidR="00A71FB7" w:rsidRPr="00FE4C46" w:rsidRDefault="00A71FB7" w:rsidP="00FE4C46">
            <w:pPr>
              <w:pStyle w:val="ListParagraph"/>
              <w:numPr>
                <w:ilvl w:val="0"/>
                <w:numId w:val="17"/>
              </w:numPr>
              <w:rPr>
                <w:rFonts w:eastAsiaTheme="minorEastAsia" w:cs="Arial"/>
                <w:b/>
                <w:szCs w:val="24"/>
              </w:rPr>
            </w:pPr>
            <w:r w:rsidRPr="00FE4C46">
              <w:rPr>
                <w:rFonts w:cs="Arial"/>
                <w:szCs w:val="24"/>
              </w:rPr>
              <w:t>Completion of data to the UK Severe Asthma Registry and NHS England Quality Dashboard</w:t>
            </w:r>
            <w:r w:rsidR="00EC50F0">
              <w:rPr>
                <w:rFonts w:cs="Arial"/>
                <w:szCs w:val="24"/>
              </w:rPr>
              <w:t>.</w:t>
            </w:r>
          </w:p>
          <w:p w:rsidR="00CF3963" w:rsidRDefault="00CF3963" w:rsidP="0084461B">
            <w:pPr>
              <w:rPr>
                <w:rFonts w:cs="Arial"/>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999"/>
              <w:gridCol w:w="2530"/>
              <w:gridCol w:w="2182"/>
            </w:tblGrid>
            <w:tr w:rsidR="00DA4FA0" w:rsidRPr="00C0263E" w:rsidTr="00E55857">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4FA0" w:rsidRPr="00C0263E" w:rsidRDefault="00DA4FA0" w:rsidP="00DA4FA0">
                  <w:pPr>
                    <w:spacing w:before="40" w:after="40"/>
                    <w:rPr>
                      <w:rFonts w:cs="Arial"/>
                      <w:b/>
                      <w:szCs w:val="24"/>
                    </w:rPr>
                  </w:pPr>
                  <w:r>
                    <w:rPr>
                      <w:rFonts w:cs="Arial"/>
                      <w:b/>
                      <w:szCs w:val="24"/>
                    </w:rPr>
                    <w:t>Descriptions</w:t>
                  </w:r>
                </w:p>
              </w:tc>
              <w:tc>
                <w:tcPr>
                  <w:tcW w:w="31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First Year of indicator</w:t>
                  </w:r>
                </w:p>
              </w:tc>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Second Year</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Third Year</w:t>
                  </w:r>
                </w:p>
              </w:tc>
            </w:tr>
            <w:tr w:rsidR="00DA4FA0" w:rsidRPr="00C0263E" w:rsidTr="00E55857">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4FA0" w:rsidRDefault="00DA4FA0" w:rsidP="00DA4FA0">
                  <w:pPr>
                    <w:spacing w:before="40" w:after="40"/>
                    <w:rPr>
                      <w:rFonts w:cs="Arial"/>
                      <w:b/>
                      <w:szCs w:val="24"/>
                    </w:rPr>
                  </w:pPr>
                  <w:r>
                    <w:rPr>
                      <w:rFonts w:cs="Arial"/>
                      <w:b/>
                      <w:szCs w:val="24"/>
                    </w:rPr>
                    <w:t>Trigger 1:</w:t>
                  </w:r>
                </w:p>
                <w:p w:rsidR="00DA4FA0" w:rsidRPr="00C0263E" w:rsidRDefault="00DA4FA0" w:rsidP="00DA4FA0">
                  <w:pPr>
                    <w:spacing w:before="40" w:after="40"/>
                    <w:rPr>
                      <w:rFonts w:cs="Arial"/>
                      <w:b/>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1200D4">
                    <w:rPr>
                      <w:rFonts w:eastAsiaTheme="minorEastAsia" w:cs="Arial"/>
                      <w:szCs w:val="24"/>
                    </w:rPr>
                    <w:t xml:space="preserve">MDT structures formalised </w:t>
                  </w:r>
                  <w:r>
                    <w:rPr>
                      <w:rFonts w:eastAsiaTheme="minorEastAsia" w:cs="Arial"/>
                      <w:szCs w:val="24"/>
                    </w:rPr>
                    <w:t xml:space="preserve">including technology infrastructure </w:t>
                  </w:r>
                  <w:r w:rsidRPr="001200D4">
                    <w:rPr>
                      <w:rFonts w:eastAsiaTheme="minorEastAsia" w:cs="Arial"/>
                      <w:szCs w:val="24"/>
                    </w:rPr>
                    <w:t>(informed by work of Improving Value Scheme)</w:t>
                  </w:r>
                  <w:r w:rsidR="00CA19ED">
                    <w:rPr>
                      <w:rFonts w:eastAsiaTheme="minorEastAsia" w:cs="Arial"/>
                      <w:szCs w:val="24"/>
                    </w:rPr>
                    <w:t>.</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Calibri" w:cs="Arial"/>
                      <w:bCs w:val="0"/>
                      <w:color w:val="222222"/>
                      <w:szCs w:val="24"/>
                    </w:rPr>
                    <w:t>All new patients started on a biologic are discussed by an MDT</w:t>
                  </w:r>
                  <w:r w:rsidR="00CA19ED">
                    <w:rPr>
                      <w:rFonts w:eastAsia="Calibri" w:cs="Arial"/>
                      <w:bCs w:val="0"/>
                      <w:color w:val="222222"/>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Theme="minorEastAsia" w:cs="Arial"/>
                      <w:szCs w:val="24"/>
                    </w:rPr>
                    <w:t>All new patients started on a biologic are discussed by an MDT</w:t>
                  </w:r>
                  <w:r>
                    <w:rPr>
                      <w:rFonts w:eastAsiaTheme="minorEastAsia" w:cs="Arial"/>
                      <w:szCs w:val="24"/>
                    </w:rPr>
                    <w:t>.</w:t>
                  </w:r>
                </w:p>
              </w:tc>
            </w:tr>
            <w:tr w:rsidR="00DA4FA0" w:rsidRPr="00C0263E" w:rsidTr="00E55857">
              <w:trPr>
                <w:trHeight w:val="619"/>
              </w:trPr>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A4FA0" w:rsidRPr="00C0263E" w:rsidRDefault="00DA4FA0" w:rsidP="00DA4FA0">
                  <w:pPr>
                    <w:spacing w:before="40" w:after="40"/>
                    <w:rPr>
                      <w:rFonts w:cs="Arial"/>
                      <w:b/>
                      <w:szCs w:val="24"/>
                    </w:rPr>
                  </w:pPr>
                  <w:r>
                    <w:rPr>
                      <w:rFonts w:cs="Arial"/>
                      <w:b/>
                      <w:szCs w:val="24"/>
                    </w:rPr>
                    <w:t>Trigger 2</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1200D4">
                    <w:rPr>
                      <w:rFonts w:eastAsiaTheme="minorEastAsia" w:cs="Arial"/>
                      <w:szCs w:val="24"/>
                    </w:rPr>
                    <w:t>All new patients started on a biologic are discussed by an MDT</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Calibri" w:cs="Arial"/>
                      <w:bCs w:val="0"/>
                      <w:color w:val="222222"/>
                      <w:szCs w:val="24"/>
                    </w:rPr>
                    <w:t xml:space="preserve">80% </w:t>
                  </w:r>
                  <w:r w:rsidRPr="00BD4245">
                    <w:rPr>
                      <w:rFonts w:eastAsia="Calibri" w:cs="Arial"/>
                      <w:bCs w:val="0"/>
                      <w:color w:val="222222"/>
                      <w:szCs w:val="24"/>
                    </w:rPr>
                    <w:t>of new patients</w:t>
                  </w:r>
                  <w:r w:rsidRPr="0047142C">
                    <w:rPr>
                      <w:rFonts w:eastAsia="Calibri" w:cs="Arial"/>
                      <w:bCs w:val="0"/>
                      <w:color w:val="222222"/>
                      <w:szCs w:val="24"/>
                    </w:rPr>
                    <w:t xml:space="preserve"> have their data entered in the severe asthma registry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Theme="minorEastAsia" w:cs="Arial"/>
                      <w:szCs w:val="24"/>
                    </w:rPr>
                    <w:t>95% of new patients have their data entered in the severe asthma registry</w:t>
                  </w:r>
                  <w:r>
                    <w:rPr>
                      <w:rFonts w:eastAsiaTheme="minorEastAsia" w:cs="Arial"/>
                      <w:szCs w:val="24"/>
                    </w:rPr>
                    <w:t>.</w:t>
                  </w:r>
                </w:p>
              </w:tc>
            </w:tr>
            <w:tr w:rsidR="00DA4FA0" w:rsidRPr="00C0263E" w:rsidTr="00E55857">
              <w:trPr>
                <w:trHeight w:val="812"/>
              </w:trPr>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4FA0" w:rsidRDefault="00DA4FA0" w:rsidP="00DA4FA0">
                  <w:pPr>
                    <w:spacing w:before="40" w:after="40"/>
                    <w:rPr>
                      <w:rFonts w:cs="Arial"/>
                      <w:b/>
                      <w:szCs w:val="24"/>
                    </w:rPr>
                  </w:pPr>
                  <w:r>
                    <w:rPr>
                      <w:rFonts w:cs="Arial"/>
                      <w:b/>
                      <w:szCs w:val="24"/>
                    </w:rPr>
                    <w:t>Trigger 3</w:t>
                  </w:r>
                </w:p>
                <w:p w:rsidR="00DA4FA0" w:rsidRDefault="00DA4FA0" w:rsidP="00DA4FA0">
                  <w:pPr>
                    <w:spacing w:before="40" w:after="40"/>
                    <w:rPr>
                      <w:rFonts w:cs="Arial"/>
                      <w:b/>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1200D4">
                    <w:rPr>
                      <w:rFonts w:eastAsiaTheme="minorEastAsia" w:cs="Arial"/>
                      <w:szCs w:val="24"/>
                    </w:rPr>
                    <w:t>50% of new patients have their data entered in the severe asthma registry</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Calibri" w:cs="Arial"/>
                      <w:bCs w:val="0"/>
                      <w:color w:val="222222"/>
                      <w:szCs w:val="24"/>
                    </w:rPr>
                    <w:t xml:space="preserve">30% </w:t>
                  </w:r>
                  <w:r w:rsidRPr="00BD4245">
                    <w:rPr>
                      <w:rFonts w:eastAsia="Calibri" w:cs="Arial"/>
                      <w:bCs w:val="0"/>
                      <w:color w:val="222222"/>
                      <w:szCs w:val="24"/>
                    </w:rPr>
                    <w:t xml:space="preserve">of patients </w:t>
                  </w:r>
                  <w:r w:rsidRPr="003334D8">
                    <w:rPr>
                      <w:rFonts w:eastAsia="Calibri" w:cs="Arial"/>
                      <w:bCs w:val="0"/>
                      <w:color w:val="222222"/>
                      <w:szCs w:val="24"/>
                    </w:rPr>
                    <w:t>currently on a biologic who have not been discussed in an MDT have their Eligibility checked through MDT discussion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Theme="minorEastAsia" w:cs="Arial"/>
                      <w:szCs w:val="24"/>
                    </w:rPr>
                    <w:t xml:space="preserve">70% </w:t>
                  </w:r>
                  <w:r w:rsidRPr="00BD4245">
                    <w:rPr>
                      <w:rFonts w:eastAsiaTheme="minorEastAsia" w:cs="Arial"/>
                      <w:szCs w:val="24"/>
                    </w:rPr>
                    <w:t>of patients currently on a biologic who have not been discussed in an MDT or have had their Eligibility checked through MDT discussion have their eligibility checked</w:t>
                  </w:r>
                  <w:r>
                    <w:rPr>
                      <w:rFonts w:eastAsiaTheme="minorEastAsia" w:cs="Arial"/>
                      <w:szCs w:val="24"/>
                    </w:rPr>
                    <w:t>.</w:t>
                  </w:r>
                </w:p>
              </w:tc>
            </w:tr>
            <w:tr w:rsidR="00DA4FA0" w:rsidRPr="00C0263E" w:rsidTr="00E55857">
              <w:trPr>
                <w:trHeight w:val="619"/>
              </w:trPr>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4FA0" w:rsidRDefault="00DA4FA0" w:rsidP="00DA4FA0">
                  <w:pPr>
                    <w:spacing w:before="40" w:after="40"/>
                    <w:rPr>
                      <w:rFonts w:cs="Arial"/>
                      <w:b/>
                      <w:szCs w:val="24"/>
                    </w:rPr>
                  </w:pPr>
                  <w:r>
                    <w:rPr>
                      <w:rFonts w:cs="Arial"/>
                      <w:b/>
                      <w:szCs w:val="24"/>
                    </w:rPr>
                    <w:t>Trigger 4</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1200D4">
                    <w:rPr>
                      <w:rFonts w:eastAsiaTheme="minorEastAsia" w:cs="Arial"/>
                      <w:szCs w:val="24"/>
                    </w:rPr>
                    <w:t>MDT attendance is included in job plans for MDT members</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Calibri" w:cs="Arial"/>
                      <w:bCs w:val="0"/>
                      <w:color w:val="222222"/>
                      <w:szCs w:val="24"/>
                    </w:rPr>
                    <w:t>30% of patients commenced on a biologic without discussion at an MDT have their data entered in the Severe Asthma Registry</w:t>
                  </w:r>
                  <w:r>
                    <w:rPr>
                      <w:rFonts w:eastAsia="Calibri" w:cs="Arial"/>
                      <w:bCs w:val="0"/>
                      <w:color w:val="222222"/>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47142C">
                    <w:rPr>
                      <w:rFonts w:eastAsiaTheme="minorEastAsia" w:cs="Arial"/>
                      <w:szCs w:val="24"/>
                    </w:rPr>
                    <w:t>70% of patients commenced on a biologic without discussion at an MDT have their data entered in the Severe Asthma Registry</w:t>
                  </w:r>
                  <w:r>
                    <w:rPr>
                      <w:rFonts w:eastAsiaTheme="minorEastAsia" w:cs="Arial"/>
                      <w:szCs w:val="24"/>
                    </w:rPr>
                    <w:t>.</w:t>
                  </w:r>
                </w:p>
              </w:tc>
            </w:tr>
            <w:tr w:rsidR="00DA4FA0" w:rsidRPr="00C0263E" w:rsidTr="00E55857">
              <w:trPr>
                <w:trHeight w:val="619"/>
              </w:trPr>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4FA0" w:rsidRDefault="00DA4FA0" w:rsidP="00DA4FA0">
                  <w:pPr>
                    <w:spacing w:before="40" w:after="40"/>
                    <w:rPr>
                      <w:rFonts w:cs="Arial"/>
                      <w:b/>
                      <w:szCs w:val="24"/>
                    </w:rPr>
                  </w:pPr>
                  <w:r>
                    <w:rPr>
                      <w:rFonts w:cs="Arial"/>
                      <w:b/>
                      <w:szCs w:val="24"/>
                    </w:rPr>
                    <w:lastRenderedPageBreak/>
                    <w:t>Trigger 5</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1200D4">
                    <w:rPr>
                      <w:rFonts w:eastAsiaTheme="minorEastAsia" w:cs="Arial"/>
                      <w:szCs w:val="24"/>
                    </w:rPr>
                    <w:t xml:space="preserve">Inclusion of costs </w:t>
                  </w:r>
                  <w:r>
                    <w:rPr>
                      <w:rFonts w:eastAsiaTheme="minorEastAsia" w:cs="Arial"/>
                      <w:szCs w:val="24"/>
                    </w:rPr>
                    <w:t xml:space="preserve">of running the network and MDTs </w:t>
                  </w:r>
                  <w:r w:rsidRPr="001200D4">
                    <w:rPr>
                      <w:rFonts w:eastAsiaTheme="minorEastAsia" w:cs="Arial"/>
                      <w:szCs w:val="24"/>
                    </w:rPr>
                    <w:t>into reference costs</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eastAsia="Calibri" w:cs="Arial"/>
                      <w:bCs w:val="0"/>
                      <w:color w:val="222222"/>
                      <w:szCs w:val="24"/>
                    </w:rPr>
                    <w:t xml:space="preserve">Develop a policy for shared decision making including </w:t>
                  </w:r>
                  <w:r w:rsidRPr="001954D8">
                    <w:rPr>
                      <w:rFonts w:eastAsia="Calibri" w:cs="Arial"/>
                      <w:bCs w:val="0"/>
                      <w:color w:val="222222"/>
                      <w:szCs w:val="24"/>
                    </w:rPr>
                    <w:t xml:space="preserve">a Shared </w:t>
                  </w:r>
                  <w:proofErr w:type="gramStart"/>
                  <w:r w:rsidRPr="001954D8">
                    <w:rPr>
                      <w:rFonts w:eastAsia="Calibri" w:cs="Arial"/>
                      <w:bCs w:val="0"/>
                      <w:color w:val="222222"/>
                      <w:szCs w:val="24"/>
                    </w:rPr>
                    <w:t>Decision Making</w:t>
                  </w:r>
                  <w:proofErr w:type="gramEnd"/>
                  <w:r w:rsidRPr="001954D8">
                    <w:rPr>
                      <w:rFonts w:eastAsia="Calibri" w:cs="Arial"/>
                      <w:bCs w:val="0"/>
                      <w:color w:val="222222"/>
                      <w:szCs w:val="24"/>
                    </w:rPr>
                    <w:t xml:space="preserve"> resource that is specific to the particular condition, encompassing the range of options that should be offered, with reference to the local services available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sidRPr="00FA65C2">
                    <w:rPr>
                      <w:rFonts w:eastAsiaTheme="minorEastAsia" w:cs="Arial"/>
                      <w:szCs w:val="24"/>
                    </w:rPr>
                    <w:t>Implement shared decision making.</w:t>
                  </w:r>
                </w:p>
              </w:tc>
            </w:tr>
          </w:tbl>
          <w:p w:rsidR="00CF3963" w:rsidRPr="00C0210F" w:rsidRDefault="00CF3963" w:rsidP="005931C4">
            <w:pPr>
              <w:rPr>
                <w:rFonts w:eastAsiaTheme="minorEastAsia" w:cs="Arial"/>
                <w:szCs w:val="24"/>
              </w:rPr>
            </w:pPr>
          </w:p>
        </w:tc>
      </w:tr>
      <w:tr w:rsidR="00CF3963" w:rsidRPr="000412A1" w:rsidTr="00CF3963">
        <w:tc>
          <w:tcPr>
            <w:tcW w:w="5000" w:type="pct"/>
            <w:gridSpan w:val="3"/>
          </w:tcPr>
          <w:p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p w:rsidR="00CF3963" w:rsidRDefault="00574537" w:rsidP="005931C4">
            <w:pPr>
              <w:rPr>
                <w:rFonts w:cs="Arial"/>
                <w:szCs w:val="24"/>
              </w:rPr>
            </w:pPr>
            <w:r>
              <w:rPr>
                <w:rFonts w:cs="Arial"/>
                <w:szCs w:val="24"/>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312"/>
              <w:gridCol w:w="2750"/>
              <w:gridCol w:w="2382"/>
            </w:tblGrid>
            <w:tr w:rsidR="00DA4FA0" w:rsidRPr="00C0263E" w:rsidTr="00836E1A">
              <w:tc>
                <w:tcPr>
                  <w:tcW w:w="1937" w:type="dxa"/>
                  <w:tcBorders>
                    <w:top w:val="single" w:sz="4" w:space="0" w:color="auto"/>
                    <w:left w:val="single" w:sz="4" w:space="0" w:color="auto"/>
                    <w:bottom w:val="single" w:sz="4" w:space="0" w:color="auto"/>
                    <w:right w:val="single" w:sz="4" w:space="0" w:color="auto"/>
                  </w:tcBorders>
                  <w:shd w:val="clear" w:color="auto" w:fill="F2F2F2"/>
                </w:tcPr>
                <w:p w:rsidR="00DA4FA0" w:rsidRPr="00C0263E" w:rsidRDefault="00DA4FA0" w:rsidP="00DA4FA0">
                  <w:pPr>
                    <w:spacing w:before="40" w:after="40"/>
                    <w:rPr>
                      <w:rFonts w:cs="Arial"/>
                      <w:b/>
                      <w:szCs w:val="24"/>
                    </w:rPr>
                  </w:pPr>
                  <w:r>
                    <w:rPr>
                      <w:rFonts w:cs="Arial"/>
                      <w:b/>
                      <w:szCs w:val="24"/>
                    </w:rPr>
                    <w:t>Percentages of Target Payment per Trigger</w:t>
                  </w:r>
                </w:p>
              </w:tc>
              <w:tc>
                <w:tcPr>
                  <w:tcW w:w="2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First Year of indicator</w:t>
                  </w:r>
                </w:p>
              </w:tc>
              <w:tc>
                <w:tcPr>
                  <w:tcW w:w="27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Second Year</w:t>
                  </w:r>
                </w:p>
              </w:tc>
              <w:tc>
                <w:tcPr>
                  <w:tcW w:w="2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FA0" w:rsidRPr="00EC3C9D" w:rsidRDefault="00DA4FA0" w:rsidP="00DA4FA0">
                  <w:pPr>
                    <w:spacing w:before="40" w:after="40"/>
                    <w:rPr>
                      <w:rFonts w:cs="Arial"/>
                      <w:b/>
                      <w:szCs w:val="24"/>
                    </w:rPr>
                  </w:pPr>
                  <w:r>
                    <w:rPr>
                      <w:rFonts w:cs="Arial"/>
                      <w:b/>
                      <w:szCs w:val="24"/>
                    </w:rPr>
                    <w:t>Third Year</w:t>
                  </w:r>
                </w:p>
              </w:tc>
            </w:tr>
            <w:tr w:rsidR="00DA4FA0" w:rsidRPr="00C0263E" w:rsidTr="00836E1A">
              <w:tc>
                <w:tcPr>
                  <w:tcW w:w="1937" w:type="dxa"/>
                  <w:tcBorders>
                    <w:top w:val="single" w:sz="4" w:space="0" w:color="auto"/>
                    <w:left w:val="single" w:sz="4" w:space="0" w:color="auto"/>
                    <w:bottom w:val="single" w:sz="4" w:space="0" w:color="auto"/>
                    <w:right w:val="single" w:sz="4" w:space="0" w:color="auto"/>
                  </w:tcBorders>
                  <w:shd w:val="clear" w:color="auto" w:fill="F2F2F2"/>
                  <w:hideMark/>
                </w:tcPr>
                <w:p w:rsidR="00DA4FA0" w:rsidRDefault="00DA4FA0" w:rsidP="00DA4FA0">
                  <w:pPr>
                    <w:spacing w:before="40" w:after="40"/>
                    <w:rPr>
                      <w:rFonts w:cs="Arial"/>
                      <w:b/>
                      <w:szCs w:val="24"/>
                    </w:rPr>
                  </w:pPr>
                  <w:r>
                    <w:rPr>
                      <w:rFonts w:cs="Arial"/>
                      <w:b/>
                      <w:szCs w:val="24"/>
                    </w:rPr>
                    <w:t>Trigger 1</w:t>
                  </w:r>
                </w:p>
                <w:p w:rsidR="00DA4FA0" w:rsidRPr="00C0263E" w:rsidRDefault="00DA4FA0" w:rsidP="00DA4FA0">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rsidR="00DA4FA0" w:rsidRPr="00C0263E" w:rsidRDefault="003C5307" w:rsidP="00DA4FA0">
                  <w:pPr>
                    <w:spacing w:before="40" w:after="40"/>
                    <w:rPr>
                      <w:rFonts w:cs="Arial"/>
                      <w:szCs w:val="24"/>
                    </w:rPr>
                  </w:pPr>
                  <w:r>
                    <w:rPr>
                      <w:rFonts w:cs="Arial"/>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cs="Arial"/>
                      <w:szCs w:val="24"/>
                    </w:rPr>
                    <w:t>56%</w:t>
                  </w:r>
                </w:p>
              </w:tc>
              <w:tc>
                <w:tcPr>
                  <w:tcW w:w="2382" w:type="dxa"/>
                  <w:tcBorders>
                    <w:top w:val="single" w:sz="4" w:space="0" w:color="auto"/>
                    <w:left w:val="single" w:sz="4" w:space="0" w:color="auto"/>
                    <w:bottom w:val="single" w:sz="4" w:space="0" w:color="auto"/>
                    <w:right w:val="single" w:sz="4" w:space="0" w:color="auto"/>
                  </w:tcBorders>
                </w:tcPr>
                <w:p w:rsidR="00DA4FA0" w:rsidRPr="00C0263E" w:rsidRDefault="00E55857" w:rsidP="00DA4FA0">
                  <w:pPr>
                    <w:spacing w:before="40" w:after="40"/>
                    <w:rPr>
                      <w:rFonts w:cs="Arial"/>
                      <w:szCs w:val="24"/>
                    </w:rPr>
                  </w:pPr>
                  <w:r>
                    <w:rPr>
                      <w:rFonts w:cs="Arial"/>
                      <w:szCs w:val="24"/>
                    </w:rPr>
                    <w:t>43%</w:t>
                  </w:r>
                </w:p>
              </w:tc>
            </w:tr>
            <w:tr w:rsidR="00DA4FA0" w:rsidRPr="00C0263E" w:rsidTr="00836E1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hideMark/>
                </w:tcPr>
                <w:p w:rsidR="00DA4FA0" w:rsidRPr="00C0263E" w:rsidRDefault="00DA4FA0" w:rsidP="00DA4FA0">
                  <w:pPr>
                    <w:spacing w:before="40" w:after="40"/>
                    <w:rPr>
                      <w:rFonts w:cs="Arial"/>
                      <w:b/>
                      <w:szCs w:val="24"/>
                    </w:rPr>
                  </w:pPr>
                  <w:r>
                    <w:rPr>
                      <w:rFonts w:cs="Arial"/>
                      <w:b/>
                      <w:szCs w:val="24"/>
                    </w:rPr>
                    <w:t>Trigger 2</w:t>
                  </w:r>
                </w:p>
              </w:tc>
              <w:tc>
                <w:tcPr>
                  <w:tcW w:w="2312" w:type="dxa"/>
                  <w:tcBorders>
                    <w:top w:val="single" w:sz="4" w:space="0" w:color="auto"/>
                    <w:left w:val="single" w:sz="4" w:space="0" w:color="auto"/>
                    <w:bottom w:val="single" w:sz="4" w:space="0" w:color="auto"/>
                    <w:right w:val="single" w:sz="4" w:space="0" w:color="auto"/>
                  </w:tcBorders>
                </w:tcPr>
                <w:p w:rsidR="00DA4FA0" w:rsidRPr="00C0263E" w:rsidRDefault="003C5307" w:rsidP="00DA4FA0">
                  <w:pPr>
                    <w:spacing w:before="40" w:after="40"/>
                    <w:rPr>
                      <w:rFonts w:cs="Arial"/>
                      <w:szCs w:val="24"/>
                    </w:rPr>
                  </w:pPr>
                  <w:r>
                    <w:rPr>
                      <w:rFonts w:cs="Arial"/>
                      <w:szCs w:val="24"/>
                    </w:rPr>
                    <w:t>55%</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cs="Arial"/>
                      <w:szCs w:val="24"/>
                    </w:rPr>
                    <w:t>18%</w:t>
                  </w:r>
                </w:p>
              </w:tc>
              <w:tc>
                <w:tcPr>
                  <w:tcW w:w="2382" w:type="dxa"/>
                  <w:tcBorders>
                    <w:top w:val="single" w:sz="4" w:space="0" w:color="auto"/>
                    <w:left w:val="single" w:sz="4" w:space="0" w:color="auto"/>
                    <w:bottom w:val="single" w:sz="4" w:space="0" w:color="auto"/>
                    <w:right w:val="single" w:sz="4" w:space="0" w:color="auto"/>
                  </w:tcBorders>
                </w:tcPr>
                <w:p w:rsidR="00DA4FA0" w:rsidRPr="00C0263E" w:rsidRDefault="00937BA6" w:rsidP="00DA4FA0">
                  <w:pPr>
                    <w:spacing w:before="40" w:after="40"/>
                    <w:rPr>
                      <w:rFonts w:cs="Arial"/>
                      <w:szCs w:val="24"/>
                    </w:rPr>
                  </w:pPr>
                  <w:r>
                    <w:rPr>
                      <w:rFonts w:cs="Arial"/>
                      <w:szCs w:val="24"/>
                    </w:rPr>
                    <w:t>16%</w:t>
                  </w:r>
                </w:p>
              </w:tc>
            </w:tr>
            <w:tr w:rsidR="00DA4FA0" w:rsidRPr="00C0263E" w:rsidTr="00836E1A">
              <w:trPr>
                <w:trHeight w:val="812"/>
              </w:trPr>
              <w:tc>
                <w:tcPr>
                  <w:tcW w:w="1937" w:type="dxa"/>
                  <w:tcBorders>
                    <w:top w:val="single" w:sz="4" w:space="0" w:color="auto"/>
                    <w:left w:val="single" w:sz="4" w:space="0" w:color="auto"/>
                    <w:bottom w:val="single" w:sz="4" w:space="0" w:color="auto"/>
                    <w:right w:val="single" w:sz="4" w:space="0" w:color="auto"/>
                  </w:tcBorders>
                  <w:shd w:val="clear" w:color="auto" w:fill="F2F2F2"/>
                </w:tcPr>
                <w:p w:rsidR="00DA4FA0" w:rsidRDefault="00DA4FA0" w:rsidP="00DA4FA0">
                  <w:pPr>
                    <w:spacing w:before="40" w:after="40"/>
                    <w:rPr>
                      <w:rFonts w:cs="Arial"/>
                      <w:b/>
                      <w:szCs w:val="24"/>
                    </w:rPr>
                  </w:pPr>
                  <w:r>
                    <w:rPr>
                      <w:rFonts w:cs="Arial"/>
                      <w:b/>
                      <w:szCs w:val="24"/>
                    </w:rPr>
                    <w:t>Trigger 3</w:t>
                  </w:r>
                </w:p>
                <w:p w:rsidR="00DA4FA0" w:rsidRDefault="00DA4FA0" w:rsidP="00DA4FA0">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rsidR="00DA4FA0" w:rsidRPr="00C0263E" w:rsidRDefault="003C5307" w:rsidP="00DA4FA0">
                  <w:pPr>
                    <w:spacing w:before="40" w:after="40"/>
                    <w:rPr>
                      <w:rFonts w:cs="Arial"/>
                      <w:szCs w:val="24"/>
                    </w:rPr>
                  </w:pPr>
                  <w:r>
                    <w:rPr>
                      <w:rFonts w:cs="Arial"/>
                      <w:szCs w:val="24"/>
                    </w:rPr>
                    <w:t>11%</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cs="Arial"/>
                      <w:szCs w:val="24"/>
                    </w:rPr>
                    <w:t>12%</w:t>
                  </w:r>
                </w:p>
              </w:tc>
              <w:tc>
                <w:tcPr>
                  <w:tcW w:w="2382" w:type="dxa"/>
                  <w:tcBorders>
                    <w:top w:val="single" w:sz="4" w:space="0" w:color="auto"/>
                    <w:left w:val="single" w:sz="4" w:space="0" w:color="auto"/>
                    <w:bottom w:val="single" w:sz="4" w:space="0" w:color="auto"/>
                    <w:right w:val="single" w:sz="4" w:space="0" w:color="auto"/>
                  </w:tcBorders>
                </w:tcPr>
                <w:p w:rsidR="00DA4FA0" w:rsidRPr="00C0263E" w:rsidRDefault="00937BA6" w:rsidP="00DA4FA0">
                  <w:pPr>
                    <w:spacing w:before="40" w:after="40"/>
                    <w:rPr>
                      <w:rFonts w:cs="Arial"/>
                      <w:szCs w:val="24"/>
                    </w:rPr>
                  </w:pPr>
                  <w:r>
                    <w:rPr>
                      <w:rFonts w:cs="Arial"/>
                      <w:szCs w:val="24"/>
                    </w:rPr>
                    <w:t>19%</w:t>
                  </w:r>
                </w:p>
              </w:tc>
            </w:tr>
            <w:tr w:rsidR="00DA4FA0" w:rsidRPr="00C0263E" w:rsidTr="00836E1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rsidR="00DA4FA0" w:rsidRDefault="00DA4FA0" w:rsidP="00DA4FA0">
                  <w:pPr>
                    <w:spacing w:before="40" w:after="40"/>
                    <w:rPr>
                      <w:rFonts w:cs="Arial"/>
                      <w:b/>
                      <w:szCs w:val="24"/>
                    </w:rPr>
                  </w:pPr>
                  <w:r>
                    <w:rPr>
                      <w:rFonts w:cs="Arial"/>
                      <w:b/>
                      <w:szCs w:val="24"/>
                    </w:rPr>
                    <w:t>Trigger 4</w:t>
                  </w:r>
                </w:p>
              </w:tc>
              <w:tc>
                <w:tcPr>
                  <w:tcW w:w="2312" w:type="dxa"/>
                  <w:tcBorders>
                    <w:top w:val="single" w:sz="4" w:space="0" w:color="auto"/>
                    <w:left w:val="single" w:sz="4" w:space="0" w:color="auto"/>
                    <w:bottom w:val="single" w:sz="4" w:space="0" w:color="auto"/>
                    <w:right w:val="single" w:sz="4" w:space="0" w:color="auto"/>
                  </w:tcBorders>
                </w:tcPr>
                <w:p w:rsidR="00DA4FA0" w:rsidRPr="00C0263E" w:rsidRDefault="003C5307" w:rsidP="00DA4FA0">
                  <w:pPr>
                    <w:spacing w:before="40" w:after="40"/>
                    <w:rPr>
                      <w:rFonts w:cs="Arial"/>
                      <w:szCs w:val="24"/>
                    </w:rPr>
                  </w:pPr>
                  <w:r>
                    <w:rPr>
                      <w:rFonts w:cs="Arial"/>
                      <w:szCs w:val="24"/>
                    </w:rPr>
                    <w:t>3%</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cs="Arial"/>
                      <w:szCs w:val="24"/>
                    </w:rPr>
                    <w:t>12%</w:t>
                  </w:r>
                </w:p>
              </w:tc>
              <w:tc>
                <w:tcPr>
                  <w:tcW w:w="2382" w:type="dxa"/>
                  <w:tcBorders>
                    <w:top w:val="single" w:sz="4" w:space="0" w:color="auto"/>
                    <w:left w:val="single" w:sz="4" w:space="0" w:color="auto"/>
                    <w:bottom w:val="single" w:sz="4" w:space="0" w:color="auto"/>
                    <w:right w:val="single" w:sz="4" w:space="0" w:color="auto"/>
                  </w:tcBorders>
                </w:tcPr>
                <w:p w:rsidR="00DA4FA0" w:rsidRPr="00C0263E" w:rsidRDefault="00937BA6" w:rsidP="00DA4FA0">
                  <w:pPr>
                    <w:spacing w:before="40" w:after="40"/>
                    <w:rPr>
                      <w:rFonts w:cs="Arial"/>
                      <w:szCs w:val="24"/>
                    </w:rPr>
                  </w:pPr>
                  <w:r>
                    <w:rPr>
                      <w:rFonts w:cs="Arial"/>
                      <w:szCs w:val="24"/>
                    </w:rPr>
                    <w:t>19%</w:t>
                  </w:r>
                </w:p>
              </w:tc>
            </w:tr>
            <w:tr w:rsidR="00DA4FA0" w:rsidRPr="00C0263E" w:rsidTr="00836E1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rsidR="00DA4FA0" w:rsidRDefault="00DA4FA0" w:rsidP="00DA4FA0">
                  <w:pPr>
                    <w:spacing w:before="40" w:after="40"/>
                    <w:rPr>
                      <w:rFonts w:cs="Arial"/>
                      <w:b/>
                      <w:szCs w:val="24"/>
                    </w:rPr>
                  </w:pPr>
                  <w:r>
                    <w:rPr>
                      <w:rFonts w:cs="Arial"/>
                      <w:b/>
                      <w:szCs w:val="24"/>
                    </w:rPr>
                    <w:t>Trigger 5</w:t>
                  </w:r>
                </w:p>
              </w:tc>
              <w:tc>
                <w:tcPr>
                  <w:tcW w:w="2312" w:type="dxa"/>
                  <w:tcBorders>
                    <w:top w:val="single" w:sz="4" w:space="0" w:color="auto"/>
                    <w:left w:val="single" w:sz="4" w:space="0" w:color="auto"/>
                    <w:bottom w:val="single" w:sz="4" w:space="0" w:color="auto"/>
                    <w:right w:val="single" w:sz="4" w:space="0" w:color="auto"/>
                  </w:tcBorders>
                </w:tcPr>
                <w:p w:rsidR="00DA4FA0" w:rsidRPr="00C0263E" w:rsidRDefault="003C5307" w:rsidP="00DA4FA0">
                  <w:pPr>
                    <w:spacing w:before="40" w:after="40"/>
                    <w:rPr>
                      <w:rFonts w:cs="Arial"/>
                      <w:szCs w:val="24"/>
                    </w:rPr>
                  </w:pPr>
                  <w:r>
                    <w:rPr>
                      <w:rFonts w:cs="Arial"/>
                      <w:szCs w:val="24"/>
                    </w:rPr>
                    <w:t>6%</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A4FA0" w:rsidRPr="00C0263E" w:rsidRDefault="00E55857" w:rsidP="00DA4FA0">
                  <w:pPr>
                    <w:spacing w:before="40" w:after="40"/>
                    <w:rPr>
                      <w:rFonts w:cs="Arial"/>
                      <w:szCs w:val="24"/>
                    </w:rPr>
                  </w:pPr>
                  <w:r>
                    <w:rPr>
                      <w:rFonts w:cs="Arial"/>
                      <w:szCs w:val="24"/>
                    </w:rPr>
                    <w:t>2%</w:t>
                  </w:r>
                </w:p>
              </w:tc>
              <w:tc>
                <w:tcPr>
                  <w:tcW w:w="2382" w:type="dxa"/>
                  <w:tcBorders>
                    <w:top w:val="single" w:sz="4" w:space="0" w:color="auto"/>
                    <w:left w:val="single" w:sz="4" w:space="0" w:color="auto"/>
                    <w:bottom w:val="single" w:sz="4" w:space="0" w:color="auto"/>
                    <w:right w:val="single" w:sz="4" w:space="0" w:color="auto"/>
                  </w:tcBorders>
                </w:tcPr>
                <w:p w:rsidR="00DA4FA0" w:rsidRPr="00C0263E" w:rsidRDefault="00937BA6" w:rsidP="00DA4FA0">
                  <w:pPr>
                    <w:spacing w:before="40" w:after="40"/>
                    <w:rPr>
                      <w:rFonts w:cs="Arial"/>
                      <w:szCs w:val="24"/>
                    </w:rPr>
                  </w:pPr>
                  <w:r>
                    <w:rPr>
                      <w:rFonts w:cs="Arial"/>
                      <w:szCs w:val="24"/>
                    </w:rPr>
                    <w:t>3%</w:t>
                  </w:r>
                </w:p>
              </w:tc>
            </w:tr>
            <w:tr w:rsidR="00DA4FA0" w:rsidRPr="00C0263E" w:rsidTr="00836E1A">
              <w:trPr>
                <w:trHeight w:val="619"/>
              </w:trPr>
              <w:tc>
                <w:tcPr>
                  <w:tcW w:w="1937" w:type="dxa"/>
                  <w:tcBorders>
                    <w:top w:val="single" w:sz="4" w:space="0" w:color="auto"/>
                    <w:left w:val="single" w:sz="4" w:space="0" w:color="auto"/>
                    <w:right w:val="single" w:sz="4" w:space="0" w:color="auto"/>
                  </w:tcBorders>
                  <w:shd w:val="clear" w:color="auto" w:fill="F2F2F2"/>
                </w:tcPr>
                <w:p w:rsidR="00DA4FA0" w:rsidRDefault="00DA4FA0" w:rsidP="00DA4FA0">
                  <w:pPr>
                    <w:spacing w:before="40" w:after="40"/>
                    <w:rPr>
                      <w:rFonts w:cs="Arial"/>
                      <w:b/>
                      <w:szCs w:val="24"/>
                    </w:rPr>
                  </w:pPr>
                  <w:r>
                    <w:rPr>
                      <w:rFonts w:cs="Arial"/>
                      <w:b/>
                      <w:szCs w:val="24"/>
                    </w:rPr>
                    <w:t>TOTAL</w:t>
                  </w:r>
                </w:p>
              </w:tc>
              <w:tc>
                <w:tcPr>
                  <w:tcW w:w="2312" w:type="dxa"/>
                  <w:tcBorders>
                    <w:top w:val="single" w:sz="4" w:space="0" w:color="auto"/>
                    <w:left w:val="single" w:sz="4" w:space="0" w:color="auto"/>
                    <w:right w:val="single" w:sz="4" w:space="0" w:color="auto"/>
                  </w:tcBorders>
                </w:tcPr>
                <w:p w:rsidR="00DA4FA0" w:rsidRPr="00C0263E" w:rsidRDefault="00DA4FA0" w:rsidP="00DA4FA0">
                  <w:pPr>
                    <w:spacing w:before="40" w:after="40"/>
                    <w:rPr>
                      <w:rFonts w:cs="Arial"/>
                      <w:szCs w:val="24"/>
                    </w:rPr>
                  </w:pPr>
                  <w:r>
                    <w:rPr>
                      <w:rFonts w:cs="Arial"/>
                      <w:szCs w:val="24"/>
                    </w:rPr>
                    <w:t>100%</w:t>
                  </w:r>
                </w:p>
              </w:tc>
              <w:tc>
                <w:tcPr>
                  <w:tcW w:w="2750" w:type="dxa"/>
                  <w:tcBorders>
                    <w:top w:val="single" w:sz="4" w:space="0" w:color="auto"/>
                    <w:left w:val="single" w:sz="4" w:space="0" w:color="auto"/>
                    <w:right w:val="single" w:sz="4" w:space="0" w:color="auto"/>
                  </w:tcBorders>
                  <w:shd w:val="clear" w:color="auto" w:fill="auto"/>
                </w:tcPr>
                <w:p w:rsidR="00DA4FA0" w:rsidRPr="00C0263E" w:rsidRDefault="00DA4FA0" w:rsidP="00DA4FA0">
                  <w:pPr>
                    <w:spacing w:before="40" w:after="40"/>
                    <w:rPr>
                      <w:rFonts w:cs="Arial"/>
                      <w:szCs w:val="24"/>
                    </w:rPr>
                  </w:pPr>
                  <w:r>
                    <w:rPr>
                      <w:rFonts w:cs="Arial"/>
                      <w:szCs w:val="24"/>
                    </w:rPr>
                    <w:t>100%</w:t>
                  </w:r>
                </w:p>
              </w:tc>
              <w:tc>
                <w:tcPr>
                  <w:tcW w:w="2382" w:type="dxa"/>
                  <w:tcBorders>
                    <w:top w:val="single" w:sz="4" w:space="0" w:color="auto"/>
                    <w:left w:val="single" w:sz="4" w:space="0" w:color="auto"/>
                    <w:right w:val="single" w:sz="4" w:space="0" w:color="auto"/>
                  </w:tcBorders>
                </w:tcPr>
                <w:p w:rsidR="00DA4FA0" w:rsidRDefault="00937BA6" w:rsidP="00DA4FA0">
                  <w:pPr>
                    <w:spacing w:before="40" w:after="40"/>
                    <w:rPr>
                      <w:rFonts w:cs="Arial"/>
                      <w:szCs w:val="24"/>
                    </w:rPr>
                  </w:pPr>
                  <w:r>
                    <w:rPr>
                      <w:rFonts w:cs="Arial"/>
                      <w:szCs w:val="24"/>
                    </w:rPr>
                    <w:t>100%</w:t>
                  </w:r>
                </w:p>
              </w:tc>
            </w:tr>
          </w:tbl>
          <w:p w:rsidR="00DA4FA0" w:rsidRDefault="00DA4FA0" w:rsidP="005931C4">
            <w:pPr>
              <w:rPr>
                <w:rFonts w:cs="Arial"/>
                <w:szCs w:val="24"/>
              </w:rPr>
            </w:pPr>
          </w:p>
          <w:p w:rsidR="00CF3963" w:rsidRDefault="00CF3963" w:rsidP="00E16DC5">
            <w:pPr>
              <w:rPr>
                <w:rFonts w:eastAsiaTheme="minorEastAsia" w:cs="Arial"/>
                <w:szCs w:val="24"/>
              </w:rPr>
            </w:pPr>
          </w:p>
        </w:tc>
      </w:tr>
      <w:tr w:rsidR="00CF3963" w:rsidRPr="000412A1" w:rsidTr="00CF3963">
        <w:tc>
          <w:tcPr>
            <w:tcW w:w="5000" w:type="pct"/>
            <w:gridSpan w:val="3"/>
          </w:tcPr>
          <w:p w:rsidR="00CF3963" w:rsidRDefault="00CF3963" w:rsidP="005931C4">
            <w:pPr>
              <w:rPr>
                <w:rFonts w:eastAsiaTheme="minorEastAsia" w:cs="Arial"/>
                <w:szCs w:val="24"/>
              </w:rPr>
            </w:pPr>
          </w:p>
          <w:p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rsidR="00A71FB7" w:rsidRDefault="00A71FB7" w:rsidP="00A71FB7">
            <w:pPr>
              <w:rPr>
                <w:rFonts w:eastAsiaTheme="minorEastAsia" w:cs="Arial"/>
                <w:szCs w:val="24"/>
              </w:rPr>
            </w:pPr>
          </w:p>
          <w:p w:rsidR="00A71FB7" w:rsidRDefault="00A71FB7" w:rsidP="00A71FB7">
            <w:pPr>
              <w:rPr>
                <w:rFonts w:eastAsiaTheme="minorEastAsia" w:cs="Arial"/>
                <w:szCs w:val="24"/>
                <w:u w:val="single"/>
              </w:rPr>
            </w:pPr>
          </w:p>
          <w:p w:rsidR="00A71FB7" w:rsidRPr="001F6AA3" w:rsidRDefault="00A71FB7" w:rsidP="00A71FB7">
            <w:pPr>
              <w:rPr>
                <w:rFonts w:eastAsiaTheme="minorEastAsia" w:cs="Arial"/>
                <w:b/>
                <w:szCs w:val="24"/>
                <w:u w:val="single"/>
              </w:rPr>
            </w:pPr>
            <w:r w:rsidRPr="001F6AA3">
              <w:rPr>
                <w:rFonts w:eastAsiaTheme="minorEastAsia" w:cs="Arial"/>
                <w:b/>
                <w:szCs w:val="24"/>
                <w:u w:val="single"/>
              </w:rPr>
              <w:t>Year One</w:t>
            </w:r>
          </w:p>
          <w:p w:rsidR="00A71FB7" w:rsidRPr="00BD4245" w:rsidRDefault="00937BA6" w:rsidP="00A71FB7">
            <w:pPr>
              <w:rPr>
                <w:rFonts w:eastAsiaTheme="minorEastAsia" w:cs="Arial"/>
                <w:szCs w:val="24"/>
              </w:rPr>
            </w:pPr>
            <w:r>
              <w:rPr>
                <w:rFonts w:eastAsiaTheme="minorEastAsia" w:cs="Arial"/>
                <w:szCs w:val="24"/>
                <w:u w:val="single"/>
              </w:rPr>
              <w:t xml:space="preserve">Trigger </w:t>
            </w:r>
            <w:r w:rsidR="00D01062">
              <w:rPr>
                <w:rFonts w:eastAsiaTheme="minorEastAsia" w:cs="Arial"/>
                <w:szCs w:val="24"/>
                <w:u w:val="single"/>
              </w:rPr>
              <w:t>2</w:t>
            </w:r>
            <w:r>
              <w:rPr>
                <w:rFonts w:eastAsiaTheme="minorEastAsia" w:cs="Arial"/>
                <w:szCs w:val="24"/>
                <w:u w:val="single"/>
              </w:rPr>
              <w:t>:</w:t>
            </w:r>
            <w:r>
              <w:t xml:space="preserve"> </w:t>
            </w:r>
            <w:r w:rsidR="00A71FB7" w:rsidRPr="00BD4245">
              <w:rPr>
                <w:rFonts w:eastAsiaTheme="minorEastAsia" w:cs="Arial"/>
                <w:szCs w:val="24"/>
              </w:rPr>
              <w:t>All new patients started on a biologic are discussed by an MDT</w:t>
            </w:r>
          </w:p>
          <w:p w:rsidR="00A71FB7" w:rsidRPr="00937BA6" w:rsidRDefault="00A71FB7" w:rsidP="00937BA6">
            <w:pPr>
              <w:pStyle w:val="ListParagraph"/>
              <w:numPr>
                <w:ilvl w:val="0"/>
                <w:numId w:val="18"/>
              </w:numPr>
              <w:rPr>
                <w:rFonts w:eastAsiaTheme="minorEastAsia" w:cs="Arial"/>
                <w:szCs w:val="24"/>
                <w:u w:val="single"/>
              </w:rPr>
            </w:pPr>
            <w:r>
              <w:t>All: 100% payment</w:t>
            </w:r>
          </w:p>
          <w:p w:rsidR="00A71FB7" w:rsidRPr="00937BA6" w:rsidRDefault="00A71FB7" w:rsidP="00937BA6">
            <w:pPr>
              <w:pStyle w:val="ListParagraph"/>
              <w:numPr>
                <w:ilvl w:val="0"/>
                <w:numId w:val="18"/>
              </w:numPr>
              <w:rPr>
                <w:rFonts w:eastAsiaTheme="minorEastAsia" w:cs="Arial"/>
                <w:szCs w:val="24"/>
              </w:rPr>
            </w:pPr>
            <w:r w:rsidRPr="00937BA6">
              <w:rPr>
                <w:rFonts w:eastAsiaTheme="minorEastAsia" w:cs="Arial"/>
                <w:szCs w:val="24"/>
              </w:rPr>
              <w:t>80% of patients: half payment</w:t>
            </w:r>
          </w:p>
          <w:p w:rsidR="00A71FB7" w:rsidRDefault="00A71FB7" w:rsidP="00A71FB7">
            <w:pPr>
              <w:rPr>
                <w:rFonts w:eastAsiaTheme="minorEastAsia" w:cs="Arial"/>
                <w:szCs w:val="24"/>
              </w:rPr>
            </w:pPr>
          </w:p>
          <w:p w:rsidR="00A71FB7" w:rsidRPr="00BD4245" w:rsidRDefault="00937BA6" w:rsidP="00A71FB7">
            <w:pPr>
              <w:rPr>
                <w:rFonts w:eastAsiaTheme="minorEastAsia" w:cs="Arial"/>
                <w:szCs w:val="24"/>
              </w:rPr>
            </w:pPr>
            <w:r>
              <w:rPr>
                <w:rFonts w:eastAsiaTheme="minorEastAsia" w:cs="Arial"/>
                <w:szCs w:val="24"/>
                <w:u w:val="single"/>
              </w:rPr>
              <w:t xml:space="preserve">Trigger </w:t>
            </w:r>
            <w:r w:rsidR="00D01062">
              <w:rPr>
                <w:rFonts w:eastAsiaTheme="minorEastAsia" w:cs="Arial"/>
                <w:szCs w:val="24"/>
                <w:u w:val="single"/>
              </w:rPr>
              <w:t>3</w:t>
            </w:r>
            <w:r>
              <w:rPr>
                <w:rFonts w:eastAsiaTheme="minorEastAsia" w:cs="Arial"/>
                <w:szCs w:val="24"/>
                <w:u w:val="single"/>
              </w:rPr>
              <w:t xml:space="preserve">: </w:t>
            </w:r>
            <w:r w:rsidR="00A71FB7" w:rsidRPr="00BD4245">
              <w:rPr>
                <w:rFonts w:eastAsiaTheme="minorEastAsia" w:cs="Arial"/>
                <w:szCs w:val="24"/>
              </w:rPr>
              <w:t>50% of new patients have their data entered in the severe asthma registry</w:t>
            </w:r>
          </w:p>
          <w:p w:rsidR="00A71FB7" w:rsidRPr="00937BA6" w:rsidRDefault="00A71FB7" w:rsidP="00937BA6">
            <w:pPr>
              <w:pStyle w:val="ListParagraph"/>
              <w:numPr>
                <w:ilvl w:val="0"/>
                <w:numId w:val="20"/>
              </w:numPr>
              <w:rPr>
                <w:rFonts w:eastAsiaTheme="minorEastAsia" w:cs="Arial"/>
                <w:szCs w:val="24"/>
                <w:u w:val="single"/>
              </w:rPr>
            </w:pPr>
            <w:r>
              <w:t xml:space="preserve">50% new patients </w:t>
            </w:r>
            <w:proofErr w:type="gramStart"/>
            <w:r>
              <w:t>registered</w:t>
            </w:r>
            <w:proofErr w:type="gramEnd"/>
            <w:r>
              <w:t xml:space="preserve"> and data completed: 100% payment</w:t>
            </w:r>
          </w:p>
          <w:p w:rsidR="00A71FB7" w:rsidRPr="00937BA6" w:rsidRDefault="00A71FB7" w:rsidP="00937BA6">
            <w:pPr>
              <w:pStyle w:val="ListParagraph"/>
              <w:numPr>
                <w:ilvl w:val="0"/>
                <w:numId w:val="20"/>
              </w:numPr>
              <w:rPr>
                <w:rFonts w:eastAsiaTheme="minorEastAsia" w:cs="Arial"/>
                <w:szCs w:val="24"/>
              </w:rPr>
            </w:pPr>
            <w:r w:rsidRPr="00937BA6">
              <w:rPr>
                <w:rFonts w:eastAsiaTheme="minorEastAsia" w:cs="Arial"/>
                <w:szCs w:val="24"/>
              </w:rPr>
              <w:lastRenderedPageBreak/>
              <w:t>40% of new patients registered and data completed: half payment</w:t>
            </w:r>
          </w:p>
          <w:p w:rsidR="00A71FB7" w:rsidRDefault="00A71FB7" w:rsidP="00A71FB7">
            <w:pPr>
              <w:rPr>
                <w:rFonts w:eastAsiaTheme="minorEastAsia" w:cs="Arial"/>
                <w:szCs w:val="24"/>
              </w:rPr>
            </w:pPr>
          </w:p>
          <w:p w:rsidR="00A71FB7" w:rsidRPr="002E0BF5" w:rsidRDefault="00A71FB7" w:rsidP="00A71FB7">
            <w:pPr>
              <w:rPr>
                <w:rFonts w:eastAsiaTheme="minorEastAsia" w:cs="Arial"/>
                <w:b/>
                <w:szCs w:val="24"/>
                <w:u w:val="single"/>
              </w:rPr>
            </w:pPr>
            <w:r w:rsidRPr="002E0BF5">
              <w:rPr>
                <w:rFonts w:eastAsiaTheme="minorEastAsia" w:cs="Arial"/>
                <w:b/>
                <w:szCs w:val="24"/>
                <w:u w:val="single"/>
              </w:rPr>
              <w:t>Year Two</w:t>
            </w:r>
          </w:p>
          <w:p w:rsidR="00D01062" w:rsidRPr="00BD4245" w:rsidRDefault="00D01062" w:rsidP="00D01062">
            <w:pPr>
              <w:rPr>
                <w:rFonts w:eastAsiaTheme="minorEastAsia" w:cs="Arial"/>
                <w:szCs w:val="24"/>
              </w:rPr>
            </w:pPr>
            <w:r>
              <w:rPr>
                <w:rFonts w:eastAsiaTheme="minorEastAsia" w:cs="Arial"/>
                <w:szCs w:val="24"/>
                <w:u w:val="single"/>
              </w:rPr>
              <w:t>Trigger 1:</w:t>
            </w:r>
            <w:r>
              <w:t xml:space="preserve"> </w:t>
            </w:r>
            <w:r w:rsidRPr="00BD4245">
              <w:rPr>
                <w:rFonts w:eastAsiaTheme="minorEastAsia" w:cs="Arial"/>
                <w:szCs w:val="24"/>
              </w:rPr>
              <w:t>All new patients started on a biologic are discussed by an MDT</w:t>
            </w:r>
          </w:p>
          <w:p w:rsidR="00D01062" w:rsidRPr="00937BA6" w:rsidRDefault="00D01062" w:rsidP="00D01062">
            <w:pPr>
              <w:pStyle w:val="ListParagraph"/>
              <w:numPr>
                <w:ilvl w:val="0"/>
                <w:numId w:val="18"/>
              </w:numPr>
              <w:rPr>
                <w:rFonts w:eastAsiaTheme="minorEastAsia" w:cs="Arial"/>
                <w:szCs w:val="24"/>
                <w:u w:val="single"/>
              </w:rPr>
            </w:pPr>
            <w:r>
              <w:t>All: 100% payment</w:t>
            </w:r>
          </w:p>
          <w:p w:rsidR="00D01062" w:rsidRDefault="00D01062" w:rsidP="00D01062">
            <w:pPr>
              <w:pStyle w:val="ListParagraph"/>
              <w:numPr>
                <w:ilvl w:val="0"/>
                <w:numId w:val="18"/>
              </w:numPr>
              <w:rPr>
                <w:rFonts w:eastAsiaTheme="minorEastAsia" w:cs="Arial"/>
                <w:szCs w:val="24"/>
              </w:rPr>
            </w:pPr>
            <w:r w:rsidRPr="00937BA6">
              <w:rPr>
                <w:rFonts w:eastAsiaTheme="minorEastAsia" w:cs="Arial"/>
                <w:szCs w:val="24"/>
              </w:rPr>
              <w:t>80% of patients: half payment</w:t>
            </w:r>
          </w:p>
          <w:p w:rsidR="00D01062" w:rsidRPr="00937BA6" w:rsidRDefault="00D01062" w:rsidP="00D01062">
            <w:pPr>
              <w:pStyle w:val="ListParagraph"/>
              <w:rPr>
                <w:rFonts w:eastAsiaTheme="minorEastAsia" w:cs="Arial"/>
                <w:szCs w:val="24"/>
              </w:rPr>
            </w:pPr>
          </w:p>
          <w:p w:rsidR="00A71FB7" w:rsidRPr="00937BA6" w:rsidRDefault="00937BA6" w:rsidP="00A71FB7">
            <w:r>
              <w:rPr>
                <w:rFonts w:eastAsiaTheme="minorEastAsia" w:cs="Arial"/>
                <w:szCs w:val="24"/>
                <w:u w:val="single"/>
              </w:rPr>
              <w:t xml:space="preserve">Trigger </w:t>
            </w:r>
            <w:r w:rsidR="00D01062">
              <w:rPr>
                <w:rFonts w:eastAsiaTheme="minorEastAsia" w:cs="Arial"/>
                <w:szCs w:val="24"/>
                <w:u w:val="single"/>
              </w:rPr>
              <w:t>2</w:t>
            </w:r>
            <w:r>
              <w:rPr>
                <w:rFonts w:eastAsiaTheme="minorEastAsia" w:cs="Arial"/>
                <w:szCs w:val="24"/>
                <w:u w:val="single"/>
              </w:rPr>
              <w:t>:</w:t>
            </w:r>
            <w:r>
              <w:t xml:space="preserve"> </w:t>
            </w:r>
            <w:r w:rsidR="00A71FB7" w:rsidRPr="00BD4245">
              <w:rPr>
                <w:rFonts w:eastAsiaTheme="minorEastAsia" w:cs="Arial"/>
                <w:szCs w:val="24"/>
              </w:rPr>
              <w:t>80% of new patients have their data entered in the severe asthma registry</w:t>
            </w:r>
          </w:p>
          <w:p w:rsidR="00A71FB7" w:rsidRPr="00937BA6" w:rsidRDefault="00A71FB7" w:rsidP="00937BA6">
            <w:pPr>
              <w:pStyle w:val="ListParagraph"/>
              <w:numPr>
                <w:ilvl w:val="0"/>
                <w:numId w:val="19"/>
              </w:numPr>
              <w:rPr>
                <w:rFonts w:eastAsiaTheme="minorEastAsia" w:cs="Arial"/>
                <w:szCs w:val="24"/>
                <w:u w:val="single"/>
              </w:rPr>
            </w:pPr>
            <w:r>
              <w:t>8</w:t>
            </w:r>
            <w:r w:rsidRPr="001200D4">
              <w:t xml:space="preserve">0% </w:t>
            </w:r>
            <w:r>
              <w:t xml:space="preserve">of </w:t>
            </w:r>
            <w:r w:rsidRPr="001200D4">
              <w:t>new patients registered and data completed</w:t>
            </w:r>
            <w:r>
              <w:t>: 100% payment</w:t>
            </w:r>
          </w:p>
          <w:p w:rsidR="00A71FB7" w:rsidRPr="00937BA6" w:rsidRDefault="00A71FB7" w:rsidP="00937BA6">
            <w:pPr>
              <w:pStyle w:val="ListParagraph"/>
              <w:numPr>
                <w:ilvl w:val="0"/>
                <w:numId w:val="19"/>
              </w:numPr>
              <w:rPr>
                <w:rFonts w:eastAsiaTheme="minorEastAsia" w:cs="Arial"/>
                <w:szCs w:val="24"/>
              </w:rPr>
            </w:pPr>
            <w:r w:rsidRPr="00937BA6">
              <w:rPr>
                <w:rFonts w:eastAsiaTheme="minorEastAsia" w:cs="Arial"/>
                <w:szCs w:val="24"/>
              </w:rPr>
              <w:t xml:space="preserve">60% </w:t>
            </w:r>
            <w:r>
              <w:t xml:space="preserve">of </w:t>
            </w:r>
            <w:r w:rsidRPr="001200D4">
              <w:t>new patients registered and data completed</w:t>
            </w:r>
            <w:r>
              <w:t xml:space="preserve">: </w:t>
            </w:r>
            <w:r w:rsidRPr="00937BA6">
              <w:rPr>
                <w:rFonts w:eastAsiaTheme="minorEastAsia" w:cs="Arial"/>
                <w:szCs w:val="24"/>
              </w:rPr>
              <w:t>half payment</w:t>
            </w:r>
          </w:p>
          <w:p w:rsidR="00A71FB7" w:rsidRDefault="00A71FB7" w:rsidP="00A71FB7">
            <w:pPr>
              <w:rPr>
                <w:rFonts w:eastAsiaTheme="minorEastAsia" w:cs="Arial"/>
                <w:szCs w:val="24"/>
                <w:u w:val="single"/>
              </w:rPr>
            </w:pPr>
          </w:p>
          <w:p w:rsidR="00A71FB7" w:rsidRPr="00BD4245" w:rsidRDefault="00937BA6" w:rsidP="00A71FB7">
            <w:pPr>
              <w:rPr>
                <w:rFonts w:eastAsiaTheme="minorEastAsia" w:cs="Arial"/>
                <w:szCs w:val="24"/>
              </w:rPr>
            </w:pPr>
            <w:r>
              <w:rPr>
                <w:rFonts w:eastAsiaTheme="minorEastAsia" w:cs="Arial"/>
                <w:szCs w:val="24"/>
                <w:u w:val="single"/>
              </w:rPr>
              <w:t xml:space="preserve">Trigger </w:t>
            </w:r>
            <w:r w:rsidR="00D01062">
              <w:rPr>
                <w:rFonts w:eastAsiaTheme="minorEastAsia" w:cs="Arial"/>
                <w:szCs w:val="24"/>
                <w:u w:val="single"/>
              </w:rPr>
              <w:t>3</w:t>
            </w:r>
            <w:r>
              <w:rPr>
                <w:rFonts w:eastAsiaTheme="minorEastAsia" w:cs="Arial"/>
                <w:szCs w:val="24"/>
                <w:u w:val="single"/>
              </w:rPr>
              <w:t xml:space="preserve">: </w:t>
            </w:r>
            <w:r w:rsidR="00A71FB7" w:rsidRPr="00BD4245">
              <w:rPr>
                <w:rFonts w:eastAsiaTheme="minorEastAsia" w:cs="Arial"/>
                <w:szCs w:val="24"/>
              </w:rPr>
              <w:t xml:space="preserve">30% of patients </w:t>
            </w:r>
            <w:r w:rsidR="00A71FB7" w:rsidRPr="003334D8">
              <w:rPr>
                <w:rFonts w:eastAsiaTheme="minorEastAsia" w:cs="Arial"/>
                <w:szCs w:val="24"/>
              </w:rPr>
              <w:t>currently on a biologic who have not been discussed in an MDT have their Eligibility checked through MDT discussion</w:t>
            </w:r>
          </w:p>
          <w:p w:rsidR="00A71FB7" w:rsidRPr="00D01062" w:rsidRDefault="00A71FB7" w:rsidP="00D01062">
            <w:pPr>
              <w:pStyle w:val="ListParagraph"/>
              <w:numPr>
                <w:ilvl w:val="0"/>
                <w:numId w:val="21"/>
              </w:numPr>
              <w:rPr>
                <w:rFonts w:eastAsiaTheme="minorEastAsia" w:cs="Arial"/>
                <w:szCs w:val="24"/>
                <w:u w:val="single"/>
              </w:rPr>
            </w:pPr>
            <w:r w:rsidRPr="00D01062">
              <w:rPr>
                <w:rFonts w:eastAsiaTheme="minorEastAsia" w:cs="Arial"/>
                <w:szCs w:val="24"/>
              </w:rPr>
              <w:t>30% have their eligibility checked via MDT discussion: 100% payment</w:t>
            </w:r>
          </w:p>
          <w:p w:rsidR="00A71FB7" w:rsidRPr="00D01062" w:rsidRDefault="00A71FB7" w:rsidP="00D01062">
            <w:pPr>
              <w:pStyle w:val="ListParagraph"/>
              <w:numPr>
                <w:ilvl w:val="0"/>
                <w:numId w:val="21"/>
              </w:numPr>
              <w:rPr>
                <w:rFonts w:eastAsiaTheme="minorEastAsia" w:cs="Arial"/>
                <w:szCs w:val="24"/>
              </w:rPr>
            </w:pPr>
            <w:r w:rsidRPr="00D01062">
              <w:rPr>
                <w:rFonts w:eastAsiaTheme="minorEastAsia" w:cs="Arial"/>
                <w:szCs w:val="24"/>
              </w:rPr>
              <w:t>25% have their eligibility checked via MDT discussion:</w:t>
            </w:r>
            <w:r>
              <w:t xml:space="preserve"> </w:t>
            </w:r>
            <w:r w:rsidRPr="00D01062">
              <w:rPr>
                <w:rFonts w:eastAsiaTheme="minorEastAsia" w:cs="Arial"/>
                <w:szCs w:val="24"/>
              </w:rPr>
              <w:t>half payment</w:t>
            </w:r>
          </w:p>
          <w:p w:rsidR="00A71FB7" w:rsidRDefault="00A71FB7" w:rsidP="00A71FB7">
            <w:pPr>
              <w:rPr>
                <w:rFonts w:eastAsiaTheme="minorEastAsia" w:cs="Arial"/>
                <w:szCs w:val="24"/>
                <w:u w:val="single"/>
              </w:rPr>
            </w:pPr>
          </w:p>
          <w:p w:rsidR="00A71FB7" w:rsidRPr="00BD4245" w:rsidRDefault="00D01062" w:rsidP="00A71FB7">
            <w:pPr>
              <w:rPr>
                <w:rFonts w:eastAsia="Calibri" w:cs="Arial"/>
                <w:bCs w:val="0"/>
                <w:color w:val="222222"/>
                <w:szCs w:val="24"/>
              </w:rPr>
            </w:pPr>
            <w:r w:rsidRPr="00D01062">
              <w:rPr>
                <w:rFonts w:eastAsia="Calibri" w:cs="Arial"/>
                <w:bCs w:val="0"/>
                <w:color w:val="222222"/>
                <w:szCs w:val="24"/>
                <w:u w:val="single"/>
              </w:rPr>
              <w:t>Trigger 4:</w:t>
            </w:r>
            <w:r>
              <w:rPr>
                <w:rFonts w:eastAsia="Calibri" w:cs="Arial"/>
                <w:bCs w:val="0"/>
                <w:color w:val="222222"/>
                <w:szCs w:val="24"/>
              </w:rPr>
              <w:t xml:space="preserve"> </w:t>
            </w:r>
            <w:r w:rsidR="00A71FB7" w:rsidRPr="00BD4245">
              <w:rPr>
                <w:rFonts w:eastAsia="Calibri" w:cs="Arial"/>
                <w:bCs w:val="0"/>
                <w:color w:val="222222"/>
                <w:szCs w:val="24"/>
              </w:rPr>
              <w:t>30% of patients commenced on a biologic without discussion at an MDT have their data entered in the Severe Asthma Registry</w:t>
            </w:r>
          </w:p>
          <w:p w:rsidR="00A71FB7" w:rsidRPr="00D01062" w:rsidRDefault="00A71FB7" w:rsidP="00D01062">
            <w:pPr>
              <w:pStyle w:val="ListParagraph"/>
              <w:numPr>
                <w:ilvl w:val="0"/>
                <w:numId w:val="22"/>
              </w:numPr>
              <w:rPr>
                <w:rFonts w:eastAsiaTheme="minorEastAsia" w:cs="Arial"/>
                <w:szCs w:val="24"/>
                <w:u w:val="single"/>
              </w:rPr>
            </w:pPr>
            <w:r w:rsidRPr="00D01062">
              <w:rPr>
                <w:rFonts w:eastAsiaTheme="minorEastAsia" w:cs="Arial"/>
                <w:szCs w:val="24"/>
              </w:rPr>
              <w:t>30% are registered and have their data completed: 100% payment</w:t>
            </w:r>
          </w:p>
          <w:p w:rsidR="00A71FB7" w:rsidRPr="00D01062" w:rsidRDefault="00A71FB7" w:rsidP="00D01062">
            <w:pPr>
              <w:pStyle w:val="ListParagraph"/>
              <w:numPr>
                <w:ilvl w:val="0"/>
                <w:numId w:val="22"/>
              </w:numPr>
              <w:rPr>
                <w:rFonts w:eastAsiaTheme="minorEastAsia" w:cs="Arial"/>
                <w:szCs w:val="24"/>
              </w:rPr>
            </w:pPr>
            <w:r w:rsidRPr="00D01062">
              <w:rPr>
                <w:rFonts w:eastAsiaTheme="minorEastAsia" w:cs="Arial"/>
                <w:szCs w:val="24"/>
              </w:rPr>
              <w:t>25% are registered and have their data completed:</w:t>
            </w:r>
            <w:r>
              <w:t xml:space="preserve"> </w:t>
            </w:r>
            <w:r w:rsidRPr="00D01062">
              <w:rPr>
                <w:rFonts w:eastAsiaTheme="minorEastAsia" w:cs="Arial"/>
                <w:szCs w:val="24"/>
              </w:rPr>
              <w:t>half payment</w:t>
            </w:r>
          </w:p>
          <w:p w:rsidR="00A71FB7" w:rsidRPr="00F42905" w:rsidRDefault="00A71FB7" w:rsidP="00A71FB7">
            <w:pPr>
              <w:rPr>
                <w:rFonts w:eastAsiaTheme="minorEastAsia" w:cs="Arial"/>
                <w:szCs w:val="24"/>
                <w:u w:val="single"/>
              </w:rPr>
            </w:pPr>
          </w:p>
          <w:p w:rsidR="00A71FB7" w:rsidRPr="009453BE" w:rsidRDefault="00A71FB7" w:rsidP="00A71FB7">
            <w:pPr>
              <w:rPr>
                <w:rFonts w:cs="Arial"/>
                <w:b/>
                <w:szCs w:val="24"/>
              </w:rPr>
            </w:pPr>
            <w:r w:rsidRPr="009453BE">
              <w:rPr>
                <w:rFonts w:eastAsiaTheme="minorEastAsia" w:cs="Arial"/>
                <w:b/>
                <w:szCs w:val="24"/>
                <w:u w:val="single"/>
              </w:rPr>
              <w:t>Year Three</w:t>
            </w:r>
          </w:p>
          <w:p w:rsidR="00D01062" w:rsidRPr="00BD4245" w:rsidRDefault="00D01062" w:rsidP="00D01062">
            <w:pPr>
              <w:rPr>
                <w:rFonts w:eastAsiaTheme="minorEastAsia" w:cs="Arial"/>
                <w:szCs w:val="24"/>
              </w:rPr>
            </w:pPr>
            <w:r>
              <w:rPr>
                <w:rFonts w:eastAsiaTheme="minorEastAsia" w:cs="Arial"/>
                <w:szCs w:val="24"/>
                <w:u w:val="single"/>
              </w:rPr>
              <w:t>Trigger 1:</w:t>
            </w:r>
            <w:r>
              <w:t xml:space="preserve"> </w:t>
            </w:r>
            <w:r w:rsidRPr="00BD4245">
              <w:rPr>
                <w:rFonts w:eastAsiaTheme="minorEastAsia" w:cs="Arial"/>
                <w:szCs w:val="24"/>
              </w:rPr>
              <w:t>All new patients started on a biologic are discussed by an MDT</w:t>
            </w:r>
          </w:p>
          <w:p w:rsidR="00D01062" w:rsidRPr="00937BA6" w:rsidRDefault="00D01062" w:rsidP="00D01062">
            <w:pPr>
              <w:pStyle w:val="ListParagraph"/>
              <w:numPr>
                <w:ilvl w:val="0"/>
                <w:numId w:val="18"/>
              </w:numPr>
              <w:rPr>
                <w:rFonts w:eastAsiaTheme="minorEastAsia" w:cs="Arial"/>
                <w:szCs w:val="24"/>
                <w:u w:val="single"/>
              </w:rPr>
            </w:pPr>
            <w:r>
              <w:t>All: 100% payment</w:t>
            </w:r>
          </w:p>
          <w:p w:rsidR="00D01062" w:rsidRDefault="00D01062" w:rsidP="00D01062">
            <w:pPr>
              <w:pStyle w:val="ListParagraph"/>
              <w:numPr>
                <w:ilvl w:val="0"/>
                <w:numId w:val="18"/>
              </w:numPr>
              <w:rPr>
                <w:rFonts w:eastAsiaTheme="minorEastAsia" w:cs="Arial"/>
                <w:szCs w:val="24"/>
              </w:rPr>
            </w:pPr>
            <w:r w:rsidRPr="00937BA6">
              <w:rPr>
                <w:rFonts w:eastAsiaTheme="minorEastAsia" w:cs="Arial"/>
                <w:szCs w:val="24"/>
              </w:rPr>
              <w:t>80% of patients: half payment</w:t>
            </w:r>
          </w:p>
          <w:p w:rsidR="00D01062" w:rsidRDefault="00D01062" w:rsidP="00A71FB7">
            <w:pPr>
              <w:rPr>
                <w:rFonts w:eastAsiaTheme="minorEastAsia" w:cs="Arial"/>
                <w:szCs w:val="24"/>
              </w:rPr>
            </w:pPr>
          </w:p>
          <w:p w:rsidR="00A71FB7" w:rsidRDefault="00D01062" w:rsidP="00A71FB7">
            <w:pPr>
              <w:rPr>
                <w:rFonts w:eastAsiaTheme="minorEastAsia" w:cs="Arial"/>
                <w:szCs w:val="24"/>
                <w:u w:val="single"/>
              </w:rPr>
            </w:pPr>
            <w:r w:rsidRPr="00D01062">
              <w:rPr>
                <w:rFonts w:eastAsiaTheme="minorEastAsia" w:cs="Arial"/>
                <w:szCs w:val="24"/>
                <w:u w:val="single"/>
              </w:rPr>
              <w:t>Trigger 2:</w:t>
            </w:r>
            <w:r>
              <w:rPr>
                <w:rFonts w:eastAsiaTheme="minorEastAsia" w:cs="Arial"/>
                <w:szCs w:val="24"/>
              </w:rPr>
              <w:t xml:space="preserve"> </w:t>
            </w:r>
            <w:r w:rsidR="00A71FB7" w:rsidRPr="0047142C">
              <w:rPr>
                <w:rFonts w:eastAsiaTheme="minorEastAsia" w:cs="Arial"/>
                <w:szCs w:val="24"/>
              </w:rPr>
              <w:t>95% of new patients have their data entered in the severe asthma registry</w:t>
            </w:r>
          </w:p>
          <w:p w:rsidR="00A71FB7" w:rsidRPr="00D01062" w:rsidRDefault="00A71FB7" w:rsidP="00D01062">
            <w:pPr>
              <w:pStyle w:val="ListParagraph"/>
              <w:numPr>
                <w:ilvl w:val="0"/>
                <w:numId w:val="23"/>
              </w:numPr>
              <w:rPr>
                <w:rFonts w:eastAsiaTheme="minorEastAsia" w:cs="Arial"/>
                <w:szCs w:val="24"/>
                <w:u w:val="single"/>
              </w:rPr>
            </w:pPr>
            <w:r w:rsidRPr="00D01062">
              <w:rPr>
                <w:rFonts w:eastAsiaTheme="minorEastAsia" w:cs="Arial"/>
                <w:szCs w:val="24"/>
              </w:rPr>
              <w:t>95% of new patients registered and data completed: 100% payment</w:t>
            </w:r>
          </w:p>
          <w:p w:rsidR="00A71FB7" w:rsidRPr="00D01062" w:rsidRDefault="00A71FB7" w:rsidP="00D01062">
            <w:pPr>
              <w:pStyle w:val="ListParagraph"/>
              <w:numPr>
                <w:ilvl w:val="0"/>
                <w:numId w:val="23"/>
              </w:numPr>
              <w:rPr>
                <w:rFonts w:eastAsiaTheme="minorEastAsia" w:cs="Arial"/>
                <w:szCs w:val="24"/>
                <w:u w:val="single"/>
              </w:rPr>
            </w:pPr>
            <w:r w:rsidRPr="00D01062">
              <w:rPr>
                <w:rFonts w:eastAsiaTheme="minorEastAsia" w:cs="Arial"/>
                <w:szCs w:val="24"/>
              </w:rPr>
              <w:t xml:space="preserve">80% </w:t>
            </w:r>
            <w:r>
              <w:t xml:space="preserve">of </w:t>
            </w:r>
            <w:r w:rsidRPr="001200D4">
              <w:t>new patients registered and data completed</w:t>
            </w:r>
            <w:r>
              <w:t xml:space="preserve">: </w:t>
            </w:r>
            <w:r w:rsidRPr="00D01062">
              <w:rPr>
                <w:rFonts w:eastAsiaTheme="minorEastAsia" w:cs="Arial"/>
                <w:szCs w:val="24"/>
              </w:rPr>
              <w:t>half payment</w:t>
            </w:r>
          </w:p>
          <w:p w:rsidR="00A71FB7" w:rsidRDefault="00A71FB7" w:rsidP="00A71FB7">
            <w:pPr>
              <w:rPr>
                <w:rFonts w:cs="Arial"/>
                <w:szCs w:val="24"/>
              </w:rPr>
            </w:pPr>
          </w:p>
          <w:p w:rsidR="00A71FB7" w:rsidRDefault="00D01062" w:rsidP="00A71FB7">
            <w:pPr>
              <w:rPr>
                <w:rFonts w:eastAsiaTheme="minorEastAsia" w:cs="Arial"/>
                <w:szCs w:val="24"/>
              </w:rPr>
            </w:pPr>
            <w:r w:rsidRPr="00D01062">
              <w:rPr>
                <w:rFonts w:eastAsiaTheme="minorEastAsia" w:cs="Arial"/>
                <w:szCs w:val="24"/>
                <w:u w:val="single"/>
              </w:rPr>
              <w:t>Trigger 3</w:t>
            </w:r>
            <w:r>
              <w:rPr>
                <w:rFonts w:eastAsiaTheme="minorEastAsia" w:cs="Arial"/>
                <w:szCs w:val="24"/>
              </w:rPr>
              <w:t xml:space="preserve">: </w:t>
            </w:r>
            <w:r w:rsidR="00A71FB7" w:rsidRPr="00BD4245">
              <w:rPr>
                <w:rFonts w:eastAsiaTheme="minorEastAsia" w:cs="Arial"/>
                <w:szCs w:val="24"/>
              </w:rPr>
              <w:t xml:space="preserve">70% of patients currently on a biologic who have not been discussed in an MDT </w:t>
            </w:r>
            <w:r w:rsidR="00A71FB7">
              <w:rPr>
                <w:rFonts w:eastAsiaTheme="minorEastAsia" w:cs="Arial"/>
                <w:szCs w:val="24"/>
              </w:rPr>
              <w:t xml:space="preserve">or </w:t>
            </w:r>
            <w:r w:rsidR="00A71FB7" w:rsidRPr="00BD4245">
              <w:rPr>
                <w:rFonts w:eastAsiaTheme="minorEastAsia" w:cs="Arial"/>
                <w:szCs w:val="24"/>
              </w:rPr>
              <w:t xml:space="preserve">have </w:t>
            </w:r>
            <w:r w:rsidR="00A71FB7">
              <w:rPr>
                <w:rFonts w:eastAsiaTheme="minorEastAsia" w:cs="Arial"/>
                <w:szCs w:val="24"/>
              </w:rPr>
              <w:t xml:space="preserve">had </w:t>
            </w:r>
            <w:r w:rsidR="00A71FB7" w:rsidRPr="00BD4245">
              <w:rPr>
                <w:rFonts w:eastAsiaTheme="minorEastAsia" w:cs="Arial"/>
                <w:szCs w:val="24"/>
              </w:rPr>
              <w:t>their Eligibility checked through MDT discussion</w:t>
            </w:r>
            <w:r w:rsidR="00A71FB7">
              <w:rPr>
                <w:rFonts w:eastAsiaTheme="minorEastAsia" w:cs="Arial"/>
                <w:szCs w:val="24"/>
              </w:rPr>
              <w:t xml:space="preserve"> have their eligibility checked</w:t>
            </w:r>
          </w:p>
          <w:p w:rsidR="00A71FB7" w:rsidRPr="00D01062" w:rsidRDefault="00A71FB7" w:rsidP="00D01062">
            <w:pPr>
              <w:pStyle w:val="ListParagraph"/>
              <w:numPr>
                <w:ilvl w:val="0"/>
                <w:numId w:val="24"/>
              </w:numPr>
              <w:rPr>
                <w:rFonts w:eastAsiaTheme="minorEastAsia" w:cs="Arial"/>
                <w:szCs w:val="24"/>
                <w:u w:val="single"/>
              </w:rPr>
            </w:pPr>
            <w:r w:rsidRPr="00D01062">
              <w:rPr>
                <w:rFonts w:eastAsiaTheme="minorEastAsia" w:cs="Arial"/>
                <w:szCs w:val="24"/>
              </w:rPr>
              <w:t>70% of new patients registered and data completed: 100% payment</w:t>
            </w:r>
          </w:p>
          <w:p w:rsidR="00A71FB7" w:rsidRPr="00D01062" w:rsidRDefault="00A71FB7" w:rsidP="00D01062">
            <w:pPr>
              <w:pStyle w:val="ListParagraph"/>
              <w:numPr>
                <w:ilvl w:val="0"/>
                <w:numId w:val="24"/>
              </w:numPr>
              <w:rPr>
                <w:rFonts w:eastAsiaTheme="minorEastAsia" w:cs="Arial"/>
                <w:szCs w:val="24"/>
                <w:u w:val="single"/>
              </w:rPr>
            </w:pPr>
            <w:r w:rsidRPr="00D01062">
              <w:rPr>
                <w:rFonts w:eastAsiaTheme="minorEastAsia" w:cs="Arial"/>
                <w:szCs w:val="24"/>
              </w:rPr>
              <w:t xml:space="preserve">60% </w:t>
            </w:r>
            <w:r>
              <w:t xml:space="preserve">of </w:t>
            </w:r>
            <w:r w:rsidRPr="001200D4">
              <w:t>new patients registered and data completed</w:t>
            </w:r>
            <w:r>
              <w:t xml:space="preserve">: </w:t>
            </w:r>
            <w:r w:rsidRPr="00D01062">
              <w:rPr>
                <w:rFonts w:eastAsiaTheme="minorEastAsia" w:cs="Arial"/>
                <w:szCs w:val="24"/>
              </w:rPr>
              <w:t>half payment</w:t>
            </w:r>
          </w:p>
          <w:p w:rsidR="00A71FB7" w:rsidRDefault="00A71FB7" w:rsidP="00A71FB7">
            <w:pPr>
              <w:rPr>
                <w:rFonts w:cs="Arial"/>
                <w:szCs w:val="24"/>
              </w:rPr>
            </w:pPr>
          </w:p>
          <w:p w:rsidR="00A71FB7" w:rsidRDefault="00D01062" w:rsidP="00A71FB7">
            <w:pPr>
              <w:rPr>
                <w:rFonts w:eastAsiaTheme="minorEastAsia" w:cs="Arial"/>
                <w:szCs w:val="24"/>
              </w:rPr>
            </w:pPr>
            <w:r w:rsidRPr="00D01062">
              <w:rPr>
                <w:rFonts w:eastAsiaTheme="minorEastAsia" w:cs="Arial"/>
                <w:szCs w:val="24"/>
                <w:u w:val="single"/>
              </w:rPr>
              <w:t>Trigger 4</w:t>
            </w:r>
            <w:r>
              <w:rPr>
                <w:rFonts w:eastAsiaTheme="minorEastAsia" w:cs="Arial"/>
                <w:szCs w:val="24"/>
              </w:rPr>
              <w:t xml:space="preserve">: </w:t>
            </w:r>
            <w:r w:rsidR="00A71FB7" w:rsidRPr="0047142C">
              <w:rPr>
                <w:rFonts w:eastAsiaTheme="minorEastAsia" w:cs="Arial"/>
                <w:szCs w:val="24"/>
              </w:rPr>
              <w:t xml:space="preserve">70% of patients commenced on a biologic without discussion at an MDT have their data entered in the Severe Asthma Registry </w:t>
            </w:r>
          </w:p>
          <w:p w:rsidR="00A71FB7" w:rsidRPr="00D01062" w:rsidRDefault="00A71FB7" w:rsidP="00D01062">
            <w:pPr>
              <w:pStyle w:val="ListParagraph"/>
              <w:numPr>
                <w:ilvl w:val="0"/>
                <w:numId w:val="25"/>
              </w:numPr>
              <w:rPr>
                <w:rFonts w:eastAsiaTheme="minorEastAsia" w:cs="Arial"/>
                <w:szCs w:val="24"/>
                <w:u w:val="single"/>
              </w:rPr>
            </w:pPr>
            <w:r w:rsidRPr="00D01062">
              <w:rPr>
                <w:rFonts w:eastAsiaTheme="minorEastAsia" w:cs="Arial"/>
                <w:szCs w:val="24"/>
              </w:rPr>
              <w:t>70% of the above patients are registered and data completed: 100% payment</w:t>
            </w:r>
          </w:p>
          <w:p w:rsidR="00A71FB7" w:rsidRPr="00D01062" w:rsidRDefault="00A71FB7" w:rsidP="00D01062">
            <w:pPr>
              <w:pStyle w:val="ListParagraph"/>
              <w:numPr>
                <w:ilvl w:val="0"/>
                <w:numId w:val="25"/>
              </w:numPr>
              <w:rPr>
                <w:rFonts w:eastAsiaTheme="minorEastAsia" w:cs="Arial"/>
                <w:szCs w:val="24"/>
                <w:u w:val="single"/>
              </w:rPr>
            </w:pPr>
            <w:r w:rsidRPr="00D01062">
              <w:rPr>
                <w:rFonts w:eastAsiaTheme="minorEastAsia" w:cs="Arial"/>
                <w:szCs w:val="24"/>
              </w:rPr>
              <w:t xml:space="preserve">60% </w:t>
            </w:r>
            <w:r>
              <w:t xml:space="preserve">of </w:t>
            </w:r>
            <w:r w:rsidRPr="00E63EAA">
              <w:t>the above patients are registered and data completed</w:t>
            </w:r>
            <w:r>
              <w:t xml:space="preserve">: </w:t>
            </w:r>
            <w:r w:rsidRPr="00D01062">
              <w:rPr>
                <w:rFonts w:eastAsiaTheme="minorEastAsia" w:cs="Arial"/>
                <w:szCs w:val="24"/>
              </w:rPr>
              <w:t>half payment.</w:t>
            </w:r>
          </w:p>
          <w:p w:rsidR="00A71FB7" w:rsidRPr="001200D4" w:rsidRDefault="00A71FB7" w:rsidP="00A71FB7">
            <w:pPr>
              <w:rPr>
                <w:rFonts w:eastAsiaTheme="minorEastAsia" w:cs="Arial"/>
                <w:szCs w:val="24"/>
              </w:rPr>
            </w:pPr>
          </w:p>
          <w:p w:rsidR="00A71FB7" w:rsidRPr="003A0C63" w:rsidRDefault="00A71FB7" w:rsidP="005931C4">
            <w:pPr>
              <w:rPr>
                <w:rFonts w:cs="Arial"/>
                <w:i/>
                <w:color w:val="FF0000"/>
                <w:szCs w:val="24"/>
              </w:rPr>
            </w:pPr>
          </w:p>
          <w:p w:rsidR="00512E30" w:rsidRPr="001F6AA3" w:rsidRDefault="00937BA6" w:rsidP="005931C4">
            <w:pPr>
              <w:rPr>
                <w:rFonts w:cs="Arial"/>
                <w:b/>
                <w:i/>
                <w:szCs w:val="24"/>
              </w:rPr>
            </w:pPr>
            <w:r>
              <w:rPr>
                <w:rFonts w:eastAsiaTheme="minorEastAsia" w:cs="Arial"/>
                <w:b/>
                <w:szCs w:val="24"/>
                <w:u w:val="single"/>
              </w:rPr>
              <w:t xml:space="preserve">All other </w:t>
            </w:r>
            <w:r w:rsidR="00A71FB7">
              <w:rPr>
                <w:rFonts w:eastAsiaTheme="minorEastAsia" w:cs="Arial"/>
                <w:b/>
                <w:szCs w:val="24"/>
                <w:u w:val="single"/>
              </w:rPr>
              <w:t>Triggers</w:t>
            </w:r>
            <w:r>
              <w:rPr>
                <w:rFonts w:eastAsiaTheme="minorEastAsia" w:cs="Arial"/>
                <w:b/>
                <w:szCs w:val="24"/>
                <w:u w:val="single"/>
              </w:rPr>
              <w:t xml:space="preserve">: </w:t>
            </w:r>
            <w:r w:rsidR="00A71FB7">
              <w:rPr>
                <w:rFonts w:eastAsiaTheme="minorEastAsia" w:cs="Arial"/>
                <w:b/>
                <w:szCs w:val="24"/>
                <w:u w:val="single"/>
              </w:rPr>
              <w:t xml:space="preserve"> </w:t>
            </w:r>
            <w:r w:rsidR="00512E30" w:rsidRPr="001F6AA3">
              <w:rPr>
                <w:rFonts w:cs="Arial"/>
                <w:b/>
                <w:szCs w:val="24"/>
              </w:rPr>
              <w:t>all-or-nothing</w:t>
            </w:r>
            <w:r w:rsidR="00FA65C2">
              <w:rPr>
                <w:rFonts w:cs="Arial"/>
                <w:b/>
                <w:szCs w:val="24"/>
              </w:rPr>
              <w:t>.</w:t>
            </w:r>
          </w:p>
          <w:p w:rsidR="00CF3963" w:rsidRDefault="00CF3963" w:rsidP="0084461B">
            <w:pPr>
              <w:rPr>
                <w:rFonts w:cs="Arial"/>
                <w:szCs w:val="24"/>
              </w:rPr>
            </w:pPr>
          </w:p>
          <w:p w:rsidR="00CF3963" w:rsidRPr="000412A1" w:rsidRDefault="00CF3963" w:rsidP="0084461B">
            <w:pPr>
              <w:rPr>
                <w:rFonts w:cs="Arial"/>
                <w:b/>
                <w:color w:val="000000"/>
                <w:szCs w:val="24"/>
              </w:rPr>
            </w:pPr>
          </w:p>
        </w:tc>
      </w:tr>
      <w:tr w:rsidR="00CF3963" w:rsidRPr="000412A1" w:rsidTr="00CF3963">
        <w:tc>
          <w:tcPr>
            <w:tcW w:w="5000" w:type="pct"/>
            <w:gridSpan w:val="3"/>
            <w:shd w:val="clear" w:color="auto" w:fill="auto"/>
          </w:tcPr>
          <w:p w:rsidR="00CF3963" w:rsidRDefault="00CF3963" w:rsidP="0084461B">
            <w:pPr>
              <w:rPr>
                <w:rFonts w:cs="Arial"/>
                <w:b/>
                <w:color w:val="000000"/>
                <w:szCs w:val="24"/>
                <w:u w:val="single"/>
              </w:rPr>
            </w:pPr>
            <w:r w:rsidRPr="00CF3963">
              <w:rPr>
                <w:rFonts w:cs="Arial"/>
                <w:b/>
                <w:color w:val="000000"/>
                <w:szCs w:val="24"/>
                <w:u w:val="single"/>
              </w:rPr>
              <w:lastRenderedPageBreak/>
              <w:t>Definitions</w:t>
            </w:r>
          </w:p>
          <w:p w:rsidR="00FA65C2" w:rsidRDefault="00FA65C2" w:rsidP="0084461B">
            <w:pPr>
              <w:rPr>
                <w:rFonts w:cs="Arial"/>
                <w:b/>
                <w:color w:val="000000"/>
                <w:szCs w:val="24"/>
                <w:u w:val="single"/>
              </w:rPr>
            </w:pPr>
          </w:p>
          <w:p w:rsidR="00A71FB7" w:rsidRPr="00AC5DD4" w:rsidRDefault="00A71FB7" w:rsidP="00A71FB7">
            <w:pPr>
              <w:pStyle w:val="ListParagraph"/>
              <w:numPr>
                <w:ilvl w:val="0"/>
                <w:numId w:val="14"/>
              </w:numPr>
              <w:rPr>
                <w:rFonts w:cs="Arial"/>
                <w:szCs w:val="24"/>
              </w:rPr>
            </w:pPr>
            <w:r w:rsidRPr="00AC5DD4">
              <w:rPr>
                <w:rFonts w:cs="Arial"/>
                <w:szCs w:val="24"/>
              </w:rPr>
              <w:t>A new patient is a patient referred into the Severe Asthma Centre</w:t>
            </w:r>
            <w:r>
              <w:rPr>
                <w:rFonts w:cs="Arial"/>
                <w:szCs w:val="24"/>
              </w:rPr>
              <w:t>.</w:t>
            </w:r>
          </w:p>
          <w:p w:rsidR="00A71FB7" w:rsidRPr="00AC5DD4" w:rsidRDefault="00A71FB7" w:rsidP="00A71FB7">
            <w:pPr>
              <w:pStyle w:val="ListParagraph"/>
              <w:numPr>
                <w:ilvl w:val="0"/>
                <w:numId w:val="14"/>
              </w:numPr>
              <w:rPr>
                <w:rFonts w:cs="Arial"/>
                <w:szCs w:val="24"/>
              </w:rPr>
            </w:pPr>
            <w:r w:rsidRPr="00AC5DD4">
              <w:rPr>
                <w:rFonts w:cs="Arial"/>
                <w:szCs w:val="24"/>
              </w:rPr>
              <w:t>Total new patients are the total new patients that have been referred into the Severe Asthma Centre in the financial year</w:t>
            </w:r>
            <w:r>
              <w:rPr>
                <w:rFonts w:cs="Arial"/>
                <w:szCs w:val="24"/>
              </w:rPr>
              <w:t>.</w:t>
            </w:r>
          </w:p>
          <w:p w:rsidR="00A71FB7" w:rsidRDefault="00A71FB7" w:rsidP="00A71FB7">
            <w:pPr>
              <w:pStyle w:val="ListParagraph"/>
              <w:numPr>
                <w:ilvl w:val="0"/>
                <w:numId w:val="14"/>
              </w:numPr>
              <w:rPr>
                <w:rFonts w:cs="Arial"/>
                <w:szCs w:val="24"/>
              </w:rPr>
            </w:pPr>
            <w:r>
              <w:rPr>
                <w:rFonts w:cs="Arial"/>
                <w:szCs w:val="24"/>
              </w:rPr>
              <w:lastRenderedPageBreak/>
              <w:t xml:space="preserve">A </w:t>
            </w:r>
            <w:r w:rsidRPr="00AC5DD4">
              <w:rPr>
                <w:rFonts w:cs="Arial"/>
                <w:szCs w:val="24"/>
              </w:rPr>
              <w:t>patient</w:t>
            </w:r>
            <w:r>
              <w:rPr>
                <w:rFonts w:cs="Arial"/>
                <w:szCs w:val="24"/>
              </w:rPr>
              <w:t xml:space="preserve"> who is </w:t>
            </w:r>
            <w:r w:rsidRPr="00AC5DD4">
              <w:rPr>
                <w:rFonts w:cs="Arial"/>
                <w:szCs w:val="24"/>
              </w:rPr>
              <w:t>on a biologic who ha</w:t>
            </w:r>
            <w:r>
              <w:rPr>
                <w:rFonts w:cs="Arial"/>
                <w:szCs w:val="24"/>
              </w:rPr>
              <w:t>s</w:t>
            </w:r>
            <w:r w:rsidRPr="00AC5DD4">
              <w:rPr>
                <w:rFonts w:cs="Arial"/>
                <w:szCs w:val="24"/>
              </w:rPr>
              <w:t xml:space="preserve"> not been discussed in an MDT </w:t>
            </w:r>
            <w:r>
              <w:rPr>
                <w:rFonts w:cs="Arial"/>
                <w:szCs w:val="24"/>
              </w:rPr>
              <w:t>is one that has been prescribed the biologic outside of a severe asthma centre or by an MDT that did not include participants from a severe asthma centre.</w:t>
            </w:r>
          </w:p>
          <w:p w:rsidR="00A71FB7" w:rsidRPr="003A0C63" w:rsidRDefault="00A71FB7" w:rsidP="0084461B">
            <w:pPr>
              <w:rPr>
                <w:rFonts w:cs="Arial"/>
                <w:b/>
                <w:color w:val="FF0000"/>
                <w:szCs w:val="24"/>
                <w:u w:val="single"/>
              </w:rPr>
            </w:pPr>
          </w:p>
          <w:p w:rsidR="00CF3963" w:rsidRPr="00CF3963" w:rsidRDefault="00CF3963" w:rsidP="0084461B">
            <w:pPr>
              <w:rPr>
                <w:rFonts w:eastAsiaTheme="minorEastAsia" w:cs="Arial"/>
                <w:i/>
                <w:szCs w:val="24"/>
                <w:u w:val="single"/>
              </w:rPr>
            </w:pPr>
          </w:p>
        </w:tc>
      </w:tr>
      <w:tr w:rsidR="00CF3963" w:rsidRPr="00CF3963" w:rsidTr="00CF3963">
        <w:tc>
          <w:tcPr>
            <w:tcW w:w="5000" w:type="pct"/>
            <w:gridSpan w:val="3"/>
            <w:shd w:val="clear" w:color="auto" w:fill="BFBFBF" w:themeFill="background1" w:themeFillShade="BF"/>
          </w:tcPr>
          <w:p w:rsidR="00CF3963" w:rsidRPr="00CF3963" w:rsidRDefault="00CF3963" w:rsidP="00A536ED">
            <w:pPr>
              <w:spacing w:before="40" w:after="40"/>
              <w:rPr>
                <w:rFonts w:cs="Arial"/>
                <w:b/>
                <w:color w:val="000000"/>
                <w:szCs w:val="24"/>
              </w:rPr>
            </w:pPr>
            <w:r w:rsidRPr="00CF3963">
              <w:rPr>
                <w:rFonts w:cs="Arial"/>
                <w:b/>
                <w:color w:val="000000"/>
                <w:szCs w:val="24"/>
              </w:rPr>
              <w:lastRenderedPageBreak/>
              <w:t>C5. Information Flows</w:t>
            </w:r>
            <w:r w:rsidR="00A536ED">
              <w:rPr>
                <w:rFonts w:cs="Arial"/>
                <w:b/>
                <w:color w:val="000000"/>
                <w:szCs w:val="24"/>
              </w:rPr>
              <w:t xml:space="preserve">: for benchmarking, for evaluation, and for reporting against the triggers. </w:t>
            </w:r>
          </w:p>
        </w:tc>
      </w:tr>
      <w:tr w:rsidR="00CF3963" w:rsidRPr="000412A1" w:rsidTr="00CF3963">
        <w:tc>
          <w:tcPr>
            <w:tcW w:w="5000" w:type="pct"/>
            <w:gridSpan w:val="3"/>
            <w:shd w:val="clear" w:color="auto" w:fill="auto"/>
          </w:tcPr>
          <w:p w:rsidR="005A29EB" w:rsidRPr="009E3B36" w:rsidRDefault="009E3B36" w:rsidP="003A0C63">
            <w:pPr>
              <w:spacing w:before="40" w:after="40"/>
              <w:rPr>
                <w:rFonts w:cs="Arial"/>
                <w:b/>
                <w:i/>
                <w:szCs w:val="24"/>
              </w:rPr>
            </w:pPr>
            <w:r w:rsidRPr="009E3B36">
              <w:rPr>
                <w:rFonts w:cs="Arial"/>
                <w:b/>
                <w:i/>
                <w:szCs w:val="24"/>
              </w:rPr>
              <w:t>NHS England</w:t>
            </w:r>
          </w:p>
          <w:p w:rsidR="00127E71" w:rsidRPr="00D01062" w:rsidRDefault="00127E71" w:rsidP="00127E71">
            <w:pPr>
              <w:pStyle w:val="ListParagraph"/>
              <w:numPr>
                <w:ilvl w:val="0"/>
                <w:numId w:val="26"/>
              </w:numPr>
              <w:spacing w:before="40" w:after="40"/>
              <w:rPr>
                <w:rFonts w:cs="Arial"/>
                <w:szCs w:val="24"/>
              </w:rPr>
            </w:pPr>
            <w:r>
              <w:rPr>
                <w:rFonts w:cs="Arial"/>
                <w:szCs w:val="24"/>
              </w:rPr>
              <w:t xml:space="preserve">Trigger 2. </w:t>
            </w:r>
            <w:proofErr w:type="spellStart"/>
            <w:r w:rsidRPr="00D01062">
              <w:rPr>
                <w:rFonts w:cs="Arial"/>
                <w:szCs w:val="24"/>
              </w:rPr>
              <w:t>Bluteq</w:t>
            </w:r>
            <w:proofErr w:type="spellEnd"/>
            <w:r w:rsidRPr="00D01062">
              <w:rPr>
                <w:rFonts w:cs="Arial"/>
                <w:szCs w:val="24"/>
              </w:rPr>
              <w:t xml:space="preserve"> high cost biologic forms quarterly report from </w:t>
            </w:r>
            <w:proofErr w:type="spellStart"/>
            <w:r w:rsidRPr="00D01062">
              <w:rPr>
                <w:rFonts w:cs="Arial"/>
                <w:szCs w:val="24"/>
              </w:rPr>
              <w:t>Bluteq</w:t>
            </w:r>
            <w:proofErr w:type="spellEnd"/>
            <w:r w:rsidRPr="00D01062">
              <w:rPr>
                <w:rFonts w:cs="Arial"/>
                <w:szCs w:val="24"/>
              </w:rPr>
              <w:t xml:space="preserve"> team </w:t>
            </w:r>
          </w:p>
          <w:p w:rsidR="009730C5" w:rsidRPr="00D01062" w:rsidRDefault="00127E71" w:rsidP="00D01062">
            <w:pPr>
              <w:pStyle w:val="ListParagraph"/>
              <w:numPr>
                <w:ilvl w:val="0"/>
                <w:numId w:val="26"/>
              </w:numPr>
              <w:spacing w:before="40" w:after="40"/>
              <w:rPr>
                <w:rFonts w:cs="Arial"/>
                <w:szCs w:val="24"/>
              </w:rPr>
            </w:pPr>
            <w:r>
              <w:rPr>
                <w:rFonts w:cs="Arial"/>
                <w:szCs w:val="24"/>
              </w:rPr>
              <w:t xml:space="preserve">Trigger 3. </w:t>
            </w:r>
            <w:r w:rsidR="009730C5" w:rsidRPr="00D01062">
              <w:rPr>
                <w:rFonts w:cs="Arial"/>
                <w:szCs w:val="24"/>
              </w:rPr>
              <w:t>Dashboard completion</w:t>
            </w:r>
            <w:r w:rsidR="00FA65C2" w:rsidRPr="00D01062">
              <w:rPr>
                <w:rFonts w:cs="Arial"/>
                <w:szCs w:val="24"/>
              </w:rPr>
              <w:t xml:space="preserve"> quarterly</w:t>
            </w:r>
          </w:p>
          <w:p w:rsidR="009E3B36" w:rsidRDefault="009E3B36" w:rsidP="003A0C63">
            <w:pPr>
              <w:spacing w:before="40" w:after="40"/>
              <w:rPr>
                <w:rFonts w:cs="Arial"/>
                <w:i/>
                <w:szCs w:val="24"/>
              </w:rPr>
            </w:pPr>
          </w:p>
          <w:p w:rsidR="009E3B36" w:rsidRPr="009E3B36" w:rsidRDefault="009E3B36" w:rsidP="003A0C63">
            <w:pPr>
              <w:spacing w:before="40" w:after="40"/>
              <w:rPr>
                <w:rFonts w:cs="Arial"/>
                <w:b/>
                <w:i/>
                <w:szCs w:val="24"/>
              </w:rPr>
            </w:pPr>
            <w:r w:rsidRPr="009E3B36">
              <w:rPr>
                <w:rFonts w:cs="Arial"/>
                <w:b/>
                <w:i/>
                <w:szCs w:val="24"/>
              </w:rPr>
              <w:t>Provider</w:t>
            </w:r>
          </w:p>
          <w:p w:rsidR="00FC4255" w:rsidRDefault="00FC4255" w:rsidP="00D01062">
            <w:pPr>
              <w:pStyle w:val="ListParagraph"/>
              <w:numPr>
                <w:ilvl w:val="0"/>
                <w:numId w:val="27"/>
              </w:numPr>
              <w:spacing w:before="40" w:after="40"/>
              <w:rPr>
                <w:rFonts w:cs="Arial"/>
                <w:szCs w:val="24"/>
              </w:rPr>
            </w:pPr>
            <w:r>
              <w:rPr>
                <w:rFonts w:cs="Arial"/>
                <w:szCs w:val="24"/>
              </w:rPr>
              <w:t>Trigger 1: Submission of report of MDT structure to commissioner</w:t>
            </w:r>
          </w:p>
          <w:p w:rsidR="00127E71" w:rsidRDefault="00127E71" w:rsidP="00D01062">
            <w:pPr>
              <w:pStyle w:val="ListParagraph"/>
              <w:numPr>
                <w:ilvl w:val="0"/>
                <w:numId w:val="27"/>
              </w:numPr>
              <w:spacing w:before="40" w:after="40"/>
              <w:rPr>
                <w:rFonts w:cs="Arial"/>
                <w:szCs w:val="24"/>
              </w:rPr>
            </w:pPr>
            <w:r>
              <w:rPr>
                <w:rFonts w:cs="Arial"/>
                <w:szCs w:val="24"/>
              </w:rPr>
              <w:t xml:space="preserve">Trigger 4: Submission of job plans for relevant job </w:t>
            </w:r>
            <w:r w:rsidR="0037381B">
              <w:rPr>
                <w:rFonts w:cs="Arial"/>
                <w:szCs w:val="24"/>
              </w:rPr>
              <w:t>to commissioner</w:t>
            </w:r>
          </w:p>
          <w:p w:rsidR="00FC4255" w:rsidRDefault="00FC4255" w:rsidP="00D01062">
            <w:pPr>
              <w:pStyle w:val="ListParagraph"/>
              <w:numPr>
                <w:ilvl w:val="0"/>
                <w:numId w:val="27"/>
              </w:numPr>
              <w:spacing w:before="40" w:after="40"/>
              <w:rPr>
                <w:rFonts w:cs="Arial"/>
                <w:szCs w:val="24"/>
              </w:rPr>
            </w:pPr>
            <w:r>
              <w:rPr>
                <w:rFonts w:cs="Arial"/>
                <w:szCs w:val="24"/>
              </w:rPr>
              <w:t>Trigger 5: Copy of reference cost submission to be sent to commissioner</w:t>
            </w:r>
          </w:p>
          <w:p w:rsidR="00FA65C2" w:rsidRPr="00D01062" w:rsidRDefault="00FA65C2" w:rsidP="00D01062">
            <w:pPr>
              <w:pStyle w:val="ListParagraph"/>
              <w:numPr>
                <w:ilvl w:val="0"/>
                <w:numId w:val="27"/>
              </w:numPr>
              <w:spacing w:before="40" w:after="40"/>
              <w:rPr>
                <w:rFonts w:cs="Arial"/>
                <w:szCs w:val="24"/>
              </w:rPr>
            </w:pPr>
            <w:r w:rsidRPr="00D01062">
              <w:rPr>
                <w:rFonts w:cs="Arial"/>
                <w:szCs w:val="24"/>
              </w:rPr>
              <w:t>Aggregate contract monitoring</w:t>
            </w:r>
            <w:r w:rsidR="005A29EB" w:rsidRPr="00D01062">
              <w:rPr>
                <w:rFonts w:cs="Arial"/>
                <w:szCs w:val="24"/>
              </w:rPr>
              <w:t xml:space="preserve"> monthly report</w:t>
            </w:r>
          </w:p>
          <w:p w:rsidR="009730C5" w:rsidRPr="00D01062" w:rsidRDefault="009730C5" w:rsidP="00D01062">
            <w:pPr>
              <w:pStyle w:val="ListParagraph"/>
              <w:numPr>
                <w:ilvl w:val="0"/>
                <w:numId w:val="27"/>
              </w:numPr>
              <w:spacing w:before="40" w:after="40"/>
              <w:rPr>
                <w:rFonts w:cs="Arial"/>
                <w:szCs w:val="24"/>
              </w:rPr>
            </w:pPr>
            <w:r w:rsidRPr="00D01062">
              <w:rPr>
                <w:rFonts w:cs="Arial"/>
                <w:szCs w:val="24"/>
              </w:rPr>
              <w:t>Severe Asthma Registry</w:t>
            </w:r>
            <w:r w:rsidR="00FA65C2" w:rsidRPr="00D01062">
              <w:rPr>
                <w:rFonts w:cs="Arial"/>
                <w:szCs w:val="24"/>
              </w:rPr>
              <w:t xml:space="preserve"> – </w:t>
            </w:r>
            <w:r w:rsidR="009E3B36" w:rsidRPr="00D01062">
              <w:rPr>
                <w:rFonts w:cs="Arial"/>
                <w:szCs w:val="24"/>
              </w:rPr>
              <w:t xml:space="preserve">evidence of </w:t>
            </w:r>
            <w:r w:rsidR="00FA65C2" w:rsidRPr="00D01062">
              <w:rPr>
                <w:rFonts w:cs="Arial"/>
                <w:szCs w:val="24"/>
              </w:rPr>
              <w:t xml:space="preserve">entry </w:t>
            </w:r>
            <w:r w:rsidR="009E3B36" w:rsidRPr="00D01062">
              <w:rPr>
                <w:rFonts w:cs="Arial"/>
                <w:szCs w:val="24"/>
              </w:rPr>
              <w:t xml:space="preserve">of patients </w:t>
            </w:r>
            <w:r w:rsidR="00FA65C2" w:rsidRPr="00D01062">
              <w:rPr>
                <w:rFonts w:cs="Arial"/>
                <w:szCs w:val="24"/>
              </w:rPr>
              <w:t>will need to be provided to DSCRO on a quarterly basis</w:t>
            </w:r>
            <w:r w:rsidR="005A29EB" w:rsidRPr="00D01062">
              <w:rPr>
                <w:rFonts w:cs="Arial"/>
                <w:szCs w:val="24"/>
              </w:rPr>
              <w:t xml:space="preserve"> </w:t>
            </w:r>
          </w:p>
          <w:p w:rsidR="00FA65C2" w:rsidRPr="00D01062" w:rsidRDefault="009E3B36" w:rsidP="00D01062">
            <w:pPr>
              <w:pStyle w:val="ListParagraph"/>
              <w:numPr>
                <w:ilvl w:val="0"/>
                <w:numId w:val="27"/>
              </w:numPr>
              <w:spacing w:before="40" w:after="40"/>
              <w:rPr>
                <w:rFonts w:cs="Arial"/>
                <w:szCs w:val="24"/>
              </w:rPr>
            </w:pPr>
            <w:r w:rsidRPr="00D01062">
              <w:rPr>
                <w:rFonts w:cs="Arial"/>
                <w:szCs w:val="24"/>
              </w:rPr>
              <w:t>I</w:t>
            </w:r>
            <w:r w:rsidR="00FA65C2" w:rsidRPr="00D01062">
              <w:rPr>
                <w:rFonts w:cs="Arial"/>
                <w:szCs w:val="24"/>
              </w:rPr>
              <w:t>nformation of new referrals received</w:t>
            </w:r>
          </w:p>
          <w:p w:rsidR="00FA65C2" w:rsidRDefault="00FA65C2" w:rsidP="003A0C63">
            <w:pPr>
              <w:spacing w:before="40" w:after="40"/>
              <w:rPr>
                <w:rFonts w:cs="Arial"/>
                <w:i/>
                <w:szCs w:val="24"/>
              </w:rPr>
            </w:pPr>
          </w:p>
          <w:p w:rsidR="009730C5" w:rsidRPr="00F42905" w:rsidRDefault="009730C5" w:rsidP="003A0C63">
            <w:pPr>
              <w:spacing w:before="40" w:after="40"/>
              <w:rPr>
                <w:rFonts w:cs="Arial"/>
                <w:i/>
                <w:szCs w:val="24"/>
              </w:rPr>
            </w:pPr>
          </w:p>
        </w:tc>
      </w:tr>
      <w:tr w:rsidR="009D54C2" w:rsidRPr="000412A1" w:rsidTr="009D54C2">
        <w:tc>
          <w:tcPr>
            <w:tcW w:w="5000" w:type="pct"/>
            <w:gridSpan w:val="3"/>
            <w:shd w:val="clear" w:color="auto" w:fill="D9D9D9" w:themeFill="background1" w:themeFillShade="D9"/>
          </w:tcPr>
          <w:p w:rsidR="009D54C2" w:rsidRPr="009D54C2" w:rsidRDefault="009D54C2" w:rsidP="003C0B72">
            <w:pPr>
              <w:rPr>
                <w:rFonts w:cs="Arial"/>
                <w:b/>
                <w:szCs w:val="24"/>
              </w:rPr>
            </w:pPr>
            <w:r w:rsidRPr="009D54C2">
              <w:rPr>
                <w:rFonts w:cs="Arial"/>
                <w:b/>
                <w:szCs w:val="24"/>
              </w:rPr>
              <w:t>Reporting of Achievement against Triggers:</w:t>
            </w:r>
          </w:p>
        </w:tc>
      </w:tr>
      <w:tr w:rsidR="009D54C2" w:rsidRPr="000412A1" w:rsidTr="00CF3963">
        <w:tc>
          <w:tcPr>
            <w:tcW w:w="5000" w:type="pct"/>
            <w:gridSpan w:val="3"/>
            <w:shd w:val="clear" w:color="auto" w:fill="auto"/>
          </w:tcPr>
          <w:p w:rsidR="009D54C2" w:rsidRDefault="009D54C2" w:rsidP="0084461B">
            <w:pPr>
              <w:rPr>
                <w:rFonts w:eastAsiaTheme="minorEastAsia" w:cs="Arial"/>
                <w:b/>
                <w:szCs w:val="24"/>
              </w:rPr>
            </w:pPr>
          </w:p>
          <w:p w:rsidR="005A29EB" w:rsidRPr="00D01062" w:rsidRDefault="005A29EB" w:rsidP="0084461B">
            <w:pPr>
              <w:rPr>
                <w:rFonts w:eastAsiaTheme="minorEastAsia" w:cs="Arial"/>
                <w:szCs w:val="24"/>
              </w:rPr>
            </w:pPr>
            <w:r w:rsidRPr="00D01062">
              <w:rPr>
                <w:rFonts w:eastAsiaTheme="minorEastAsia" w:cs="Arial"/>
                <w:szCs w:val="24"/>
              </w:rPr>
              <w:t>As above</w:t>
            </w:r>
          </w:p>
        </w:tc>
      </w:tr>
      <w:tr w:rsidR="00CF3963" w:rsidRPr="000412A1" w:rsidTr="009D54C2">
        <w:tc>
          <w:tcPr>
            <w:tcW w:w="5000" w:type="pct"/>
            <w:gridSpan w:val="3"/>
            <w:shd w:val="clear" w:color="auto" w:fill="D9D9D9" w:themeFill="background1" w:themeFillShade="D9"/>
          </w:tcPr>
          <w:p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rsidTr="00CF3963">
        <w:tc>
          <w:tcPr>
            <w:tcW w:w="5000" w:type="pct"/>
            <w:gridSpan w:val="3"/>
          </w:tcPr>
          <w:p w:rsidR="009D54C2" w:rsidRPr="00D01062" w:rsidRDefault="00D01062" w:rsidP="00CF3963">
            <w:pPr>
              <w:spacing w:before="40" w:after="40"/>
              <w:rPr>
                <w:rFonts w:cs="Arial"/>
                <w:szCs w:val="24"/>
              </w:rPr>
            </w:pPr>
            <w:r>
              <w:rPr>
                <w:rFonts w:cs="Arial"/>
                <w:szCs w:val="24"/>
              </w:rPr>
              <w:t>To</w:t>
            </w:r>
            <w:r w:rsidR="005A29EB" w:rsidRPr="00D01062">
              <w:rPr>
                <w:rFonts w:cs="Arial"/>
                <w:szCs w:val="24"/>
              </w:rPr>
              <w:t xml:space="preserve"> be obtained from normal monitoring and Severe Asthma Registry reports</w:t>
            </w:r>
          </w:p>
          <w:p w:rsidR="005A29EB" w:rsidRPr="005A29EB" w:rsidRDefault="005A29EB" w:rsidP="00CF3963">
            <w:pPr>
              <w:spacing w:before="40" w:after="40"/>
              <w:rPr>
                <w:rFonts w:cs="Arial"/>
                <w:i/>
                <w:szCs w:val="24"/>
              </w:rPr>
            </w:pPr>
          </w:p>
        </w:tc>
      </w:tr>
      <w:tr w:rsidR="00CF3963" w:rsidRPr="000412A1" w:rsidTr="009D54C2">
        <w:tc>
          <w:tcPr>
            <w:tcW w:w="5000" w:type="pct"/>
            <w:gridSpan w:val="3"/>
            <w:shd w:val="clear" w:color="auto" w:fill="D9D9D9" w:themeFill="background1" w:themeFillShade="D9"/>
          </w:tcPr>
          <w:p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rsidTr="00CF3963">
        <w:tc>
          <w:tcPr>
            <w:tcW w:w="5000" w:type="pct"/>
            <w:gridSpan w:val="3"/>
          </w:tcPr>
          <w:p w:rsidR="009D54C2" w:rsidRPr="00D01062" w:rsidRDefault="005A29EB" w:rsidP="0084461B">
            <w:pPr>
              <w:rPr>
                <w:rFonts w:cs="Arial"/>
                <w:color w:val="000000"/>
                <w:szCs w:val="24"/>
              </w:rPr>
            </w:pPr>
            <w:r w:rsidRPr="00D01062">
              <w:rPr>
                <w:rFonts w:cs="Arial"/>
                <w:color w:val="000000"/>
                <w:szCs w:val="24"/>
              </w:rPr>
              <w:t>Covered under existing arrangements</w:t>
            </w:r>
          </w:p>
          <w:p w:rsidR="005A29EB" w:rsidRPr="005A29EB" w:rsidRDefault="005A29EB" w:rsidP="0084461B">
            <w:pPr>
              <w:rPr>
                <w:rFonts w:cs="Arial"/>
                <w:i/>
                <w:color w:val="000000"/>
                <w:szCs w:val="24"/>
              </w:rPr>
            </w:pPr>
          </w:p>
        </w:tc>
      </w:tr>
      <w:tr w:rsidR="00CF3963" w:rsidRPr="000412A1" w:rsidTr="009D54C2">
        <w:tc>
          <w:tcPr>
            <w:tcW w:w="5000" w:type="pct"/>
            <w:gridSpan w:val="3"/>
            <w:shd w:val="clear" w:color="auto" w:fill="D9D9D9" w:themeFill="background1" w:themeFillShade="D9"/>
          </w:tcPr>
          <w:p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rsidTr="00CF3963">
        <w:tc>
          <w:tcPr>
            <w:tcW w:w="5000" w:type="pct"/>
            <w:gridSpan w:val="3"/>
          </w:tcPr>
          <w:p w:rsidR="009D54C2" w:rsidRPr="00D01062" w:rsidRDefault="005A29EB" w:rsidP="0084461B">
            <w:pPr>
              <w:rPr>
                <w:rFonts w:cs="Arial"/>
                <w:color w:val="000000"/>
                <w:szCs w:val="24"/>
              </w:rPr>
            </w:pPr>
            <w:r w:rsidRPr="00D01062">
              <w:rPr>
                <w:rFonts w:cs="Arial"/>
                <w:color w:val="000000"/>
                <w:szCs w:val="24"/>
              </w:rPr>
              <w:t xml:space="preserve">Local </w:t>
            </w:r>
          </w:p>
          <w:p w:rsidR="005A29EB" w:rsidRPr="005A29EB" w:rsidRDefault="005A29EB" w:rsidP="0084461B">
            <w:pPr>
              <w:rPr>
                <w:rFonts w:cs="Arial"/>
                <w:i/>
                <w:color w:val="000000"/>
                <w:szCs w:val="24"/>
              </w:rPr>
            </w:pPr>
          </w:p>
        </w:tc>
      </w:tr>
      <w:tr w:rsidR="00CF3963" w:rsidRPr="000412A1" w:rsidTr="009D54C2">
        <w:tc>
          <w:tcPr>
            <w:tcW w:w="5000" w:type="pct"/>
            <w:gridSpan w:val="3"/>
            <w:shd w:val="clear" w:color="auto" w:fill="A6A6A6" w:themeFill="background1" w:themeFillShade="A6"/>
          </w:tcPr>
          <w:p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rsidR="00CF3963" w:rsidRPr="000412A1" w:rsidRDefault="00CF3963" w:rsidP="0084461B">
            <w:pPr>
              <w:rPr>
                <w:rFonts w:cs="Arial"/>
                <w:color w:val="000000"/>
                <w:szCs w:val="24"/>
              </w:rPr>
            </w:pPr>
          </w:p>
        </w:tc>
      </w:tr>
      <w:tr w:rsidR="00970018" w:rsidRPr="000412A1" w:rsidTr="00CF3963">
        <w:tc>
          <w:tcPr>
            <w:tcW w:w="5000" w:type="pct"/>
            <w:gridSpan w:val="3"/>
          </w:tcPr>
          <w:p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rsidR="005A29EB" w:rsidRDefault="005A29EB" w:rsidP="00970018">
            <w:pPr>
              <w:rPr>
                <w:rFonts w:cs="Arial"/>
                <w:b/>
                <w:szCs w:val="24"/>
              </w:rPr>
            </w:pPr>
          </w:p>
          <w:p w:rsidR="005A29EB" w:rsidRPr="00D01062" w:rsidRDefault="005A29EB" w:rsidP="00D01062">
            <w:pPr>
              <w:pStyle w:val="ListParagraph"/>
              <w:numPr>
                <w:ilvl w:val="0"/>
                <w:numId w:val="28"/>
              </w:numPr>
              <w:rPr>
                <w:rFonts w:cs="Arial"/>
                <w:szCs w:val="24"/>
              </w:rPr>
            </w:pPr>
            <w:r w:rsidRPr="00D01062">
              <w:rPr>
                <w:rFonts w:cs="Arial"/>
                <w:szCs w:val="24"/>
              </w:rPr>
              <w:t>Severe Asthma Commissioning Toolkit</w:t>
            </w:r>
          </w:p>
          <w:p w:rsidR="005A29EB" w:rsidRPr="00D01062" w:rsidRDefault="005A29EB" w:rsidP="00D01062">
            <w:pPr>
              <w:pStyle w:val="ListParagraph"/>
              <w:numPr>
                <w:ilvl w:val="0"/>
                <w:numId w:val="28"/>
              </w:numPr>
              <w:rPr>
                <w:rFonts w:cs="Arial"/>
                <w:szCs w:val="24"/>
              </w:rPr>
            </w:pPr>
            <w:r w:rsidRPr="00D01062">
              <w:rPr>
                <w:rFonts w:cs="Arial"/>
                <w:szCs w:val="24"/>
              </w:rPr>
              <w:t xml:space="preserve">Severe Asthma Service Specification </w:t>
            </w:r>
          </w:p>
          <w:p w:rsidR="005A29EB" w:rsidRPr="00D01062" w:rsidRDefault="005A29EB" w:rsidP="00D01062">
            <w:pPr>
              <w:pStyle w:val="ListParagraph"/>
              <w:numPr>
                <w:ilvl w:val="0"/>
                <w:numId w:val="28"/>
              </w:numPr>
              <w:rPr>
                <w:rFonts w:cs="Arial"/>
                <w:szCs w:val="24"/>
              </w:rPr>
            </w:pPr>
            <w:r w:rsidRPr="00D01062">
              <w:rPr>
                <w:rFonts w:cs="Arial"/>
                <w:szCs w:val="24"/>
              </w:rPr>
              <w:t>Severe Asthma Improving Value Scheme 10041713IM</w:t>
            </w:r>
          </w:p>
          <w:p w:rsidR="00970018" w:rsidRDefault="00970018" w:rsidP="00970018">
            <w:pPr>
              <w:rPr>
                <w:rFonts w:cs="Arial"/>
                <w:b/>
                <w:szCs w:val="24"/>
              </w:rPr>
            </w:pPr>
          </w:p>
        </w:tc>
      </w:tr>
    </w:tbl>
    <w:p w:rsidR="006B2327" w:rsidRDefault="006B2327" w:rsidP="00154269">
      <w:pPr>
        <w:rPr>
          <w:rFonts w:cs="Arial"/>
          <w:b/>
          <w:szCs w:val="24"/>
        </w:rPr>
      </w:pPr>
    </w:p>
    <w:p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rsidTr="00234135">
        <w:tc>
          <w:tcPr>
            <w:tcW w:w="5000" w:type="pct"/>
            <w:gridSpan w:val="2"/>
            <w:shd w:val="clear" w:color="auto" w:fill="BFBFBF" w:themeFill="background1" w:themeFillShade="BF"/>
          </w:tcPr>
          <w:p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rsidTr="001F6AA3">
        <w:tc>
          <w:tcPr>
            <w:tcW w:w="5000" w:type="pct"/>
            <w:gridSpan w:val="2"/>
            <w:shd w:val="clear" w:color="auto" w:fill="D9D9D9" w:themeFill="background1" w:themeFillShade="D9"/>
          </w:tcPr>
          <w:p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rsidTr="00234135">
        <w:tc>
          <w:tcPr>
            <w:tcW w:w="5000" w:type="pct"/>
            <w:gridSpan w:val="2"/>
            <w:shd w:val="clear" w:color="auto" w:fill="auto"/>
          </w:tcPr>
          <w:p w:rsidR="0026417D" w:rsidRPr="0026417D" w:rsidRDefault="0026417D" w:rsidP="0026417D">
            <w:pPr>
              <w:rPr>
                <w:rFonts w:cs="Arial"/>
                <w:b/>
                <w:color w:val="000000"/>
                <w:szCs w:val="24"/>
                <w:u w:val="single"/>
              </w:rPr>
            </w:pPr>
            <w:r w:rsidRPr="0026417D">
              <w:rPr>
                <w:rFonts w:cs="Arial"/>
                <w:b/>
                <w:color w:val="000000"/>
                <w:szCs w:val="24"/>
                <w:u w:val="single"/>
              </w:rPr>
              <w:lastRenderedPageBreak/>
              <w:t>Evidence Supporting Intervention Sought</w:t>
            </w:r>
          </w:p>
          <w:p w:rsidR="0026417D" w:rsidRDefault="0026417D" w:rsidP="0026417D">
            <w:pPr>
              <w:rPr>
                <w:rFonts w:cs="Arial"/>
                <w:b/>
                <w:i/>
                <w:szCs w:val="24"/>
              </w:rPr>
            </w:pPr>
          </w:p>
          <w:p w:rsidR="00F57FBA" w:rsidRDefault="00F57FBA" w:rsidP="00F57FBA">
            <w:pPr>
              <w:rPr>
                <w:rFonts w:cs="Arial"/>
                <w:szCs w:val="24"/>
              </w:rPr>
            </w:pPr>
            <w:r>
              <w:rPr>
                <w:rFonts w:cs="Arial"/>
                <w:szCs w:val="24"/>
              </w:rPr>
              <w:t>There is currently significant geographical variation in the prescribing and management of patients with severe asthma. Through this scheme the variation will be lessened as the development of severe asthma networks means that all services will rapidly mature to the performance of the best. Patient outcomes will be improved and will be able to be evidenced by the National Asthma Audit and the UK Severe Asthma Registry.</w:t>
            </w:r>
          </w:p>
          <w:p w:rsidR="00F57FBA" w:rsidRDefault="00F57FBA" w:rsidP="00F57FBA">
            <w:pPr>
              <w:rPr>
                <w:rFonts w:cs="Arial"/>
                <w:szCs w:val="24"/>
              </w:rPr>
            </w:pPr>
          </w:p>
          <w:p w:rsidR="00F57FBA" w:rsidRDefault="00F57FBA" w:rsidP="00F57FBA">
            <w:pPr>
              <w:rPr>
                <w:rFonts w:cs="Arial"/>
                <w:szCs w:val="24"/>
              </w:rPr>
            </w:pPr>
            <w:r>
              <w:rPr>
                <w:rFonts w:cs="Arial"/>
                <w:szCs w:val="24"/>
              </w:rPr>
              <w:t xml:space="preserve">Currently patients in many areas of the country are receiving high cost biologics for severe asthma without the oversight of a specialist severe asthma centre. By developing severe asthma </w:t>
            </w:r>
            <w:proofErr w:type="gramStart"/>
            <w:r>
              <w:rPr>
                <w:rFonts w:cs="Arial"/>
                <w:szCs w:val="24"/>
              </w:rPr>
              <w:t>networks</w:t>
            </w:r>
            <w:proofErr w:type="gramEnd"/>
            <w:r>
              <w:rPr>
                <w:rFonts w:cs="Arial"/>
                <w:szCs w:val="24"/>
              </w:rPr>
              <w:t xml:space="preserve"> we estimate that approximately </w:t>
            </w:r>
            <w:r w:rsidR="00D22F49">
              <w:rPr>
                <w:rFonts w:cs="Arial"/>
                <w:szCs w:val="24"/>
              </w:rPr>
              <w:t>one third</w:t>
            </w:r>
            <w:r>
              <w:rPr>
                <w:rFonts w:cs="Arial"/>
                <w:szCs w:val="24"/>
              </w:rPr>
              <w:t xml:space="preserve"> of current Omalizumab spend could be </w:t>
            </w:r>
            <w:r w:rsidR="00D22F49">
              <w:rPr>
                <w:rFonts w:cs="Arial"/>
                <w:szCs w:val="24"/>
              </w:rPr>
              <w:t>avoided</w:t>
            </w:r>
            <w:r>
              <w:rPr>
                <w:rFonts w:cs="Arial"/>
                <w:szCs w:val="24"/>
              </w:rPr>
              <w:t>, as has happened in the areas of the country with the most developed networks. There is published evidence from centres in Manchester and Southampton to support this saving. This will result in patients receiving the correct treatment at the correct time with commissioner assurance.</w:t>
            </w:r>
          </w:p>
          <w:p w:rsidR="00D22F49" w:rsidRDefault="00D22F49" w:rsidP="00F57FBA">
            <w:pPr>
              <w:rPr>
                <w:rFonts w:cs="Arial"/>
                <w:szCs w:val="24"/>
              </w:rPr>
            </w:pPr>
          </w:p>
          <w:p w:rsidR="00F57FBA" w:rsidRDefault="00F57FBA" w:rsidP="00F57FBA">
            <w:pPr>
              <w:rPr>
                <w:rFonts w:cs="Arial"/>
                <w:szCs w:val="24"/>
              </w:rPr>
            </w:pPr>
            <w:r>
              <w:rPr>
                <w:rFonts w:cs="Arial"/>
                <w:szCs w:val="24"/>
              </w:rPr>
              <w:t xml:space="preserve">Upskilling of general respiratory clinicians in the linked district general hospitals will also lead to better management of patients with both moderate and severe asthma. </w:t>
            </w:r>
          </w:p>
          <w:p w:rsidR="00D22F49" w:rsidRDefault="00D22F49" w:rsidP="00F57FBA">
            <w:pPr>
              <w:spacing w:before="40" w:after="40"/>
              <w:rPr>
                <w:rFonts w:cs="Arial"/>
                <w:szCs w:val="24"/>
              </w:rPr>
            </w:pPr>
          </w:p>
          <w:p w:rsidR="00234135" w:rsidRDefault="00F57FBA" w:rsidP="00F57FBA">
            <w:pPr>
              <w:spacing w:before="40" w:after="40"/>
              <w:rPr>
                <w:rFonts w:cs="Arial"/>
                <w:szCs w:val="24"/>
              </w:rPr>
            </w:pPr>
            <w:r>
              <w:rPr>
                <w:rFonts w:cs="Arial"/>
                <w:szCs w:val="24"/>
              </w:rPr>
              <w:t xml:space="preserve">Patient travel can also be minimised </w:t>
            </w:r>
            <w:proofErr w:type="gramStart"/>
            <w:r>
              <w:rPr>
                <w:rFonts w:cs="Arial"/>
                <w:szCs w:val="24"/>
              </w:rPr>
              <w:t>by the use of</w:t>
            </w:r>
            <w:proofErr w:type="gramEnd"/>
            <w:r>
              <w:rPr>
                <w:rFonts w:cs="Arial"/>
                <w:szCs w:val="24"/>
              </w:rPr>
              <w:t xml:space="preserve"> virtual MDTs to discuss case management.</w:t>
            </w:r>
          </w:p>
          <w:p w:rsidR="005A29EB" w:rsidRPr="000E33C9" w:rsidRDefault="005A29EB" w:rsidP="00F57FBA">
            <w:pPr>
              <w:spacing w:before="40" w:after="40"/>
              <w:rPr>
                <w:rFonts w:cs="Arial"/>
                <w:b/>
                <w:i/>
                <w:color w:val="000000"/>
                <w:szCs w:val="24"/>
              </w:rPr>
            </w:pPr>
          </w:p>
        </w:tc>
      </w:tr>
      <w:tr w:rsidR="0026417D" w:rsidRPr="000412A1" w:rsidTr="00234135">
        <w:tc>
          <w:tcPr>
            <w:tcW w:w="5000" w:type="pct"/>
            <w:gridSpan w:val="2"/>
            <w:shd w:val="clear" w:color="auto" w:fill="auto"/>
          </w:tcPr>
          <w:p w:rsidR="0026417D" w:rsidRPr="0026417D" w:rsidRDefault="0026417D" w:rsidP="0026417D">
            <w:pPr>
              <w:rPr>
                <w:rFonts w:cs="Arial"/>
                <w:b/>
                <w:color w:val="000000"/>
                <w:szCs w:val="24"/>
                <w:u w:val="single"/>
              </w:rPr>
            </w:pPr>
            <w:r w:rsidRPr="0026417D">
              <w:rPr>
                <w:rFonts w:cs="Arial"/>
                <w:b/>
                <w:color w:val="000000"/>
                <w:szCs w:val="24"/>
                <w:u w:val="single"/>
              </w:rPr>
              <w:t>Rationale of Use of CQUIN</w:t>
            </w:r>
            <w:r>
              <w:rPr>
                <w:rFonts w:cs="Arial"/>
                <w:b/>
                <w:color w:val="000000"/>
                <w:szCs w:val="24"/>
                <w:u w:val="single"/>
              </w:rPr>
              <w:t xml:space="preserve"> incentive</w:t>
            </w:r>
          </w:p>
          <w:p w:rsid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rsidR="005A29EB" w:rsidRDefault="005A29EB" w:rsidP="00F726C2">
            <w:pPr>
              <w:spacing w:before="40" w:after="40"/>
              <w:rPr>
                <w:rFonts w:cs="Arial"/>
                <w:b/>
                <w:color w:val="000000"/>
                <w:szCs w:val="24"/>
              </w:rPr>
            </w:pPr>
          </w:p>
          <w:p w:rsidR="005A29EB" w:rsidRDefault="005A29EB" w:rsidP="00D22F49">
            <w:pPr>
              <w:rPr>
                <w:rFonts w:cs="Arial"/>
                <w:szCs w:val="24"/>
              </w:rPr>
            </w:pPr>
            <w:r>
              <w:rPr>
                <w:rFonts w:cs="Arial"/>
                <w:szCs w:val="24"/>
              </w:rPr>
              <w:t>There is currently no assurance process in place to ensure that the right patients are receiving the right high cost biologic medications in severe asthma. Not a</w:t>
            </w:r>
            <w:r w:rsidRPr="00637BBA">
              <w:rPr>
                <w:rFonts w:cs="Arial"/>
                <w:szCs w:val="24"/>
              </w:rPr>
              <w:t xml:space="preserve">ll patients with severe asthma </w:t>
            </w:r>
            <w:r>
              <w:rPr>
                <w:rFonts w:cs="Arial"/>
                <w:szCs w:val="24"/>
              </w:rPr>
              <w:t xml:space="preserve">who are </w:t>
            </w:r>
            <w:r w:rsidRPr="00637BBA">
              <w:rPr>
                <w:rFonts w:cs="Arial"/>
                <w:szCs w:val="24"/>
              </w:rPr>
              <w:t xml:space="preserve">receiving biologics </w:t>
            </w:r>
            <w:r>
              <w:rPr>
                <w:rFonts w:cs="Arial"/>
                <w:szCs w:val="24"/>
              </w:rPr>
              <w:t>are currently</w:t>
            </w:r>
            <w:r w:rsidRPr="00637BBA">
              <w:rPr>
                <w:rFonts w:cs="Arial"/>
                <w:szCs w:val="24"/>
              </w:rPr>
              <w:t xml:space="preserve"> cared for under the auspices of severe asthma networks</w:t>
            </w:r>
            <w:r>
              <w:rPr>
                <w:rFonts w:cs="Arial"/>
                <w:szCs w:val="24"/>
              </w:rPr>
              <w:t xml:space="preserve">. </w:t>
            </w:r>
          </w:p>
          <w:p w:rsidR="0026417D" w:rsidRDefault="0026417D" w:rsidP="005A29EB">
            <w:pPr>
              <w:spacing w:before="40" w:after="40"/>
              <w:rPr>
                <w:rFonts w:cs="Arial"/>
                <w:i/>
                <w:color w:val="000000"/>
                <w:szCs w:val="24"/>
              </w:rPr>
            </w:pPr>
          </w:p>
        </w:tc>
      </w:tr>
      <w:tr w:rsidR="00C25612" w:rsidRPr="000412A1" w:rsidTr="00C25612">
        <w:tc>
          <w:tcPr>
            <w:tcW w:w="5000" w:type="pct"/>
            <w:gridSpan w:val="2"/>
            <w:shd w:val="clear" w:color="auto" w:fill="D9D9D9" w:themeFill="background1" w:themeFillShade="D9"/>
          </w:tcPr>
          <w:p w:rsidR="00C25612" w:rsidRPr="0026417D" w:rsidRDefault="00C25612" w:rsidP="001F6AA3">
            <w:pPr>
              <w:rPr>
                <w:rFonts w:cs="Arial"/>
                <w:b/>
                <w:color w:val="000000"/>
                <w:szCs w:val="24"/>
                <w:u w:val="single"/>
              </w:rPr>
            </w:pPr>
            <w:r>
              <w:rPr>
                <w:rFonts w:cs="Arial"/>
                <w:b/>
                <w:szCs w:val="24"/>
              </w:rPr>
              <w:t xml:space="preserve">D2. </w:t>
            </w:r>
            <w:r w:rsidR="001F421F">
              <w:rPr>
                <w:rFonts w:cs="Arial"/>
                <w:b/>
                <w:szCs w:val="24"/>
              </w:rPr>
              <w:t>Indicator</w:t>
            </w:r>
            <w:r>
              <w:rPr>
                <w:rFonts w:cs="Arial"/>
                <w:b/>
                <w:szCs w:val="24"/>
              </w:rPr>
              <w:t xml:space="preserve"> Duration and Exit Route</w:t>
            </w:r>
          </w:p>
        </w:tc>
      </w:tr>
      <w:tr w:rsidR="00C25612" w:rsidRPr="000412A1" w:rsidTr="00234135">
        <w:tc>
          <w:tcPr>
            <w:tcW w:w="5000" w:type="pct"/>
            <w:gridSpan w:val="2"/>
            <w:shd w:val="clear" w:color="auto" w:fill="auto"/>
          </w:tcPr>
          <w:p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rsidR="00D22F49" w:rsidRDefault="00D22F49" w:rsidP="001F6AA3">
            <w:pPr>
              <w:spacing w:before="40" w:after="40"/>
              <w:rPr>
                <w:rFonts w:cs="Arial"/>
                <w:color w:val="000000"/>
                <w:szCs w:val="24"/>
              </w:rPr>
            </w:pPr>
          </w:p>
          <w:p w:rsidR="00C25612" w:rsidRPr="00D22F49" w:rsidRDefault="00F57FBA" w:rsidP="001F6AA3">
            <w:pPr>
              <w:spacing w:before="40" w:after="40"/>
              <w:rPr>
                <w:rFonts w:cs="Arial"/>
                <w:color w:val="000000"/>
                <w:szCs w:val="24"/>
              </w:rPr>
            </w:pPr>
            <w:r w:rsidRPr="00D22F49">
              <w:rPr>
                <w:rFonts w:cs="Arial"/>
                <w:color w:val="000000"/>
                <w:szCs w:val="24"/>
              </w:rPr>
              <w:t xml:space="preserve">Three years will allow the embedding of a network approach to delivering severe asthma care across the country. </w:t>
            </w:r>
            <w:r w:rsidR="001126E3" w:rsidRPr="00D22F49">
              <w:rPr>
                <w:rFonts w:cs="Arial"/>
                <w:color w:val="000000"/>
                <w:szCs w:val="24"/>
              </w:rPr>
              <w:t xml:space="preserve">This will enable costs to be incorporated into reference costs and thus feed through into tariff by the end of the CQIN. </w:t>
            </w:r>
          </w:p>
          <w:p w:rsidR="00C25612" w:rsidRPr="0026417D" w:rsidRDefault="00C25612" w:rsidP="0026417D">
            <w:pPr>
              <w:rPr>
                <w:rFonts w:cs="Arial"/>
                <w:b/>
                <w:color w:val="000000"/>
                <w:szCs w:val="24"/>
                <w:u w:val="single"/>
              </w:rPr>
            </w:pPr>
          </w:p>
        </w:tc>
      </w:tr>
      <w:tr w:rsidR="00234135" w:rsidRPr="00BB243E" w:rsidTr="002C4571">
        <w:tc>
          <w:tcPr>
            <w:tcW w:w="5000" w:type="pct"/>
            <w:gridSpan w:val="2"/>
            <w:shd w:val="clear" w:color="auto" w:fill="D9D9D9" w:themeFill="background1" w:themeFillShade="D9"/>
          </w:tcPr>
          <w:p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rsidTr="00234135">
        <w:tc>
          <w:tcPr>
            <w:tcW w:w="5000" w:type="pct"/>
            <w:gridSpan w:val="2"/>
          </w:tcPr>
          <w:p w:rsidR="00234135"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rsidR="001126E3" w:rsidRDefault="001126E3" w:rsidP="0084461B">
            <w:pPr>
              <w:rPr>
                <w:rFonts w:cs="Arial"/>
                <w:b/>
                <w:szCs w:val="24"/>
              </w:rPr>
            </w:pPr>
          </w:p>
          <w:p w:rsidR="00243133" w:rsidRDefault="00243133" w:rsidP="00243133">
            <w:pPr>
              <w:rPr>
                <w:rFonts w:eastAsiaTheme="minorEastAsia" w:cs="Arial"/>
                <w:b/>
                <w:szCs w:val="24"/>
              </w:rPr>
            </w:pPr>
            <w:r>
              <w:rPr>
                <w:rFonts w:eastAsiaTheme="minorEastAsia" w:cs="Arial"/>
                <w:b/>
                <w:szCs w:val="24"/>
              </w:rPr>
              <w:t>Cost estimates</w:t>
            </w:r>
          </w:p>
          <w:p w:rsidR="00243133" w:rsidRPr="001F6AA3" w:rsidRDefault="00243133" w:rsidP="00243133">
            <w:pPr>
              <w:rPr>
                <w:rFonts w:eastAsiaTheme="minorEastAsia" w:cs="Arial"/>
                <w:b/>
                <w:szCs w:val="24"/>
              </w:rPr>
            </w:pPr>
          </w:p>
          <w:p w:rsidR="00024901" w:rsidRDefault="00024901" w:rsidP="001126E3">
            <w:pPr>
              <w:rPr>
                <w:rFonts w:cs="Arial"/>
                <w:szCs w:val="24"/>
              </w:rPr>
            </w:pPr>
          </w:p>
          <w:tbl>
            <w:tblPr>
              <w:tblW w:w="6960" w:type="dxa"/>
              <w:tblLook w:val="04A0" w:firstRow="1" w:lastRow="0" w:firstColumn="1" w:lastColumn="0" w:noHBand="0" w:noVBand="1"/>
            </w:tblPr>
            <w:tblGrid>
              <w:gridCol w:w="2920"/>
              <w:gridCol w:w="1620"/>
              <w:gridCol w:w="1440"/>
              <w:gridCol w:w="980"/>
            </w:tblGrid>
            <w:tr w:rsidR="00024901" w:rsidRPr="00024901" w:rsidTr="00024901">
              <w:trPr>
                <w:trHeight w:val="288"/>
              </w:trPr>
              <w:tc>
                <w:tcPr>
                  <w:tcW w:w="2920" w:type="dxa"/>
                  <w:tcBorders>
                    <w:top w:val="nil"/>
                    <w:left w:val="nil"/>
                    <w:bottom w:val="nil"/>
                    <w:right w:val="nil"/>
                  </w:tcBorders>
                  <w:shd w:val="clear" w:color="auto" w:fill="auto"/>
                  <w:noWrap/>
                  <w:vAlign w:val="bottom"/>
                  <w:hideMark/>
                </w:tcPr>
                <w:p w:rsidR="00024901" w:rsidRPr="00024901" w:rsidRDefault="00024901" w:rsidP="00024901">
                  <w:pPr>
                    <w:rPr>
                      <w:rFonts w:ascii="Times New Roman" w:hAnsi="Times New Roman"/>
                      <w:sz w:val="20"/>
                      <w:szCs w:val="20"/>
                      <w:lang w:eastAsia="en-GB"/>
                    </w:rPr>
                  </w:pPr>
                </w:p>
              </w:tc>
              <w:tc>
                <w:tcPr>
                  <w:tcW w:w="1620" w:type="dxa"/>
                  <w:tcBorders>
                    <w:top w:val="nil"/>
                    <w:left w:val="nil"/>
                    <w:bottom w:val="nil"/>
                    <w:right w:val="nil"/>
                  </w:tcBorders>
                  <w:shd w:val="clear" w:color="auto" w:fill="auto"/>
                  <w:noWrap/>
                  <w:vAlign w:val="bottom"/>
                  <w:hideMark/>
                </w:tcPr>
                <w:p w:rsidR="00024901" w:rsidRPr="00024901" w:rsidRDefault="00024901" w:rsidP="00024901">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Number</w:t>
                  </w:r>
                </w:p>
              </w:tc>
              <w:tc>
                <w:tcPr>
                  <w:tcW w:w="1440" w:type="dxa"/>
                  <w:tcBorders>
                    <w:top w:val="nil"/>
                    <w:left w:val="nil"/>
                    <w:bottom w:val="nil"/>
                    <w:right w:val="nil"/>
                  </w:tcBorders>
                  <w:shd w:val="clear" w:color="auto" w:fill="auto"/>
                  <w:noWrap/>
                  <w:vAlign w:val="bottom"/>
                  <w:hideMark/>
                </w:tcPr>
                <w:p w:rsidR="00024901" w:rsidRPr="00024901" w:rsidRDefault="00024901" w:rsidP="00024901">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 xml:space="preserve"> £ per head </w:t>
                  </w:r>
                </w:p>
              </w:tc>
              <w:tc>
                <w:tcPr>
                  <w:tcW w:w="980" w:type="dxa"/>
                  <w:tcBorders>
                    <w:top w:val="nil"/>
                    <w:left w:val="nil"/>
                    <w:bottom w:val="nil"/>
                    <w:right w:val="nil"/>
                  </w:tcBorders>
                  <w:shd w:val="clear" w:color="auto" w:fill="auto"/>
                  <w:noWrap/>
                  <w:vAlign w:val="bottom"/>
                  <w:hideMark/>
                </w:tcPr>
                <w:p w:rsidR="00024901" w:rsidRPr="00024901" w:rsidRDefault="00243133" w:rsidP="00024901">
                  <w:pPr>
                    <w:rPr>
                      <w:rFonts w:ascii="Calibri" w:hAnsi="Calibri" w:cs="Calibri"/>
                      <w:bCs w:val="0"/>
                      <w:color w:val="000000"/>
                      <w:sz w:val="22"/>
                      <w:szCs w:val="22"/>
                      <w:lang w:eastAsia="en-GB"/>
                    </w:rPr>
                  </w:pPr>
                  <w:r>
                    <w:rPr>
                      <w:rFonts w:ascii="Calibri" w:hAnsi="Calibri" w:cs="Calibri"/>
                      <w:bCs w:val="0"/>
                      <w:color w:val="000000"/>
                      <w:sz w:val="22"/>
                      <w:szCs w:val="22"/>
                      <w:lang w:eastAsia="en-GB"/>
                    </w:rPr>
                    <w:t>Totals</w:t>
                  </w:r>
                </w:p>
              </w:tc>
            </w:tr>
            <w:tr w:rsidR="00243133" w:rsidRPr="00024901" w:rsidTr="005A7D53">
              <w:trPr>
                <w:trHeight w:val="288"/>
              </w:trPr>
              <w:tc>
                <w:tcPr>
                  <w:tcW w:w="2920" w:type="dxa"/>
                  <w:tcBorders>
                    <w:top w:val="nil"/>
                    <w:left w:val="nil"/>
                    <w:bottom w:val="nil"/>
                    <w:right w:val="nil"/>
                  </w:tcBorders>
                  <w:shd w:val="clear" w:color="000000" w:fill="FFC000"/>
                  <w:noWrap/>
                  <w:vAlign w:val="bottom"/>
                  <w:hideMark/>
                </w:tcPr>
                <w:p w:rsidR="00243133" w:rsidRPr="00024901" w:rsidRDefault="00243133" w:rsidP="005A7D53">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MDT</w:t>
                  </w:r>
                  <w:r w:rsidR="00E55857">
                    <w:rPr>
                      <w:rFonts w:ascii="Calibri" w:hAnsi="Calibri" w:cs="Calibri"/>
                      <w:bCs w:val="0"/>
                      <w:color w:val="000000"/>
                      <w:sz w:val="22"/>
                      <w:szCs w:val="22"/>
                      <w:lang w:eastAsia="en-GB"/>
                    </w:rPr>
                    <w:t xml:space="preserve"> for all patients</w:t>
                  </w:r>
                </w:p>
              </w:tc>
              <w:tc>
                <w:tcPr>
                  <w:tcW w:w="1620" w:type="dxa"/>
                  <w:tcBorders>
                    <w:top w:val="nil"/>
                    <w:left w:val="nil"/>
                    <w:bottom w:val="nil"/>
                    <w:right w:val="nil"/>
                  </w:tcBorders>
                  <w:shd w:val="clear" w:color="auto" w:fill="auto"/>
                  <w:noWrap/>
                  <w:vAlign w:val="bottom"/>
                  <w:hideMark/>
                </w:tcPr>
                <w:p w:rsidR="00243133" w:rsidRPr="00024901" w:rsidRDefault="00243133" w:rsidP="005A7D53">
                  <w:pPr>
                    <w:jc w:val="cente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120</w:t>
                  </w:r>
                </w:p>
              </w:tc>
              <w:tc>
                <w:tcPr>
                  <w:tcW w:w="1440" w:type="dxa"/>
                  <w:tcBorders>
                    <w:top w:val="nil"/>
                    <w:left w:val="nil"/>
                    <w:bottom w:val="nil"/>
                    <w:right w:val="nil"/>
                  </w:tcBorders>
                  <w:shd w:val="clear" w:color="auto" w:fill="auto"/>
                  <w:noWrap/>
                  <w:vAlign w:val="bottom"/>
                  <w:hideMark/>
                </w:tcPr>
                <w:p w:rsidR="00243133" w:rsidRPr="00024901" w:rsidRDefault="00243133" w:rsidP="005A7D53">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 xml:space="preserve">                     </w:t>
                  </w:r>
                  <w:r>
                    <w:rPr>
                      <w:rFonts w:ascii="Calibri" w:hAnsi="Calibri" w:cs="Calibri"/>
                      <w:bCs w:val="0"/>
                      <w:color w:val="000000"/>
                      <w:sz w:val="22"/>
                      <w:szCs w:val="22"/>
                      <w:lang w:eastAsia="en-GB"/>
                    </w:rPr>
                    <w:t>£</w:t>
                  </w:r>
                  <w:r w:rsidRPr="00024901">
                    <w:rPr>
                      <w:rFonts w:ascii="Calibri" w:hAnsi="Calibri" w:cs="Calibri"/>
                      <w:bCs w:val="0"/>
                      <w:color w:val="000000"/>
                      <w:sz w:val="22"/>
                      <w:szCs w:val="22"/>
                      <w:lang w:eastAsia="en-GB"/>
                    </w:rPr>
                    <w:t>286</w:t>
                  </w:r>
                </w:p>
              </w:tc>
              <w:tc>
                <w:tcPr>
                  <w:tcW w:w="980" w:type="dxa"/>
                  <w:tcBorders>
                    <w:top w:val="nil"/>
                    <w:left w:val="nil"/>
                    <w:bottom w:val="nil"/>
                    <w:right w:val="nil"/>
                  </w:tcBorders>
                  <w:shd w:val="clear" w:color="auto" w:fill="auto"/>
                  <w:noWrap/>
                  <w:vAlign w:val="bottom"/>
                  <w:hideMark/>
                </w:tcPr>
                <w:p w:rsidR="00243133" w:rsidRPr="00024901" w:rsidRDefault="00243133" w:rsidP="005A7D53">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 xml:space="preserve">     </w:t>
                  </w:r>
                  <w:r>
                    <w:rPr>
                      <w:rFonts w:ascii="Calibri" w:hAnsi="Calibri" w:cs="Calibri"/>
                      <w:bCs w:val="0"/>
                      <w:color w:val="000000"/>
                      <w:sz w:val="22"/>
                      <w:szCs w:val="22"/>
                      <w:lang w:eastAsia="en-GB"/>
                    </w:rPr>
                    <w:t>£</w:t>
                  </w:r>
                  <w:r w:rsidRPr="00024901">
                    <w:rPr>
                      <w:rFonts w:ascii="Calibri" w:hAnsi="Calibri" w:cs="Calibri"/>
                      <w:bCs w:val="0"/>
                      <w:color w:val="000000"/>
                      <w:sz w:val="22"/>
                      <w:szCs w:val="22"/>
                      <w:lang w:eastAsia="en-GB"/>
                    </w:rPr>
                    <w:t xml:space="preserve">34,320 </w:t>
                  </w:r>
                </w:p>
              </w:tc>
            </w:tr>
            <w:tr w:rsidR="00024901" w:rsidRPr="00024901" w:rsidTr="00024901">
              <w:trPr>
                <w:trHeight w:val="288"/>
              </w:trPr>
              <w:tc>
                <w:tcPr>
                  <w:tcW w:w="2920" w:type="dxa"/>
                  <w:tcBorders>
                    <w:top w:val="nil"/>
                    <w:left w:val="nil"/>
                    <w:bottom w:val="nil"/>
                    <w:right w:val="nil"/>
                  </w:tcBorders>
                  <w:shd w:val="clear" w:color="000000" w:fill="FFC000"/>
                  <w:noWrap/>
                  <w:vAlign w:val="bottom"/>
                  <w:hideMark/>
                </w:tcPr>
                <w:p w:rsidR="00024901" w:rsidRPr="00024901" w:rsidRDefault="00024901" w:rsidP="00024901">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New patients onto registry</w:t>
                  </w:r>
                </w:p>
              </w:tc>
              <w:tc>
                <w:tcPr>
                  <w:tcW w:w="1620" w:type="dxa"/>
                  <w:tcBorders>
                    <w:top w:val="nil"/>
                    <w:left w:val="nil"/>
                    <w:bottom w:val="nil"/>
                    <w:right w:val="nil"/>
                  </w:tcBorders>
                  <w:shd w:val="clear" w:color="auto" w:fill="auto"/>
                  <w:noWrap/>
                  <w:vAlign w:val="bottom"/>
                  <w:hideMark/>
                </w:tcPr>
                <w:p w:rsidR="00024901" w:rsidRPr="00024901" w:rsidRDefault="001B66C8" w:rsidP="00243133">
                  <w:pPr>
                    <w:jc w:val="cente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60</w:t>
                  </w:r>
                </w:p>
              </w:tc>
              <w:tc>
                <w:tcPr>
                  <w:tcW w:w="1440" w:type="dxa"/>
                  <w:tcBorders>
                    <w:top w:val="nil"/>
                    <w:left w:val="nil"/>
                    <w:bottom w:val="nil"/>
                    <w:right w:val="nil"/>
                  </w:tcBorders>
                  <w:shd w:val="clear" w:color="auto" w:fill="auto"/>
                  <w:noWrap/>
                  <w:vAlign w:val="bottom"/>
                  <w:hideMark/>
                </w:tcPr>
                <w:p w:rsidR="00024901" w:rsidRPr="00024901" w:rsidRDefault="00024901" w:rsidP="00024901">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 xml:space="preserve">                      </w:t>
                  </w:r>
                  <w:r w:rsidR="001B66C8">
                    <w:rPr>
                      <w:rFonts w:ascii="Calibri" w:hAnsi="Calibri" w:cs="Calibri"/>
                      <w:bCs w:val="0"/>
                      <w:color w:val="000000"/>
                      <w:sz w:val="22"/>
                      <w:szCs w:val="22"/>
                      <w:lang w:eastAsia="en-GB"/>
                    </w:rPr>
                    <w:t>£</w:t>
                  </w:r>
                  <w:r w:rsidR="001B66C8" w:rsidRPr="00024901">
                    <w:rPr>
                      <w:rFonts w:ascii="Calibri" w:hAnsi="Calibri" w:cs="Calibri"/>
                      <w:bCs w:val="0"/>
                      <w:color w:val="000000"/>
                      <w:sz w:val="22"/>
                      <w:szCs w:val="22"/>
                      <w:lang w:eastAsia="en-GB"/>
                    </w:rPr>
                    <w:t>113</w:t>
                  </w:r>
                  <w:r w:rsidRPr="00024901">
                    <w:rPr>
                      <w:rFonts w:ascii="Calibri" w:hAnsi="Calibri" w:cs="Calibri"/>
                      <w:bCs w:val="0"/>
                      <w:color w:val="000000"/>
                      <w:sz w:val="22"/>
                      <w:szCs w:val="22"/>
                      <w:lang w:eastAsia="en-GB"/>
                    </w:rPr>
                    <w:t xml:space="preserve"> </w:t>
                  </w:r>
                </w:p>
              </w:tc>
              <w:tc>
                <w:tcPr>
                  <w:tcW w:w="980" w:type="dxa"/>
                  <w:tcBorders>
                    <w:top w:val="nil"/>
                    <w:left w:val="nil"/>
                    <w:bottom w:val="nil"/>
                    <w:right w:val="nil"/>
                  </w:tcBorders>
                  <w:shd w:val="clear" w:color="auto" w:fill="auto"/>
                  <w:noWrap/>
                  <w:vAlign w:val="bottom"/>
                  <w:hideMark/>
                </w:tcPr>
                <w:p w:rsidR="00024901" w:rsidRPr="00024901" w:rsidRDefault="00024901" w:rsidP="00024901">
                  <w:pPr>
                    <w:rPr>
                      <w:rFonts w:ascii="Calibri" w:hAnsi="Calibri" w:cs="Calibri"/>
                      <w:bCs w:val="0"/>
                      <w:color w:val="000000"/>
                      <w:sz w:val="22"/>
                      <w:szCs w:val="22"/>
                      <w:lang w:eastAsia="en-GB"/>
                    </w:rPr>
                  </w:pPr>
                  <w:r w:rsidRPr="00024901">
                    <w:rPr>
                      <w:rFonts w:ascii="Calibri" w:hAnsi="Calibri" w:cs="Calibri"/>
                      <w:bCs w:val="0"/>
                      <w:color w:val="000000"/>
                      <w:sz w:val="22"/>
                      <w:szCs w:val="22"/>
                      <w:lang w:eastAsia="en-GB"/>
                    </w:rPr>
                    <w:t xml:space="preserve">       </w:t>
                  </w:r>
                  <w:r>
                    <w:rPr>
                      <w:rFonts w:ascii="Calibri" w:hAnsi="Calibri" w:cs="Calibri"/>
                      <w:bCs w:val="0"/>
                      <w:color w:val="000000"/>
                      <w:sz w:val="22"/>
                      <w:szCs w:val="22"/>
                      <w:lang w:eastAsia="en-GB"/>
                    </w:rPr>
                    <w:t xml:space="preserve">   £</w:t>
                  </w:r>
                  <w:r w:rsidRPr="00024901">
                    <w:rPr>
                      <w:rFonts w:ascii="Calibri" w:hAnsi="Calibri" w:cs="Calibri"/>
                      <w:bCs w:val="0"/>
                      <w:color w:val="000000"/>
                      <w:sz w:val="22"/>
                      <w:szCs w:val="22"/>
                      <w:lang w:eastAsia="en-GB"/>
                    </w:rPr>
                    <w:t xml:space="preserve">6,780 </w:t>
                  </w:r>
                </w:p>
              </w:tc>
            </w:tr>
            <w:tr w:rsidR="00024901" w:rsidRPr="00024901" w:rsidTr="00024901">
              <w:trPr>
                <w:trHeight w:val="288"/>
              </w:trPr>
              <w:tc>
                <w:tcPr>
                  <w:tcW w:w="2920" w:type="dxa"/>
                  <w:tcBorders>
                    <w:top w:val="nil"/>
                    <w:left w:val="nil"/>
                    <w:bottom w:val="nil"/>
                    <w:right w:val="nil"/>
                  </w:tcBorders>
                  <w:shd w:val="clear" w:color="000000" w:fill="FFC000"/>
                  <w:noWrap/>
                  <w:vAlign w:val="bottom"/>
                  <w:hideMark/>
                </w:tcPr>
                <w:p w:rsidR="00024901" w:rsidRPr="00024901" w:rsidRDefault="00243133" w:rsidP="00024901">
                  <w:pPr>
                    <w:rPr>
                      <w:rFonts w:ascii="Calibri" w:hAnsi="Calibri" w:cs="Calibri"/>
                      <w:bCs w:val="0"/>
                      <w:color w:val="000000"/>
                      <w:sz w:val="22"/>
                      <w:szCs w:val="22"/>
                      <w:lang w:eastAsia="en-GB"/>
                    </w:rPr>
                  </w:pPr>
                  <w:r>
                    <w:rPr>
                      <w:rFonts w:ascii="Calibri" w:hAnsi="Calibri" w:cs="Calibri"/>
                      <w:bCs w:val="0"/>
                      <w:color w:val="000000"/>
                      <w:sz w:val="22"/>
                      <w:szCs w:val="22"/>
                      <w:lang w:eastAsia="en-GB"/>
                    </w:rPr>
                    <w:t>Severe Asthma registry fee</w:t>
                  </w:r>
                </w:p>
              </w:tc>
              <w:tc>
                <w:tcPr>
                  <w:tcW w:w="1620" w:type="dxa"/>
                  <w:tcBorders>
                    <w:top w:val="nil"/>
                    <w:left w:val="nil"/>
                    <w:bottom w:val="nil"/>
                    <w:right w:val="nil"/>
                  </w:tcBorders>
                  <w:shd w:val="clear" w:color="auto" w:fill="auto"/>
                  <w:noWrap/>
                  <w:vAlign w:val="bottom"/>
                  <w:hideMark/>
                </w:tcPr>
                <w:p w:rsidR="00024901" w:rsidRPr="00024901" w:rsidRDefault="00024901" w:rsidP="00024901">
                  <w:pPr>
                    <w:rPr>
                      <w:rFonts w:ascii="Calibri" w:hAnsi="Calibri" w:cs="Calibri"/>
                      <w:bCs w:val="0"/>
                      <w:color w:val="000000"/>
                      <w:sz w:val="22"/>
                      <w:szCs w:val="22"/>
                      <w:lang w:eastAsia="en-GB"/>
                    </w:rPr>
                  </w:pPr>
                </w:p>
              </w:tc>
              <w:tc>
                <w:tcPr>
                  <w:tcW w:w="1440" w:type="dxa"/>
                  <w:tcBorders>
                    <w:top w:val="nil"/>
                    <w:left w:val="nil"/>
                    <w:bottom w:val="nil"/>
                    <w:right w:val="nil"/>
                  </w:tcBorders>
                  <w:shd w:val="clear" w:color="auto" w:fill="auto"/>
                  <w:noWrap/>
                  <w:vAlign w:val="bottom"/>
                  <w:hideMark/>
                </w:tcPr>
                <w:p w:rsidR="00024901" w:rsidRPr="00024901" w:rsidRDefault="00024901" w:rsidP="00024901">
                  <w:pPr>
                    <w:rPr>
                      <w:rFonts w:ascii="Times New Roman" w:hAnsi="Times New Roman"/>
                      <w:bCs w:val="0"/>
                      <w:sz w:val="20"/>
                      <w:szCs w:val="20"/>
                      <w:lang w:eastAsia="en-GB"/>
                    </w:rPr>
                  </w:pPr>
                </w:p>
              </w:tc>
              <w:tc>
                <w:tcPr>
                  <w:tcW w:w="980" w:type="dxa"/>
                  <w:tcBorders>
                    <w:top w:val="nil"/>
                    <w:left w:val="nil"/>
                    <w:bottom w:val="nil"/>
                    <w:right w:val="nil"/>
                  </w:tcBorders>
                  <w:shd w:val="clear" w:color="auto" w:fill="auto"/>
                  <w:noWrap/>
                  <w:vAlign w:val="bottom"/>
                  <w:hideMark/>
                </w:tcPr>
                <w:p w:rsidR="00024901" w:rsidRPr="00024901" w:rsidRDefault="00024901" w:rsidP="00243133">
                  <w:pPr>
                    <w:rPr>
                      <w:rFonts w:ascii="Calibri" w:hAnsi="Calibri" w:cs="Calibri"/>
                      <w:bCs w:val="0"/>
                      <w:color w:val="000000"/>
                      <w:sz w:val="22"/>
                      <w:szCs w:val="22"/>
                      <w:lang w:eastAsia="en-GB"/>
                    </w:rPr>
                  </w:pPr>
                  <w:r>
                    <w:rPr>
                      <w:rFonts w:ascii="Calibri" w:hAnsi="Calibri" w:cs="Calibri"/>
                      <w:bCs w:val="0"/>
                      <w:color w:val="000000"/>
                      <w:sz w:val="22"/>
                      <w:szCs w:val="22"/>
                      <w:lang w:eastAsia="en-GB"/>
                    </w:rPr>
                    <w:t xml:space="preserve"> £</w:t>
                  </w:r>
                  <w:r w:rsidRPr="00024901">
                    <w:rPr>
                      <w:rFonts w:ascii="Calibri" w:hAnsi="Calibri" w:cs="Calibri"/>
                      <w:bCs w:val="0"/>
                      <w:color w:val="000000"/>
                      <w:sz w:val="22"/>
                      <w:szCs w:val="22"/>
                      <w:lang w:eastAsia="en-GB"/>
                    </w:rPr>
                    <w:t>5</w:t>
                  </w:r>
                  <w:r>
                    <w:rPr>
                      <w:rFonts w:ascii="Calibri" w:hAnsi="Calibri" w:cs="Calibri"/>
                      <w:bCs w:val="0"/>
                      <w:color w:val="000000"/>
                      <w:sz w:val="22"/>
                      <w:szCs w:val="22"/>
                      <w:lang w:eastAsia="en-GB"/>
                    </w:rPr>
                    <w:t>,</w:t>
                  </w:r>
                  <w:r w:rsidRPr="00024901">
                    <w:rPr>
                      <w:rFonts w:ascii="Calibri" w:hAnsi="Calibri" w:cs="Calibri"/>
                      <w:bCs w:val="0"/>
                      <w:color w:val="000000"/>
                      <w:sz w:val="22"/>
                      <w:szCs w:val="22"/>
                      <w:lang w:eastAsia="en-GB"/>
                    </w:rPr>
                    <w:t>000</w:t>
                  </w:r>
                </w:p>
              </w:tc>
            </w:tr>
            <w:tr w:rsidR="00024901" w:rsidRPr="00024901" w:rsidTr="00E55857">
              <w:trPr>
                <w:trHeight w:val="288"/>
              </w:trPr>
              <w:tc>
                <w:tcPr>
                  <w:tcW w:w="2920" w:type="dxa"/>
                  <w:tcBorders>
                    <w:top w:val="nil"/>
                    <w:left w:val="nil"/>
                    <w:bottom w:val="nil"/>
                    <w:right w:val="nil"/>
                  </w:tcBorders>
                  <w:shd w:val="clear" w:color="auto" w:fill="auto"/>
                  <w:noWrap/>
                  <w:vAlign w:val="bottom"/>
                  <w:hideMark/>
                </w:tcPr>
                <w:p w:rsidR="00024901" w:rsidRPr="00024901" w:rsidRDefault="00024901" w:rsidP="00024901">
                  <w:pPr>
                    <w:jc w:val="right"/>
                    <w:rPr>
                      <w:rFonts w:ascii="Calibri" w:hAnsi="Calibri" w:cs="Calibri"/>
                      <w:bCs w:val="0"/>
                      <w:color w:val="000000"/>
                      <w:sz w:val="22"/>
                      <w:szCs w:val="22"/>
                      <w:lang w:eastAsia="en-GB"/>
                    </w:rPr>
                  </w:pPr>
                </w:p>
              </w:tc>
              <w:tc>
                <w:tcPr>
                  <w:tcW w:w="1620" w:type="dxa"/>
                  <w:tcBorders>
                    <w:top w:val="nil"/>
                    <w:left w:val="nil"/>
                    <w:bottom w:val="nil"/>
                    <w:right w:val="nil"/>
                  </w:tcBorders>
                  <w:shd w:val="clear" w:color="auto" w:fill="auto"/>
                  <w:noWrap/>
                  <w:vAlign w:val="bottom"/>
                  <w:hideMark/>
                </w:tcPr>
                <w:p w:rsidR="00024901" w:rsidRPr="00024901" w:rsidRDefault="00024901" w:rsidP="00024901">
                  <w:pPr>
                    <w:rPr>
                      <w:rFonts w:ascii="Times New Roman" w:hAnsi="Times New Roman"/>
                      <w:bCs w:val="0"/>
                      <w:sz w:val="20"/>
                      <w:szCs w:val="20"/>
                      <w:lang w:eastAsia="en-GB"/>
                    </w:rPr>
                  </w:pPr>
                </w:p>
              </w:tc>
              <w:tc>
                <w:tcPr>
                  <w:tcW w:w="1440" w:type="dxa"/>
                  <w:tcBorders>
                    <w:top w:val="nil"/>
                    <w:left w:val="nil"/>
                    <w:bottom w:val="nil"/>
                    <w:right w:val="nil"/>
                  </w:tcBorders>
                  <w:shd w:val="clear" w:color="auto" w:fill="auto"/>
                  <w:noWrap/>
                  <w:vAlign w:val="bottom"/>
                </w:tcPr>
                <w:p w:rsidR="00024901" w:rsidRPr="00024901" w:rsidRDefault="00024901" w:rsidP="00024901">
                  <w:pPr>
                    <w:rPr>
                      <w:rFonts w:ascii="Times New Roman" w:hAnsi="Times New Roman"/>
                      <w:bCs w:val="0"/>
                      <w:sz w:val="20"/>
                      <w:szCs w:val="20"/>
                      <w:lang w:eastAsia="en-GB"/>
                    </w:rPr>
                  </w:pPr>
                </w:p>
              </w:tc>
              <w:tc>
                <w:tcPr>
                  <w:tcW w:w="980" w:type="dxa"/>
                  <w:tcBorders>
                    <w:top w:val="nil"/>
                    <w:left w:val="nil"/>
                    <w:bottom w:val="nil"/>
                    <w:right w:val="nil"/>
                  </w:tcBorders>
                  <w:shd w:val="clear" w:color="auto" w:fill="auto"/>
                  <w:noWrap/>
                  <w:vAlign w:val="bottom"/>
                </w:tcPr>
                <w:p w:rsidR="00024901" w:rsidRPr="00024901" w:rsidRDefault="00024901" w:rsidP="00024901">
                  <w:pPr>
                    <w:rPr>
                      <w:rFonts w:ascii="Calibri" w:hAnsi="Calibri" w:cs="Calibri"/>
                      <w:bCs w:val="0"/>
                      <w:color w:val="000000"/>
                      <w:sz w:val="22"/>
                      <w:szCs w:val="22"/>
                      <w:lang w:eastAsia="en-GB"/>
                    </w:rPr>
                  </w:pPr>
                </w:p>
              </w:tc>
            </w:tr>
          </w:tbl>
          <w:p w:rsidR="00024901" w:rsidRDefault="00024901" w:rsidP="001126E3">
            <w:pPr>
              <w:rPr>
                <w:rFonts w:cs="Arial"/>
                <w:szCs w:val="24"/>
              </w:rPr>
            </w:pPr>
          </w:p>
          <w:p w:rsidR="00024901" w:rsidRDefault="00E55857" w:rsidP="001126E3">
            <w:pPr>
              <w:rPr>
                <w:rFonts w:cs="Arial"/>
                <w:szCs w:val="24"/>
              </w:rPr>
            </w:pPr>
            <w:proofErr w:type="gramStart"/>
            <w:r>
              <w:rPr>
                <w:rFonts w:cs="Arial"/>
                <w:szCs w:val="24"/>
              </w:rPr>
              <w:t>Plus</w:t>
            </w:r>
            <w:proofErr w:type="gramEnd"/>
            <w:r>
              <w:rPr>
                <w:rFonts w:cs="Arial"/>
                <w:szCs w:val="24"/>
              </w:rPr>
              <w:t xml:space="preserve"> </w:t>
            </w:r>
            <w:r w:rsidR="00243133">
              <w:rPr>
                <w:rFonts w:cs="Arial"/>
                <w:szCs w:val="24"/>
              </w:rPr>
              <w:t>Infrastructure</w:t>
            </w:r>
            <w:r>
              <w:rPr>
                <w:rFonts w:cs="Arial"/>
                <w:szCs w:val="24"/>
              </w:rPr>
              <w:t xml:space="preserve"> costs</w:t>
            </w:r>
            <w:r w:rsidR="00243133">
              <w:rPr>
                <w:rFonts w:cs="Arial"/>
                <w:szCs w:val="24"/>
              </w:rPr>
              <w:t>:</w:t>
            </w:r>
          </w:p>
          <w:p w:rsidR="00243133" w:rsidRPr="00632B66" w:rsidRDefault="00243133" w:rsidP="00243133">
            <w:pPr>
              <w:pStyle w:val="ListParagraph"/>
              <w:numPr>
                <w:ilvl w:val="0"/>
                <w:numId w:val="15"/>
              </w:numPr>
              <w:rPr>
                <w:rFonts w:cs="Arial"/>
                <w:szCs w:val="24"/>
              </w:rPr>
            </w:pPr>
            <w:r w:rsidRPr="00632B66">
              <w:rPr>
                <w:rFonts w:cs="Arial"/>
                <w:szCs w:val="24"/>
              </w:rPr>
              <w:t>Network Co-ordinator band 7 (0.75 x WTE)</w:t>
            </w:r>
          </w:p>
          <w:p w:rsidR="00243133" w:rsidRPr="00632B66" w:rsidRDefault="00243133" w:rsidP="00243133">
            <w:pPr>
              <w:pStyle w:val="ListParagraph"/>
              <w:numPr>
                <w:ilvl w:val="0"/>
                <w:numId w:val="15"/>
              </w:numPr>
              <w:rPr>
                <w:rFonts w:cs="Arial"/>
                <w:szCs w:val="24"/>
              </w:rPr>
            </w:pPr>
            <w:r w:rsidRPr="00632B66">
              <w:rPr>
                <w:rFonts w:cs="Arial"/>
                <w:szCs w:val="24"/>
              </w:rPr>
              <w:t>Videoconferencing licences e.g. WebEx, image exchange portal</w:t>
            </w:r>
          </w:p>
          <w:p w:rsidR="00243133" w:rsidRPr="001B66C8" w:rsidRDefault="00243133" w:rsidP="00243133">
            <w:pPr>
              <w:pStyle w:val="ListParagraph"/>
              <w:numPr>
                <w:ilvl w:val="0"/>
                <w:numId w:val="15"/>
              </w:numPr>
              <w:rPr>
                <w:rFonts w:cs="Arial"/>
                <w:szCs w:val="24"/>
              </w:rPr>
            </w:pPr>
            <w:r w:rsidRPr="001B66C8">
              <w:rPr>
                <w:rFonts w:cs="Arial"/>
                <w:szCs w:val="24"/>
              </w:rPr>
              <w:t>Data entry - Network Co-ordinator band 7 (0.25 x WTE)</w:t>
            </w:r>
          </w:p>
          <w:p w:rsidR="00024901" w:rsidRPr="001F6AA3" w:rsidRDefault="00024901" w:rsidP="001126E3">
            <w:pPr>
              <w:rPr>
                <w:rFonts w:cs="Arial"/>
                <w:b/>
                <w:szCs w:val="24"/>
              </w:rPr>
            </w:pPr>
          </w:p>
          <w:p w:rsidR="00443D22" w:rsidRDefault="00443D22" w:rsidP="00443D22">
            <w:pPr>
              <w:rPr>
                <w:rFonts w:eastAsiaTheme="minorEastAsia" w:cs="Arial"/>
                <w:szCs w:val="24"/>
                <w:u w:val="single"/>
              </w:rPr>
            </w:pPr>
          </w:p>
          <w:p w:rsidR="00234135" w:rsidRDefault="00234135" w:rsidP="001126E3">
            <w:pPr>
              <w:rPr>
                <w:rFonts w:eastAsiaTheme="minorEastAsia" w:cs="Arial"/>
                <w:szCs w:val="24"/>
              </w:rPr>
            </w:pPr>
          </w:p>
        </w:tc>
      </w:tr>
      <w:tr w:rsidR="0026417D" w:rsidRPr="00970018" w:rsidTr="004429A4">
        <w:tc>
          <w:tcPr>
            <w:tcW w:w="5000" w:type="pct"/>
            <w:gridSpan w:val="2"/>
            <w:shd w:val="clear" w:color="auto" w:fill="BFBFBF" w:themeFill="background1" w:themeFillShade="BF"/>
          </w:tcPr>
          <w:p w:rsidR="0026417D" w:rsidRPr="00970018" w:rsidRDefault="00970018" w:rsidP="004429A4">
            <w:pPr>
              <w:rPr>
                <w:rFonts w:cs="Arial"/>
                <w:b/>
                <w:szCs w:val="24"/>
              </w:rPr>
            </w:pPr>
            <w:r w:rsidRPr="00970018">
              <w:rPr>
                <w:rFonts w:cs="Arial"/>
                <w:b/>
                <w:szCs w:val="24"/>
              </w:rPr>
              <w:lastRenderedPageBreak/>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rsidTr="00234135">
        <w:tc>
          <w:tcPr>
            <w:tcW w:w="5000" w:type="pct"/>
            <w:gridSpan w:val="2"/>
          </w:tcPr>
          <w:p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rsidR="0026417D" w:rsidRPr="00BB243E" w:rsidRDefault="0026417D" w:rsidP="001126E3">
            <w:pPr>
              <w:rPr>
                <w:rFonts w:cs="Arial"/>
                <w:szCs w:val="24"/>
              </w:rPr>
            </w:pPr>
          </w:p>
        </w:tc>
      </w:tr>
      <w:tr w:rsidR="004429A4" w:rsidRPr="000412A1" w:rsidTr="004429A4">
        <w:trPr>
          <w:trHeight w:val="135"/>
        </w:trPr>
        <w:tc>
          <w:tcPr>
            <w:tcW w:w="1377" w:type="pct"/>
            <w:shd w:val="clear" w:color="auto" w:fill="D9D9D9" w:themeFill="background1" w:themeFillShade="D9"/>
          </w:tcPr>
          <w:p w:rsidR="004429A4" w:rsidRPr="0026417D" w:rsidRDefault="004429A4" w:rsidP="0026417D">
            <w:pPr>
              <w:rPr>
                <w:rFonts w:cs="Arial"/>
                <w:b/>
                <w:szCs w:val="24"/>
                <w:u w:val="single"/>
              </w:rPr>
            </w:pPr>
            <w:r>
              <w:rPr>
                <w:rFonts w:cs="Arial"/>
                <w:b/>
                <w:szCs w:val="24"/>
                <w:u w:val="single"/>
              </w:rPr>
              <w:t>Information for Evaluation</w:t>
            </w:r>
          </w:p>
        </w:tc>
        <w:tc>
          <w:tcPr>
            <w:tcW w:w="3623" w:type="pct"/>
          </w:tcPr>
          <w:p w:rsidR="004429A4" w:rsidRPr="00BC4EA9" w:rsidRDefault="001126E3" w:rsidP="004429A4">
            <w:pPr>
              <w:rPr>
                <w:rFonts w:cs="Arial"/>
                <w:color w:val="FF0000"/>
                <w:szCs w:val="24"/>
                <w:u w:val="single"/>
              </w:rPr>
            </w:pPr>
            <w:r w:rsidRPr="001126E3">
              <w:rPr>
                <w:rFonts w:cs="Arial"/>
                <w:i/>
                <w:szCs w:val="24"/>
              </w:rPr>
              <w:t>As above in C.5</w:t>
            </w:r>
          </w:p>
        </w:tc>
      </w:tr>
      <w:tr w:rsidR="004429A4" w:rsidRPr="000412A1" w:rsidTr="004429A4">
        <w:trPr>
          <w:trHeight w:val="135"/>
        </w:trPr>
        <w:tc>
          <w:tcPr>
            <w:tcW w:w="1377" w:type="pct"/>
            <w:shd w:val="clear" w:color="auto" w:fill="D9D9D9" w:themeFill="background1" w:themeFillShade="D9"/>
          </w:tcPr>
          <w:p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rsidR="004429A4" w:rsidRPr="00BC4EA9" w:rsidRDefault="001126E3" w:rsidP="001126E3">
            <w:pPr>
              <w:rPr>
                <w:rFonts w:cs="Arial"/>
                <w:color w:val="FF0000"/>
                <w:szCs w:val="24"/>
                <w:u w:val="single"/>
              </w:rPr>
            </w:pPr>
            <w:r w:rsidRPr="001126E3">
              <w:rPr>
                <w:rFonts w:cs="Arial"/>
                <w:i/>
                <w:szCs w:val="24"/>
              </w:rPr>
              <w:t xml:space="preserve">Routine local monitoring of CQIN performance </w:t>
            </w:r>
          </w:p>
        </w:tc>
      </w:tr>
    </w:tbl>
    <w:p w:rsidR="006B2327" w:rsidRDefault="006B2327" w:rsidP="00154269">
      <w:pPr>
        <w:rPr>
          <w:rFonts w:cs="Arial"/>
          <w:b/>
          <w:szCs w:val="24"/>
        </w:rPr>
      </w:pPr>
    </w:p>
    <w:p w:rsidR="006B2327" w:rsidRDefault="006B2327" w:rsidP="00154269">
      <w:pPr>
        <w:rPr>
          <w:rFonts w:cs="Arial"/>
          <w:b/>
          <w:szCs w:val="24"/>
        </w:rPr>
      </w:pPr>
    </w:p>
    <w:p w:rsidR="005931C4" w:rsidRPr="006F038B" w:rsidRDefault="005931C4" w:rsidP="006F038B">
      <w:pPr>
        <w:rPr>
          <w:rFonts w:cs="Arial"/>
          <w:b/>
          <w:i/>
          <w:szCs w:val="24"/>
        </w:rPr>
      </w:pPr>
    </w:p>
    <w:sectPr w:rsidR="005931C4" w:rsidRPr="006F038B" w:rsidSect="006B232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0C2" w:rsidRDefault="009A50C2" w:rsidP="00AD55CE">
      <w:r>
        <w:separator/>
      </w:r>
    </w:p>
  </w:endnote>
  <w:endnote w:type="continuationSeparator" w:id="0">
    <w:p w:rsidR="009A50C2" w:rsidRDefault="009A50C2"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10442"/>
      <w:docPartObj>
        <w:docPartGallery w:val="Page Numbers (Bottom of Page)"/>
        <w:docPartUnique/>
      </w:docPartObj>
    </w:sdtPr>
    <w:sdtEndPr>
      <w:rPr>
        <w:noProof/>
      </w:rPr>
    </w:sdtEndPr>
    <w:sdtContent>
      <w:p w:rsidR="00B67DCA" w:rsidRDefault="00B67DCA">
        <w:pPr>
          <w:pStyle w:val="Footer"/>
          <w:jc w:val="center"/>
        </w:pPr>
        <w:r>
          <w:fldChar w:fldCharType="begin"/>
        </w:r>
        <w:r>
          <w:instrText xml:space="preserve"> PAGE   \* MERGEFORMAT </w:instrText>
        </w:r>
        <w:r>
          <w:fldChar w:fldCharType="separate"/>
        </w:r>
        <w:r w:rsidR="005A7F6B">
          <w:rPr>
            <w:noProof/>
          </w:rPr>
          <w:t>1</w:t>
        </w:r>
        <w:r>
          <w:rPr>
            <w:noProof/>
          </w:rPr>
          <w:fldChar w:fldCharType="end"/>
        </w:r>
      </w:p>
    </w:sdtContent>
  </w:sdt>
  <w:p w:rsidR="005A7F6B" w:rsidRDefault="005A7F6B" w:rsidP="005A7F6B">
    <w:pPr>
      <w:pStyle w:val="Footer"/>
      <w:rPr>
        <w:sz w:val="16"/>
        <w:szCs w:val="16"/>
        <w:lang w:val="en-US"/>
      </w:rPr>
    </w:pPr>
    <w:r w:rsidRPr="00805D9C">
      <w:rPr>
        <w:sz w:val="16"/>
        <w:szCs w:val="16"/>
        <w:lang w:val="en-US"/>
      </w:rPr>
      <w:t>NHS England and NHS Improvement – Working together for the NHS</w:t>
    </w:r>
  </w:p>
  <w:p w:rsidR="005A7F6B" w:rsidRPr="00805D9C" w:rsidRDefault="005A7F6B" w:rsidP="005A7F6B">
    <w:pPr>
      <w:pStyle w:val="Footer"/>
      <w:rPr>
        <w:color w:val="00B0F0"/>
        <w:sz w:val="16"/>
        <w:szCs w:val="16"/>
        <w:lang w:val="en-US"/>
      </w:rPr>
    </w:pPr>
    <w:r w:rsidRPr="00805D9C">
      <w:rPr>
        <w:color w:val="00B0F0"/>
        <w:sz w:val="16"/>
        <w:szCs w:val="16"/>
        <w:lang w:val="en-US"/>
      </w:rPr>
      <w:t>March 2019</w:t>
    </w:r>
  </w:p>
  <w:p w:rsidR="005A7F6B" w:rsidRPr="00805D9C" w:rsidRDefault="005A7F6B" w:rsidP="005A7F6B">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0C2" w:rsidRDefault="009A50C2" w:rsidP="00AD55CE">
      <w:r>
        <w:separator/>
      </w:r>
    </w:p>
  </w:footnote>
  <w:footnote w:type="continuationSeparator" w:id="0">
    <w:p w:rsidR="009A50C2" w:rsidRDefault="009A50C2"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F91" w:rsidRDefault="001337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339219" o:spid="_x0000_s2048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C6B" w:rsidRPr="00057D99" w:rsidRDefault="00B67DCA" w:rsidP="00B67DCA">
    <w:pPr>
      <w:pStyle w:val="Header"/>
      <w:tabs>
        <w:tab w:val="clear" w:pos="4513"/>
        <w:tab w:val="clear" w:pos="9026"/>
        <w:tab w:val="left" w:pos="7395"/>
      </w:tabs>
      <w:jc w:val="right"/>
      <w:rPr>
        <w:b/>
        <w:sz w:val="32"/>
        <w:szCs w:val="32"/>
      </w:rPr>
    </w:pPr>
    <w:bookmarkStart w:id="4" w:name="_Hlk536719564"/>
    <w:r>
      <w:rPr>
        <w:b/>
        <w:sz w:val="32"/>
        <w:szCs w:val="32"/>
      </w:rPr>
      <w:tab/>
    </w:r>
  </w:p>
  <w:bookmarkEnd w:id="4"/>
  <w:p w:rsidR="00AD55CE" w:rsidRDefault="00AD55CE" w:rsidP="00AD55C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F91" w:rsidRDefault="001337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339218" o:spid="_x0000_s2048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AB9"/>
    <w:multiLevelType w:val="hybridMultilevel"/>
    <w:tmpl w:val="5DB436FC"/>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1C5C"/>
    <w:multiLevelType w:val="hybridMultilevel"/>
    <w:tmpl w:val="65E4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37395"/>
    <w:multiLevelType w:val="hybridMultilevel"/>
    <w:tmpl w:val="C8888572"/>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679BE"/>
    <w:multiLevelType w:val="hybridMultilevel"/>
    <w:tmpl w:val="6FE41C4C"/>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30D5"/>
    <w:multiLevelType w:val="hybridMultilevel"/>
    <w:tmpl w:val="139A6052"/>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164A"/>
    <w:multiLevelType w:val="hybridMultilevel"/>
    <w:tmpl w:val="B6E06338"/>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715186D"/>
    <w:multiLevelType w:val="hybridMultilevel"/>
    <w:tmpl w:val="A06CC334"/>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7B59"/>
    <w:multiLevelType w:val="hybridMultilevel"/>
    <w:tmpl w:val="A17A6302"/>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D015F"/>
    <w:multiLevelType w:val="hybridMultilevel"/>
    <w:tmpl w:val="7A463B4E"/>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C087C"/>
    <w:multiLevelType w:val="hybridMultilevel"/>
    <w:tmpl w:val="36221D92"/>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B3A03"/>
    <w:multiLevelType w:val="hybridMultilevel"/>
    <w:tmpl w:val="401CF508"/>
    <w:lvl w:ilvl="0" w:tplc="08090001">
      <w:start w:val="1"/>
      <w:numFmt w:val="bullet"/>
      <w:lvlText w:val=""/>
      <w:lvlJc w:val="left"/>
      <w:pPr>
        <w:ind w:left="720" w:hanging="360"/>
      </w:pPr>
      <w:rPr>
        <w:rFonts w:ascii="Symbol" w:hAnsi="Symbol" w:hint="default"/>
      </w:rPr>
    </w:lvl>
    <w:lvl w:ilvl="1" w:tplc="B8786546">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75E1D"/>
    <w:multiLevelType w:val="hybridMultilevel"/>
    <w:tmpl w:val="4844E90A"/>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39A1"/>
    <w:multiLevelType w:val="hybridMultilevel"/>
    <w:tmpl w:val="3CA62212"/>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C0B2F"/>
    <w:multiLevelType w:val="hybridMultilevel"/>
    <w:tmpl w:val="41026372"/>
    <w:lvl w:ilvl="0" w:tplc="A8E83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76400"/>
    <w:multiLevelType w:val="hybridMultilevel"/>
    <w:tmpl w:val="5D0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0E3E8F"/>
    <w:multiLevelType w:val="hybridMultilevel"/>
    <w:tmpl w:val="7EB8DD74"/>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57DC6"/>
    <w:multiLevelType w:val="hybridMultilevel"/>
    <w:tmpl w:val="D290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D23A9"/>
    <w:multiLevelType w:val="hybridMultilevel"/>
    <w:tmpl w:val="C7F0BFE4"/>
    <w:lvl w:ilvl="0" w:tplc="3B92DDE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6" w15:restartNumberingAfterBreak="0">
    <w:nsid w:val="6FA6736F"/>
    <w:multiLevelType w:val="hybridMultilevel"/>
    <w:tmpl w:val="0022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D32F47"/>
    <w:multiLevelType w:val="hybridMultilevel"/>
    <w:tmpl w:val="06D461BE"/>
    <w:lvl w:ilvl="0" w:tplc="D5C2FED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E539E"/>
    <w:multiLevelType w:val="hybridMultilevel"/>
    <w:tmpl w:val="072A3378"/>
    <w:lvl w:ilvl="0" w:tplc="B914D54A">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9081A"/>
    <w:multiLevelType w:val="hybridMultilevel"/>
    <w:tmpl w:val="096485B8"/>
    <w:lvl w:ilvl="0" w:tplc="EF064400">
      <w:start w:val="1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D3F49"/>
    <w:multiLevelType w:val="hybridMultilevel"/>
    <w:tmpl w:val="4F0E3B56"/>
    <w:lvl w:ilvl="0" w:tplc="3B92DDE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5"/>
  </w:num>
  <w:num w:numId="5">
    <w:abstractNumId w:val="6"/>
  </w:num>
  <w:num w:numId="6">
    <w:abstractNumId w:val="22"/>
  </w:num>
  <w:num w:numId="7">
    <w:abstractNumId w:val="12"/>
  </w:num>
  <w:num w:numId="8">
    <w:abstractNumId w:val="4"/>
  </w:num>
  <w:num w:numId="9">
    <w:abstractNumId w:val="29"/>
  </w:num>
  <w:num w:numId="10">
    <w:abstractNumId w:val="8"/>
  </w:num>
  <w:num w:numId="11">
    <w:abstractNumId w:val="24"/>
  </w:num>
  <w:num w:numId="12">
    <w:abstractNumId w:val="17"/>
  </w:num>
  <w:num w:numId="13">
    <w:abstractNumId w:val="20"/>
  </w:num>
  <w:num w:numId="14">
    <w:abstractNumId w:val="1"/>
  </w:num>
  <w:num w:numId="15">
    <w:abstractNumId w:val="21"/>
  </w:num>
  <w:num w:numId="16">
    <w:abstractNumId w:val="26"/>
  </w:num>
  <w:num w:numId="17">
    <w:abstractNumId w:val="18"/>
  </w:num>
  <w:num w:numId="18">
    <w:abstractNumId w:val="0"/>
  </w:num>
  <w:num w:numId="19">
    <w:abstractNumId w:val="9"/>
  </w:num>
  <w:num w:numId="20">
    <w:abstractNumId w:val="19"/>
  </w:num>
  <w:num w:numId="21">
    <w:abstractNumId w:val="11"/>
  </w:num>
  <w:num w:numId="22">
    <w:abstractNumId w:val="13"/>
  </w:num>
  <w:num w:numId="23">
    <w:abstractNumId w:val="30"/>
  </w:num>
  <w:num w:numId="24">
    <w:abstractNumId w:val="23"/>
  </w:num>
  <w:num w:numId="25">
    <w:abstractNumId w:val="2"/>
  </w:num>
  <w:num w:numId="26">
    <w:abstractNumId w:val="16"/>
  </w:num>
  <w:num w:numId="27">
    <w:abstractNumId w:val="5"/>
  </w:num>
  <w:num w:numId="28">
    <w:abstractNumId w:val="3"/>
  </w:num>
  <w:num w:numId="29">
    <w:abstractNumId w:val="7"/>
  </w:num>
  <w:num w:numId="30">
    <w:abstractNumId w:val="25"/>
  </w:num>
  <w:num w:numId="31">
    <w:abstractNumId w:val="31"/>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146A0"/>
    <w:rsid w:val="00023708"/>
    <w:rsid w:val="00024901"/>
    <w:rsid w:val="00052447"/>
    <w:rsid w:val="000B3C6B"/>
    <w:rsid w:val="000D576D"/>
    <w:rsid w:val="000E33C9"/>
    <w:rsid w:val="000F3C6A"/>
    <w:rsid w:val="001126E3"/>
    <w:rsid w:val="00127E71"/>
    <w:rsid w:val="00133705"/>
    <w:rsid w:val="001350E0"/>
    <w:rsid w:val="00142FAA"/>
    <w:rsid w:val="00150AC8"/>
    <w:rsid w:val="00151EB5"/>
    <w:rsid w:val="00154269"/>
    <w:rsid w:val="00162909"/>
    <w:rsid w:val="00182AEF"/>
    <w:rsid w:val="001912B5"/>
    <w:rsid w:val="001B66C8"/>
    <w:rsid w:val="001F421F"/>
    <w:rsid w:val="001F6AA3"/>
    <w:rsid w:val="00222EFC"/>
    <w:rsid w:val="00224B7D"/>
    <w:rsid w:val="00234135"/>
    <w:rsid w:val="00234C4D"/>
    <w:rsid w:val="00243133"/>
    <w:rsid w:val="00254984"/>
    <w:rsid w:val="0026417D"/>
    <w:rsid w:val="00264932"/>
    <w:rsid w:val="00292053"/>
    <w:rsid w:val="00296324"/>
    <w:rsid w:val="002C4571"/>
    <w:rsid w:val="00312EBF"/>
    <w:rsid w:val="0031607D"/>
    <w:rsid w:val="00326B23"/>
    <w:rsid w:val="00332B8C"/>
    <w:rsid w:val="0034775E"/>
    <w:rsid w:val="00353950"/>
    <w:rsid w:val="0037381B"/>
    <w:rsid w:val="003759F0"/>
    <w:rsid w:val="00395408"/>
    <w:rsid w:val="003A0C63"/>
    <w:rsid w:val="003C5307"/>
    <w:rsid w:val="00407D53"/>
    <w:rsid w:val="004429A4"/>
    <w:rsid w:val="00443D22"/>
    <w:rsid w:val="004A0967"/>
    <w:rsid w:val="004B2DC0"/>
    <w:rsid w:val="004B784D"/>
    <w:rsid w:val="004E377A"/>
    <w:rsid w:val="00503E44"/>
    <w:rsid w:val="00512E30"/>
    <w:rsid w:val="0053771A"/>
    <w:rsid w:val="0057313B"/>
    <w:rsid w:val="00574537"/>
    <w:rsid w:val="005931C4"/>
    <w:rsid w:val="005A29EB"/>
    <w:rsid w:val="005A2ACF"/>
    <w:rsid w:val="005A7F6B"/>
    <w:rsid w:val="00650494"/>
    <w:rsid w:val="00683026"/>
    <w:rsid w:val="006B2327"/>
    <w:rsid w:val="006F038B"/>
    <w:rsid w:val="006F18B4"/>
    <w:rsid w:val="00785113"/>
    <w:rsid w:val="007F4F8A"/>
    <w:rsid w:val="00822294"/>
    <w:rsid w:val="00825DF1"/>
    <w:rsid w:val="0084461B"/>
    <w:rsid w:val="008506B7"/>
    <w:rsid w:val="008711A8"/>
    <w:rsid w:val="009105F1"/>
    <w:rsid w:val="00937BA6"/>
    <w:rsid w:val="00970018"/>
    <w:rsid w:val="00970BD6"/>
    <w:rsid w:val="009730C5"/>
    <w:rsid w:val="009750AC"/>
    <w:rsid w:val="009A50C2"/>
    <w:rsid w:val="009D2049"/>
    <w:rsid w:val="009D3A7A"/>
    <w:rsid w:val="009D54C2"/>
    <w:rsid w:val="009E3B36"/>
    <w:rsid w:val="009E6281"/>
    <w:rsid w:val="00A536ED"/>
    <w:rsid w:val="00A71FB7"/>
    <w:rsid w:val="00A7706D"/>
    <w:rsid w:val="00A95BE1"/>
    <w:rsid w:val="00AC13A9"/>
    <w:rsid w:val="00AC2AA5"/>
    <w:rsid w:val="00AD55CE"/>
    <w:rsid w:val="00B0183E"/>
    <w:rsid w:val="00B33B72"/>
    <w:rsid w:val="00B63290"/>
    <w:rsid w:val="00B67DCA"/>
    <w:rsid w:val="00B7233B"/>
    <w:rsid w:val="00B77154"/>
    <w:rsid w:val="00B82D71"/>
    <w:rsid w:val="00B965A3"/>
    <w:rsid w:val="00B96F6E"/>
    <w:rsid w:val="00BB243E"/>
    <w:rsid w:val="00BB2E24"/>
    <w:rsid w:val="00BB537E"/>
    <w:rsid w:val="00BC4EA9"/>
    <w:rsid w:val="00C00C64"/>
    <w:rsid w:val="00C0210F"/>
    <w:rsid w:val="00C042DA"/>
    <w:rsid w:val="00C25612"/>
    <w:rsid w:val="00C27AE0"/>
    <w:rsid w:val="00C56F91"/>
    <w:rsid w:val="00C60578"/>
    <w:rsid w:val="00CA19ED"/>
    <w:rsid w:val="00CA40CD"/>
    <w:rsid w:val="00CB2903"/>
    <w:rsid w:val="00CE2CAD"/>
    <w:rsid w:val="00CF3963"/>
    <w:rsid w:val="00D01062"/>
    <w:rsid w:val="00D033C0"/>
    <w:rsid w:val="00D22F49"/>
    <w:rsid w:val="00D516FF"/>
    <w:rsid w:val="00D54163"/>
    <w:rsid w:val="00D57413"/>
    <w:rsid w:val="00D82AFF"/>
    <w:rsid w:val="00D95C75"/>
    <w:rsid w:val="00DA4FA0"/>
    <w:rsid w:val="00E030E6"/>
    <w:rsid w:val="00E16DC5"/>
    <w:rsid w:val="00E17A0D"/>
    <w:rsid w:val="00E55857"/>
    <w:rsid w:val="00E81AE2"/>
    <w:rsid w:val="00EB47F7"/>
    <w:rsid w:val="00EC3C9D"/>
    <w:rsid w:val="00EC50F0"/>
    <w:rsid w:val="00EC5FB0"/>
    <w:rsid w:val="00ED071B"/>
    <w:rsid w:val="00F42905"/>
    <w:rsid w:val="00F506AC"/>
    <w:rsid w:val="00F57FBA"/>
    <w:rsid w:val="00F726C2"/>
    <w:rsid w:val="00F97E78"/>
    <w:rsid w:val="00FA65C2"/>
    <w:rsid w:val="00FC4255"/>
    <w:rsid w:val="00FE3AEC"/>
    <w:rsid w:val="00FE4C46"/>
    <w:rsid w:val="00FF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7A9A6E5F"/>
  <w15:docId w15:val="{68101A37-9E8A-40D4-91C7-A6FC2CCD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062"/>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UnresolvedMention">
    <w:name w:val="Unresolved Mention"/>
    <w:basedOn w:val="DefaultParagraphFont"/>
    <w:uiPriority w:val="99"/>
    <w:semiHidden/>
    <w:unhideWhenUsed/>
    <w:rsid w:val="00222E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357318264">
      <w:bodyDiv w:val="1"/>
      <w:marLeft w:val="0"/>
      <w:marRight w:val="0"/>
      <w:marTop w:val="0"/>
      <w:marBottom w:val="0"/>
      <w:divBdr>
        <w:top w:val="none" w:sz="0" w:space="0" w:color="auto"/>
        <w:left w:val="none" w:sz="0" w:space="0" w:color="auto"/>
        <w:bottom w:val="none" w:sz="0" w:space="0" w:color="auto"/>
        <w:right w:val="none" w:sz="0" w:space="0" w:color="auto"/>
      </w:divBdr>
    </w:div>
    <w:div w:id="719016223">
      <w:bodyDiv w:val="1"/>
      <w:marLeft w:val="0"/>
      <w:marRight w:val="0"/>
      <w:marTop w:val="0"/>
      <w:marBottom w:val="0"/>
      <w:divBdr>
        <w:top w:val="none" w:sz="0" w:space="0" w:color="auto"/>
        <w:left w:val="none" w:sz="0" w:space="0" w:color="auto"/>
        <w:bottom w:val="none" w:sz="0" w:space="0" w:color="auto"/>
        <w:right w:val="none" w:sz="0" w:space="0" w:color="auto"/>
      </w:divBdr>
    </w:div>
    <w:div w:id="1171144649">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blacker@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K57F673QWXRZ-1522804672-264</_dlc_DocId>
    <_dlc_DocIdUrl xmlns="cccaf3ac-2de9-44d4-aa31-54302fceb5f7">
      <Url>https://nhsengland.sharepoint.com/TeamCentre/Operations/SpecialisedCommissioning/TWA/Contracting/contracting1920/_layouts/15/DocIdRedir.aspx?ID=K57F673QWXRZ-1522804672-264</Url>
      <Description>K57F673QWXRZ-1522804672-264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AC2D9-6C53-4170-A9FB-5BDFB1DD1E9A}">
  <ds:schemaRefs>
    <ds:schemaRef ds:uri="http://schemas.microsoft.com/office/2006/metadata/properties"/>
    <ds:schemaRef ds:uri="http://schemas.microsoft.com/office/infopath/2007/PartnerControls"/>
    <ds:schemaRef ds:uri="cccaf3ac-2de9-44d4-aa31-54302fceb5f7"/>
  </ds:schemaRefs>
</ds:datastoreItem>
</file>

<file path=customXml/itemProps2.xml><?xml version="1.0" encoding="utf-8"?>
<ds:datastoreItem xmlns:ds="http://schemas.openxmlformats.org/officeDocument/2006/customXml" ds:itemID="{BCFB8C5D-7ED7-47AF-8257-66A62C588EAE}">
  <ds:schemaRefs>
    <ds:schemaRef ds:uri="http://schemas.microsoft.com/sharepoint/v3/contenttype/forms"/>
  </ds:schemaRefs>
</ds:datastoreItem>
</file>

<file path=customXml/itemProps3.xml><?xml version="1.0" encoding="utf-8"?>
<ds:datastoreItem xmlns:ds="http://schemas.openxmlformats.org/officeDocument/2006/customXml" ds:itemID="{175F250E-3388-4325-BCB9-B279B8324AF0}">
  <ds:schemaRefs>
    <ds:schemaRef ds:uri="http://schemas.microsoft.com/sharepoint/events"/>
  </ds:schemaRefs>
</ds:datastoreItem>
</file>

<file path=customXml/itemProps4.xml><?xml version="1.0" encoding="utf-8"?>
<ds:datastoreItem xmlns:ds="http://schemas.openxmlformats.org/officeDocument/2006/customXml" ds:itemID="{7084D534-283C-4675-B7D6-3DA8CD54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Towers, Jennifer</cp:lastModifiedBy>
  <cp:revision>3</cp:revision>
  <dcterms:created xsi:type="dcterms:W3CDTF">2019-03-05T10:32:00Z</dcterms:created>
  <dcterms:modified xsi:type="dcterms:W3CDTF">2019-07-08T15:59:00Z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fdeb867b-0ecb-4a06-9fda-8533327b6fef</vt:lpwstr>
  </property>
</Properties>
</file>