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D1775" w:rsidRDefault="006D1775" w:rsidP="006D1775">
      <w:pPr>
        <w:pStyle w:val="Heading2"/>
        <w:numPr>
          <w:ilvl w:val="0"/>
          <w:numId w:val="0"/>
        </w:numPr>
        <w:jc w:val="right"/>
        <w:rPr>
          <w:rFonts w:cs="Arial"/>
          <w:color w:val="auto"/>
        </w:rPr>
      </w:pPr>
      <w:bookmarkStart w:id="0" w:name="_Toc444592572"/>
      <w:r>
        <w:rPr>
          <w:noProof/>
          <w:lang w:eastAsia="en-GB"/>
        </w:rPr>
        <w:drawing>
          <wp:inline distT="0" distB="0" distL="0" distR="0" wp14:anchorId="57F0716F" wp14:editId="3E3C9B72">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6183C83E" w14:textId="77777777"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06DA11D3"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1B5AA660" w14:textId="77777777" w:rsidR="00A261DF" w:rsidRDefault="00A261DF" w:rsidP="00A261DF">
      <w:pPr>
        <w:pStyle w:val="Heading2"/>
        <w:numPr>
          <w:ilvl w:val="0"/>
          <w:numId w:val="0"/>
        </w:numPr>
        <w:rPr>
          <w:rFonts w:cs="Arial"/>
          <w:i/>
        </w:rPr>
      </w:pPr>
      <w:r>
        <w:rPr>
          <w:rFonts w:cs="Arial"/>
          <w:i/>
        </w:rPr>
        <w:t>[Section B to be completed before insertion in contracts.</w:t>
      </w:r>
      <w:bookmarkStart w:id="1" w:name="_GoBack"/>
      <w:bookmarkEnd w:id="1"/>
      <w:r>
        <w:rPr>
          <w:rFonts w:cs="Arial"/>
          <w:i/>
        </w:rPr>
        <w:t>]</w:t>
      </w:r>
    </w:p>
    <w:p w14:paraId="5D963FB1" w14:textId="745E5F15" w:rsidR="00154269" w:rsidRPr="006165B2" w:rsidRDefault="00E97B27" w:rsidP="00AD55CE">
      <w:pPr>
        <w:pStyle w:val="Heading2"/>
        <w:numPr>
          <w:ilvl w:val="0"/>
          <w:numId w:val="0"/>
        </w:numPr>
        <w:rPr>
          <w:rFonts w:cs="Arial"/>
          <w:color w:val="auto"/>
        </w:rPr>
      </w:pPr>
      <w:r>
        <w:rPr>
          <w:rFonts w:cs="Arial"/>
          <w:color w:val="auto"/>
        </w:rPr>
        <w:t>PSS9</w:t>
      </w:r>
      <w:r w:rsidR="00CE3553">
        <w:rPr>
          <w:rFonts w:cs="Arial"/>
          <w:color w:val="auto"/>
        </w:rPr>
        <w:t xml:space="preserve"> </w:t>
      </w:r>
      <w:r w:rsidR="007423DB" w:rsidRPr="006165B2">
        <w:rPr>
          <w:rFonts w:cs="Arial"/>
          <w:color w:val="auto"/>
        </w:rPr>
        <w:t xml:space="preserve">Immunoglobulin </w:t>
      </w:r>
      <w:bookmarkEnd w:id="0"/>
      <w:r w:rsidR="00191B56">
        <w:rPr>
          <w:rFonts w:cs="Arial"/>
          <w:color w:val="auto"/>
        </w:rPr>
        <w:t>Stewardship</w:t>
      </w:r>
      <w:r w:rsidR="007B26CF">
        <w:rPr>
          <w:rFonts w:cs="Arial"/>
          <w:color w:val="auto"/>
        </w:rPr>
        <w:t xml:space="preserve"> </w:t>
      </w:r>
      <w:r w:rsidR="007B26CF" w:rsidRPr="007B26CF">
        <w:rPr>
          <w:rFonts w:cs="Arial"/>
          <w:color w:val="auto"/>
          <w:sz w:val="22"/>
        </w:rPr>
        <w:t>(v1 19 March 2019)</w:t>
      </w:r>
    </w:p>
    <w:tbl>
      <w:tblPr>
        <w:tblStyle w:val="TableGrid"/>
        <w:tblW w:w="5349" w:type="pct"/>
        <w:tblLook w:val="04A0" w:firstRow="1" w:lastRow="0" w:firstColumn="1" w:lastColumn="0" w:noHBand="0" w:noVBand="1"/>
      </w:tblPr>
      <w:tblGrid>
        <w:gridCol w:w="2319"/>
        <w:gridCol w:w="1103"/>
        <w:gridCol w:w="6090"/>
        <w:gridCol w:w="133"/>
      </w:tblGrid>
      <w:tr w:rsidR="00154269" w:rsidRPr="000412A1" w14:paraId="4A17633B" w14:textId="77777777" w:rsidTr="008711A8">
        <w:trPr>
          <w:gridAfter w:val="1"/>
          <w:wAfter w:w="69" w:type="pct"/>
        </w:trPr>
        <w:tc>
          <w:tcPr>
            <w:tcW w:w="1202" w:type="pct"/>
            <w:shd w:val="clear" w:color="auto" w:fill="4F81BD" w:themeFill="accent1"/>
          </w:tcPr>
          <w:p w14:paraId="1A93B9C2"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61F293CE" w14:textId="77777777" w:rsidR="00154269" w:rsidRPr="00CA40CD" w:rsidRDefault="00191B56" w:rsidP="001F421F">
            <w:pPr>
              <w:rPr>
                <w:rFonts w:cs="Arial"/>
                <w:b/>
                <w:i/>
                <w:color w:val="FFFFFF" w:themeColor="background1"/>
                <w:szCs w:val="24"/>
              </w:rPr>
            </w:pPr>
            <w:proofErr w:type="gramStart"/>
            <w:r>
              <w:rPr>
                <w:rFonts w:cs="Arial"/>
                <w:b/>
                <w:i/>
                <w:color w:val="FFFFFF" w:themeColor="background1"/>
                <w:szCs w:val="24"/>
              </w:rPr>
              <w:t>I</w:t>
            </w:r>
            <w:r w:rsidR="00DD5521">
              <w:rPr>
                <w:rFonts w:cs="Arial"/>
                <w:b/>
                <w:i/>
                <w:color w:val="FFFFFF" w:themeColor="background1"/>
                <w:szCs w:val="24"/>
              </w:rPr>
              <w:t xml:space="preserve">mmunoglobulin </w:t>
            </w:r>
            <w:r>
              <w:rPr>
                <w:rFonts w:cs="Arial"/>
                <w:b/>
                <w:i/>
                <w:color w:val="FFFFFF" w:themeColor="background1"/>
                <w:szCs w:val="24"/>
              </w:rPr>
              <w:t xml:space="preserve"> Stewardship</w:t>
            </w:r>
            <w:proofErr w:type="gramEnd"/>
          </w:p>
        </w:tc>
      </w:tr>
      <w:tr w:rsidR="00326B23" w:rsidRPr="000412A1" w14:paraId="3B8C7676" w14:textId="77777777" w:rsidTr="007423DB">
        <w:trPr>
          <w:gridAfter w:val="1"/>
          <w:wAfter w:w="69" w:type="pct"/>
        </w:trPr>
        <w:tc>
          <w:tcPr>
            <w:tcW w:w="4931" w:type="pct"/>
            <w:gridSpan w:val="3"/>
            <w:shd w:val="clear" w:color="auto" w:fill="BFBFBF" w:themeFill="background1" w:themeFillShade="BF"/>
          </w:tcPr>
          <w:p w14:paraId="5C98FB7B" w14:textId="77777777"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4CBA7933" w14:textId="77777777" w:rsidTr="008711A8">
        <w:trPr>
          <w:gridAfter w:val="1"/>
          <w:wAfter w:w="69" w:type="pct"/>
        </w:trPr>
        <w:tc>
          <w:tcPr>
            <w:tcW w:w="1202" w:type="pct"/>
            <w:shd w:val="clear" w:color="auto" w:fill="D9D9D9" w:themeFill="background1" w:themeFillShade="D9"/>
          </w:tcPr>
          <w:p w14:paraId="4CC66A4F" w14:textId="77777777" w:rsidR="00023708" w:rsidRDefault="00023708" w:rsidP="0084461B">
            <w:pPr>
              <w:rPr>
                <w:rFonts w:cs="Arial"/>
                <w:szCs w:val="24"/>
              </w:rPr>
            </w:pPr>
            <w:r>
              <w:rPr>
                <w:rFonts w:cs="Arial"/>
                <w:szCs w:val="24"/>
              </w:rPr>
              <w:t>Indicator Sponsor (with email address)</w:t>
            </w:r>
          </w:p>
        </w:tc>
        <w:tc>
          <w:tcPr>
            <w:tcW w:w="3729" w:type="pct"/>
            <w:gridSpan w:val="2"/>
          </w:tcPr>
          <w:p w14:paraId="0D02FE73" w14:textId="77777777" w:rsidR="007423DB" w:rsidRPr="007423DB" w:rsidRDefault="007423DB" w:rsidP="007423DB">
            <w:pPr>
              <w:rPr>
                <w:rFonts w:cs="Arial"/>
                <w:i/>
                <w:szCs w:val="24"/>
              </w:rPr>
            </w:pPr>
            <w:r w:rsidRPr="007423DB">
              <w:rPr>
                <w:rFonts w:cs="Arial"/>
                <w:i/>
                <w:szCs w:val="24"/>
              </w:rPr>
              <w:t xml:space="preserve">Rob </w:t>
            </w:r>
            <w:proofErr w:type="spellStart"/>
            <w:r w:rsidRPr="007423DB">
              <w:rPr>
                <w:rFonts w:cs="Arial"/>
                <w:i/>
                <w:szCs w:val="24"/>
              </w:rPr>
              <w:t>Coster</w:t>
            </w:r>
            <w:proofErr w:type="spellEnd"/>
          </w:p>
          <w:p w14:paraId="2DFD39BD" w14:textId="77777777" w:rsidR="007423DB" w:rsidRPr="007423DB" w:rsidRDefault="007B26CF" w:rsidP="007423DB">
            <w:pPr>
              <w:rPr>
                <w:rFonts w:cs="Arial"/>
                <w:i/>
                <w:szCs w:val="24"/>
              </w:rPr>
            </w:pPr>
            <w:hyperlink r:id="rId13" w:history="1">
              <w:r w:rsidR="00B43461" w:rsidRPr="001F70A6">
                <w:rPr>
                  <w:rStyle w:val="Hyperlink"/>
                  <w:rFonts w:cs="Arial"/>
                  <w:szCs w:val="24"/>
                </w:rPr>
                <w:t>Robcoster@nhs.net</w:t>
              </w:r>
            </w:hyperlink>
            <w:r w:rsidR="00B43461">
              <w:rPr>
                <w:rFonts w:cs="Arial"/>
                <w:i/>
                <w:szCs w:val="24"/>
              </w:rPr>
              <w:t xml:space="preserve"> </w:t>
            </w:r>
          </w:p>
          <w:p w14:paraId="0A37501D" w14:textId="77777777" w:rsidR="00023708" w:rsidRDefault="00023708" w:rsidP="0084461B">
            <w:pPr>
              <w:rPr>
                <w:rFonts w:cs="Arial"/>
                <w:i/>
                <w:szCs w:val="24"/>
              </w:rPr>
            </w:pPr>
          </w:p>
        </w:tc>
      </w:tr>
      <w:tr w:rsidR="007423DB" w:rsidRPr="000412A1" w14:paraId="3089847F" w14:textId="77777777" w:rsidTr="008711A8">
        <w:trPr>
          <w:gridAfter w:val="1"/>
          <w:wAfter w:w="69" w:type="pct"/>
        </w:trPr>
        <w:tc>
          <w:tcPr>
            <w:tcW w:w="1202" w:type="pct"/>
            <w:shd w:val="clear" w:color="auto" w:fill="D9D9D9" w:themeFill="background1" w:themeFillShade="D9"/>
          </w:tcPr>
          <w:p w14:paraId="4D86AC25" w14:textId="77777777" w:rsidR="007423DB" w:rsidRPr="000412A1" w:rsidRDefault="007423DB" w:rsidP="007423DB">
            <w:pPr>
              <w:rPr>
                <w:rFonts w:cs="Arial"/>
                <w:szCs w:val="24"/>
              </w:rPr>
            </w:pPr>
            <w:r>
              <w:rPr>
                <w:rFonts w:cs="Arial"/>
                <w:szCs w:val="24"/>
              </w:rPr>
              <w:t xml:space="preserve">Improving </w:t>
            </w:r>
            <w:proofErr w:type="gramStart"/>
            <w:r>
              <w:rPr>
                <w:rFonts w:cs="Arial"/>
                <w:szCs w:val="24"/>
              </w:rPr>
              <w:t>Value  Reference</w:t>
            </w:r>
            <w:proofErr w:type="gramEnd"/>
          </w:p>
        </w:tc>
        <w:tc>
          <w:tcPr>
            <w:tcW w:w="3729" w:type="pct"/>
            <w:gridSpan w:val="2"/>
          </w:tcPr>
          <w:p w14:paraId="5D7A03C0" w14:textId="77777777" w:rsidR="007423DB" w:rsidRPr="00CA40CD" w:rsidRDefault="007423DB" w:rsidP="007423DB">
            <w:pPr>
              <w:rPr>
                <w:rFonts w:cs="Arial"/>
                <w:i/>
                <w:szCs w:val="24"/>
              </w:rPr>
            </w:pPr>
            <w:r w:rsidRPr="000C50F5">
              <w:rPr>
                <w:rFonts w:cs="Arial"/>
                <w:i/>
                <w:szCs w:val="24"/>
              </w:rPr>
              <w:t>Ref: FO6181918BI</w:t>
            </w:r>
            <w:r w:rsidR="00B20F55">
              <w:rPr>
                <w:rFonts w:cs="Arial"/>
                <w:i/>
                <w:szCs w:val="24"/>
              </w:rPr>
              <w:t xml:space="preserve"> Current National IV Scheme</w:t>
            </w:r>
          </w:p>
        </w:tc>
      </w:tr>
      <w:tr w:rsidR="007423DB" w:rsidRPr="000412A1" w14:paraId="1639BE18" w14:textId="77777777" w:rsidTr="008711A8">
        <w:trPr>
          <w:gridAfter w:val="1"/>
          <w:wAfter w:w="69" w:type="pct"/>
        </w:trPr>
        <w:tc>
          <w:tcPr>
            <w:tcW w:w="1202" w:type="pct"/>
            <w:shd w:val="clear" w:color="auto" w:fill="D9D9D9" w:themeFill="background1" w:themeFillShade="D9"/>
          </w:tcPr>
          <w:p w14:paraId="07ED5907" w14:textId="77777777" w:rsidR="007423DB" w:rsidRPr="000412A1" w:rsidRDefault="007423DB" w:rsidP="007423DB">
            <w:pPr>
              <w:rPr>
                <w:rFonts w:cs="Arial"/>
                <w:szCs w:val="24"/>
              </w:rPr>
            </w:pPr>
            <w:r w:rsidRPr="000412A1">
              <w:rPr>
                <w:rFonts w:cs="Arial"/>
                <w:szCs w:val="24"/>
              </w:rPr>
              <w:t>Duration</w:t>
            </w:r>
          </w:p>
        </w:tc>
        <w:tc>
          <w:tcPr>
            <w:tcW w:w="3729" w:type="pct"/>
            <w:gridSpan w:val="2"/>
          </w:tcPr>
          <w:p w14:paraId="74955185" w14:textId="77777777" w:rsidR="007423DB" w:rsidRPr="00CA40CD" w:rsidRDefault="007423DB" w:rsidP="007423DB">
            <w:pPr>
              <w:rPr>
                <w:rFonts w:cs="Arial"/>
                <w:i/>
                <w:szCs w:val="24"/>
              </w:rPr>
            </w:pPr>
            <w:r>
              <w:rPr>
                <w:rFonts w:cs="Arial"/>
                <w:szCs w:val="24"/>
              </w:rPr>
              <w:t>Two</w:t>
            </w:r>
            <w:r w:rsidR="00B43461">
              <w:rPr>
                <w:rFonts w:cs="Arial"/>
                <w:szCs w:val="24"/>
              </w:rPr>
              <w:t xml:space="preserve"> Years</w:t>
            </w:r>
          </w:p>
        </w:tc>
      </w:tr>
      <w:tr w:rsidR="007423DB" w:rsidRPr="000412A1" w14:paraId="0818BD13" w14:textId="77777777" w:rsidTr="008711A8">
        <w:trPr>
          <w:gridAfter w:val="1"/>
          <w:wAfter w:w="69" w:type="pct"/>
        </w:trPr>
        <w:tc>
          <w:tcPr>
            <w:tcW w:w="1202" w:type="pct"/>
            <w:shd w:val="clear" w:color="auto" w:fill="D9D9D9" w:themeFill="background1" w:themeFillShade="D9"/>
          </w:tcPr>
          <w:p w14:paraId="6B67AC39" w14:textId="77777777" w:rsidR="007423DB" w:rsidRPr="000412A1" w:rsidRDefault="007423DB" w:rsidP="007423DB">
            <w:pPr>
              <w:rPr>
                <w:rFonts w:cs="Arial"/>
                <w:szCs w:val="24"/>
              </w:rPr>
            </w:pPr>
            <w:r>
              <w:rPr>
                <w:rFonts w:cs="Arial"/>
                <w:szCs w:val="24"/>
              </w:rPr>
              <w:t>CCG Complementarity</w:t>
            </w:r>
          </w:p>
        </w:tc>
        <w:tc>
          <w:tcPr>
            <w:tcW w:w="3729" w:type="pct"/>
            <w:gridSpan w:val="2"/>
          </w:tcPr>
          <w:p w14:paraId="744C2891" w14:textId="77777777" w:rsidR="007423DB" w:rsidRPr="00B77154" w:rsidRDefault="00B86BBB" w:rsidP="007423DB">
            <w:pPr>
              <w:rPr>
                <w:rFonts w:cs="Arial"/>
                <w:i/>
                <w:szCs w:val="24"/>
              </w:rPr>
            </w:pPr>
            <w:r>
              <w:rPr>
                <w:rFonts w:cs="Arial"/>
                <w:i/>
                <w:szCs w:val="24"/>
              </w:rPr>
              <w:t xml:space="preserve">Nil </w:t>
            </w:r>
            <w:r w:rsidR="007423DB">
              <w:rPr>
                <w:rFonts w:cs="Arial"/>
                <w:i/>
                <w:szCs w:val="24"/>
              </w:rPr>
              <w:t>[Reference any related CCG indicators]</w:t>
            </w:r>
          </w:p>
        </w:tc>
      </w:tr>
      <w:tr w:rsidR="007423DB" w:rsidRPr="000412A1" w14:paraId="5BC632CE" w14:textId="77777777" w:rsidTr="007423DB">
        <w:trPr>
          <w:gridAfter w:val="1"/>
          <w:wAfter w:w="69" w:type="pct"/>
          <w:trHeight w:val="1365"/>
        </w:trPr>
        <w:tc>
          <w:tcPr>
            <w:tcW w:w="4931" w:type="pct"/>
            <w:gridSpan w:val="3"/>
          </w:tcPr>
          <w:p w14:paraId="4A3FA6B8" w14:textId="77777777" w:rsidR="007423DB" w:rsidRDefault="007423DB" w:rsidP="007423DB">
            <w:pPr>
              <w:rPr>
                <w:rFonts w:cs="Arial"/>
                <w:b/>
                <w:szCs w:val="24"/>
              </w:rPr>
            </w:pPr>
            <w:r w:rsidRPr="00326B23">
              <w:rPr>
                <w:rFonts w:cs="Arial"/>
                <w:b/>
                <w:szCs w:val="24"/>
                <w:u w:val="single"/>
              </w:rPr>
              <w:t>Problem to be addressed</w:t>
            </w:r>
            <w:r>
              <w:rPr>
                <w:rFonts w:cs="Arial"/>
                <w:b/>
                <w:szCs w:val="24"/>
                <w:u w:val="single"/>
              </w:rPr>
              <w:t xml:space="preserve"> (maximum 150 words)</w:t>
            </w:r>
            <w:r w:rsidRPr="00A95BE1">
              <w:rPr>
                <w:rFonts w:cs="Arial"/>
                <w:b/>
                <w:szCs w:val="24"/>
              </w:rPr>
              <w:t>:</w:t>
            </w:r>
          </w:p>
          <w:p w14:paraId="0D10790B" w14:textId="77777777" w:rsidR="007423DB" w:rsidRPr="00D46AE5" w:rsidRDefault="007423DB" w:rsidP="007423DB">
            <w:pPr>
              <w:rPr>
                <w:rFonts w:cs="Arial"/>
                <w:b/>
                <w:color w:val="FF0000"/>
                <w:szCs w:val="24"/>
              </w:rPr>
            </w:pPr>
            <w:r w:rsidRPr="00D46AE5">
              <w:rPr>
                <w:rFonts w:cs="Arial"/>
                <w:b/>
                <w:i/>
                <w:color w:val="FF0000"/>
                <w:szCs w:val="24"/>
              </w:rPr>
              <w:t>[</w:t>
            </w:r>
            <w:r w:rsidRPr="00D46AE5">
              <w:rPr>
                <w:rFonts w:cs="Arial"/>
                <w:i/>
                <w:color w:val="FF0000"/>
                <w:szCs w:val="24"/>
              </w:rPr>
              <w:t>Briefly characterise the shortfall in quality or efficiency that the indicator is designed to address; detailed evidence should be placed in section D1</w:t>
            </w:r>
            <w:r w:rsidRPr="00D46AE5">
              <w:rPr>
                <w:rFonts w:cs="Arial"/>
                <w:b/>
                <w:i/>
                <w:color w:val="FF0000"/>
                <w:szCs w:val="24"/>
              </w:rPr>
              <w:t>]</w:t>
            </w:r>
            <w:r w:rsidRPr="00D46AE5">
              <w:rPr>
                <w:rFonts w:cs="Arial"/>
                <w:b/>
                <w:color w:val="FF0000"/>
                <w:szCs w:val="24"/>
              </w:rPr>
              <w:t xml:space="preserve"> </w:t>
            </w:r>
          </w:p>
          <w:p w14:paraId="5DAB6C7B" w14:textId="77777777" w:rsidR="00A37140" w:rsidRDefault="00A37140" w:rsidP="007423DB">
            <w:pPr>
              <w:rPr>
                <w:rFonts w:cs="Arial"/>
                <w:szCs w:val="24"/>
              </w:rPr>
            </w:pPr>
          </w:p>
          <w:p w14:paraId="57D80224" w14:textId="77777777" w:rsidR="007423DB" w:rsidRDefault="007423DB" w:rsidP="007423DB">
            <w:pPr>
              <w:rPr>
                <w:rFonts w:cs="Arial"/>
                <w:szCs w:val="24"/>
              </w:rPr>
            </w:pPr>
            <w:r>
              <w:rPr>
                <w:rFonts w:cs="Arial"/>
                <w:szCs w:val="24"/>
              </w:rPr>
              <w:t xml:space="preserve">There have been </w:t>
            </w:r>
            <w:r w:rsidR="00B86BBB">
              <w:rPr>
                <w:rFonts w:cs="Arial"/>
                <w:szCs w:val="24"/>
              </w:rPr>
              <w:t>continuing</w:t>
            </w:r>
            <w:r>
              <w:rPr>
                <w:rFonts w:cs="Arial"/>
                <w:szCs w:val="24"/>
              </w:rPr>
              <w:t xml:space="preserve"> supply issues with immunoglobulin in 201</w:t>
            </w:r>
            <w:r w:rsidR="00B86BBB">
              <w:rPr>
                <w:rFonts w:cs="Arial"/>
                <w:szCs w:val="24"/>
              </w:rPr>
              <w:t>8</w:t>
            </w:r>
            <w:r>
              <w:rPr>
                <w:rFonts w:cs="Arial"/>
                <w:szCs w:val="24"/>
              </w:rPr>
              <w:t>/1</w:t>
            </w:r>
            <w:r w:rsidR="00B86BBB">
              <w:rPr>
                <w:rFonts w:cs="Arial"/>
                <w:szCs w:val="24"/>
              </w:rPr>
              <w:t>9</w:t>
            </w:r>
            <w:r>
              <w:rPr>
                <w:rFonts w:cs="Arial"/>
                <w:szCs w:val="24"/>
              </w:rPr>
              <w:t xml:space="preserve">, requiring </w:t>
            </w:r>
            <w:r w:rsidR="00B43461">
              <w:rPr>
                <w:rFonts w:cs="Arial"/>
                <w:szCs w:val="24"/>
              </w:rPr>
              <w:t xml:space="preserve">sub-regional </w:t>
            </w:r>
            <w:r>
              <w:rPr>
                <w:rFonts w:cs="Arial"/>
                <w:szCs w:val="24"/>
              </w:rPr>
              <w:t>Immunoglobulin Assessment Panels (</w:t>
            </w:r>
            <w:r w:rsidR="00B43461">
              <w:rPr>
                <w:rFonts w:cs="Arial"/>
                <w:szCs w:val="24"/>
              </w:rPr>
              <w:t>SR</w:t>
            </w:r>
            <w:r>
              <w:rPr>
                <w:rFonts w:cs="Arial"/>
                <w:szCs w:val="24"/>
              </w:rPr>
              <w:t>IAPs)</w:t>
            </w:r>
            <w:r w:rsidR="00B43461">
              <w:rPr>
                <w:rFonts w:cs="Arial"/>
                <w:szCs w:val="24"/>
              </w:rPr>
              <w:t xml:space="preserve"> </w:t>
            </w:r>
            <w:r w:rsidR="00A37140">
              <w:rPr>
                <w:rFonts w:cs="Arial"/>
                <w:szCs w:val="24"/>
              </w:rPr>
              <w:t xml:space="preserve">more closely </w:t>
            </w:r>
            <w:r w:rsidR="00B43461">
              <w:rPr>
                <w:rFonts w:cs="Arial"/>
                <w:szCs w:val="24"/>
              </w:rPr>
              <w:t xml:space="preserve">to </w:t>
            </w:r>
            <w:r>
              <w:rPr>
                <w:rFonts w:cs="Arial"/>
                <w:szCs w:val="24"/>
              </w:rPr>
              <w:t>manage immunoglobulin use, ensuring appropriateness of use, dose, frequency and outcome monitoring.</w:t>
            </w:r>
          </w:p>
          <w:p w14:paraId="02EB378F" w14:textId="77777777" w:rsidR="00B86BBB" w:rsidRDefault="00B86BBB" w:rsidP="007423DB">
            <w:pPr>
              <w:rPr>
                <w:rFonts w:cs="Arial"/>
                <w:szCs w:val="24"/>
              </w:rPr>
            </w:pPr>
          </w:p>
          <w:p w14:paraId="46FFAA54" w14:textId="77777777" w:rsidR="007423DB" w:rsidRDefault="00B86BBB" w:rsidP="007423DB">
            <w:pPr>
              <w:rPr>
                <w:rFonts w:cs="Arial"/>
                <w:szCs w:val="24"/>
              </w:rPr>
            </w:pPr>
            <w:r>
              <w:rPr>
                <w:rFonts w:cs="Arial"/>
                <w:szCs w:val="24"/>
              </w:rPr>
              <w:t xml:space="preserve">A questionnaire on IAP function in 2016 identified considerable variation in the establishment, role and functions of IAPs across England. Improving Value resources were subsequently developed to support the development of regional/hub IAPs; </w:t>
            </w:r>
            <w:r w:rsidR="00B43461">
              <w:rPr>
                <w:rFonts w:cs="Arial"/>
                <w:szCs w:val="24"/>
              </w:rPr>
              <w:t>all regions</w:t>
            </w:r>
            <w:r>
              <w:rPr>
                <w:rFonts w:cs="Arial"/>
                <w:szCs w:val="24"/>
              </w:rPr>
              <w:t xml:space="preserve"> are working with providers to develop </w:t>
            </w:r>
            <w:r w:rsidR="00B43461">
              <w:rPr>
                <w:rFonts w:cs="Arial"/>
                <w:szCs w:val="24"/>
              </w:rPr>
              <w:t>SR</w:t>
            </w:r>
            <w:r>
              <w:rPr>
                <w:rFonts w:cs="Arial"/>
                <w:szCs w:val="24"/>
              </w:rPr>
              <w:t>IAPs although the issue</w:t>
            </w:r>
            <w:r w:rsidR="00B43461">
              <w:rPr>
                <w:rFonts w:cs="Arial"/>
                <w:szCs w:val="24"/>
              </w:rPr>
              <w:t xml:space="preserve"> of financial support for these </w:t>
            </w:r>
            <w:r>
              <w:rPr>
                <w:rFonts w:cs="Arial"/>
                <w:szCs w:val="24"/>
              </w:rPr>
              <w:t>panel</w:t>
            </w:r>
            <w:r w:rsidR="00B43461">
              <w:rPr>
                <w:rFonts w:cs="Arial"/>
                <w:szCs w:val="24"/>
              </w:rPr>
              <w:t>s</w:t>
            </w:r>
            <w:r>
              <w:rPr>
                <w:rFonts w:cs="Arial"/>
                <w:szCs w:val="24"/>
              </w:rPr>
              <w:t xml:space="preserve"> has been repeatedly raised by trusts</w:t>
            </w:r>
            <w:r w:rsidR="00A37140">
              <w:rPr>
                <w:rFonts w:cs="Arial"/>
                <w:szCs w:val="24"/>
              </w:rPr>
              <w:t>.</w:t>
            </w:r>
            <w:r w:rsidR="007423DB">
              <w:rPr>
                <w:rFonts w:cs="Arial"/>
                <w:szCs w:val="24"/>
              </w:rPr>
              <w:t xml:space="preserve"> </w:t>
            </w:r>
            <w:r>
              <w:rPr>
                <w:rFonts w:cs="Arial"/>
                <w:szCs w:val="24"/>
              </w:rPr>
              <w:t>New guidelines have been produced to improve prescribing</w:t>
            </w:r>
            <w:r w:rsidR="00A37140">
              <w:rPr>
                <w:rFonts w:cs="Arial"/>
                <w:szCs w:val="24"/>
              </w:rPr>
              <w:t>,</w:t>
            </w:r>
            <w:r>
              <w:rPr>
                <w:rFonts w:cs="Arial"/>
                <w:szCs w:val="24"/>
              </w:rPr>
              <w:t xml:space="preserve"> and stronger </w:t>
            </w:r>
            <w:r w:rsidR="00B43461">
              <w:rPr>
                <w:rFonts w:cs="Arial"/>
                <w:szCs w:val="24"/>
              </w:rPr>
              <w:t>SR</w:t>
            </w:r>
            <w:r>
              <w:rPr>
                <w:rFonts w:cs="Arial"/>
                <w:szCs w:val="24"/>
              </w:rPr>
              <w:t>IAPs are required to ensure</w:t>
            </w:r>
            <w:r w:rsidR="00B43461">
              <w:rPr>
                <w:rFonts w:cs="Arial"/>
                <w:szCs w:val="24"/>
              </w:rPr>
              <w:t xml:space="preserve"> effective stewardship of Ig following the new</w:t>
            </w:r>
            <w:r>
              <w:rPr>
                <w:rFonts w:cs="Arial"/>
                <w:szCs w:val="24"/>
              </w:rPr>
              <w:t xml:space="preserve"> guidance and to support any demand management measures if they are required</w:t>
            </w:r>
            <w:r w:rsidR="00B43461">
              <w:rPr>
                <w:rFonts w:cs="Arial"/>
                <w:szCs w:val="24"/>
              </w:rPr>
              <w:t xml:space="preserve"> due to on-going supply issues</w:t>
            </w:r>
            <w:r w:rsidR="007423DB">
              <w:rPr>
                <w:rFonts w:cs="Arial"/>
                <w:szCs w:val="24"/>
              </w:rPr>
              <w:t xml:space="preserve">. </w:t>
            </w:r>
            <w:r>
              <w:rPr>
                <w:rFonts w:cs="Arial"/>
                <w:szCs w:val="24"/>
              </w:rPr>
              <w:t xml:space="preserve"> </w:t>
            </w:r>
          </w:p>
          <w:p w14:paraId="6A05A809" w14:textId="77777777" w:rsidR="007423DB" w:rsidRPr="000412A1" w:rsidRDefault="007423DB" w:rsidP="007423DB">
            <w:pPr>
              <w:rPr>
                <w:rFonts w:cs="Arial"/>
                <w:szCs w:val="24"/>
              </w:rPr>
            </w:pPr>
          </w:p>
        </w:tc>
      </w:tr>
      <w:tr w:rsidR="007423DB" w:rsidRPr="000412A1" w14:paraId="5C8500F7" w14:textId="77777777" w:rsidTr="007423DB">
        <w:trPr>
          <w:gridAfter w:val="1"/>
          <w:wAfter w:w="69" w:type="pct"/>
        </w:trPr>
        <w:tc>
          <w:tcPr>
            <w:tcW w:w="4931" w:type="pct"/>
            <w:gridSpan w:val="3"/>
          </w:tcPr>
          <w:p w14:paraId="102B21E6" w14:textId="77777777" w:rsidR="007423DB" w:rsidRPr="00326B23" w:rsidRDefault="007423DB" w:rsidP="007423DB">
            <w:pPr>
              <w:rPr>
                <w:rFonts w:cs="Arial"/>
                <w:b/>
                <w:szCs w:val="24"/>
                <w:u w:val="single"/>
              </w:rPr>
            </w:pPr>
            <w:r w:rsidRPr="00326B23">
              <w:rPr>
                <w:rFonts w:cs="Arial"/>
                <w:b/>
                <w:szCs w:val="24"/>
                <w:u w:val="single"/>
              </w:rPr>
              <w:t>Change sought:</w:t>
            </w:r>
          </w:p>
          <w:p w14:paraId="51D8FA03" w14:textId="77777777" w:rsidR="007423DB" w:rsidRPr="00A95BE1" w:rsidRDefault="007423DB" w:rsidP="007423DB">
            <w:pPr>
              <w:rPr>
                <w:rFonts w:cs="Arial"/>
                <w:b/>
                <w:i/>
                <w:szCs w:val="24"/>
              </w:rPr>
            </w:pPr>
            <w:r w:rsidRPr="004E377A">
              <w:rPr>
                <w:rFonts w:cs="Arial"/>
                <w:i/>
                <w:color w:val="FF0000"/>
                <w:szCs w:val="24"/>
              </w:rPr>
              <w:t>[Specify what change in behaviour is sought in general terms</w:t>
            </w:r>
            <w:r>
              <w:rPr>
                <w:rFonts w:cs="Arial"/>
                <w:i/>
                <w:color w:val="FF0000"/>
                <w:szCs w:val="24"/>
              </w:rPr>
              <w:t>, with detailed specification set out in section C</w:t>
            </w:r>
            <w:r w:rsidRPr="00D46AE5">
              <w:rPr>
                <w:rFonts w:cs="Arial"/>
                <w:i/>
                <w:color w:val="FF0000"/>
                <w:szCs w:val="24"/>
              </w:rPr>
              <w:t>4</w:t>
            </w:r>
            <w:r w:rsidRPr="00D46AE5">
              <w:rPr>
                <w:rFonts w:cs="Arial"/>
                <w:b/>
                <w:i/>
                <w:color w:val="FF0000"/>
                <w:szCs w:val="24"/>
              </w:rPr>
              <w:t xml:space="preserve">.] </w:t>
            </w:r>
          </w:p>
          <w:p w14:paraId="187E663F" w14:textId="77777777" w:rsidR="000256D1" w:rsidRDefault="000256D1" w:rsidP="000256D1">
            <w:pPr>
              <w:rPr>
                <w:rFonts w:cs="Arial"/>
                <w:szCs w:val="24"/>
              </w:rPr>
            </w:pPr>
            <w:r>
              <w:rPr>
                <w:rFonts w:cs="Arial"/>
                <w:szCs w:val="24"/>
              </w:rPr>
              <w:t>All patients requiring immunoglobulin must be assessed or reviewed:</w:t>
            </w:r>
          </w:p>
          <w:p w14:paraId="2F7AC865" w14:textId="77777777" w:rsidR="000256D1" w:rsidRDefault="000256D1" w:rsidP="000256D1">
            <w:pPr>
              <w:pStyle w:val="ListParagraph"/>
              <w:numPr>
                <w:ilvl w:val="0"/>
                <w:numId w:val="16"/>
              </w:numPr>
              <w:rPr>
                <w:rFonts w:cs="Arial"/>
                <w:szCs w:val="24"/>
              </w:rPr>
            </w:pPr>
            <w:r>
              <w:rPr>
                <w:rFonts w:cs="Arial"/>
                <w:szCs w:val="24"/>
              </w:rPr>
              <w:t>All new patients to be reviewed and approved prior to starting use or if emergency use assessed for appropriate and continued usage.</w:t>
            </w:r>
          </w:p>
          <w:p w14:paraId="260F396F" w14:textId="77777777" w:rsidR="000256D1" w:rsidRPr="000256D1" w:rsidRDefault="000256D1" w:rsidP="000256D1">
            <w:pPr>
              <w:pStyle w:val="ListParagraph"/>
              <w:numPr>
                <w:ilvl w:val="0"/>
                <w:numId w:val="16"/>
              </w:numPr>
              <w:rPr>
                <w:rFonts w:cs="Arial"/>
                <w:szCs w:val="24"/>
              </w:rPr>
            </w:pPr>
            <w:r w:rsidRPr="000256D1">
              <w:rPr>
                <w:rFonts w:cs="Arial"/>
                <w:szCs w:val="24"/>
              </w:rPr>
              <w:t>All current patients to be review by panel in terms of dosage, frequency and appropriate use against new NHS England guidelines by March 2020</w:t>
            </w:r>
          </w:p>
          <w:p w14:paraId="5A39BBE3" w14:textId="77777777" w:rsidR="000256D1" w:rsidRDefault="000256D1" w:rsidP="007423DB">
            <w:pPr>
              <w:rPr>
                <w:rFonts w:cs="Arial"/>
                <w:szCs w:val="24"/>
              </w:rPr>
            </w:pPr>
          </w:p>
          <w:p w14:paraId="54CD2519" w14:textId="77777777" w:rsidR="007423DB" w:rsidRDefault="000256D1" w:rsidP="007423DB">
            <w:pPr>
              <w:rPr>
                <w:rFonts w:cs="Arial"/>
                <w:szCs w:val="24"/>
              </w:rPr>
            </w:pPr>
            <w:r>
              <w:rPr>
                <w:rFonts w:cs="Arial"/>
                <w:szCs w:val="24"/>
              </w:rPr>
              <w:lastRenderedPageBreak/>
              <w:t>The CQUIN aims to s</w:t>
            </w:r>
            <w:r w:rsidR="007423DB">
              <w:rPr>
                <w:rFonts w:cs="Arial"/>
                <w:szCs w:val="24"/>
              </w:rPr>
              <w:t xml:space="preserve">upport trusts to develop </w:t>
            </w:r>
            <w:r w:rsidR="00B86BBB">
              <w:rPr>
                <w:rFonts w:cs="Arial"/>
                <w:szCs w:val="24"/>
              </w:rPr>
              <w:t>SR</w:t>
            </w:r>
            <w:r w:rsidR="00B43461">
              <w:rPr>
                <w:rFonts w:cs="Arial"/>
                <w:szCs w:val="24"/>
              </w:rPr>
              <w:t>IAPs</w:t>
            </w:r>
            <w:r w:rsidR="007423DB">
              <w:rPr>
                <w:rFonts w:cs="Arial"/>
                <w:szCs w:val="24"/>
              </w:rPr>
              <w:t xml:space="preserve"> to improve </w:t>
            </w:r>
            <w:r w:rsidR="00B43461">
              <w:rPr>
                <w:rFonts w:cs="Arial"/>
                <w:szCs w:val="24"/>
              </w:rPr>
              <w:t xml:space="preserve">stewardship and </w:t>
            </w:r>
            <w:r w:rsidR="007423DB">
              <w:rPr>
                <w:rFonts w:cs="Arial"/>
                <w:szCs w:val="24"/>
              </w:rPr>
              <w:t>scrutiny of immunoglobulin use and support demand management</w:t>
            </w:r>
            <w:r w:rsidR="00B43461">
              <w:rPr>
                <w:rFonts w:cs="Arial"/>
                <w:szCs w:val="24"/>
              </w:rPr>
              <w:t xml:space="preserve"> implementation if required</w:t>
            </w:r>
            <w:r w:rsidR="007423DB">
              <w:rPr>
                <w:rFonts w:cs="Arial"/>
                <w:szCs w:val="24"/>
              </w:rPr>
              <w:t>.</w:t>
            </w:r>
          </w:p>
          <w:p w14:paraId="41C8F396" w14:textId="77777777" w:rsidR="007423DB" w:rsidRDefault="007423DB" w:rsidP="007423DB">
            <w:pPr>
              <w:rPr>
                <w:rFonts w:cs="Arial"/>
                <w:szCs w:val="24"/>
              </w:rPr>
            </w:pPr>
          </w:p>
          <w:p w14:paraId="6D82FE6A" w14:textId="77777777" w:rsidR="007423DB" w:rsidRDefault="00B43461" w:rsidP="007423DB">
            <w:pPr>
              <w:rPr>
                <w:rFonts w:cs="Arial"/>
                <w:szCs w:val="24"/>
              </w:rPr>
            </w:pPr>
            <w:r>
              <w:rPr>
                <w:rFonts w:cs="Arial"/>
                <w:szCs w:val="24"/>
              </w:rPr>
              <w:t>SR</w:t>
            </w:r>
            <w:r w:rsidR="007423DB">
              <w:rPr>
                <w:rFonts w:cs="Arial"/>
                <w:szCs w:val="24"/>
              </w:rPr>
              <w:t>IAPs will be expected to review increasing requirements for immunoglobulins by trusts in 201</w:t>
            </w:r>
            <w:r w:rsidR="00B86BBB">
              <w:rPr>
                <w:rFonts w:cs="Arial"/>
                <w:szCs w:val="24"/>
              </w:rPr>
              <w:t>9</w:t>
            </w:r>
            <w:r w:rsidR="007423DB">
              <w:rPr>
                <w:rFonts w:cs="Arial"/>
                <w:szCs w:val="24"/>
              </w:rPr>
              <w:t>/</w:t>
            </w:r>
            <w:r w:rsidR="00B86BBB">
              <w:rPr>
                <w:rFonts w:cs="Arial"/>
                <w:szCs w:val="24"/>
              </w:rPr>
              <w:t>20</w:t>
            </w:r>
            <w:r w:rsidR="007423DB">
              <w:rPr>
                <w:rFonts w:cs="Arial"/>
                <w:szCs w:val="24"/>
              </w:rPr>
              <w:t xml:space="preserve"> to manage volumes available. </w:t>
            </w:r>
          </w:p>
          <w:p w14:paraId="72A3D3EC" w14:textId="77777777" w:rsidR="007423DB" w:rsidRDefault="007423DB" w:rsidP="007423DB">
            <w:pPr>
              <w:rPr>
                <w:rFonts w:cs="Arial"/>
                <w:szCs w:val="24"/>
              </w:rPr>
            </w:pPr>
          </w:p>
          <w:p w14:paraId="69A5D6EE" w14:textId="77777777" w:rsidR="007423DB" w:rsidRDefault="00B86BBB" w:rsidP="007423DB">
            <w:pPr>
              <w:rPr>
                <w:rFonts w:cs="Arial"/>
                <w:szCs w:val="24"/>
              </w:rPr>
            </w:pPr>
            <w:r>
              <w:rPr>
                <w:rFonts w:cs="Arial"/>
                <w:szCs w:val="24"/>
              </w:rPr>
              <w:t>It is envisaged that a SR</w:t>
            </w:r>
            <w:r w:rsidR="007423DB">
              <w:rPr>
                <w:rFonts w:cs="Arial"/>
                <w:szCs w:val="24"/>
              </w:rPr>
              <w:t xml:space="preserve">IAP hub level would lead to more robust decision-making and improved oversight of use of immunoglobulin in </w:t>
            </w:r>
            <w:r>
              <w:rPr>
                <w:rFonts w:cs="Arial"/>
                <w:szCs w:val="24"/>
              </w:rPr>
              <w:t xml:space="preserve">new </w:t>
            </w:r>
            <w:proofErr w:type="spellStart"/>
            <w:r>
              <w:rPr>
                <w:rFonts w:cs="Arial"/>
                <w:szCs w:val="24"/>
              </w:rPr>
              <w:t>andf</w:t>
            </w:r>
            <w:proofErr w:type="spellEnd"/>
            <w:r>
              <w:rPr>
                <w:rFonts w:cs="Arial"/>
                <w:szCs w:val="24"/>
              </w:rPr>
              <w:t xml:space="preserve"> </w:t>
            </w:r>
            <w:r w:rsidR="007423DB">
              <w:rPr>
                <w:rFonts w:cs="Arial"/>
                <w:szCs w:val="24"/>
              </w:rPr>
              <w:t>existing patients tha</w:t>
            </w:r>
            <w:r>
              <w:rPr>
                <w:rFonts w:cs="Arial"/>
                <w:szCs w:val="24"/>
              </w:rPr>
              <w:t>n</w:t>
            </w:r>
            <w:r w:rsidR="007423DB">
              <w:rPr>
                <w:rFonts w:cs="Arial"/>
                <w:szCs w:val="24"/>
              </w:rPr>
              <w:t xml:space="preserve"> the current single trust panels. </w:t>
            </w:r>
          </w:p>
          <w:p w14:paraId="0D0B940D" w14:textId="77777777" w:rsidR="007423DB" w:rsidRDefault="007423DB" w:rsidP="007423DB">
            <w:pPr>
              <w:rPr>
                <w:rFonts w:cs="Arial"/>
                <w:szCs w:val="24"/>
              </w:rPr>
            </w:pPr>
          </w:p>
          <w:p w14:paraId="2D3E0899" w14:textId="77777777" w:rsidR="007423DB" w:rsidRDefault="007423DB" w:rsidP="007423DB">
            <w:r>
              <w:rPr>
                <w:rFonts w:cs="Arial"/>
                <w:szCs w:val="24"/>
              </w:rPr>
              <w:t xml:space="preserve">Year 1: Development of </w:t>
            </w:r>
            <w:r w:rsidR="00B86BBB">
              <w:rPr>
                <w:rFonts w:cs="Arial"/>
                <w:szCs w:val="24"/>
              </w:rPr>
              <w:t>SR</w:t>
            </w:r>
            <w:r>
              <w:rPr>
                <w:rFonts w:cs="Arial"/>
                <w:szCs w:val="24"/>
              </w:rPr>
              <w:t>IAP</w:t>
            </w:r>
            <w:r w:rsidR="00B43461">
              <w:rPr>
                <w:rFonts w:cs="Arial"/>
                <w:szCs w:val="24"/>
              </w:rPr>
              <w:t>s</w:t>
            </w:r>
            <w:r>
              <w:rPr>
                <w:rFonts w:cs="Arial"/>
                <w:szCs w:val="24"/>
              </w:rPr>
              <w:t xml:space="preserve"> - to </w:t>
            </w:r>
            <w:r>
              <w:t>support the infrastructure and governance of the panel at the preferred/required leve</w:t>
            </w:r>
            <w:r w:rsidR="00B86BBB">
              <w:t xml:space="preserve">l introducing </w:t>
            </w:r>
            <w:r w:rsidR="00B43461">
              <w:t>revised</w:t>
            </w:r>
            <w:r w:rsidR="00B86BBB">
              <w:t xml:space="preserve"> NHS </w:t>
            </w:r>
            <w:r w:rsidR="00B43461">
              <w:t>England</w:t>
            </w:r>
            <w:r w:rsidR="00B86BBB">
              <w:t xml:space="preserve"> Ig guidance and review existing use</w:t>
            </w:r>
            <w:r w:rsidR="00B43461">
              <w:t xml:space="preserve"> against this guidance</w:t>
            </w:r>
            <w:r w:rsidR="00B86BBB">
              <w:t xml:space="preserve"> and</w:t>
            </w:r>
            <w:r w:rsidR="00B43461">
              <w:t xml:space="preserve"> to</w:t>
            </w:r>
            <w:r w:rsidR="00B86BBB">
              <w:t xml:space="preserve"> approve new patient usage</w:t>
            </w:r>
            <w:r w:rsidR="00B43461">
              <w:t xml:space="preserve"> in line with guidance</w:t>
            </w:r>
            <w:r>
              <w:t>.</w:t>
            </w:r>
          </w:p>
          <w:p w14:paraId="0E27B00A" w14:textId="77777777" w:rsidR="007423DB" w:rsidRDefault="007423DB" w:rsidP="007423DB"/>
          <w:p w14:paraId="3E451324" w14:textId="77777777" w:rsidR="007423DB" w:rsidRDefault="007423DB" w:rsidP="007423DB">
            <w:pPr>
              <w:rPr>
                <w:rFonts w:cs="Arial"/>
                <w:szCs w:val="24"/>
              </w:rPr>
            </w:pPr>
            <w:r>
              <w:rPr>
                <w:rFonts w:cs="Arial"/>
                <w:szCs w:val="24"/>
              </w:rPr>
              <w:t xml:space="preserve"> Year 2:</w:t>
            </w:r>
            <w:r w:rsidR="00B86BBB">
              <w:rPr>
                <w:rFonts w:cs="Arial"/>
                <w:szCs w:val="24"/>
              </w:rPr>
              <w:t xml:space="preserve"> Continued c</w:t>
            </w:r>
            <w:r>
              <w:rPr>
                <w:rFonts w:cs="Arial"/>
                <w:szCs w:val="24"/>
              </w:rPr>
              <w:t>ompliance with NHS England guidance, including implementation of</w:t>
            </w:r>
            <w:r w:rsidR="00B43461">
              <w:rPr>
                <w:rFonts w:cs="Arial"/>
                <w:szCs w:val="24"/>
              </w:rPr>
              <w:t xml:space="preserve"> electronic referral/</w:t>
            </w:r>
            <w:r>
              <w:rPr>
                <w:rFonts w:cs="Arial"/>
                <w:szCs w:val="24"/>
              </w:rPr>
              <w:t>prior approval</w:t>
            </w:r>
            <w:r w:rsidR="00B43461">
              <w:rPr>
                <w:rFonts w:cs="Arial"/>
                <w:szCs w:val="24"/>
              </w:rPr>
              <w:t xml:space="preserve"> system</w:t>
            </w:r>
            <w:r w:rsidR="000256D1">
              <w:rPr>
                <w:rFonts w:cs="Arial"/>
                <w:szCs w:val="24"/>
              </w:rPr>
              <w:t>.</w:t>
            </w:r>
          </w:p>
          <w:p w14:paraId="60061E4C" w14:textId="77777777" w:rsidR="000256D1" w:rsidRDefault="000256D1" w:rsidP="007423DB">
            <w:pPr>
              <w:rPr>
                <w:rFonts w:cs="Arial"/>
                <w:szCs w:val="24"/>
              </w:rPr>
            </w:pPr>
          </w:p>
          <w:p w14:paraId="44EAFD9C" w14:textId="77777777" w:rsidR="000256D1" w:rsidRPr="00326B23" w:rsidRDefault="000256D1" w:rsidP="00B20F55">
            <w:pPr>
              <w:pStyle w:val="ListParagraph"/>
              <w:rPr>
                <w:rFonts w:cs="Arial"/>
                <w:b/>
                <w:szCs w:val="24"/>
                <w:u w:val="single"/>
              </w:rPr>
            </w:pPr>
          </w:p>
        </w:tc>
      </w:tr>
      <w:tr w:rsidR="007423DB" w:rsidRPr="000412A1" w14:paraId="48762D3B" w14:textId="77777777" w:rsidTr="007423DB">
        <w:trPr>
          <w:gridAfter w:val="1"/>
          <w:wAfter w:w="69" w:type="pct"/>
        </w:trPr>
        <w:tc>
          <w:tcPr>
            <w:tcW w:w="4931" w:type="pct"/>
            <w:gridSpan w:val="3"/>
            <w:shd w:val="clear" w:color="auto" w:fill="FFC000"/>
          </w:tcPr>
          <w:p w14:paraId="3CFD8F12" w14:textId="77777777" w:rsidR="007423DB" w:rsidRPr="00C042DA" w:rsidRDefault="007423DB" w:rsidP="007423DB">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Pr>
                <w:rFonts w:cs="Arial"/>
                <w:i/>
                <w:szCs w:val="24"/>
              </w:rPr>
              <w:t xml:space="preserve"> completion locally, using guidance in </w:t>
            </w:r>
            <w:r w:rsidRPr="00C042DA">
              <w:rPr>
                <w:rFonts w:cs="Arial"/>
                <w:i/>
                <w:szCs w:val="24"/>
              </w:rPr>
              <w:t>sections C below)</w:t>
            </w:r>
          </w:p>
        </w:tc>
      </w:tr>
      <w:tr w:rsidR="007423DB" w:rsidRPr="000412A1" w14:paraId="6DBB3911" w14:textId="77777777" w:rsidTr="008711A8">
        <w:trPr>
          <w:gridAfter w:val="1"/>
          <w:wAfter w:w="69" w:type="pct"/>
        </w:trPr>
        <w:tc>
          <w:tcPr>
            <w:tcW w:w="1202" w:type="pct"/>
            <w:shd w:val="clear" w:color="auto" w:fill="D9D9D9" w:themeFill="background1" w:themeFillShade="D9"/>
          </w:tcPr>
          <w:p w14:paraId="5FFCF1F1" w14:textId="77777777" w:rsidR="007423DB" w:rsidRDefault="007423DB" w:rsidP="007423DB">
            <w:pPr>
              <w:rPr>
                <w:rFonts w:cs="Arial"/>
                <w:szCs w:val="24"/>
              </w:rPr>
            </w:pPr>
            <w:r w:rsidRPr="00D95C75">
              <w:rPr>
                <w:rFonts w:cs="Arial"/>
                <w:b/>
                <w:szCs w:val="24"/>
                <w:u w:val="single"/>
              </w:rPr>
              <w:t>B</w:t>
            </w:r>
            <w:proofErr w:type="gramStart"/>
            <w:r w:rsidRPr="00D95C75">
              <w:rPr>
                <w:rFonts w:cs="Arial"/>
                <w:b/>
                <w:szCs w:val="24"/>
                <w:u w:val="single"/>
              </w:rPr>
              <w:t>1.Provider</w:t>
            </w:r>
            <w:proofErr w:type="gramEnd"/>
            <w:r>
              <w:rPr>
                <w:rFonts w:cs="Arial"/>
                <w:szCs w:val="24"/>
              </w:rPr>
              <w:t xml:space="preserve"> (see Section C1 for applicability rules)</w:t>
            </w:r>
          </w:p>
        </w:tc>
        <w:tc>
          <w:tcPr>
            <w:tcW w:w="3729" w:type="pct"/>
            <w:gridSpan w:val="2"/>
            <w:shd w:val="clear" w:color="auto" w:fill="FFFF00"/>
          </w:tcPr>
          <w:p w14:paraId="1EBDA7BD" w14:textId="77777777" w:rsidR="007423DB" w:rsidRPr="004B2DC0" w:rsidRDefault="007423DB" w:rsidP="007423DB">
            <w:pPr>
              <w:rPr>
                <w:rFonts w:cs="Arial"/>
                <w:i/>
                <w:szCs w:val="24"/>
              </w:rPr>
            </w:pPr>
            <w:r w:rsidRPr="004E377A">
              <w:rPr>
                <w:rFonts w:cs="Arial"/>
                <w:i/>
                <w:color w:val="FF0000"/>
                <w:szCs w:val="24"/>
              </w:rPr>
              <w:t xml:space="preserve">[Insert name of </w:t>
            </w:r>
            <w:proofErr w:type="gramStart"/>
            <w:r w:rsidRPr="004E377A">
              <w:rPr>
                <w:rFonts w:cs="Arial"/>
                <w:i/>
                <w:color w:val="FF0000"/>
                <w:szCs w:val="24"/>
              </w:rPr>
              <w:t>provider ]</w:t>
            </w:r>
            <w:proofErr w:type="gramEnd"/>
          </w:p>
        </w:tc>
      </w:tr>
      <w:tr w:rsidR="007423DB" w:rsidRPr="000412A1" w14:paraId="3F35997E" w14:textId="77777777" w:rsidTr="008711A8">
        <w:trPr>
          <w:gridAfter w:val="1"/>
          <w:wAfter w:w="69" w:type="pct"/>
        </w:trPr>
        <w:tc>
          <w:tcPr>
            <w:tcW w:w="1202" w:type="pct"/>
            <w:shd w:val="clear" w:color="auto" w:fill="D9D9D9" w:themeFill="background1" w:themeFillShade="D9"/>
          </w:tcPr>
          <w:p w14:paraId="07B24F5A" w14:textId="77777777" w:rsidR="007423DB" w:rsidRDefault="007423DB" w:rsidP="007423DB">
            <w:pPr>
              <w:rPr>
                <w:rFonts w:cs="Arial"/>
                <w:b/>
                <w:szCs w:val="24"/>
                <w:u w:val="single"/>
              </w:rPr>
            </w:pPr>
            <w:r>
              <w:rPr>
                <w:rFonts w:cs="Arial"/>
                <w:b/>
                <w:szCs w:val="24"/>
                <w:u w:val="single"/>
              </w:rPr>
              <w:t xml:space="preserve">B2. Provider Specific Duration. </w:t>
            </w:r>
          </w:p>
          <w:p w14:paraId="5A181024" w14:textId="77777777" w:rsidR="007423DB" w:rsidRDefault="007423DB" w:rsidP="007423DB">
            <w:pPr>
              <w:rPr>
                <w:rFonts w:cs="Arial"/>
                <w:b/>
                <w:szCs w:val="24"/>
                <w:u w:val="single"/>
              </w:rPr>
            </w:pPr>
            <w:r>
              <w:rPr>
                <w:rFonts w:cs="Arial"/>
                <w:szCs w:val="24"/>
              </w:rPr>
              <w:t>What will be the first Year of Indicator for this provider, and how many years are covered by this contract?</w:t>
            </w:r>
            <w:r>
              <w:rPr>
                <w:rFonts w:cs="Arial"/>
                <w:b/>
                <w:szCs w:val="24"/>
                <w:u w:val="single"/>
              </w:rPr>
              <w:t xml:space="preserve"> </w:t>
            </w:r>
          </w:p>
          <w:p w14:paraId="4B94D5A5" w14:textId="77777777" w:rsidR="007423DB" w:rsidRPr="00D95C75" w:rsidRDefault="007423DB" w:rsidP="007423DB">
            <w:pPr>
              <w:rPr>
                <w:rFonts w:cs="Arial"/>
                <w:b/>
                <w:szCs w:val="24"/>
                <w:u w:val="single"/>
              </w:rPr>
            </w:pPr>
          </w:p>
        </w:tc>
        <w:tc>
          <w:tcPr>
            <w:tcW w:w="3729" w:type="pct"/>
            <w:gridSpan w:val="2"/>
            <w:shd w:val="clear" w:color="auto" w:fill="FFFF00"/>
          </w:tcPr>
          <w:p w14:paraId="7D70801C" w14:textId="77777777" w:rsidR="007423DB" w:rsidRDefault="007423DB" w:rsidP="007423DB">
            <w:pPr>
              <w:rPr>
                <w:rFonts w:cs="Arial"/>
                <w:i/>
                <w:color w:val="FF0000"/>
                <w:szCs w:val="24"/>
              </w:rPr>
            </w:pPr>
            <w:r>
              <w:rPr>
                <w:rFonts w:cs="Arial"/>
                <w:szCs w:val="24"/>
              </w:rPr>
              <w:t xml:space="preserve">2019/20 2020/21 </w:t>
            </w:r>
            <w:r w:rsidRPr="00B20F55">
              <w:rPr>
                <w:rFonts w:cs="Arial"/>
                <w:i/>
                <w:color w:val="FF0000"/>
                <w:szCs w:val="24"/>
              </w:rPr>
              <w:t>[</w:t>
            </w:r>
            <w:r w:rsidRPr="001350E0">
              <w:rPr>
                <w:rFonts w:cs="Arial"/>
                <w:i/>
                <w:color w:val="FF0000"/>
                <w:szCs w:val="24"/>
              </w:rPr>
              <w:t>Adjust locally</w:t>
            </w:r>
            <w:r>
              <w:rPr>
                <w:rFonts w:cs="Arial"/>
                <w:i/>
                <w:color w:val="FF0000"/>
                <w:szCs w:val="24"/>
              </w:rPr>
              <w:t>]</w:t>
            </w:r>
          </w:p>
          <w:p w14:paraId="4579476C" w14:textId="77777777" w:rsidR="007423DB" w:rsidRDefault="007423DB" w:rsidP="007423DB">
            <w:pPr>
              <w:rPr>
                <w:rFonts w:cs="Arial"/>
                <w:i/>
                <w:color w:val="FF0000"/>
                <w:szCs w:val="24"/>
              </w:rPr>
            </w:pPr>
            <w:r w:rsidRPr="00970BD6">
              <w:rPr>
                <w:rFonts w:cs="Arial"/>
                <w:szCs w:val="24"/>
              </w:rPr>
              <w:t>One/two</w:t>
            </w:r>
            <w:r w:rsidRPr="00970BD6">
              <w:rPr>
                <w:rFonts w:cs="Arial"/>
                <w:i/>
                <w:szCs w:val="24"/>
              </w:rPr>
              <w:t xml:space="preserve"> </w:t>
            </w:r>
            <w:r w:rsidRPr="00D95C75">
              <w:rPr>
                <w:rFonts w:cs="Arial"/>
                <w:szCs w:val="24"/>
              </w:rPr>
              <w:t>years</w:t>
            </w:r>
            <w:r>
              <w:rPr>
                <w:rFonts w:cs="Arial"/>
                <w:i/>
                <w:color w:val="FF0000"/>
                <w:szCs w:val="24"/>
              </w:rPr>
              <w:t xml:space="preserve"> </w:t>
            </w:r>
            <w:r w:rsidR="00B20F55">
              <w:rPr>
                <w:rFonts w:cs="Arial"/>
                <w:i/>
                <w:color w:val="FF0000"/>
                <w:szCs w:val="24"/>
              </w:rPr>
              <w:t>[</w:t>
            </w:r>
            <w:r>
              <w:rPr>
                <w:rFonts w:cs="Arial"/>
                <w:i/>
                <w:color w:val="FF0000"/>
                <w:szCs w:val="24"/>
              </w:rPr>
              <w:t>Adjust locally</w:t>
            </w:r>
            <w:r w:rsidR="00B20F55">
              <w:rPr>
                <w:rFonts w:cs="Arial"/>
                <w:i/>
                <w:color w:val="FF0000"/>
                <w:szCs w:val="24"/>
              </w:rPr>
              <w:t>]</w:t>
            </w:r>
          </w:p>
          <w:p w14:paraId="3DEEC669" w14:textId="77777777" w:rsidR="007423DB" w:rsidRDefault="007423DB" w:rsidP="007423DB">
            <w:pPr>
              <w:rPr>
                <w:rFonts w:cs="Arial"/>
                <w:i/>
                <w:color w:val="FF0000"/>
                <w:szCs w:val="24"/>
              </w:rPr>
            </w:pPr>
          </w:p>
          <w:p w14:paraId="3656B9AB" w14:textId="77777777" w:rsidR="007423DB" w:rsidRPr="000412A1" w:rsidRDefault="007423DB" w:rsidP="007423DB">
            <w:pPr>
              <w:rPr>
                <w:rFonts w:cs="Arial"/>
                <w:szCs w:val="24"/>
              </w:rPr>
            </w:pPr>
          </w:p>
        </w:tc>
      </w:tr>
      <w:tr w:rsidR="007423DB" w:rsidRPr="000412A1" w14:paraId="15673F95" w14:textId="77777777" w:rsidTr="008711A8">
        <w:trPr>
          <w:gridAfter w:val="1"/>
          <w:wAfter w:w="69" w:type="pct"/>
        </w:trPr>
        <w:tc>
          <w:tcPr>
            <w:tcW w:w="1202" w:type="pct"/>
            <w:shd w:val="clear" w:color="auto" w:fill="D9D9D9" w:themeFill="background1" w:themeFillShade="D9"/>
          </w:tcPr>
          <w:p w14:paraId="4BE5EEBD" w14:textId="77777777" w:rsidR="007423DB" w:rsidRPr="000412A1" w:rsidRDefault="007423DB" w:rsidP="007423DB">
            <w:pPr>
              <w:rPr>
                <w:rFonts w:cs="Arial"/>
                <w:szCs w:val="24"/>
                <w:u w:val="single"/>
              </w:rPr>
            </w:pPr>
            <w:r w:rsidRPr="00D95C75">
              <w:rPr>
                <w:rFonts w:cs="Arial"/>
                <w:b/>
                <w:szCs w:val="24"/>
                <w:u w:val="single"/>
              </w:rPr>
              <w:t>B</w:t>
            </w:r>
            <w:proofErr w:type="gramStart"/>
            <w:r w:rsidRPr="00D95C75">
              <w:rPr>
                <w:rFonts w:cs="Arial"/>
                <w:b/>
                <w:szCs w:val="24"/>
                <w:u w:val="single"/>
              </w:rPr>
              <w:t>3.</w:t>
            </w:r>
            <w:r>
              <w:rPr>
                <w:rFonts w:cs="Arial"/>
                <w:b/>
                <w:szCs w:val="24"/>
                <w:u w:val="single"/>
              </w:rPr>
              <w:t>Indicator</w:t>
            </w:r>
            <w:proofErr w:type="gramEnd"/>
            <w:r w:rsidRPr="00D95C75">
              <w:rPr>
                <w:rFonts w:cs="Arial"/>
                <w:b/>
                <w:szCs w:val="24"/>
                <w:u w:val="single"/>
              </w:rPr>
              <w:t xml:space="preserve"> Target Payment</w:t>
            </w:r>
            <w:r w:rsidRPr="000412A1">
              <w:rPr>
                <w:rFonts w:cs="Arial"/>
                <w:szCs w:val="24"/>
              </w:rPr>
              <w:t xml:space="preserve"> </w:t>
            </w:r>
            <w:r>
              <w:rPr>
                <w:rFonts w:cs="Arial"/>
                <w:szCs w:val="24"/>
              </w:rPr>
              <w:t>(see Section C3 for rules to determine target payment)</w:t>
            </w:r>
            <w:r w:rsidRPr="000412A1">
              <w:rPr>
                <w:rFonts w:cs="Arial"/>
                <w:szCs w:val="24"/>
              </w:rPr>
              <w:br/>
            </w:r>
          </w:p>
        </w:tc>
        <w:tc>
          <w:tcPr>
            <w:tcW w:w="3729" w:type="pct"/>
            <w:gridSpan w:val="2"/>
            <w:shd w:val="clear" w:color="auto" w:fill="FFFF00"/>
          </w:tcPr>
          <w:p w14:paraId="5C5BC3C9" w14:textId="77777777" w:rsidR="007423DB" w:rsidRDefault="007423DB" w:rsidP="007423DB">
            <w:pPr>
              <w:rPr>
                <w:rFonts w:cs="Arial"/>
                <w:szCs w:val="24"/>
              </w:rPr>
            </w:pPr>
            <w:r>
              <w:rPr>
                <w:rFonts w:cs="Arial"/>
                <w:szCs w:val="24"/>
              </w:rPr>
              <w:t xml:space="preserve">Full compliance with this </w:t>
            </w:r>
            <w:r w:rsidRPr="000412A1">
              <w:rPr>
                <w:rFonts w:cs="Arial"/>
                <w:szCs w:val="24"/>
              </w:rPr>
              <w:t xml:space="preserve">CQUIN </w:t>
            </w:r>
            <w:r>
              <w:rPr>
                <w:rFonts w:cs="Arial"/>
                <w:szCs w:val="24"/>
              </w:rPr>
              <w:t xml:space="preserve">indicator </w:t>
            </w:r>
            <w:r w:rsidRPr="000412A1">
              <w:rPr>
                <w:rFonts w:cs="Arial"/>
                <w:szCs w:val="24"/>
              </w:rPr>
              <w:t>should achieve payment of</w:t>
            </w:r>
            <w:r>
              <w:rPr>
                <w:rFonts w:cs="Arial"/>
                <w:szCs w:val="24"/>
              </w:rPr>
              <w:t>:</w:t>
            </w:r>
            <w:r w:rsidRPr="000412A1">
              <w:rPr>
                <w:rFonts w:cs="Arial"/>
                <w:szCs w:val="24"/>
              </w:rPr>
              <w:t xml:space="preserve"> </w:t>
            </w:r>
          </w:p>
          <w:p w14:paraId="1171BB9A" w14:textId="77777777" w:rsidR="007423DB" w:rsidRPr="000412A1" w:rsidRDefault="007423DB" w:rsidP="007423D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proofErr w:type="gramEnd"/>
            <w:r w:rsidRPr="003759F0">
              <w:rPr>
                <w:rFonts w:cs="Arial"/>
                <w:i/>
                <w:color w:val="FF0000"/>
                <w:szCs w:val="24"/>
              </w:rPr>
              <w:t>Add locally ££s]</w:t>
            </w:r>
          </w:p>
          <w:p w14:paraId="45FB0818" w14:textId="77777777" w:rsidR="007423DB" w:rsidRPr="00EE0EE9" w:rsidRDefault="007423DB" w:rsidP="007423DB">
            <w:pPr>
              <w:keepNext/>
              <w:rPr>
                <w:rFonts w:cs="Arial"/>
                <w:color w:val="FF0000"/>
                <w:szCs w:val="24"/>
              </w:rPr>
            </w:pPr>
          </w:p>
        </w:tc>
      </w:tr>
      <w:tr w:rsidR="007423DB" w:rsidRPr="000412A1" w14:paraId="34B24521" w14:textId="77777777" w:rsidTr="007423DB">
        <w:trPr>
          <w:gridAfter w:val="1"/>
          <w:wAfter w:w="69" w:type="pct"/>
        </w:trPr>
        <w:tc>
          <w:tcPr>
            <w:tcW w:w="4931" w:type="pct"/>
            <w:gridSpan w:val="3"/>
            <w:shd w:val="clear" w:color="auto" w:fill="FFFF00"/>
          </w:tcPr>
          <w:p w14:paraId="4DA20E46" w14:textId="77777777" w:rsidR="007423DB" w:rsidRPr="00D95C75" w:rsidRDefault="007423DB" w:rsidP="007423DB">
            <w:pPr>
              <w:rPr>
                <w:rFonts w:cs="Arial"/>
                <w:b/>
                <w:szCs w:val="24"/>
                <w:u w:val="single"/>
              </w:rPr>
            </w:pPr>
            <w:r w:rsidRPr="00D95C75">
              <w:rPr>
                <w:rFonts w:cs="Arial"/>
                <w:b/>
                <w:szCs w:val="24"/>
                <w:u w:val="single"/>
              </w:rPr>
              <w:t>B4. Payment Triggers.</w:t>
            </w:r>
          </w:p>
          <w:p w14:paraId="761D3987" w14:textId="77777777" w:rsidR="007423DB" w:rsidRDefault="007423DB" w:rsidP="007423DB">
            <w:pPr>
              <w:rPr>
                <w:rFonts w:cs="Arial"/>
                <w:szCs w:val="24"/>
              </w:rPr>
            </w:pPr>
            <w:r>
              <w:rPr>
                <w:rFonts w:cs="Arial"/>
                <w:szCs w:val="24"/>
              </w:rPr>
              <w:t>The triggers, and the proportion of the target payment that each trigger determines, and any partial payment rules, for each year of the indicator, are set out in Section C4.</w:t>
            </w:r>
          </w:p>
          <w:p w14:paraId="049F31CB" w14:textId="77777777" w:rsidR="007423DB" w:rsidRDefault="007423DB" w:rsidP="007423DB">
            <w:pPr>
              <w:rPr>
                <w:rFonts w:cs="Arial"/>
                <w:szCs w:val="24"/>
              </w:rPr>
            </w:pPr>
          </w:p>
          <w:p w14:paraId="67E6AD71" w14:textId="77777777" w:rsidR="007423DB" w:rsidRDefault="007423DB" w:rsidP="007423DB">
            <w:pPr>
              <w:rPr>
                <w:rFonts w:cs="Arial"/>
                <w:szCs w:val="24"/>
              </w:rPr>
            </w:pPr>
            <w:r>
              <w:rPr>
                <w:rFonts w:cs="Arial"/>
                <w:szCs w:val="24"/>
              </w:rPr>
              <w:t>Relevant provider-specific variation, if any, is set out in this table.</w:t>
            </w:r>
          </w:p>
          <w:p w14:paraId="53128261" w14:textId="77777777" w:rsidR="007423DB" w:rsidRDefault="007423DB" w:rsidP="007423DB">
            <w:pPr>
              <w:rPr>
                <w:rFonts w:cs="Arial"/>
                <w:szCs w:val="24"/>
              </w:rPr>
            </w:pPr>
          </w:p>
          <w:p w14:paraId="29D43A67" w14:textId="77777777" w:rsidR="007423DB" w:rsidRPr="00C60578" w:rsidRDefault="007423DB" w:rsidP="007423DB">
            <w:pPr>
              <w:rPr>
                <w:rFonts w:cs="Arial"/>
                <w:b/>
                <w:i/>
                <w:szCs w:val="24"/>
              </w:rPr>
            </w:pPr>
            <w:r w:rsidRPr="003A0C63">
              <w:rPr>
                <w:rFonts w:cs="Arial"/>
                <w:i/>
                <w:color w:val="FF0000"/>
                <w:szCs w:val="24"/>
              </w:rPr>
              <w:t>[Adjust table as required for this indicator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3709"/>
              <w:gridCol w:w="3897"/>
            </w:tblGrid>
            <w:tr w:rsidR="007423DB" w:rsidRPr="00C0263E" w14:paraId="48D1968D" w14:textId="77777777" w:rsidTr="00B20F55">
              <w:tc>
                <w:tcPr>
                  <w:tcW w:w="1577" w:type="dxa"/>
                  <w:tcBorders>
                    <w:top w:val="single" w:sz="4" w:space="0" w:color="auto"/>
                    <w:left w:val="single" w:sz="4" w:space="0" w:color="auto"/>
                    <w:bottom w:val="single" w:sz="4" w:space="0" w:color="auto"/>
                    <w:right w:val="single" w:sz="4" w:space="0" w:color="auto"/>
                  </w:tcBorders>
                  <w:shd w:val="clear" w:color="auto" w:fill="F2F2F2"/>
                </w:tcPr>
                <w:p w14:paraId="0601D7FD" w14:textId="77777777" w:rsidR="007423DB" w:rsidRPr="00C0263E" w:rsidRDefault="007423DB" w:rsidP="007423DB">
                  <w:pPr>
                    <w:spacing w:before="40" w:after="40"/>
                    <w:rPr>
                      <w:rFonts w:cs="Arial"/>
                      <w:b/>
                      <w:szCs w:val="24"/>
                    </w:rPr>
                  </w:pPr>
                  <w:r>
                    <w:rPr>
                      <w:rFonts w:cs="Arial"/>
                      <w:b/>
                      <w:szCs w:val="24"/>
                    </w:rPr>
                    <w:lastRenderedPageBreak/>
                    <w:t>Provider specific triggers</w:t>
                  </w:r>
                </w:p>
              </w:tc>
              <w:tc>
                <w:tcPr>
                  <w:tcW w:w="3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157371" w14:textId="77777777" w:rsidR="007423DB" w:rsidRPr="00EC3C9D" w:rsidRDefault="007423DB" w:rsidP="007423DB">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c>
                <w:tcPr>
                  <w:tcW w:w="38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FCFD17" w14:textId="77777777" w:rsidR="007423DB" w:rsidRPr="00EC3C9D" w:rsidRDefault="007423DB" w:rsidP="007423DB">
                  <w:pPr>
                    <w:spacing w:before="40" w:after="40"/>
                    <w:rPr>
                      <w:rFonts w:cs="Arial"/>
                      <w:b/>
                      <w:szCs w:val="24"/>
                    </w:rPr>
                  </w:pPr>
                  <w:r w:rsidRPr="00EC3C9D">
                    <w:rPr>
                      <w:rFonts w:cs="Arial"/>
                      <w:b/>
                      <w:szCs w:val="24"/>
                    </w:rPr>
                    <w:t>20</w:t>
                  </w:r>
                  <w:r>
                    <w:rPr>
                      <w:rFonts w:cs="Arial"/>
                      <w:b/>
                      <w:szCs w:val="24"/>
                    </w:rPr>
                    <w:t>20</w:t>
                  </w:r>
                  <w:r w:rsidRPr="00EC3C9D">
                    <w:rPr>
                      <w:rFonts w:cs="Arial"/>
                      <w:b/>
                      <w:szCs w:val="24"/>
                    </w:rPr>
                    <w:t>/</w:t>
                  </w:r>
                  <w:r>
                    <w:rPr>
                      <w:rFonts w:cs="Arial"/>
                      <w:b/>
                      <w:szCs w:val="24"/>
                    </w:rPr>
                    <w:t>21</w:t>
                  </w:r>
                </w:p>
              </w:tc>
            </w:tr>
            <w:tr w:rsidR="007423DB" w:rsidRPr="00C0263E" w14:paraId="21B8962B" w14:textId="77777777" w:rsidTr="00B20F55">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49E46176" w14:textId="77777777" w:rsidR="007423DB" w:rsidRDefault="007423DB" w:rsidP="007423DB">
                  <w:pPr>
                    <w:spacing w:before="40" w:after="40"/>
                    <w:rPr>
                      <w:rFonts w:cs="Arial"/>
                      <w:b/>
                      <w:szCs w:val="24"/>
                    </w:rPr>
                  </w:pPr>
                  <w:r>
                    <w:rPr>
                      <w:rFonts w:cs="Arial"/>
                      <w:b/>
                      <w:szCs w:val="24"/>
                    </w:rPr>
                    <w:t>Trigger 1:</w:t>
                  </w:r>
                </w:p>
                <w:p w14:paraId="62486C05" w14:textId="77777777" w:rsidR="007423DB" w:rsidRPr="00C0263E" w:rsidRDefault="007423DB" w:rsidP="007423D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4101652C" w14:textId="77777777" w:rsidR="007423DB" w:rsidRPr="00C0263E" w:rsidRDefault="007423DB" w:rsidP="007423D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7423DB" w:rsidRPr="00C0263E" w:rsidRDefault="007423DB" w:rsidP="007423DB">
                  <w:pPr>
                    <w:spacing w:before="40" w:after="40"/>
                    <w:rPr>
                      <w:rFonts w:cs="Arial"/>
                      <w:szCs w:val="24"/>
                    </w:rPr>
                  </w:pPr>
                </w:p>
              </w:tc>
            </w:tr>
            <w:tr w:rsidR="007423DB" w:rsidRPr="00C0263E" w14:paraId="2F664633" w14:textId="77777777" w:rsidTr="00B20F55">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5ACB7902" w14:textId="77777777" w:rsidR="007423DB" w:rsidRDefault="007423DB" w:rsidP="007423DB">
                  <w:pPr>
                    <w:spacing w:before="40" w:after="40"/>
                    <w:rPr>
                      <w:rFonts w:cs="Arial"/>
                      <w:b/>
                      <w:szCs w:val="24"/>
                    </w:rPr>
                  </w:pPr>
                  <w:r>
                    <w:rPr>
                      <w:rFonts w:cs="Arial"/>
                      <w:b/>
                      <w:szCs w:val="24"/>
                    </w:rPr>
                    <w:t xml:space="preserve">Trigger </w:t>
                  </w:r>
                  <w:r w:rsidR="00B20F55">
                    <w:rPr>
                      <w:rFonts w:cs="Arial"/>
                      <w:b/>
                      <w:szCs w:val="24"/>
                    </w:rPr>
                    <w:t>2</w:t>
                  </w:r>
                  <w:r>
                    <w:rPr>
                      <w:rFonts w:cs="Arial"/>
                      <w:b/>
                      <w:szCs w:val="24"/>
                    </w:rPr>
                    <w:t>:</w:t>
                  </w:r>
                </w:p>
                <w:p w14:paraId="1299C43A" w14:textId="77777777" w:rsidR="007423DB" w:rsidRPr="00C0263E" w:rsidRDefault="007423DB" w:rsidP="007423D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4DDBEF00" w14:textId="77777777" w:rsidR="007423DB" w:rsidRPr="00C0263E" w:rsidRDefault="007423DB" w:rsidP="007423D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3461D779" w14:textId="77777777" w:rsidR="007423DB" w:rsidRPr="00C0263E" w:rsidRDefault="007423DB" w:rsidP="007423DB">
                  <w:pPr>
                    <w:spacing w:before="40" w:after="40"/>
                    <w:rPr>
                      <w:rFonts w:cs="Arial"/>
                      <w:szCs w:val="24"/>
                    </w:rPr>
                  </w:pPr>
                </w:p>
              </w:tc>
            </w:tr>
            <w:tr w:rsidR="007423DB" w:rsidRPr="00C0263E" w14:paraId="20E77809" w14:textId="77777777" w:rsidTr="00B20F55">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56900592" w14:textId="77777777" w:rsidR="007423DB" w:rsidRDefault="007423DB" w:rsidP="007423DB">
                  <w:pPr>
                    <w:spacing w:before="40" w:after="40"/>
                    <w:rPr>
                      <w:rFonts w:cs="Arial"/>
                      <w:b/>
                      <w:szCs w:val="24"/>
                    </w:rPr>
                  </w:pPr>
                  <w:r>
                    <w:rPr>
                      <w:rFonts w:cs="Arial"/>
                      <w:b/>
                      <w:szCs w:val="24"/>
                    </w:rPr>
                    <w:t xml:space="preserve">Trigger </w:t>
                  </w:r>
                  <w:r w:rsidR="00B20F55">
                    <w:rPr>
                      <w:rFonts w:cs="Arial"/>
                      <w:b/>
                      <w:szCs w:val="24"/>
                    </w:rPr>
                    <w:t>3</w:t>
                  </w:r>
                  <w:r>
                    <w:rPr>
                      <w:rFonts w:cs="Arial"/>
                      <w:b/>
                      <w:szCs w:val="24"/>
                    </w:rPr>
                    <w:t>:</w:t>
                  </w:r>
                </w:p>
                <w:p w14:paraId="3CF2D8B6" w14:textId="77777777" w:rsidR="007423DB" w:rsidRDefault="007423DB" w:rsidP="00B20F55">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0FB78278" w14:textId="77777777" w:rsidR="007423DB" w:rsidRPr="00C0263E" w:rsidRDefault="007423DB" w:rsidP="007423D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1FC39945" w14:textId="77777777" w:rsidR="007423DB" w:rsidRPr="00C0263E" w:rsidRDefault="007423DB" w:rsidP="007423DB">
                  <w:pPr>
                    <w:spacing w:before="40" w:after="40"/>
                    <w:rPr>
                      <w:rFonts w:cs="Arial"/>
                      <w:szCs w:val="24"/>
                    </w:rPr>
                  </w:pPr>
                </w:p>
              </w:tc>
            </w:tr>
            <w:tr w:rsidR="007423DB" w:rsidRPr="00C0263E" w14:paraId="7105BA50" w14:textId="77777777" w:rsidTr="00B20F55">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172E1783" w14:textId="77777777" w:rsidR="007423DB" w:rsidRDefault="007423DB" w:rsidP="007423DB">
                  <w:pPr>
                    <w:spacing w:before="40" w:after="40"/>
                    <w:rPr>
                      <w:rFonts w:cs="Arial"/>
                      <w:b/>
                      <w:szCs w:val="24"/>
                    </w:rPr>
                  </w:pPr>
                  <w:r>
                    <w:rPr>
                      <w:rFonts w:cs="Arial"/>
                      <w:b/>
                      <w:szCs w:val="24"/>
                    </w:rPr>
                    <w:t xml:space="preserve">Trigger </w:t>
                  </w:r>
                  <w:r w:rsidR="00B20F55">
                    <w:rPr>
                      <w:rFonts w:cs="Arial"/>
                      <w:b/>
                      <w:szCs w:val="24"/>
                    </w:rPr>
                    <w:t>4:</w:t>
                  </w:r>
                  <w:r>
                    <w:rPr>
                      <w:rFonts w:cs="Arial"/>
                      <w:b/>
                      <w:szCs w:val="24"/>
                    </w:rPr>
                    <w:t xml:space="preserve"> </w:t>
                  </w:r>
                </w:p>
              </w:tc>
              <w:tc>
                <w:tcPr>
                  <w:tcW w:w="3709" w:type="dxa"/>
                  <w:tcBorders>
                    <w:top w:val="single" w:sz="4" w:space="0" w:color="auto"/>
                    <w:left w:val="single" w:sz="4" w:space="0" w:color="auto"/>
                    <w:bottom w:val="single" w:sz="4" w:space="0" w:color="auto"/>
                    <w:right w:val="single" w:sz="4" w:space="0" w:color="auto"/>
                  </w:tcBorders>
                </w:tcPr>
                <w:p w14:paraId="0562CB0E" w14:textId="77777777" w:rsidR="007423DB" w:rsidRPr="00C0263E" w:rsidRDefault="007423DB" w:rsidP="007423D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7423DB" w:rsidRPr="00C0263E" w:rsidRDefault="007423DB" w:rsidP="007423DB">
                  <w:pPr>
                    <w:spacing w:before="40" w:after="40"/>
                    <w:rPr>
                      <w:rFonts w:cs="Arial"/>
                      <w:szCs w:val="24"/>
                    </w:rPr>
                  </w:pPr>
                </w:p>
              </w:tc>
            </w:tr>
            <w:tr w:rsidR="007423DB" w:rsidRPr="00C0263E" w14:paraId="2C6575A1" w14:textId="77777777" w:rsidTr="00B20F55">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25C45D7C" w14:textId="77777777" w:rsidR="007423DB" w:rsidRDefault="007423DB" w:rsidP="007423DB">
                  <w:pPr>
                    <w:spacing w:before="40" w:after="40"/>
                    <w:rPr>
                      <w:rFonts w:cs="Arial"/>
                      <w:b/>
                      <w:szCs w:val="24"/>
                    </w:rPr>
                  </w:pPr>
                  <w:r>
                    <w:rPr>
                      <w:rFonts w:cs="Arial"/>
                      <w:b/>
                      <w:szCs w:val="24"/>
                    </w:rPr>
                    <w:t>Trigger</w:t>
                  </w:r>
                  <w:r w:rsidR="00B20F55">
                    <w:rPr>
                      <w:rFonts w:cs="Arial"/>
                      <w:b/>
                      <w:szCs w:val="24"/>
                    </w:rPr>
                    <w:t xml:space="preserve"> 5:</w:t>
                  </w:r>
                </w:p>
              </w:tc>
              <w:tc>
                <w:tcPr>
                  <w:tcW w:w="3709" w:type="dxa"/>
                  <w:tcBorders>
                    <w:top w:val="single" w:sz="4" w:space="0" w:color="auto"/>
                    <w:left w:val="single" w:sz="4" w:space="0" w:color="auto"/>
                    <w:bottom w:val="single" w:sz="4" w:space="0" w:color="auto"/>
                    <w:right w:val="single" w:sz="4" w:space="0" w:color="auto"/>
                  </w:tcBorders>
                </w:tcPr>
                <w:p w14:paraId="62EBF3C5" w14:textId="77777777" w:rsidR="007423DB" w:rsidRPr="00C0263E" w:rsidRDefault="007423DB" w:rsidP="007423D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D98A12B" w14:textId="77777777" w:rsidR="007423DB" w:rsidRPr="00C0263E" w:rsidRDefault="007423DB" w:rsidP="007423DB">
                  <w:pPr>
                    <w:spacing w:before="40" w:after="40"/>
                    <w:rPr>
                      <w:rFonts w:cs="Arial"/>
                      <w:szCs w:val="24"/>
                    </w:rPr>
                  </w:pPr>
                </w:p>
              </w:tc>
            </w:tr>
          </w:tbl>
          <w:p w14:paraId="2946DB82" w14:textId="77777777" w:rsidR="007423DB" w:rsidRDefault="007423DB" w:rsidP="007423DB">
            <w:pPr>
              <w:rPr>
                <w:rFonts w:cs="Arial"/>
                <w:szCs w:val="24"/>
              </w:rPr>
            </w:pPr>
          </w:p>
          <w:p w14:paraId="5997CC1D" w14:textId="77777777" w:rsidR="007423DB" w:rsidRDefault="007423DB" w:rsidP="007423DB">
            <w:pPr>
              <w:rPr>
                <w:rFonts w:cs="Arial"/>
                <w:szCs w:val="24"/>
              </w:rPr>
            </w:pPr>
          </w:p>
          <w:p w14:paraId="110FFD37" w14:textId="77777777" w:rsidR="007423DB" w:rsidRDefault="007423DB" w:rsidP="007423DB">
            <w:pPr>
              <w:rPr>
                <w:rFonts w:cs="Arial"/>
                <w:szCs w:val="24"/>
              </w:rPr>
            </w:pPr>
          </w:p>
        </w:tc>
      </w:tr>
      <w:tr w:rsidR="007423DB" w:rsidRPr="000412A1" w14:paraId="03D28D07" w14:textId="77777777" w:rsidTr="00A536ED">
        <w:tc>
          <w:tcPr>
            <w:tcW w:w="5000" w:type="pct"/>
            <w:gridSpan w:val="4"/>
            <w:shd w:val="clear" w:color="auto" w:fill="BFBFBF" w:themeFill="background1" w:themeFillShade="BF"/>
          </w:tcPr>
          <w:p w14:paraId="614D5371" w14:textId="77777777" w:rsidR="007423DB" w:rsidRPr="00C0263E" w:rsidRDefault="007423DB" w:rsidP="007423DB">
            <w:pPr>
              <w:rPr>
                <w:rFonts w:cs="Arial"/>
                <w:szCs w:val="24"/>
              </w:rPr>
            </w:pPr>
            <w:r>
              <w:rPr>
                <w:rFonts w:cs="Arial"/>
                <w:b/>
                <w:color w:val="000000"/>
                <w:szCs w:val="24"/>
              </w:rPr>
              <w:lastRenderedPageBreak/>
              <w:t>B5. Information Requirements</w:t>
            </w:r>
          </w:p>
        </w:tc>
      </w:tr>
      <w:tr w:rsidR="007423DB" w:rsidRPr="000412A1" w14:paraId="238ACB01" w14:textId="77777777" w:rsidTr="002C4571">
        <w:tc>
          <w:tcPr>
            <w:tcW w:w="5000" w:type="pct"/>
            <w:gridSpan w:val="4"/>
            <w:shd w:val="clear" w:color="auto" w:fill="D9D9D9" w:themeFill="background1" w:themeFillShade="D9"/>
          </w:tcPr>
          <w:p w14:paraId="0C19BED4" w14:textId="77777777" w:rsidR="007423DB" w:rsidRPr="000412A1" w:rsidRDefault="007423DB" w:rsidP="007423DB">
            <w:pPr>
              <w:rPr>
                <w:rFonts w:cs="Arial"/>
                <w:b/>
                <w:color w:val="000000"/>
                <w:szCs w:val="24"/>
              </w:rPr>
            </w:pPr>
            <w:r>
              <w:rPr>
                <w:rFonts w:cs="Arial"/>
                <w:b/>
                <w:color w:val="000000"/>
                <w:szCs w:val="24"/>
              </w:rPr>
              <w:t>Obligations under the indicator to report against achievement of the Triggers, to enable benchmarking, and to facilitate evaluation, are as set out in Section C5.</w:t>
            </w:r>
          </w:p>
        </w:tc>
      </w:tr>
      <w:tr w:rsidR="007423DB" w:rsidRPr="000412A1" w14:paraId="0AFCA65A" w14:textId="77777777" w:rsidTr="002C4571">
        <w:tc>
          <w:tcPr>
            <w:tcW w:w="1774" w:type="pct"/>
            <w:gridSpan w:val="2"/>
            <w:shd w:val="clear" w:color="auto" w:fill="D9D9D9" w:themeFill="background1" w:themeFillShade="D9"/>
          </w:tcPr>
          <w:p w14:paraId="3E8FEFCE" w14:textId="77777777" w:rsidR="007423DB" w:rsidRDefault="007423DB" w:rsidP="007423DB">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7A33D285" w14:textId="77777777" w:rsidR="007423DB" w:rsidRDefault="007423DB" w:rsidP="007423D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7423DB" w:rsidRPr="000412A1" w14:paraId="39B136D3" w14:textId="77777777" w:rsidTr="002C4571">
        <w:tc>
          <w:tcPr>
            <w:tcW w:w="5000" w:type="pct"/>
            <w:gridSpan w:val="4"/>
            <w:shd w:val="clear" w:color="auto" w:fill="BFBFBF" w:themeFill="background1" w:themeFillShade="BF"/>
          </w:tcPr>
          <w:p w14:paraId="32106A61" w14:textId="77777777" w:rsidR="007423DB" w:rsidRDefault="007423DB" w:rsidP="007423DB">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7423DB" w:rsidRPr="000412A1" w14:paraId="39F392B9" w14:textId="77777777" w:rsidTr="00F506AC">
        <w:tc>
          <w:tcPr>
            <w:tcW w:w="5000" w:type="pct"/>
            <w:gridSpan w:val="4"/>
            <w:shd w:val="clear" w:color="auto" w:fill="FFFF00"/>
          </w:tcPr>
          <w:p w14:paraId="7B4A00DA" w14:textId="77777777" w:rsidR="007423DB" w:rsidRDefault="007423DB" w:rsidP="007423DB">
            <w:r>
              <w:t xml:space="preserve">Default arrangement: half payment of target CQUIN payment each month, reconciliation end of each year depending upon achievement. </w:t>
            </w:r>
          </w:p>
          <w:p w14:paraId="6B699379" w14:textId="77777777" w:rsidR="007423DB" w:rsidRDefault="007423DB" w:rsidP="007423DB">
            <w:pPr>
              <w:rPr>
                <w:i/>
              </w:rPr>
            </w:pPr>
          </w:p>
          <w:p w14:paraId="6C32BFFC" w14:textId="77777777" w:rsidR="007423DB" w:rsidRPr="004E377A" w:rsidRDefault="007423DB" w:rsidP="007423DB">
            <w:pPr>
              <w:rPr>
                <w:i/>
                <w:color w:val="FF0000"/>
              </w:rPr>
            </w:pPr>
            <w:r w:rsidRPr="004E377A">
              <w:rPr>
                <w:i/>
                <w:color w:val="FF0000"/>
              </w:rPr>
              <w:t>[Specify variation of this approach if required]</w:t>
            </w:r>
          </w:p>
          <w:p w14:paraId="3FE9F23F" w14:textId="77777777" w:rsidR="007423DB" w:rsidRDefault="007423DB" w:rsidP="007423DB">
            <w:pPr>
              <w:spacing w:before="40" w:after="40"/>
              <w:rPr>
                <w:rFonts w:cs="Arial"/>
                <w:b/>
                <w:color w:val="000000"/>
                <w:szCs w:val="24"/>
              </w:rPr>
            </w:pPr>
          </w:p>
        </w:tc>
      </w:tr>
    </w:tbl>
    <w:p w14:paraId="1F72F646" w14:textId="77777777" w:rsidR="006B2327" w:rsidRDefault="006B2327" w:rsidP="00154269">
      <w:pPr>
        <w:rPr>
          <w:rFonts w:cs="Arial"/>
          <w:b/>
          <w:szCs w:val="24"/>
        </w:rPr>
      </w:pPr>
    </w:p>
    <w:p w14:paraId="08CE6F91" w14:textId="77777777"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14:paraId="079FCC7B" w14:textId="77777777" w:rsidTr="42E2BFEE">
        <w:tc>
          <w:tcPr>
            <w:tcW w:w="5000" w:type="pct"/>
            <w:gridSpan w:val="3"/>
            <w:shd w:val="clear" w:color="auto" w:fill="BFBFBF" w:themeFill="background1" w:themeFillShade="BF"/>
          </w:tcPr>
          <w:p w14:paraId="7AD93173"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1FF91B58" w14:textId="77777777" w:rsidTr="42E2BFEE">
        <w:tc>
          <w:tcPr>
            <w:tcW w:w="5000" w:type="pct"/>
            <w:gridSpan w:val="3"/>
            <w:shd w:val="clear" w:color="auto" w:fill="BFBFBF" w:themeFill="background1" w:themeFillShade="BF"/>
          </w:tcPr>
          <w:p w14:paraId="6C564700"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06CFF302" w14:textId="77777777" w:rsidTr="42E2BFEE">
        <w:tc>
          <w:tcPr>
            <w:tcW w:w="2085" w:type="pct"/>
            <w:shd w:val="clear" w:color="auto" w:fill="D9D9D9" w:themeFill="background1" w:themeFillShade="D9"/>
          </w:tcPr>
          <w:p w14:paraId="46AD000B"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61CDCEAD" w14:textId="77777777" w:rsidR="00F506AC" w:rsidRDefault="00F506AC" w:rsidP="001F6AA3">
            <w:pPr>
              <w:rPr>
                <w:rFonts w:cs="Arial"/>
                <w:szCs w:val="24"/>
              </w:rPr>
            </w:pPr>
          </w:p>
        </w:tc>
        <w:tc>
          <w:tcPr>
            <w:tcW w:w="2915" w:type="pct"/>
            <w:gridSpan w:val="2"/>
          </w:tcPr>
          <w:p w14:paraId="1F84FBD8" w14:textId="77777777" w:rsidR="003425A5" w:rsidRPr="003425A5" w:rsidRDefault="00B86BBB" w:rsidP="0084461B">
            <w:pPr>
              <w:rPr>
                <w:rFonts w:cs="Arial"/>
                <w:b/>
                <w:color w:val="FF0000"/>
                <w:szCs w:val="24"/>
              </w:rPr>
            </w:pPr>
            <w:r w:rsidRPr="00B20F55">
              <w:t>20</w:t>
            </w:r>
            <w:r w:rsidR="00980681" w:rsidRPr="00B20F55">
              <w:t xml:space="preserve"> trusts to act as hubs and to provide expertise for</w:t>
            </w:r>
            <w:r w:rsidR="003425A5" w:rsidRPr="00B20F55">
              <w:t xml:space="preserve"> panels to cover all acute trusts</w:t>
            </w:r>
            <w:r w:rsidR="00980681" w:rsidRPr="00B20F55">
              <w:t xml:space="preserve"> (Some panels may require co-hubs to fully support panels e.g. east midlands</w:t>
            </w:r>
            <w:r w:rsidR="000256D1" w:rsidRPr="00B20F55">
              <w:t>.)</w:t>
            </w:r>
          </w:p>
        </w:tc>
      </w:tr>
      <w:tr w:rsidR="00CF3963" w:rsidRPr="000412A1" w14:paraId="196E9CE3" w14:textId="77777777" w:rsidTr="42E2BFEE">
        <w:tc>
          <w:tcPr>
            <w:tcW w:w="2085" w:type="pct"/>
            <w:shd w:val="clear" w:color="auto" w:fill="D9D9D9" w:themeFill="background1" w:themeFillShade="D9"/>
          </w:tcPr>
          <w:p w14:paraId="1D00CA5B" w14:textId="77777777" w:rsidR="00CF3963" w:rsidRDefault="002C4571" w:rsidP="0084461B">
            <w:pPr>
              <w:rPr>
                <w:rFonts w:cs="Arial"/>
                <w:szCs w:val="24"/>
              </w:rPr>
            </w:pPr>
            <w:r w:rsidRPr="002C4571">
              <w:rPr>
                <w:rFonts w:cs="Arial"/>
                <w:b/>
                <w:szCs w:val="24"/>
              </w:rPr>
              <w:t xml:space="preserve">List of </w:t>
            </w:r>
            <w:r w:rsidR="004E377A">
              <w:rPr>
                <w:rFonts w:cs="Arial"/>
                <w:b/>
                <w:szCs w:val="24"/>
              </w:rPr>
              <w:t xml:space="preserve">Providers for whom Indicator is </w:t>
            </w:r>
            <w:r w:rsidR="004E377A" w:rsidRPr="002C4571">
              <w:rPr>
                <w:rFonts w:cs="Arial"/>
                <w:b/>
                <w:szCs w:val="24"/>
              </w:rPr>
              <w:t>Applicable</w:t>
            </w:r>
          </w:p>
          <w:p w14:paraId="6BB9E253" w14:textId="77777777" w:rsidR="00CF3963" w:rsidRPr="000412A1" w:rsidRDefault="00CF3963" w:rsidP="001F6AA3">
            <w:pPr>
              <w:rPr>
                <w:rFonts w:cs="Arial"/>
                <w:szCs w:val="24"/>
              </w:rPr>
            </w:pPr>
          </w:p>
        </w:tc>
        <w:tc>
          <w:tcPr>
            <w:tcW w:w="2915" w:type="pct"/>
            <w:gridSpan w:val="2"/>
          </w:tcPr>
          <w:p w14:paraId="07709D4A" w14:textId="77777777" w:rsidR="003425A5" w:rsidRPr="003425A5" w:rsidRDefault="003425A5" w:rsidP="003425A5">
            <w:pPr>
              <w:rPr>
                <w:rFonts w:cs="Arial"/>
                <w:i/>
                <w:szCs w:val="24"/>
                <w:u w:val="single"/>
              </w:rPr>
            </w:pPr>
            <w:r w:rsidRPr="003425A5">
              <w:rPr>
                <w:rFonts w:cs="Arial"/>
                <w:i/>
                <w:szCs w:val="24"/>
                <w:u w:val="single"/>
              </w:rPr>
              <w:t>South</w:t>
            </w:r>
          </w:p>
          <w:p w14:paraId="36011616" w14:textId="77777777" w:rsidR="003425A5" w:rsidRPr="006E093D" w:rsidRDefault="003425A5" w:rsidP="006E093D">
            <w:pPr>
              <w:pStyle w:val="ListParagraph"/>
              <w:numPr>
                <w:ilvl w:val="0"/>
                <w:numId w:val="14"/>
              </w:numPr>
              <w:rPr>
                <w:rFonts w:cs="Arial"/>
                <w:i/>
                <w:szCs w:val="24"/>
              </w:rPr>
            </w:pPr>
            <w:r w:rsidRPr="006E093D">
              <w:rPr>
                <w:rFonts w:cs="Arial"/>
                <w:i/>
                <w:szCs w:val="24"/>
              </w:rPr>
              <w:t>Oxford</w:t>
            </w:r>
            <w:r w:rsidR="00B86BBB" w:rsidRPr="006E093D">
              <w:rPr>
                <w:rFonts w:cs="Arial"/>
                <w:i/>
                <w:szCs w:val="24"/>
              </w:rPr>
              <w:t xml:space="preserve"> (Thames Valley)</w:t>
            </w:r>
          </w:p>
          <w:p w14:paraId="7C3BB24D" w14:textId="77777777" w:rsidR="003425A5" w:rsidRPr="006E093D" w:rsidRDefault="003425A5" w:rsidP="006E093D">
            <w:pPr>
              <w:pStyle w:val="ListParagraph"/>
              <w:numPr>
                <w:ilvl w:val="0"/>
                <w:numId w:val="14"/>
              </w:numPr>
              <w:rPr>
                <w:rFonts w:cs="Arial"/>
                <w:i/>
                <w:szCs w:val="24"/>
              </w:rPr>
            </w:pPr>
            <w:r w:rsidRPr="006E093D">
              <w:rPr>
                <w:rFonts w:cs="Arial"/>
                <w:i/>
                <w:szCs w:val="24"/>
              </w:rPr>
              <w:t>Southampton</w:t>
            </w:r>
            <w:r w:rsidR="00B86BBB" w:rsidRPr="006E093D">
              <w:rPr>
                <w:rFonts w:cs="Arial"/>
                <w:i/>
                <w:szCs w:val="24"/>
              </w:rPr>
              <w:t xml:space="preserve"> </w:t>
            </w:r>
          </w:p>
          <w:p w14:paraId="2CA5DA1D" w14:textId="77777777" w:rsidR="003425A5" w:rsidRPr="006E093D" w:rsidRDefault="003425A5" w:rsidP="006E093D">
            <w:pPr>
              <w:pStyle w:val="ListParagraph"/>
              <w:numPr>
                <w:ilvl w:val="0"/>
                <w:numId w:val="14"/>
              </w:numPr>
              <w:rPr>
                <w:rFonts w:cs="Arial"/>
                <w:i/>
                <w:szCs w:val="24"/>
              </w:rPr>
            </w:pPr>
            <w:r w:rsidRPr="006E093D">
              <w:rPr>
                <w:rFonts w:cs="Arial"/>
                <w:i/>
                <w:szCs w:val="24"/>
              </w:rPr>
              <w:t>Plymouth</w:t>
            </w:r>
            <w:r w:rsidR="00B86BBB" w:rsidRPr="006E093D">
              <w:rPr>
                <w:rFonts w:cs="Arial"/>
                <w:i/>
                <w:szCs w:val="24"/>
              </w:rPr>
              <w:t xml:space="preserve"> (Peninsula)</w:t>
            </w:r>
          </w:p>
          <w:p w14:paraId="6FBCF378" w14:textId="77777777" w:rsidR="003425A5" w:rsidRPr="006E093D" w:rsidRDefault="003425A5" w:rsidP="006E093D">
            <w:pPr>
              <w:pStyle w:val="ListParagraph"/>
              <w:numPr>
                <w:ilvl w:val="0"/>
                <w:numId w:val="14"/>
              </w:numPr>
              <w:rPr>
                <w:rFonts w:cs="Arial"/>
                <w:i/>
                <w:szCs w:val="24"/>
              </w:rPr>
            </w:pPr>
            <w:r w:rsidRPr="006E093D">
              <w:rPr>
                <w:rFonts w:cs="Arial"/>
                <w:i/>
                <w:szCs w:val="24"/>
              </w:rPr>
              <w:t>Bristol</w:t>
            </w:r>
            <w:r w:rsidR="00B86BBB" w:rsidRPr="006E093D">
              <w:rPr>
                <w:rFonts w:cs="Arial"/>
                <w:i/>
                <w:szCs w:val="24"/>
              </w:rPr>
              <w:t xml:space="preserve"> (South West)</w:t>
            </w:r>
          </w:p>
          <w:p w14:paraId="34F66D90" w14:textId="77777777" w:rsidR="003425A5" w:rsidRPr="00980681" w:rsidRDefault="003425A5" w:rsidP="003425A5">
            <w:pPr>
              <w:pStyle w:val="ListParagraph"/>
              <w:numPr>
                <w:ilvl w:val="0"/>
                <w:numId w:val="14"/>
              </w:numPr>
              <w:rPr>
                <w:rFonts w:cs="Arial"/>
                <w:i/>
                <w:szCs w:val="24"/>
              </w:rPr>
            </w:pPr>
            <w:proofErr w:type="gramStart"/>
            <w:r w:rsidRPr="006E093D">
              <w:rPr>
                <w:rFonts w:cs="Arial"/>
                <w:i/>
                <w:szCs w:val="24"/>
              </w:rPr>
              <w:t xml:space="preserve">Brighton </w:t>
            </w:r>
            <w:r w:rsidR="00B86BBB" w:rsidRPr="006E093D">
              <w:rPr>
                <w:rFonts w:cs="Arial"/>
                <w:i/>
                <w:szCs w:val="24"/>
              </w:rPr>
              <w:t xml:space="preserve"> (</w:t>
            </w:r>
            <w:proofErr w:type="gramEnd"/>
            <w:r w:rsidR="00B86BBB" w:rsidRPr="006E093D">
              <w:rPr>
                <w:rFonts w:cs="Arial"/>
                <w:i/>
                <w:szCs w:val="24"/>
              </w:rPr>
              <w:t>Surr</w:t>
            </w:r>
            <w:r w:rsidR="00FE575E">
              <w:rPr>
                <w:rFonts w:cs="Arial"/>
                <w:i/>
                <w:szCs w:val="24"/>
              </w:rPr>
              <w:t>e</w:t>
            </w:r>
            <w:r w:rsidR="00B86BBB" w:rsidRPr="006E093D">
              <w:rPr>
                <w:rFonts w:cs="Arial"/>
                <w:i/>
                <w:szCs w:val="24"/>
              </w:rPr>
              <w:t>y and Sussex)</w:t>
            </w:r>
            <w:r w:rsidR="00980681">
              <w:rPr>
                <w:rFonts w:cs="Arial"/>
                <w:i/>
                <w:szCs w:val="24"/>
              </w:rPr>
              <w:t xml:space="preserve"> </w:t>
            </w:r>
          </w:p>
          <w:p w14:paraId="2A5A5A02" w14:textId="77777777" w:rsidR="003425A5" w:rsidRPr="006E093D" w:rsidRDefault="006E093D" w:rsidP="006E093D">
            <w:pPr>
              <w:pStyle w:val="ListParagraph"/>
              <w:numPr>
                <w:ilvl w:val="0"/>
                <w:numId w:val="14"/>
              </w:numPr>
              <w:rPr>
                <w:rFonts w:cs="Arial"/>
                <w:i/>
                <w:szCs w:val="24"/>
              </w:rPr>
            </w:pPr>
            <w:r w:rsidRPr="006E093D">
              <w:rPr>
                <w:rFonts w:cs="Arial"/>
                <w:i/>
                <w:szCs w:val="24"/>
              </w:rPr>
              <w:t>TBC (</w:t>
            </w:r>
            <w:r w:rsidR="00B86BBB" w:rsidRPr="006E093D">
              <w:rPr>
                <w:rFonts w:cs="Arial"/>
                <w:i/>
                <w:szCs w:val="24"/>
              </w:rPr>
              <w:t>Kent and Medway</w:t>
            </w:r>
            <w:r w:rsidRPr="006E093D">
              <w:rPr>
                <w:rFonts w:cs="Arial"/>
                <w:i/>
                <w:szCs w:val="24"/>
              </w:rPr>
              <w:t>)</w:t>
            </w:r>
            <w:r w:rsidR="003425A5" w:rsidRPr="006E093D">
              <w:rPr>
                <w:rFonts w:cs="Arial"/>
                <w:i/>
                <w:szCs w:val="24"/>
              </w:rPr>
              <w:tab/>
            </w:r>
          </w:p>
          <w:p w14:paraId="23DE523C" w14:textId="77777777" w:rsidR="003425A5" w:rsidRDefault="003425A5" w:rsidP="003425A5">
            <w:pPr>
              <w:rPr>
                <w:rFonts w:cs="Arial"/>
                <w:i/>
                <w:szCs w:val="24"/>
                <w:u w:val="single"/>
              </w:rPr>
            </w:pPr>
          </w:p>
          <w:p w14:paraId="17BC7B6A" w14:textId="77777777" w:rsidR="003425A5" w:rsidRPr="003425A5" w:rsidRDefault="003425A5" w:rsidP="003425A5">
            <w:pPr>
              <w:rPr>
                <w:rFonts w:cs="Arial"/>
                <w:i/>
                <w:szCs w:val="24"/>
                <w:u w:val="single"/>
              </w:rPr>
            </w:pPr>
            <w:r w:rsidRPr="003425A5">
              <w:rPr>
                <w:rFonts w:cs="Arial"/>
                <w:i/>
                <w:szCs w:val="24"/>
                <w:u w:val="single"/>
              </w:rPr>
              <w:t>London</w:t>
            </w:r>
          </w:p>
          <w:p w14:paraId="34ACF0F8" w14:textId="77777777" w:rsidR="003425A5" w:rsidRPr="006E093D" w:rsidRDefault="003425A5" w:rsidP="006E093D">
            <w:pPr>
              <w:pStyle w:val="ListParagraph"/>
              <w:numPr>
                <w:ilvl w:val="0"/>
                <w:numId w:val="13"/>
              </w:numPr>
              <w:rPr>
                <w:rFonts w:cs="Arial"/>
                <w:i/>
                <w:szCs w:val="24"/>
              </w:rPr>
            </w:pPr>
            <w:r w:rsidRPr="006E093D">
              <w:rPr>
                <w:rFonts w:cs="Arial"/>
                <w:i/>
                <w:szCs w:val="24"/>
              </w:rPr>
              <w:t>St George’s</w:t>
            </w:r>
            <w:r w:rsidR="006E093D" w:rsidRPr="006E093D">
              <w:rPr>
                <w:rFonts w:cs="Arial"/>
                <w:i/>
                <w:szCs w:val="24"/>
              </w:rPr>
              <w:t xml:space="preserve"> (South London)</w:t>
            </w:r>
          </w:p>
          <w:p w14:paraId="42FB7BB7" w14:textId="77777777" w:rsidR="003425A5" w:rsidRPr="006E093D" w:rsidRDefault="003425A5" w:rsidP="006E093D">
            <w:pPr>
              <w:pStyle w:val="ListParagraph"/>
              <w:numPr>
                <w:ilvl w:val="0"/>
                <w:numId w:val="13"/>
              </w:numPr>
              <w:rPr>
                <w:rFonts w:cs="Arial"/>
                <w:i/>
                <w:szCs w:val="24"/>
              </w:rPr>
            </w:pPr>
            <w:proofErr w:type="spellStart"/>
            <w:r w:rsidRPr="006E093D">
              <w:rPr>
                <w:rFonts w:cs="Arial"/>
                <w:i/>
                <w:szCs w:val="24"/>
              </w:rPr>
              <w:lastRenderedPageBreak/>
              <w:t>Barts</w:t>
            </w:r>
            <w:proofErr w:type="spellEnd"/>
            <w:r w:rsidR="006E093D" w:rsidRPr="006E093D">
              <w:rPr>
                <w:rFonts w:cs="Arial"/>
                <w:i/>
                <w:szCs w:val="24"/>
              </w:rPr>
              <w:t xml:space="preserve"> (Nor</w:t>
            </w:r>
            <w:r w:rsidR="00FE575E">
              <w:rPr>
                <w:rFonts w:cs="Arial"/>
                <w:i/>
                <w:szCs w:val="24"/>
              </w:rPr>
              <w:t>t</w:t>
            </w:r>
            <w:r w:rsidR="006E093D" w:rsidRPr="006E093D">
              <w:rPr>
                <w:rFonts w:cs="Arial"/>
                <w:i/>
                <w:szCs w:val="24"/>
              </w:rPr>
              <w:t>h East London)</w:t>
            </w:r>
          </w:p>
          <w:p w14:paraId="739A4610" w14:textId="77777777" w:rsidR="003425A5" w:rsidRPr="006E093D" w:rsidRDefault="006E093D" w:rsidP="006E093D">
            <w:pPr>
              <w:pStyle w:val="ListParagraph"/>
              <w:numPr>
                <w:ilvl w:val="0"/>
                <w:numId w:val="13"/>
              </w:numPr>
              <w:rPr>
                <w:rFonts w:cs="Arial"/>
                <w:i/>
                <w:szCs w:val="24"/>
              </w:rPr>
            </w:pPr>
            <w:r w:rsidRPr="006E093D">
              <w:rPr>
                <w:rFonts w:cs="Arial"/>
                <w:i/>
                <w:szCs w:val="24"/>
              </w:rPr>
              <w:t>Royal Free (North Central London)</w:t>
            </w:r>
          </w:p>
          <w:p w14:paraId="699480D1" w14:textId="77777777" w:rsidR="003425A5" w:rsidRPr="006E093D" w:rsidRDefault="003425A5" w:rsidP="006E093D">
            <w:pPr>
              <w:pStyle w:val="ListParagraph"/>
              <w:numPr>
                <w:ilvl w:val="0"/>
                <w:numId w:val="13"/>
              </w:numPr>
              <w:rPr>
                <w:rFonts w:cs="Arial"/>
                <w:i/>
                <w:szCs w:val="24"/>
              </w:rPr>
            </w:pPr>
            <w:r w:rsidRPr="006E093D">
              <w:rPr>
                <w:rFonts w:cs="Arial"/>
                <w:i/>
                <w:szCs w:val="24"/>
              </w:rPr>
              <w:t>Imperial</w:t>
            </w:r>
            <w:r w:rsidR="006E093D" w:rsidRPr="006E093D">
              <w:rPr>
                <w:rFonts w:cs="Arial"/>
                <w:i/>
                <w:szCs w:val="24"/>
              </w:rPr>
              <w:t xml:space="preserve"> (North West London) </w:t>
            </w:r>
          </w:p>
          <w:p w14:paraId="52E56223" w14:textId="77777777" w:rsidR="003425A5" w:rsidRDefault="003425A5" w:rsidP="003425A5">
            <w:pPr>
              <w:rPr>
                <w:rFonts w:cs="Arial"/>
                <w:i/>
                <w:szCs w:val="24"/>
              </w:rPr>
            </w:pPr>
          </w:p>
          <w:p w14:paraId="70F8437A" w14:textId="77777777" w:rsidR="003425A5" w:rsidRPr="003425A5" w:rsidRDefault="003425A5" w:rsidP="003425A5">
            <w:pPr>
              <w:rPr>
                <w:rFonts w:cs="Arial"/>
                <w:i/>
                <w:szCs w:val="24"/>
                <w:u w:val="single"/>
              </w:rPr>
            </w:pPr>
            <w:r w:rsidRPr="003425A5">
              <w:rPr>
                <w:rFonts w:cs="Arial"/>
                <w:i/>
                <w:szCs w:val="24"/>
                <w:u w:val="single"/>
              </w:rPr>
              <w:t>North</w:t>
            </w:r>
          </w:p>
          <w:p w14:paraId="10E56FC5" w14:textId="77777777" w:rsidR="006E093D" w:rsidRPr="006E093D" w:rsidRDefault="006E093D" w:rsidP="006E093D">
            <w:pPr>
              <w:pStyle w:val="ListParagraph"/>
              <w:numPr>
                <w:ilvl w:val="0"/>
                <w:numId w:val="12"/>
              </w:numPr>
              <w:rPr>
                <w:rFonts w:cs="Arial"/>
                <w:i/>
                <w:szCs w:val="24"/>
              </w:rPr>
            </w:pPr>
            <w:r w:rsidRPr="006E093D">
              <w:rPr>
                <w:rFonts w:cs="Arial"/>
                <w:i/>
                <w:szCs w:val="24"/>
              </w:rPr>
              <w:t xml:space="preserve">Sheffield (South Yorkshire) </w:t>
            </w:r>
          </w:p>
          <w:p w14:paraId="0E0CF46A" w14:textId="77777777" w:rsidR="003425A5" w:rsidRPr="006E093D" w:rsidRDefault="003425A5" w:rsidP="006E093D">
            <w:pPr>
              <w:pStyle w:val="ListParagraph"/>
              <w:numPr>
                <w:ilvl w:val="0"/>
                <w:numId w:val="12"/>
              </w:numPr>
              <w:rPr>
                <w:rFonts w:cs="Arial"/>
                <w:i/>
                <w:szCs w:val="24"/>
              </w:rPr>
            </w:pPr>
            <w:r w:rsidRPr="006E093D">
              <w:rPr>
                <w:rFonts w:cs="Arial"/>
                <w:i/>
                <w:szCs w:val="24"/>
              </w:rPr>
              <w:t>Newcastle</w:t>
            </w:r>
            <w:r w:rsidR="006E093D" w:rsidRPr="006E093D">
              <w:rPr>
                <w:rFonts w:cs="Arial"/>
                <w:i/>
                <w:szCs w:val="24"/>
              </w:rPr>
              <w:t xml:space="preserve"> (North East and Cumbria)</w:t>
            </w:r>
          </w:p>
          <w:p w14:paraId="0F3A2541" w14:textId="77777777" w:rsidR="003425A5" w:rsidRPr="006E093D" w:rsidRDefault="003425A5" w:rsidP="006E093D">
            <w:pPr>
              <w:pStyle w:val="ListParagraph"/>
              <w:numPr>
                <w:ilvl w:val="0"/>
                <w:numId w:val="12"/>
              </w:numPr>
              <w:rPr>
                <w:rFonts w:cs="Arial"/>
                <w:i/>
                <w:szCs w:val="24"/>
              </w:rPr>
            </w:pPr>
            <w:r w:rsidRPr="006E093D">
              <w:rPr>
                <w:rFonts w:cs="Arial"/>
                <w:i/>
                <w:szCs w:val="24"/>
              </w:rPr>
              <w:t>Leeds</w:t>
            </w:r>
            <w:r w:rsidR="006E093D" w:rsidRPr="006E093D">
              <w:rPr>
                <w:rFonts w:cs="Arial"/>
                <w:i/>
                <w:szCs w:val="24"/>
              </w:rPr>
              <w:t xml:space="preserve"> (North and West </w:t>
            </w:r>
            <w:proofErr w:type="spellStart"/>
            <w:r w:rsidR="006E093D" w:rsidRPr="006E093D">
              <w:rPr>
                <w:rFonts w:cs="Arial"/>
                <w:i/>
                <w:szCs w:val="24"/>
              </w:rPr>
              <w:t>Yourshire</w:t>
            </w:r>
            <w:proofErr w:type="spellEnd"/>
            <w:r w:rsidR="006E093D" w:rsidRPr="006E093D">
              <w:rPr>
                <w:rFonts w:cs="Arial"/>
                <w:i/>
                <w:szCs w:val="24"/>
              </w:rPr>
              <w:t>)</w:t>
            </w:r>
          </w:p>
          <w:p w14:paraId="1AFEB357" w14:textId="77777777" w:rsidR="006E093D" w:rsidRPr="006E093D" w:rsidRDefault="006E093D" w:rsidP="006E093D">
            <w:pPr>
              <w:pStyle w:val="ListParagraph"/>
              <w:numPr>
                <w:ilvl w:val="0"/>
                <w:numId w:val="12"/>
              </w:numPr>
              <w:rPr>
                <w:rFonts w:cs="Arial"/>
                <w:i/>
                <w:szCs w:val="24"/>
              </w:rPr>
            </w:pPr>
            <w:r w:rsidRPr="006E093D">
              <w:rPr>
                <w:rFonts w:cs="Arial"/>
                <w:i/>
                <w:szCs w:val="24"/>
              </w:rPr>
              <w:t>Hull (East and Humber)</w:t>
            </w:r>
          </w:p>
          <w:p w14:paraId="6A630520" w14:textId="77777777" w:rsidR="006E093D" w:rsidRPr="006E093D" w:rsidRDefault="006E093D" w:rsidP="006E093D">
            <w:pPr>
              <w:pStyle w:val="ListParagraph"/>
              <w:numPr>
                <w:ilvl w:val="0"/>
                <w:numId w:val="12"/>
              </w:numPr>
              <w:rPr>
                <w:rFonts w:cs="Arial"/>
                <w:i/>
                <w:szCs w:val="24"/>
              </w:rPr>
            </w:pPr>
            <w:r w:rsidRPr="006E093D">
              <w:rPr>
                <w:rFonts w:cs="Arial"/>
                <w:i/>
                <w:szCs w:val="24"/>
              </w:rPr>
              <w:t xml:space="preserve">Royal </w:t>
            </w:r>
            <w:proofErr w:type="gramStart"/>
            <w:r w:rsidRPr="006E093D">
              <w:rPr>
                <w:rFonts w:cs="Arial"/>
                <w:i/>
                <w:szCs w:val="24"/>
              </w:rPr>
              <w:t>Liverpool(</w:t>
            </w:r>
            <w:proofErr w:type="gramEnd"/>
            <w:r w:rsidRPr="006E093D">
              <w:rPr>
                <w:rFonts w:cs="Arial"/>
                <w:i/>
                <w:szCs w:val="24"/>
              </w:rPr>
              <w:t xml:space="preserve">Cheshire and Mersey including Alder Hay and Walton Centre) </w:t>
            </w:r>
          </w:p>
          <w:p w14:paraId="51ED41A9" w14:textId="77777777" w:rsidR="006E093D" w:rsidRPr="006E093D" w:rsidRDefault="006E093D" w:rsidP="006E093D">
            <w:pPr>
              <w:pStyle w:val="ListParagraph"/>
              <w:numPr>
                <w:ilvl w:val="0"/>
                <w:numId w:val="12"/>
              </w:numPr>
              <w:rPr>
                <w:rFonts w:cs="Arial"/>
                <w:i/>
                <w:szCs w:val="24"/>
              </w:rPr>
            </w:pPr>
            <w:r w:rsidRPr="006E093D">
              <w:rPr>
                <w:rFonts w:cs="Arial"/>
                <w:i/>
                <w:szCs w:val="24"/>
              </w:rPr>
              <w:t xml:space="preserve">Manchester Foundation Trust (Greater Manchester and </w:t>
            </w:r>
            <w:proofErr w:type="spellStart"/>
            <w:r w:rsidRPr="006E093D">
              <w:rPr>
                <w:rFonts w:cs="Arial"/>
                <w:i/>
                <w:szCs w:val="24"/>
              </w:rPr>
              <w:t>Lancs</w:t>
            </w:r>
            <w:proofErr w:type="spellEnd"/>
            <w:r w:rsidRPr="006E093D">
              <w:rPr>
                <w:rFonts w:cs="Arial"/>
                <w:i/>
                <w:szCs w:val="24"/>
              </w:rPr>
              <w:t xml:space="preserve"> including Salford Royal)</w:t>
            </w:r>
          </w:p>
          <w:p w14:paraId="07547A01" w14:textId="77777777" w:rsidR="006E093D" w:rsidRPr="003425A5" w:rsidRDefault="006E093D" w:rsidP="003425A5">
            <w:pPr>
              <w:rPr>
                <w:rFonts w:cs="Arial"/>
                <w:i/>
                <w:szCs w:val="24"/>
              </w:rPr>
            </w:pPr>
          </w:p>
          <w:p w14:paraId="3DAD08C1" w14:textId="77777777" w:rsidR="003425A5" w:rsidRPr="003425A5" w:rsidRDefault="003425A5" w:rsidP="003425A5">
            <w:pPr>
              <w:rPr>
                <w:rFonts w:cs="Arial"/>
                <w:i/>
                <w:szCs w:val="24"/>
              </w:rPr>
            </w:pPr>
            <w:r w:rsidRPr="003425A5">
              <w:rPr>
                <w:rFonts w:cs="Arial"/>
                <w:i/>
                <w:szCs w:val="24"/>
                <w:u w:val="single"/>
              </w:rPr>
              <w:t>Midlands and East</w:t>
            </w:r>
            <w:r w:rsidRPr="003425A5">
              <w:rPr>
                <w:rFonts w:cs="Arial"/>
                <w:i/>
                <w:szCs w:val="24"/>
              </w:rPr>
              <w:t xml:space="preserve"> </w:t>
            </w:r>
          </w:p>
          <w:p w14:paraId="3C517F84" w14:textId="77777777" w:rsidR="003425A5" w:rsidRPr="006E093D" w:rsidRDefault="003425A5" w:rsidP="006E093D">
            <w:pPr>
              <w:pStyle w:val="ListParagraph"/>
              <w:numPr>
                <w:ilvl w:val="0"/>
                <w:numId w:val="15"/>
              </w:numPr>
              <w:rPr>
                <w:rFonts w:cs="Arial"/>
                <w:i/>
                <w:szCs w:val="24"/>
              </w:rPr>
            </w:pPr>
            <w:r w:rsidRPr="006E093D">
              <w:rPr>
                <w:rFonts w:cs="Arial"/>
                <w:i/>
                <w:szCs w:val="24"/>
              </w:rPr>
              <w:t>Cambridge</w:t>
            </w:r>
            <w:r w:rsidR="006E093D" w:rsidRPr="006E093D">
              <w:rPr>
                <w:rFonts w:cs="Arial"/>
                <w:i/>
                <w:szCs w:val="24"/>
              </w:rPr>
              <w:t xml:space="preserve"> (East of England)</w:t>
            </w:r>
          </w:p>
          <w:p w14:paraId="02C45D8A" w14:textId="77777777" w:rsidR="003425A5" w:rsidRPr="006E093D" w:rsidRDefault="006E093D" w:rsidP="006E093D">
            <w:pPr>
              <w:pStyle w:val="ListParagraph"/>
              <w:numPr>
                <w:ilvl w:val="0"/>
                <w:numId w:val="15"/>
              </w:numPr>
              <w:rPr>
                <w:rFonts w:cs="Arial"/>
                <w:i/>
                <w:szCs w:val="24"/>
              </w:rPr>
            </w:pPr>
            <w:r w:rsidRPr="006E093D">
              <w:rPr>
                <w:rFonts w:cs="Arial"/>
                <w:i/>
                <w:szCs w:val="24"/>
              </w:rPr>
              <w:t xml:space="preserve">UH </w:t>
            </w:r>
            <w:r w:rsidR="003425A5" w:rsidRPr="006E093D">
              <w:rPr>
                <w:rFonts w:cs="Arial"/>
                <w:i/>
                <w:szCs w:val="24"/>
              </w:rPr>
              <w:t xml:space="preserve">Birmingham </w:t>
            </w:r>
            <w:r w:rsidRPr="006E093D">
              <w:rPr>
                <w:rFonts w:cs="Arial"/>
                <w:i/>
                <w:szCs w:val="24"/>
              </w:rPr>
              <w:t>(Central/South Midlands)</w:t>
            </w:r>
          </w:p>
          <w:p w14:paraId="734D7DD1" w14:textId="77777777" w:rsidR="003425A5" w:rsidRPr="006E093D" w:rsidRDefault="006E093D" w:rsidP="006E093D">
            <w:pPr>
              <w:pStyle w:val="ListParagraph"/>
              <w:numPr>
                <w:ilvl w:val="0"/>
                <w:numId w:val="15"/>
              </w:numPr>
              <w:rPr>
                <w:rFonts w:cs="Arial"/>
                <w:i/>
                <w:szCs w:val="24"/>
              </w:rPr>
            </w:pPr>
            <w:r w:rsidRPr="006E093D">
              <w:rPr>
                <w:rFonts w:cs="Arial"/>
                <w:i/>
                <w:szCs w:val="24"/>
              </w:rPr>
              <w:t>NUH/UHL (east Midlands)</w:t>
            </w:r>
          </w:p>
          <w:p w14:paraId="1FE2C0D7" w14:textId="77777777" w:rsidR="003425A5" w:rsidRPr="006E093D" w:rsidRDefault="006E093D" w:rsidP="006E093D">
            <w:pPr>
              <w:pStyle w:val="ListParagraph"/>
              <w:numPr>
                <w:ilvl w:val="0"/>
                <w:numId w:val="15"/>
              </w:numPr>
              <w:rPr>
                <w:rFonts w:cs="Arial"/>
                <w:i/>
                <w:szCs w:val="24"/>
              </w:rPr>
            </w:pPr>
            <w:r w:rsidRPr="006E093D">
              <w:rPr>
                <w:rFonts w:cs="Arial"/>
                <w:i/>
                <w:szCs w:val="24"/>
              </w:rPr>
              <w:t xml:space="preserve">UH of North </w:t>
            </w:r>
            <w:proofErr w:type="gramStart"/>
            <w:r w:rsidRPr="006E093D">
              <w:rPr>
                <w:rFonts w:cs="Arial"/>
                <w:i/>
                <w:szCs w:val="24"/>
              </w:rPr>
              <w:t>Midlands(</w:t>
            </w:r>
            <w:proofErr w:type="gramEnd"/>
            <w:r w:rsidRPr="006E093D">
              <w:rPr>
                <w:rFonts w:cs="Arial"/>
                <w:i/>
                <w:szCs w:val="24"/>
              </w:rPr>
              <w:t xml:space="preserve">North West Midlands) </w:t>
            </w:r>
          </w:p>
          <w:p w14:paraId="5043CB0F" w14:textId="77777777" w:rsidR="003425A5" w:rsidRPr="003425A5" w:rsidRDefault="003425A5" w:rsidP="003425A5">
            <w:pPr>
              <w:rPr>
                <w:rFonts w:cs="Arial"/>
                <w:i/>
                <w:szCs w:val="24"/>
              </w:rPr>
            </w:pPr>
          </w:p>
          <w:p w14:paraId="07459315" w14:textId="77777777" w:rsidR="00CF3963" w:rsidRPr="00CA40CD" w:rsidRDefault="00CF3963" w:rsidP="0084461B">
            <w:pPr>
              <w:rPr>
                <w:rFonts w:cs="Arial"/>
                <w:i/>
                <w:szCs w:val="24"/>
              </w:rPr>
            </w:pPr>
          </w:p>
        </w:tc>
      </w:tr>
      <w:tr w:rsidR="00CF3963" w:rsidRPr="000412A1" w14:paraId="4B4F0139" w14:textId="77777777" w:rsidTr="42E2BFEE">
        <w:tc>
          <w:tcPr>
            <w:tcW w:w="5000" w:type="pct"/>
            <w:gridSpan w:val="3"/>
            <w:shd w:val="clear" w:color="auto" w:fill="BFBFBF" w:themeFill="background1" w:themeFillShade="BF"/>
          </w:tcPr>
          <w:p w14:paraId="5CCD4CA2"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C25612" w:rsidRPr="000412A1" w14:paraId="42AD6EA7" w14:textId="77777777" w:rsidTr="42E2BFEE">
        <w:trPr>
          <w:trHeight w:val="2153"/>
        </w:trPr>
        <w:tc>
          <w:tcPr>
            <w:tcW w:w="2188" w:type="pct"/>
            <w:gridSpan w:val="2"/>
            <w:shd w:val="clear" w:color="auto" w:fill="D9D9D9" w:themeFill="background1" w:themeFillShade="D9"/>
          </w:tcPr>
          <w:p w14:paraId="676EDB7D" w14:textId="77777777" w:rsidR="00C25612" w:rsidRPr="001F6AA3" w:rsidRDefault="00C25612" w:rsidP="00C25612">
            <w:pPr>
              <w:rPr>
                <w:rFonts w:cs="Arial"/>
                <w:b/>
                <w:i/>
                <w:szCs w:val="24"/>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6537F28F" w14:textId="77777777" w:rsidR="00C25612" w:rsidRDefault="00C25612" w:rsidP="00C25612">
            <w:pPr>
              <w:rPr>
                <w:rFonts w:cs="Arial"/>
                <w:szCs w:val="24"/>
                <w:u w:val="single"/>
              </w:rPr>
            </w:pPr>
          </w:p>
        </w:tc>
        <w:tc>
          <w:tcPr>
            <w:tcW w:w="2812" w:type="pct"/>
          </w:tcPr>
          <w:p w14:paraId="629D792A" w14:textId="77777777" w:rsidR="00980681" w:rsidRPr="000256D1" w:rsidRDefault="000256D1" w:rsidP="000256D1">
            <w:pPr>
              <w:rPr>
                <w:rFonts w:cs="Arial"/>
                <w:szCs w:val="24"/>
              </w:rPr>
            </w:pPr>
            <w:r>
              <w:rPr>
                <w:rFonts w:cs="Arial"/>
                <w:szCs w:val="24"/>
              </w:rPr>
              <w:t>N/A</w:t>
            </w:r>
          </w:p>
        </w:tc>
      </w:tr>
      <w:tr w:rsidR="00CF3963" w:rsidRPr="000412A1" w14:paraId="7A10BA73" w14:textId="77777777" w:rsidTr="42E2BFEE">
        <w:tc>
          <w:tcPr>
            <w:tcW w:w="5000" w:type="pct"/>
            <w:gridSpan w:val="3"/>
            <w:shd w:val="clear" w:color="auto" w:fill="BFBFBF" w:themeFill="background1" w:themeFillShade="BF"/>
          </w:tcPr>
          <w:p w14:paraId="5C8BEDAC" w14:textId="77777777"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0A9CAC37" w14:textId="77777777" w:rsidTr="42E2BFEE">
        <w:tc>
          <w:tcPr>
            <w:tcW w:w="5000" w:type="pct"/>
            <w:gridSpan w:val="3"/>
          </w:tcPr>
          <w:p w14:paraId="758113BC"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6DFB9E20" w14:textId="77777777" w:rsidR="00980681" w:rsidRDefault="00980681" w:rsidP="0084461B">
            <w:pPr>
              <w:rPr>
                <w:rFonts w:eastAsiaTheme="minorEastAsia" w:cs="Arial"/>
                <w:szCs w:val="24"/>
                <w:u w:val="single"/>
              </w:rPr>
            </w:pPr>
          </w:p>
          <w:p w14:paraId="09DD0430" w14:textId="77777777" w:rsidR="00196689" w:rsidRDefault="00196689" w:rsidP="0084461B">
            <w:pPr>
              <w:rPr>
                <w:rFonts w:eastAsiaTheme="minorEastAsia" w:cs="Arial"/>
                <w:szCs w:val="24"/>
                <w:u w:val="single"/>
              </w:rPr>
            </w:pPr>
            <w:r>
              <w:rPr>
                <w:rFonts w:eastAsiaTheme="minorEastAsia" w:cs="Arial"/>
                <w:szCs w:val="24"/>
                <w:u w:val="single"/>
              </w:rPr>
              <w:t>Example Payment structure</w:t>
            </w:r>
          </w:p>
          <w:p w14:paraId="70DF9E56" w14:textId="77777777" w:rsidR="00156CD6" w:rsidRDefault="00156CD6" w:rsidP="0084461B">
            <w:pPr>
              <w:rPr>
                <w:rFonts w:eastAsiaTheme="minorEastAsia" w:cs="Arial"/>
                <w:szCs w:val="24"/>
              </w:rPr>
            </w:pPr>
          </w:p>
          <w:p w14:paraId="7AB3A54F" w14:textId="77777777" w:rsidR="000256D1" w:rsidRDefault="00DE6972" w:rsidP="0084461B">
            <w:pPr>
              <w:rPr>
                <w:rFonts w:eastAsiaTheme="minorEastAsia" w:cs="Arial"/>
                <w:szCs w:val="24"/>
              </w:rPr>
            </w:pPr>
            <w:r w:rsidRPr="00DE6972">
              <w:rPr>
                <w:rFonts w:eastAsiaTheme="minorEastAsia" w:cs="Arial"/>
                <w:szCs w:val="24"/>
              </w:rPr>
              <w:t xml:space="preserve">All </w:t>
            </w:r>
            <w:r>
              <w:rPr>
                <w:rFonts w:eastAsiaTheme="minorEastAsia" w:cs="Arial"/>
                <w:szCs w:val="24"/>
              </w:rPr>
              <w:t>SRIAP host providers</w:t>
            </w:r>
            <w:r w:rsidRPr="00DE6972">
              <w:rPr>
                <w:rFonts w:eastAsiaTheme="minorEastAsia" w:cs="Arial"/>
                <w:szCs w:val="24"/>
              </w:rPr>
              <w:t xml:space="preserve"> to receive </w:t>
            </w:r>
            <w:r w:rsidR="00156CD6">
              <w:rPr>
                <w:rFonts w:eastAsiaTheme="minorEastAsia" w:cs="Arial"/>
                <w:szCs w:val="24"/>
              </w:rPr>
              <w:t>£95</w:t>
            </w:r>
            <w:r w:rsidRPr="00DE6972">
              <w:rPr>
                <w:rFonts w:eastAsiaTheme="minorEastAsia" w:cs="Arial"/>
                <w:szCs w:val="24"/>
              </w:rPr>
              <w:t>,000 for hosting panel</w:t>
            </w:r>
            <w:r w:rsidR="000256D1">
              <w:rPr>
                <w:rFonts w:eastAsiaTheme="minorEastAsia" w:cs="Arial"/>
                <w:szCs w:val="24"/>
              </w:rPr>
              <w:t xml:space="preserve">. </w:t>
            </w:r>
          </w:p>
          <w:p w14:paraId="44E871BC" w14:textId="77777777" w:rsidR="00156CD6" w:rsidRDefault="00156CD6" w:rsidP="000256D1">
            <w:pPr>
              <w:rPr>
                <w:rFonts w:eastAsiaTheme="minorEastAsia" w:cs="Arial"/>
                <w:szCs w:val="24"/>
              </w:rPr>
            </w:pPr>
          </w:p>
          <w:p w14:paraId="6B1F39A8" w14:textId="77777777" w:rsidR="000256D1" w:rsidRDefault="00156CD6" w:rsidP="000256D1">
            <w:pPr>
              <w:rPr>
                <w:rFonts w:eastAsiaTheme="minorEastAsia" w:cs="Arial"/>
                <w:szCs w:val="24"/>
              </w:rPr>
            </w:pPr>
            <w:r>
              <w:rPr>
                <w:rFonts w:eastAsiaTheme="minorEastAsia" w:cs="Arial"/>
                <w:szCs w:val="24"/>
              </w:rPr>
              <w:t xml:space="preserve">In addition, an average panel would receive a further £65,000 reflecting an average patient load. This element </w:t>
            </w:r>
            <w:r w:rsidR="000256D1">
              <w:rPr>
                <w:rFonts w:eastAsiaTheme="minorEastAsia" w:cs="Arial"/>
                <w:szCs w:val="24"/>
              </w:rPr>
              <w:t>will</w:t>
            </w:r>
            <w:r w:rsidR="000256D1" w:rsidRPr="009F3F45">
              <w:rPr>
                <w:rFonts w:eastAsiaTheme="minorEastAsia" w:cs="Arial"/>
                <w:szCs w:val="24"/>
              </w:rPr>
              <w:t xml:space="preserve"> be pro-rata depending on number of patients to be reviewed by </w:t>
            </w:r>
            <w:r w:rsidR="000256D1">
              <w:rPr>
                <w:rFonts w:eastAsiaTheme="minorEastAsia" w:cs="Arial"/>
                <w:szCs w:val="24"/>
              </w:rPr>
              <w:t>SR</w:t>
            </w:r>
            <w:r w:rsidR="000256D1" w:rsidRPr="009F3F45">
              <w:rPr>
                <w:rFonts w:eastAsiaTheme="minorEastAsia" w:cs="Arial"/>
                <w:szCs w:val="24"/>
              </w:rPr>
              <w:t xml:space="preserve">IAP.  With larger panels receiving higher payment than smaller panels. </w:t>
            </w:r>
          </w:p>
          <w:p w14:paraId="144A5D23" w14:textId="77777777" w:rsidR="000256D1" w:rsidRDefault="000256D1" w:rsidP="0084461B">
            <w:pPr>
              <w:rPr>
                <w:rFonts w:eastAsiaTheme="minorEastAsia" w:cs="Arial"/>
                <w:szCs w:val="24"/>
              </w:rPr>
            </w:pPr>
          </w:p>
          <w:p w14:paraId="738610EB" w14:textId="77777777" w:rsidR="00CF3963" w:rsidRDefault="00CF3963" w:rsidP="0084461B">
            <w:pPr>
              <w:rPr>
                <w:rFonts w:eastAsiaTheme="minorEastAsia" w:cs="Arial"/>
                <w:i/>
                <w:szCs w:val="24"/>
              </w:rPr>
            </w:pPr>
          </w:p>
          <w:p w14:paraId="62CE14DB" w14:textId="77777777" w:rsidR="00CF3963" w:rsidRPr="00512E30" w:rsidRDefault="00CF3963" w:rsidP="0084461B">
            <w:pPr>
              <w:rPr>
                <w:rFonts w:eastAsiaTheme="minorEastAsia" w:cs="Arial"/>
                <w:b/>
                <w:szCs w:val="24"/>
              </w:rPr>
            </w:pPr>
            <w:r w:rsidRPr="00512E30">
              <w:rPr>
                <w:rFonts w:eastAsiaTheme="minorEastAsia" w:cs="Arial"/>
                <w:b/>
                <w:szCs w:val="24"/>
              </w:rPr>
              <w:lastRenderedPageBreak/>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637805D2" w14:textId="77777777" w:rsidR="00CF3963" w:rsidRPr="001350E0" w:rsidRDefault="00CF3963" w:rsidP="0084461B">
            <w:pPr>
              <w:rPr>
                <w:rFonts w:cs="Arial"/>
                <w:szCs w:val="24"/>
              </w:rPr>
            </w:pPr>
          </w:p>
        </w:tc>
      </w:tr>
      <w:tr w:rsidR="00CF3963" w:rsidRPr="00C0210F" w14:paraId="4AEEA13B" w14:textId="77777777" w:rsidTr="42E2BFEE">
        <w:tc>
          <w:tcPr>
            <w:tcW w:w="5000" w:type="pct"/>
            <w:gridSpan w:val="3"/>
            <w:shd w:val="clear" w:color="auto" w:fill="D9D9D9" w:themeFill="background1" w:themeFillShade="D9"/>
          </w:tcPr>
          <w:p w14:paraId="7068E1D8" w14:textId="77777777" w:rsidR="00CF3963" w:rsidRPr="00292053" w:rsidRDefault="00CF3963" w:rsidP="005931C4">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CF3963" w:rsidRPr="000412A1" w14:paraId="6082E446" w14:textId="77777777" w:rsidTr="42E2BFEE">
        <w:tc>
          <w:tcPr>
            <w:tcW w:w="5000" w:type="pct"/>
            <w:gridSpan w:val="3"/>
            <w:shd w:val="clear" w:color="auto" w:fill="auto"/>
          </w:tcPr>
          <w:p w14:paraId="24495086"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7AFCC134"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463F29E8" w14:textId="77777777" w:rsidR="00CF3963" w:rsidRDefault="00CF3963" w:rsidP="0084461B">
            <w:pPr>
              <w:rPr>
                <w:rFonts w:cs="Arial"/>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501"/>
              <w:gridCol w:w="3411"/>
            </w:tblGrid>
            <w:tr w:rsidR="003425A5" w:rsidRPr="00C0263E" w14:paraId="0982BF8C" w14:textId="77777777" w:rsidTr="009620EA">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E747C" w14:textId="77777777" w:rsidR="003425A5" w:rsidRPr="00C0263E" w:rsidRDefault="003425A5" w:rsidP="0084461B">
                  <w:pPr>
                    <w:spacing w:before="40" w:after="40"/>
                    <w:rPr>
                      <w:rFonts w:cs="Arial"/>
                      <w:b/>
                      <w:szCs w:val="24"/>
                    </w:rPr>
                  </w:pPr>
                  <w:r>
                    <w:rPr>
                      <w:rFonts w:cs="Arial"/>
                      <w:b/>
                      <w:szCs w:val="24"/>
                    </w:rPr>
                    <w:t>Descriptions</w:t>
                  </w:r>
                </w:p>
              </w:tc>
              <w:tc>
                <w:tcPr>
                  <w:tcW w:w="35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D6E05C" w14:textId="77777777" w:rsidR="003425A5" w:rsidRPr="00EC3C9D" w:rsidRDefault="003425A5" w:rsidP="0084461B">
                  <w:pPr>
                    <w:spacing w:before="40" w:after="40"/>
                    <w:rPr>
                      <w:rFonts w:cs="Arial"/>
                      <w:b/>
                      <w:szCs w:val="24"/>
                    </w:rPr>
                  </w:pPr>
                  <w:r>
                    <w:rPr>
                      <w:rFonts w:cs="Arial"/>
                      <w:b/>
                      <w:szCs w:val="24"/>
                    </w:rPr>
                    <w:t>First Year of indicator</w:t>
                  </w:r>
                </w:p>
              </w:tc>
              <w:tc>
                <w:tcPr>
                  <w:tcW w:w="34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C5D741" w14:textId="77777777" w:rsidR="003425A5" w:rsidRPr="00EC3C9D" w:rsidRDefault="003425A5" w:rsidP="0084461B">
                  <w:pPr>
                    <w:spacing w:before="40" w:after="40"/>
                    <w:rPr>
                      <w:rFonts w:cs="Arial"/>
                      <w:b/>
                      <w:szCs w:val="24"/>
                    </w:rPr>
                  </w:pPr>
                  <w:r>
                    <w:rPr>
                      <w:rFonts w:cs="Arial"/>
                      <w:b/>
                      <w:szCs w:val="24"/>
                    </w:rPr>
                    <w:t>Second Year</w:t>
                  </w:r>
                </w:p>
              </w:tc>
            </w:tr>
            <w:tr w:rsidR="008511B9" w:rsidRPr="00C0263E" w14:paraId="3B7B4B86" w14:textId="77777777" w:rsidTr="009620EA">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FF5F2" w14:textId="77777777" w:rsidR="008511B9" w:rsidRDefault="008511B9" w:rsidP="0084461B">
                  <w:pPr>
                    <w:spacing w:before="40" w:after="40"/>
                    <w:rPr>
                      <w:rFonts w:cs="Arial"/>
                      <w:b/>
                      <w:szCs w:val="24"/>
                    </w:rPr>
                  </w:pP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8511B9" w:rsidRPr="007423DB" w:rsidRDefault="008511B9" w:rsidP="007423DB">
                  <w:pPr>
                    <w:rPr>
                      <w:rFonts w:cs="Arial"/>
                      <w:szCs w:val="24"/>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8511B9" w:rsidRPr="003425A5" w:rsidRDefault="008511B9" w:rsidP="003425A5">
                  <w:pPr>
                    <w:rPr>
                      <w:rFonts w:cs="Arial"/>
                      <w:szCs w:val="24"/>
                    </w:rPr>
                  </w:pPr>
                </w:p>
              </w:tc>
            </w:tr>
            <w:tr w:rsidR="008511B9" w:rsidRPr="00C0263E" w14:paraId="17281158" w14:textId="77777777" w:rsidTr="009620EA">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6355B9" w14:textId="77777777" w:rsidR="008511B9" w:rsidRDefault="008511B9" w:rsidP="008511B9">
                  <w:pPr>
                    <w:spacing w:before="40" w:after="40"/>
                    <w:rPr>
                      <w:rFonts w:cs="Arial"/>
                      <w:b/>
                      <w:szCs w:val="24"/>
                    </w:rPr>
                  </w:pPr>
                  <w:r>
                    <w:rPr>
                      <w:rFonts w:cs="Arial"/>
                      <w:b/>
                      <w:szCs w:val="24"/>
                    </w:rPr>
                    <w:t>Trigger 1</w:t>
                  </w: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22905497" w14:textId="77777777" w:rsidR="008511B9" w:rsidRDefault="008511B9" w:rsidP="008511B9">
                  <w:pPr>
                    <w:spacing w:before="40" w:after="40"/>
                    <w:rPr>
                      <w:rFonts w:cs="Arial"/>
                      <w:szCs w:val="24"/>
                    </w:rPr>
                  </w:pPr>
                  <w:r>
                    <w:rPr>
                      <w:rFonts w:cs="Arial"/>
                      <w:szCs w:val="24"/>
                    </w:rPr>
                    <w:t xml:space="preserve">Support admin payment to support panel </w:t>
                  </w:r>
                </w:p>
                <w:p w14:paraId="0271FC00" w14:textId="77777777" w:rsidR="009620EA" w:rsidRPr="009620EA" w:rsidRDefault="009620EA" w:rsidP="009620EA">
                  <w:pPr>
                    <w:pStyle w:val="ListParagraph"/>
                    <w:numPr>
                      <w:ilvl w:val="0"/>
                      <w:numId w:val="18"/>
                    </w:numPr>
                    <w:spacing w:before="40" w:after="40"/>
                    <w:rPr>
                      <w:rFonts w:cs="Arial"/>
                      <w:szCs w:val="24"/>
                    </w:rPr>
                  </w:pPr>
                  <w:r>
                    <w:rPr>
                      <w:rFonts w:cs="Arial"/>
                      <w:szCs w:val="24"/>
                    </w:rPr>
                    <w:t xml:space="preserve">Panel operating with </w:t>
                  </w:r>
                  <w:r w:rsidR="00196689">
                    <w:rPr>
                      <w:rFonts w:cs="Arial"/>
                      <w:szCs w:val="24"/>
                    </w:rPr>
                    <w:t xml:space="preserve">agreed </w:t>
                  </w:r>
                  <w:r>
                    <w:rPr>
                      <w:rFonts w:cs="Arial"/>
                      <w:szCs w:val="24"/>
                    </w:rPr>
                    <w:t>clinical and admin support</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73B4B9A" w14:textId="77777777" w:rsidR="008511B9" w:rsidRDefault="008511B9" w:rsidP="008511B9">
                  <w:pPr>
                    <w:spacing w:before="40" w:after="40"/>
                    <w:rPr>
                      <w:rFonts w:cs="Arial"/>
                      <w:szCs w:val="24"/>
                    </w:rPr>
                  </w:pPr>
                  <w:r w:rsidRPr="008511B9">
                    <w:rPr>
                      <w:rFonts w:cs="Arial"/>
                      <w:szCs w:val="24"/>
                    </w:rPr>
                    <w:t>Support admin payment to support panel</w:t>
                  </w:r>
                </w:p>
                <w:p w14:paraId="53F5804E" w14:textId="77777777" w:rsidR="009620EA" w:rsidRPr="009620EA" w:rsidRDefault="009620EA" w:rsidP="009620EA">
                  <w:pPr>
                    <w:pStyle w:val="ListParagraph"/>
                    <w:numPr>
                      <w:ilvl w:val="0"/>
                      <w:numId w:val="18"/>
                    </w:numPr>
                    <w:spacing w:before="40" w:after="40"/>
                    <w:rPr>
                      <w:rFonts w:cs="Arial"/>
                      <w:szCs w:val="24"/>
                    </w:rPr>
                  </w:pPr>
                  <w:r>
                    <w:rPr>
                      <w:rFonts w:cs="Arial"/>
                      <w:szCs w:val="24"/>
                    </w:rPr>
                    <w:t xml:space="preserve">Panel operating with </w:t>
                  </w:r>
                  <w:r w:rsidR="00196689">
                    <w:rPr>
                      <w:rFonts w:cs="Arial"/>
                      <w:szCs w:val="24"/>
                    </w:rPr>
                    <w:t xml:space="preserve">agreed </w:t>
                  </w:r>
                  <w:r>
                    <w:rPr>
                      <w:rFonts w:cs="Arial"/>
                      <w:szCs w:val="24"/>
                    </w:rPr>
                    <w:t>clinical and admin support</w:t>
                  </w:r>
                </w:p>
              </w:tc>
            </w:tr>
            <w:tr w:rsidR="008511B9" w:rsidRPr="00C0263E" w14:paraId="6644057C" w14:textId="77777777" w:rsidTr="009620EA">
              <w:trPr>
                <w:trHeight w:val="619"/>
              </w:trPr>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E001BC" w14:textId="77777777" w:rsidR="008511B9" w:rsidRPr="00C0263E" w:rsidRDefault="008511B9" w:rsidP="008511B9">
                  <w:pPr>
                    <w:spacing w:before="40" w:after="40"/>
                    <w:rPr>
                      <w:rFonts w:cs="Arial"/>
                      <w:b/>
                      <w:szCs w:val="24"/>
                    </w:rPr>
                  </w:pPr>
                  <w:r>
                    <w:rPr>
                      <w:rFonts w:cs="Arial"/>
                      <w:b/>
                      <w:szCs w:val="24"/>
                    </w:rPr>
                    <w:t>Trigger 2</w:t>
                  </w: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69E31F27" w14:textId="77777777" w:rsidR="008511B9" w:rsidRDefault="008511B9" w:rsidP="008511B9">
                  <w:pPr>
                    <w:rPr>
                      <w:rFonts w:cs="Arial"/>
                      <w:szCs w:val="24"/>
                      <w:lang w:eastAsia="en-GB"/>
                    </w:rPr>
                  </w:pPr>
                  <w:r w:rsidRPr="00BA158A">
                    <w:rPr>
                      <w:rFonts w:cs="Arial"/>
                      <w:szCs w:val="24"/>
                      <w:lang w:eastAsia="en-GB"/>
                    </w:rPr>
                    <w:t>Improved</w:t>
                  </w:r>
                  <w:r w:rsidR="009620EA">
                    <w:rPr>
                      <w:rFonts w:cs="Arial"/>
                      <w:szCs w:val="24"/>
                      <w:lang w:eastAsia="en-GB"/>
                    </w:rPr>
                    <w:t xml:space="preserve"> recording of usage,</w:t>
                  </w:r>
                  <w:r w:rsidRPr="00BA158A">
                    <w:rPr>
                      <w:rFonts w:cs="Arial"/>
                      <w:szCs w:val="24"/>
                      <w:lang w:eastAsia="en-GB"/>
                    </w:rPr>
                    <w:t xml:space="preserve"> monitoring and recording of efficacy outcomes</w:t>
                  </w:r>
                </w:p>
                <w:p w14:paraId="7D36B64D" w14:textId="77777777" w:rsidR="008511B9" w:rsidRPr="009620EA" w:rsidRDefault="009620EA" w:rsidP="002560DD">
                  <w:pPr>
                    <w:pStyle w:val="ListParagraph"/>
                    <w:numPr>
                      <w:ilvl w:val="0"/>
                      <w:numId w:val="17"/>
                    </w:numPr>
                    <w:rPr>
                      <w:rFonts w:cs="Arial"/>
                      <w:szCs w:val="24"/>
                      <w:lang w:eastAsia="en-GB"/>
                    </w:rPr>
                  </w:pPr>
                  <w:r w:rsidRPr="009620EA">
                    <w:rPr>
                      <w:rFonts w:cs="Arial"/>
                      <w:szCs w:val="24"/>
                      <w:lang w:eastAsia="en-GB"/>
                    </w:rPr>
                    <w:t xml:space="preserve">100% new patients reviewed by panel and </w:t>
                  </w:r>
                  <w:r w:rsidR="008511B9" w:rsidRPr="009620EA">
                    <w:rPr>
                      <w:rFonts w:cs="Arial"/>
                      <w:szCs w:val="24"/>
                      <w:lang w:eastAsia="en-GB"/>
                    </w:rPr>
                    <w:t xml:space="preserve">100% usage reported </w:t>
                  </w:r>
                  <w:r>
                    <w:rPr>
                      <w:rFonts w:cs="Arial"/>
                      <w:szCs w:val="24"/>
                      <w:lang w:eastAsia="en-GB"/>
                    </w:rPr>
                    <w:t>on MDSAS</w:t>
                  </w:r>
                </w:p>
                <w:p w14:paraId="2BA226A1" w14:textId="77777777" w:rsidR="008511B9" w:rsidRDefault="008511B9" w:rsidP="008511B9">
                  <w:pPr>
                    <w:rPr>
                      <w:rFonts w:cs="Arial"/>
                      <w:szCs w:val="24"/>
                      <w:lang w:eastAsia="en-GB"/>
                    </w:rPr>
                  </w:pPr>
                </w:p>
                <w:p w14:paraId="17AD93B2" w14:textId="77777777" w:rsidR="008511B9" w:rsidRPr="00C0263E" w:rsidRDefault="008511B9" w:rsidP="009620EA">
                  <w:pPr>
                    <w:rPr>
                      <w:rFonts w:cs="Arial"/>
                      <w:szCs w:val="24"/>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12DB8C4" w14:textId="77777777" w:rsidR="009620EA" w:rsidRDefault="009620EA" w:rsidP="009620EA">
                  <w:pPr>
                    <w:rPr>
                      <w:rFonts w:cs="Arial"/>
                      <w:szCs w:val="24"/>
                      <w:lang w:eastAsia="en-GB"/>
                    </w:rPr>
                  </w:pPr>
                  <w:r w:rsidRPr="00BA158A">
                    <w:rPr>
                      <w:rFonts w:cs="Arial"/>
                      <w:szCs w:val="24"/>
                      <w:lang w:eastAsia="en-GB"/>
                    </w:rPr>
                    <w:t>Improved</w:t>
                  </w:r>
                  <w:r>
                    <w:rPr>
                      <w:rFonts w:cs="Arial"/>
                      <w:szCs w:val="24"/>
                      <w:lang w:eastAsia="en-GB"/>
                    </w:rPr>
                    <w:t xml:space="preserve"> recording of usage,</w:t>
                  </w:r>
                  <w:r w:rsidRPr="00BA158A">
                    <w:rPr>
                      <w:rFonts w:cs="Arial"/>
                      <w:szCs w:val="24"/>
                      <w:lang w:eastAsia="en-GB"/>
                    </w:rPr>
                    <w:t xml:space="preserve"> monitoring and recording of efficacy outcomes</w:t>
                  </w:r>
                </w:p>
                <w:p w14:paraId="46AE0387" w14:textId="77777777" w:rsidR="009620EA" w:rsidRPr="009620EA" w:rsidRDefault="009620EA" w:rsidP="009620EA">
                  <w:pPr>
                    <w:pStyle w:val="ListParagraph"/>
                    <w:numPr>
                      <w:ilvl w:val="0"/>
                      <w:numId w:val="17"/>
                    </w:numPr>
                    <w:rPr>
                      <w:rFonts w:cs="Arial"/>
                      <w:szCs w:val="24"/>
                      <w:lang w:eastAsia="en-GB"/>
                    </w:rPr>
                  </w:pPr>
                  <w:r w:rsidRPr="009620EA">
                    <w:rPr>
                      <w:rFonts w:cs="Arial"/>
                      <w:szCs w:val="24"/>
                      <w:lang w:eastAsia="en-GB"/>
                    </w:rPr>
                    <w:t xml:space="preserve">100% new patients reviewed by panel and 100% usage reported </w:t>
                  </w:r>
                  <w:r>
                    <w:rPr>
                      <w:rFonts w:cs="Arial"/>
                      <w:szCs w:val="24"/>
                      <w:lang w:eastAsia="en-GB"/>
                    </w:rPr>
                    <w:t>on MDSAS</w:t>
                  </w:r>
                </w:p>
                <w:p w14:paraId="0DE4B5B7" w14:textId="77777777" w:rsidR="008511B9" w:rsidRPr="00C0263E" w:rsidRDefault="008511B9" w:rsidP="008511B9">
                  <w:pPr>
                    <w:spacing w:before="40" w:after="40"/>
                    <w:rPr>
                      <w:rFonts w:cs="Arial"/>
                      <w:szCs w:val="24"/>
                    </w:rPr>
                  </w:pPr>
                </w:p>
              </w:tc>
            </w:tr>
            <w:tr w:rsidR="008511B9" w:rsidRPr="00C0263E" w14:paraId="4827FE10" w14:textId="77777777" w:rsidTr="009620EA">
              <w:trPr>
                <w:trHeight w:val="812"/>
              </w:trPr>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A777" w14:textId="77777777" w:rsidR="008511B9" w:rsidRDefault="008511B9" w:rsidP="008511B9">
                  <w:pPr>
                    <w:spacing w:before="40" w:after="40"/>
                    <w:rPr>
                      <w:rFonts w:cs="Arial"/>
                      <w:b/>
                      <w:szCs w:val="24"/>
                    </w:rPr>
                  </w:pPr>
                  <w:r>
                    <w:rPr>
                      <w:rFonts w:cs="Arial"/>
                      <w:b/>
                      <w:szCs w:val="24"/>
                    </w:rPr>
                    <w:t>Trigger 3</w:t>
                  </w:r>
                </w:p>
                <w:p w14:paraId="66204FF1" w14:textId="77777777" w:rsidR="008511B9" w:rsidRDefault="008511B9" w:rsidP="008511B9">
                  <w:pPr>
                    <w:spacing w:before="40" w:after="40"/>
                    <w:rPr>
                      <w:rFonts w:cs="Arial"/>
                      <w:b/>
                      <w:szCs w:val="24"/>
                    </w:rPr>
                  </w:pP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09E58166" w14:textId="77777777" w:rsidR="009620EA" w:rsidRDefault="009620EA" w:rsidP="009620EA">
                  <w:pPr>
                    <w:rPr>
                      <w:rFonts w:cs="Arial"/>
                      <w:szCs w:val="24"/>
                      <w:lang w:eastAsia="en-GB"/>
                    </w:rPr>
                  </w:pPr>
                  <w:r w:rsidRPr="00BA158A">
                    <w:rPr>
                      <w:rFonts w:cs="Arial"/>
                      <w:szCs w:val="24"/>
                      <w:lang w:eastAsia="en-GB"/>
                    </w:rPr>
                    <w:t>Improved</w:t>
                  </w:r>
                  <w:r>
                    <w:rPr>
                      <w:rFonts w:cs="Arial"/>
                      <w:szCs w:val="24"/>
                      <w:lang w:eastAsia="en-GB"/>
                    </w:rPr>
                    <w:t xml:space="preserve"> recording of usage,</w:t>
                  </w:r>
                  <w:r w:rsidRPr="00BA158A">
                    <w:rPr>
                      <w:rFonts w:cs="Arial"/>
                      <w:szCs w:val="24"/>
                      <w:lang w:eastAsia="en-GB"/>
                    </w:rPr>
                    <w:t xml:space="preserve"> monitoring and recording of efficacy outcomes</w:t>
                  </w:r>
                </w:p>
                <w:p w14:paraId="77B34F05" w14:textId="77777777" w:rsidR="009620EA" w:rsidRPr="009620EA" w:rsidRDefault="002560DD" w:rsidP="009620EA">
                  <w:pPr>
                    <w:pStyle w:val="ListParagraph"/>
                    <w:numPr>
                      <w:ilvl w:val="0"/>
                      <w:numId w:val="17"/>
                    </w:numPr>
                    <w:rPr>
                      <w:rFonts w:cs="Arial"/>
                      <w:szCs w:val="24"/>
                      <w:lang w:eastAsia="en-GB"/>
                    </w:rPr>
                  </w:pPr>
                  <w:r>
                    <w:rPr>
                      <w:rFonts w:eastAsiaTheme="minorEastAsia" w:cs="Arial"/>
                      <w:szCs w:val="24"/>
                    </w:rPr>
                    <w:t>6</w:t>
                  </w:r>
                  <w:r w:rsidR="009620EA">
                    <w:rPr>
                      <w:rFonts w:eastAsiaTheme="minorEastAsia" w:cs="Arial"/>
                      <w:szCs w:val="24"/>
                    </w:rPr>
                    <w:t>5% of current patients</w:t>
                  </w:r>
                  <w:r>
                    <w:rPr>
                      <w:rFonts w:eastAsiaTheme="minorEastAsia" w:cs="Arial"/>
                      <w:szCs w:val="24"/>
                    </w:rPr>
                    <w:t xml:space="preserve"> at 31</w:t>
                  </w:r>
                  <w:r w:rsidRPr="002560DD">
                    <w:rPr>
                      <w:rFonts w:eastAsiaTheme="minorEastAsia" w:cs="Arial"/>
                      <w:szCs w:val="24"/>
                      <w:vertAlign w:val="superscript"/>
                    </w:rPr>
                    <w:t>st</w:t>
                  </w:r>
                  <w:r>
                    <w:rPr>
                      <w:rFonts w:eastAsiaTheme="minorEastAsia" w:cs="Arial"/>
                      <w:szCs w:val="24"/>
                    </w:rPr>
                    <w:t xml:space="preserve"> March 2019</w:t>
                  </w:r>
                  <w:r w:rsidR="009620EA">
                    <w:rPr>
                      <w:rFonts w:eastAsiaTheme="minorEastAsia" w:cs="Arial"/>
                      <w:szCs w:val="24"/>
                    </w:rPr>
                    <w:t xml:space="preserve"> reviewed against new guidelines including all neurology patients and reviews recorded on MDSAS</w:t>
                  </w:r>
                </w:p>
                <w:p w14:paraId="2DBF0D7D" w14:textId="77777777" w:rsidR="008511B9" w:rsidRPr="00C0263E" w:rsidRDefault="008511B9" w:rsidP="009620EA">
                  <w:pPr>
                    <w:rPr>
                      <w:rFonts w:cs="Arial"/>
                      <w:szCs w:val="24"/>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78BA5FBF" w14:textId="77777777" w:rsidR="009620EA" w:rsidRDefault="009620EA" w:rsidP="009620EA">
                  <w:pPr>
                    <w:rPr>
                      <w:rFonts w:cs="Arial"/>
                      <w:szCs w:val="24"/>
                      <w:lang w:eastAsia="en-GB"/>
                    </w:rPr>
                  </w:pPr>
                  <w:r w:rsidRPr="00BA158A">
                    <w:rPr>
                      <w:rFonts w:cs="Arial"/>
                      <w:szCs w:val="24"/>
                      <w:lang w:eastAsia="en-GB"/>
                    </w:rPr>
                    <w:t>Improved</w:t>
                  </w:r>
                  <w:r>
                    <w:rPr>
                      <w:rFonts w:cs="Arial"/>
                      <w:szCs w:val="24"/>
                      <w:lang w:eastAsia="en-GB"/>
                    </w:rPr>
                    <w:t xml:space="preserve"> recording of usage,</w:t>
                  </w:r>
                  <w:r w:rsidRPr="00BA158A">
                    <w:rPr>
                      <w:rFonts w:cs="Arial"/>
                      <w:szCs w:val="24"/>
                      <w:lang w:eastAsia="en-GB"/>
                    </w:rPr>
                    <w:t xml:space="preserve"> monitoring and recording of efficacy outcomes</w:t>
                  </w:r>
                </w:p>
                <w:p w14:paraId="602E3BD4" w14:textId="77777777" w:rsidR="009620EA" w:rsidRPr="009620EA" w:rsidRDefault="009620EA" w:rsidP="009620EA">
                  <w:pPr>
                    <w:pStyle w:val="ListParagraph"/>
                    <w:numPr>
                      <w:ilvl w:val="0"/>
                      <w:numId w:val="17"/>
                    </w:numPr>
                    <w:rPr>
                      <w:rFonts w:cs="Arial"/>
                      <w:szCs w:val="24"/>
                      <w:lang w:eastAsia="en-GB"/>
                    </w:rPr>
                  </w:pPr>
                  <w:r>
                    <w:rPr>
                      <w:rFonts w:eastAsiaTheme="minorEastAsia" w:cs="Arial"/>
                      <w:szCs w:val="24"/>
                    </w:rPr>
                    <w:t xml:space="preserve">Remaining </w:t>
                  </w:r>
                  <w:r w:rsidR="002560DD">
                    <w:rPr>
                      <w:rFonts w:eastAsiaTheme="minorEastAsia" w:cs="Arial"/>
                      <w:szCs w:val="24"/>
                    </w:rPr>
                    <w:t>3</w:t>
                  </w:r>
                  <w:r>
                    <w:rPr>
                      <w:rFonts w:eastAsiaTheme="minorEastAsia" w:cs="Arial"/>
                      <w:szCs w:val="24"/>
                    </w:rPr>
                    <w:t xml:space="preserve">5% (for 100%) of current patients reviewed against new guidelines and reviews recorded on MDSAS by Dec </w:t>
                  </w:r>
                  <w:r w:rsidR="002560DD">
                    <w:rPr>
                      <w:rFonts w:eastAsiaTheme="minorEastAsia" w:cs="Arial"/>
                      <w:szCs w:val="24"/>
                    </w:rPr>
                    <w:t>31</w:t>
                  </w:r>
                  <w:r w:rsidR="002560DD" w:rsidRPr="002560DD">
                    <w:rPr>
                      <w:rFonts w:eastAsiaTheme="minorEastAsia" w:cs="Arial"/>
                      <w:szCs w:val="24"/>
                      <w:vertAlign w:val="superscript"/>
                    </w:rPr>
                    <w:t>st</w:t>
                  </w:r>
                  <w:proofErr w:type="gramStart"/>
                  <w:r w:rsidR="002560DD">
                    <w:rPr>
                      <w:rFonts w:eastAsiaTheme="minorEastAsia" w:cs="Arial"/>
                      <w:szCs w:val="24"/>
                    </w:rPr>
                    <w:t xml:space="preserve"> </w:t>
                  </w:r>
                  <w:r>
                    <w:rPr>
                      <w:rFonts w:eastAsiaTheme="minorEastAsia" w:cs="Arial"/>
                      <w:szCs w:val="24"/>
                    </w:rPr>
                    <w:t>20</w:t>
                  </w:r>
                  <w:r w:rsidR="00196689">
                    <w:rPr>
                      <w:rFonts w:eastAsiaTheme="minorEastAsia" w:cs="Arial"/>
                      <w:szCs w:val="24"/>
                    </w:rPr>
                    <w:t>20</w:t>
                  </w:r>
                  <w:proofErr w:type="gramEnd"/>
                </w:p>
                <w:p w14:paraId="6B62F1B3" w14:textId="77777777" w:rsidR="008511B9" w:rsidRPr="00C0263E" w:rsidRDefault="008511B9" w:rsidP="008511B9">
                  <w:pPr>
                    <w:spacing w:before="40" w:after="40"/>
                    <w:rPr>
                      <w:rFonts w:cs="Arial"/>
                      <w:szCs w:val="24"/>
                    </w:rPr>
                  </w:pPr>
                </w:p>
              </w:tc>
            </w:tr>
            <w:tr w:rsidR="008511B9" w:rsidRPr="00C0263E" w14:paraId="254F13F8" w14:textId="77777777" w:rsidTr="009620EA">
              <w:trPr>
                <w:trHeight w:val="619"/>
              </w:trPr>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1BD48" w14:textId="77777777" w:rsidR="008511B9" w:rsidRDefault="008511B9" w:rsidP="008511B9">
                  <w:pPr>
                    <w:spacing w:before="40" w:after="40"/>
                    <w:rPr>
                      <w:rFonts w:cs="Arial"/>
                      <w:b/>
                      <w:szCs w:val="24"/>
                    </w:rPr>
                  </w:pPr>
                  <w:r>
                    <w:rPr>
                      <w:rFonts w:cs="Arial"/>
                      <w:b/>
                      <w:szCs w:val="24"/>
                    </w:rPr>
                    <w:t>Trigger 4</w:t>
                  </w: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0ACFCEC9" w14:textId="77777777" w:rsidR="009620EA" w:rsidRPr="009620EA" w:rsidRDefault="009620EA" w:rsidP="009620EA">
                  <w:pPr>
                    <w:rPr>
                      <w:rFonts w:cs="Arial"/>
                      <w:szCs w:val="24"/>
                    </w:rPr>
                  </w:pPr>
                  <w:r w:rsidRPr="009620EA">
                    <w:rPr>
                      <w:rFonts w:cs="Arial"/>
                      <w:szCs w:val="24"/>
                    </w:rPr>
                    <w:t xml:space="preserve">Improved communications between NHS England specialised commissioning, the Commercial Medicines Unit (CMU), IAPs and acute trust providers.  (100% returns to stock taking and forecasting requirements) </w:t>
                  </w:r>
                </w:p>
                <w:p w14:paraId="02F2C34E" w14:textId="77777777" w:rsidR="008511B9" w:rsidRPr="00C0263E" w:rsidRDefault="008511B9" w:rsidP="008511B9">
                  <w:pPr>
                    <w:spacing w:before="40" w:after="40"/>
                    <w:rPr>
                      <w:rFonts w:cs="Arial"/>
                      <w:szCs w:val="24"/>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2C020B7" w14:textId="77777777" w:rsidR="009620EA" w:rsidRPr="009620EA" w:rsidRDefault="009620EA" w:rsidP="009620EA">
                  <w:pPr>
                    <w:rPr>
                      <w:rFonts w:cs="Arial"/>
                      <w:szCs w:val="24"/>
                    </w:rPr>
                  </w:pPr>
                  <w:r w:rsidRPr="009620EA">
                    <w:rPr>
                      <w:rFonts w:cs="Arial"/>
                      <w:szCs w:val="24"/>
                    </w:rPr>
                    <w:t xml:space="preserve">Improved communications between NHS England specialised commissioning, the Commercial Medicines Unit (CMU), IAPs and acute trust providers.  (100% returns to stock taking and forecasting requirements) </w:t>
                  </w:r>
                </w:p>
                <w:p w14:paraId="680A4E5D" w14:textId="77777777" w:rsidR="008511B9" w:rsidRPr="00C0263E" w:rsidRDefault="008511B9" w:rsidP="008511B9">
                  <w:pPr>
                    <w:spacing w:before="40" w:after="40"/>
                    <w:rPr>
                      <w:rFonts w:cs="Arial"/>
                      <w:szCs w:val="24"/>
                    </w:rPr>
                  </w:pPr>
                </w:p>
              </w:tc>
            </w:tr>
            <w:tr w:rsidR="008511B9" w:rsidRPr="00C0263E" w14:paraId="214AEB31" w14:textId="77777777" w:rsidTr="009620EA">
              <w:trPr>
                <w:trHeight w:val="619"/>
              </w:trPr>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655F8" w14:textId="77777777" w:rsidR="008511B9" w:rsidRDefault="008511B9" w:rsidP="008511B9">
                  <w:pPr>
                    <w:spacing w:before="40" w:after="40"/>
                    <w:rPr>
                      <w:rFonts w:cs="Arial"/>
                      <w:b/>
                      <w:szCs w:val="24"/>
                    </w:rPr>
                  </w:pPr>
                  <w:r>
                    <w:rPr>
                      <w:rFonts w:cs="Arial"/>
                      <w:b/>
                      <w:szCs w:val="24"/>
                    </w:rPr>
                    <w:t>Trigger 5</w:t>
                  </w:r>
                </w:p>
              </w:tc>
              <w:tc>
                <w:tcPr>
                  <w:tcW w:w="3501"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8511B9" w:rsidRPr="00C0263E" w:rsidRDefault="008511B9" w:rsidP="009620EA">
                  <w:pPr>
                    <w:rPr>
                      <w:rFonts w:cs="Arial"/>
                      <w:szCs w:val="24"/>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01621CAF" w14:textId="77777777" w:rsidR="008511B9" w:rsidRPr="00C0263E" w:rsidRDefault="009620EA" w:rsidP="008511B9">
                  <w:pPr>
                    <w:spacing w:before="40" w:after="40"/>
                    <w:rPr>
                      <w:rFonts w:cs="Arial"/>
                      <w:szCs w:val="24"/>
                    </w:rPr>
                  </w:pPr>
                  <w:r w:rsidRPr="009620EA">
                    <w:rPr>
                      <w:rFonts w:cs="Arial"/>
                      <w:szCs w:val="24"/>
                    </w:rPr>
                    <w:t>Implemented elec</w:t>
                  </w:r>
                  <w:r w:rsidR="00196689">
                    <w:rPr>
                      <w:rFonts w:cs="Arial"/>
                      <w:szCs w:val="24"/>
                    </w:rPr>
                    <w:t xml:space="preserve">tronic referral/prior approval </w:t>
                  </w:r>
                  <w:r>
                    <w:rPr>
                      <w:rFonts w:cs="Arial"/>
                      <w:szCs w:val="24"/>
                    </w:rPr>
                    <w:t>system</w:t>
                  </w:r>
                  <w:r w:rsidR="00196689">
                    <w:rPr>
                      <w:rFonts w:cs="Arial"/>
                      <w:szCs w:val="24"/>
                    </w:rPr>
                    <w:t xml:space="preserve"> for all new referrals </w:t>
                  </w:r>
                </w:p>
              </w:tc>
            </w:tr>
          </w:tbl>
          <w:p w14:paraId="296FEF7D" w14:textId="77777777" w:rsidR="00CF3963" w:rsidRDefault="00CF3963" w:rsidP="0084461B">
            <w:pPr>
              <w:rPr>
                <w:rFonts w:cs="Arial"/>
                <w:szCs w:val="24"/>
              </w:rPr>
            </w:pPr>
          </w:p>
          <w:p w14:paraId="7194DBDC" w14:textId="77777777" w:rsidR="00CF3963" w:rsidRPr="00C0210F" w:rsidRDefault="00CF3963" w:rsidP="005931C4">
            <w:pPr>
              <w:rPr>
                <w:rFonts w:eastAsiaTheme="minorEastAsia" w:cs="Arial"/>
                <w:szCs w:val="24"/>
              </w:rPr>
            </w:pPr>
          </w:p>
        </w:tc>
      </w:tr>
      <w:tr w:rsidR="00CF3963" w:rsidRPr="000412A1" w14:paraId="38BB2CD3" w14:textId="77777777" w:rsidTr="42E2BFEE">
        <w:tc>
          <w:tcPr>
            <w:tcW w:w="5000" w:type="pct"/>
            <w:gridSpan w:val="3"/>
          </w:tcPr>
          <w:p w14:paraId="4806906C"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1CD73D54"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312"/>
              <w:gridCol w:w="2750"/>
              <w:gridCol w:w="2382"/>
            </w:tblGrid>
            <w:tr w:rsidR="00E17A0D" w:rsidRPr="00C0263E" w14:paraId="662E5FA8"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tcPr>
                <w:p w14:paraId="72B3812F" w14:textId="77777777" w:rsidR="00E17A0D" w:rsidRPr="00C0263E" w:rsidRDefault="00E17A0D" w:rsidP="00E17A0D">
                  <w:pPr>
                    <w:spacing w:before="40" w:after="40"/>
                    <w:rPr>
                      <w:rFonts w:cs="Arial"/>
                      <w:b/>
                      <w:szCs w:val="24"/>
                    </w:rPr>
                  </w:pPr>
                  <w:r>
                    <w:rPr>
                      <w:rFonts w:cs="Arial"/>
                      <w:b/>
                      <w:szCs w:val="24"/>
                    </w:rPr>
                    <w:t>Percentages of Target Payment per Trigger</w:t>
                  </w:r>
                </w:p>
              </w:tc>
              <w:tc>
                <w:tcPr>
                  <w:tcW w:w="2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A3DB2F" w14:textId="77777777" w:rsidR="00E17A0D" w:rsidRPr="00EC3C9D" w:rsidRDefault="00E17A0D" w:rsidP="00E17A0D">
                  <w:pPr>
                    <w:spacing w:before="40" w:after="40"/>
                    <w:rPr>
                      <w:rFonts w:cs="Arial"/>
                      <w:b/>
                      <w:szCs w:val="24"/>
                    </w:rPr>
                  </w:pPr>
                  <w:r>
                    <w:rPr>
                      <w:rFonts w:cs="Arial"/>
                      <w:b/>
                      <w:szCs w:val="24"/>
                    </w:rPr>
                    <w:t xml:space="preserve">First Year of </w:t>
                  </w:r>
                  <w:r w:rsidR="001F421F">
                    <w:rPr>
                      <w:rFonts w:cs="Arial"/>
                      <w:b/>
                      <w:szCs w:val="24"/>
                    </w:rPr>
                    <w:t>indicator</w:t>
                  </w:r>
                </w:p>
              </w:tc>
              <w:tc>
                <w:tcPr>
                  <w:tcW w:w="27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64FCD" w14:textId="77777777" w:rsidR="00E17A0D" w:rsidRPr="00EC3C9D" w:rsidRDefault="00E17A0D" w:rsidP="00E17A0D">
                  <w:pPr>
                    <w:spacing w:before="40" w:after="40"/>
                    <w:rPr>
                      <w:rFonts w:cs="Arial"/>
                      <w:b/>
                      <w:szCs w:val="24"/>
                    </w:rPr>
                  </w:pPr>
                  <w:r>
                    <w:rPr>
                      <w:rFonts w:cs="Arial"/>
                      <w:b/>
                      <w:szCs w:val="24"/>
                    </w:rPr>
                    <w:t>Second Year</w:t>
                  </w:r>
                </w:p>
              </w:tc>
              <w:tc>
                <w:tcPr>
                  <w:tcW w:w="2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810D46" w14:textId="77777777" w:rsidR="00E17A0D" w:rsidRPr="00EC3C9D" w:rsidRDefault="00E17A0D" w:rsidP="00E17A0D">
                  <w:pPr>
                    <w:spacing w:before="40" w:after="40"/>
                    <w:rPr>
                      <w:rFonts w:cs="Arial"/>
                      <w:b/>
                      <w:szCs w:val="24"/>
                    </w:rPr>
                  </w:pPr>
                  <w:r>
                    <w:rPr>
                      <w:rFonts w:cs="Arial"/>
                      <w:b/>
                      <w:szCs w:val="24"/>
                    </w:rPr>
                    <w:t>Third Year</w:t>
                  </w:r>
                </w:p>
              </w:tc>
            </w:tr>
            <w:tr w:rsidR="00E17A0D" w:rsidRPr="00C0263E" w14:paraId="0ABA95E8"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0F2AA9FC" w14:textId="77777777" w:rsidR="00E17A0D" w:rsidRDefault="00E17A0D" w:rsidP="00E17A0D">
                  <w:pPr>
                    <w:spacing w:before="40" w:after="40"/>
                    <w:rPr>
                      <w:rFonts w:cs="Arial"/>
                      <w:b/>
                      <w:szCs w:val="24"/>
                    </w:rPr>
                  </w:pPr>
                  <w:r>
                    <w:rPr>
                      <w:rFonts w:cs="Arial"/>
                      <w:b/>
                      <w:szCs w:val="24"/>
                    </w:rPr>
                    <w:t>Trigger 1</w:t>
                  </w:r>
                </w:p>
                <w:p w14:paraId="769D0D3C" w14:textId="77777777" w:rsidR="00E17A0D" w:rsidRPr="00C0263E" w:rsidRDefault="00E17A0D" w:rsidP="00E17A0D">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14:paraId="184D513D" w14:textId="77777777" w:rsidR="00E17A0D" w:rsidRDefault="009620EA" w:rsidP="00E17A0D">
                  <w:pPr>
                    <w:spacing w:before="40" w:after="40"/>
                    <w:rPr>
                      <w:rFonts w:cs="Arial"/>
                      <w:szCs w:val="24"/>
                    </w:rPr>
                  </w:pPr>
                  <w:r>
                    <w:rPr>
                      <w:rFonts w:cs="Arial"/>
                      <w:szCs w:val="24"/>
                    </w:rPr>
                    <w:t>6</w:t>
                  </w:r>
                  <w:r w:rsidR="003425A5">
                    <w:rPr>
                      <w:rFonts w:cs="Arial"/>
                      <w:szCs w:val="24"/>
                    </w:rPr>
                    <w:t>0%</w:t>
                  </w:r>
                </w:p>
                <w:p w14:paraId="54CD245A" w14:textId="77777777" w:rsidR="003425A5" w:rsidRPr="00C0263E" w:rsidRDefault="003425A5" w:rsidP="00E17A0D">
                  <w:pPr>
                    <w:spacing w:before="40" w:after="40"/>
                    <w:rPr>
                      <w:rFonts w:cs="Arial"/>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4E8D77EE" w14:textId="77777777" w:rsidR="00E17A0D" w:rsidRPr="00C0263E" w:rsidRDefault="009620EA" w:rsidP="00E17A0D">
                  <w:pPr>
                    <w:spacing w:before="40" w:after="40"/>
                    <w:rPr>
                      <w:rFonts w:cs="Arial"/>
                      <w:szCs w:val="24"/>
                    </w:rPr>
                  </w:pPr>
                  <w:r>
                    <w:rPr>
                      <w:rFonts w:cs="Arial"/>
                      <w:szCs w:val="24"/>
                    </w:rPr>
                    <w:t>6</w:t>
                  </w:r>
                  <w:r w:rsidR="003425A5">
                    <w:rPr>
                      <w:rFonts w:cs="Arial"/>
                      <w:szCs w:val="24"/>
                    </w:rPr>
                    <w:t>0%</w:t>
                  </w:r>
                </w:p>
              </w:tc>
              <w:tc>
                <w:tcPr>
                  <w:tcW w:w="2382" w:type="dxa"/>
                  <w:tcBorders>
                    <w:top w:val="single" w:sz="4" w:space="0" w:color="auto"/>
                    <w:left w:val="single" w:sz="4" w:space="0" w:color="auto"/>
                    <w:bottom w:val="single" w:sz="4" w:space="0" w:color="auto"/>
                    <w:right w:val="single" w:sz="4" w:space="0" w:color="auto"/>
                  </w:tcBorders>
                </w:tcPr>
                <w:p w14:paraId="1231BE67" w14:textId="77777777" w:rsidR="00E17A0D" w:rsidRPr="00C0263E" w:rsidRDefault="00E17A0D" w:rsidP="00E17A0D">
                  <w:pPr>
                    <w:spacing w:before="40" w:after="40"/>
                    <w:rPr>
                      <w:rFonts w:cs="Arial"/>
                      <w:szCs w:val="24"/>
                    </w:rPr>
                  </w:pPr>
                </w:p>
              </w:tc>
            </w:tr>
            <w:tr w:rsidR="00E17A0D" w:rsidRPr="00C0263E" w14:paraId="66266C59"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5322DF74" w14:textId="77777777" w:rsidR="00E17A0D" w:rsidRPr="00C0263E" w:rsidRDefault="00E17A0D" w:rsidP="00E17A0D">
                  <w:pPr>
                    <w:spacing w:before="40" w:after="40"/>
                    <w:rPr>
                      <w:rFonts w:cs="Arial"/>
                      <w:b/>
                      <w:szCs w:val="24"/>
                    </w:rPr>
                  </w:pPr>
                  <w:r>
                    <w:rPr>
                      <w:rFonts w:cs="Arial"/>
                      <w:b/>
                      <w:szCs w:val="24"/>
                    </w:rPr>
                    <w:t>Trigger 2</w:t>
                  </w:r>
                </w:p>
              </w:tc>
              <w:tc>
                <w:tcPr>
                  <w:tcW w:w="2312" w:type="dxa"/>
                  <w:tcBorders>
                    <w:top w:val="single" w:sz="4" w:space="0" w:color="auto"/>
                    <w:left w:val="single" w:sz="4" w:space="0" w:color="auto"/>
                    <w:bottom w:val="single" w:sz="4" w:space="0" w:color="auto"/>
                    <w:right w:val="single" w:sz="4" w:space="0" w:color="auto"/>
                  </w:tcBorders>
                </w:tcPr>
                <w:p w14:paraId="434B6B21" w14:textId="77777777" w:rsidR="00E17A0D" w:rsidRPr="00C0263E" w:rsidRDefault="009620EA" w:rsidP="00E17A0D">
                  <w:pPr>
                    <w:spacing w:before="40" w:after="40"/>
                    <w:rPr>
                      <w:rFonts w:cs="Arial"/>
                      <w:szCs w:val="24"/>
                    </w:rPr>
                  </w:pPr>
                  <w:r>
                    <w:rPr>
                      <w:rFonts w:cs="Arial"/>
                      <w:szCs w:val="24"/>
                    </w:rPr>
                    <w:t>10</w:t>
                  </w:r>
                  <w:r w:rsidR="003425A5">
                    <w:rPr>
                      <w:rFonts w:cs="Arial"/>
                      <w:szCs w:val="24"/>
                    </w:rPr>
                    <w:t>%</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1AF31760" w14:textId="77777777" w:rsidR="00E17A0D" w:rsidRPr="00C0263E" w:rsidRDefault="009620EA" w:rsidP="00E17A0D">
                  <w:pPr>
                    <w:spacing w:before="40" w:after="40"/>
                    <w:rPr>
                      <w:rFonts w:cs="Arial"/>
                      <w:szCs w:val="24"/>
                    </w:rPr>
                  </w:pPr>
                  <w:r>
                    <w:rPr>
                      <w:rFonts w:cs="Arial"/>
                      <w:szCs w:val="24"/>
                    </w:rPr>
                    <w:t>10</w:t>
                  </w:r>
                  <w:r w:rsidR="003425A5">
                    <w:rPr>
                      <w:rFonts w:cs="Arial"/>
                      <w:szCs w:val="24"/>
                    </w:rPr>
                    <w:t>%</w:t>
                  </w:r>
                </w:p>
              </w:tc>
              <w:tc>
                <w:tcPr>
                  <w:tcW w:w="2382" w:type="dxa"/>
                  <w:tcBorders>
                    <w:top w:val="single" w:sz="4" w:space="0" w:color="auto"/>
                    <w:left w:val="single" w:sz="4" w:space="0" w:color="auto"/>
                    <w:bottom w:val="single" w:sz="4" w:space="0" w:color="auto"/>
                    <w:right w:val="single" w:sz="4" w:space="0" w:color="auto"/>
                  </w:tcBorders>
                </w:tcPr>
                <w:p w14:paraId="36FEB5B0" w14:textId="77777777" w:rsidR="00E17A0D" w:rsidRPr="00C0263E" w:rsidRDefault="00E17A0D" w:rsidP="00E17A0D">
                  <w:pPr>
                    <w:spacing w:before="40" w:after="40"/>
                    <w:rPr>
                      <w:rFonts w:cs="Arial"/>
                      <w:szCs w:val="24"/>
                    </w:rPr>
                  </w:pPr>
                </w:p>
              </w:tc>
            </w:tr>
            <w:tr w:rsidR="00E17A0D" w:rsidRPr="00C0263E" w14:paraId="48C6290F" w14:textId="77777777" w:rsidTr="00E17A0D">
              <w:trPr>
                <w:trHeight w:val="812"/>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790E0B3F" w14:textId="77777777" w:rsidR="00E17A0D" w:rsidRDefault="00E17A0D" w:rsidP="00E17A0D">
                  <w:pPr>
                    <w:spacing w:before="40" w:after="40"/>
                    <w:rPr>
                      <w:rFonts w:cs="Arial"/>
                      <w:b/>
                      <w:szCs w:val="24"/>
                    </w:rPr>
                  </w:pPr>
                  <w:r>
                    <w:rPr>
                      <w:rFonts w:cs="Arial"/>
                      <w:b/>
                      <w:szCs w:val="24"/>
                    </w:rPr>
                    <w:t>Trigger 3</w:t>
                  </w:r>
                </w:p>
                <w:p w14:paraId="30D7AA69" w14:textId="77777777" w:rsidR="00E17A0D" w:rsidRDefault="00E17A0D" w:rsidP="00E17A0D">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14:paraId="4CDC75CA" w14:textId="77777777" w:rsidR="00E17A0D" w:rsidRPr="00C0263E" w:rsidRDefault="009620EA" w:rsidP="00E17A0D">
                  <w:pPr>
                    <w:spacing w:before="40" w:after="40"/>
                    <w:rPr>
                      <w:rFonts w:cs="Arial"/>
                      <w:szCs w:val="24"/>
                    </w:rPr>
                  </w:pPr>
                  <w:r>
                    <w:rPr>
                      <w:rFonts w:cs="Arial"/>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6479ABD5" w14:textId="77777777" w:rsidR="00E17A0D" w:rsidRPr="00C0263E" w:rsidRDefault="009620EA" w:rsidP="00E17A0D">
                  <w:pPr>
                    <w:spacing w:before="40" w:after="40"/>
                    <w:rPr>
                      <w:rFonts w:cs="Arial"/>
                      <w:szCs w:val="24"/>
                    </w:rPr>
                  </w:pPr>
                  <w:r>
                    <w:rPr>
                      <w:rFonts w:cs="Arial"/>
                      <w:szCs w:val="24"/>
                    </w:rPr>
                    <w:t>10%</w:t>
                  </w:r>
                </w:p>
              </w:tc>
              <w:tc>
                <w:tcPr>
                  <w:tcW w:w="2382" w:type="dxa"/>
                  <w:tcBorders>
                    <w:top w:val="single" w:sz="4" w:space="0" w:color="auto"/>
                    <w:left w:val="single" w:sz="4" w:space="0" w:color="auto"/>
                    <w:bottom w:val="single" w:sz="4" w:space="0" w:color="auto"/>
                    <w:right w:val="single" w:sz="4" w:space="0" w:color="auto"/>
                  </w:tcBorders>
                </w:tcPr>
                <w:p w14:paraId="7196D064" w14:textId="77777777" w:rsidR="00E17A0D" w:rsidRPr="00C0263E" w:rsidRDefault="00E17A0D" w:rsidP="00E17A0D">
                  <w:pPr>
                    <w:spacing w:before="40" w:after="40"/>
                    <w:rPr>
                      <w:rFonts w:cs="Arial"/>
                      <w:szCs w:val="24"/>
                    </w:rPr>
                  </w:pPr>
                </w:p>
              </w:tc>
            </w:tr>
            <w:tr w:rsidR="00E17A0D" w:rsidRPr="00C0263E" w14:paraId="0DA2D478"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5A18EF65" w14:textId="77777777" w:rsidR="00E17A0D" w:rsidRDefault="00E17A0D" w:rsidP="00E17A0D">
                  <w:pPr>
                    <w:spacing w:before="40" w:after="40"/>
                    <w:rPr>
                      <w:rFonts w:cs="Arial"/>
                      <w:b/>
                      <w:szCs w:val="24"/>
                    </w:rPr>
                  </w:pPr>
                  <w:r>
                    <w:rPr>
                      <w:rFonts w:cs="Arial"/>
                      <w:b/>
                      <w:szCs w:val="24"/>
                    </w:rPr>
                    <w:t>Trigger 4</w:t>
                  </w:r>
                </w:p>
              </w:tc>
              <w:tc>
                <w:tcPr>
                  <w:tcW w:w="2312" w:type="dxa"/>
                  <w:tcBorders>
                    <w:top w:val="single" w:sz="4" w:space="0" w:color="auto"/>
                    <w:left w:val="single" w:sz="4" w:space="0" w:color="auto"/>
                    <w:bottom w:val="single" w:sz="4" w:space="0" w:color="auto"/>
                    <w:right w:val="single" w:sz="4" w:space="0" w:color="auto"/>
                  </w:tcBorders>
                </w:tcPr>
                <w:p w14:paraId="598B85BA" w14:textId="77777777" w:rsidR="00E17A0D" w:rsidRPr="00C0263E" w:rsidRDefault="009620EA" w:rsidP="00E17A0D">
                  <w:pPr>
                    <w:spacing w:before="40" w:after="40"/>
                    <w:rPr>
                      <w:rFonts w:cs="Arial"/>
                      <w:szCs w:val="24"/>
                    </w:rPr>
                  </w:pPr>
                  <w:r>
                    <w:rPr>
                      <w:rFonts w:cs="Arial"/>
                      <w:szCs w:val="24"/>
                    </w:rPr>
                    <w:t>5</w:t>
                  </w:r>
                  <w:r w:rsidR="003425A5">
                    <w:rPr>
                      <w:rFonts w:cs="Arial"/>
                      <w:szCs w:val="24"/>
                    </w:rPr>
                    <w:t>%</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2C2BE390" w14:textId="77777777" w:rsidR="00E17A0D" w:rsidRPr="00C0263E" w:rsidRDefault="009620EA" w:rsidP="00E17A0D">
                  <w:pPr>
                    <w:spacing w:before="40" w:after="40"/>
                    <w:rPr>
                      <w:rFonts w:cs="Arial"/>
                      <w:szCs w:val="24"/>
                    </w:rPr>
                  </w:pPr>
                  <w:r>
                    <w:rPr>
                      <w:rFonts w:cs="Arial"/>
                      <w:szCs w:val="24"/>
                    </w:rPr>
                    <w:t>5%</w:t>
                  </w:r>
                </w:p>
              </w:tc>
              <w:tc>
                <w:tcPr>
                  <w:tcW w:w="2382" w:type="dxa"/>
                  <w:tcBorders>
                    <w:top w:val="single" w:sz="4" w:space="0" w:color="auto"/>
                    <w:left w:val="single" w:sz="4" w:space="0" w:color="auto"/>
                    <w:bottom w:val="single" w:sz="4" w:space="0" w:color="auto"/>
                    <w:right w:val="single" w:sz="4" w:space="0" w:color="auto"/>
                  </w:tcBorders>
                </w:tcPr>
                <w:p w14:paraId="34FF1C98" w14:textId="77777777" w:rsidR="00E17A0D" w:rsidRPr="00C0263E" w:rsidRDefault="00E17A0D" w:rsidP="00E17A0D">
                  <w:pPr>
                    <w:spacing w:before="40" w:after="40"/>
                    <w:rPr>
                      <w:rFonts w:cs="Arial"/>
                      <w:szCs w:val="24"/>
                    </w:rPr>
                  </w:pPr>
                </w:p>
              </w:tc>
            </w:tr>
            <w:tr w:rsidR="00E17A0D" w:rsidRPr="00C0263E" w14:paraId="2D0D0F68"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42323586" w14:textId="77777777" w:rsidR="00E17A0D" w:rsidRDefault="00E17A0D" w:rsidP="00E17A0D">
                  <w:pPr>
                    <w:spacing w:before="40" w:after="40"/>
                    <w:rPr>
                      <w:rFonts w:cs="Arial"/>
                      <w:b/>
                      <w:szCs w:val="24"/>
                    </w:rPr>
                  </w:pPr>
                  <w:r>
                    <w:rPr>
                      <w:rFonts w:cs="Arial"/>
                      <w:b/>
                      <w:szCs w:val="24"/>
                    </w:rPr>
                    <w:t>Trigger 5</w:t>
                  </w:r>
                </w:p>
              </w:tc>
              <w:tc>
                <w:tcPr>
                  <w:tcW w:w="2312" w:type="dxa"/>
                  <w:tcBorders>
                    <w:top w:val="single" w:sz="4" w:space="0" w:color="auto"/>
                    <w:left w:val="single" w:sz="4" w:space="0" w:color="auto"/>
                    <w:bottom w:val="single" w:sz="4" w:space="0" w:color="auto"/>
                    <w:right w:val="single" w:sz="4" w:space="0" w:color="auto"/>
                  </w:tcBorders>
                </w:tcPr>
                <w:p w14:paraId="68F9DA86" w14:textId="77777777" w:rsidR="00E17A0D" w:rsidRPr="00C0263E" w:rsidRDefault="00641B20" w:rsidP="00E17A0D">
                  <w:pPr>
                    <w:spacing w:before="40" w:after="40"/>
                    <w:rPr>
                      <w:rFonts w:cs="Arial"/>
                      <w:szCs w:val="24"/>
                    </w:rPr>
                  </w:pPr>
                  <w:r>
                    <w:rPr>
                      <w:rFonts w:cs="Arial"/>
                      <w:szCs w:val="24"/>
                    </w:rPr>
                    <w:t>n/a</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33E27760" w14:textId="77777777" w:rsidR="00E17A0D" w:rsidRPr="00C0263E" w:rsidRDefault="009620EA" w:rsidP="00E17A0D">
                  <w:pPr>
                    <w:spacing w:before="40" w:after="40"/>
                    <w:rPr>
                      <w:rFonts w:cs="Arial"/>
                      <w:szCs w:val="24"/>
                    </w:rPr>
                  </w:pPr>
                  <w:r>
                    <w:rPr>
                      <w:rFonts w:cs="Arial"/>
                      <w:szCs w:val="24"/>
                    </w:rPr>
                    <w:t>15%</w:t>
                  </w:r>
                </w:p>
              </w:tc>
              <w:tc>
                <w:tcPr>
                  <w:tcW w:w="2382" w:type="dxa"/>
                  <w:tcBorders>
                    <w:top w:val="single" w:sz="4" w:space="0" w:color="auto"/>
                    <w:left w:val="single" w:sz="4" w:space="0" w:color="auto"/>
                    <w:bottom w:val="single" w:sz="4" w:space="0" w:color="auto"/>
                    <w:right w:val="single" w:sz="4" w:space="0" w:color="auto"/>
                  </w:tcBorders>
                </w:tcPr>
                <w:p w14:paraId="6D072C0D" w14:textId="77777777" w:rsidR="00E17A0D" w:rsidRPr="00C0263E" w:rsidRDefault="00E17A0D" w:rsidP="00E17A0D">
                  <w:pPr>
                    <w:spacing w:before="40" w:after="40"/>
                    <w:rPr>
                      <w:rFonts w:cs="Arial"/>
                      <w:szCs w:val="24"/>
                    </w:rPr>
                  </w:pPr>
                </w:p>
              </w:tc>
            </w:tr>
            <w:tr w:rsidR="00E17A0D" w:rsidRPr="00C0263E" w14:paraId="641B1F60" w14:textId="77777777" w:rsidTr="00E17A0D">
              <w:trPr>
                <w:trHeight w:val="619"/>
              </w:trPr>
              <w:tc>
                <w:tcPr>
                  <w:tcW w:w="1937" w:type="dxa"/>
                  <w:tcBorders>
                    <w:top w:val="single" w:sz="4" w:space="0" w:color="auto"/>
                    <w:left w:val="single" w:sz="4" w:space="0" w:color="auto"/>
                    <w:right w:val="single" w:sz="4" w:space="0" w:color="auto"/>
                  </w:tcBorders>
                  <w:shd w:val="clear" w:color="auto" w:fill="F2F2F2"/>
                </w:tcPr>
                <w:p w14:paraId="4BF53985" w14:textId="77777777" w:rsidR="00E17A0D" w:rsidRDefault="00E17A0D" w:rsidP="00E17A0D">
                  <w:pPr>
                    <w:spacing w:before="40" w:after="40"/>
                    <w:rPr>
                      <w:rFonts w:cs="Arial"/>
                      <w:b/>
                      <w:szCs w:val="24"/>
                    </w:rPr>
                  </w:pPr>
                  <w:r>
                    <w:rPr>
                      <w:rFonts w:cs="Arial"/>
                      <w:b/>
                      <w:szCs w:val="24"/>
                    </w:rPr>
                    <w:t>TOTAL</w:t>
                  </w:r>
                </w:p>
              </w:tc>
              <w:tc>
                <w:tcPr>
                  <w:tcW w:w="2312" w:type="dxa"/>
                  <w:tcBorders>
                    <w:top w:val="single" w:sz="4" w:space="0" w:color="auto"/>
                    <w:left w:val="single" w:sz="4" w:space="0" w:color="auto"/>
                    <w:right w:val="single" w:sz="4" w:space="0" w:color="auto"/>
                  </w:tcBorders>
                </w:tcPr>
                <w:p w14:paraId="135237C8" w14:textId="77777777" w:rsidR="00E17A0D" w:rsidRPr="00C0263E" w:rsidRDefault="00E17A0D" w:rsidP="00E17A0D">
                  <w:pPr>
                    <w:spacing w:before="40" w:after="40"/>
                    <w:rPr>
                      <w:rFonts w:cs="Arial"/>
                      <w:szCs w:val="24"/>
                    </w:rPr>
                  </w:pPr>
                  <w:r>
                    <w:rPr>
                      <w:rFonts w:cs="Arial"/>
                      <w:szCs w:val="24"/>
                    </w:rPr>
                    <w:t>100%</w:t>
                  </w:r>
                </w:p>
              </w:tc>
              <w:tc>
                <w:tcPr>
                  <w:tcW w:w="2750" w:type="dxa"/>
                  <w:tcBorders>
                    <w:top w:val="single" w:sz="4" w:space="0" w:color="auto"/>
                    <w:left w:val="single" w:sz="4" w:space="0" w:color="auto"/>
                    <w:right w:val="single" w:sz="4" w:space="0" w:color="auto"/>
                  </w:tcBorders>
                  <w:shd w:val="clear" w:color="auto" w:fill="auto"/>
                </w:tcPr>
                <w:p w14:paraId="3F393A7F" w14:textId="77777777" w:rsidR="00E17A0D" w:rsidRPr="00C0263E" w:rsidRDefault="00E17A0D" w:rsidP="00E17A0D">
                  <w:pPr>
                    <w:spacing w:before="40" w:after="40"/>
                    <w:rPr>
                      <w:rFonts w:cs="Arial"/>
                      <w:szCs w:val="24"/>
                    </w:rPr>
                  </w:pPr>
                  <w:r>
                    <w:rPr>
                      <w:rFonts w:cs="Arial"/>
                      <w:szCs w:val="24"/>
                    </w:rPr>
                    <w:t>100%</w:t>
                  </w:r>
                </w:p>
              </w:tc>
              <w:tc>
                <w:tcPr>
                  <w:tcW w:w="2382" w:type="dxa"/>
                  <w:tcBorders>
                    <w:top w:val="single" w:sz="4" w:space="0" w:color="auto"/>
                    <w:left w:val="single" w:sz="4" w:space="0" w:color="auto"/>
                    <w:right w:val="single" w:sz="4" w:space="0" w:color="auto"/>
                  </w:tcBorders>
                </w:tcPr>
                <w:p w14:paraId="48A21919" w14:textId="77777777" w:rsidR="00E17A0D" w:rsidRDefault="00E17A0D" w:rsidP="00E17A0D">
                  <w:pPr>
                    <w:spacing w:before="40" w:after="40"/>
                    <w:rPr>
                      <w:rFonts w:cs="Arial"/>
                      <w:szCs w:val="24"/>
                    </w:rPr>
                  </w:pPr>
                </w:p>
              </w:tc>
            </w:tr>
          </w:tbl>
          <w:p w14:paraId="6BD18F9B" w14:textId="77777777" w:rsidR="00CF3963" w:rsidRDefault="00CF3963" w:rsidP="005931C4">
            <w:pPr>
              <w:rPr>
                <w:rFonts w:cs="Arial"/>
                <w:szCs w:val="24"/>
              </w:rPr>
            </w:pPr>
          </w:p>
          <w:p w14:paraId="238601FE" w14:textId="77777777" w:rsidR="00CF3963" w:rsidRDefault="00CF3963" w:rsidP="00564AC2">
            <w:pPr>
              <w:rPr>
                <w:rFonts w:eastAsiaTheme="minorEastAsia" w:cs="Arial"/>
                <w:szCs w:val="24"/>
              </w:rPr>
            </w:pPr>
          </w:p>
        </w:tc>
      </w:tr>
      <w:tr w:rsidR="00CF3963" w:rsidRPr="000412A1" w14:paraId="5B1FF078" w14:textId="77777777" w:rsidTr="42E2BFEE">
        <w:tc>
          <w:tcPr>
            <w:tcW w:w="5000" w:type="pct"/>
            <w:gridSpan w:val="3"/>
          </w:tcPr>
          <w:p w14:paraId="0F3CABC7" w14:textId="77777777" w:rsidR="00CF3963" w:rsidRDefault="00CF3963" w:rsidP="005931C4">
            <w:pPr>
              <w:rPr>
                <w:rFonts w:eastAsiaTheme="minorEastAsia" w:cs="Arial"/>
                <w:szCs w:val="24"/>
              </w:rPr>
            </w:pPr>
          </w:p>
          <w:p w14:paraId="58E3C1A1"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5B08B5D1" w14:textId="77777777" w:rsidR="00CF3963" w:rsidRDefault="00CF3963" w:rsidP="005931C4">
            <w:pPr>
              <w:rPr>
                <w:rFonts w:eastAsiaTheme="minorEastAsia" w:cs="Arial"/>
                <w:szCs w:val="24"/>
                <w:u w:val="single"/>
              </w:rPr>
            </w:pPr>
          </w:p>
          <w:p w14:paraId="64AF3681"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Year One</w:t>
            </w:r>
          </w:p>
          <w:p w14:paraId="3B89327A" w14:textId="77777777" w:rsidR="00196689" w:rsidRDefault="00CF3963" w:rsidP="005931C4">
            <w:pPr>
              <w:rPr>
                <w:rFonts w:cs="Arial"/>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196689" w:rsidRPr="007A6D69">
              <w:rPr>
                <w:rFonts w:cs="Arial"/>
                <w:szCs w:val="24"/>
              </w:rPr>
              <w:t>100%</w:t>
            </w:r>
            <w:r w:rsidR="00512E30" w:rsidRPr="007A6D69">
              <w:rPr>
                <w:rFonts w:cs="Arial"/>
                <w:szCs w:val="24"/>
              </w:rPr>
              <w:t>-</w:t>
            </w:r>
            <w:r w:rsidR="00196689" w:rsidRPr="007A6D69">
              <w:rPr>
                <w:rFonts w:cs="Arial"/>
                <w:szCs w:val="24"/>
              </w:rPr>
              <w:t>if panel is constituted fully with pre- agreed input of clinical and admin staff</w:t>
            </w:r>
            <w:r w:rsidR="007A6D69">
              <w:rPr>
                <w:rFonts w:cs="Arial"/>
                <w:szCs w:val="24"/>
              </w:rPr>
              <w:t xml:space="preserve"> (Immunologist, Haematologist, Neurologist, chair, pharmacy, admin support) </w:t>
            </w:r>
          </w:p>
          <w:p w14:paraId="16DEB4AB" w14:textId="77777777" w:rsidR="007A6D69" w:rsidRPr="007A6D69" w:rsidRDefault="007A6D69" w:rsidP="005931C4">
            <w:pPr>
              <w:rPr>
                <w:rFonts w:cs="Arial"/>
                <w:szCs w:val="24"/>
              </w:rPr>
            </w:pPr>
          </w:p>
          <w:p w14:paraId="139E69DB" w14:textId="77777777" w:rsidR="00564AC2" w:rsidRDefault="00CF3963" w:rsidP="005931C4">
            <w:pPr>
              <w:rPr>
                <w:rFonts w:eastAsiaTheme="minorEastAsia" w:cs="Arial"/>
                <w:b/>
                <w:szCs w:val="24"/>
                <w:u w:val="single"/>
              </w:rPr>
            </w:pPr>
            <w:r w:rsidRPr="001F6AA3">
              <w:rPr>
                <w:rFonts w:eastAsiaTheme="minorEastAsia" w:cs="Arial"/>
                <w:b/>
                <w:szCs w:val="24"/>
                <w:u w:val="single"/>
              </w:rPr>
              <w:t>Trigger 2:</w:t>
            </w:r>
            <w:r w:rsidR="003425A5">
              <w:rPr>
                <w:rFonts w:eastAsiaTheme="minorEastAsia" w:cs="Arial"/>
                <w:b/>
                <w:szCs w:val="24"/>
                <w:u w:val="single"/>
              </w:rPr>
              <w:t xml:space="preserve"> </w:t>
            </w:r>
          </w:p>
          <w:p w14:paraId="0751DCA4" w14:textId="77777777" w:rsidR="00564AC2" w:rsidRPr="00A37140" w:rsidRDefault="00564AC2" w:rsidP="00A37140">
            <w:pPr>
              <w:pStyle w:val="ListParagraph"/>
              <w:numPr>
                <w:ilvl w:val="0"/>
                <w:numId w:val="17"/>
              </w:numPr>
              <w:rPr>
                <w:rFonts w:cs="Arial"/>
                <w:szCs w:val="24"/>
              </w:rPr>
            </w:pPr>
            <w:r w:rsidRPr="00A37140">
              <w:rPr>
                <w:rFonts w:cs="Arial"/>
                <w:szCs w:val="24"/>
              </w:rPr>
              <w:t xml:space="preserve">100% for &gt;95% of new patients reviewed and recorded on MDSAS </w:t>
            </w:r>
          </w:p>
          <w:p w14:paraId="7D93985F" w14:textId="77777777" w:rsidR="00564AC2" w:rsidRPr="00A37140" w:rsidRDefault="007A6D69" w:rsidP="00A37140">
            <w:pPr>
              <w:pStyle w:val="ListParagraph"/>
              <w:numPr>
                <w:ilvl w:val="0"/>
                <w:numId w:val="17"/>
              </w:numPr>
              <w:rPr>
                <w:rFonts w:cs="Arial"/>
                <w:szCs w:val="24"/>
              </w:rPr>
            </w:pPr>
            <w:r w:rsidRPr="00A37140">
              <w:rPr>
                <w:rFonts w:cs="Arial"/>
                <w:szCs w:val="24"/>
              </w:rPr>
              <w:t xml:space="preserve">75% for </w:t>
            </w:r>
            <w:r w:rsidR="00196689" w:rsidRPr="00A37140">
              <w:rPr>
                <w:rFonts w:cs="Arial"/>
                <w:szCs w:val="24"/>
              </w:rPr>
              <w:t>&gt;90%</w:t>
            </w:r>
            <w:r w:rsidRPr="00A37140">
              <w:rPr>
                <w:rFonts w:cs="Arial"/>
                <w:szCs w:val="24"/>
              </w:rPr>
              <w:t xml:space="preserve"> of new patients</w:t>
            </w:r>
          </w:p>
          <w:p w14:paraId="0B431C6E" w14:textId="77777777" w:rsidR="00CF3963" w:rsidRPr="00A37140" w:rsidRDefault="00564AC2" w:rsidP="00A37140">
            <w:pPr>
              <w:pStyle w:val="ListParagraph"/>
              <w:numPr>
                <w:ilvl w:val="0"/>
                <w:numId w:val="17"/>
              </w:numPr>
              <w:rPr>
                <w:rFonts w:cs="Arial"/>
                <w:szCs w:val="24"/>
              </w:rPr>
            </w:pPr>
            <w:r w:rsidRPr="00A37140">
              <w:rPr>
                <w:rFonts w:cs="Arial"/>
                <w:szCs w:val="24"/>
              </w:rPr>
              <w:t>50% payment made for &gt;80% of review of all new patients</w:t>
            </w:r>
          </w:p>
          <w:p w14:paraId="28755B5F" w14:textId="77777777" w:rsidR="00564AC2" w:rsidRPr="00A37140" w:rsidRDefault="00564AC2" w:rsidP="00A37140">
            <w:pPr>
              <w:pStyle w:val="ListParagraph"/>
              <w:numPr>
                <w:ilvl w:val="0"/>
                <w:numId w:val="17"/>
              </w:numPr>
              <w:rPr>
                <w:rFonts w:cs="Arial"/>
                <w:szCs w:val="24"/>
              </w:rPr>
            </w:pPr>
            <w:r w:rsidRPr="00A37140">
              <w:rPr>
                <w:rFonts w:cs="Arial"/>
                <w:szCs w:val="24"/>
              </w:rPr>
              <w:t>Nothing paid for 80% or less.</w:t>
            </w:r>
          </w:p>
          <w:p w14:paraId="0AD9C6F4" w14:textId="77777777" w:rsidR="007A6D69" w:rsidRPr="007A6D69" w:rsidRDefault="007A6D69" w:rsidP="005931C4">
            <w:pPr>
              <w:rPr>
                <w:rFonts w:eastAsiaTheme="minorEastAsia" w:cs="Arial"/>
                <w:szCs w:val="24"/>
                <w:u w:val="single"/>
              </w:rPr>
            </w:pPr>
          </w:p>
          <w:p w14:paraId="23FAEE4A" w14:textId="77777777" w:rsidR="00564AC2" w:rsidRDefault="007A6D69" w:rsidP="005931C4">
            <w:pPr>
              <w:rPr>
                <w:rFonts w:eastAsiaTheme="minorEastAsia" w:cs="Arial"/>
                <w:b/>
                <w:szCs w:val="24"/>
                <w:u w:val="single"/>
              </w:rPr>
            </w:pPr>
            <w:r>
              <w:rPr>
                <w:rFonts w:eastAsiaTheme="minorEastAsia" w:cs="Arial"/>
                <w:b/>
                <w:szCs w:val="24"/>
                <w:u w:val="single"/>
              </w:rPr>
              <w:t xml:space="preserve">Trigger 3: </w:t>
            </w:r>
          </w:p>
          <w:p w14:paraId="2496ED01" w14:textId="77777777" w:rsidR="00564AC2" w:rsidRPr="00A37140" w:rsidRDefault="00564AC2" w:rsidP="00A37140">
            <w:pPr>
              <w:pStyle w:val="ListParagraph"/>
              <w:numPr>
                <w:ilvl w:val="0"/>
                <w:numId w:val="19"/>
              </w:numPr>
              <w:rPr>
                <w:rFonts w:eastAsiaTheme="minorEastAsia" w:cs="Arial"/>
                <w:szCs w:val="24"/>
              </w:rPr>
            </w:pPr>
            <w:r w:rsidRPr="00A37140">
              <w:rPr>
                <w:rFonts w:eastAsiaTheme="minorEastAsia" w:cs="Arial"/>
                <w:szCs w:val="24"/>
              </w:rPr>
              <w:t>100% for 100% of target</w:t>
            </w:r>
            <w:r w:rsidR="00A37140">
              <w:rPr>
                <w:rFonts w:eastAsiaTheme="minorEastAsia" w:cs="Arial"/>
                <w:szCs w:val="24"/>
              </w:rPr>
              <w:t xml:space="preserve"> </w:t>
            </w:r>
          </w:p>
          <w:p w14:paraId="60191D57" w14:textId="77777777" w:rsidR="00A37140" w:rsidRPr="00A37140" w:rsidRDefault="00564AC2" w:rsidP="00A37140">
            <w:pPr>
              <w:pStyle w:val="ListParagraph"/>
              <w:numPr>
                <w:ilvl w:val="0"/>
                <w:numId w:val="19"/>
              </w:numPr>
              <w:rPr>
                <w:rFonts w:eastAsiaTheme="minorEastAsia" w:cs="Arial"/>
                <w:szCs w:val="24"/>
              </w:rPr>
            </w:pPr>
            <w:r w:rsidRPr="00A37140">
              <w:rPr>
                <w:rFonts w:eastAsiaTheme="minorEastAsia" w:cs="Arial"/>
                <w:szCs w:val="24"/>
              </w:rPr>
              <w:t xml:space="preserve">75% </w:t>
            </w:r>
            <w:r w:rsidR="00A37140" w:rsidRPr="00A37140">
              <w:rPr>
                <w:rFonts w:eastAsiaTheme="minorEastAsia" w:cs="Arial"/>
                <w:szCs w:val="24"/>
              </w:rPr>
              <w:t>for review of all existing neurology patients and half of remaining requirement,</w:t>
            </w:r>
          </w:p>
          <w:p w14:paraId="3902CCE7" w14:textId="77777777" w:rsidR="00CF3963" w:rsidRPr="00A37140" w:rsidRDefault="007A6D69" w:rsidP="00A37140">
            <w:pPr>
              <w:pStyle w:val="ListParagraph"/>
              <w:numPr>
                <w:ilvl w:val="0"/>
                <w:numId w:val="19"/>
              </w:numPr>
              <w:rPr>
                <w:rFonts w:eastAsiaTheme="minorEastAsia" w:cs="Arial"/>
                <w:szCs w:val="24"/>
              </w:rPr>
            </w:pPr>
            <w:r w:rsidRPr="00A37140">
              <w:rPr>
                <w:rFonts w:eastAsiaTheme="minorEastAsia" w:cs="Arial"/>
                <w:szCs w:val="24"/>
              </w:rPr>
              <w:t xml:space="preserve">50% for review of all existing neurology patients </w:t>
            </w:r>
          </w:p>
          <w:p w14:paraId="4B1F511A" w14:textId="77777777" w:rsidR="007A6D69" w:rsidRPr="007A6D69" w:rsidRDefault="007A6D69" w:rsidP="005931C4">
            <w:pPr>
              <w:rPr>
                <w:rFonts w:eastAsiaTheme="minorEastAsia" w:cs="Arial"/>
                <w:szCs w:val="24"/>
              </w:rPr>
            </w:pPr>
          </w:p>
          <w:p w14:paraId="5F285ECA" w14:textId="77777777" w:rsidR="00CF3963" w:rsidRPr="007A6D69" w:rsidRDefault="00CF3963" w:rsidP="005931C4">
            <w:pPr>
              <w:rPr>
                <w:rFonts w:eastAsiaTheme="minorEastAsia" w:cs="Arial"/>
                <w:szCs w:val="24"/>
                <w:u w:val="single"/>
              </w:rPr>
            </w:pPr>
            <w:r w:rsidRPr="001F6AA3">
              <w:rPr>
                <w:rFonts w:eastAsiaTheme="minorEastAsia" w:cs="Arial"/>
                <w:b/>
                <w:szCs w:val="24"/>
                <w:u w:val="single"/>
              </w:rPr>
              <w:t xml:space="preserve">Trigger 4: </w:t>
            </w:r>
            <w:r w:rsidR="007A6D69" w:rsidRPr="007A6D69">
              <w:rPr>
                <w:rFonts w:eastAsiaTheme="minorEastAsia" w:cs="Arial"/>
                <w:szCs w:val="24"/>
              </w:rPr>
              <w:t>All</w:t>
            </w:r>
            <w:r w:rsidR="007A6D69">
              <w:rPr>
                <w:rFonts w:eastAsiaTheme="minorEastAsia" w:cs="Arial"/>
                <w:szCs w:val="24"/>
                <w:u w:val="single"/>
              </w:rPr>
              <w:t>-</w:t>
            </w:r>
            <w:r w:rsidR="00A37140">
              <w:rPr>
                <w:rFonts w:eastAsiaTheme="minorEastAsia" w:cs="Arial"/>
                <w:szCs w:val="24"/>
                <w:u w:val="single"/>
              </w:rPr>
              <w:t xml:space="preserve">or nothing. </w:t>
            </w:r>
            <w:r w:rsidR="007A6D69" w:rsidRPr="007A6D69">
              <w:rPr>
                <w:rFonts w:cs="Arial"/>
                <w:szCs w:val="24"/>
              </w:rPr>
              <w:t xml:space="preserve">100% only for </w:t>
            </w:r>
            <w:r w:rsidR="007A6D69" w:rsidRPr="007A6D69">
              <w:rPr>
                <w:rFonts w:cs="Arial"/>
                <w:szCs w:val="24"/>
                <w:u w:val="single"/>
              </w:rPr>
              <w:t>all</w:t>
            </w:r>
            <w:r w:rsidR="007A6D69" w:rsidRPr="007A6D69">
              <w:rPr>
                <w:rFonts w:cs="Arial"/>
                <w:szCs w:val="24"/>
              </w:rPr>
              <w:t xml:space="preserve"> returns completed to CMU for stocktaking and forecasting</w:t>
            </w:r>
            <w:r w:rsidR="007A6D69">
              <w:rPr>
                <w:rFonts w:cs="Arial"/>
                <w:szCs w:val="24"/>
              </w:rPr>
              <w:t xml:space="preserve">. </w:t>
            </w:r>
            <w:r w:rsidR="007A6D69" w:rsidRPr="007A6D69">
              <w:rPr>
                <w:rFonts w:cs="Arial"/>
                <w:szCs w:val="24"/>
              </w:rPr>
              <w:t xml:space="preserve"> </w:t>
            </w:r>
          </w:p>
          <w:p w14:paraId="65F9C3DC" w14:textId="77777777" w:rsidR="00CF3963" w:rsidRPr="001F6AA3" w:rsidRDefault="00CF3963" w:rsidP="005931C4">
            <w:pPr>
              <w:rPr>
                <w:rFonts w:eastAsiaTheme="minorEastAsia" w:cs="Arial"/>
                <w:b/>
                <w:szCs w:val="24"/>
                <w:u w:val="single"/>
              </w:rPr>
            </w:pPr>
          </w:p>
          <w:p w14:paraId="361F1425"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Year Two</w:t>
            </w:r>
          </w:p>
          <w:p w14:paraId="0EA07BA8"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lastRenderedPageBreak/>
              <w:t>Trigger 1:</w:t>
            </w:r>
            <w:r w:rsidR="003425A5" w:rsidRPr="001F6AA3">
              <w:rPr>
                <w:rFonts w:cs="Arial"/>
                <w:b/>
                <w:szCs w:val="24"/>
              </w:rPr>
              <w:t xml:space="preserve"> </w:t>
            </w:r>
            <w:r w:rsidR="007A6D69" w:rsidRPr="007A6D69">
              <w:rPr>
                <w:rFonts w:cs="Arial"/>
                <w:szCs w:val="24"/>
              </w:rPr>
              <w:t>as above</w:t>
            </w:r>
          </w:p>
          <w:p w14:paraId="19BE8CE0" w14:textId="77777777" w:rsidR="00CF3963" w:rsidRDefault="00CF3963" w:rsidP="005931C4">
            <w:pPr>
              <w:rPr>
                <w:rFonts w:cs="Arial"/>
                <w:szCs w:val="24"/>
              </w:rPr>
            </w:pPr>
            <w:r w:rsidRPr="001F6AA3">
              <w:rPr>
                <w:rFonts w:eastAsiaTheme="minorEastAsia" w:cs="Arial"/>
                <w:b/>
                <w:szCs w:val="24"/>
                <w:u w:val="single"/>
              </w:rPr>
              <w:t>Trigger 2:</w:t>
            </w:r>
            <w:r w:rsidR="003425A5" w:rsidRPr="001F6AA3">
              <w:rPr>
                <w:rFonts w:cs="Arial"/>
                <w:b/>
                <w:szCs w:val="24"/>
              </w:rPr>
              <w:t xml:space="preserve"> </w:t>
            </w:r>
            <w:r w:rsidR="007A6D69" w:rsidRPr="007A6D69">
              <w:rPr>
                <w:rFonts w:cs="Arial"/>
                <w:szCs w:val="24"/>
              </w:rPr>
              <w:t>as above</w:t>
            </w:r>
          </w:p>
          <w:p w14:paraId="0069D898" w14:textId="77777777" w:rsidR="007A6D69" w:rsidRPr="007A6D69" w:rsidRDefault="007A6D69" w:rsidP="005931C4">
            <w:pPr>
              <w:rPr>
                <w:rFonts w:eastAsiaTheme="minorEastAsia" w:cs="Arial"/>
                <w:szCs w:val="24"/>
              </w:rPr>
            </w:pPr>
            <w:r>
              <w:rPr>
                <w:rFonts w:cs="Arial"/>
                <w:b/>
                <w:szCs w:val="24"/>
                <w:u w:val="single"/>
              </w:rPr>
              <w:t xml:space="preserve">Trigger 3: </w:t>
            </w:r>
            <w:r w:rsidRPr="007A6D69">
              <w:rPr>
                <w:rFonts w:cs="Arial"/>
                <w:szCs w:val="24"/>
              </w:rPr>
              <w:t>Review of 100% of existing patients at 30</w:t>
            </w:r>
            <w:r w:rsidRPr="007A6D69">
              <w:rPr>
                <w:rFonts w:cs="Arial"/>
                <w:szCs w:val="24"/>
                <w:vertAlign w:val="superscript"/>
              </w:rPr>
              <w:t>th</w:t>
            </w:r>
            <w:r w:rsidRPr="007A6D69">
              <w:rPr>
                <w:rFonts w:cs="Arial"/>
                <w:szCs w:val="24"/>
              </w:rPr>
              <w:t xml:space="preserve"> March 2019 completed by 31</w:t>
            </w:r>
            <w:r w:rsidRPr="007A6D69">
              <w:rPr>
                <w:rFonts w:cs="Arial"/>
                <w:szCs w:val="24"/>
                <w:vertAlign w:val="superscript"/>
              </w:rPr>
              <w:t>st</w:t>
            </w:r>
            <w:r>
              <w:rPr>
                <w:rFonts w:cs="Arial"/>
                <w:b/>
                <w:szCs w:val="24"/>
                <w:u w:val="single"/>
              </w:rPr>
              <w:t xml:space="preserve"> </w:t>
            </w:r>
            <w:r w:rsidR="002560DD">
              <w:rPr>
                <w:rFonts w:cs="Arial"/>
                <w:szCs w:val="24"/>
              </w:rPr>
              <w:t>Dec 2020.  25% of payment withheld for each 5% not completed.  &lt;80% of all reviews carried out nil payment for trigger</w:t>
            </w:r>
          </w:p>
          <w:p w14:paraId="7ADF1277" w14:textId="77777777" w:rsidR="00CF3963" w:rsidRDefault="002560DD" w:rsidP="0084461B">
            <w:pPr>
              <w:rPr>
                <w:rFonts w:cs="Arial"/>
                <w:szCs w:val="24"/>
              </w:rPr>
            </w:pPr>
            <w:r>
              <w:rPr>
                <w:rFonts w:cs="Arial"/>
                <w:b/>
                <w:szCs w:val="24"/>
                <w:u w:val="single"/>
              </w:rPr>
              <w:t xml:space="preserve">Trigger 4: </w:t>
            </w:r>
            <w:r w:rsidRPr="002560DD">
              <w:rPr>
                <w:rFonts w:cs="Arial"/>
                <w:szCs w:val="24"/>
              </w:rPr>
              <w:t>as above</w:t>
            </w:r>
          </w:p>
          <w:p w14:paraId="7873BE1A" w14:textId="77777777" w:rsidR="002560DD" w:rsidRPr="002560DD" w:rsidRDefault="002560DD" w:rsidP="0084461B">
            <w:pPr>
              <w:rPr>
                <w:rFonts w:cs="Arial"/>
                <w:szCs w:val="24"/>
              </w:rPr>
            </w:pPr>
            <w:r w:rsidRPr="002560DD">
              <w:rPr>
                <w:rFonts w:cs="Arial"/>
                <w:b/>
                <w:szCs w:val="24"/>
                <w:u w:val="single"/>
              </w:rPr>
              <w:t xml:space="preserve">Trigger 5: </w:t>
            </w:r>
            <w:r w:rsidRPr="002560DD">
              <w:rPr>
                <w:rFonts w:cs="Arial"/>
                <w:szCs w:val="24"/>
              </w:rPr>
              <w:t>to be negotiated local</w:t>
            </w:r>
            <w:r w:rsidR="00A37140">
              <w:rPr>
                <w:rFonts w:cs="Arial"/>
                <w:szCs w:val="24"/>
              </w:rPr>
              <w:t>ly</w:t>
            </w:r>
            <w:r w:rsidRPr="002560DD">
              <w:rPr>
                <w:rFonts w:cs="Arial"/>
                <w:szCs w:val="24"/>
              </w:rPr>
              <w:t xml:space="preserve"> once system </w:t>
            </w:r>
            <w:r w:rsidR="000E70A7" w:rsidRPr="002560DD">
              <w:rPr>
                <w:rFonts w:cs="Arial"/>
                <w:szCs w:val="24"/>
              </w:rPr>
              <w:t>available</w:t>
            </w:r>
          </w:p>
          <w:p w14:paraId="5023141B" w14:textId="77777777" w:rsidR="00CF3963" w:rsidRPr="000412A1" w:rsidRDefault="00CF3963" w:rsidP="0084461B">
            <w:pPr>
              <w:rPr>
                <w:rFonts w:cs="Arial"/>
                <w:b/>
                <w:color w:val="000000"/>
                <w:szCs w:val="24"/>
              </w:rPr>
            </w:pPr>
          </w:p>
        </w:tc>
      </w:tr>
      <w:tr w:rsidR="00CF3963" w:rsidRPr="000412A1" w14:paraId="76B5A8F5" w14:textId="77777777" w:rsidTr="42E2BFEE">
        <w:tc>
          <w:tcPr>
            <w:tcW w:w="5000" w:type="pct"/>
            <w:gridSpan w:val="3"/>
            <w:shd w:val="clear" w:color="auto" w:fill="auto"/>
          </w:tcPr>
          <w:p w14:paraId="32E1BFAF" w14:textId="77777777" w:rsidR="00CF3963" w:rsidRDefault="00CF3963" w:rsidP="0084461B">
            <w:pPr>
              <w:rPr>
                <w:rFonts w:cs="Arial"/>
                <w:b/>
                <w:color w:val="000000"/>
                <w:szCs w:val="24"/>
                <w:u w:val="single"/>
              </w:rPr>
            </w:pPr>
            <w:r w:rsidRPr="00CF3963">
              <w:rPr>
                <w:rFonts w:cs="Arial"/>
                <w:b/>
                <w:color w:val="000000"/>
                <w:szCs w:val="24"/>
                <w:u w:val="single"/>
              </w:rPr>
              <w:lastRenderedPageBreak/>
              <w:t>Definitions</w:t>
            </w:r>
          </w:p>
          <w:p w14:paraId="1F3B1409" w14:textId="77777777" w:rsidR="00CF3963" w:rsidRDefault="00CF3963" w:rsidP="0084461B">
            <w:pPr>
              <w:rPr>
                <w:rFonts w:eastAsiaTheme="minorEastAsia" w:cs="Arial"/>
                <w:i/>
                <w:color w:val="FF0000"/>
                <w:szCs w:val="24"/>
              </w:rPr>
            </w:pPr>
          </w:p>
          <w:p w14:paraId="34824FA9" w14:textId="77777777" w:rsidR="00B20F55" w:rsidRDefault="00B20F55" w:rsidP="0084461B">
            <w:pPr>
              <w:rPr>
                <w:rFonts w:eastAsiaTheme="minorEastAsia" w:cs="Arial"/>
                <w:i/>
                <w:szCs w:val="24"/>
              </w:rPr>
            </w:pPr>
            <w:r>
              <w:rPr>
                <w:rFonts w:eastAsiaTheme="minorEastAsia" w:cs="Arial"/>
                <w:i/>
                <w:szCs w:val="24"/>
              </w:rPr>
              <w:t>N/A</w:t>
            </w:r>
          </w:p>
          <w:p w14:paraId="562C75D1" w14:textId="77777777" w:rsidR="00B20F55" w:rsidRPr="00B20F55" w:rsidRDefault="00B20F55" w:rsidP="0084461B">
            <w:pPr>
              <w:rPr>
                <w:rFonts w:eastAsiaTheme="minorEastAsia" w:cs="Arial"/>
                <w:i/>
                <w:szCs w:val="24"/>
                <w:u w:val="single"/>
              </w:rPr>
            </w:pPr>
          </w:p>
        </w:tc>
      </w:tr>
      <w:tr w:rsidR="00CF3963" w:rsidRPr="00CF3963" w14:paraId="731AE54D" w14:textId="77777777" w:rsidTr="42E2BFEE">
        <w:tc>
          <w:tcPr>
            <w:tcW w:w="5000" w:type="pct"/>
            <w:gridSpan w:val="3"/>
            <w:shd w:val="clear" w:color="auto" w:fill="BFBFBF" w:themeFill="background1" w:themeFillShade="BF"/>
          </w:tcPr>
          <w:p w14:paraId="2FA69B40"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649AA0B4" w14:textId="77777777" w:rsidTr="42E2BFEE">
        <w:tc>
          <w:tcPr>
            <w:tcW w:w="5000" w:type="pct"/>
            <w:gridSpan w:val="3"/>
            <w:shd w:val="clear" w:color="auto" w:fill="auto"/>
          </w:tcPr>
          <w:p w14:paraId="664355AD" w14:textId="77777777" w:rsidR="002560DD" w:rsidRDefault="002560DD" w:rsidP="003A0C63">
            <w:pPr>
              <w:spacing w:before="40" w:after="40"/>
              <w:rPr>
                <w:rFonts w:cs="Arial"/>
                <w:szCs w:val="24"/>
              </w:rPr>
            </w:pPr>
          </w:p>
          <w:p w14:paraId="5BB6F83A" w14:textId="77777777" w:rsidR="00A336AB" w:rsidRDefault="00A336AB" w:rsidP="003A0C63">
            <w:pPr>
              <w:spacing w:before="40" w:after="40"/>
              <w:rPr>
                <w:rFonts w:cs="Arial"/>
                <w:szCs w:val="24"/>
              </w:rPr>
            </w:pPr>
            <w:r w:rsidRPr="000E70A7">
              <w:rPr>
                <w:rFonts w:cs="Arial"/>
                <w:b/>
                <w:szCs w:val="24"/>
                <w:u w:val="single"/>
              </w:rPr>
              <w:t>Trigger 1</w:t>
            </w:r>
            <w:r>
              <w:rPr>
                <w:rFonts w:cs="Arial"/>
                <w:b/>
                <w:szCs w:val="24"/>
              </w:rPr>
              <w:t xml:space="preserve">: </w:t>
            </w:r>
            <w:r>
              <w:rPr>
                <w:rFonts w:cs="Arial"/>
                <w:szCs w:val="24"/>
              </w:rPr>
              <w:t xml:space="preserve">List of panel members and specialty/ role on panel </w:t>
            </w:r>
          </w:p>
          <w:p w14:paraId="219CB24B" w14:textId="77777777" w:rsidR="00A336AB" w:rsidRDefault="00A336AB" w:rsidP="003A0C63">
            <w:pPr>
              <w:spacing w:before="40" w:after="40"/>
              <w:rPr>
                <w:rFonts w:cs="Arial"/>
                <w:szCs w:val="24"/>
              </w:rPr>
            </w:pPr>
            <w:r w:rsidRPr="000E70A7">
              <w:rPr>
                <w:rFonts w:cs="Arial"/>
                <w:b/>
                <w:szCs w:val="24"/>
                <w:u w:val="single"/>
              </w:rPr>
              <w:t>Trigger 2</w:t>
            </w:r>
            <w:r>
              <w:rPr>
                <w:rFonts w:cs="Arial"/>
                <w:b/>
                <w:szCs w:val="24"/>
              </w:rPr>
              <w:t xml:space="preserve">: </w:t>
            </w:r>
            <w:r w:rsidRPr="00A336AB">
              <w:rPr>
                <w:rFonts w:cs="Arial"/>
                <w:szCs w:val="24"/>
              </w:rPr>
              <w:t xml:space="preserve">Panel </w:t>
            </w:r>
            <w:r>
              <w:rPr>
                <w:rFonts w:cs="Arial"/>
                <w:szCs w:val="24"/>
              </w:rPr>
              <w:t xml:space="preserve">records of all new reviewed patients.  Data to be checked against </w:t>
            </w:r>
            <w:r w:rsidR="000E70A7">
              <w:rPr>
                <w:rFonts w:cs="Arial"/>
                <w:szCs w:val="24"/>
              </w:rPr>
              <w:t>Trust MDSAS reports provided by trust</w:t>
            </w:r>
            <w:r w:rsidR="00D01269">
              <w:rPr>
                <w:rFonts w:cs="Arial"/>
                <w:szCs w:val="24"/>
              </w:rPr>
              <w:t>s to SRIAP</w:t>
            </w:r>
            <w:r>
              <w:rPr>
                <w:rFonts w:cs="Arial"/>
                <w:szCs w:val="24"/>
              </w:rPr>
              <w:t xml:space="preserve">.  </w:t>
            </w:r>
            <w:r w:rsidRPr="00A336AB">
              <w:rPr>
                <w:rFonts w:cs="Arial"/>
                <w:szCs w:val="24"/>
              </w:rPr>
              <w:t xml:space="preserve"> </w:t>
            </w:r>
          </w:p>
          <w:p w14:paraId="0ADD70C8" w14:textId="77777777" w:rsidR="000E70A7" w:rsidRDefault="000E70A7" w:rsidP="003A0C63">
            <w:pPr>
              <w:spacing w:before="40" w:after="40"/>
              <w:rPr>
                <w:rFonts w:cs="Arial"/>
                <w:szCs w:val="24"/>
              </w:rPr>
            </w:pPr>
            <w:r w:rsidRPr="000E70A7">
              <w:rPr>
                <w:rFonts w:cs="Arial"/>
                <w:b/>
                <w:szCs w:val="24"/>
                <w:u w:val="single"/>
              </w:rPr>
              <w:t>Trigger 3</w:t>
            </w:r>
            <w:r>
              <w:rPr>
                <w:rFonts w:cs="Arial"/>
                <w:b/>
                <w:szCs w:val="24"/>
                <w:u w:val="single"/>
              </w:rPr>
              <w:t xml:space="preserve">: </w:t>
            </w:r>
            <w:r>
              <w:rPr>
                <w:rFonts w:cs="Arial"/>
                <w:szCs w:val="24"/>
              </w:rPr>
              <w:t>As for Trigger 2</w:t>
            </w:r>
          </w:p>
          <w:p w14:paraId="069F2ECB" w14:textId="77777777" w:rsidR="000E70A7" w:rsidRDefault="000E70A7" w:rsidP="003A0C63">
            <w:pPr>
              <w:spacing w:before="40" w:after="40"/>
              <w:rPr>
                <w:rFonts w:cs="Arial"/>
                <w:szCs w:val="24"/>
              </w:rPr>
            </w:pPr>
            <w:r>
              <w:rPr>
                <w:rFonts w:cs="Arial"/>
                <w:b/>
                <w:szCs w:val="24"/>
                <w:u w:val="single"/>
              </w:rPr>
              <w:t xml:space="preserve">Trigger 4: </w:t>
            </w:r>
            <w:r>
              <w:rPr>
                <w:rFonts w:cs="Arial"/>
                <w:szCs w:val="24"/>
              </w:rPr>
              <w:t xml:space="preserve">Responses to stock take and forecasting report from CMU </w:t>
            </w:r>
          </w:p>
          <w:p w14:paraId="07E43CF0" w14:textId="77777777" w:rsidR="000E70A7" w:rsidRDefault="000E70A7" w:rsidP="003A0C63">
            <w:pPr>
              <w:spacing w:before="40" w:after="40"/>
              <w:rPr>
                <w:rFonts w:cs="Arial"/>
                <w:szCs w:val="24"/>
              </w:rPr>
            </w:pPr>
            <w:r w:rsidRPr="000E70A7">
              <w:rPr>
                <w:rFonts w:cs="Arial"/>
                <w:b/>
                <w:szCs w:val="24"/>
                <w:u w:val="single"/>
              </w:rPr>
              <w:t>Trigger 5:</w:t>
            </w:r>
            <w:r>
              <w:rPr>
                <w:rFonts w:cs="Arial"/>
                <w:b/>
                <w:szCs w:val="24"/>
                <w:u w:val="single"/>
              </w:rPr>
              <w:t xml:space="preserve"> </w:t>
            </w:r>
            <w:r>
              <w:rPr>
                <w:rFonts w:cs="Arial"/>
                <w:szCs w:val="24"/>
              </w:rPr>
              <w:t>To be agreed</w:t>
            </w:r>
          </w:p>
          <w:p w14:paraId="1A965116" w14:textId="77777777" w:rsidR="000E70A7" w:rsidRDefault="000E70A7" w:rsidP="003A0C63">
            <w:pPr>
              <w:spacing w:before="40" w:after="40"/>
              <w:rPr>
                <w:rFonts w:cs="Arial"/>
                <w:szCs w:val="24"/>
              </w:rPr>
            </w:pPr>
          </w:p>
          <w:p w14:paraId="73711801" w14:textId="77777777" w:rsidR="000E70A7" w:rsidRPr="000E70A7" w:rsidRDefault="000E70A7" w:rsidP="003A0C63">
            <w:pPr>
              <w:spacing w:before="40" w:after="40"/>
              <w:rPr>
                <w:rFonts w:cs="Arial"/>
                <w:szCs w:val="24"/>
              </w:rPr>
            </w:pPr>
            <w:r>
              <w:rPr>
                <w:rFonts w:cs="Arial"/>
                <w:szCs w:val="24"/>
              </w:rPr>
              <w:t xml:space="preserve">Panel/ commissioners to devise and agree own panel reporting templates to collect required data.  </w:t>
            </w:r>
            <w:r w:rsidR="006D7411">
              <w:rPr>
                <w:rFonts w:cs="Arial"/>
                <w:szCs w:val="24"/>
              </w:rPr>
              <w:t>Standardised d</w:t>
            </w:r>
            <w:r>
              <w:rPr>
                <w:rFonts w:cs="Arial"/>
                <w:szCs w:val="24"/>
              </w:rPr>
              <w:t xml:space="preserve">ata set from MDSAS will be provided.    </w:t>
            </w:r>
          </w:p>
          <w:p w14:paraId="7DF4E37C" w14:textId="77777777" w:rsidR="00A336AB" w:rsidRPr="00A336AB" w:rsidRDefault="00A336AB" w:rsidP="003A0C63">
            <w:pPr>
              <w:spacing w:before="40" w:after="40"/>
              <w:rPr>
                <w:rFonts w:cs="Arial"/>
                <w:b/>
                <w:szCs w:val="24"/>
              </w:rPr>
            </w:pPr>
          </w:p>
          <w:p w14:paraId="44FB30F8" w14:textId="77777777" w:rsidR="002560DD" w:rsidRPr="002560DD" w:rsidRDefault="002560DD" w:rsidP="003A0C63">
            <w:pPr>
              <w:spacing w:before="40" w:after="40"/>
              <w:rPr>
                <w:rFonts w:cs="Arial"/>
                <w:szCs w:val="24"/>
              </w:rPr>
            </w:pPr>
          </w:p>
          <w:p w14:paraId="1DA6542E" w14:textId="77777777" w:rsidR="002560DD" w:rsidRPr="00F42905" w:rsidRDefault="002560DD" w:rsidP="003A0C63">
            <w:pPr>
              <w:spacing w:before="40" w:after="40"/>
              <w:rPr>
                <w:rFonts w:cs="Arial"/>
                <w:i/>
                <w:szCs w:val="24"/>
              </w:rPr>
            </w:pPr>
          </w:p>
        </w:tc>
      </w:tr>
      <w:tr w:rsidR="009D54C2" w:rsidRPr="000412A1" w14:paraId="284AFE08" w14:textId="77777777" w:rsidTr="42E2BFEE">
        <w:tc>
          <w:tcPr>
            <w:tcW w:w="5000" w:type="pct"/>
            <w:gridSpan w:val="3"/>
            <w:shd w:val="clear" w:color="auto" w:fill="D9D9D9" w:themeFill="background1" w:themeFillShade="D9"/>
          </w:tcPr>
          <w:p w14:paraId="1AD9F4C9" w14:textId="77777777" w:rsidR="009D54C2" w:rsidRPr="009D54C2" w:rsidRDefault="009D54C2" w:rsidP="002560DD">
            <w:pPr>
              <w:rPr>
                <w:rFonts w:cs="Arial"/>
                <w:b/>
                <w:szCs w:val="24"/>
              </w:rPr>
            </w:pPr>
            <w:r w:rsidRPr="009D54C2">
              <w:rPr>
                <w:rFonts w:cs="Arial"/>
                <w:b/>
                <w:szCs w:val="24"/>
              </w:rPr>
              <w:t>Reporting of Achievement against Triggers:</w:t>
            </w:r>
          </w:p>
        </w:tc>
      </w:tr>
      <w:tr w:rsidR="009D54C2" w:rsidRPr="000412A1" w14:paraId="3041E394" w14:textId="77777777" w:rsidTr="42E2BFEE">
        <w:tc>
          <w:tcPr>
            <w:tcW w:w="5000" w:type="pct"/>
            <w:gridSpan w:val="3"/>
            <w:shd w:val="clear" w:color="auto" w:fill="auto"/>
          </w:tcPr>
          <w:p w14:paraId="722B00AE" w14:textId="77777777" w:rsidR="009D54C2" w:rsidRPr="009D54C2" w:rsidRDefault="009D54C2" w:rsidP="0084461B">
            <w:pPr>
              <w:rPr>
                <w:rFonts w:eastAsiaTheme="minorEastAsia" w:cs="Arial"/>
                <w:b/>
                <w:szCs w:val="24"/>
              </w:rPr>
            </w:pPr>
          </w:p>
        </w:tc>
      </w:tr>
      <w:tr w:rsidR="00CF3963" w:rsidRPr="000412A1" w14:paraId="5F52215E" w14:textId="77777777" w:rsidTr="42E2BFEE">
        <w:tc>
          <w:tcPr>
            <w:tcW w:w="5000" w:type="pct"/>
            <w:gridSpan w:val="3"/>
            <w:shd w:val="clear" w:color="auto" w:fill="D9D9D9" w:themeFill="background1" w:themeFillShade="D9"/>
          </w:tcPr>
          <w:p w14:paraId="6A3EE38C" w14:textId="77777777"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14:paraId="42C6D796" w14:textId="77777777" w:rsidTr="42E2BFEE">
        <w:tc>
          <w:tcPr>
            <w:tcW w:w="5000" w:type="pct"/>
            <w:gridSpan w:val="3"/>
          </w:tcPr>
          <w:p w14:paraId="6E1831B3" w14:textId="77777777" w:rsidR="009D54C2" w:rsidRPr="009D54C2" w:rsidRDefault="009D54C2" w:rsidP="00CF3963">
            <w:pPr>
              <w:spacing w:before="40" w:after="40"/>
              <w:rPr>
                <w:rFonts w:cs="Arial"/>
                <w:b/>
                <w:szCs w:val="24"/>
              </w:rPr>
            </w:pPr>
          </w:p>
        </w:tc>
      </w:tr>
      <w:tr w:rsidR="00CF3963" w:rsidRPr="000412A1" w14:paraId="60748BBC" w14:textId="77777777" w:rsidTr="42E2BFEE">
        <w:tc>
          <w:tcPr>
            <w:tcW w:w="5000" w:type="pct"/>
            <w:gridSpan w:val="3"/>
            <w:shd w:val="clear" w:color="auto" w:fill="D9D9D9" w:themeFill="background1" w:themeFillShade="D9"/>
          </w:tcPr>
          <w:p w14:paraId="533C5B52"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54E11D2A" w14:textId="77777777" w:rsidTr="42E2BFEE">
        <w:tc>
          <w:tcPr>
            <w:tcW w:w="5000" w:type="pct"/>
            <w:gridSpan w:val="3"/>
          </w:tcPr>
          <w:p w14:paraId="31126E5D" w14:textId="77777777" w:rsidR="009D54C2" w:rsidRPr="009D54C2" w:rsidRDefault="009D54C2" w:rsidP="0084461B">
            <w:pPr>
              <w:rPr>
                <w:rFonts w:cs="Arial"/>
                <w:b/>
                <w:color w:val="000000"/>
                <w:szCs w:val="24"/>
              </w:rPr>
            </w:pPr>
          </w:p>
        </w:tc>
      </w:tr>
      <w:tr w:rsidR="00CF3963" w:rsidRPr="000412A1" w14:paraId="590729A0" w14:textId="77777777" w:rsidTr="42E2BFEE">
        <w:tc>
          <w:tcPr>
            <w:tcW w:w="5000" w:type="pct"/>
            <w:gridSpan w:val="3"/>
            <w:shd w:val="clear" w:color="auto" w:fill="D9D9D9" w:themeFill="background1" w:themeFillShade="D9"/>
          </w:tcPr>
          <w:p w14:paraId="44638825"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48E0F540" w14:textId="77777777" w:rsidTr="42E2BFEE">
        <w:tc>
          <w:tcPr>
            <w:tcW w:w="5000" w:type="pct"/>
            <w:gridSpan w:val="3"/>
          </w:tcPr>
          <w:p w14:paraId="55AD932C" w14:textId="77777777" w:rsidR="009D54C2" w:rsidRPr="006D7411" w:rsidRDefault="006D7411" w:rsidP="0084461B">
            <w:pPr>
              <w:rPr>
                <w:rFonts w:cs="Arial"/>
                <w:color w:val="000000"/>
                <w:szCs w:val="24"/>
              </w:rPr>
            </w:pPr>
            <w:r w:rsidRPr="006D7411">
              <w:rPr>
                <w:rFonts w:cs="Arial"/>
                <w:color w:val="000000"/>
                <w:szCs w:val="24"/>
              </w:rPr>
              <w:t>Local agree</w:t>
            </w:r>
            <w:r w:rsidR="00A86F6B">
              <w:rPr>
                <w:rFonts w:cs="Arial"/>
                <w:color w:val="000000"/>
                <w:szCs w:val="24"/>
              </w:rPr>
              <w:t xml:space="preserve">d template/panel report  </w:t>
            </w:r>
          </w:p>
        </w:tc>
      </w:tr>
      <w:tr w:rsidR="00CF3963" w:rsidRPr="000412A1" w14:paraId="753F4539" w14:textId="77777777" w:rsidTr="42E2BFEE">
        <w:tc>
          <w:tcPr>
            <w:tcW w:w="5000" w:type="pct"/>
            <w:gridSpan w:val="3"/>
            <w:shd w:val="clear" w:color="auto" w:fill="A6A6A6" w:themeFill="background1" w:themeFillShade="A6"/>
          </w:tcPr>
          <w:p w14:paraId="2BACE6EB"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2DE403A5" w14:textId="77777777" w:rsidR="00CF3963" w:rsidRPr="000412A1" w:rsidRDefault="00CF3963" w:rsidP="0084461B">
            <w:pPr>
              <w:rPr>
                <w:rFonts w:cs="Arial"/>
                <w:color w:val="000000"/>
                <w:szCs w:val="24"/>
              </w:rPr>
            </w:pPr>
          </w:p>
        </w:tc>
      </w:tr>
      <w:tr w:rsidR="00970018" w:rsidRPr="000412A1" w14:paraId="3F3BA607" w14:textId="77777777" w:rsidTr="42E2BFEE">
        <w:tc>
          <w:tcPr>
            <w:tcW w:w="5000" w:type="pct"/>
            <w:gridSpan w:val="3"/>
          </w:tcPr>
          <w:p w14:paraId="51B27914"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62431CDC" w14:textId="77777777" w:rsidR="00970018" w:rsidRDefault="00970018" w:rsidP="00970018">
            <w:pPr>
              <w:rPr>
                <w:rFonts w:cs="Arial"/>
                <w:b/>
                <w:szCs w:val="24"/>
              </w:rPr>
            </w:pPr>
          </w:p>
        </w:tc>
      </w:tr>
    </w:tbl>
    <w:p w14:paraId="66ABC88D" w14:textId="24F2FBC7" w:rsidR="42E2BFEE" w:rsidRDefault="42E2BFEE"/>
    <w:p w14:paraId="49E398E2" w14:textId="77777777" w:rsidR="006B2327" w:rsidRDefault="006B2327" w:rsidP="00154269">
      <w:pPr>
        <w:rPr>
          <w:rFonts w:cs="Arial"/>
          <w:b/>
          <w:szCs w:val="24"/>
        </w:rPr>
      </w:pPr>
    </w:p>
    <w:p w14:paraId="16287F21" w14:textId="77777777"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14:paraId="06865F5D" w14:textId="77777777" w:rsidTr="00234135">
        <w:tc>
          <w:tcPr>
            <w:tcW w:w="5000" w:type="pct"/>
            <w:gridSpan w:val="2"/>
            <w:shd w:val="clear" w:color="auto" w:fill="BFBFBF" w:themeFill="background1" w:themeFillShade="BF"/>
          </w:tcPr>
          <w:p w14:paraId="39F04CC8"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56DDF72B" w14:textId="77777777" w:rsidTr="001F6AA3">
        <w:tc>
          <w:tcPr>
            <w:tcW w:w="5000" w:type="pct"/>
            <w:gridSpan w:val="2"/>
            <w:shd w:val="clear" w:color="auto" w:fill="D9D9D9" w:themeFill="background1" w:themeFillShade="D9"/>
          </w:tcPr>
          <w:p w14:paraId="733D4D13"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56015BE1" w14:textId="77777777" w:rsidTr="00234135">
        <w:tc>
          <w:tcPr>
            <w:tcW w:w="5000" w:type="pct"/>
            <w:gridSpan w:val="2"/>
            <w:shd w:val="clear" w:color="auto" w:fill="auto"/>
          </w:tcPr>
          <w:p w14:paraId="4DE3CCE7"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5BE93A62" w14:textId="77777777" w:rsidR="0026417D" w:rsidRDefault="0026417D" w:rsidP="0026417D">
            <w:pPr>
              <w:rPr>
                <w:rFonts w:cs="Arial"/>
                <w:b/>
                <w:i/>
                <w:szCs w:val="24"/>
              </w:rPr>
            </w:pPr>
          </w:p>
          <w:p w14:paraId="716016ED" w14:textId="77777777" w:rsidR="00234135" w:rsidRPr="000E33C9" w:rsidRDefault="00DB0494" w:rsidP="0026417D">
            <w:pPr>
              <w:spacing w:before="40" w:after="40"/>
              <w:rPr>
                <w:rFonts w:cs="Arial"/>
                <w:b/>
                <w:i/>
                <w:color w:val="000000"/>
                <w:szCs w:val="24"/>
              </w:rPr>
            </w:pPr>
            <w:r>
              <w:rPr>
                <w:rFonts w:cs="Arial"/>
                <w:szCs w:val="24"/>
              </w:rPr>
              <w:t>The use of immunoglobulin is commissioned by NHS England in line with existing Clinical Guidelines for Immunoglobulin Use (2</w:t>
            </w:r>
            <w:r w:rsidRPr="00ED5298">
              <w:rPr>
                <w:rFonts w:cs="Arial"/>
                <w:szCs w:val="24"/>
                <w:vertAlign w:val="superscript"/>
              </w:rPr>
              <w:t>nd</w:t>
            </w:r>
            <w:r>
              <w:rPr>
                <w:rFonts w:cs="Arial"/>
                <w:szCs w:val="24"/>
              </w:rPr>
              <w:t xml:space="preserve"> edition), which suggests the use of IAPs to manage local demand for immunoglobulin and, in times of shortage, to prioritise use in those with greatest clinical need.</w:t>
            </w:r>
          </w:p>
        </w:tc>
      </w:tr>
      <w:tr w:rsidR="0026417D" w:rsidRPr="000412A1" w14:paraId="738FD05C" w14:textId="77777777" w:rsidTr="00234135">
        <w:tc>
          <w:tcPr>
            <w:tcW w:w="5000" w:type="pct"/>
            <w:gridSpan w:val="2"/>
            <w:shd w:val="clear" w:color="auto" w:fill="auto"/>
          </w:tcPr>
          <w:p w14:paraId="7E43C312"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191DABE6" w14:textId="77777777" w:rsidR="00F726C2" w:rsidRP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384BA73E" w14:textId="77777777" w:rsidR="00B20F55" w:rsidRDefault="00B20F55" w:rsidP="00D45B8D">
            <w:pPr>
              <w:spacing w:before="40" w:after="40"/>
              <w:rPr>
                <w:rFonts w:cs="Arial"/>
                <w:szCs w:val="24"/>
              </w:rPr>
            </w:pPr>
          </w:p>
          <w:p w14:paraId="35D8E2B4" w14:textId="77777777" w:rsidR="00D45B8D" w:rsidRPr="00D45B8D" w:rsidRDefault="00D45B8D" w:rsidP="00D45B8D">
            <w:pPr>
              <w:spacing w:before="40" w:after="40"/>
              <w:rPr>
                <w:rFonts w:cs="Arial"/>
                <w:szCs w:val="24"/>
              </w:rPr>
            </w:pPr>
            <w:r>
              <w:rPr>
                <w:rFonts w:cs="Arial"/>
                <w:szCs w:val="24"/>
              </w:rPr>
              <w:t xml:space="preserve">The CQUIN is available to fund the required increased higher level of clinical input initially in to SRIAPs to drive a behaviour change in immunoglobulin prescribing and improve stewardship. </w:t>
            </w:r>
          </w:p>
          <w:p w14:paraId="75C7373E" w14:textId="77777777" w:rsidR="003425A5" w:rsidRPr="00B20F55" w:rsidRDefault="0026417D" w:rsidP="009D54C2">
            <w:pPr>
              <w:pStyle w:val="ListParagraph"/>
              <w:numPr>
                <w:ilvl w:val="0"/>
                <w:numId w:val="6"/>
              </w:numPr>
              <w:spacing w:before="40" w:after="40"/>
              <w:rPr>
                <w:rFonts w:cs="Arial"/>
                <w:szCs w:val="24"/>
                <w:u w:val="single"/>
              </w:rPr>
            </w:pPr>
            <w:r w:rsidRPr="00B20F55">
              <w:rPr>
                <w:rFonts w:cs="Arial"/>
                <w:szCs w:val="24"/>
                <w:u w:val="single"/>
              </w:rPr>
              <w:t xml:space="preserve">the benefits accruing to patients, </w:t>
            </w:r>
          </w:p>
          <w:p w14:paraId="4C06E4FE" w14:textId="77777777" w:rsidR="009D54C2" w:rsidRDefault="003425A5" w:rsidP="003425A5">
            <w:pPr>
              <w:spacing w:before="40" w:after="40"/>
              <w:rPr>
                <w:rFonts w:cs="Arial"/>
                <w:szCs w:val="24"/>
              </w:rPr>
            </w:pPr>
            <w:r w:rsidRPr="003425A5">
              <w:rPr>
                <w:rFonts w:cs="Arial"/>
                <w:szCs w:val="24"/>
              </w:rPr>
              <w:t xml:space="preserve">For patients:  protecting supply for those that </w:t>
            </w:r>
            <w:r w:rsidR="000E70A7">
              <w:rPr>
                <w:rFonts w:cs="Arial"/>
                <w:szCs w:val="24"/>
              </w:rPr>
              <w:t xml:space="preserve">require immunoglobin the most due to current supply issues and increasing demand outstripping </w:t>
            </w:r>
            <w:r w:rsidR="00D45B8D">
              <w:rPr>
                <w:rFonts w:cs="Arial"/>
                <w:szCs w:val="24"/>
              </w:rPr>
              <w:t>available</w:t>
            </w:r>
            <w:r w:rsidR="000E70A7">
              <w:rPr>
                <w:rFonts w:cs="Arial"/>
                <w:szCs w:val="24"/>
              </w:rPr>
              <w:t xml:space="preserve"> supplies.  SRIAP s will also be </w:t>
            </w:r>
            <w:r w:rsidR="00D45B8D">
              <w:rPr>
                <w:rFonts w:cs="Arial"/>
                <w:szCs w:val="24"/>
              </w:rPr>
              <w:t>required</w:t>
            </w:r>
            <w:r w:rsidR="000E70A7">
              <w:rPr>
                <w:rFonts w:cs="Arial"/>
                <w:szCs w:val="24"/>
              </w:rPr>
              <w:t xml:space="preserve"> to </w:t>
            </w:r>
            <w:r w:rsidR="00D45B8D">
              <w:rPr>
                <w:rFonts w:cs="Arial"/>
                <w:szCs w:val="24"/>
              </w:rPr>
              <w:t>manage</w:t>
            </w:r>
            <w:r w:rsidR="000E70A7">
              <w:rPr>
                <w:rFonts w:cs="Arial"/>
                <w:szCs w:val="24"/>
              </w:rPr>
              <w:t xml:space="preserve"> demand management plans if there is a s</w:t>
            </w:r>
            <w:r w:rsidRPr="003425A5">
              <w:rPr>
                <w:rFonts w:cs="Arial"/>
                <w:szCs w:val="24"/>
              </w:rPr>
              <w:t>hortage</w:t>
            </w:r>
            <w:r w:rsidR="000E70A7">
              <w:rPr>
                <w:rFonts w:cs="Arial"/>
                <w:szCs w:val="24"/>
              </w:rPr>
              <w:t xml:space="preserve"> and use needs to be further prioritised. </w:t>
            </w:r>
          </w:p>
          <w:p w14:paraId="34B3F2EB" w14:textId="77777777" w:rsidR="00B20F55" w:rsidRPr="003425A5" w:rsidRDefault="00B20F55" w:rsidP="003425A5">
            <w:pPr>
              <w:spacing w:before="40" w:after="40"/>
              <w:rPr>
                <w:rFonts w:cs="Arial"/>
                <w:i/>
                <w:color w:val="FF0000"/>
                <w:szCs w:val="24"/>
              </w:rPr>
            </w:pPr>
          </w:p>
          <w:p w14:paraId="6E2E95F0" w14:textId="77777777" w:rsidR="009D54C2" w:rsidRPr="00B20F55" w:rsidRDefault="0026417D" w:rsidP="009D54C2">
            <w:pPr>
              <w:pStyle w:val="ListParagraph"/>
              <w:numPr>
                <w:ilvl w:val="0"/>
                <w:numId w:val="6"/>
              </w:numPr>
              <w:spacing w:before="40" w:after="40"/>
              <w:rPr>
                <w:rFonts w:cs="Arial"/>
                <w:szCs w:val="24"/>
                <w:u w:val="single"/>
              </w:rPr>
            </w:pPr>
            <w:r w:rsidRPr="00B20F55">
              <w:rPr>
                <w:rFonts w:cs="Arial"/>
                <w:szCs w:val="24"/>
                <w:u w:val="single"/>
              </w:rPr>
              <w:t xml:space="preserve">cost-savings accruing to commissioners (NHS E, CCGs, other] </w:t>
            </w:r>
          </w:p>
          <w:p w14:paraId="1745ABD6" w14:textId="77777777" w:rsidR="00D45B8D" w:rsidRDefault="00D45B8D" w:rsidP="00D45B8D">
            <w:pPr>
              <w:spacing w:before="40" w:after="40"/>
              <w:rPr>
                <w:rFonts w:cs="Arial"/>
                <w:szCs w:val="24"/>
              </w:rPr>
            </w:pPr>
            <w:r>
              <w:rPr>
                <w:rFonts w:cs="Arial"/>
                <w:szCs w:val="24"/>
              </w:rPr>
              <w:t>Cost savings will acc</w:t>
            </w:r>
            <w:r w:rsidR="00E72F8C">
              <w:rPr>
                <w:rFonts w:cs="Arial"/>
                <w:szCs w:val="24"/>
              </w:rPr>
              <w:t>ru</w:t>
            </w:r>
            <w:r>
              <w:rPr>
                <w:rFonts w:cs="Arial"/>
                <w:szCs w:val="24"/>
              </w:rPr>
              <w:t xml:space="preserve">e predominantly to commissioners as immunoglobulin is a </w:t>
            </w:r>
            <w:r w:rsidR="00D01269">
              <w:rPr>
                <w:rFonts w:cs="Arial"/>
                <w:szCs w:val="24"/>
              </w:rPr>
              <w:t>pass-through</w:t>
            </w:r>
            <w:r>
              <w:rPr>
                <w:rFonts w:cs="Arial"/>
                <w:szCs w:val="24"/>
              </w:rPr>
              <w:t xml:space="preserve"> cost and saving made on use will </w:t>
            </w:r>
            <w:r w:rsidR="00D01269">
              <w:rPr>
                <w:rFonts w:cs="Arial"/>
                <w:szCs w:val="24"/>
              </w:rPr>
              <w:t>accrue to NHSE England.</w:t>
            </w:r>
          </w:p>
          <w:p w14:paraId="7D34F5C7" w14:textId="77777777" w:rsidR="00B20F55" w:rsidRPr="00D45B8D" w:rsidRDefault="00B20F55" w:rsidP="00D45B8D">
            <w:pPr>
              <w:spacing w:before="40" w:after="40"/>
              <w:rPr>
                <w:rFonts w:cs="Arial"/>
                <w:szCs w:val="24"/>
              </w:rPr>
            </w:pPr>
          </w:p>
          <w:p w14:paraId="2ED84ABC" w14:textId="77777777" w:rsidR="003425A5" w:rsidRDefault="003425A5" w:rsidP="003425A5">
            <w:pPr>
              <w:rPr>
                <w:rFonts w:cs="Arial"/>
                <w:szCs w:val="24"/>
              </w:rPr>
            </w:pPr>
            <w:r>
              <w:rPr>
                <w:rFonts w:cs="Arial"/>
                <w:szCs w:val="24"/>
              </w:rPr>
              <w:t>Likely to be associated financial benefits in both years due to more robust decision-making and better management of use of immunoglobulin.</w:t>
            </w:r>
          </w:p>
          <w:p w14:paraId="0B4020A7" w14:textId="77777777" w:rsidR="00B20F55" w:rsidRDefault="00B20F55" w:rsidP="003425A5">
            <w:pPr>
              <w:rPr>
                <w:rFonts w:cs="Arial"/>
                <w:szCs w:val="24"/>
              </w:rPr>
            </w:pPr>
          </w:p>
          <w:p w14:paraId="160F9D14" w14:textId="77777777" w:rsidR="003425A5" w:rsidRDefault="000E70A7" w:rsidP="003425A5">
            <w:pPr>
              <w:rPr>
                <w:rFonts w:cs="Arial"/>
                <w:szCs w:val="24"/>
              </w:rPr>
            </w:pPr>
            <w:r>
              <w:rPr>
                <w:rFonts w:cs="Arial"/>
                <w:szCs w:val="24"/>
              </w:rPr>
              <w:t xml:space="preserve">Savings: a fairly </w:t>
            </w:r>
            <w:r w:rsidRPr="003425A5">
              <w:rPr>
                <w:rFonts w:cs="Arial"/>
                <w:szCs w:val="24"/>
              </w:rPr>
              <w:t>conservative £</w:t>
            </w:r>
            <w:r w:rsidR="003425A5" w:rsidRPr="003425A5">
              <w:rPr>
                <w:rFonts w:cs="Arial"/>
                <w:szCs w:val="24"/>
              </w:rPr>
              <w:t>1</w:t>
            </w:r>
            <w:r>
              <w:rPr>
                <w:rFonts w:cs="Arial"/>
                <w:szCs w:val="24"/>
              </w:rPr>
              <w:t>2.5</w:t>
            </w:r>
            <w:r w:rsidR="003425A5" w:rsidRPr="003425A5">
              <w:rPr>
                <w:rFonts w:cs="Arial"/>
                <w:szCs w:val="24"/>
              </w:rPr>
              <w:t>m</w:t>
            </w:r>
            <w:r w:rsidR="00D45B8D">
              <w:rPr>
                <w:rFonts w:cs="Arial"/>
                <w:szCs w:val="24"/>
              </w:rPr>
              <w:t xml:space="preserve"> </w:t>
            </w:r>
            <w:r w:rsidR="00564AC2">
              <w:rPr>
                <w:rFonts w:cs="Arial"/>
                <w:szCs w:val="24"/>
              </w:rPr>
              <w:t xml:space="preserve">per </w:t>
            </w:r>
            <w:proofErr w:type="gramStart"/>
            <w:r w:rsidR="00564AC2">
              <w:rPr>
                <w:rFonts w:cs="Arial"/>
                <w:szCs w:val="24"/>
              </w:rPr>
              <w:t>annum</w:t>
            </w:r>
            <w:r w:rsidR="00D45B8D">
              <w:rPr>
                <w:rFonts w:cs="Arial"/>
                <w:szCs w:val="24"/>
              </w:rPr>
              <w:t xml:space="preserve"> </w:t>
            </w:r>
            <w:r w:rsidR="003425A5" w:rsidRPr="003425A5">
              <w:rPr>
                <w:rFonts w:cs="Arial"/>
                <w:szCs w:val="24"/>
              </w:rPr>
              <w:t xml:space="preserve"> i.e.</w:t>
            </w:r>
            <w:proofErr w:type="gramEnd"/>
            <w:r w:rsidR="003425A5" w:rsidRPr="003425A5">
              <w:rPr>
                <w:rFonts w:cs="Arial"/>
                <w:szCs w:val="24"/>
              </w:rPr>
              <w:t xml:space="preserve"> 5% reduction </w:t>
            </w:r>
            <w:r>
              <w:rPr>
                <w:rFonts w:cs="Arial"/>
                <w:szCs w:val="24"/>
              </w:rPr>
              <w:t xml:space="preserve">in </w:t>
            </w:r>
            <w:r w:rsidR="003425A5" w:rsidRPr="003425A5">
              <w:rPr>
                <w:rFonts w:cs="Arial"/>
                <w:szCs w:val="24"/>
              </w:rPr>
              <w:t xml:space="preserve">growth; </w:t>
            </w:r>
            <w:r>
              <w:rPr>
                <w:rFonts w:cs="Arial"/>
                <w:szCs w:val="24"/>
              </w:rPr>
              <w:t>as</w:t>
            </w:r>
            <w:r w:rsidR="003425A5" w:rsidRPr="003425A5">
              <w:rPr>
                <w:rFonts w:cs="Arial"/>
                <w:szCs w:val="24"/>
              </w:rPr>
              <w:t xml:space="preserve"> both usage</w:t>
            </w:r>
            <w:r w:rsidR="00D45B8D">
              <w:rPr>
                <w:rFonts w:cs="Arial"/>
                <w:szCs w:val="24"/>
              </w:rPr>
              <w:t xml:space="preserve"> (&lt;10%PA ) and prices (expected 10-15% in July 2019) are increasing, </w:t>
            </w:r>
            <w:r w:rsidR="003425A5" w:rsidRPr="003425A5">
              <w:rPr>
                <w:rFonts w:cs="Arial"/>
                <w:szCs w:val="24"/>
              </w:rPr>
              <w:t xml:space="preserve">savings </w:t>
            </w:r>
            <w:r w:rsidR="00D45B8D">
              <w:rPr>
                <w:rFonts w:cs="Arial"/>
                <w:szCs w:val="24"/>
              </w:rPr>
              <w:t>are expected to</w:t>
            </w:r>
            <w:r w:rsidR="003425A5" w:rsidRPr="003425A5">
              <w:rPr>
                <w:rFonts w:cs="Arial"/>
                <w:szCs w:val="24"/>
              </w:rPr>
              <w:t xml:space="preserve"> be greater. </w:t>
            </w:r>
          </w:p>
          <w:p w14:paraId="1D7B270A" w14:textId="77777777" w:rsidR="002479C6" w:rsidRDefault="002479C6" w:rsidP="003425A5">
            <w:pPr>
              <w:rPr>
                <w:rFonts w:cs="Arial"/>
                <w:szCs w:val="24"/>
              </w:rPr>
            </w:pPr>
          </w:p>
          <w:p w14:paraId="25F080D6" w14:textId="77777777" w:rsidR="002479C6" w:rsidRDefault="002479C6" w:rsidP="003425A5">
            <w:pPr>
              <w:rPr>
                <w:rFonts w:cs="Arial"/>
                <w:szCs w:val="24"/>
              </w:rPr>
            </w:pPr>
            <w:r>
              <w:rPr>
                <w:rFonts w:cs="Arial"/>
                <w:szCs w:val="24"/>
              </w:rPr>
              <w:t>See PSS9 Immunoglobulin Commissioning Guidance, which embedded here:</w:t>
            </w:r>
          </w:p>
          <w:p w14:paraId="4F904CB7" w14:textId="77777777" w:rsidR="002479C6" w:rsidRPr="003425A5" w:rsidRDefault="002479C6" w:rsidP="003425A5">
            <w:pPr>
              <w:rPr>
                <w:rFonts w:cs="Arial"/>
                <w:szCs w:val="24"/>
              </w:rPr>
            </w:pPr>
          </w:p>
          <w:p w14:paraId="29D6B04F" w14:textId="77777777" w:rsidR="00D01269" w:rsidRDefault="00F726C2" w:rsidP="0026417D">
            <w:pPr>
              <w:spacing w:before="40" w:after="40"/>
              <w:rPr>
                <w:rFonts w:cs="Arial"/>
                <w:i/>
                <w:color w:val="FF0000"/>
                <w:szCs w:val="24"/>
              </w:rPr>
            </w:pPr>
            <w:r w:rsidRPr="00F726C2">
              <w:rPr>
                <w:rFonts w:cs="Arial"/>
                <w:i/>
                <w:color w:val="FF0000"/>
                <w:szCs w:val="24"/>
              </w:rPr>
              <w:t xml:space="preserve"> </w:t>
            </w:r>
          </w:p>
          <w:p w14:paraId="06971CD3" w14:textId="77777777" w:rsidR="00D01269" w:rsidRDefault="002479C6" w:rsidP="0026417D">
            <w:pPr>
              <w:spacing w:before="40" w:after="40"/>
              <w:rPr>
                <w:rFonts w:cs="Arial"/>
                <w:i/>
                <w:color w:val="FF0000"/>
                <w:szCs w:val="24"/>
              </w:rPr>
            </w:pPr>
            <w:r>
              <w:rPr>
                <w:lang w:eastAsia="en-US"/>
              </w:rPr>
              <w:object w:dxaOrig="1591" w:dyaOrig="1036" w14:anchorId="37DBB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pt;height:51.45pt" o:ole="">
                  <v:imagedata r:id="rId14" o:title=""/>
                </v:shape>
                <o:OLEObject Type="Embed" ProgID="AcroExch.Document.DC" ShapeID="_x0000_i1025" DrawAspect="Icon" ObjectID="_1624110387" r:id="rId15"/>
              </w:object>
            </w:r>
          </w:p>
          <w:p w14:paraId="2A1F701D" w14:textId="77777777" w:rsidR="00D01269" w:rsidRPr="00F726C2" w:rsidRDefault="00D01269" w:rsidP="0026417D">
            <w:pPr>
              <w:spacing w:before="40" w:after="40"/>
              <w:rPr>
                <w:rFonts w:cs="Arial"/>
                <w:i/>
                <w:color w:val="FF0000"/>
                <w:szCs w:val="24"/>
              </w:rPr>
            </w:pPr>
          </w:p>
          <w:p w14:paraId="03EFCA41" w14:textId="77777777" w:rsidR="0026417D" w:rsidRDefault="0026417D" w:rsidP="004429A4">
            <w:pPr>
              <w:rPr>
                <w:rFonts w:cs="Arial"/>
                <w:i/>
                <w:color w:val="000000"/>
                <w:szCs w:val="24"/>
              </w:rPr>
            </w:pPr>
          </w:p>
        </w:tc>
      </w:tr>
      <w:tr w:rsidR="00C25612" w:rsidRPr="000412A1" w14:paraId="37CC728F" w14:textId="77777777" w:rsidTr="00C25612">
        <w:tc>
          <w:tcPr>
            <w:tcW w:w="5000" w:type="pct"/>
            <w:gridSpan w:val="2"/>
            <w:shd w:val="clear" w:color="auto" w:fill="D9D9D9" w:themeFill="background1" w:themeFillShade="D9"/>
          </w:tcPr>
          <w:p w14:paraId="0B7E2A34" w14:textId="77777777" w:rsidR="00C25612" w:rsidRPr="0026417D" w:rsidRDefault="00C25612" w:rsidP="001F6AA3">
            <w:pPr>
              <w:rPr>
                <w:rFonts w:cs="Arial"/>
                <w:b/>
                <w:color w:val="000000"/>
                <w:szCs w:val="24"/>
                <w:u w:val="single"/>
              </w:rPr>
            </w:pPr>
            <w:r>
              <w:rPr>
                <w:rFonts w:cs="Arial"/>
                <w:b/>
                <w:szCs w:val="24"/>
              </w:rPr>
              <w:t xml:space="preserve">D2. </w:t>
            </w:r>
            <w:r w:rsidR="001F421F">
              <w:rPr>
                <w:rFonts w:cs="Arial"/>
                <w:b/>
                <w:szCs w:val="24"/>
              </w:rPr>
              <w:t>Indicator</w:t>
            </w:r>
            <w:r>
              <w:rPr>
                <w:rFonts w:cs="Arial"/>
                <w:b/>
                <w:szCs w:val="24"/>
              </w:rPr>
              <w:t xml:space="preserve"> Duration and Exit Route</w:t>
            </w:r>
          </w:p>
        </w:tc>
      </w:tr>
      <w:tr w:rsidR="00C25612" w:rsidRPr="000412A1" w14:paraId="735D03D0" w14:textId="77777777" w:rsidTr="00234135">
        <w:tc>
          <w:tcPr>
            <w:tcW w:w="5000" w:type="pct"/>
            <w:gridSpan w:val="2"/>
            <w:shd w:val="clear" w:color="auto" w:fill="auto"/>
          </w:tcPr>
          <w:p w14:paraId="2275A68C" w14:textId="77777777"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5F96A722" w14:textId="77777777" w:rsidR="00B20F55" w:rsidRDefault="00B20F55" w:rsidP="001F6AA3">
            <w:pPr>
              <w:spacing w:before="40" w:after="40"/>
              <w:rPr>
                <w:rFonts w:cs="Arial"/>
                <w:i/>
                <w:color w:val="000000"/>
                <w:szCs w:val="24"/>
              </w:rPr>
            </w:pPr>
          </w:p>
          <w:p w14:paraId="3AABD622" w14:textId="77777777" w:rsidR="00D45B8D" w:rsidRPr="00D45B8D" w:rsidRDefault="00D45B8D" w:rsidP="001F6AA3">
            <w:pPr>
              <w:spacing w:before="40" w:after="40"/>
              <w:rPr>
                <w:rFonts w:cs="Arial"/>
                <w:szCs w:val="24"/>
              </w:rPr>
            </w:pPr>
            <w:r>
              <w:rPr>
                <w:rFonts w:cs="Arial"/>
                <w:szCs w:val="24"/>
              </w:rPr>
              <w:t xml:space="preserve">The duration of the CQUIN is set at two years to allow time to carry out all historic reviews of current patients and to embed practice.  After two years it is anticipated work load will reduce and alternative payment structures can be agreed at a local level.  </w:t>
            </w:r>
          </w:p>
          <w:p w14:paraId="5B95CD12" w14:textId="77777777" w:rsidR="00C25612" w:rsidRPr="0026417D" w:rsidRDefault="00C25612" w:rsidP="0026417D">
            <w:pPr>
              <w:rPr>
                <w:rFonts w:cs="Arial"/>
                <w:b/>
                <w:color w:val="000000"/>
                <w:szCs w:val="24"/>
                <w:u w:val="single"/>
              </w:rPr>
            </w:pPr>
          </w:p>
        </w:tc>
      </w:tr>
      <w:tr w:rsidR="00234135" w:rsidRPr="00BB243E" w14:paraId="54857A1D" w14:textId="77777777" w:rsidTr="002C4571">
        <w:tc>
          <w:tcPr>
            <w:tcW w:w="5000" w:type="pct"/>
            <w:gridSpan w:val="2"/>
            <w:shd w:val="clear" w:color="auto" w:fill="D9D9D9" w:themeFill="background1" w:themeFillShade="D9"/>
          </w:tcPr>
          <w:p w14:paraId="480B4424" w14:textId="77777777" w:rsidR="00234135" w:rsidRPr="00BB243E" w:rsidRDefault="00234135" w:rsidP="00162909">
            <w:pPr>
              <w:rPr>
                <w:rFonts w:eastAsiaTheme="minorEastAsia" w:cs="Arial"/>
                <w:b/>
                <w:szCs w:val="24"/>
              </w:rPr>
            </w:pPr>
            <w:r w:rsidRPr="00BB243E">
              <w:rPr>
                <w:rFonts w:eastAsiaTheme="minorEastAsia" w:cs="Arial"/>
                <w:b/>
                <w:szCs w:val="24"/>
              </w:rPr>
              <w:lastRenderedPageBreak/>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2570E632" w14:textId="77777777" w:rsidTr="00234135">
        <w:tc>
          <w:tcPr>
            <w:tcW w:w="5000" w:type="pct"/>
            <w:gridSpan w:val="2"/>
          </w:tcPr>
          <w:p w14:paraId="619EFF27" w14:textId="77777777" w:rsidR="00234135" w:rsidRPr="001F6AA3"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5220BBB2" w14:textId="77777777" w:rsidR="00564AC2" w:rsidRPr="00BC4EA9" w:rsidRDefault="00564AC2" w:rsidP="0084461B">
            <w:pPr>
              <w:rPr>
                <w:rFonts w:cs="Arial"/>
                <w:i/>
                <w:color w:val="FF0000"/>
                <w:szCs w:val="24"/>
              </w:rPr>
            </w:pPr>
          </w:p>
          <w:p w14:paraId="1C71CF9E" w14:textId="77777777" w:rsidR="007423DB" w:rsidRDefault="00CD403B" w:rsidP="007423DB">
            <w:pPr>
              <w:rPr>
                <w:rFonts w:cs="Arial"/>
                <w:szCs w:val="24"/>
              </w:rPr>
            </w:pPr>
            <w:r w:rsidRPr="00CD403B">
              <w:rPr>
                <w:rFonts w:cs="Arial"/>
                <w:szCs w:val="24"/>
              </w:rPr>
              <w:t xml:space="preserve">For all: a secretariat amount to cover Band </w:t>
            </w:r>
            <w:r w:rsidR="000E70A7">
              <w:rPr>
                <w:rFonts w:cs="Arial"/>
                <w:szCs w:val="24"/>
              </w:rPr>
              <w:t>6</w:t>
            </w:r>
            <w:r w:rsidRPr="00CD403B">
              <w:rPr>
                <w:rFonts w:cs="Arial"/>
                <w:szCs w:val="24"/>
              </w:rPr>
              <w:t xml:space="preserve"> admin co-ordinator and time for consultants input (Immunologist, neurologist and </w:t>
            </w:r>
            <w:r w:rsidR="00564AC2" w:rsidRPr="00CD403B">
              <w:rPr>
                <w:rFonts w:cs="Arial"/>
                <w:szCs w:val="24"/>
              </w:rPr>
              <w:t>haematologist) which</w:t>
            </w:r>
            <w:r w:rsidRPr="00CD403B">
              <w:rPr>
                <w:rFonts w:cs="Arial"/>
                <w:szCs w:val="24"/>
              </w:rPr>
              <w:t xml:space="preserve"> will be high in the first</w:t>
            </w:r>
            <w:r w:rsidR="00D45B8D">
              <w:rPr>
                <w:rFonts w:cs="Arial"/>
                <w:szCs w:val="24"/>
              </w:rPr>
              <w:t xml:space="preserve"> two </w:t>
            </w:r>
            <w:r w:rsidRPr="00CD403B">
              <w:rPr>
                <w:rFonts w:cs="Arial"/>
                <w:szCs w:val="24"/>
              </w:rPr>
              <w:t>year</w:t>
            </w:r>
            <w:r w:rsidR="00D45B8D">
              <w:rPr>
                <w:rFonts w:cs="Arial"/>
                <w:szCs w:val="24"/>
              </w:rPr>
              <w:t>s</w:t>
            </w:r>
            <w:r w:rsidRPr="00CD403B">
              <w:rPr>
                <w:rFonts w:cs="Arial"/>
                <w:szCs w:val="24"/>
              </w:rPr>
              <w:t xml:space="preserve"> </w:t>
            </w:r>
            <w:r w:rsidR="00564AC2">
              <w:rPr>
                <w:rFonts w:cs="Arial"/>
                <w:szCs w:val="24"/>
              </w:rPr>
              <w:t xml:space="preserve">whilst </w:t>
            </w:r>
            <w:r w:rsidRPr="00CD403B">
              <w:rPr>
                <w:rFonts w:cs="Arial"/>
                <w:szCs w:val="24"/>
              </w:rPr>
              <w:t xml:space="preserve">the reviews </w:t>
            </w:r>
            <w:r w:rsidR="00564AC2">
              <w:rPr>
                <w:rFonts w:cs="Arial"/>
                <w:szCs w:val="24"/>
              </w:rPr>
              <w:t>of existing patients are conducted</w:t>
            </w:r>
            <w:r w:rsidRPr="00CD403B">
              <w:rPr>
                <w:rFonts w:cs="Arial"/>
                <w:szCs w:val="24"/>
              </w:rPr>
              <w:t xml:space="preserve">. </w:t>
            </w:r>
          </w:p>
          <w:p w14:paraId="13CB595B" w14:textId="77777777" w:rsidR="000256D1" w:rsidRPr="00DE6972" w:rsidRDefault="000256D1" w:rsidP="000256D1">
            <w:pPr>
              <w:rPr>
                <w:rFonts w:eastAsiaTheme="minorEastAsia" w:cs="Arial"/>
                <w:szCs w:val="24"/>
              </w:rPr>
            </w:pPr>
          </w:p>
          <w:p w14:paraId="6A77BD0E" w14:textId="77777777" w:rsidR="000256D1" w:rsidRDefault="000256D1" w:rsidP="000256D1">
            <w:pPr>
              <w:rPr>
                <w:rFonts w:eastAsiaTheme="minorEastAsia" w:cs="Arial"/>
                <w:szCs w:val="24"/>
              </w:rPr>
            </w:pPr>
            <w:r>
              <w:rPr>
                <w:rFonts w:eastAsiaTheme="minorEastAsia" w:cs="Arial"/>
                <w:szCs w:val="24"/>
              </w:rPr>
              <w:t xml:space="preserve">Standard </w:t>
            </w:r>
            <w:r w:rsidRPr="00BE7C52">
              <w:rPr>
                <w:rFonts w:eastAsiaTheme="minorEastAsia" w:cs="Arial"/>
                <w:szCs w:val="24"/>
              </w:rPr>
              <w:t xml:space="preserve">Cost </w:t>
            </w:r>
            <w:r>
              <w:rPr>
                <w:rFonts w:eastAsiaTheme="minorEastAsia" w:cs="Arial"/>
                <w:szCs w:val="24"/>
              </w:rPr>
              <w:t xml:space="preserve">of </w:t>
            </w:r>
            <w:r w:rsidRPr="00BE7C52">
              <w:rPr>
                <w:rFonts w:eastAsiaTheme="minorEastAsia" w:cs="Arial"/>
                <w:szCs w:val="24"/>
              </w:rPr>
              <w:t xml:space="preserve">supporting panel </w:t>
            </w:r>
          </w:p>
          <w:tbl>
            <w:tblPr>
              <w:tblStyle w:val="TableGrid"/>
              <w:tblW w:w="0" w:type="auto"/>
              <w:tblLook w:val="04A0" w:firstRow="1" w:lastRow="0" w:firstColumn="1" w:lastColumn="0" w:noHBand="0" w:noVBand="1"/>
            </w:tblPr>
            <w:tblGrid>
              <w:gridCol w:w="3234"/>
              <w:gridCol w:w="3232"/>
              <w:gridCol w:w="3233"/>
            </w:tblGrid>
            <w:tr w:rsidR="000256D1" w14:paraId="3DFD46DC" w14:textId="77777777" w:rsidTr="0074749A">
              <w:tc>
                <w:tcPr>
                  <w:tcW w:w="3241" w:type="dxa"/>
                </w:tcPr>
                <w:p w14:paraId="10C6A01E" w14:textId="77777777" w:rsidR="000256D1" w:rsidRPr="00BE7C52" w:rsidRDefault="000256D1" w:rsidP="000256D1">
                  <w:pPr>
                    <w:rPr>
                      <w:rFonts w:eastAsiaTheme="minorEastAsia" w:cs="Arial"/>
                      <w:b/>
                      <w:szCs w:val="24"/>
                    </w:rPr>
                  </w:pPr>
                  <w:r w:rsidRPr="00BE7C52">
                    <w:rPr>
                      <w:rFonts w:eastAsiaTheme="minorEastAsia" w:cs="Arial"/>
                      <w:b/>
                      <w:szCs w:val="24"/>
                    </w:rPr>
                    <w:t>Staff</w:t>
                  </w:r>
                </w:p>
              </w:tc>
              <w:tc>
                <w:tcPr>
                  <w:tcW w:w="3241" w:type="dxa"/>
                </w:tcPr>
                <w:p w14:paraId="0B8B170E" w14:textId="77777777" w:rsidR="000256D1" w:rsidRPr="00BE7C52" w:rsidRDefault="000256D1" w:rsidP="000256D1">
                  <w:pPr>
                    <w:rPr>
                      <w:rFonts w:eastAsiaTheme="minorEastAsia" w:cs="Arial"/>
                      <w:b/>
                      <w:szCs w:val="24"/>
                    </w:rPr>
                  </w:pPr>
                  <w:r w:rsidRPr="00BE7C52">
                    <w:rPr>
                      <w:rFonts w:eastAsiaTheme="minorEastAsia" w:cs="Arial"/>
                      <w:b/>
                      <w:szCs w:val="24"/>
                    </w:rPr>
                    <w:t>Resource</w:t>
                  </w:r>
                </w:p>
              </w:tc>
              <w:tc>
                <w:tcPr>
                  <w:tcW w:w="3241" w:type="dxa"/>
                </w:tcPr>
                <w:p w14:paraId="612AD047" w14:textId="77777777" w:rsidR="000256D1" w:rsidRPr="00BE7C52" w:rsidRDefault="000256D1" w:rsidP="000256D1">
                  <w:pPr>
                    <w:rPr>
                      <w:rFonts w:eastAsiaTheme="minorEastAsia" w:cs="Arial"/>
                      <w:b/>
                      <w:szCs w:val="24"/>
                    </w:rPr>
                  </w:pPr>
                  <w:r>
                    <w:rPr>
                      <w:rFonts w:eastAsiaTheme="minorEastAsia" w:cs="Arial"/>
                      <w:b/>
                      <w:szCs w:val="24"/>
                    </w:rPr>
                    <w:t>Cost/Admin</w:t>
                  </w:r>
                </w:p>
              </w:tc>
            </w:tr>
            <w:tr w:rsidR="000256D1" w14:paraId="55D7F8F6" w14:textId="77777777" w:rsidTr="0074749A">
              <w:tc>
                <w:tcPr>
                  <w:tcW w:w="3241" w:type="dxa"/>
                </w:tcPr>
                <w:p w14:paraId="1F696A76" w14:textId="77777777" w:rsidR="000256D1" w:rsidRPr="00BE7C52" w:rsidRDefault="000256D1" w:rsidP="000256D1">
                  <w:pPr>
                    <w:rPr>
                      <w:rFonts w:eastAsiaTheme="minorEastAsia" w:cs="Arial"/>
                      <w:szCs w:val="24"/>
                    </w:rPr>
                  </w:pPr>
                  <w:r w:rsidRPr="00BE7C52">
                    <w:rPr>
                      <w:rFonts w:eastAsiaTheme="minorEastAsia" w:cs="Arial"/>
                      <w:szCs w:val="24"/>
                    </w:rPr>
                    <w:t>Chair</w:t>
                  </w:r>
                </w:p>
              </w:tc>
              <w:tc>
                <w:tcPr>
                  <w:tcW w:w="3241" w:type="dxa"/>
                </w:tcPr>
                <w:p w14:paraId="594E4CD6" w14:textId="77777777" w:rsidR="000256D1" w:rsidRPr="00BE7C52" w:rsidRDefault="000256D1" w:rsidP="000256D1">
                  <w:pPr>
                    <w:rPr>
                      <w:rFonts w:eastAsiaTheme="minorEastAsia" w:cs="Arial"/>
                      <w:szCs w:val="24"/>
                    </w:rPr>
                  </w:pPr>
                  <w:r w:rsidRPr="00BE7C52">
                    <w:rPr>
                      <w:rFonts w:eastAsiaTheme="minorEastAsia" w:cs="Arial"/>
                      <w:szCs w:val="24"/>
                    </w:rPr>
                    <w:t>0.5 PA/</w:t>
                  </w:r>
                  <w:proofErr w:type="spellStart"/>
                  <w:r w:rsidRPr="00BE7C52">
                    <w:rPr>
                      <w:rFonts w:eastAsiaTheme="minorEastAsia" w:cs="Arial"/>
                      <w:szCs w:val="24"/>
                    </w:rPr>
                    <w:t>wk</w:t>
                  </w:r>
                  <w:proofErr w:type="spellEnd"/>
                </w:p>
              </w:tc>
              <w:tc>
                <w:tcPr>
                  <w:tcW w:w="3241" w:type="dxa"/>
                </w:tcPr>
                <w:p w14:paraId="2254F849" w14:textId="77777777" w:rsidR="000256D1" w:rsidRPr="00BE7C52" w:rsidRDefault="000256D1" w:rsidP="000256D1">
                  <w:pPr>
                    <w:rPr>
                      <w:rFonts w:eastAsiaTheme="minorEastAsia" w:cs="Arial"/>
                      <w:szCs w:val="24"/>
                    </w:rPr>
                  </w:pPr>
                  <w:r>
                    <w:rPr>
                      <w:rFonts w:eastAsiaTheme="minorEastAsia" w:cs="Arial"/>
                      <w:szCs w:val="24"/>
                    </w:rPr>
                    <w:t>£6250</w:t>
                  </w:r>
                </w:p>
              </w:tc>
            </w:tr>
            <w:tr w:rsidR="000256D1" w:rsidRPr="00BE7C52" w14:paraId="5D846A7A" w14:textId="77777777" w:rsidTr="0074749A">
              <w:tc>
                <w:tcPr>
                  <w:tcW w:w="3241" w:type="dxa"/>
                </w:tcPr>
                <w:p w14:paraId="17CEDEDA" w14:textId="77777777" w:rsidR="000256D1" w:rsidRPr="00BE7C52" w:rsidRDefault="000256D1" w:rsidP="000256D1">
                  <w:pPr>
                    <w:rPr>
                      <w:rFonts w:eastAsiaTheme="minorEastAsia" w:cs="Arial"/>
                      <w:szCs w:val="24"/>
                    </w:rPr>
                  </w:pPr>
                  <w:r w:rsidRPr="00BE7C52">
                    <w:rPr>
                      <w:rFonts w:eastAsiaTheme="minorEastAsia" w:cs="Arial"/>
                      <w:szCs w:val="24"/>
                    </w:rPr>
                    <w:t>Neurologist</w:t>
                  </w:r>
                </w:p>
              </w:tc>
              <w:tc>
                <w:tcPr>
                  <w:tcW w:w="3241" w:type="dxa"/>
                </w:tcPr>
                <w:p w14:paraId="5590BC58" w14:textId="77777777" w:rsidR="000256D1" w:rsidRPr="00BE7C52" w:rsidRDefault="000256D1" w:rsidP="000256D1">
                  <w:pPr>
                    <w:rPr>
                      <w:rFonts w:eastAsiaTheme="minorEastAsia" w:cs="Arial"/>
                      <w:szCs w:val="24"/>
                    </w:rPr>
                  </w:pPr>
                  <w:r w:rsidRPr="00BE7C52">
                    <w:rPr>
                      <w:rFonts w:eastAsiaTheme="minorEastAsia" w:cs="Arial"/>
                      <w:szCs w:val="24"/>
                    </w:rPr>
                    <w:t>1.0PA/</w:t>
                  </w:r>
                  <w:proofErr w:type="spellStart"/>
                  <w:r w:rsidRPr="00BE7C52">
                    <w:rPr>
                      <w:rFonts w:eastAsiaTheme="minorEastAsia" w:cs="Arial"/>
                      <w:szCs w:val="24"/>
                    </w:rPr>
                    <w:t>wk</w:t>
                  </w:r>
                  <w:proofErr w:type="spellEnd"/>
                </w:p>
              </w:tc>
              <w:tc>
                <w:tcPr>
                  <w:tcW w:w="3241" w:type="dxa"/>
                </w:tcPr>
                <w:p w14:paraId="308F7FA7" w14:textId="77777777" w:rsidR="000256D1" w:rsidRPr="00BE7C52" w:rsidRDefault="000256D1" w:rsidP="000256D1">
                  <w:pPr>
                    <w:rPr>
                      <w:rFonts w:eastAsiaTheme="minorEastAsia" w:cs="Arial"/>
                      <w:szCs w:val="24"/>
                    </w:rPr>
                  </w:pPr>
                  <w:r>
                    <w:rPr>
                      <w:rFonts w:eastAsiaTheme="minorEastAsia" w:cs="Arial"/>
                      <w:szCs w:val="24"/>
                    </w:rPr>
                    <w:t>£12,500</w:t>
                  </w:r>
                </w:p>
              </w:tc>
            </w:tr>
            <w:tr w:rsidR="000256D1" w14:paraId="19BCC92B" w14:textId="77777777" w:rsidTr="0074749A">
              <w:tc>
                <w:tcPr>
                  <w:tcW w:w="3241" w:type="dxa"/>
                </w:tcPr>
                <w:p w14:paraId="24BE1565" w14:textId="77777777" w:rsidR="000256D1" w:rsidRPr="00BE7C52" w:rsidRDefault="000256D1" w:rsidP="000256D1">
                  <w:pPr>
                    <w:rPr>
                      <w:rFonts w:eastAsiaTheme="minorEastAsia" w:cs="Arial"/>
                      <w:szCs w:val="24"/>
                    </w:rPr>
                  </w:pPr>
                  <w:proofErr w:type="spellStart"/>
                  <w:r w:rsidRPr="00BE7C52">
                    <w:rPr>
                      <w:rFonts w:eastAsiaTheme="minorEastAsia" w:cs="Arial"/>
                      <w:szCs w:val="24"/>
                    </w:rPr>
                    <w:t>Haemotologist</w:t>
                  </w:r>
                  <w:proofErr w:type="spellEnd"/>
                </w:p>
              </w:tc>
              <w:tc>
                <w:tcPr>
                  <w:tcW w:w="3241" w:type="dxa"/>
                </w:tcPr>
                <w:p w14:paraId="6B085551" w14:textId="77777777" w:rsidR="000256D1" w:rsidRPr="00BE7C52" w:rsidRDefault="000256D1" w:rsidP="000256D1">
                  <w:pPr>
                    <w:rPr>
                      <w:rFonts w:eastAsiaTheme="minorEastAsia" w:cs="Arial"/>
                      <w:szCs w:val="24"/>
                    </w:rPr>
                  </w:pPr>
                  <w:r>
                    <w:rPr>
                      <w:rFonts w:eastAsiaTheme="minorEastAsia" w:cs="Arial"/>
                      <w:szCs w:val="24"/>
                    </w:rPr>
                    <w:t>1.0</w:t>
                  </w:r>
                  <w:r w:rsidRPr="00BE7C52">
                    <w:rPr>
                      <w:rFonts w:eastAsiaTheme="minorEastAsia" w:cs="Arial"/>
                      <w:szCs w:val="24"/>
                    </w:rPr>
                    <w:t xml:space="preserve"> PA/</w:t>
                  </w:r>
                  <w:proofErr w:type="spellStart"/>
                  <w:r>
                    <w:rPr>
                      <w:rFonts w:eastAsiaTheme="minorEastAsia" w:cs="Arial"/>
                      <w:szCs w:val="24"/>
                    </w:rPr>
                    <w:t>wk</w:t>
                  </w:r>
                  <w:proofErr w:type="spellEnd"/>
                </w:p>
              </w:tc>
              <w:tc>
                <w:tcPr>
                  <w:tcW w:w="3241" w:type="dxa"/>
                </w:tcPr>
                <w:p w14:paraId="7DC9BEE5" w14:textId="77777777" w:rsidR="000256D1" w:rsidRPr="00BE7C52" w:rsidRDefault="000256D1" w:rsidP="000256D1">
                  <w:pPr>
                    <w:rPr>
                      <w:rFonts w:eastAsiaTheme="minorEastAsia" w:cs="Arial"/>
                      <w:szCs w:val="24"/>
                    </w:rPr>
                  </w:pPr>
                  <w:r>
                    <w:rPr>
                      <w:rFonts w:eastAsiaTheme="minorEastAsia" w:cs="Arial"/>
                      <w:szCs w:val="24"/>
                    </w:rPr>
                    <w:t>£12,500</w:t>
                  </w:r>
                </w:p>
              </w:tc>
            </w:tr>
            <w:tr w:rsidR="000256D1" w14:paraId="3E76F038" w14:textId="77777777" w:rsidTr="0074749A">
              <w:tc>
                <w:tcPr>
                  <w:tcW w:w="3241" w:type="dxa"/>
                </w:tcPr>
                <w:p w14:paraId="7092BD43" w14:textId="77777777" w:rsidR="000256D1" w:rsidRPr="00BE7C52" w:rsidRDefault="000256D1" w:rsidP="000256D1">
                  <w:pPr>
                    <w:rPr>
                      <w:rFonts w:eastAsiaTheme="minorEastAsia" w:cs="Arial"/>
                      <w:szCs w:val="24"/>
                    </w:rPr>
                  </w:pPr>
                  <w:r w:rsidRPr="00BE7C52">
                    <w:rPr>
                      <w:rFonts w:eastAsiaTheme="minorEastAsia" w:cs="Arial"/>
                      <w:szCs w:val="24"/>
                    </w:rPr>
                    <w:t>Immunologist</w:t>
                  </w:r>
                </w:p>
              </w:tc>
              <w:tc>
                <w:tcPr>
                  <w:tcW w:w="3241" w:type="dxa"/>
                </w:tcPr>
                <w:p w14:paraId="1BF278EC" w14:textId="77777777" w:rsidR="000256D1" w:rsidRPr="00BE7C52" w:rsidRDefault="000256D1" w:rsidP="000256D1">
                  <w:pPr>
                    <w:rPr>
                      <w:rFonts w:eastAsiaTheme="minorEastAsia" w:cs="Arial"/>
                      <w:szCs w:val="24"/>
                    </w:rPr>
                  </w:pPr>
                  <w:r w:rsidRPr="00BE7C52">
                    <w:rPr>
                      <w:rFonts w:eastAsiaTheme="minorEastAsia" w:cs="Arial"/>
                      <w:szCs w:val="24"/>
                    </w:rPr>
                    <w:t>1.0 PA/</w:t>
                  </w:r>
                  <w:proofErr w:type="spellStart"/>
                  <w:r w:rsidRPr="00BE7C52">
                    <w:rPr>
                      <w:rFonts w:eastAsiaTheme="minorEastAsia" w:cs="Arial"/>
                      <w:szCs w:val="24"/>
                    </w:rPr>
                    <w:t>wk</w:t>
                  </w:r>
                  <w:proofErr w:type="spellEnd"/>
                </w:p>
              </w:tc>
              <w:tc>
                <w:tcPr>
                  <w:tcW w:w="3241" w:type="dxa"/>
                </w:tcPr>
                <w:p w14:paraId="6C9493AF" w14:textId="77777777" w:rsidR="000256D1" w:rsidRPr="00BE7C52" w:rsidRDefault="000256D1" w:rsidP="000256D1">
                  <w:pPr>
                    <w:rPr>
                      <w:rFonts w:eastAsiaTheme="minorEastAsia" w:cs="Arial"/>
                      <w:szCs w:val="24"/>
                    </w:rPr>
                  </w:pPr>
                  <w:r>
                    <w:rPr>
                      <w:rFonts w:eastAsiaTheme="minorEastAsia" w:cs="Arial"/>
                      <w:szCs w:val="24"/>
                    </w:rPr>
                    <w:t>£12,500</w:t>
                  </w:r>
                </w:p>
              </w:tc>
            </w:tr>
            <w:tr w:rsidR="000256D1" w14:paraId="1E16D233" w14:textId="77777777" w:rsidTr="0074749A">
              <w:tc>
                <w:tcPr>
                  <w:tcW w:w="3241" w:type="dxa"/>
                </w:tcPr>
                <w:p w14:paraId="35BDF019" w14:textId="77777777" w:rsidR="000256D1" w:rsidRPr="00BE7C52" w:rsidRDefault="000256D1" w:rsidP="000256D1">
                  <w:pPr>
                    <w:rPr>
                      <w:rFonts w:eastAsiaTheme="minorEastAsia" w:cs="Arial"/>
                      <w:szCs w:val="24"/>
                    </w:rPr>
                  </w:pPr>
                  <w:r w:rsidRPr="00BE7C52">
                    <w:rPr>
                      <w:rFonts w:eastAsiaTheme="minorEastAsia" w:cs="Arial"/>
                      <w:szCs w:val="24"/>
                    </w:rPr>
                    <w:t>Admin Support</w:t>
                  </w:r>
                  <w:r>
                    <w:rPr>
                      <w:rFonts w:eastAsiaTheme="minorEastAsia" w:cs="Arial"/>
                      <w:szCs w:val="24"/>
                    </w:rPr>
                    <w:t xml:space="preserve"> Band 6</w:t>
                  </w:r>
                </w:p>
              </w:tc>
              <w:tc>
                <w:tcPr>
                  <w:tcW w:w="3241" w:type="dxa"/>
                </w:tcPr>
                <w:p w14:paraId="2FA40E3A" w14:textId="77777777" w:rsidR="000256D1" w:rsidRPr="00BE7C52" w:rsidRDefault="000256D1" w:rsidP="000256D1">
                  <w:pPr>
                    <w:rPr>
                      <w:rFonts w:eastAsiaTheme="minorEastAsia" w:cs="Arial"/>
                      <w:szCs w:val="24"/>
                    </w:rPr>
                  </w:pPr>
                  <w:r w:rsidRPr="00BE7C52">
                    <w:rPr>
                      <w:rFonts w:eastAsiaTheme="minorEastAsia" w:cs="Arial"/>
                      <w:szCs w:val="24"/>
                    </w:rPr>
                    <w:t xml:space="preserve">1 </w:t>
                  </w:r>
                  <w:proofErr w:type="spellStart"/>
                  <w:r w:rsidRPr="00BE7C52">
                    <w:rPr>
                      <w:rFonts w:eastAsiaTheme="minorEastAsia" w:cs="Arial"/>
                      <w:szCs w:val="24"/>
                    </w:rPr>
                    <w:t>wte</w:t>
                  </w:r>
                  <w:proofErr w:type="spellEnd"/>
                  <w:r w:rsidRPr="00BE7C52">
                    <w:rPr>
                      <w:rFonts w:eastAsiaTheme="minorEastAsia" w:cs="Arial"/>
                      <w:szCs w:val="24"/>
                    </w:rPr>
                    <w:t xml:space="preserve"> </w:t>
                  </w:r>
                </w:p>
              </w:tc>
              <w:tc>
                <w:tcPr>
                  <w:tcW w:w="3241" w:type="dxa"/>
                </w:tcPr>
                <w:p w14:paraId="55596348" w14:textId="77777777" w:rsidR="000256D1" w:rsidRPr="00BE7C52" w:rsidRDefault="000256D1" w:rsidP="000256D1">
                  <w:pPr>
                    <w:rPr>
                      <w:rFonts w:eastAsiaTheme="minorEastAsia" w:cs="Arial"/>
                      <w:szCs w:val="24"/>
                    </w:rPr>
                  </w:pPr>
                  <w:r>
                    <w:rPr>
                      <w:rFonts w:eastAsiaTheme="minorEastAsia" w:cs="Arial"/>
                      <w:szCs w:val="24"/>
                    </w:rPr>
                    <w:t>£40,000</w:t>
                  </w:r>
                </w:p>
              </w:tc>
            </w:tr>
            <w:tr w:rsidR="000256D1" w14:paraId="4AE262E5" w14:textId="77777777" w:rsidTr="0074749A">
              <w:tc>
                <w:tcPr>
                  <w:tcW w:w="3241" w:type="dxa"/>
                </w:tcPr>
                <w:p w14:paraId="0AEC5942" w14:textId="77777777" w:rsidR="000256D1" w:rsidRDefault="000256D1" w:rsidP="000256D1">
                  <w:pPr>
                    <w:rPr>
                      <w:rFonts w:eastAsiaTheme="minorEastAsia" w:cs="Arial"/>
                      <w:szCs w:val="24"/>
                    </w:rPr>
                  </w:pPr>
                  <w:r w:rsidRPr="00DE6972">
                    <w:rPr>
                      <w:rFonts w:eastAsiaTheme="minorEastAsia" w:cs="Arial"/>
                      <w:szCs w:val="24"/>
                    </w:rPr>
                    <w:t>Specialist Pharmacist/</w:t>
                  </w:r>
                </w:p>
                <w:p w14:paraId="41856E60" w14:textId="77777777" w:rsidR="000256D1" w:rsidRPr="00DE6972" w:rsidRDefault="000256D1" w:rsidP="000256D1">
                  <w:pPr>
                    <w:rPr>
                      <w:rFonts w:eastAsiaTheme="minorEastAsia" w:cs="Arial"/>
                      <w:szCs w:val="24"/>
                    </w:rPr>
                  </w:pPr>
                  <w:r w:rsidRPr="00DE6972">
                    <w:rPr>
                      <w:rFonts w:eastAsiaTheme="minorEastAsia" w:cs="Arial"/>
                      <w:szCs w:val="24"/>
                    </w:rPr>
                    <w:t>Nurse</w:t>
                  </w:r>
                  <w:r>
                    <w:rPr>
                      <w:rFonts w:eastAsiaTheme="minorEastAsia" w:cs="Arial"/>
                      <w:szCs w:val="24"/>
                    </w:rPr>
                    <w:t xml:space="preserve"> Band 8A</w:t>
                  </w:r>
                </w:p>
              </w:tc>
              <w:tc>
                <w:tcPr>
                  <w:tcW w:w="3241" w:type="dxa"/>
                </w:tcPr>
                <w:p w14:paraId="479EF4F9" w14:textId="77777777" w:rsidR="000256D1" w:rsidRDefault="000256D1" w:rsidP="000256D1">
                  <w:pPr>
                    <w:rPr>
                      <w:rFonts w:eastAsiaTheme="minorEastAsia" w:cs="Arial"/>
                      <w:szCs w:val="24"/>
                      <w:u w:val="single"/>
                    </w:rPr>
                  </w:pPr>
                  <w:r>
                    <w:rPr>
                      <w:rFonts w:eastAsiaTheme="minorEastAsia" w:cs="Arial"/>
                      <w:szCs w:val="24"/>
                      <w:u w:val="single"/>
                    </w:rPr>
                    <w:t xml:space="preserve">0.2 </w:t>
                  </w:r>
                  <w:proofErr w:type="spellStart"/>
                  <w:r>
                    <w:rPr>
                      <w:rFonts w:eastAsiaTheme="minorEastAsia" w:cs="Arial"/>
                      <w:szCs w:val="24"/>
                      <w:u w:val="single"/>
                    </w:rPr>
                    <w:t>Wte</w:t>
                  </w:r>
                  <w:proofErr w:type="spellEnd"/>
                </w:p>
              </w:tc>
              <w:tc>
                <w:tcPr>
                  <w:tcW w:w="3241" w:type="dxa"/>
                </w:tcPr>
                <w:p w14:paraId="3AB04253" w14:textId="77777777" w:rsidR="000256D1" w:rsidRPr="00BE7C52" w:rsidRDefault="000256D1" w:rsidP="000256D1">
                  <w:pPr>
                    <w:rPr>
                      <w:rFonts w:eastAsiaTheme="minorEastAsia" w:cs="Arial"/>
                      <w:szCs w:val="24"/>
                    </w:rPr>
                  </w:pPr>
                  <w:r>
                    <w:rPr>
                      <w:rFonts w:eastAsiaTheme="minorEastAsia" w:cs="Arial"/>
                      <w:szCs w:val="24"/>
                    </w:rPr>
                    <w:t>£10,500</w:t>
                  </w:r>
                </w:p>
              </w:tc>
            </w:tr>
            <w:tr w:rsidR="000256D1" w14:paraId="06FA9976" w14:textId="77777777" w:rsidTr="0074749A">
              <w:tc>
                <w:tcPr>
                  <w:tcW w:w="3241" w:type="dxa"/>
                </w:tcPr>
                <w:p w14:paraId="6D9C8D39" w14:textId="77777777" w:rsidR="000256D1" w:rsidRDefault="000256D1" w:rsidP="000256D1">
                  <w:pPr>
                    <w:rPr>
                      <w:rFonts w:eastAsiaTheme="minorEastAsia" w:cs="Arial"/>
                      <w:szCs w:val="24"/>
                      <w:u w:val="single"/>
                    </w:rPr>
                  </w:pPr>
                </w:p>
              </w:tc>
              <w:tc>
                <w:tcPr>
                  <w:tcW w:w="3241" w:type="dxa"/>
                </w:tcPr>
                <w:p w14:paraId="4580CDB5" w14:textId="77777777" w:rsidR="000256D1" w:rsidRDefault="000256D1" w:rsidP="000256D1">
                  <w:pPr>
                    <w:rPr>
                      <w:rFonts w:eastAsiaTheme="minorEastAsia" w:cs="Arial"/>
                      <w:szCs w:val="24"/>
                      <w:u w:val="single"/>
                    </w:rPr>
                  </w:pPr>
                  <w:r>
                    <w:rPr>
                      <w:rFonts w:eastAsiaTheme="minorEastAsia" w:cs="Arial"/>
                      <w:szCs w:val="24"/>
                      <w:u w:val="single"/>
                    </w:rPr>
                    <w:t xml:space="preserve">Total </w:t>
                  </w:r>
                </w:p>
              </w:tc>
              <w:tc>
                <w:tcPr>
                  <w:tcW w:w="3241" w:type="dxa"/>
                </w:tcPr>
                <w:p w14:paraId="489F17AC" w14:textId="77777777" w:rsidR="000256D1" w:rsidRPr="00BE7C52" w:rsidRDefault="000256D1" w:rsidP="000256D1">
                  <w:pPr>
                    <w:rPr>
                      <w:rFonts w:eastAsiaTheme="minorEastAsia" w:cs="Arial"/>
                      <w:szCs w:val="24"/>
                    </w:rPr>
                  </w:pPr>
                  <w:r w:rsidRPr="00BE7C52">
                    <w:rPr>
                      <w:rFonts w:eastAsiaTheme="minorEastAsia" w:cs="Arial"/>
                      <w:szCs w:val="24"/>
                    </w:rPr>
                    <w:t>£</w:t>
                  </w:r>
                  <w:r>
                    <w:rPr>
                      <w:rFonts w:eastAsiaTheme="minorEastAsia" w:cs="Arial"/>
                      <w:szCs w:val="24"/>
                    </w:rPr>
                    <w:t>94,250</w:t>
                  </w:r>
                </w:p>
              </w:tc>
            </w:tr>
          </w:tbl>
          <w:p w14:paraId="675E05EE" w14:textId="77777777" w:rsidR="0026417D" w:rsidRPr="00BC4EA9" w:rsidRDefault="0026417D" w:rsidP="0084461B">
            <w:pPr>
              <w:rPr>
                <w:rFonts w:cs="Arial"/>
                <w:i/>
                <w:color w:val="FF0000"/>
                <w:szCs w:val="24"/>
              </w:rPr>
            </w:pPr>
          </w:p>
          <w:p w14:paraId="2FC17F8B" w14:textId="77777777" w:rsidR="00234135" w:rsidRDefault="00234135" w:rsidP="00564AC2">
            <w:pPr>
              <w:rPr>
                <w:rFonts w:eastAsiaTheme="minorEastAsia" w:cs="Arial"/>
                <w:szCs w:val="24"/>
              </w:rPr>
            </w:pPr>
          </w:p>
        </w:tc>
      </w:tr>
      <w:tr w:rsidR="0026417D" w:rsidRPr="00970018" w14:paraId="5AEF3822" w14:textId="77777777" w:rsidTr="004429A4">
        <w:tc>
          <w:tcPr>
            <w:tcW w:w="5000" w:type="pct"/>
            <w:gridSpan w:val="2"/>
            <w:shd w:val="clear" w:color="auto" w:fill="BFBFBF" w:themeFill="background1" w:themeFillShade="BF"/>
          </w:tcPr>
          <w:p w14:paraId="7A475866" w14:textId="77777777" w:rsidR="0026417D" w:rsidRPr="00970018" w:rsidRDefault="00970018" w:rsidP="004429A4">
            <w:pPr>
              <w:rPr>
                <w:rFonts w:cs="Arial"/>
                <w:b/>
                <w:szCs w:val="24"/>
              </w:rPr>
            </w:pPr>
            <w:r w:rsidRPr="00970018">
              <w:rPr>
                <w:rFonts w:cs="Arial"/>
                <w:b/>
                <w:szCs w:val="24"/>
              </w:rPr>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3C2BF9D8" w14:textId="77777777" w:rsidTr="00234135">
        <w:tc>
          <w:tcPr>
            <w:tcW w:w="5000" w:type="pct"/>
            <w:gridSpan w:val="2"/>
          </w:tcPr>
          <w:p w14:paraId="11C24A7B"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0A4F7224" w14:textId="77777777" w:rsidR="00B20F55" w:rsidRDefault="00B20F55" w:rsidP="0026417D">
            <w:pPr>
              <w:rPr>
                <w:rFonts w:cs="Arial"/>
                <w:szCs w:val="24"/>
              </w:rPr>
            </w:pPr>
          </w:p>
          <w:p w14:paraId="5E4B934B" w14:textId="77777777" w:rsidR="00D01269" w:rsidRPr="00D01269" w:rsidRDefault="00D01269" w:rsidP="0026417D">
            <w:pPr>
              <w:rPr>
                <w:rFonts w:cs="Arial"/>
                <w:szCs w:val="24"/>
              </w:rPr>
            </w:pPr>
            <w:r>
              <w:rPr>
                <w:rFonts w:cs="Arial"/>
                <w:szCs w:val="24"/>
              </w:rPr>
              <w:t xml:space="preserve">CMU data will be used to determine if there is a decrease in growth/usage. </w:t>
            </w:r>
            <w:r w:rsidRPr="00D01269">
              <w:rPr>
                <w:rFonts w:cs="Arial"/>
                <w:szCs w:val="24"/>
              </w:rPr>
              <w:t>CMU data and MDSAS immunoglobulin database information will be compared for variation of sa</w:t>
            </w:r>
            <w:r>
              <w:rPr>
                <w:rFonts w:cs="Arial"/>
                <w:szCs w:val="24"/>
              </w:rPr>
              <w:t xml:space="preserve">les data against usage data.  </w:t>
            </w:r>
            <w:r w:rsidR="00A24D14">
              <w:rPr>
                <w:rFonts w:cs="Arial"/>
                <w:szCs w:val="24"/>
              </w:rPr>
              <w:t>C</w:t>
            </w:r>
            <w:r>
              <w:rPr>
                <w:rFonts w:cs="Arial"/>
                <w:szCs w:val="24"/>
              </w:rPr>
              <w:t xml:space="preserve">urrent trends in usage in certain conditions will be monitored for changes in practice against current MDSAS baseline data.  </w:t>
            </w:r>
          </w:p>
          <w:p w14:paraId="5AE48A43" w14:textId="77777777" w:rsidR="0026417D" w:rsidRPr="00BB243E" w:rsidRDefault="0026417D" w:rsidP="0084461B">
            <w:pPr>
              <w:rPr>
                <w:rFonts w:cs="Arial"/>
                <w:szCs w:val="24"/>
              </w:rPr>
            </w:pPr>
          </w:p>
        </w:tc>
      </w:tr>
      <w:tr w:rsidR="004429A4" w:rsidRPr="000412A1" w14:paraId="617DF938" w14:textId="77777777" w:rsidTr="004429A4">
        <w:trPr>
          <w:trHeight w:val="135"/>
        </w:trPr>
        <w:tc>
          <w:tcPr>
            <w:tcW w:w="1377" w:type="pct"/>
            <w:shd w:val="clear" w:color="auto" w:fill="D9D9D9" w:themeFill="background1" w:themeFillShade="D9"/>
          </w:tcPr>
          <w:p w14:paraId="566C0C22" w14:textId="77777777" w:rsidR="004429A4" w:rsidRPr="0026417D" w:rsidRDefault="004429A4" w:rsidP="0026417D">
            <w:pPr>
              <w:rPr>
                <w:rFonts w:cs="Arial"/>
                <w:b/>
                <w:szCs w:val="24"/>
                <w:u w:val="single"/>
              </w:rPr>
            </w:pPr>
            <w:r>
              <w:rPr>
                <w:rFonts w:cs="Arial"/>
                <w:b/>
                <w:szCs w:val="24"/>
                <w:u w:val="single"/>
              </w:rPr>
              <w:t>Information for Evaluation</w:t>
            </w:r>
          </w:p>
        </w:tc>
        <w:tc>
          <w:tcPr>
            <w:tcW w:w="3623" w:type="pct"/>
          </w:tcPr>
          <w:p w14:paraId="0131E69A" w14:textId="77777777" w:rsidR="004429A4" w:rsidRDefault="004429A4" w:rsidP="004429A4">
            <w:pPr>
              <w:rPr>
                <w:rFonts w:cs="Arial"/>
                <w:i/>
                <w:color w:val="FF0000"/>
                <w:szCs w:val="24"/>
              </w:rPr>
            </w:pPr>
            <w:r w:rsidRPr="00BC4EA9">
              <w:rPr>
                <w:rFonts w:cs="Arial"/>
                <w:i/>
                <w:color w:val="FF0000"/>
                <w:szCs w:val="24"/>
              </w:rPr>
              <w:t>[Information flows required for evaluation should be referenced here, building on those set out at C5]</w:t>
            </w:r>
          </w:p>
          <w:p w14:paraId="50F40DEB" w14:textId="77777777" w:rsidR="00D01269" w:rsidRDefault="00D01269" w:rsidP="004429A4">
            <w:pPr>
              <w:rPr>
                <w:rFonts w:cs="Arial"/>
                <w:i/>
                <w:color w:val="FF0000"/>
                <w:szCs w:val="24"/>
              </w:rPr>
            </w:pPr>
          </w:p>
          <w:p w14:paraId="6C693D38" w14:textId="77777777" w:rsidR="00D01269" w:rsidRDefault="00D01269" w:rsidP="00D01269">
            <w:pPr>
              <w:pStyle w:val="ListParagraph"/>
              <w:numPr>
                <w:ilvl w:val="0"/>
                <w:numId w:val="17"/>
              </w:numPr>
              <w:rPr>
                <w:rFonts w:cs="Arial"/>
                <w:szCs w:val="24"/>
              </w:rPr>
            </w:pPr>
            <w:r w:rsidRPr="00D01269">
              <w:rPr>
                <w:rFonts w:cs="Arial"/>
                <w:szCs w:val="24"/>
              </w:rPr>
              <w:t>MD</w:t>
            </w:r>
            <w:r w:rsidR="00A24D14">
              <w:rPr>
                <w:rFonts w:cs="Arial"/>
                <w:szCs w:val="24"/>
              </w:rPr>
              <w:t>S</w:t>
            </w:r>
            <w:r w:rsidRPr="00D01269">
              <w:rPr>
                <w:rFonts w:cs="Arial"/>
                <w:szCs w:val="24"/>
              </w:rPr>
              <w:t>AS database report</w:t>
            </w:r>
            <w:r w:rsidR="00A24D14">
              <w:rPr>
                <w:rFonts w:cs="Arial"/>
                <w:szCs w:val="24"/>
              </w:rPr>
              <w:t>s</w:t>
            </w:r>
          </w:p>
          <w:p w14:paraId="52CACDCF" w14:textId="77777777" w:rsidR="00D01269" w:rsidRDefault="00D01269" w:rsidP="00D01269">
            <w:pPr>
              <w:pStyle w:val="ListParagraph"/>
              <w:numPr>
                <w:ilvl w:val="0"/>
                <w:numId w:val="17"/>
              </w:numPr>
              <w:rPr>
                <w:rFonts w:cs="Arial"/>
                <w:szCs w:val="24"/>
              </w:rPr>
            </w:pPr>
            <w:r>
              <w:rPr>
                <w:rFonts w:cs="Arial"/>
                <w:szCs w:val="24"/>
              </w:rPr>
              <w:t>CMU usage data</w:t>
            </w:r>
          </w:p>
          <w:p w14:paraId="78033B42" w14:textId="77777777" w:rsidR="00D01269" w:rsidRDefault="00D01269" w:rsidP="00D01269">
            <w:pPr>
              <w:pStyle w:val="ListParagraph"/>
              <w:numPr>
                <w:ilvl w:val="0"/>
                <w:numId w:val="17"/>
              </w:numPr>
              <w:rPr>
                <w:rFonts w:cs="Arial"/>
                <w:szCs w:val="24"/>
              </w:rPr>
            </w:pPr>
            <w:r>
              <w:rPr>
                <w:rFonts w:cs="Arial"/>
                <w:szCs w:val="24"/>
              </w:rPr>
              <w:t xml:space="preserve">MDSAS Trust level reports </w:t>
            </w:r>
          </w:p>
          <w:p w14:paraId="33A19AE6" w14:textId="77777777" w:rsidR="00D01269" w:rsidRDefault="00D01269" w:rsidP="00D01269">
            <w:pPr>
              <w:pStyle w:val="ListParagraph"/>
              <w:numPr>
                <w:ilvl w:val="0"/>
                <w:numId w:val="17"/>
              </w:numPr>
              <w:rPr>
                <w:rFonts w:cs="Arial"/>
                <w:szCs w:val="24"/>
              </w:rPr>
            </w:pPr>
            <w:r>
              <w:rPr>
                <w:rFonts w:cs="Arial"/>
                <w:szCs w:val="24"/>
              </w:rPr>
              <w:t>SRIAPs Membership list.</w:t>
            </w:r>
          </w:p>
          <w:p w14:paraId="77A52294" w14:textId="77777777" w:rsidR="00D01269" w:rsidRPr="00D01269" w:rsidRDefault="00D01269" w:rsidP="00A24D14">
            <w:pPr>
              <w:pStyle w:val="ListParagraph"/>
              <w:rPr>
                <w:rFonts w:cs="Arial"/>
                <w:szCs w:val="24"/>
              </w:rPr>
            </w:pPr>
          </w:p>
        </w:tc>
      </w:tr>
      <w:tr w:rsidR="004429A4" w:rsidRPr="000412A1" w14:paraId="4EA1719B" w14:textId="77777777" w:rsidTr="004429A4">
        <w:trPr>
          <w:trHeight w:val="135"/>
        </w:trPr>
        <w:tc>
          <w:tcPr>
            <w:tcW w:w="1377" w:type="pct"/>
            <w:shd w:val="clear" w:color="auto" w:fill="D9D9D9" w:themeFill="background1" w:themeFillShade="D9"/>
          </w:tcPr>
          <w:p w14:paraId="02FE208E" w14:textId="77777777"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14:paraId="007DCDA8" w14:textId="77777777" w:rsidR="004429A4" w:rsidRPr="00BC4EA9" w:rsidRDefault="004429A4" w:rsidP="0026417D">
            <w:pPr>
              <w:rPr>
                <w:rFonts w:cs="Arial"/>
                <w:color w:val="FF0000"/>
                <w:szCs w:val="24"/>
                <w:u w:val="single"/>
              </w:rPr>
            </w:pPr>
          </w:p>
        </w:tc>
      </w:tr>
    </w:tbl>
    <w:p w14:paraId="450EA2D7" w14:textId="77777777" w:rsidR="006B2327" w:rsidRDefault="006B2327" w:rsidP="00154269">
      <w:pPr>
        <w:rPr>
          <w:rFonts w:cs="Arial"/>
          <w:b/>
          <w:szCs w:val="24"/>
        </w:rPr>
      </w:pPr>
    </w:p>
    <w:p w14:paraId="3DD355C9" w14:textId="77777777" w:rsidR="006B2327" w:rsidRDefault="006B2327" w:rsidP="00154269">
      <w:pPr>
        <w:rPr>
          <w:rFonts w:cs="Arial"/>
          <w:b/>
          <w:szCs w:val="24"/>
        </w:rPr>
      </w:pPr>
    </w:p>
    <w:p w14:paraId="1A81F0B1" w14:textId="77777777" w:rsidR="005931C4" w:rsidRDefault="005931C4" w:rsidP="006F038B">
      <w:pPr>
        <w:rPr>
          <w:rFonts w:cs="Arial"/>
          <w:b/>
          <w:i/>
          <w:szCs w:val="24"/>
        </w:rPr>
      </w:pPr>
    </w:p>
    <w:p w14:paraId="717AAFBA" w14:textId="77777777" w:rsidR="005931C4" w:rsidRPr="006F038B" w:rsidRDefault="005931C4" w:rsidP="006F038B">
      <w:pPr>
        <w:rPr>
          <w:rFonts w:cs="Arial"/>
          <w:b/>
          <w:i/>
          <w:szCs w:val="24"/>
        </w:rPr>
      </w:pPr>
    </w:p>
    <w:sectPr w:rsidR="005931C4" w:rsidRPr="006F038B" w:rsidSect="006B2327">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EB2C" w14:textId="77777777" w:rsidR="002560DD" w:rsidRDefault="002560DD" w:rsidP="00AD55CE">
      <w:r>
        <w:separator/>
      </w:r>
    </w:p>
  </w:endnote>
  <w:endnote w:type="continuationSeparator" w:id="0">
    <w:p w14:paraId="121FD38A" w14:textId="77777777" w:rsidR="002560DD" w:rsidRDefault="002560DD"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457559"/>
      <w:docPartObj>
        <w:docPartGallery w:val="Page Numbers (Bottom of Page)"/>
        <w:docPartUnique/>
      </w:docPartObj>
    </w:sdtPr>
    <w:sdtEndPr>
      <w:rPr>
        <w:noProof/>
      </w:rPr>
    </w:sdtEndPr>
    <w:sdtContent>
      <w:p w14:paraId="0FC61732" w14:textId="77777777" w:rsidR="00E72F8C" w:rsidRDefault="00E72F8C">
        <w:pPr>
          <w:pStyle w:val="Footer"/>
          <w:jc w:val="center"/>
        </w:pPr>
        <w:r>
          <w:fldChar w:fldCharType="begin"/>
        </w:r>
        <w:r>
          <w:instrText xml:space="preserve"> PAGE   \* MERGEFORMAT </w:instrText>
        </w:r>
        <w:r>
          <w:fldChar w:fldCharType="separate"/>
        </w:r>
        <w:r w:rsidR="002479C6">
          <w:rPr>
            <w:noProof/>
          </w:rPr>
          <w:t>8</w:t>
        </w:r>
        <w:r>
          <w:rPr>
            <w:noProof/>
          </w:rPr>
          <w:fldChar w:fldCharType="end"/>
        </w:r>
      </w:p>
    </w:sdtContent>
  </w:sdt>
  <w:p w14:paraId="0F2F1B40" w14:textId="77777777" w:rsidR="008B3F20" w:rsidRDefault="008B3F20" w:rsidP="008B3F20">
    <w:pPr>
      <w:pStyle w:val="Footer"/>
      <w:rPr>
        <w:sz w:val="16"/>
        <w:szCs w:val="16"/>
        <w:lang w:val="en-US"/>
      </w:rPr>
    </w:pPr>
    <w:r w:rsidRPr="00805D9C">
      <w:rPr>
        <w:sz w:val="16"/>
        <w:szCs w:val="16"/>
        <w:lang w:val="en-US"/>
      </w:rPr>
      <w:t>NHS England and NHS Improvement – Working together for the NHS</w:t>
    </w:r>
  </w:p>
  <w:p w14:paraId="3F89EC23" w14:textId="77777777" w:rsidR="008B3F20" w:rsidRPr="00805D9C" w:rsidRDefault="008B3F20" w:rsidP="008B3F20">
    <w:pPr>
      <w:pStyle w:val="Footer"/>
      <w:rPr>
        <w:color w:val="00B0F0"/>
        <w:sz w:val="16"/>
        <w:szCs w:val="16"/>
        <w:lang w:val="en-US"/>
      </w:rPr>
    </w:pPr>
    <w:r w:rsidRPr="00805D9C">
      <w:rPr>
        <w:color w:val="00B0F0"/>
        <w:sz w:val="16"/>
        <w:szCs w:val="16"/>
        <w:lang w:val="en-US"/>
      </w:rPr>
      <w:t>March 2019</w:t>
    </w:r>
  </w:p>
  <w:p w14:paraId="3C251356" w14:textId="77777777" w:rsidR="008B3F20" w:rsidRPr="00805D9C" w:rsidRDefault="008B3F20" w:rsidP="008B3F20">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7532" w14:textId="77777777" w:rsidR="002560DD" w:rsidRDefault="002560DD" w:rsidP="00AD55CE">
      <w:r>
        <w:separator/>
      </w:r>
    </w:p>
  </w:footnote>
  <w:footnote w:type="continuationSeparator" w:id="0">
    <w:p w14:paraId="07F023C8" w14:textId="77777777" w:rsidR="002560DD" w:rsidRDefault="002560DD"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D96" w14:textId="77777777" w:rsidR="00191B56" w:rsidRDefault="007B26CF">
    <w:pPr>
      <w:pStyle w:val="Header"/>
    </w:pPr>
    <w:r>
      <w:rPr>
        <w:noProof/>
      </w:rPr>
      <w:pict w14:anchorId="1D2C3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76938" o:spid="_x0000_s2150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48EE" w14:textId="77777777" w:rsidR="002560DD" w:rsidRDefault="002560DD" w:rsidP="00AD55C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5498" w14:textId="77777777" w:rsidR="00191B56" w:rsidRDefault="007B26CF">
    <w:pPr>
      <w:pStyle w:val="Header"/>
    </w:pPr>
    <w:r>
      <w:rPr>
        <w:noProof/>
      </w:rPr>
      <w:pict w14:anchorId="6A666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76937" o:spid="_x0000_s2150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6075"/>
    <w:multiLevelType w:val="hybridMultilevel"/>
    <w:tmpl w:val="575E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C7933"/>
    <w:multiLevelType w:val="hybridMultilevel"/>
    <w:tmpl w:val="EFE2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F6C0FED"/>
    <w:multiLevelType w:val="hybridMultilevel"/>
    <w:tmpl w:val="542A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D4F6D"/>
    <w:multiLevelType w:val="hybridMultilevel"/>
    <w:tmpl w:val="25324662"/>
    <w:lvl w:ilvl="0" w:tplc="3EC8E508">
      <w:numFmt w:val="bullet"/>
      <w:lvlText w:val="•"/>
      <w:lvlJc w:val="left"/>
      <w:pPr>
        <w:ind w:left="360" w:hanging="72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25ABA"/>
    <w:multiLevelType w:val="hybridMultilevel"/>
    <w:tmpl w:val="0B86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F5B4B"/>
    <w:multiLevelType w:val="hybridMultilevel"/>
    <w:tmpl w:val="0DD4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F0363"/>
    <w:multiLevelType w:val="hybridMultilevel"/>
    <w:tmpl w:val="3366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17C89"/>
    <w:multiLevelType w:val="hybridMultilevel"/>
    <w:tmpl w:val="77E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B63B8"/>
    <w:multiLevelType w:val="hybridMultilevel"/>
    <w:tmpl w:val="8E5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2"/>
  </w:num>
  <w:num w:numId="5">
    <w:abstractNumId w:val="1"/>
  </w:num>
  <w:num w:numId="6">
    <w:abstractNumId w:val="15"/>
  </w:num>
  <w:num w:numId="7">
    <w:abstractNumId w:val="9"/>
  </w:num>
  <w:num w:numId="8">
    <w:abstractNumId w:val="0"/>
  </w:num>
  <w:num w:numId="9">
    <w:abstractNumId w:val="17"/>
  </w:num>
  <w:num w:numId="10">
    <w:abstractNumId w:val="4"/>
  </w:num>
  <w:num w:numId="11">
    <w:abstractNumId w:val="6"/>
  </w:num>
  <w:num w:numId="12">
    <w:abstractNumId w:val="2"/>
  </w:num>
  <w:num w:numId="13">
    <w:abstractNumId w:val="16"/>
  </w:num>
  <w:num w:numId="14">
    <w:abstractNumId w:val="13"/>
  </w:num>
  <w:num w:numId="15">
    <w:abstractNumId w:val="10"/>
  </w:num>
  <w:num w:numId="16">
    <w:abstractNumId w:val="3"/>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1507"/>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146A0"/>
    <w:rsid w:val="00023708"/>
    <w:rsid w:val="000256D1"/>
    <w:rsid w:val="00052447"/>
    <w:rsid w:val="000D576D"/>
    <w:rsid w:val="000E33C9"/>
    <w:rsid w:val="000E70A7"/>
    <w:rsid w:val="000F3C6A"/>
    <w:rsid w:val="001350E0"/>
    <w:rsid w:val="00150AC8"/>
    <w:rsid w:val="00154269"/>
    <w:rsid w:val="00156CD6"/>
    <w:rsid w:val="00162909"/>
    <w:rsid w:val="00182AEF"/>
    <w:rsid w:val="00191B56"/>
    <w:rsid w:val="00196689"/>
    <w:rsid w:val="001D7FA9"/>
    <w:rsid w:val="001F421F"/>
    <w:rsid w:val="001F6AA3"/>
    <w:rsid w:val="00234135"/>
    <w:rsid w:val="002479C6"/>
    <w:rsid w:val="002560DD"/>
    <w:rsid w:val="0026417D"/>
    <w:rsid w:val="00292053"/>
    <w:rsid w:val="002C4571"/>
    <w:rsid w:val="0031186A"/>
    <w:rsid w:val="00326B23"/>
    <w:rsid w:val="003425A5"/>
    <w:rsid w:val="0034775E"/>
    <w:rsid w:val="003759F0"/>
    <w:rsid w:val="003A0C63"/>
    <w:rsid w:val="004429A4"/>
    <w:rsid w:val="00454AEA"/>
    <w:rsid w:val="004B2DC0"/>
    <w:rsid w:val="004B784D"/>
    <w:rsid w:val="004E377A"/>
    <w:rsid w:val="00512E30"/>
    <w:rsid w:val="0053771A"/>
    <w:rsid w:val="00564AC2"/>
    <w:rsid w:val="0057313B"/>
    <w:rsid w:val="005931C4"/>
    <w:rsid w:val="006165B2"/>
    <w:rsid w:val="00641B20"/>
    <w:rsid w:val="00650494"/>
    <w:rsid w:val="00683026"/>
    <w:rsid w:val="006B2327"/>
    <w:rsid w:val="006D1775"/>
    <w:rsid w:val="006D7411"/>
    <w:rsid w:val="006E093D"/>
    <w:rsid w:val="006F038B"/>
    <w:rsid w:val="007423DB"/>
    <w:rsid w:val="007A6D69"/>
    <w:rsid w:val="007B26CF"/>
    <w:rsid w:val="00822294"/>
    <w:rsid w:val="00825DF1"/>
    <w:rsid w:val="0084461B"/>
    <w:rsid w:val="008511B9"/>
    <w:rsid w:val="008711A8"/>
    <w:rsid w:val="008B3F20"/>
    <w:rsid w:val="009105F1"/>
    <w:rsid w:val="009620EA"/>
    <w:rsid w:val="00970018"/>
    <w:rsid w:val="00970BD6"/>
    <w:rsid w:val="00980681"/>
    <w:rsid w:val="009D54C2"/>
    <w:rsid w:val="009F3F45"/>
    <w:rsid w:val="00A24D14"/>
    <w:rsid w:val="00A261DF"/>
    <w:rsid w:val="00A336AB"/>
    <w:rsid w:val="00A37140"/>
    <w:rsid w:val="00A536ED"/>
    <w:rsid w:val="00A86F6B"/>
    <w:rsid w:val="00A95BE1"/>
    <w:rsid w:val="00AC13A9"/>
    <w:rsid w:val="00AD55CE"/>
    <w:rsid w:val="00B0183E"/>
    <w:rsid w:val="00B20F55"/>
    <w:rsid w:val="00B33B72"/>
    <w:rsid w:val="00B43461"/>
    <w:rsid w:val="00B63290"/>
    <w:rsid w:val="00B77154"/>
    <w:rsid w:val="00B82D71"/>
    <w:rsid w:val="00B86BBB"/>
    <w:rsid w:val="00B96F6E"/>
    <w:rsid w:val="00BB243E"/>
    <w:rsid w:val="00BC4EA9"/>
    <w:rsid w:val="00BE7C52"/>
    <w:rsid w:val="00C00C64"/>
    <w:rsid w:val="00C0210F"/>
    <w:rsid w:val="00C042DA"/>
    <w:rsid w:val="00C25612"/>
    <w:rsid w:val="00C60578"/>
    <w:rsid w:val="00CA40CD"/>
    <w:rsid w:val="00CD403B"/>
    <w:rsid w:val="00CE3553"/>
    <w:rsid w:val="00CE6D28"/>
    <w:rsid w:val="00CF3963"/>
    <w:rsid w:val="00D01269"/>
    <w:rsid w:val="00D45B8D"/>
    <w:rsid w:val="00D46AE5"/>
    <w:rsid w:val="00D516FF"/>
    <w:rsid w:val="00D54163"/>
    <w:rsid w:val="00D57413"/>
    <w:rsid w:val="00D95C75"/>
    <w:rsid w:val="00DB0494"/>
    <w:rsid w:val="00DD5521"/>
    <w:rsid w:val="00DE6972"/>
    <w:rsid w:val="00E17A0D"/>
    <w:rsid w:val="00E332D8"/>
    <w:rsid w:val="00E72F8C"/>
    <w:rsid w:val="00E81AE2"/>
    <w:rsid w:val="00E97B27"/>
    <w:rsid w:val="00EB47F7"/>
    <w:rsid w:val="00EC3C9D"/>
    <w:rsid w:val="00F42905"/>
    <w:rsid w:val="00F506AC"/>
    <w:rsid w:val="00F726C2"/>
    <w:rsid w:val="00F97E78"/>
    <w:rsid w:val="00FA33DF"/>
    <w:rsid w:val="00FE3AEC"/>
    <w:rsid w:val="00FE575E"/>
    <w:rsid w:val="42E2B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7"/>
    <o:shapelayout v:ext="edit">
      <o:idmap v:ext="edit" data="1"/>
    </o:shapelayout>
  </w:shapeDefaults>
  <w:decimalSymbol w:val="."/>
  <w:listSeparator w:val=","/>
  <w14:docId w14:val="28132E2D"/>
  <w15:docId w15:val="{46F83F88-E398-4D91-8344-0F884041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0EA"/>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UnresolvedMention">
    <w:name w:val="Unresolved Mention"/>
    <w:basedOn w:val="DefaultParagraphFont"/>
    <w:uiPriority w:val="99"/>
    <w:semiHidden/>
    <w:unhideWhenUsed/>
    <w:rsid w:val="00B434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579901511">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coster@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K57F673QWXRZ-1522804672-261</_dlc_DocId>
    <_dlc_DocIdUrl xmlns="cccaf3ac-2de9-44d4-aa31-54302fceb5f7">
      <Url>https://nhsengland.sharepoint.com/TeamCentre/Operations/SpecialisedCommissioning/TWA/Contracting/contracting1920/_layouts/15/DocIdRedir.aspx?ID=K57F673QWXRZ-1522804672-261</Url>
      <Description>K57F673QWXRZ-1522804672-261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97E8-10A2-488C-934C-54EE1F4A30B3}">
  <ds:schemaRefs>
    <ds:schemaRef ds:uri="http://schemas.microsoft.com/sharepoint/v3/contenttype/forms"/>
  </ds:schemaRefs>
</ds:datastoreItem>
</file>

<file path=customXml/itemProps2.xml><?xml version="1.0" encoding="utf-8"?>
<ds:datastoreItem xmlns:ds="http://schemas.openxmlformats.org/officeDocument/2006/customXml" ds:itemID="{B4729228-3E39-48C8-AD7C-AED5B91899B0}">
  <ds:schemaRefs>
    <ds:schemaRef ds:uri="http://schemas.microsoft.com/sharepoint/events"/>
  </ds:schemaRefs>
</ds:datastoreItem>
</file>

<file path=customXml/itemProps3.xml><?xml version="1.0" encoding="utf-8"?>
<ds:datastoreItem xmlns:ds="http://schemas.openxmlformats.org/officeDocument/2006/customXml" ds:itemID="{EF2C140E-01FC-4364-B35B-6048B409F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215AF-1526-4AAF-A20C-BBE37D997BAC}">
  <ds:schemaRefs>
    <ds:schemaRef ds:uri="http://schemas.microsoft.com/office/2006/metadata/properties"/>
    <ds:schemaRef ds:uri="http://schemas.microsoft.com/office/infopath/2007/PartnerControls"/>
    <ds:schemaRef ds:uri="cccaf3ac-2de9-44d4-aa31-54302fceb5f7"/>
  </ds:schemaRefs>
</ds:datastoreItem>
</file>

<file path=customXml/itemProps5.xml><?xml version="1.0" encoding="utf-8"?>
<ds:datastoreItem xmlns:ds="http://schemas.openxmlformats.org/officeDocument/2006/customXml" ds:itemID="{CD1FCC3A-549C-416D-AB26-FAF5D979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2148</Words>
  <Characters>12250</Characters>
  <Application>Microsoft Office Word</Application>
  <DocSecurity>0</DocSecurity>
  <Lines>102</Lines>
  <Paragraphs>28</Paragraphs>
  <ScaleCrop>false</ScaleCrop>
  <Company>IMS3</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Towers, Jennifer</cp:lastModifiedBy>
  <cp:revision>6</cp:revision>
  <dcterms:created xsi:type="dcterms:W3CDTF">2019-03-05T10:50:00Z</dcterms:created>
  <dcterms:modified xsi:type="dcterms:W3CDTF">2019-07-08T16:00:00Z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53c41661-09f8-45fe-9c28-2759f5ebc2d4</vt:lpwstr>
  </property>
</Properties>
</file>