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8B70" w14:textId="11DA5F9E" w:rsidR="2AE8FF4E" w:rsidRDefault="2AE8FF4E" w:rsidP="2AE8FF4E">
      <w:pPr>
        <w:spacing w:before="1" w:after="200"/>
        <w:rPr>
          <w:sz w:val="13"/>
          <w:szCs w:val="13"/>
        </w:rPr>
      </w:pPr>
    </w:p>
    <w:p w14:paraId="4B8F67BB" w14:textId="77777777" w:rsidR="008634D4" w:rsidRDefault="008634D4" w:rsidP="00522961">
      <w:pPr>
        <w:spacing w:before="1"/>
        <w:rPr>
          <w:sz w:val="13"/>
          <w:szCs w:val="13"/>
        </w:rPr>
      </w:pPr>
    </w:p>
    <w:p w14:paraId="52441612" w14:textId="1615F74D" w:rsidR="1C82C6D9" w:rsidRPr="003A739E" w:rsidRDefault="00EC5F7F" w:rsidP="00D319C0">
      <w:pPr>
        <w:tabs>
          <w:tab w:val="left" w:pos="8277"/>
        </w:tabs>
        <w:spacing w:after="200"/>
        <w:jc w:val="right"/>
        <w:rPr>
          <w:rFonts w:cs="Arial"/>
          <w:b/>
          <w:color w:val="0072C6"/>
          <w:sz w:val="32"/>
          <w:szCs w:val="32"/>
        </w:rPr>
      </w:pPr>
      <w:r>
        <w:rPr>
          <w:noProof/>
        </w:rPr>
        <w:drawing>
          <wp:inline distT="0" distB="0" distL="0" distR="0" wp14:anchorId="21A42853" wp14:editId="1F7BC29F">
            <wp:extent cx="1066800" cy="845185"/>
            <wp:effectExtent l="0" t="0" r="0" b="0"/>
            <wp:docPr id="813308623" name="Picture 1" descr="C:\Users\lwhitehead\AppData\Local\Microsoft\Windows\Temporary Internet Files\Content.Outlook\VPMD9SCK\NHS England logo_NHS 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6800" cy="845185"/>
                    </a:xfrm>
                    <a:prstGeom prst="rect">
                      <a:avLst/>
                    </a:prstGeom>
                  </pic:spPr>
                </pic:pic>
              </a:graphicData>
            </a:graphic>
          </wp:inline>
        </w:drawing>
      </w:r>
    </w:p>
    <w:p w14:paraId="7597EE85" w14:textId="39AF3C10" w:rsidR="004F596F" w:rsidRPr="00DD6586" w:rsidRDefault="00BB5836" w:rsidP="00695AF4">
      <w:pPr>
        <w:pStyle w:val="Heading1"/>
      </w:pPr>
      <w:r>
        <w:t>Clinical</w:t>
      </w:r>
      <w:r w:rsidR="00633DB7">
        <w:t xml:space="preserve"> Commissioning Policy </w:t>
      </w:r>
      <w:r>
        <w:br/>
      </w:r>
      <w:r w:rsidR="00C42B1E">
        <w:t xml:space="preserve">Tenofovir alafenamide for treatment of HIV 1 in adults and adolescents </w:t>
      </w:r>
    </w:p>
    <w:p w14:paraId="2EE07094" w14:textId="2BA3F2AE" w:rsidR="004F596F" w:rsidRDefault="009E29B9" w:rsidP="0029242E">
      <w:pPr>
        <w:pStyle w:val="Heading2"/>
      </w:pPr>
      <w:bookmarkStart w:id="0" w:name="_Toc457384245"/>
      <w:bookmarkStart w:id="1" w:name="_Toc458520720"/>
      <w:r>
        <w:t xml:space="preserve">Policy </w:t>
      </w:r>
      <w:bookmarkEnd w:id="0"/>
      <w:bookmarkEnd w:id="1"/>
      <w:r>
        <w:t>statement</w:t>
      </w:r>
    </w:p>
    <w:p w14:paraId="4538C6BA" w14:textId="1C6E0976" w:rsidR="0059704C" w:rsidRPr="00C873C9" w:rsidRDefault="00AD5902" w:rsidP="4D691557">
      <w:pPr>
        <w:pStyle w:val="Paragraph"/>
        <w:rPr>
          <w:rFonts w:eastAsiaTheme="minorEastAsia"/>
          <w:lang w:eastAsia="en-GB"/>
        </w:rPr>
      </w:pPr>
      <w:bookmarkStart w:id="2" w:name="_Toc457384246"/>
      <w:bookmarkStart w:id="3" w:name="_Toc458520721"/>
      <w:r w:rsidRPr="00AD5902">
        <w:rPr>
          <w:rFonts w:eastAsiaTheme="minorEastAsia"/>
          <w:lang w:eastAsia="en-GB"/>
        </w:rPr>
        <w:t xml:space="preserve">NHS England will commission tenofovir alafenamide for </w:t>
      </w:r>
      <w:r w:rsidR="003E073F">
        <w:rPr>
          <w:rFonts w:eastAsiaTheme="minorEastAsia"/>
          <w:lang w:eastAsia="en-GB"/>
        </w:rPr>
        <w:t>Human Immuno</w:t>
      </w:r>
      <w:r w:rsidR="00530D51">
        <w:rPr>
          <w:rFonts w:eastAsiaTheme="minorEastAsia"/>
          <w:lang w:eastAsia="en-GB"/>
        </w:rPr>
        <w:t>def</w:t>
      </w:r>
      <w:r w:rsidR="008C1C8A">
        <w:rPr>
          <w:rFonts w:eastAsiaTheme="minorEastAsia"/>
          <w:lang w:eastAsia="en-GB"/>
        </w:rPr>
        <w:t>iciency Virus type 1 (</w:t>
      </w:r>
      <w:r w:rsidRPr="00AD5902">
        <w:rPr>
          <w:rFonts w:eastAsiaTheme="minorEastAsia"/>
          <w:lang w:eastAsia="en-GB"/>
        </w:rPr>
        <w:t>HIV</w:t>
      </w:r>
      <w:r w:rsidR="008C1C8A">
        <w:rPr>
          <w:rFonts w:eastAsiaTheme="minorEastAsia"/>
          <w:lang w:eastAsia="en-GB"/>
        </w:rPr>
        <w:t>-</w:t>
      </w:r>
      <w:r w:rsidRPr="00AD5902">
        <w:rPr>
          <w:rFonts w:eastAsiaTheme="minorEastAsia"/>
          <w:lang w:eastAsia="en-GB"/>
        </w:rPr>
        <w:t>1</w:t>
      </w:r>
      <w:r w:rsidR="008C1C8A">
        <w:rPr>
          <w:rFonts w:eastAsiaTheme="minorEastAsia"/>
          <w:lang w:eastAsia="en-GB"/>
        </w:rPr>
        <w:t>)</w:t>
      </w:r>
      <w:r w:rsidR="00EC52F5">
        <w:rPr>
          <w:rFonts w:eastAsiaTheme="minorEastAsia"/>
          <w:lang w:eastAsia="en-GB"/>
        </w:rPr>
        <w:t xml:space="preserve"> treatment</w:t>
      </w:r>
      <w:r w:rsidRPr="00AD5902">
        <w:rPr>
          <w:rFonts w:eastAsiaTheme="minorEastAsia"/>
          <w:lang w:eastAsia="en-GB"/>
        </w:rPr>
        <w:t xml:space="preserve"> in adults and adolescents in accordance with the criteria outlined in this document</w:t>
      </w:r>
      <w:r w:rsidR="00462712">
        <w:rPr>
          <w:rFonts w:eastAsiaTheme="minorEastAsia"/>
          <w:lang w:eastAsia="en-GB"/>
        </w:rPr>
        <w:t xml:space="preserve"> </w:t>
      </w:r>
      <w:r w:rsidR="00462712" w:rsidRPr="00462712">
        <w:rPr>
          <w:rFonts w:eastAsiaTheme="minorEastAsia"/>
          <w:lang w:eastAsia="en-GB"/>
        </w:rPr>
        <w:t xml:space="preserve">and its marketing authorisation, as detailed in </w:t>
      </w:r>
      <w:hyperlink r:id="rId12" w:history="1">
        <w:r w:rsidR="0052792B" w:rsidRPr="00AA4972">
          <w:rPr>
            <w:rStyle w:val="Hyperlink"/>
            <w:rFonts w:eastAsiaTheme="minorEastAsia"/>
            <w:lang w:eastAsia="en-GB"/>
          </w:rPr>
          <w:t>https://www.medicines.org.uk/emc</w:t>
        </w:r>
      </w:hyperlink>
      <w:r w:rsidR="0052792B">
        <w:rPr>
          <w:rFonts w:eastAsiaTheme="minorEastAsia"/>
          <w:lang w:eastAsia="en-GB"/>
        </w:rPr>
        <w:t>.</w:t>
      </w:r>
      <w:r w:rsidRPr="00AD5902">
        <w:rPr>
          <w:rFonts w:eastAsiaTheme="minorEastAsia"/>
          <w:lang w:eastAsia="en-GB"/>
        </w:rPr>
        <w:t xml:space="preserve"> In creating this policy NHS England has reviewed this clinical condition and the options for its treatment. It has considered the place of this treatment in current clinical practice, whether scientific research has shown the treatment to be of benefit to patients, (including how any benefit is balanced against possible risks) and whether its use represents the best use of NHS resources. This policy document outlines the arrangements for funding of this treatment for the population in England.</w:t>
      </w:r>
      <w:r>
        <w:rPr>
          <w:rFonts w:eastAsiaTheme="minorEastAsia"/>
          <w:lang w:eastAsia="en-GB"/>
        </w:rPr>
        <w:t xml:space="preserve"> </w:t>
      </w:r>
    </w:p>
    <w:p w14:paraId="293790D9" w14:textId="1D5C0F11" w:rsidR="005A33F9" w:rsidRDefault="005A33F9" w:rsidP="0029242E">
      <w:pPr>
        <w:rPr>
          <w:rFonts w:eastAsiaTheme="minorEastAsia"/>
          <w:b/>
          <w:lang w:eastAsia="en-GB"/>
        </w:rPr>
      </w:pPr>
      <w:r w:rsidRPr="005A33F9">
        <w:rPr>
          <w:rFonts w:eastAsiaTheme="minorEastAsia"/>
          <w:b/>
          <w:lang w:eastAsia="en-GB"/>
        </w:rPr>
        <w:t>Equality statement</w:t>
      </w:r>
    </w:p>
    <w:p w14:paraId="05A096C1" w14:textId="77777777" w:rsidR="005A33F9" w:rsidRDefault="005A33F9" w:rsidP="0029242E">
      <w:r>
        <w:t xml:space="preserve">Promoting equality and addressing health inequalities are at the heart of NHS England’s values. Throughout the development of the policies and processes cited in this document, we have: </w:t>
      </w:r>
    </w:p>
    <w:p w14:paraId="7CC4133F" w14:textId="77777777" w:rsidR="005A33F9" w:rsidRDefault="005A33F9" w:rsidP="0029242E">
      <w:pPr>
        <w:pStyle w:val="ListParagraph"/>
        <w:numPr>
          <w:ilvl w:val="0"/>
          <w:numId w:val="12"/>
        </w:numPr>
      </w:pPr>
      <w:r>
        <w:t xml:space="preserve">Given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14:paraId="09234D61" w14:textId="201C4897" w:rsidR="005A33F9" w:rsidRDefault="005A33F9" w:rsidP="0029242E">
      <w:pPr>
        <w:pStyle w:val="ListParagraph"/>
        <w:numPr>
          <w:ilvl w:val="0"/>
          <w:numId w:val="12"/>
        </w:numPr>
      </w:pPr>
      <w:r>
        <w:t>Given regard to the need to reduce inequalities between patients in access to, and outcomes from healthcare services and to ensure services are provided in an integrated way where this might reduce health inequalities</w:t>
      </w:r>
      <w:r w:rsidR="003C7597">
        <w:t>.</w:t>
      </w:r>
    </w:p>
    <w:p w14:paraId="411E6C86" w14:textId="5BDC4354" w:rsidR="000479FE" w:rsidRPr="000479FE" w:rsidRDefault="005A33F9" w:rsidP="000F29D9">
      <w:pPr>
        <w:pStyle w:val="Heading2"/>
        <w:rPr>
          <w:rFonts w:eastAsiaTheme="minorEastAsia"/>
          <w:lang w:eastAsia="en-GB"/>
        </w:rPr>
      </w:pPr>
      <w:r>
        <w:rPr>
          <w:rFonts w:eastAsiaTheme="minorEastAsia"/>
          <w:lang w:eastAsia="en-GB"/>
        </w:rPr>
        <w:t>Plain language summary</w:t>
      </w:r>
    </w:p>
    <w:p w14:paraId="6B09786D" w14:textId="3C1FD321" w:rsidR="0081049D" w:rsidRDefault="00214016" w:rsidP="000479FE">
      <w:pPr>
        <w:pStyle w:val="Heading3"/>
        <w:spacing w:before="0"/>
        <w:rPr>
          <w:rFonts w:eastAsiaTheme="minorEastAsia"/>
          <w:lang w:eastAsia="en-GB"/>
        </w:rPr>
      </w:pPr>
      <w:r>
        <w:rPr>
          <w:rFonts w:eastAsiaTheme="minorEastAsia"/>
          <w:lang w:eastAsia="en-GB"/>
        </w:rPr>
        <w:t xml:space="preserve">Anti-retroviral therapy </w:t>
      </w:r>
    </w:p>
    <w:p w14:paraId="32068F9C" w14:textId="0C9E6B42" w:rsidR="00727E71" w:rsidRDefault="000E6A28" w:rsidP="00094D6C">
      <w:pPr>
        <w:rPr>
          <w:rFonts w:eastAsiaTheme="minorHAnsi"/>
        </w:rPr>
      </w:pPr>
      <w:r w:rsidRPr="000E6A28">
        <w:rPr>
          <w:rFonts w:eastAsiaTheme="minorHAnsi"/>
        </w:rPr>
        <w:t>Treating HIV with anti-retroviral therapy (ART) has transformed the outlook for people living with HIV. ART allows most people with HIV to live a normal life</w:t>
      </w:r>
      <w:r>
        <w:rPr>
          <w:rFonts w:eastAsiaTheme="minorHAnsi"/>
        </w:rPr>
        <w:t xml:space="preserve">, </w:t>
      </w:r>
      <w:r w:rsidRPr="000E6A28">
        <w:rPr>
          <w:rFonts w:eastAsiaTheme="minorHAnsi"/>
        </w:rPr>
        <w:t>with a normal life expectancy.</w:t>
      </w:r>
    </w:p>
    <w:p w14:paraId="348570D1" w14:textId="75097428" w:rsidR="005A0D3D" w:rsidRDefault="005A0D3D" w:rsidP="00094D6C">
      <w:r>
        <w:rPr>
          <w:rFonts w:eastAsiaTheme="minorHAnsi"/>
        </w:rPr>
        <w:t xml:space="preserve">As people </w:t>
      </w:r>
      <w:r w:rsidR="0060599C">
        <w:t>get older, some medical concerns become very important. These include:</w:t>
      </w:r>
    </w:p>
    <w:p w14:paraId="06BA0657" w14:textId="6227BB9B" w:rsidR="0060599C" w:rsidRDefault="00904D5F" w:rsidP="0060599C">
      <w:pPr>
        <w:pStyle w:val="ListParagraph"/>
        <w:numPr>
          <w:ilvl w:val="0"/>
          <w:numId w:val="29"/>
        </w:numPr>
        <w:rPr>
          <w:rFonts w:eastAsiaTheme="minorHAnsi"/>
        </w:rPr>
      </w:pPr>
      <w:r>
        <w:rPr>
          <w:rFonts w:eastAsiaTheme="minorHAnsi"/>
        </w:rPr>
        <w:t>Heart disease</w:t>
      </w:r>
    </w:p>
    <w:p w14:paraId="295518A7" w14:textId="2414B3CC" w:rsidR="00904D5F" w:rsidRDefault="00FB40B0" w:rsidP="0060599C">
      <w:pPr>
        <w:pStyle w:val="ListParagraph"/>
        <w:numPr>
          <w:ilvl w:val="0"/>
          <w:numId w:val="29"/>
        </w:numPr>
        <w:rPr>
          <w:rFonts w:eastAsiaTheme="minorHAnsi"/>
        </w:rPr>
      </w:pPr>
      <w:r>
        <w:rPr>
          <w:rFonts w:eastAsiaTheme="minorHAnsi"/>
        </w:rPr>
        <w:t>Kidney problems</w:t>
      </w:r>
    </w:p>
    <w:p w14:paraId="494260E4" w14:textId="466053B0" w:rsidR="00FB40B0" w:rsidRDefault="008A4146" w:rsidP="0060599C">
      <w:pPr>
        <w:pStyle w:val="ListParagraph"/>
        <w:numPr>
          <w:ilvl w:val="0"/>
          <w:numId w:val="29"/>
        </w:numPr>
        <w:rPr>
          <w:rFonts w:eastAsiaTheme="minorHAnsi"/>
        </w:rPr>
      </w:pPr>
      <w:r>
        <w:rPr>
          <w:rFonts w:eastAsiaTheme="minorHAnsi"/>
        </w:rPr>
        <w:t>Bone problems</w:t>
      </w:r>
    </w:p>
    <w:p w14:paraId="78776305" w14:textId="54401942" w:rsidR="00A359AA" w:rsidRPr="00A359AA" w:rsidRDefault="005C562D" w:rsidP="00A359AA">
      <w:pPr>
        <w:rPr>
          <w:rFonts w:eastAsiaTheme="minorHAnsi"/>
        </w:rPr>
      </w:pPr>
      <w:r w:rsidRPr="005C562D">
        <w:rPr>
          <w:rFonts w:eastAsiaTheme="minorHAnsi"/>
        </w:rPr>
        <w:t>Some HIV drugs have side effects that affect these medical problems which happen as people get older.</w:t>
      </w:r>
      <w:r w:rsidR="00602E32">
        <w:rPr>
          <w:rFonts w:eastAsiaTheme="minorHAnsi"/>
        </w:rPr>
        <w:t xml:space="preserve"> Until a cure is found, </w:t>
      </w:r>
      <w:r w:rsidR="001F2564">
        <w:rPr>
          <w:rFonts w:eastAsiaTheme="minorHAnsi"/>
        </w:rPr>
        <w:t>ART is a life-long treatment, with most people taking ART for decades.</w:t>
      </w:r>
      <w:r w:rsidR="003B1857">
        <w:rPr>
          <w:rFonts w:eastAsiaTheme="minorHAnsi"/>
        </w:rPr>
        <w:t xml:space="preserve"> This means it is very important to minimise the long-term side-effects</w:t>
      </w:r>
      <w:r w:rsidR="000E23F3">
        <w:rPr>
          <w:rFonts w:eastAsiaTheme="minorHAnsi"/>
        </w:rPr>
        <w:t>, and at the same time, make sure the ART is still effective.</w:t>
      </w:r>
    </w:p>
    <w:p w14:paraId="6150AD1F" w14:textId="70373B2A" w:rsidR="005A33F9" w:rsidRDefault="00BB7ADA" w:rsidP="0029242E">
      <w:pPr>
        <w:pStyle w:val="Heading3"/>
        <w:rPr>
          <w:rFonts w:eastAsiaTheme="minorEastAsia"/>
          <w:lang w:eastAsia="en-GB"/>
        </w:rPr>
      </w:pPr>
      <w:r>
        <w:rPr>
          <w:rFonts w:eastAsiaTheme="minorEastAsia"/>
          <w:lang w:eastAsia="en-GB"/>
        </w:rPr>
        <w:t xml:space="preserve">Tenofovir alafenamide </w:t>
      </w:r>
    </w:p>
    <w:p w14:paraId="5F7BFD68" w14:textId="606C5D94" w:rsidR="001F6E4D" w:rsidRDefault="00D15028" w:rsidP="00893747">
      <w:pPr>
        <w:rPr>
          <w:rFonts w:eastAsiaTheme="minorHAnsi"/>
        </w:rPr>
      </w:pPr>
      <w:r>
        <w:rPr>
          <w:rFonts w:eastAsiaTheme="minorHAnsi"/>
        </w:rPr>
        <w:lastRenderedPageBreak/>
        <w:t xml:space="preserve">An evidence review looked at how safe and effective </w:t>
      </w:r>
      <w:r w:rsidR="00F1532E">
        <w:rPr>
          <w:rFonts w:eastAsiaTheme="minorHAnsi"/>
        </w:rPr>
        <w:t>tenofovir alafenamide (or TAF) was.</w:t>
      </w:r>
      <w:r w:rsidR="005F7949">
        <w:rPr>
          <w:rFonts w:eastAsiaTheme="minorHAnsi"/>
        </w:rPr>
        <w:t xml:space="preserve"> Tenofovir alafenamide was </w:t>
      </w:r>
      <w:r w:rsidR="00CE3C77">
        <w:rPr>
          <w:rFonts w:eastAsiaTheme="minorHAnsi"/>
        </w:rPr>
        <w:t>compared to another drug called tenofovir disoproxil fumarate</w:t>
      </w:r>
      <w:r w:rsidR="00242654">
        <w:rPr>
          <w:rStyle w:val="FootnoteReference"/>
          <w:rFonts w:eastAsiaTheme="minorHAnsi"/>
        </w:rPr>
        <w:footnoteReference w:id="2"/>
      </w:r>
      <w:r w:rsidR="00CE3C77">
        <w:rPr>
          <w:rFonts w:eastAsiaTheme="minorHAnsi"/>
        </w:rPr>
        <w:t xml:space="preserve"> or TD</w:t>
      </w:r>
      <w:r w:rsidR="009A46E9">
        <w:rPr>
          <w:rFonts w:eastAsiaTheme="minorHAnsi"/>
        </w:rPr>
        <w:t>F</w:t>
      </w:r>
      <w:r w:rsidR="00CE3C77">
        <w:rPr>
          <w:rFonts w:eastAsiaTheme="minorHAnsi"/>
        </w:rPr>
        <w:t xml:space="preserve">. </w:t>
      </w:r>
      <w:r w:rsidR="004D418D">
        <w:rPr>
          <w:rFonts w:eastAsiaTheme="minorHAnsi"/>
        </w:rPr>
        <w:t xml:space="preserve">Like TDF, </w:t>
      </w:r>
      <w:r w:rsidR="000B4261" w:rsidRPr="000B4261">
        <w:rPr>
          <w:rFonts w:eastAsiaTheme="minorHAnsi"/>
        </w:rPr>
        <w:t>TAF is an effective drug. TAF appears to have a lower risk of kidney and bone side effects in the short-term. However, we do not know if it is lower in the long-term.</w:t>
      </w:r>
      <w:r w:rsidR="000B4261">
        <w:rPr>
          <w:rFonts w:eastAsiaTheme="minorHAnsi"/>
        </w:rPr>
        <w:t xml:space="preserve"> </w:t>
      </w:r>
    </w:p>
    <w:p w14:paraId="2CB43010" w14:textId="1EB3C90A" w:rsidR="00C23976" w:rsidRPr="00821B35" w:rsidRDefault="00F419FF" w:rsidP="00406689">
      <w:pPr>
        <w:rPr>
          <w:rFonts w:ascii="Segoe UI" w:hAnsi="Segoe UI" w:cs="Segoe UI"/>
          <w:sz w:val="18"/>
          <w:szCs w:val="18"/>
        </w:rPr>
      </w:pPr>
      <w:r>
        <w:rPr>
          <w:rFonts w:eastAsiaTheme="minorHAnsi"/>
        </w:rPr>
        <w:t xml:space="preserve">TAF is used in combination with other HIV drugs.  The evidence review </w:t>
      </w:r>
      <w:r w:rsidR="00AA3BDC">
        <w:rPr>
          <w:rFonts w:eastAsiaTheme="minorHAnsi"/>
        </w:rPr>
        <w:t xml:space="preserve">(conducted in 2016) evaluates the combination known as </w:t>
      </w:r>
      <w:r w:rsidR="001F6E4D" w:rsidRPr="001F6E4D">
        <w:rPr>
          <w:rFonts w:eastAsiaTheme="minorHAnsi"/>
        </w:rPr>
        <w:t xml:space="preserve">elvitegravir/cobicistat/emtricitabine/TAF or E/C/F/TAF with a review of cost. TAF is available in different fixed dose combinations with one or more additional HIV drugs.  </w:t>
      </w:r>
    </w:p>
    <w:p w14:paraId="451D521F" w14:textId="443424CD" w:rsidR="005A33F9" w:rsidRPr="005A33F9" w:rsidRDefault="005A33F9" w:rsidP="0029242E">
      <w:pPr>
        <w:pStyle w:val="Heading3"/>
        <w:rPr>
          <w:rFonts w:eastAsiaTheme="minorEastAsia"/>
          <w:color w:val="FF0000"/>
          <w:lang w:eastAsia="en-GB"/>
        </w:rPr>
      </w:pPr>
      <w:r w:rsidRPr="000479FE">
        <w:rPr>
          <w:rStyle w:val="Heading2Char"/>
          <w:rFonts w:eastAsiaTheme="minorEastAsia"/>
          <w:b/>
        </w:rPr>
        <w:t>What we have decided</w:t>
      </w:r>
      <w:r>
        <w:rPr>
          <w:rFonts w:eastAsiaTheme="minorEastAsia"/>
          <w:lang w:eastAsia="en-GB"/>
        </w:rPr>
        <w:t xml:space="preserve"> </w:t>
      </w:r>
    </w:p>
    <w:p w14:paraId="3448C930" w14:textId="786BA720" w:rsidR="005A33F9" w:rsidRDefault="005A33F9" w:rsidP="0029242E">
      <w:pPr>
        <w:rPr>
          <w:rFonts w:eastAsiaTheme="minorEastAsia"/>
          <w:lang w:eastAsia="en-GB"/>
        </w:rPr>
      </w:pPr>
      <w:r>
        <w:rPr>
          <w:rFonts w:eastAsiaTheme="minorEastAsia"/>
          <w:lang w:eastAsia="en-GB"/>
        </w:rPr>
        <w:t xml:space="preserve">NHS England has carefully reviewed the evidence </w:t>
      </w:r>
      <w:r w:rsidR="008253C4">
        <w:rPr>
          <w:rFonts w:eastAsiaTheme="minorEastAsia"/>
          <w:lang w:eastAsia="en-GB"/>
        </w:rPr>
        <w:t>for treatment of HIV-1 infection</w:t>
      </w:r>
      <w:r w:rsidR="006D0458">
        <w:rPr>
          <w:rFonts w:eastAsiaTheme="minorEastAsia"/>
          <w:lang w:eastAsia="en-GB"/>
        </w:rPr>
        <w:t xml:space="preserve"> in adults and adolescents</w:t>
      </w:r>
      <w:r w:rsidR="008253C4">
        <w:rPr>
          <w:rFonts w:eastAsiaTheme="minorEastAsia"/>
          <w:lang w:eastAsia="en-GB"/>
        </w:rPr>
        <w:t xml:space="preserve"> with tenofovir alafenamide. </w:t>
      </w:r>
      <w:r>
        <w:rPr>
          <w:rFonts w:eastAsiaTheme="minorEastAsia"/>
          <w:lang w:eastAsia="en-GB"/>
        </w:rPr>
        <w:t>We have concluded that there is enough evidence to make the treatment available at this time.</w:t>
      </w:r>
    </w:p>
    <w:p w14:paraId="4E9EDE34" w14:textId="3DA642D0" w:rsidR="00412D03" w:rsidRDefault="004F2DB3" w:rsidP="0029242E">
      <w:pPr>
        <w:pStyle w:val="Heading2"/>
        <w:rPr>
          <w:rFonts w:eastAsiaTheme="minorEastAsia"/>
          <w:lang w:eastAsia="en-GB"/>
        </w:rPr>
      </w:pPr>
      <w:r>
        <w:rPr>
          <w:rFonts w:eastAsiaTheme="minorEastAsia"/>
          <w:lang w:eastAsia="en-GB"/>
        </w:rPr>
        <w:t>Documents which have informed this policy</w:t>
      </w:r>
    </w:p>
    <w:p w14:paraId="662E4A3F" w14:textId="7082AB49" w:rsidR="00EE4BD4" w:rsidRPr="00EE4BD4" w:rsidRDefault="00EE4BD4" w:rsidP="00EE4BD4">
      <w:pPr>
        <w:pStyle w:val="ListParagraph"/>
        <w:numPr>
          <w:ilvl w:val="0"/>
          <w:numId w:val="32"/>
        </w:numPr>
        <w:rPr>
          <w:rFonts w:eastAsiaTheme="minorEastAsia"/>
          <w:lang w:eastAsia="en-GB"/>
        </w:rPr>
      </w:pPr>
      <w:r w:rsidRPr="00EE4BD4">
        <w:rPr>
          <w:rFonts w:eastAsiaTheme="minorEastAsia"/>
          <w:lang w:eastAsia="en-GB"/>
        </w:rPr>
        <w:t>B06/S/a Specialised Human Immunodeficiency Virus (HIV) Services (Adult) – service specification</w:t>
      </w:r>
    </w:p>
    <w:p w14:paraId="2E5E0552" w14:textId="136F7B93" w:rsidR="004F2DB3" w:rsidRDefault="00EE4BD4" w:rsidP="00EE4BD4">
      <w:pPr>
        <w:pStyle w:val="ListParagraph"/>
        <w:numPr>
          <w:ilvl w:val="0"/>
          <w:numId w:val="32"/>
        </w:numPr>
        <w:rPr>
          <w:rFonts w:eastAsiaTheme="minorEastAsia"/>
          <w:lang w:eastAsia="en-GB"/>
        </w:rPr>
      </w:pPr>
      <w:r w:rsidRPr="00EE4BD4">
        <w:rPr>
          <w:rFonts w:eastAsiaTheme="minorEastAsia"/>
          <w:lang w:eastAsia="en-GB"/>
        </w:rPr>
        <w:t>B06/S/b Specialised Human Immunodeficiency Virus (HIV) Services (Children) – service specification</w:t>
      </w:r>
    </w:p>
    <w:p w14:paraId="36E47319" w14:textId="48FB1943" w:rsidR="000829E1" w:rsidRPr="00EE4BD4" w:rsidRDefault="00112BC4" w:rsidP="00EE4BD4">
      <w:pPr>
        <w:pStyle w:val="ListParagraph"/>
        <w:numPr>
          <w:ilvl w:val="0"/>
          <w:numId w:val="32"/>
        </w:numPr>
        <w:rPr>
          <w:rFonts w:eastAsiaTheme="minorEastAsia"/>
          <w:lang w:eastAsia="en-GB"/>
        </w:rPr>
      </w:pPr>
      <w:r>
        <w:rPr>
          <w:rFonts w:eastAsiaTheme="minorEastAsia"/>
          <w:lang w:eastAsia="en-GB"/>
        </w:rPr>
        <w:t>Clinical commissioning policy: Reimbursement for the use of generic drugs for pre exposure prophylaxis (PrEP) for the prevention of HIV</w:t>
      </w:r>
      <w:r w:rsidR="00DA6E9D">
        <w:rPr>
          <w:rFonts w:eastAsiaTheme="minorEastAsia"/>
          <w:lang w:eastAsia="en-GB"/>
        </w:rPr>
        <w:t>.</w:t>
      </w:r>
    </w:p>
    <w:p w14:paraId="55DDE032" w14:textId="4752CD68" w:rsidR="008559D4" w:rsidRDefault="002D59D8" w:rsidP="0029242E">
      <w:pPr>
        <w:pStyle w:val="Heading2"/>
        <w:rPr>
          <w:rFonts w:eastAsiaTheme="minorEastAsia"/>
          <w:lang w:eastAsia="en-GB"/>
        </w:rPr>
      </w:pPr>
      <w:r>
        <w:rPr>
          <w:rFonts w:eastAsiaTheme="minorEastAsia"/>
          <w:lang w:eastAsia="en-GB"/>
        </w:rPr>
        <w:t>Introduction</w:t>
      </w:r>
    </w:p>
    <w:p w14:paraId="7771F985" w14:textId="48EAA1E1" w:rsidR="00CE36CC" w:rsidRPr="00BD0183" w:rsidRDefault="00CE36CC" w:rsidP="2C08CB12">
      <w:pPr>
        <w:spacing w:after="0"/>
        <w:textAlignment w:val="baseline"/>
        <w:rPr>
          <w:rFonts w:cs="Arial"/>
          <w:lang w:eastAsia="en-GB"/>
        </w:rPr>
      </w:pPr>
      <w:r w:rsidRPr="2C08CB12">
        <w:rPr>
          <w:rFonts w:cs="Arial"/>
          <w:lang w:eastAsia="en-GB"/>
        </w:rPr>
        <w:t xml:space="preserve">HIV treatment (antiretroviral therapy, ART) has improved greatly over the last two decades and standard of care now involves </w:t>
      </w:r>
      <w:r w:rsidR="00B154CC" w:rsidRPr="2C08CB12">
        <w:rPr>
          <w:rFonts w:cs="Arial"/>
          <w:lang w:eastAsia="en-GB"/>
        </w:rPr>
        <w:t>two or three drug agents</w:t>
      </w:r>
      <w:r w:rsidR="544881C9" w:rsidRPr="2C08CB12">
        <w:rPr>
          <w:rFonts w:cs="Arial"/>
          <w:lang w:eastAsia="en-GB"/>
        </w:rPr>
        <w:t>. Three drug options</w:t>
      </w:r>
      <w:r w:rsidRPr="2C08CB12">
        <w:rPr>
          <w:rFonts w:cs="Arial"/>
          <w:lang w:eastAsia="en-GB"/>
        </w:rPr>
        <w:t xml:space="preserve"> typically </w:t>
      </w:r>
      <w:r w:rsidR="28B43106" w:rsidRPr="2C08CB12">
        <w:rPr>
          <w:rFonts w:cs="Arial"/>
          <w:lang w:eastAsia="en-GB"/>
        </w:rPr>
        <w:t>include two</w:t>
      </w:r>
      <w:r w:rsidRPr="2C08CB12">
        <w:rPr>
          <w:rFonts w:cs="Arial"/>
          <w:lang w:eastAsia="en-GB"/>
        </w:rPr>
        <w:t xml:space="preserve"> nucleos(t)ide reverse transcriptase inhibitors (NRTIs) plus one of the following: a ritonavir/cobicistat-boosted protease inhibitor (PI/r), a non-nucleoside reverse transcriptase inhibitor </w:t>
      </w:r>
      <w:r w:rsidRPr="00BD0183">
        <w:rPr>
          <w:rFonts w:cs="Arial"/>
          <w:lang w:eastAsia="en-GB"/>
        </w:rPr>
        <w:t>(NNRTI) or an integrase inhibitor (INI).</w:t>
      </w:r>
      <w:r w:rsidR="008472AE" w:rsidRPr="00BD0183">
        <w:rPr>
          <w:rFonts w:cs="Arial"/>
          <w:lang w:eastAsia="en-GB"/>
        </w:rPr>
        <w:t xml:space="preserve"> Recommended two drug regimens include one NRTI with an INI or a PI/b.</w:t>
      </w:r>
    </w:p>
    <w:p w14:paraId="6A7E5C2C" w14:textId="77777777" w:rsidR="00CE36CC" w:rsidRPr="00BD0183" w:rsidRDefault="00CE36CC" w:rsidP="00CE36CC">
      <w:pPr>
        <w:spacing w:after="0"/>
        <w:textAlignment w:val="baseline"/>
        <w:rPr>
          <w:rFonts w:cs="Arial"/>
          <w:bCs w:val="0"/>
          <w:szCs w:val="24"/>
          <w:lang w:eastAsia="en-GB"/>
        </w:rPr>
      </w:pPr>
    </w:p>
    <w:p w14:paraId="0CA303BE" w14:textId="7DF4434D" w:rsidR="00CE36CC" w:rsidRPr="00BD0183" w:rsidRDefault="00CE36CC" w:rsidP="00CE36CC">
      <w:pPr>
        <w:spacing w:after="0"/>
        <w:textAlignment w:val="baseline"/>
        <w:rPr>
          <w:rFonts w:cs="Arial"/>
          <w:bCs w:val="0"/>
          <w:szCs w:val="24"/>
          <w:lang w:eastAsia="en-GB"/>
        </w:rPr>
      </w:pPr>
      <w:r w:rsidRPr="00BD0183">
        <w:rPr>
          <w:rFonts w:cs="Arial"/>
          <w:bCs w:val="0"/>
          <w:szCs w:val="24"/>
          <w:lang w:eastAsia="en-GB"/>
        </w:rPr>
        <w:t>ART requires good adherence (&gt;95%) to avoid drug resistance and once commenced should be continued lifelong. Development of new ARV medicines often focuses on improvements in tolerability, reductions in toxicity and drug to drug interactions.</w:t>
      </w:r>
    </w:p>
    <w:p w14:paraId="64D337E2" w14:textId="77777777" w:rsidR="00CE36CC" w:rsidRPr="00BD0183" w:rsidRDefault="00CE36CC" w:rsidP="00CE36CC">
      <w:pPr>
        <w:spacing w:after="0"/>
        <w:textAlignment w:val="baseline"/>
        <w:rPr>
          <w:rFonts w:cs="Arial"/>
          <w:bCs w:val="0"/>
          <w:szCs w:val="24"/>
          <w:lang w:eastAsia="en-GB"/>
        </w:rPr>
      </w:pPr>
    </w:p>
    <w:p w14:paraId="1613CB38" w14:textId="500D9BB9" w:rsidR="00CE36CC" w:rsidRPr="00CE36CC" w:rsidRDefault="00CE36CC" w:rsidP="59B4B40C">
      <w:pPr>
        <w:spacing w:after="0"/>
        <w:textAlignment w:val="baseline"/>
        <w:rPr>
          <w:rFonts w:cs="Arial"/>
          <w:lang w:eastAsia="en-GB"/>
        </w:rPr>
      </w:pPr>
      <w:r w:rsidRPr="00BD0183">
        <w:rPr>
          <w:rFonts w:cs="Arial"/>
          <w:lang w:eastAsia="en-GB"/>
        </w:rPr>
        <w:t xml:space="preserve">Effectiveness of ART is measured by its ability to reduce viral load to undetectable levels on routine tests (usually to less than 50 copies/mL). In </w:t>
      </w:r>
      <w:r w:rsidR="008472AE" w:rsidRPr="00BD0183">
        <w:rPr>
          <w:rFonts w:cs="Arial"/>
          <w:lang w:eastAsia="en-GB"/>
        </w:rPr>
        <w:t>2021</w:t>
      </w:r>
      <w:r w:rsidRPr="00BD0183">
        <w:rPr>
          <w:rFonts w:cs="Arial"/>
          <w:lang w:eastAsia="en-GB"/>
        </w:rPr>
        <w:t xml:space="preserve">, of people receiving ART where a viral load result was reported, </w:t>
      </w:r>
      <w:r w:rsidR="008472AE" w:rsidRPr="00BD0183">
        <w:rPr>
          <w:rFonts w:cs="Arial"/>
          <w:lang w:eastAsia="en-GB"/>
        </w:rPr>
        <w:t>98</w:t>
      </w:r>
      <w:r w:rsidRPr="00BD0183">
        <w:rPr>
          <w:rFonts w:cs="Arial"/>
          <w:lang w:eastAsia="en-GB"/>
        </w:rPr>
        <w:t>% were virally suppressed (</w:t>
      </w:r>
      <w:r w:rsidR="00220E65" w:rsidRPr="00BD0183">
        <w:rPr>
          <w:rFonts w:cs="Arial"/>
          <w:lang w:eastAsia="en-GB"/>
        </w:rPr>
        <w:t>UK Health Sec</w:t>
      </w:r>
      <w:r w:rsidR="00CA45F0" w:rsidRPr="00BD0183">
        <w:rPr>
          <w:rFonts w:cs="Arial"/>
          <w:lang w:eastAsia="en-GB"/>
        </w:rPr>
        <w:t>urity Agency (UKHSA)</w:t>
      </w:r>
      <w:r w:rsidR="5A24C65D" w:rsidRPr="00BD0183">
        <w:rPr>
          <w:rFonts w:cs="Arial"/>
          <w:lang w:eastAsia="en-GB"/>
        </w:rPr>
        <w:t>,</w:t>
      </w:r>
      <w:r w:rsidR="00CA45F0" w:rsidRPr="00BD0183">
        <w:rPr>
          <w:rFonts w:cs="Arial"/>
          <w:lang w:eastAsia="en-GB"/>
        </w:rPr>
        <w:t xml:space="preserve"> </w:t>
      </w:r>
      <w:r w:rsidR="008472AE" w:rsidRPr="00BD0183">
        <w:rPr>
          <w:rFonts w:cs="Arial"/>
          <w:lang w:eastAsia="en-GB"/>
        </w:rPr>
        <w:t>2022</w:t>
      </w:r>
      <w:r w:rsidR="00CA45F0" w:rsidRPr="00BD0183">
        <w:rPr>
          <w:rFonts w:cs="Arial"/>
          <w:lang w:eastAsia="en-GB"/>
        </w:rPr>
        <w:t>).</w:t>
      </w:r>
      <w:r w:rsidRPr="00BD0183">
        <w:rPr>
          <w:rFonts w:cs="Arial"/>
          <w:lang w:eastAsia="en-GB"/>
        </w:rPr>
        <w:t xml:space="preserve"> Current standard treatment is therefore effective for many people. New drug treatments therefore need to demonstrate clinical and cost effectiveness and improved safety profiles compared to current standard treatments.</w:t>
      </w:r>
      <w:r w:rsidRPr="59B4B40C">
        <w:rPr>
          <w:rFonts w:cs="Arial"/>
          <w:lang w:eastAsia="en-GB"/>
        </w:rPr>
        <w:t xml:space="preserve"> </w:t>
      </w:r>
    </w:p>
    <w:p w14:paraId="1067EF53" w14:textId="77777777" w:rsidR="00CE36CC" w:rsidRPr="00CE36CC" w:rsidRDefault="00CE36CC" w:rsidP="00CE36CC">
      <w:pPr>
        <w:spacing w:after="0"/>
        <w:textAlignment w:val="baseline"/>
        <w:rPr>
          <w:rFonts w:cs="Arial"/>
          <w:bCs w:val="0"/>
          <w:szCs w:val="24"/>
          <w:lang w:eastAsia="en-GB"/>
        </w:rPr>
      </w:pPr>
    </w:p>
    <w:p w14:paraId="7E54FDAB" w14:textId="77777777" w:rsidR="00CE36CC" w:rsidRPr="00CE36CC" w:rsidRDefault="00CE36CC" w:rsidP="00CE36CC">
      <w:pPr>
        <w:spacing w:after="0"/>
        <w:textAlignment w:val="baseline"/>
        <w:rPr>
          <w:rFonts w:cs="Arial"/>
          <w:bCs w:val="0"/>
          <w:szCs w:val="24"/>
          <w:lang w:eastAsia="en-GB"/>
        </w:rPr>
      </w:pPr>
      <w:r w:rsidRPr="00CE36CC">
        <w:rPr>
          <w:rFonts w:cs="Arial"/>
          <w:bCs w:val="0"/>
          <w:szCs w:val="24"/>
          <w:lang w:eastAsia="en-GB"/>
        </w:rPr>
        <w:t>TAF was approved in the EU based on studies showing similar efficacy but an improved safety profile compared with TDF.</w:t>
      </w:r>
    </w:p>
    <w:p w14:paraId="1D948402" w14:textId="77777777" w:rsidR="00CE36CC" w:rsidRPr="00CE36CC" w:rsidRDefault="00CE36CC" w:rsidP="00CE36CC">
      <w:pPr>
        <w:spacing w:after="0"/>
        <w:textAlignment w:val="baseline"/>
        <w:rPr>
          <w:rFonts w:cs="Arial"/>
          <w:bCs w:val="0"/>
          <w:szCs w:val="24"/>
          <w:lang w:eastAsia="en-GB"/>
        </w:rPr>
      </w:pPr>
    </w:p>
    <w:p w14:paraId="5E92EDA7" w14:textId="202F70A3" w:rsidR="00CE36CC" w:rsidRPr="00CE36CC" w:rsidRDefault="00CE36CC" w:rsidP="2C08CB12">
      <w:pPr>
        <w:spacing w:after="0"/>
        <w:textAlignment w:val="baseline"/>
        <w:rPr>
          <w:rFonts w:cs="Arial"/>
          <w:lang w:eastAsia="en-GB"/>
        </w:rPr>
      </w:pPr>
      <w:r w:rsidRPr="2C08CB12">
        <w:rPr>
          <w:rFonts w:cs="Arial"/>
          <w:lang w:eastAsia="en-GB"/>
        </w:rPr>
        <w:t xml:space="preserve">Tenofovir alafenamide (TAF) is licensed as a treatment for HIV-1 infection in adults and adolescents. TAF is available in fixed dose combinations, with one or multiple other HIV drugs. </w:t>
      </w:r>
    </w:p>
    <w:p w14:paraId="6598F001" w14:textId="7D1957FB" w:rsidR="00CE36CC" w:rsidRPr="00CE36CC" w:rsidRDefault="00CE36CC" w:rsidP="2C08CB12">
      <w:pPr>
        <w:spacing w:after="0"/>
        <w:textAlignment w:val="baseline"/>
        <w:rPr>
          <w:rFonts w:cs="Arial"/>
          <w:lang w:eastAsia="en-GB"/>
        </w:rPr>
      </w:pPr>
      <w:r w:rsidRPr="2C08CB12">
        <w:rPr>
          <w:rFonts w:cs="Arial"/>
          <w:lang w:eastAsia="en-GB"/>
        </w:rPr>
        <w:lastRenderedPageBreak/>
        <w:t xml:space="preserve">This policy considers the use of </w:t>
      </w:r>
      <w:r w:rsidR="634EE26A" w:rsidRPr="2C08CB12">
        <w:rPr>
          <w:rFonts w:cs="Arial"/>
          <w:lang w:eastAsia="en-GB"/>
        </w:rPr>
        <w:t>TAF</w:t>
      </w:r>
      <w:r w:rsidRPr="2C08CB12">
        <w:rPr>
          <w:rFonts w:cs="Arial"/>
          <w:lang w:eastAsia="en-GB"/>
        </w:rPr>
        <w:t xml:space="preserve"> as a bioequivalent of TDF in appropriate individuals. TAF will be delivered as part of combination antiretroviral therapy for the treatment of HIV 1 in adults and adolescents infected with HIV-1 immunodeficiency virus-1 (HIV-1). Adolescents are defined as children 12 years of age or older and with a body weight in excess of 35kg.</w:t>
      </w:r>
    </w:p>
    <w:p w14:paraId="373C47CE" w14:textId="77777777" w:rsidR="00CE36CC" w:rsidRPr="00CE36CC" w:rsidRDefault="00CE36CC" w:rsidP="00CE36CC">
      <w:pPr>
        <w:spacing w:after="0"/>
        <w:textAlignment w:val="baseline"/>
        <w:rPr>
          <w:rFonts w:cs="Arial"/>
          <w:bCs w:val="0"/>
          <w:szCs w:val="24"/>
          <w:lang w:eastAsia="en-GB"/>
        </w:rPr>
      </w:pPr>
    </w:p>
    <w:p w14:paraId="3D24F74F" w14:textId="40B4D14A" w:rsidR="00DB21E6" w:rsidRPr="006777CE" w:rsidRDefault="00CE36CC" w:rsidP="006777CE">
      <w:pPr>
        <w:textAlignment w:val="baseline"/>
        <w:rPr>
          <w:rFonts w:cs="Arial"/>
          <w:bCs w:val="0"/>
          <w:szCs w:val="24"/>
          <w:lang w:eastAsia="en-GB"/>
        </w:rPr>
      </w:pPr>
      <w:r w:rsidRPr="00CE36CC">
        <w:rPr>
          <w:rFonts w:cs="Arial"/>
          <w:bCs w:val="0"/>
          <w:szCs w:val="24"/>
          <w:lang w:eastAsia="en-GB"/>
        </w:rPr>
        <w:t>It is expected that prescribers will construct a regimen containing TAF in combination with other HIV drugs, which is the most clinically effective at the lowest acquisition cost. Advice for the most effective cost combinations can be determined from</w:t>
      </w:r>
      <w:r w:rsidR="00650809">
        <w:rPr>
          <w:rFonts w:cs="Arial"/>
          <w:bCs w:val="0"/>
          <w:szCs w:val="24"/>
          <w:lang w:eastAsia="en-GB"/>
        </w:rPr>
        <w:t xml:space="preserve"> the </w:t>
      </w:r>
      <w:r w:rsidR="00C531F9">
        <w:rPr>
          <w:rFonts w:cs="Arial"/>
          <w:bCs w:val="0"/>
          <w:szCs w:val="24"/>
          <w:lang w:eastAsia="en-GB"/>
        </w:rPr>
        <w:t>national prescribing algorithm</w:t>
      </w:r>
      <w:r w:rsidRPr="00CE36CC">
        <w:rPr>
          <w:rFonts w:cs="Arial"/>
          <w:bCs w:val="0"/>
          <w:szCs w:val="24"/>
          <w:lang w:eastAsia="en-GB"/>
        </w:rPr>
        <w:t xml:space="preserve">. </w:t>
      </w:r>
    </w:p>
    <w:p w14:paraId="4FD769D9" w14:textId="24DFEA1C" w:rsidR="00AD7320" w:rsidRDefault="00AD7320" w:rsidP="00AD7320">
      <w:pPr>
        <w:pStyle w:val="Heading2"/>
        <w:rPr>
          <w:rFonts w:eastAsiaTheme="minorEastAsia"/>
          <w:lang w:eastAsia="en-GB"/>
        </w:rPr>
      </w:pPr>
      <w:r>
        <w:rPr>
          <w:rFonts w:eastAsiaTheme="minorEastAsia"/>
          <w:lang w:eastAsia="en-GB"/>
        </w:rPr>
        <w:t xml:space="preserve">Aims </w:t>
      </w:r>
      <w:r w:rsidR="003D7F1B">
        <w:rPr>
          <w:rFonts w:eastAsiaTheme="minorEastAsia"/>
          <w:lang w:eastAsia="en-GB"/>
        </w:rPr>
        <w:t>and</w:t>
      </w:r>
      <w:r>
        <w:rPr>
          <w:rFonts w:eastAsiaTheme="minorEastAsia"/>
          <w:lang w:eastAsia="en-GB"/>
        </w:rPr>
        <w:t xml:space="preserve"> objectives</w:t>
      </w:r>
    </w:p>
    <w:p w14:paraId="0C39D9EC" w14:textId="2DB54769" w:rsidR="003730BC" w:rsidRPr="003730BC" w:rsidRDefault="003730BC" w:rsidP="003730BC">
      <w:pPr>
        <w:rPr>
          <w:rFonts w:eastAsiaTheme="minorEastAsia"/>
        </w:rPr>
      </w:pPr>
      <w:r w:rsidRPr="003730BC">
        <w:rPr>
          <w:rFonts w:eastAsiaTheme="minorEastAsia"/>
        </w:rPr>
        <w:t>This policy aims to identify the evidence and cost implications of routine commissioning of a TAF-containing product for treatment of HIV 1 in adults and adolescents.</w:t>
      </w:r>
      <w:r w:rsidR="003D7F1B">
        <w:rPr>
          <w:rFonts w:eastAsiaTheme="minorEastAsia"/>
        </w:rPr>
        <w:t xml:space="preserve"> </w:t>
      </w:r>
      <w:r w:rsidRPr="003730BC">
        <w:rPr>
          <w:rFonts w:eastAsiaTheme="minorEastAsia"/>
        </w:rPr>
        <w:t>The objectives are to enable access to TAF where its use is supported by clinical evidence and where it is demonstrated to represent good value.</w:t>
      </w:r>
    </w:p>
    <w:p w14:paraId="327B8B22" w14:textId="19478ADC" w:rsidR="00ED2B6A" w:rsidRPr="001B66E5" w:rsidRDefault="003730BC" w:rsidP="003730BC">
      <w:pPr>
        <w:rPr>
          <w:rFonts w:eastAsiaTheme="minorEastAsia"/>
        </w:rPr>
      </w:pPr>
      <w:r w:rsidRPr="003730BC">
        <w:rPr>
          <w:rFonts w:eastAsiaTheme="minorEastAsia"/>
        </w:rPr>
        <w:t>This policy aims to identify patients who would benefit from TAF. This includes a defined group of people in whom TDF is contraindicated at treatment initiation or who develop complications during treatment.  In both patient cohorts TAF is determined to be an appropriate alternative and is used with other ART drugs to construct a viable ART regimen. This policy covers TAF within fixed dose combinations. It is anticipated that prescribers will select the most clinical effective regimen at the lowest acquisition cost.</w:t>
      </w:r>
    </w:p>
    <w:p w14:paraId="03B75307" w14:textId="287F0808" w:rsidR="008D2137" w:rsidRDefault="008D2137" w:rsidP="0029242E">
      <w:pPr>
        <w:pStyle w:val="Heading2"/>
        <w:rPr>
          <w:rFonts w:eastAsiaTheme="minorEastAsia"/>
        </w:rPr>
      </w:pPr>
      <w:r>
        <w:rPr>
          <w:rFonts w:eastAsiaTheme="minorEastAsia"/>
        </w:rPr>
        <w:t xml:space="preserve">Epidemiology and </w:t>
      </w:r>
      <w:r w:rsidR="003A739E">
        <w:rPr>
          <w:rFonts w:eastAsiaTheme="minorEastAsia"/>
        </w:rPr>
        <w:t>n</w:t>
      </w:r>
      <w:r>
        <w:rPr>
          <w:rFonts w:eastAsiaTheme="minorEastAsia"/>
        </w:rPr>
        <w:t xml:space="preserve">eeds </w:t>
      </w:r>
      <w:r w:rsidR="003A739E">
        <w:rPr>
          <w:rFonts w:eastAsiaTheme="minorEastAsia"/>
        </w:rPr>
        <w:t>a</w:t>
      </w:r>
      <w:r>
        <w:rPr>
          <w:rFonts w:eastAsiaTheme="minorEastAsia"/>
        </w:rPr>
        <w:t>ssessment</w:t>
      </w:r>
    </w:p>
    <w:p w14:paraId="69CAE1E1" w14:textId="37BE2698" w:rsidR="00497B17" w:rsidRPr="00BD0183" w:rsidRDefault="00497B17" w:rsidP="00497B17">
      <w:pPr>
        <w:spacing w:after="0"/>
        <w:textAlignment w:val="baseline"/>
        <w:rPr>
          <w:rFonts w:cs="Arial"/>
          <w:bCs w:val="0"/>
          <w:szCs w:val="24"/>
          <w:lang w:eastAsia="en-GB"/>
        </w:rPr>
      </w:pPr>
      <w:r w:rsidRPr="00497B17">
        <w:rPr>
          <w:rFonts w:cs="Arial"/>
          <w:bCs w:val="0"/>
          <w:szCs w:val="24"/>
          <w:lang w:eastAsia="en-GB"/>
        </w:rPr>
        <w:t>In 2018, the joint United Nations Programme on HIV and AIDS (UNAIDS)</w:t>
      </w:r>
      <w:r w:rsidR="003F6C45">
        <w:rPr>
          <w:rStyle w:val="FootnoteReference"/>
          <w:rFonts w:cs="Arial"/>
          <w:bCs w:val="0"/>
          <w:szCs w:val="24"/>
          <w:lang w:eastAsia="en-GB"/>
        </w:rPr>
        <w:footnoteReference w:id="3"/>
      </w:r>
      <w:r w:rsidRPr="00497B17">
        <w:rPr>
          <w:rFonts w:cs="Arial"/>
          <w:bCs w:val="0"/>
          <w:szCs w:val="24"/>
          <w:lang w:eastAsia="en-GB"/>
        </w:rPr>
        <w:t xml:space="preserve"> set a goal to eliminate HIV transmission by 2030</w:t>
      </w:r>
      <w:r w:rsidR="00721746">
        <w:rPr>
          <w:rFonts w:cs="Arial"/>
          <w:bCs w:val="0"/>
          <w:szCs w:val="24"/>
          <w:lang w:eastAsia="en-GB"/>
        </w:rPr>
        <w:t xml:space="preserve">. </w:t>
      </w:r>
      <w:r w:rsidR="00495C3F">
        <w:rPr>
          <w:rFonts w:cs="Arial"/>
          <w:szCs w:val="24"/>
          <w:lang w:eastAsia="en-GB"/>
        </w:rPr>
        <w:t>In 2021 the UK committed to the HIV action plan</w:t>
      </w:r>
      <w:r w:rsidR="0066322E">
        <w:rPr>
          <w:rFonts w:cs="Arial"/>
          <w:szCs w:val="24"/>
          <w:lang w:eastAsia="en-GB"/>
        </w:rPr>
        <w:t xml:space="preserve"> (2022-2025)</w:t>
      </w:r>
      <w:r w:rsidR="00495C3F">
        <w:rPr>
          <w:rFonts w:cs="Arial"/>
          <w:szCs w:val="24"/>
          <w:lang w:eastAsia="en-GB"/>
        </w:rPr>
        <w:t xml:space="preserve"> </w:t>
      </w:r>
      <w:r w:rsidR="00495C3F" w:rsidRPr="00436044">
        <w:t>to reduce HIV transmission, AIDS- and HIV-related dea</w:t>
      </w:r>
      <w:r w:rsidR="00495C3F" w:rsidRPr="00FB5B07">
        <w:t xml:space="preserve">ths as well as reducing </w:t>
      </w:r>
      <w:r w:rsidR="00495C3F" w:rsidRPr="00D35673">
        <w:t>HIV-related sti</w:t>
      </w:r>
      <w:r w:rsidR="00495C3F" w:rsidRPr="00C77BAB">
        <w:t>gma. To a</w:t>
      </w:r>
      <w:r w:rsidR="00495C3F" w:rsidRPr="00436044">
        <w:t xml:space="preserve">chieve these aims, a combination prevention approach will be implemented </w:t>
      </w:r>
      <w:r w:rsidR="00495C3F" w:rsidRPr="00FB5B07">
        <w:t xml:space="preserve">with a focus on </w:t>
      </w:r>
      <w:r w:rsidR="00495C3F" w:rsidRPr="00BD0183">
        <w:t>prevent, test, treat and retain (UKHSA. 202</w:t>
      </w:r>
      <w:r w:rsidR="00AF406D" w:rsidRPr="00BD0183">
        <w:t>2</w:t>
      </w:r>
      <w:r w:rsidR="00495C3F" w:rsidRPr="00BD0183">
        <w:t>).</w:t>
      </w:r>
      <w:r w:rsidRPr="00BD0183">
        <w:rPr>
          <w:rFonts w:cs="Arial"/>
          <w:bCs w:val="0"/>
          <w:szCs w:val="24"/>
          <w:lang w:eastAsia="en-GB"/>
        </w:rPr>
        <w:t xml:space="preserve">  In 20</w:t>
      </w:r>
      <w:r w:rsidR="00495C3F" w:rsidRPr="00BD0183">
        <w:rPr>
          <w:rFonts w:cs="Arial"/>
          <w:bCs w:val="0"/>
          <w:szCs w:val="24"/>
          <w:lang w:eastAsia="en-GB"/>
        </w:rPr>
        <w:t>20</w:t>
      </w:r>
      <w:r w:rsidRPr="00BD0183">
        <w:rPr>
          <w:rFonts w:cs="Arial"/>
          <w:bCs w:val="0"/>
          <w:szCs w:val="24"/>
          <w:lang w:eastAsia="en-GB"/>
        </w:rPr>
        <w:t xml:space="preserve">, an estimated </w:t>
      </w:r>
      <w:r w:rsidR="00792025" w:rsidRPr="00BD0183">
        <w:rPr>
          <w:rFonts w:cs="Arial"/>
          <w:bCs w:val="0"/>
          <w:szCs w:val="24"/>
          <w:lang w:eastAsia="en-GB"/>
        </w:rPr>
        <w:t>97, 740</w:t>
      </w:r>
      <w:r w:rsidRPr="00BD0183">
        <w:rPr>
          <w:rFonts w:cs="Arial"/>
          <w:bCs w:val="0"/>
          <w:szCs w:val="24"/>
          <w:lang w:eastAsia="en-GB"/>
        </w:rPr>
        <w:t xml:space="preserve"> (95% credible interval (Crl) </w:t>
      </w:r>
      <w:r w:rsidR="00792025" w:rsidRPr="00BD0183">
        <w:rPr>
          <w:rFonts w:cs="Arial"/>
          <w:bCs w:val="0"/>
          <w:szCs w:val="24"/>
          <w:lang w:eastAsia="en-GB"/>
        </w:rPr>
        <w:t>9</w:t>
      </w:r>
      <w:r w:rsidR="00BA5D35" w:rsidRPr="00BD0183">
        <w:rPr>
          <w:rFonts w:cs="Arial"/>
          <w:bCs w:val="0"/>
          <w:szCs w:val="24"/>
          <w:lang w:eastAsia="en-GB"/>
        </w:rPr>
        <w:t>6</w:t>
      </w:r>
      <w:r w:rsidRPr="00BD0183">
        <w:rPr>
          <w:rFonts w:cs="Arial"/>
          <w:bCs w:val="0"/>
          <w:szCs w:val="24"/>
          <w:lang w:eastAsia="en-GB"/>
        </w:rPr>
        <w:t>,</w:t>
      </w:r>
      <w:r w:rsidR="00BA5D35" w:rsidRPr="00BD0183">
        <w:rPr>
          <w:rFonts w:cs="Arial"/>
          <w:bCs w:val="0"/>
          <w:szCs w:val="24"/>
          <w:lang w:eastAsia="en-GB"/>
        </w:rPr>
        <w:t>4</w:t>
      </w:r>
      <w:r w:rsidRPr="00BD0183">
        <w:rPr>
          <w:rFonts w:cs="Arial"/>
          <w:bCs w:val="0"/>
          <w:szCs w:val="24"/>
          <w:lang w:eastAsia="en-GB"/>
        </w:rPr>
        <w:t>00 to 10</w:t>
      </w:r>
      <w:r w:rsidR="00BA5D35" w:rsidRPr="00BD0183">
        <w:rPr>
          <w:rFonts w:cs="Arial"/>
          <w:bCs w:val="0"/>
          <w:szCs w:val="24"/>
          <w:lang w:eastAsia="en-GB"/>
        </w:rPr>
        <w:t>0</w:t>
      </w:r>
      <w:r w:rsidRPr="00BD0183">
        <w:rPr>
          <w:rFonts w:cs="Arial"/>
          <w:bCs w:val="0"/>
          <w:szCs w:val="24"/>
          <w:lang w:eastAsia="en-GB"/>
        </w:rPr>
        <w:t>,</w:t>
      </w:r>
      <w:r w:rsidR="00BA5D35" w:rsidRPr="00BD0183">
        <w:rPr>
          <w:rFonts w:cs="Arial"/>
          <w:bCs w:val="0"/>
          <w:szCs w:val="24"/>
          <w:lang w:eastAsia="en-GB"/>
        </w:rPr>
        <w:t>06</w:t>
      </w:r>
      <w:r w:rsidRPr="00BD0183">
        <w:rPr>
          <w:rFonts w:cs="Arial"/>
          <w:bCs w:val="0"/>
          <w:szCs w:val="24"/>
          <w:lang w:eastAsia="en-GB"/>
        </w:rPr>
        <w:t>0) people were living with HIV infection in</w:t>
      </w:r>
      <w:r w:rsidR="008C5596" w:rsidRPr="00BD0183">
        <w:rPr>
          <w:rFonts w:cs="Arial"/>
          <w:bCs w:val="0"/>
          <w:szCs w:val="24"/>
          <w:lang w:eastAsia="en-GB"/>
        </w:rPr>
        <w:t xml:space="preserve"> England</w:t>
      </w:r>
      <w:r w:rsidRPr="00BD0183">
        <w:rPr>
          <w:rFonts w:cs="Arial"/>
          <w:bCs w:val="0"/>
          <w:szCs w:val="24"/>
          <w:lang w:eastAsia="en-GB"/>
        </w:rPr>
        <w:t xml:space="preserve">, of these, </w:t>
      </w:r>
      <w:r w:rsidR="00013F06" w:rsidRPr="00BD0183">
        <w:rPr>
          <w:rFonts w:cs="Arial"/>
          <w:bCs w:val="0"/>
          <w:szCs w:val="24"/>
          <w:lang w:eastAsia="en-GB"/>
        </w:rPr>
        <w:t>4,6</w:t>
      </w:r>
      <w:r w:rsidR="000B2415" w:rsidRPr="00BD0183">
        <w:rPr>
          <w:rFonts w:cs="Arial"/>
          <w:bCs w:val="0"/>
          <w:szCs w:val="24"/>
          <w:lang w:eastAsia="en-GB"/>
        </w:rPr>
        <w:t>60</w:t>
      </w:r>
      <w:r w:rsidRPr="00BD0183">
        <w:rPr>
          <w:rFonts w:cs="Arial"/>
          <w:bCs w:val="0"/>
          <w:szCs w:val="24"/>
          <w:lang w:eastAsia="en-GB"/>
        </w:rPr>
        <w:t xml:space="preserve"> (95% Crl </w:t>
      </w:r>
      <w:r w:rsidR="000B2415" w:rsidRPr="00BD0183">
        <w:rPr>
          <w:rFonts w:cs="Arial"/>
          <w:bCs w:val="0"/>
          <w:szCs w:val="24"/>
          <w:lang w:eastAsia="en-GB"/>
        </w:rPr>
        <w:t>3,640</w:t>
      </w:r>
      <w:r w:rsidRPr="00BD0183">
        <w:rPr>
          <w:rFonts w:cs="Arial"/>
          <w:bCs w:val="0"/>
          <w:szCs w:val="24"/>
          <w:lang w:eastAsia="en-GB"/>
        </w:rPr>
        <w:t xml:space="preserve"> to </w:t>
      </w:r>
      <w:r w:rsidR="000B2415" w:rsidRPr="00BD0183">
        <w:rPr>
          <w:rFonts w:cs="Arial"/>
          <w:bCs w:val="0"/>
          <w:szCs w:val="24"/>
          <w:lang w:eastAsia="en-GB"/>
        </w:rPr>
        <w:t>6</w:t>
      </w:r>
      <w:r w:rsidRPr="00BD0183">
        <w:rPr>
          <w:rFonts w:cs="Arial"/>
          <w:bCs w:val="0"/>
          <w:szCs w:val="24"/>
          <w:lang w:eastAsia="en-GB"/>
        </w:rPr>
        <w:t>,</w:t>
      </w:r>
      <w:r w:rsidR="000B2415" w:rsidRPr="00BD0183">
        <w:rPr>
          <w:rFonts w:cs="Arial"/>
          <w:bCs w:val="0"/>
          <w:szCs w:val="24"/>
          <w:lang w:eastAsia="en-GB"/>
        </w:rPr>
        <w:t>98</w:t>
      </w:r>
      <w:r w:rsidRPr="00BD0183">
        <w:rPr>
          <w:rFonts w:cs="Arial"/>
          <w:bCs w:val="0"/>
          <w:szCs w:val="24"/>
          <w:lang w:eastAsia="en-GB"/>
        </w:rPr>
        <w:t>0) were estimated to be</w:t>
      </w:r>
      <w:r w:rsidR="0020120E" w:rsidRPr="00BD0183">
        <w:rPr>
          <w:rFonts w:cs="Arial"/>
          <w:bCs w:val="0"/>
          <w:szCs w:val="24"/>
          <w:lang w:eastAsia="en-GB"/>
        </w:rPr>
        <w:t xml:space="preserve"> unaware of their </w:t>
      </w:r>
      <w:r w:rsidR="002F66E5" w:rsidRPr="00BD0183">
        <w:rPr>
          <w:rFonts w:cs="Arial"/>
          <w:bCs w:val="0"/>
          <w:szCs w:val="24"/>
          <w:lang w:eastAsia="en-GB"/>
        </w:rPr>
        <w:t>HIV status</w:t>
      </w:r>
      <w:r w:rsidR="00301AA5" w:rsidRPr="00BD0183">
        <w:rPr>
          <w:rFonts w:cs="Arial"/>
          <w:bCs w:val="0"/>
          <w:szCs w:val="24"/>
          <w:lang w:eastAsia="en-GB"/>
        </w:rPr>
        <w:t xml:space="preserve"> </w:t>
      </w:r>
      <w:r w:rsidRPr="00BD0183">
        <w:rPr>
          <w:rFonts w:cs="Arial"/>
          <w:bCs w:val="0"/>
          <w:szCs w:val="24"/>
          <w:lang w:eastAsia="en-GB"/>
        </w:rPr>
        <w:t>(</w:t>
      </w:r>
      <w:r w:rsidR="00D731A6" w:rsidRPr="00BD0183">
        <w:rPr>
          <w:rFonts w:cs="Arial"/>
          <w:bCs w:val="0"/>
          <w:szCs w:val="24"/>
          <w:lang w:eastAsia="en-GB"/>
        </w:rPr>
        <w:t>UKHSA</w:t>
      </w:r>
      <w:r w:rsidRPr="00BD0183">
        <w:rPr>
          <w:rFonts w:cs="Arial"/>
          <w:bCs w:val="0"/>
          <w:szCs w:val="24"/>
          <w:lang w:eastAsia="en-GB"/>
        </w:rPr>
        <w:t>. 202</w:t>
      </w:r>
      <w:r w:rsidR="00AF406D" w:rsidRPr="00BD0183">
        <w:rPr>
          <w:rFonts w:cs="Arial"/>
          <w:bCs w:val="0"/>
          <w:szCs w:val="24"/>
          <w:lang w:eastAsia="en-GB"/>
        </w:rPr>
        <w:t>2</w:t>
      </w:r>
      <w:r w:rsidRPr="00BD0183">
        <w:rPr>
          <w:rFonts w:cs="Arial"/>
          <w:bCs w:val="0"/>
          <w:szCs w:val="24"/>
          <w:lang w:eastAsia="en-GB"/>
        </w:rPr>
        <w:t xml:space="preserve">). </w:t>
      </w:r>
    </w:p>
    <w:p w14:paraId="27485CF7" w14:textId="77777777" w:rsidR="00497B17" w:rsidRPr="00BD0183" w:rsidRDefault="00497B17" w:rsidP="00497B17">
      <w:pPr>
        <w:spacing w:after="0"/>
        <w:textAlignment w:val="baseline"/>
        <w:rPr>
          <w:rFonts w:cs="Arial"/>
          <w:bCs w:val="0"/>
          <w:szCs w:val="24"/>
          <w:lang w:eastAsia="en-GB"/>
        </w:rPr>
      </w:pPr>
    </w:p>
    <w:p w14:paraId="1E233C9C" w14:textId="101AB899" w:rsidR="00497B17" w:rsidRPr="00BD0183" w:rsidRDefault="00497B17" w:rsidP="00497B17">
      <w:pPr>
        <w:spacing w:after="0"/>
        <w:textAlignment w:val="baseline"/>
        <w:rPr>
          <w:rFonts w:cs="Arial"/>
          <w:bCs w:val="0"/>
          <w:szCs w:val="24"/>
          <w:lang w:eastAsia="en-GB"/>
        </w:rPr>
      </w:pPr>
      <w:r w:rsidRPr="00BD0183">
        <w:rPr>
          <w:rFonts w:cs="Arial"/>
          <w:bCs w:val="0"/>
          <w:szCs w:val="24"/>
          <w:lang w:eastAsia="en-GB"/>
        </w:rPr>
        <w:t>Effective antiretroviral therapy (ART) means for many individuals HIV can be managed as a chronic long</w:t>
      </w:r>
      <w:r w:rsidR="000828E0" w:rsidRPr="00BD0183">
        <w:rPr>
          <w:rFonts w:cs="Arial"/>
          <w:bCs w:val="0"/>
          <w:szCs w:val="24"/>
          <w:lang w:eastAsia="en-GB"/>
        </w:rPr>
        <w:t>-</w:t>
      </w:r>
      <w:r w:rsidRPr="00BD0183">
        <w:rPr>
          <w:rFonts w:cs="Arial"/>
          <w:bCs w:val="0"/>
          <w:szCs w:val="24"/>
          <w:lang w:eastAsia="en-GB"/>
        </w:rPr>
        <w:t>term condition, allowing them to live a near normal life. Lifesaving treatments and ongoing transmission means that the number of people seen for HIV care continues to rise; a 16% increase from 84,817 in 2014 and a 3% increase from 95,472 in 2018 to 98,552 in 2019</w:t>
      </w:r>
      <w:r w:rsidR="00315B47" w:rsidRPr="00BD0183">
        <w:rPr>
          <w:rFonts w:cs="Arial"/>
          <w:bCs w:val="0"/>
          <w:szCs w:val="24"/>
          <w:lang w:eastAsia="en-GB"/>
        </w:rPr>
        <w:t xml:space="preserve"> (PHE. 2020).</w:t>
      </w:r>
      <w:r w:rsidR="007B7A53" w:rsidRPr="00BD0183">
        <w:rPr>
          <w:rFonts w:cs="Arial"/>
          <w:bCs w:val="0"/>
          <w:szCs w:val="24"/>
          <w:lang w:eastAsia="en-GB"/>
        </w:rPr>
        <w:t xml:space="preserve"> In 202</w:t>
      </w:r>
      <w:r w:rsidR="00AF406D" w:rsidRPr="00BD0183">
        <w:rPr>
          <w:rFonts w:cs="Arial"/>
          <w:bCs w:val="0"/>
          <w:szCs w:val="24"/>
          <w:lang w:eastAsia="en-GB"/>
        </w:rPr>
        <w:t>1,</w:t>
      </w:r>
      <w:r w:rsidR="00315B47" w:rsidRPr="00BD0183">
        <w:rPr>
          <w:rFonts w:cs="Arial"/>
          <w:bCs w:val="0"/>
          <w:szCs w:val="24"/>
          <w:lang w:eastAsia="en-GB"/>
        </w:rPr>
        <w:t xml:space="preserve"> </w:t>
      </w:r>
      <w:r w:rsidR="00AF406D" w:rsidRPr="00BD0183">
        <w:rPr>
          <w:rFonts w:cs="Arial"/>
          <w:bCs w:val="0"/>
          <w:szCs w:val="24"/>
          <w:lang w:eastAsia="en-GB"/>
        </w:rPr>
        <w:t xml:space="preserve">a total of 91,432 </w:t>
      </w:r>
      <w:r w:rsidR="00315B47" w:rsidRPr="00BD0183">
        <w:rPr>
          <w:rFonts w:cs="Arial"/>
          <w:bCs w:val="0"/>
          <w:szCs w:val="24"/>
          <w:lang w:eastAsia="en-GB"/>
        </w:rPr>
        <w:t>people accessed HIV care</w:t>
      </w:r>
      <w:r w:rsidR="000C57E6" w:rsidRPr="00BD0183">
        <w:rPr>
          <w:rFonts w:cs="Arial"/>
          <w:bCs w:val="0"/>
          <w:szCs w:val="24"/>
          <w:lang w:eastAsia="en-GB"/>
        </w:rPr>
        <w:t xml:space="preserve"> </w:t>
      </w:r>
      <w:r w:rsidR="00AF406D" w:rsidRPr="00BD0183">
        <w:rPr>
          <w:rFonts w:cs="Arial"/>
          <w:bCs w:val="0"/>
          <w:szCs w:val="24"/>
          <w:lang w:eastAsia="en-GB"/>
        </w:rPr>
        <w:t>compared to 88, 786 in 2020</w:t>
      </w:r>
      <w:r w:rsidR="000C57E6" w:rsidRPr="00BD0183">
        <w:rPr>
          <w:rFonts w:cs="Arial"/>
          <w:bCs w:val="0"/>
          <w:szCs w:val="24"/>
          <w:lang w:eastAsia="en-GB"/>
        </w:rPr>
        <w:t>,</w:t>
      </w:r>
      <w:r w:rsidR="00546E63" w:rsidRPr="00BD0183">
        <w:rPr>
          <w:rFonts w:cs="Arial"/>
          <w:bCs w:val="0"/>
          <w:szCs w:val="24"/>
          <w:lang w:eastAsia="en-GB"/>
        </w:rPr>
        <w:t xml:space="preserve"> </w:t>
      </w:r>
      <w:r w:rsidR="00054697" w:rsidRPr="00BD0183">
        <w:rPr>
          <w:rFonts w:cs="Arial"/>
          <w:bCs w:val="0"/>
          <w:szCs w:val="24"/>
          <w:lang w:eastAsia="en-GB"/>
        </w:rPr>
        <w:t>(UKHSA. 202</w:t>
      </w:r>
      <w:r w:rsidR="00AF406D" w:rsidRPr="00BD0183">
        <w:rPr>
          <w:rFonts w:cs="Arial"/>
          <w:bCs w:val="0"/>
          <w:szCs w:val="24"/>
          <w:lang w:eastAsia="en-GB"/>
        </w:rPr>
        <w:t>2</w:t>
      </w:r>
      <w:r w:rsidR="00054697" w:rsidRPr="00BD0183">
        <w:rPr>
          <w:rFonts w:cs="Arial"/>
          <w:bCs w:val="0"/>
          <w:szCs w:val="24"/>
          <w:lang w:eastAsia="en-GB"/>
        </w:rPr>
        <w:t>)</w:t>
      </w:r>
      <w:r w:rsidR="00AD48EE" w:rsidRPr="00BD0183">
        <w:rPr>
          <w:rFonts w:cs="Arial"/>
          <w:bCs w:val="0"/>
          <w:szCs w:val="24"/>
          <w:lang w:eastAsia="en-GB"/>
        </w:rPr>
        <w:t>.</w:t>
      </w:r>
      <w:r w:rsidR="00315B47" w:rsidRPr="00BD0183">
        <w:rPr>
          <w:rFonts w:cs="Arial"/>
          <w:bCs w:val="0"/>
          <w:szCs w:val="24"/>
          <w:lang w:eastAsia="en-GB"/>
        </w:rPr>
        <w:t xml:space="preserve"> </w:t>
      </w:r>
      <w:r w:rsidRPr="00BD0183">
        <w:rPr>
          <w:rFonts w:cs="Arial"/>
          <w:bCs w:val="0"/>
          <w:szCs w:val="24"/>
          <w:lang w:eastAsia="en-GB"/>
        </w:rPr>
        <w:t xml:space="preserve"> </w:t>
      </w:r>
      <w:r w:rsidR="00223B13" w:rsidRPr="00BD0183">
        <w:rPr>
          <w:rFonts w:cs="Arial"/>
          <w:bCs w:val="0"/>
          <w:szCs w:val="24"/>
          <w:lang w:eastAsia="en-GB"/>
        </w:rPr>
        <w:t>In 202</w:t>
      </w:r>
      <w:r w:rsidR="00AF406D" w:rsidRPr="00BD0183">
        <w:rPr>
          <w:rFonts w:cs="Arial"/>
          <w:bCs w:val="0"/>
          <w:szCs w:val="24"/>
          <w:lang w:eastAsia="en-GB"/>
        </w:rPr>
        <w:t>1</w:t>
      </w:r>
      <w:r w:rsidR="00223B13" w:rsidRPr="00BD0183">
        <w:rPr>
          <w:rFonts w:cs="Arial"/>
          <w:bCs w:val="0"/>
          <w:szCs w:val="24"/>
          <w:lang w:eastAsia="en-GB"/>
        </w:rPr>
        <w:t>, a</w:t>
      </w:r>
      <w:r w:rsidRPr="00BD0183">
        <w:rPr>
          <w:rFonts w:cs="Arial"/>
          <w:bCs w:val="0"/>
          <w:szCs w:val="24"/>
          <w:lang w:eastAsia="en-GB"/>
        </w:rPr>
        <w:t>lmost all</w:t>
      </w:r>
      <w:r w:rsidR="00720A7B" w:rsidRPr="00BD0183">
        <w:rPr>
          <w:rFonts w:cs="Arial"/>
          <w:bCs w:val="0"/>
          <w:szCs w:val="24"/>
          <w:lang w:eastAsia="en-GB"/>
        </w:rPr>
        <w:t xml:space="preserve"> (99%) of</w:t>
      </w:r>
      <w:r w:rsidRPr="00BD0183">
        <w:rPr>
          <w:rFonts w:cs="Arial"/>
          <w:bCs w:val="0"/>
          <w:szCs w:val="24"/>
          <w:lang w:eastAsia="en-GB"/>
        </w:rPr>
        <w:t xml:space="preserve"> people engaged in HIV care were receiving antiretroviral therapy (ART)</w:t>
      </w:r>
      <w:r w:rsidR="00720A7B" w:rsidRPr="00BD0183">
        <w:rPr>
          <w:rFonts w:cs="Arial"/>
          <w:bCs w:val="0"/>
          <w:szCs w:val="24"/>
          <w:lang w:eastAsia="en-GB"/>
        </w:rPr>
        <w:t xml:space="preserve"> treatment of whom, 9</w:t>
      </w:r>
      <w:r w:rsidR="00AF406D" w:rsidRPr="00BD0183">
        <w:rPr>
          <w:rFonts w:cs="Arial"/>
          <w:bCs w:val="0"/>
          <w:szCs w:val="24"/>
          <w:lang w:eastAsia="en-GB"/>
        </w:rPr>
        <w:t>8</w:t>
      </w:r>
      <w:r w:rsidR="00720A7B" w:rsidRPr="00BD0183">
        <w:rPr>
          <w:rFonts w:cs="Arial"/>
          <w:bCs w:val="0"/>
          <w:szCs w:val="24"/>
          <w:lang w:eastAsia="en-GB"/>
        </w:rPr>
        <w:t>%</w:t>
      </w:r>
      <w:r w:rsidR="00AD48EE" w:rsidRPr="00BD0183">
        <w:rPr>
          <w:rFonts w:cs="Arial"/>
          <w:bCs w:val="0"/>
          <w:szCs w:val="24"/>
          <w:lang w:eastAsia="en-GB"/>
        </w:rPr>
        <w:t xml:space="preserve"> were virally supressed (UKHSA. 202</w:t>
      </w:r>
      <w:r w:rsidR="00AF406D" w:rsidRPr="00BD0183">
        <w:rPr>
          <w:rFonts w:cs="Arial"/>
          <w:bCs w:val="0"/>
          <w:szCs w:val="24"/>
          <w:lang w:eastAsia="en-GB"/>
        </w:rPr>
        <w:t>2</w:t>
      </w:r>
      <w:r w:rsidR="00AD48EE" w:rsidRPr="00BD0183">
        <w:rPr>
          <w:rFonts w:cs="Arial"/>
          <w:bCs w:val="0"/>
          <w:szCs w:val="24"/>
          <w:lang w:eastAsia="en-GB"/>
        </w:rPr>
        <w:t xml:space="preserve">).  </w:t>
      </w:r>
      <w:r w:rsidRPr="00BD0183">
        <w:rPr>
          <w:rFonts w:cs="Arial"/>
          <w:bCs w:val="0"/>
          <w:szCs w:val="24"/>
          <w:lang w:eastAsia="en-GB"/>
        </w:rPr>
        <w:t xml:space="preserve"> </w:t>
      </w:r>
    </w:p>
    <w:p w14:paraId="48D8EE16" w14:textId="77777777" w:rsidR="00497B17" w:rsidRPr="00BD0183" w:rsidRDefault="00497B17" w:rsidP="2C08CB12">
      <w:pPr>
        <w:spacing w:after="0"/>
        <w:textAlignment w:val="baseline"/>
        <w:rPr>
          <w:rFonts w:cs="Arial"/>
          <w:lang w:eastAsia="en-GB"/>
        </w:rPr>
      </w:pPr>
    </w:p>
    <w:p w14:paraId="45328B6C" w14:textId="28674A31" w:rsidR="00497B17" w:rsidRPr="00BD0183" w:rsidRDefault="040EB59D" w:rsidP="1467F4BE">
      <w:pPr>
        <w:spacing w:after="0"/>
        <w:textAlignment w:val="baseline"/>
        <w:rPr>
          <w:rFonts w:cs="Arial"/>
          <w:lang w:eastAsia="en-GB"/>
        </w:rPr>
      </w:pPr>
      <w:r w:rsidRPr="00BD0183">
        <w:rPr>
          <w:rFonts w:cs="Arial"/>
          <w:lang w:eastAsia="en-GB"/>
        </w:rPr>
        <w:t xml:space="preserve">British HIV Association (BHIVA) </w:t>
      </w:r>
      <w:r w:rsidR="0F2A9D66" w:rsidRPr="00BD0183">
        <w:rPr>
          <w:rFonts w:cs="Arial"/>
          <w:lang w:eastAsia="en-GB"/>
        </w:rPr>
        <w:t>t</w:t>
      </w:r>
      <w:r w:rsidRPr="00BD0183">
        <w:rPr>
          <w:rFonts w:cs="Arial"/>
          <w:lang w:eastAsia="en-GB"/>
        </w:rPr>
        <w:t>reatment guidelines for adults currently recommend the following first-line (BHIVA. 20</w:t>
      </w:r>
      <w:r w:rsidR="5C8B7A64" w:rsidRPr="00BD0183">
        <w:rPr>
          <w:rFonts w:cs="Arial"/>
          <w:lang w:eastAsia="en-GB"/>
        </w:rPr>
        <w:t>22</w:t>
      </w:r>
      <w:r w:rsidRPr="00BD0183">
        <w:rPr>
          <w:rFonts w:cs="Arial"/>
          <w:lang w:eastAsia="en-GB"/>
        </w:rPr>
        <w:t>):</w:t>
      </w:r>
    </w:p>
    <w:p w14:paraId="7ECE1A2F" w14:textId="65C0B4DF" w:rsidR="008472AE" w:rsidRPr="00BD0183" w:rsidRDefault="008472AE" w:rsidP="1467F4BE">
      <w:pPr>
        <w:pStyle w:val="ListParagraph"/>
        <w:numPr>
          <w:ilvl w:val="0"/>
          <w:numId w:val="30"/>
        </w:numPr>
        <w:spacing w:after="0"/>
        <w:textAlignment w:val="baseline"/>
        <w:rPr>
          <w:rFonts w:cs="Arial"/>
          <w:lang w:eastAsia="en-GB"/>
        </w:rPr>
      </w:pPr>
      <w:r w:rsidRPr="00BD0183">
        <w:rPr>
          <w:rFonts w:cs="Arial"/>
          <w:b/>
          <w:lang w:eastAsia="en-GB"/>
        </w:rPr>
        <w:t>Recommended for most people with HIV</w:t>
      </w:r>
      <w:r w:rsidR="040EB59D" w:rsidRPr="00BD0183">
        <w:rPr>
          <w:rFonts w:cs="Arial"/>
          <w:lang w:eastAsia="en-GB"/>
        </w:rPr>
        <w:t xml:space="preserve">: </w:t>
      </w:r>
    </w:p>
    <w:p w14:paraId="5543F458" w14:textId="4FCF5326" w:rsidR="008472AE" w:rsidRPr="00BD0183" w:rsidRDefault="040EB59D" w:rsidP="008472AE">
      <w:pPr>
        <w:pStyle w:val="ListParagraph"/>
        <w:numPr>
          <w:ilvl w:val="1"/>
          <w:numId w:val="30"/>
        </w:numPr>
        <w:spacing w:after="0"/>
        <w:textAlignment w:val="baseline"/>
        <w:rPr>
          <w:rFonts w:cs="Arial"/>
          <w:lang w:eastAsia="en-GB"/>
        </w:rPr>
      </w:pPr>
      <w:r w:rsidRPr="00BD0183">
        <w:rPr>
          <w:rFonts w:cs="Arial"/>
          <w:lang w:val="fr-FR" w:eastAsia="en-GB"/>
        </w:rPr>
        <w:t xml:space="preserve">tenofovir disoproxil and emtricitabine or tenofovir alafenamide and emtricitabine </w:t>
      </w:r>
      <w:r w:rsidR="008472AE" w:rsidRPr="00BD0183">
        <w:rPr>
          <w:rFonts w:cs="Arial"/>
          <w:lang w:val="fr-FR" w:eastAsia="en-GB"/>
        </w:rPr>
        <w:t>or abacavir and lamivudine plus dolutegravir</w:t>
      </w:r>
    </w:p>
    <w:p w14:paraId="654D1FB7" w14:textId="6A95AB70" w:rsidR="008472AE" w:rsidRPr="00BD0183" w:rsidRDefault="008472AE" w:rsidP="008472AE">
      <w:pPr>
        <w:pStyle w:val="ListParagraph"/>
        <w:numPr>
          <w:ilvl w:val="1"/>
          <w:numId w:val="30"/>
        </w:numPr>
        <w:spacing w:after="0"/>
        <w:textAlignment w:val="baseline"/>
        <w:rPr>
          <w:rFonts w:cs="Arial"/>
          <w:lang w:eastAsia="en-GB"/>
        </w:rPr>
      </w:pPr>
      <w:r w:rsidRPr="00BD0183">
        <w:rPr>
          <w:rFonts w:cs="Arial"/>
          <w:lang w:eastAsia="en-GB"/>
        </w:rPr>
        <w:t>tenofovir alafenamide and emtricitabine and bictegravir</w:t>
      </w:r>
    </w:p>
    <w:p w14:paraId="0B75C25B" w14:textId="239AAB20" w:rsidR="000D4DDA" w:rsidRPr="00BD0183" w:rsidRDefault="008472AE" w:rsidP="00AC3134">
      <w:pPr>
        <w:pStyle w:val="ListParagraph"/>
        <w:numPr>
          <w:ilvl w:val="1"/>
          <w:numId w:val="30"/>
        </w:numPr>
        <w:spacing w:after="0"/>
        <w:textAlignment w:val="baseline"/>
        <w:rPr>
          <w:rFonts w:cs="Arial"/>
          <w:lang w:eastAsia="en-GB"/>
        </w:rPr>
      </w:pPr>
      <w:r w:rsidRPr="00BD0183">
        <w:rPr>
          <w:rFonts w:cs="Arial"/>
          <w:lang w:eastAsia="en-GB"/>
        </w:rPr>
        <w:lastRenderedPageBreak/>
        <w:t xml:space="preserve">Lamivudine and dolutegravir </w:t>
      </w:r>
    </w:p>
    <w:p w14:paraId="4B64A5A5" w14:textId="44FABC35" w:rsidR="1467F4BE" w:rsidRPr="00BD0183" w:rsidRDefault="008472AE" w:rsidP="008472AE">
      <w:pPr>
        <w:pStyle w:val="ListParagraph"/>
        <w:numPr>
          <w:ilvl w:val="1"/>
          <w:numId w:val="30"/>
        </w:numPr>
        <w:spacing w:after="0"/>
        <w:textAlignment w:val="baseline"/>
        <w:rPr>
          <w:rFonts w:cs="Arial"/>
          <w:lang w:val="fr-FR" w:eastAsia="en-GB"/>
        </w:rPr>
      </w:pPr>
      <w:r w:rsidRPr="00BD0183">
        <w:rPr>
          <w:rFonts w:cs="Arial"/>
          <w:b/>
          <w:lang w:eastAsia="en-GB"/>
        </w:rPr>
        <w:t>Recommended in some clinical situations</w:t>
      </w:r>
      <w:r w:rsidR="040EB59D" w:rsidRPr="00BD0183">
        <w:rPr>
          <w:rFonts w:cs="Arial"/>
          <w:lang w:eastAsia="en-GB"/>
        </w:rPr>
        <w:t xml:space="preserve">: </w:t>
      </w:r>
      <w:r w:rsidRPr="00BD0183">
        <w:rPr>
          <w:lang w:val="fr-FR"/>
        </w:rPr>
        <w:t>Darunavir plus cobicistat or ritonavir plus emtricitabine plus tenofovir alafenamide or tenofovir disoproxil</w:t>
      </w:r>
    </w:p>
    <w:p w14:paraId="2DFCC71C" w14:textId="1DF2F224" w:rsidR="008472AE" w:rsidRPr="00BD0183" w:rsidRDefault="008472AE" w:rsidP="008472AE">
      <w:pPr>
        <w:pStyle w:val="ListParagraph"/>
        <w:numPr>
          <w:ilvl w:val="1"/>
          <w:numId w:val="30"/>
        </w:numPr>
        <w:spacing w:after="0"/>
        <w:textAlignment w:val="baseline"/>
        <w:rPr>
          <w:rFonts w:cs="Arial"/>
          <w:lang w:val="fr-FR" w:eastAsia="en-GB"/>
        </w:rPr>
      </w:pPr>
      <w:r w:rsidRPr="00BD0183">
        <w:rPr>
          <w:lang w:val="fr-FR"/>
        </w:rPr>
        <w:t xml:space="preserve">Doravirine plus emtricitabine or lamivudine plus tenofovir </w:t>
      </w:r>
      <w:r w:rsidR="00AC3134" w:rsidRPr="00BD0183">
        <w:rPr>
          <w:lang w:val="fr-FR"/>
        </w:rPr>
        <w:t>alafenamide or</w:t>
      </w:r>
      <w:r w:rsidRPr="00BD0183">
        <w:rPr>
          <w:lang w:val="fr-FR"/>
        </w:rPr>
        <w:t xml:space="preserve"> tenofovir disoproxil</w:t>
      </w:r>
    </w:p>
    <w:p w14:paraId="58B98A87" w14:textId="3E81CF0F" w:rsidR="008472AE" w:rsidRPr="00BD0183" w:rsidRDefault="008472AE" w:rsidP="008472AE">
      <w:pPr>
        <w:pStyle w:val="ListParagraph"/>
        <w:numPr>
          <w:ilvl w:val="1"/>
          <w:numId w:val="30"/>
        </w:numPr>
        <w:spacing w:after="0"/>
        <w:textAlignment w:val="baseline"/>
        <w:rPr>
          <w:rFonts w:cs="Arial"/>
          <w:lang w:eastAsia="en-GB"/>
        </w:rPr>
      </w:pPr>
      <w:r w:rsidRPr="00BD0183">
        <w:t>Efavirenz plus emtricitabine or lamivudine plus abacavir or tenofovir alafenamideor tenofovir disoproxil</w:t>
      </w:r>
      <w:r w:rsidR="00BD2758" w:rsidRPr="00BD0183">
        <w:t xml:space="preserve"> (only in pregnancy or during tuberculosis treatment)</w:t>
      </w:r>
    </w:p>
    <w:p w14:paraId="74974399" w14:textId="74EE06BE" w:rsidR="00BD2758" w:rsidRPr="00BD0183" w:rsidRDefault="00BD2758" w:rsidP="008472AE">
      <w:pPr>
        <w:pStyle w:val="ListParagraph"/>
        <w:numPr>
          <w:ilvl w:val="1"/>
          <w:numId w:val="30"/>
        </w:numPr>
        <w:spacing w:after="0"/>
        <w:textAlignment w:val="baseline"/>
        <w:rPr>
          <w:rFonts w:cs="Arial"/>
          <w:lang w:val="fr-FR" w:eastAsia="en-GB"/>
        </w:rPr>
      </w:pPr>
      <w:r w:rsidRPr="00BD0183">
        <w:rPr>
          <w:lang w:val="fr-FR"/>
        </w:rPr>
        <w:t>Raltegravir plus emtricitabine plus tenofovir AF or tenofovir DX</w:t>
      </w:r>
    </w:p>
    <w:p w14:paraId="7F75EEAF" w14:textId="77777777" w:rsidR="00BD2758" w:rsidRDefault="00BD2758" w:rsidP="009F1B6B">
      <w:pPr>
        <w:spacing w:after="0"/>
        <w:textAlignment w:val="baseline"/>
        <w:rPr>
          <w:rFonts w:cs="Arial"/>
          <w:bCs w:val="0"/>
          <w:szCs w:val="24"/>
          <w:lang w:eastAsia="en-GB"/>
        </w:rPr>
      </w:pPr>
      <w:r>
        <w:rPr>
          <w:rFonts w:cs="Arial"/>
          <w:bCs w:val="0"/>
          <w:szCs w:val="24"/>
          <w:lang w:eastAsia="en-GB"/>
        </w:rPr>
        <w:t xml:space="preserve">Of note, several other regimens are recommended for switch and maintenance. </w:t>
      </w:r>
      <w:r w:rsidRPr="00BD2758">
        <w:rPr>
          <w:rFonts w:cs="Arial"/>
          <w:bCs w:val="0"/>
          <w:szCs w:val="24"/>
          <w:lang w:eastAsia="en-GB"/>
        </w:rPr>
        <w:t>o</w:t>
      </w:r>
      <w:r w:rsidRPr="00BD2758">
        <w:rPr>
          <w:rFonts w:cs="Arial"/>
          <w:bCs w:val="0"/>
          <w:szCs w:val="24"/>
          <w:lang w:eastAsia="en-GB"/>
        </w:rPr>
        <w:tab/>
        <w:t>When clinically appropriate, lamivudine and emtricitabine can be considered interchangeable.</w:t>
      </w:r>
      <w:r>
        <w:rPr>
          <w:rFonts w:cs="Arial"/>
          <w:bCs w:val="0"/>
          <w:szCs w:val="24"/>
          <w:lang w:eastAsia="en-GB"/>
        </w:rPr>
        <w:t xml:space="preserve"> </w:t>
      </w:r>
    </w:p>
    <w:p w14:paraId="017BD3A1" w14:textId="77777777" w:rsidR="00BD2758" w:rsidRDefault="00BD2758" w:rsidP="009F1B6B">
      <w:pPr>
        <w:spacing w:after="0"/>
        <w:textAlignment w:val="baseline"/>
        <w:rPr>
          <w:rFonts w:cs="Arial"/>
          <w:bCs w:val="0"/>
          <w:szCs w:val="24"/>
          <w:lang w:eastAsia="en-GB"/>
        </w:rPr>
      </w:pPr>
    </w:p>
    <w:p w14:paraId="562F581A" w14:textId="6A52B1CC" w:rsidR="00C5706D" w:rsidRPr="008472AE" w:rsidRDefault="00497B17" w:rsidP="009F1B6B">
      <w:pPr>
        <w:spacing w:after="0"/>
        <w:textAlignment w:val="baseline"/>
        <w:rPr>
          <w:rFonts w:cs="Arial"/>
          <w:bCs w:val="0"/>
          <w:szCs w:val="24"/>
          <w:lang w:eastAsia="en-GB"/>
        </w:rPr>
      </w:pPr>
      <w:r w:rsidRPr="008472AE">
        <w:rPr>
          <w:rFonts w:cs="Arial"/>
          <w:bCs w:val="0"/>
          <w:szCs w:val="24"/>
          <w:lang w:eastAsia="en-GB"/>
        </w:rPr>
        <w:t>These guidelines remain under regular review for any new outcome data, the expiry of patents for standard of care drugs and the availability of new drugs. Where new drugs become available they need to have similar or better efficacy and safety profiles than current ARVs and should either be cost comparative or contribute significantly to commissioning for value programmes.</w:t>
      </w:r>
    </w:p>
    <w:p w14:paraId="4FC041BF" w14:textId="6524F747" w:rsidR="00497B17" w:rsidRDefault="00497B17" w:rsidP="00497B17">
      <w:pPr>
        <w:spacing w:after="0"/>
        <w:textAlignment w:val="baseline"/>
        <w:rPr>
          <w:rFonts w:cs="Arial"/>
          <w:bCs w:val="0"/>
          <w:szCs w:val="24"/>
          <w:lang w:eastAsia="en-GB"/>
        </w:rPr>
      </w:pPr>
      <w:r w:rsidRPr="00497B17">
        <w:rPr>
          <w:rFonts w:cs="Arial"/>
          <w:bCs w:val="0"/>
          <w:szCs w:val="24"/>
          <w:lang w:eastAsia="en-GB"/>
        </w:rPr>
        <w:t>Tenofovir is a safe and widely used ARV. Evidence shows the new compound</w:t>
      </w:r>
      <w:r w:rsidR="00611DE4">
        <w:rPr>
          <w:rFonts w:cs="Arial"/>
          <w:bCs w:val="0"/>
          <w:szCs w:val="24"/>
          <w:lang w:eastAsia="en-GB"/>
        </w:rPr>
        <w:t xml:space="preserve"> (TAF)</w:t>
      </w:r>
      <w:r w:rsidRPr="00497B17">
        <w:rPr>
          <w:rFonts w:cs="Arial"/>
          <w:bCs w:val="0"/>
          <w:szCs w:val="24"/>
          <w:lang w:eastAsia="en-GB"/>
        </w:rPr>
        <w:t xml:space="preserve"> offers some additional benefits in the short term in terms of reduced toxicity for particular patient groups</w:t>
      </w:r>
      <w:r w:rsidR="00DF2827">
        <w:rPr>
          <w:rFonts w:cs="Arial"/>
          <w:bCs w:val="0"/>
          <w:szCs w:val="24"/>
          <w:lang w:eastAsia="en-GB"/>
        </w:rPr>
        <w:t>.</w:t>
      </w:r>
    </w:p>
    <w:p w14:paraId="62B3D1CE" w14:textId="3556A45C" w:rsidR="00353514" w:rsidRDefault="00353514" w:rsidP="0029242E">
      <w:pPr>
        <w:pStyle w:val="Heading2"/>
        <w:rPr>
          <w:rFonts w:eastAsiaTheme="minorEastAsia"/>
        </w:rPr>
      </w:pPr>
      <w:r>
        <w:rPr>
          <w:rFonts w:eastAsiaTheme="minorEastAsia"/>
        </w:rPr>
        <w:t>Evidence summary</w:t>
      </w:r>
    </w:p>
    <w:p w14:paraId="7FD71F1E" w14:textId="0C402074" w:rsidR="00490BA1" w:rsidRPr="00490BA1" w:rsidRDefault="00490BA1" w:rsidP="00490BA1">
      <w:pPr>
        <w:rPr>
          <w:rFonts w:eastAsiaTheme="minorEastAsia"/>
        </w:rPr>
      </w:pPr>
      <w:r w:rsidRPr="00490BA1">
        <w:rPr>
          <w:rFonts w:eastAsiaTheme="minorEastAsia"/>
        </w:rPr>
        <w:t>Tenofovir alafenamide (TAF) and tenofovir disoproxil fumarate (TDF) are both pro- drugs of tenofovir. TDF is already one of the most widely used HIV drugs, especially in combination with emtricitabine. Both TAF and TDF need to be converted inside cells to the active version of tenofovir (tenofovir diphosphate). The difference between the two pro-drugs is that TDF is converted to tenofovir in the plasma which then enters cells to undergo the activation step; TAF, however, mainly enters cells in the TAF form and is then broken down to tenofovir followed by conversion to the active form. TAF results in similar</w:t>
      </w:r>
      <w:r w:rsidR="00BD2758">
        <w:rPr>
          <w:rFonts w:eastAsiaTheme="minorEastAsia"/>
        </w:rPr>
        <w:t xml:space="preserve"> or higher</w:t>
      </w:r>
      <w:r w:rsidRPr="00490BA1">
        <w:rPr>
          <w:rFonts w:eastAsiaTheme="minorEastAsia"/>
        </w:rPr>
        <w:t xml:space="preserve"> active levels in cells but with much lower plasma concentrations of tenofovir, thought to be </w:t>
      </w:r>
      <w:r w:rsidR="00BD2758">
        <w:rPr>
          <w:rFonts w:eastAsiaTheme="minorEastAsia"/>
        </w:rPr>
        <w:t>an important</w:t>
      </w:r>
      <w:r w:rsidRPr="00490BA1">
        <w:rPr>
          <w:rFonts w:eastAsiaTheme="minorEastAsia"/>
        </w:rPr>
        <w:t xml:space="preserve"> predictor of tenofovir-associated toxicity. Renal impairment and reduced bone mineral density are the most important reported tenofovir toxicities and TAF, by virtue of the lower plasma tenofovir levels, is associated with lower rates of abnormal markers (serum creatinine, estimated GFR, markers of proteinuria) for both side effects compared with TDF. TAF-based regimens are at least as effective as TDF-based treatments for first-line treatment and for treatment switch. TAF is associated with a less favourable lipids profile than TDF with greater rises in total-, LDL- and HDL-cholesterol; numerical differences are, however, small and when compared as cobicistat, elvitegravir, emtricitabine, TDF vs elvitegravir/cobicistat/emtricitabine/TAF the average total: HDL-cholesterol ratio is the same for both. A summary of the trials investigating TAF-based HIV treatment follows:</w:t>
      </w:r>
    </w:p>
    <w:p w14:paraId="5D15C57F" w14:textId="14E503EB" w:rsidR="00490BA1" w:rsidRPr="009D53F1" w:rsidRDefault="00490BA1" w:rsidP="00490BA1">
      <w:pPr>
        <w:rPr>
          <w:rFonts w:eastAsiaTheme="minorEastAsia"/>
          <w:b/>
          <w:bCs w:val="0"/>
        </w:rPr>
      </w:pPr>
      <w:r w:rsidRPr="009D53F1">
        <w:rPr>
          <w:rFonts w:eastAsiaTheme="minorEastAsia"/>
          <w:b/>
          <w:bCs w:val="0"/>
        </w:rPr>
        <w:t xml:space="preserve">Studies of TAF vs TDF in </w:t>
      </w:r>
      <w:r w:rsidR="0027790F">
        <w:rPr>
          <w:rFonts w:eastAsiaTheme="minorEastAsia"/>
          <w:b/>
          <w:bCs w:val="0"/>
        </w:rPr>
        <w:t>fixed dose combinations (</w:t>
      </w:r>
      <w:r w:rsidRPr="009D53F1">
        <w:rPr>
          <w:rFonts w:eastAsiaTheme="minorEastAsia"/>
          <w:b/>
          <w:bCs w:val="0"/>
        </w:rPr>
        <w:t>FDCs</w:t>
      </w:r>
      <w:r w:rsidR="0027790F">
        <w:rPr>
          <w:rFonts w:eastAsiaTheme="minorEastAsia"/>
          <w:b/>
          <w:bCs w:val="0"/>
        </w:rPr>
        <w:t>)</w:t>
      </w:r>
      <w:r w:rsidRPr="009D53F1">
        <w:rPr>
          <w:rFonts w:eastAsiaTheme="minorEastAsia"/>
          <w:b/>
          <w:bCs w:val="0"/>
        </w:rPr>
        <w:t xml:space="preserve"> with elvitegravir/cobicistat/emtricitabine</w:t>
      </w:r>
    </w:p>
    <w:p w14:paraId="27468928" w14:textId="0F29EFD4" w:rsidR="00490BA1" w:rsidRPr="00490BA1" w:rsidRDefault="00490BA1" w:rsidP="00490BA1">
      <w:pPr>
        <w:rPr>
          <w:rFonts w:eastAsiaTheme="minorEastAsia"/>
        </w:rPr>
      </w:pPr>
      <w:r w:rsidRPr="00490BA1">
        <w:rPr>
          <w:rFonts w:eastAsiaTheme="minorEastAsia"/>
        </w:rPr>
        <w:t>The safety and efficacy of TAF compared to TDF has been assessed in one phase 2 RCT (Sax et al 2014), in two phase 3 RCTs in ART naïve patients and in one phase 3 RCT in stable patients switching to TAF.</w:t>
      </w:r>
    </w:p>
    <w:p w14:paraId="03027054" w14:textId="532D9F68" w:rsidR="00490BA1" w:rsidRPr="009D53F1" w:rsidRDefault="00490BA1" w:rsidP="009D53F1">
      <w:pPr>
        <w:pStyle w:val="ListParagraph"/>
        <w:numPr>
          <w:ilvl w:val="0"/>
          <w:numId w:val="31"/>
        </w:numPr>
        <w:rPr>
          <w:rFonts w:eastAsiaTheme="minorEastAsia"/>
        </w:rPr>
      </w:pPr>
      <w:r w:rsidRPr="009D53F1">
        <w:rPr>
          <w:rFonts w:eastAsiaTheme="minorEastAsia"/>
        </w:rPr>
        <w:t>GS-104 and GS-111 compared elvitegravir/cobicistat/emtricitabine/TDF FDC with elvitegravir/cobicistat/emtricitabine/TAF [E/C/F/TAF] FDC for first-line HIV treatment. In terms of efficacy, the TAF-based regimen was</w:t>
      </w:r>
      <w:r w:rsidR="004E1C92" w:rsidRPr="009D53F1">
        <w:rPr>
          <w:rFonts w:eastAsiaTheme="minorEastAsia"/>
        </w:rPr>
        <w:t xml:space="preserve"> </w:t>
      </w:r>
      <w:r w:rsidRPr="009D53F1">
        <w:rPr>
          <w:rFonts w:eastAsiaTheme="minorEastAsia"/>
        </w:rPr>
        <w:t>non-inferior to TDF-based treatment at 48 weeks (Sax et al 2015). There were low rates of resistance in both arms. The TAF-based group had significantly reduced impact on a range of biomarkers for renal and bone toxicity. Both FDCs are effective across a range of baseline viral loads.</w:t>
      </w:r>
    </w:p>
    <w:p w14:paraId="0618940C" w14:textId="4626F453" w:rsidR="00490BA1" w:rsidRPr="009D53F1" w:rsidRDefault="00490BA1" w:rsidP="00490BA1">
      <w:pPr>
        <w:pStyle w:val="ListParagraph"/>
        <w:numPr>
          <w:ilvl w:val="0"/>
          <w:numId w:val="31"/>
        </w:numPr>
        <w:rPr>
          <w:rFonts w:eastAsiaTheme="minorEastAsia"/>
        </w:rPr>
      </w:pPr>
      <w:r w:rsidRPr="009D53F1">
        <w:rPr>
          <w:rFonts w:eastAsiaTheme="minorEastAsia"/>
        </w:rPr>
        <w:lastRenderedPageBreak/>
        <w:t>In GS-109 patients who were suppressed on TDF-based combinations either continued treatment or switched to E/C/F/TAF FDC. Individuals switching treatment were as likely to maintain viral suppression (97% vs 93%) and experienced significant improvements in biomarkers for renal health. Bone mineral density at the spine and hip increased in the TAF group (Mills et al 2015).</w:t>
      </w:r>
    </w:p>
    <w:p w14:paraId="412951EF" w14:textId="0CE3C603" w:rsidR="00AB036F" w:rsidRDefault="00490BA1" w:rsidP="2C08CB12">
      <w:pPr>
        <w:rPr>
          <w:rFonts w:eastAsiaTheme="minorEastAsia"/>
        </w:rPr>
      </w:pPr>
      <w:r w:rsidRPr="2C08CB12">
        <w:rPr>
          <w:rFonts w:eastAsiaTheme="minorEastAsia"/>
        </w:rPr>
        <w:t xml:space="preserve">In summary TAF is tolerated well and is an effective nucleoside reverse transcriptase inhibitor for the treatment of HIV-1 infection when used in combination </w:t>
      </w:r>
      <w:r w:rsidRPr="00BD0183">
        <w:rPr>
          <w:rFonts w:eastAsiaTheme="minorEastAsia"/>
        </w:rPr>
        <w:t>antiretroviral therapy. TAF is associated with improved renal and bone markers compared to TDF.</w:t>
      </w:r>
      <w:r w:rsidR="00AB036F" w:rsidRPr="00BD0183">
        <w:rPr>
          <w:rFonts w:eastAsiaTheme="minorEastAsia"/>
        </w:rPr>
        <w:t xml:space="preserve"> TAF usage has been associated with weight </w:t>
      </w:r>
      <w:r w:rsidR="000951C4" w:rsidRPr="00BD0183">
        <w:rPr>
          <w:rFonts w:eastAsiaTheme="minorEastAsia"/>
        </w:rPr>
        <w:t>gain relative</w:t>
      </w:r>
      <w:r w:rsidR="6B69E1CE" w:rsidRPr="00BD0183">
        <w:rPr>
          <w:rFonts w:eastAsiaTheme="minorEastAsia"/>
        </w:rPr>
        <w:t xml:space="preserve"> to TDF </w:t>
      </w:r>
      <w:r w:rsidR="00AB036F" w:rsidRPr="00BD0183">
        <w:rPr>
          <w:rFonts w:eastAsiaTheme="minorEastAsia"/>
        </w:rPr>
        <w:t>in clinical trials</w:t>
      </w:r>
      <w:r w:rsidR="5A321669" w:rsidRPr="00BD0183">
        <w:rPr>
          <w:rFonts w:eastAsiaTheme="minorEastAsia"/>
        </w:rPr>
        <w:t xml:space="preserve"> and cohorts</w:t>
      </w:r>
      <w:r w:rsidR="00AB036F" w:rsidRPr="00BD0183">
        <w:rPr>
          <w:rFonts w:eastAsiaTheme="minorEastAsia"/>
        </w:rPr>
        <w:t xml:space="preserve"> (BHIVA. 2022).</w:t>
      </w:r>
      <w:r w:rsidR="00AB036F" w:rsidRPr="2C08CB12">
        <w:rPr>
          <w:rFonts w:eastAsiaTheme="minorEastAsia"/>
        </w:rPr>
        <w:t xml:space="preserve"> </w:t>
      </w:r>
    </w:p>
    <w:p w14:paraId="34258CA0" w14:textId="693902AE" w:rsidR="008C4F21" w:rsidRDefault="008C4F21" w:rsidP="00490BA1">
      <w:pPr>
        <w:rPr>
          <w:rFonts w:eastAsiaTheme="minorEastAsia"/>
        </w:rPr>
      </w:pPr>
    </w:p>
    <w:p w14:paraId="2E4D8F65" w14:textId="2E5E0D2A" w:rsidR="006C660B" w:rsidRDefault="006C660B" w:rsidP="0029242E">
      <w:pPr>
        <w:pStyle w:val="Heading2"/>
        <w:rPr>
          <w:rFonts w:eastAsiaTheme="minorEastAsia"/>
          <w:lang w:eastAsia="en-GB"/>
        </w:rPr>
      </w:pPr>
      <w:bookmarkStart w:id="4" w:name="_Toc457384249"/>
      <w:bookmarkStart w:id="5" w:name="_Toc458520724"/>
      <w:bookmarkEnd w:id="2"/>
      <w:bookmarkEnd w:id="3"/>
      <w:r>
        <w:rPr>
          <w:rFonts w:eastAsiaTheme="minorEastAsia"/>
          <w:lang w:eastAsia="en-GB"/>
        </w:rPr>
        <w:t>Implementation</w:t>
      </w:r>
    </w:p>
    <w:p w14:paraId="75B48806" w14:textId="19D93774" w:rsidR="007C2774" w:rsidRDefault="007C2774" w:rsidP="00910401">
      <w:pPr>
        <w:rPr>
          <w:rStyle w:val="normaltextrun"/>
          <w:rFonts w:cs="Arial"/>
          <w:color w:val="000000"/>
          <w:shd w:val="clear" w:color="auto" w:fill="FFFFFF"/>
        </w:rPr>
      </w:pPr>
      <w:r w:rsidRPr="007C2774">
        <w:rPr>
          <w:rStyle w:val="normaltextrun"/>
          <w:rFonts w:cs="Arial"/>
          <w:color w:val="000000"/>
          <w:shd w:val="clear" w:color="auto" w:fill="FFFFFF"/>
        </w:rPr>
        <w:t>The criteria below set out when TAF, as part of the TAF-containing</w:t>
      </w:r>
      <w:r w:rsidR="00E029A7">
        <w:rPr>
          <w:rStyle w:val="normaltextrun"/>
          <w:rFonts w:cs="Arial"/>
          <w:color w:val="000000"/>
          <w:shd w:val="clear" w:color="auto" w:fill="FFFFFF"/>
        </w:rPr>
        <w:t xml:space="preserve"> ART regimen</w:t>
      </w:r>
      <w:r w:rsidRPr="007C2774">
        <w:rPr>
          <w:rStyle w:val="normaltextrun"/>
          <w:rFonts w:cs="Arial"/>
          <w:color w:val="000000"/>
          <w:shd w:val="clear" w:color="auto" w:fill="FFFFFF"/>
        </w:rPr>
        <w:t>, will be routinely commissioned. The expectations are that TDF will be utilised unless the following high or medium risk factors are identified at either treatment initiation or treatment review.</w:t>
      </w:r>
    </w:p>
    <w:p w14:paraId="692BCF69" w14:textId="46C296C0" w:rsidR="00910401" w:rsidRPr="00910401" w:rsidRDefault="00910401" w:rsidP="00910401">
      <w:pPr>
        <w:rPr>
          <w:rFonts w:eastAsiaTheme="minorEastAsia"/>
          <w:lang w:eastAsia="en-GB"/>
        </w:rPr>
      </w:pPr>
      <w:r>
        <w:rPr>
          <w:rStyle w:val="normaltextrun"/>
          <w:rFonts w:cs="Arial"/>
          <w:color w:val="000000"/>
          <w:shd w:val="clear" w:color="auto" w:fill="FFFFFF"/>
        </w:rPr>
        <w:t xml:space="preserve">NHS England will routinely commission </w:t>
      </w:r>
      <w:r w:rsidR="00FB1EDF">
        <w:rPr>
          <w:rStyle w:val="normaltextrun"/>
          <w:rFonts w:cs="Arial"/>
          <w:color w:val="000000"/>
          <w:shd w:val="clear" w:color="auto" w:fill="FFFFFF"/>
        </w:rPr>
        <w:t xml:space="preserve">a </w:t>
      </w:r>
      <w:r w:rsidR="00AC464A">
        <w:rPr>
          <w:rStyle w:val="normaltextrun"/>
          <w:rFonts w:cs="Arial"/>
          <w:color w:val="000000"/>
          <w:shd w:val="clear" w:color="auto" w:fill="FFFFFF"/>
        </w:rPr>
        <w:t>tenofovir alafenamide</w:t>
      </w:r>
      <w:r w:rsidR="00FB1EDF">
        <w:rPr>
          <w:rStyle w:val="normaltextrun"/>
          <w:rFonts w:cs="Arial"/>
          <w:color w:val="000000"/>
          <w:shd w:val="clear" w:color="auto" w:fill="FFFFFF"/>
        </w:rPr>
        <w:t xml:space="preserve"> regimen</w:t>
      </w:r>
      <w:r w:rsidR="00AC464A">
        <w:rPr>
          <w:rStyle w:val="normaltextrun"/>
          <w:rFonts w:cs="Arial"/>
          <w:color w:val="000000"/>
          <w:shd w:val="clear" w:color="auto" w:fill="FFFFFF"/>
        </w:rPr>
        <w:t xml:space="preserve"> </w:t>
      </w:r>
      <w:r>
        <w:rPr>
          <w:rStyle w:val="normaltextrun"/>
          <w:rFonts w:cs="Arial"/>
          <w:color w:val="000000"/>
          <w:shd w:val="clear" w:color="auto" w:fill="FFFFFF"/>
        </w:rPr>
        <w:t>in accordance</w:t>
      </w:r>
      <w:r w:rsidR="00927A41">
        <w:rPr>
          <w:rStyle w:val="normaltextrun"/>
          <w:rFonts w:cs="Arial"/>
          <w:color w:val="000000"/>
          <w:shd w:val="clear" w:color="auto" w:fill="FFFFFF"/>
        </w:rPr>
        <w:t xml:space="preserve"> </w:t>
      </w:r>
      <w:r>
        <w:rPr>
          <w:rStyle w:val="normaltextrun"/>
          <w:rFonts w:cs="Arial"/>
          <w:color w:val="000000"/>
          <w:shd w:val="clear" w:color="auto" w:fill="FFFFFF"/>
        </w:rPr>
        <w:t>for patients meeting the following criteria</w:t>
      </w:r>
      <w:r w:rsidR="00824454">
        <w:rPr>
          <w:rStyle w:val="normaltextrun"/>
          <w:rFonts w:cs="Arial"/>
          <w:color w:val="000000"/>
          <w:shd w:val="clear" w:color="auto" w:fill="FFFFFF"/>
        </w:rPr>
        <w:t>:</w:t>
      </w:r>
      <w:r w:rsidR="00D70DC5">
        <w:rPr>
          <w:rStyle w:val="normaltextrun"/>
          <w:rFonts w:cs="Arial"/>
          <w:color w:val="000000"/>
          <w:shd w:val="clear" w:color="auto" w:fill="FFFFFF"/>
        </w:rPr>
        <w:t xml:space="preserve"> </w:t>
      </w:r>
    </w:p>
    <w:p w14:paraId="359144C5" w14:textId="1C0752F5" w:rsidR="002C0ED7" w:rsidRDefault="002C0ED7" w:rsidP="000479FE">
      <w:pPr>
        <w:pStyle w:val="Heading3"/>
      </w:pPr>
      <w:bookmarkStart w:id="6" w:name="_Toc457384250"/>
      <w:bookmarkStart w:id="7" w:name="_Toc458520725"/>
      <w:bookmarkEnd w:id="4"/>
      <w:bookmarkEnd w:id="5"/>
      <w:r w:rsidRPr="000479FE">
        <w:t>Inclusion criteria</w:t>
      </w:r>
    </w:p>
    <w:p w14:paraId="0DAF98A9" w14:textId="77777777" w:rsidR="001E500D" w:rsidRPr="00A274C1" w:rsidRDefault="00AE7C6C" w:rsidP="00AE7C6C">
      <w:pPr>
        <w:rPr>
          <w:b/>
          <w:bCs w:val="0"/>
        </w:rPr>
      </w:pPr>
      <w:r w:rsidRPr="00A274C1">
        <w:rPr>
          <w:b/>
          <w:bCs w:val="0"/>
        </w:rPr>
        <w:t>All patients</w:t>
      </w:r>
      <w:r w:rsidR="001E500D" w:rsidRPr="00A274C1">
        <w:rPr>
          <w:b/>
          <w:bCs w:val="0"/>
        </w:rPr>
        <w:t>:</w:t>
      </w:r>
    </w:p>
    <w:p w14:paraId="2DC8DF85" w14:textId="3B106337" w:rsidR="00CE7A1D" w:rsidRPr="00C253C8" w:rsidRDefault="42E8161F" w:rsidP="1467F4BE">
      <w:pPr>
        <w:pStyle w:val="ListParagraph"/>
        <w:widowControl w:val="0"/>
        <w:numPr>
          <w:ilvl w:val="0"/>
          <w:numId w:val="37"/>
        </w:numPr>
        <w:tabs>
          <w:tab w:val="left" w:pos="832"/>
          <w:tab w:val="left" w:pos="833"/>
        </w:tabs>
        <w:autoSpaceDE w:val="0"/>
        <w:autoSpaceDN w:val="0"/>
        <w:spacing w:after="0"/>
        <w:ind w:right="795"/>
      </w:pPr>
      <w:r>
        <w:t>Decisions to offer TAF are made by appropriately qualified members following a clinical assessment and that ongoing monitoring is</w:t>
      </w:r>
      <w:r w:rsidR="73137ABD">
        <w:t xml:space="preserve"> performed</w:t>
      </w:r>
      <w:r>
        <w:t xml:space="preserve"> in accordance with</w:t>
      </w:r>
      <w:r w:rsidR="73137ABD">
        <w:t xml:space="preserve"> national service specifications</w:t>
      </w:r>
      <w:r w:rsidR="7BDAC348">
        <w:t xml:space="preserve">, </w:t>
      </w:r>
      <w:r w:rsidR="0C9A2BA5">
        <w:t xml:space="preserve">British HIV </w:t>
      </w:r>
      <w:r w:rsidR="0C9A2BA5" w:rsidRPr="00BD0183">
        <w:t>Association (BHIVA. 20</w:t>
      </w:r>
      <w:r w:rsidR="55E99E51" w:rsidRPr="00BD0183">
        <w:t>22</w:t>
      </w:r>
      <w:r w:rsidR="0C9A2BA5" w:rsidRPr="00BD0183">
        <w:t>) guidelines</w:t>
      </w:r>
      <w:r w:rsidR="7BDAC348">
        <w:t xml:space="preserve"> and</w:t>
      </w:r>
      <w:r w:rsidR="51E7F801">
        <w:t>/or</w:t>
      </w:r>
      <w:r w:rsidR="7BDAC348">
        <w:t xml:space="preserve"> local best practice gui</w:t>
      </w:r>
      <w:r w:rsidR="4ACA096D">
        <w:t>dance</w:t>
      </w:r>
      <w:r w:rsidR="38663589">
        <w:t xml:space="preserve"> </w:t>
      </w:r>
      <w:r w:rsidR="38663589" w:rsidRPr="13DF01B0">
        <w:rPr>
          <w:b/>
        </w:rPr>
        <w:t>AND</w:t>
      </w:r>
    </w:p>
    <w:p w14:paraId="31957AB4" w14:textId="0E74ED57" w:rsidR="00C253C8" w:rsidRDefault="00C253C8" w:rsidP="00BC3770">
      <w:pPr>
        <w:pStyle w:val="ListParagraph"/>
        <w:widowControl w:val="0"/>
        <w:numPr>
          <w:ilvl w:val="0"/>
          <w:numId w:val="37"/>
        </w:numPr>
        <w:tabs>
          <w:tab w:val="left" w:pos="832"/>
          <w:tab w:val="left" w:pos="833"/>
        </w:tabs>
        <w:autoSpaceDE w:val="0"/>
        <w:autoSpaceDN w:val="0"/>
        <w:spacing w:after="0"/>
        <w:ind w:right="795"/>
        <w:contextualSpacing w:val="0"/>
      </w:pPr>
      <w:r w:rsidRPr="00C253C8">
        <w:t xml:space="preserve">Prescribers should refer to the Summary of Product Characteristics (SPC) </w:t>
      </w:r>
      <w:r w:rsidR="00EC29E3">
        <w:t>for detailed information regarding</w:t>
      </w:r>
      <w:r w:rsidR="00B473E4">
        <w:t xml:space="preserve"> safety and suitability </w:t>
      </w:r>
      <w:r w:rsidR="00246CD7">
        <w:t>for</w:t>
      </w:r>
      <w:r w:rsidR="00EC29E3">
        <w:t xml:space="preserve"> TAF and TD</w:t>
      </w:r>
      <w:r w:rsidR="00D20AF4">
        <w:t>F</w:t>
      </w:r>
      <w:r w:rsidR="006D5B2D">
        <w:t xml:space="preserve"> </w:t>
      </w:r>
      <w:r w:rsidR="006D5B2D" w:rsidRPr="00C253C8">
        <w:rPr>
          <w:b/>
          <w:bCs w:val="0"/>
        </w:rPr>
        <w:t>AND</w:t>
      </w:r>
    </w:p>
    <w:p w14:paraId="0090C553" w14:textId="4F658651" w:rsidR="00763334" w:rsidRPr="00F14C72" w:rsidRDefault="00763334" w:rsidP="00BC3770">
      <w:pPr>
        <w:pStyle w:val="ListParagraph"/>
        <w:widowControl w:val="0"/>
        <w:numPr>
          <w:ilvl w:val="0"/>
          <w:numId w:val="37"/>
        </w:numPr>
        <w:tabs>
          <w:tab w:val="left" w:pos="832"/>
          <w:tab w:val="left" w:pos="833"/>
        </w:tabs>
        <w:autoSpaceDE w:val="0"/>
        <w:autoSpaceDN w:val="0"/>
        <w:spacing w:after="0"/>
        <w:ind w:right="795"/>
        <w:contextualSpacing w:val="0"/>
      </w:pPr>
      <w:r>
        <w:t>Prescribers should consider other suitable ART options</w:t>
      </w:r>
      <w:r w:rsidR="00782856">
        <w:t xml:space="preserve"> dependent on concurrent patient factors (e.g. cardiovascular</w:t>
      </w:r>
      <w:r w:rsidR="00FE245A">
        <w:t xml:space="preserve"> disease or co-existing hepatitis)</w:t>
      </w:r>
      <w:r>
        <w:t xml:space="preserve"> to</w:t>
      </w:r>
      <w:r w:rsidR="004D0485">
        <w:t xml:space="preserve"> construct the most</w:t>
      </w:r>
      <w:r w:rsidR="009F68D0">
        <w:t xml:space="preserve"> clinically effective</w:t>
      </w:r>
      <w:r w:rsidR="00FE25B8">
        <w:t xml:space="preserve"> and suitable</w:t>
      </w:r>
      <w:r w:rsidR="009F68D0">
        <w:t xml:space="preserve"> regimen at the lowest acquisition cost.</w:t>
      </w:r>
      <w:r w:rsidR="004D0485">
        <w:t xml:space="preserve"> </w:t>
      </w:r>
    </w:p>
    <w:p w14:paraId="5AF7FF1B" w14:textId="77777777" w:rsidR="008572CB" w:rsidRDefault="008572CB" w:rsidP="008572CB">
      <w:pPr>
        <w:widowControl w:val="0"/>
        <w:tabs>
          <w:tab w:val="left" w:pos="832"/>
          <w:tab w:val="left" w:pos="833"/>
        </w:tabs>
        <w:autoSpaceDE w:val="0"/>
        <w:autoSpaceDN w:val="0"/>
        <w:spacing w:after="0"/>
        <w:ind w:right="795"/>
      </w:pPr>
    </w:p>
    <w:p w14:paraId="09CDDE7B" w14:textId="49759166" w:rsidR="008572CB" w:rsidRPr="00C253C8" w:rsidRDefault="00BD16E5" w:rsidP="008572CB">
      <w:pPr>
        <w:widowControl w:val="0"/>
        <w:tabs>
          <w:tab w:val="left" w:pos="832"/>
          <w:tab w:val="left" w:pos="833"/>
        </w:tabs>
        <w:autoSpaceDE w:val="0"/>
        <w:autoSpaceDN w:val="0"/>
        <w:spacing w:after="0"/>
        <w:ind w:right="795"/>
      </w:pPr>
      <w:r w:rsidRPr="00642050">
        <w:rPr>
          <w:b/>
          <w:bCs w:val="0"/>
        </w:rPr>
        <w:t>AND</w:t>
      </w:r>
      <w:r w:rsidR="00642050" w:rsidRPr="00642050">
        <w:rPr>
          <w:b/>
          <w:bCs w:val="0"/>
        </w:rPr>
        <w:t xml:space="preserve"> </w:t>
      </w:r>
      <w:r w:rsidR="008572CB">
        <w:t xml:space="preserve">Individuals </w:t>
      </w:r>
      <w:r w:rsidR="00642050">
        <w:t xml:space="preserve">meet </w:t>
      </w:r>
      <w:r w:rsidR="008572CB">
        <w:t xml:space="preserve">either high risk </w:t>
      </w:r>
      <w:r w:rsidR="00642050" w:rsidRPr="00642050">
        <w:rPr>
          <w:b/>
          <w:bCs w:val="0"/>
        </w:rPr>
        <w:t>OR</w:t>
      </w:r>
      <w:r w:rsidR="008572CB">
        <w:t xml:space="preserve"> medium risk factors for TDF:</w:t>
      </w:r>
    </w:p>
    <w:p w14:paraId="2CECF7CF" w14:textId="77777777" w:rsidR="00C63A03" w:rsidRPr="00AE7C6C" w:rsidRDefault="00C63A03" w:rsidP="00C63A03">
      <w:pPr>
        <w:spacing w:after="0"/>
      </w:pPr>
    </w:p>
    <w:p w14:paraId="07C51B8B" w14:textId="26062996" w:rsidR="005A595F" w:rsidRPr="004A5D6F" w:rsidRDefault="070FB937" w:rsidP="72245AE3">
      <w:pPr>
        <w:pStyle w:val="ListParagraph"/>
        <w:widowControl w:val="0"/>
        <w:numPr>
          <w:ilvl w:val="0"/>
          <w:numId w:val="34"/>
        </w:numPr>
        <w:tabs>
          <w:tab w:val="left" w:pos="832"/>
          <w:tab w:val="left" w:pos="833"/>
        </w:tabs>
        <w:autoSpaceDE w:val="0"/>
        <w:autoSpaceDN w:val="0"/>
        <w:spacing w:after="0" w:line="238" w:lineRule="auto"/>
        <w:ind w:right="550"/>
        <w:rPr>
          <w:b/>
        </w:rPr>
      </w:pPr>
      <w:r w:rsidRPr="40874E11">
        <w:rPr>
          <w:b/>
        </w:rPr>
        <w:t>High risk factors for TD</w:t>
      </w:r>
      <w:r w:rsidR="777077E8" w:rsidRPr="40874E11">
        <w:rPr>
          <w:b/>
        </w:rPr>
        <w:t>F</w:t>
      </w:r>
      <w:r w:rsidRPr="40874E11">
        <w:rPr>
          <w:b/>
        </w:rPr>
        <w:t>:</w:t>
      </w:r>
    </w:p>
    <w:p w14:paraId="2FBE59D2" w14:textId="5D8E3F98" w:rsidR="005A595F" w:rsidRPr="004A5D6F" w:rsidRDefault="005A595F" w:rsidP="005A595F">
      <w:pPr>
        <w:widowControl w:val="0"/>
        <w:numPr>
          <w:ilvl w:val="1"/>
          <w:numId w:val="35"/>
        </w:numPr>
        <w:autoSpaceDE w:val="0"/>
        <w:autoSpaceDN w:val="0"/>
        <w:spacing w:after="0"/>
        <w:rPr>
          <w:szCs w:val="24"/>
        </w:rPr>
      </w:pPr>
      <w:r w:rsidRPr="004A5D6F">
        <w:rPr>
          <w:szCs w:val="24"/>
        </w:rPr>
        <w:t>Moderate</w:t>
      </w:r>
      <w:r>
        <w:rPr>
          <w:szCs w:val="24"/>
        </w:rPr>
        <w:t xml:space="preserve"> or severe reduction in glomerular filtration</w:t>
      </w:r>
      <w:r w:rsidRPr="004A5D6F">
        <w:rPr>
          <w:szCs w:val="24"/>
        </w:rPr>
        <w:t xml:space="preserve"> (Estimated Glomerular Filtration Rate</w:t>
      </w:r>
      <w:r>
        <w:rPr>
          <w:rStyle w:val="FootnoteReference"/>
          <w:szCs w:val="24"/>
        </w:rPr>
        <w:footnoteReference w:id="4"/>
      </w:r>
      <w:r w:rsidRPr="004A5D6F">
        <w:rPr>
          <w:szCs w:val="24"/>
        </w:rPr>
        <w:t xml:space="preserve"> (eGFR) </w:t>
      </w:r>
      <w:r>
        <w:rPr>
          <w:szCs w:val="24"/>
        </w:rPr>
        <w:t>≤ 49</w:t>
      </w:r>
      <w:r w:rsidRPr="004A5D6F">
        <w:rPr>
          <w:szCs w:val="24"/>
        </w:rPr>
        <w:t xml:space="preserve"> ml/min</w:t>
      </w:r>
      <w:r w:rsidRPr="009F08B3">
        <w:rPr>
          <w:szCs w:val="24"/>
          <w:vertAlign w:val="superscript"/>
        </w:rPr>
        <w:t>2</w:t>
      </w:r>
      <w:r w:rsidRPr="004A5D6F">
        <w:rPr>
          <w:szCs w:val="24"/>
        </w:rPr>
        <w:t xml:space="preserve"> ) </w:t>
      </w:r>
      <w:r>
        <w:rPr>
          <w:szCs w:val="24"/>
        </w:rPr>
        <w:t xml:space="preserve">and clinical assessment suggests that TAF would have a lower risk </w:t>
      </w:r>
      <w:r w:rsidRPr="004A5D6F">
        <w:rPr>
          <w:szCs w:val="24"/>
        </w:rPr>
        <w:t>profile than TD</w:t>
      </w:r>
      <w:r w:rsidR="009E42A6">
        <w:rPr>
          <w:szCs w:val="24"/>
        </w:rPr>
        <w:t>F</w:t>
      </w:r>
      <w:r w:rsidRPr="004A5D6F">
        <w:rPr>
          <w:szCs w:val="24"/>
        </w:rPr>
        <w:t xml:space="preserve"> </w:t>
      </w:r>
      <w:r w:rsidRPr="004A5D6F">
        <w:rPr>
          <w:b/>
          <w:szCs w:val="24"/>
        </w:rPr>
        <w:t>OR</w:t>
      </w:r>
    </w:p>
    <w:p w14:paraId="34889B37" w14:textId="352A93DE" w:rsidR="005A595F" w:rsidRPr="004A5D6F" w:rsidRDefault="005A595F" w:rsidP="005A595F">
      <w:pPr>
        <w:widowControl w:val="0"/>
        <w:numPr>
          <w:ilvl w:val="1"/>
          <w:numId w:val="35"/>
        </w:numPr>
        <w:autoSpaceDE w:val="0"/>
        <w:autoSpaceDN w:val="0"/>
        <w:spacing w:after="0"/>
        <w:rPr>
          <w:b/>
          <w:bCs w:val="0"/>
          <w:szCs w:val="24"/>
        </w:rPr>
      </w:pPr>
      <w:r w:rsidRPr="004A5D6F">
        <w:rPr>
          <w:szCs w:val="24"/>
        </w:rPr>
        <w:t>Individuals with proven renal toxicity</w:t>
      </w:r>
      <w:r>
        <w:rPr>
          <w:rStyle w:val="FootnoteReference"/>
          <w:szCs w:val="24"/>
        </w:rPr>
        <w:footnoteReference w:id="5"/>
      </w:r>
      <w:r>
        <w:rPr>
          <w:szCs w:val="24"/>
        </w:rPr>
        <w:t xml:space="preserve"> </w:t>
      </w:r>
      <w:r w:rsidRPr="004A5D6F">
        <w:rPr>
          <w:szCs w:val="24"/>
        </w:rPr>
        <w:t xml:space="preserve">with </w:t>
      </w:r>
      <w:r>
        <w:rPr>
          <w:szCs w:val="24"/>
        </w:rPr>
        <w:t>T</w:t>
      </w:r>
      <w:r w:rsidRPr="004A5D6F">
        <w:rPr>
          <w:szCs w:val="24"/>
        </w:rPr>
        <w:t>D</w:t>
      </w:r>
      <w:r w:rsidR="009E42A6">
        <w:rPr>
          <w:szCs w:val="24"/>
        </w:rPr>
        <w:t>F</w:t>
      </w:r>
      <w:r w:rsidRPr="004A5D6F">
        <w:rPr>
          <w:szCs w:val="24"/>
        </w:rPr>
        <w:t xml:space="preserve"> (acute or chronic) </w:t>
      </w:r>
      <w:r w:rsidRPr="004A5D6F">
        <w:rPr>
          <w:b/>
          <w:szCs w:val="24"/>
        </w:rPr>
        <w:t>OR</w:t>
      </w:r>
    </w:p>
    <w:p w14:paraId="51665E2B" w14:textId="0AF27D88" w:rsidR="005A595F" w:rsidRDefault="005A595F" w:rsidP="005A595F">
      <w:pPr>
        <w:widowControl w:val="0"/>
        <w:numPr>
          <w:ilvl w:val="1"/>
          <w:numId w:val="35"/>
        </w:numPr>
        <w:autoSpaceDE w:val="0"/>
        <w:autoSpaceDN w:val="0"/>
        <w:spacing w:after="0"/>
        <w:rPr>
          <w:szCs w:val="24"/>
        </w:rPr>
      </w:pPr>
      <w:r>
        <w:rPr>
          <w:szCs w:val="24"/>
        </w:rPr>
        <w:t xml:space="preserve">Individuals </w:t>
      </w:r>
      <w:r w:rsidRPr="004A5D6F">
        <w:rPr>
          <w:szCs w:val="24"/>
        </w:rPr>
        <w:t>with confirmed osteoporosis on DEXA or a high risk</w:t>
      </w:r>
      <w:r>
        <w:rPr>
          <w:rStyle w:val="FootnoteReference"/>
          <w:szCs w:val="24"/>
        </w:rPr>
        <w:footnoteReference w:id="6"/>
      </w:r>
      <w:r w:rsidRPr="004A5D6F">
        <w:rPr>
          <w:szCs w:val="24"/>
        </w:rPr>
        <w:t xml:space="preserve"> of a major </w:t>
      </w:r>
      <w:r w:rsidRPr="004A5D6F">
        <w:rPr>
          <w:szCs w:val="24"/>
        </w:rPr>
        <w:lastRenderedPageBreak/>
        <w:t>fracture as determined by</w:t>
      </w:r>
      <w:r>
        <w:rPr>
          <w:szCs w:val="24"/>
        </w:rPr>
        <w:t xml:space="preserve"> an appropriate fragility risk score.</w:t>
      </w:r>
    </w:p>
    <w:p w14:paraId="13C67438" w14:textId="2BBFE16D" w:rsidR="0012037D" w:rsidRPr="0012037D" w:rsidRDefault="0012037D" w:rsidP="0012037D">
      <w:pPr>
        <w:widowControl w:val="0"/>
        <w:autoSpaceDE w:val="0"/>
        <w:autoSpaceDN w:val="0"/>
        <w:spacing w:after="0"/>
        <w:rPr>
          <w:b/>
          <w:bCs w:val="0"/>
          <w:szCs w:val="24"/>
        </w:rPr>
      </w:pPr>
      <w:r w:rsidRPr="0012037D">
        <w:rPr>
          <w:b/>
          <w:bCs w:val="0"/>
          <w:szCs w:val="24"/>
        </w:rPr>
        <w:t>OR</w:t>
      </w:r>
    </w:p>
    <w:p w14:paraId="2E2F48AD" w14:textId="77777777" w:rsidR="00E4592E" w:rsidRPr="00E4592E" w:rsidRDefault="00E4592E" w:rsidP="00E4592E">
      <w:pPr>
        <w:widowControl w:val="0"/>
        <w:autoSpaceDE w:val="0"/>
        <w:autoSpaceDN w:val="0"/>
        <w:spacing w:after="0"/>
        <w:ind w:left="1440"/>
        <w:rPr>
          <w:szCs w:val="24"/>
        </w:rPr>
      </w:pPr>
    </w:p>
    <w:p w14:paraId="5F377727" w14:textId="5576282C" w:rsidR="005A595F" w:rsidRPr="004A5D6F" w:rsidRDefault="005A595F" w:rsidP="005A595F">
      <w:pPr>
        <w:pStyle w:val="ListParagraph"/>
        <w:widowControl w:val="0"/>
        <w:numPr>
          <w:ilvl w:val="0"/>
          <w:numId w:val="34"/>
        </w:numPr>
        <w:tabs>
          <w:tab w:val="left" w:pos="832"/>
          <w:tab w:val="left" w:pos="833"/>
        </w:tabs>
        <w:autoSpaceDE w:val="0"/>
        <w:autoSpaceDN w:val="0"/>
        <w:spacing w:after="0" w:line="238" w:lineRule="auto"/>
        <w:ind w:right="550"/>
        <w:contextualSpacing w:val="0"/>
        <w:rPr>
          <w:b/>
          <w:bCs w:val="0"/>
          <w:szCs w:val="24"/>
        </w:rPr>
      </w:pPr>
      <w:r w:rsidRPr="46DE8C7B">
        <w:rPr>
          <w:b/>
          <w:szCs w:val="24"/>
        </w:rPr>
        <w:t>Medium risk factors for TD</w:t>
      </w:r>
      <w:r w:rsidR="009E42A6">
        <w:rPr>
          <w:b/>
          <w:szCs w:val="24"/>
        </w:rPr>
        <w:t>F</w:t>
      </w:r>
      <w:r w:rsidRPr="46DE8C7B">
        <w:rPr>
          <w:b/>
          <w:szCs w:val="24"/>
        </w:rPr>
        <w:t>:</w:t>
      </w:r>
    </w:p>
    <w:p w14:paraId="54EA8DC1" w14:textId="77777777" w:rsidR="00AC7AD3" w:rsidRDefault="00AC7AD3" w:rsidP="006E170C">
      <w:pPr>
        <w:widowControl w:val="0"/>
        <w:tabs>
          <w:tab w:val="left" w:pos="832"/>
          <w:tab w:val="left" w:pos="833"/>
        </w:tabs>
        <w:autoSpaceDE w:val="0"/>
        <w:autoSpaceDN w:val="0"/>
        <w:spacing w:after="0" w:line="237" w:lineRule="auto"/>
        <w:ind w:right="548"/>
        <w:rPr>
          <w:szCs w:val="24"/>
        </w:rPr>
      </w:pPr>
    </w:p>
    <w:p w14:paraId="10836526" w14:textId="1A7AED12" w:rsidR="00AD58E7" w:rsidRPr="006E170C" w:rsidRDefault="006E170C" w:rsidP="006E170C">
      <w:pPr>
        <w:widowControl w:val="0"/>
        <w:tabs>
          <w:tab w:val="left" w:pos="832"/>
          <w:tab w:val="left" w:pos="833"/>
        </w:tabs>
        <w:autoSpaceDE w:val="0"/>
        <w:autoSpaceDN w:val="0"/>
        <w:spacing w:after="0" w:line="237" w:lineRule="auto"/>
        <w:ind w:right="548"/>
        <w:rPr>
          <w:szCs w:val="24"/>
        </w:rPr>
      </w:pPr>
      <w:r w:rsidRPr="006E170C">
        <w:rPr>
          <w:szCs w:val="24"/>
        </w:rPr>
        <w:t>All medium risk patients must be discussed at</w:t>
      </w:r>
      <w:r w:rsidR="0047153F">
        <w:rPr>
          <w:szCs w:val="24"/>
        </w:rPr>
        <w:t xml:space="preserve"> a</w:t>
      </w:r>
      <w:r w:rsidRPr="006E170C">
        <w:rPr>
          <w:szCs w:val="24"/>
        </w:rPr>
        <w:t xml:space="preserve"> </w:t>
      </w:r>
      <w:r w:rsidR="00130F68">
        <w:rPr>
          <w:szCs w:val="24"/>
        </w:rPr>
        <w:t>Multi-disciplinary Team (</w:t>
      </w:r>
      <w:r w:rsidRPr="006E170C">
        <w:rPr>
          <w:szCs w:val="24"/>
        </w:rPr>
        <w:t>MDT</w:t>
      </w:r>
      <w:r w:rsidR="00130F68">
        <w:rPr>
          <w:szCs w:val="24"/>
        </w:rPr>
        <w:t>) meeting</w:t>
      </w:r>
      <w:r w:rsidRPr="006E170C">
        <w:rPr>
          <w:szCs w:val="24"/>
        </w:rPr>
        <w:t xml:space="preserve"> and the alternative regimen agreed</w:t>
      </w:r>
      <w:r w:rsidR="00893B59">
        <w:rPr>
          <w:szCs w:val="24"/>
        </w:rPr>
        <w:t xml:space="preserve"> and </w:t>
      </w:r>
      <w:r w:rsidR="006A4AC5">
        <w:rPr>
          <w:szCs w:val="24"/>
        </w:rPr>
        <w:t>meet the inclusion criteria</w:t>
      </w:r>
      <w:r w:rsidR="0011229E">
        <w:rPr>
          <w:szCs w:val="24"/>
        </w:rPr>
        <w:t xml:space="preserve"> as</w:t>
      </w:r>
      <w:r w:rsidR="00893B59">
        <w:rPr>
          <w:szCs w:val="24"/>
        </w:rPr>
        <w:t xml:space="preserve"> either:</w:t>
      </w:r>
    </w:p>
    <w:p w14:paraId="6DE303B5" w14:textId="0817DAB1" w:rsidR="005A595F" w:rsidRPr="001D08E5" w:rsidRDefault="005A595F" w:rsidP="005A595F">
      <w:pPr>
        <w:pStyle w:val="ListParagraph"/>
        <w:widowControl w:val="0"/>
        <w:numPr>
          <w:ilvl w:val="0"/>
          <w:numId w:val="36"/>
        </w:numPr>
        <w:tabs>
          <w:tab w:val="left" w:pos="832"/>
          <w:tab w:val="left" w:pos="833"/>
        </w:tabs>
        <w:autoSpaceDE w:val="0"/>
        <w:autoSpaceDN w:val="0"/>
        <w:spacing w:after="0" w:line="237" w:lineRule="auto"/>
        <w:ind w:right="548"/>
        <w:contextualSpacing w:val="0"/>
        <w:rPr>
          <w:szCs w:val="24"/>
        </w:rPr>
      </w:pPr>
      <w:r>
        <w:rPr>
          <w:szCs w:val="24"/>
        </w:rPr>
        <w:t xml:space="preserve">Individuals who are &lt; </w:t>
      </w:r>
      <w:r w:rsidR="009B0DEF">
        <w:rPr>
          <w:szCs w:val="24"/>
        </w:rPr>
        <w:t>25</w:t>
      </w:r>
      <w:r>
        <w:rPr>
          <w:szCs w:val="24"/>
        </w:rPr>
        <w:t xml:space="preserve"> years</w:t>
      </w:r>
      <w:r>
        <w:rPr>
          <w:rStyle w:val="FootnoteReference"/>
          <w:rFonts w:eastAsiaTheme="majorEastAsia"/>
          <w:szCs w:val="24"/>
        </w:rPr>
        <w:footnoteReference w:id="7"/>
      </w:r>
      <w:r>
        <w:rPr>
          <w:szCs w:val="24"/>
        </w:rPr>
        <w:t xml:space="preserve"> </w:t>
      </w:r>
      <w:r w:rsidRPr="00AB6848">
        <w:rPr>
          <w:b/>
          <w:szCs w:val="24"/>
        </w:rPr>
        <w:t>OR</w:t>
      </w:r>
    </w:p>
    <w:p w14:paraId="39123037" w14:textId="77777777" w:rsidR="005A595F" w:rsidRPr="00640CE2" w:rsidRDefault="005A595F" w:rsidP="005A595F">
      <w:pPr>
        <w:pStyle w:val="ListParagraph"/>
        <w:numPr>
          <w:ilvl w:val="0"/>
          <w:numId w:val="36"/>
        </w:numPr>
        <w:rPr>
          <w:szCs w:val="24"/>
        </w:rPr>
      </w:pPr>
      <w:r w:rsidRPr="00640CE2">
        <w:rPr>
          <w:szCs w:val="24"/>
        </w:rPr>
        <w:t>Individuals with an eGFR ≥ 50 ml/min</w:t>
      </w:r>
      <w:r w:rsidRPr="00640CE2">
        <w:rPr>
          <w:szCs w:val="24"/>
          <w:vertAlign w:val="superscript"/>
        </w:rPr>
        <w:t>2</w:t>
      </w:r>
      <w:r w:rsidRPr="00640CE2">
        <w:rPr>
          <w:szCs w:val="24"/>
        </w:rPr>
        <w:t xml:space="preserve"> in which:</w:t>
      </w:r>
    </w:p>
    <w:p w14:paraId="09D07265" w14:textId="7ABD666E" w:rsidR="005A595F" w:rsidRPr="00415875" w:rsidRDefault="005A595F" w:rsidP="005A595F">
      <w:pPr>
        <w:pStyle w:val="ListParagraph"/>
        <w:numPr>
          <w:ilvl w:val="1"/>
          <w:numId w:val="36"/>
        </w:numPr>
        <w:rPr>
          <w:szCs w:val="24"/>
        </w:rPr>
      </w:pPr>
      <w:r>
        <w:rPr>
          <w:szCs w:val="24"/>
        </w:rPr>
        <w:t>A progressive reduction in glomerular filtration rate</w:t>
      </w:r>
      <w:r w:rsidR="00B02B87">
        <w:rPr>
          <w:rStyle w:val="FootnoteReference"/>
          <w:szCs w:val="24"/>
        </w:rPr>
        <w:footnoteReference w:id="8"/>
      </w:r>
      <w:r>
        <w:rPr>
          <w:szCs w:val="24"/>
        </w:rPr>
        <w:t xml:space="preserve"> on TDF is seen</w:t>
      </w:r>
      <w:r w:rsidRPr="009F08B3">
        <w:rPr>
          <w:szCs w:val="24"/>
        </w:rPr>
        <w:t xml:space="preserve"> </w:t>
      </w:r>
      <w:r>
        <w:rPr>
          <w:b/>
          <w:szCs w:val="24"/>
        </w:rPr>
        <w:t>AND</w:t>
      </w:r>
    </w:p>
    <w:p w14:paraId="0CC34C7A" w14:textId="77A24E44" w:rsidR="00585C9E" w:rsidRPr="007D7E90" w:rsidRDefault="005A595F" w:rsidP="007D7E90">
      <w:pPr>
        <w:pStyle w:val="ListParagraph"/>
        <w:numPr>
          <w:ilvl w:val="1"/>
          <w:numId w:val="36"/>
        </w:numPr>
        <w:rPr>
          <w:szCs w:val="24"/>
        </w:rPr>
      </w:pPr>
      <w:r>
        <w:rPr>
          <w:szCs w:val="24"/>
        </w:rPr>
        <w:t xml:space="preserve">Significant concurrent </w:t>
      </w:r>
      <w:r w:rsidRPr="009F08B3">
        <w:rPr>
          <w:szCs w:val="24"/>
        </w:rPr>
        <w:t>medical issues</w:t>
      </w:r>
      <w:r>
        <w:rPr>
          <w:szCs w:val="24"/>
        </w:rPr>
        <w:t>,</w:t>
      </w:r>
      <w:r w:rsidRPr="009F08B3">
        <w:rPr>
          <w:szCs w:val="24"/>
        </w:rPr>
        <w:t xml:space="preserve"> </w:t>
      </w:r>
      <w:r>
        <w:rPr>
          <w:szCs w:val="24"/>
        </w:rPr>
        <w:t xml:space="preserve">monitoring/prescribing concerns </w:t>
      </w:r>
      <w:r w:rsidRPr="009F08B3">
        <w:rPr>
          <w:szCs w:val="24"/>
        </w:rPr>
        <w:t>or significant patient factors (e.g. intolerance,</w:t>
      </w:r>
      <w:r>
        <w:rPr>
          <w:szCs w:val="24"/>
        </w:rPr>
        <w:t xml:space="preserve"> concordance) suggest TAF would have a lower risk profile to TD</w:t>
      </w:r>
      <w:r w:rsidR="004053B4">
        <w:rPr>
          <w:szCs w:val="24"/>
        </w:rPr>
        <w:t>F</w:t>
      </w:r>
      <w:r>
        <w:rPr>
          <w:szCs w:val="24"/>
        </w:rPr>
        <w:t>.</w:t>
      </w:r>
    </w:p>
    <w:p w14:paraId="2DF16585" w14:textId="74E4E8C9" w:rsidR="002C0ED7" w:rsidRPr="000479FE" w:rsidRDefault="00552A7E" w:rsidP="000479FE">
      <w:pPr>
        <w:pStyle w:val="Heading3"/>
      </w:pPr>
      <w:r w:rsidRPr="000479FE">
        <w:t>Exclusion criteria</w:t>
      </w:r>
    </w:p>
    <w:p w14:paraId="490E9B57" w14:textId="06BE8059" w:rsidR="009149E9" w:rsidRPr="009149E9" w:rsidRDefault="009149E9" w:rsidP="00A0515A">
      <w:pPr>
        <w:pStyle w:val="ListParagraph"/>
        <w:numPr>
          <w:ilvl w:val="0"/>
          <w:numId w:val="28"/>
        </w:numPr>
        <w:ind w:left="1434" w:hanging="357"/>
        <w:rPr>
          <w:rFonts w:cs="Arial"/>
          <w:szCs w:val="24"/>
        </w:rPr>
      </w:pPr>
      <w:r w:rsidRPr="009149E9">
        <w:rPr>
          <w:rFonts w:cs="Arial"/>
          <w:szCs w:val="24"/>
        </w:rPr>
        <w:t xml:space="preserve">Individuals with contra-indications or the potential for significant drug interactions to tenofovir alafenamide, as outlined by the Summary of Product Characteristics (SPC) </w:t>
      </w:r>
      <w:r w:rsidRPr="00CA64EA">
        <w:rPr>
          <w:rFonts w:cs="Arial"/>
          <w:b/>
          <w:bCs w:val="0"/>
          <w:szCs w:val="24"/>
        </w:rPr>
        <w:t>OR</w:t>
      </w:r>
    </w:p>
    <w:p w14:paraId="506A41E1" w14:textId="2414913D" w:rsidR="009149E9" w:rsidRDefault="009149E9" w:rsidP="00A0515A">
      <w:pPr>
        <w:pStyle w:val="ListParagraph"/>
        <w:numPr>
          <w:ilvl w:val="0"/>
          <w:numId w:val="28"/>
        </w:numPr>
        <w:ind w:left="1434" w:hanging="357"/>
        <w:rPr>
          <w:rFonts w:cs="Arial"/>
          <w:szCs w:val="24"/>
        </w:rPr>
      </w:pPr>
      <w:r w:rsidRPr="009149E9">
        <w:rPr>
          <w:rFonts w:cs="Arial"/>
          <w:szCs w:val="24"/>
        </w:rPr>
        <w:t>Individuals determined to be not suitable by MDT assessment of medium risk factors</w:t>
      </w:r>
      <w:r w:rsidR="006A7F2C">
        <w:rPr>
          <w:rFonts w:cs="Arial"/>
          <w:szCs w:val="24"/>
        </w:rPr>
        <w:t xml:space="preserve"> </w:t>
      </w:r>
      <w:r w:rsidR="006A7F2C" w:rsidRPr="006A7F2C">
        <w:rPr>
          <w:rFonts w:cs="Arial"/>
          <w:b/>
          <w:bCs w:val="0"/>
          <w:szCs w:val="24"/>
        </w:rPr>
        <w:t>OR</w:t>
      </w:r>
    </w:p>
    <w:p w14:paraId="44149C8A" w14:textId="297FD7EE" w:rsidR="006A7F2C" w:rsidRPr="009149E9" w:rsidRDefault="006A7F2C" w:rsidP="00A0515A">
      <w:pPr>
        <w:pStyle w:val="ListParagraph"/>
        <w:numPr>
          <w:ilvl w:val="0"/>
          <w:numId w:val="28"/>
        </w:numPr>
        <w:ind w:left="1434" w:hanging="357"/>
        <w:rPr>
          <w:rFonts w:cs="Arial"/>
          <w:szCs w:val="24"/>
        </w:rPr>
      </w:pPr>
      <w:r w:rsidRPr="006A7F2C">
        <w:rPr>
          <w:rFonts w:cs="Arial"/>
          <w:szCs w:val="24"/>
        </w:rPr>
        <w:t>The use and reimbursement of TAF-based products by providers who are not commissioned by NHS England to provide HIV care and treatment services.</w:t>
      </w:r>
    </w:p>
    <w:p w14:paraId="41F5B5CD" w14:textId="38349FC0" w:rsidR="00C94C95" w:rsidRPr="00C94C95" w:rsidRDefault="008D2137" w:rsidP="00173574">
      <w:pPr>
        <w:pStyle w:val="Heading3"/>
      </w:pPr>
      <w:r>
        <w:rPr>
          <w:rFonts w:eastAsiaTheme="minorEastAsia"/>
          <w:lang w:eastAsia="en-GB"/>
        </w:rPr>
        <w:t xml:space="preserve">Patient </w:t>
      </w:r>
      <w:r w:rsidR="003A739E">
        <w:rPr>
          <w:rFonts w:eastAsiaTheme="minorEastAsia"/>
          <w:lang w:eastAsia="en-GB"/>
        </w:rPr>
        <w:t>p</w:t>
      </w:r>
      <w:r>
        <w:rPr>
          <w:rFonts w:eastAsiaTheme="minorEastAsia"/>
          <w:lang w:eastAsia="en-GB"/>
        </w:rPr>
        <w:t>athway</w:t>
      </w:r>
    </w:p>
    <w:p w14:paraId="405D5FEF" w14:textId="35719DA8" w:rsidR="00C7166D" w:rsidRPr="00C7166D" w:rsidRDefault="006F60DB" w:rsidP="006F60DB">
      <w:pPr>
        <w:rPr>
          <w:rFonts w:eastAsiaTheme="minorEastAsia"/>
          <w:lang w:eastAsia="en-GB"/>
        </w:rPr>
      </w:pPr>
      <w:r w:rsidRPr="006F60DB">
        <w:rPr>
          <w:rFonts w:eastAsiaTheme="minorEastAsia"/>
          <w:lang w:eastAsia="en-GB"/>
        </w:rPr>
        <w:t>Commissioned HIV care and treatment providers who meet the service specification initiate and</w:t>
      </w:r>
      <w:r>
        <w:rPr>
          <w:rFonts w:eastAsiaTheme="minorEastAsia"/>
          <w:lang w:eastAsia="en-GB"/>
        </w:rPr>
        <w:t xml:space="preserve"> </w:t>
      </w:r>
      <w:r w:rsidRPr="006F60DB">
        <w:rPr>
          <w:rFonts w:eastAsiaTheme="minorEastAsia"/>
          <w:lang w:eastAsia="en-GB"/>
        </w:rPr>
        <w:t>monitor HIV drug treatment. Prescription and monitoring of TAF containing fixed dose combination products is in line with the existing patient pathway.</w:t>
      </w:r>
    </w:p>
    <w:p w14:paraId="6486D0CE" w14:textId="23B83B78" w:rsidR="008D2137" w:rsidRPr="008D2137" w:rsidRDefault="008D2137" w:rsidP="000479FE">
      <w:pPr>
        <w:spacing w:after="240"/>
        <w:rPr>
          <w:rFonts w:eastAsiaTheme="minorEastAsia"/>
          <w:b/>
          <w:lang w:eastAsia="en-GB"/>
        </w:rPr>
      </w:pPr>
      <w:r w:rsidRPr="008D2137">
        <w:rPr>
          <w:rFonts w:eastAsiaTheme="minorEastAsia"/>
          <w:b/>
          <w:lang w:eastAsia="en-GB"/>
        </w:rPr>
        <w:t xml:space="preserve">Governance </w:t>
      </w:r>
      <w:r w:rsidR="003A739E">
        <w:rPr>
          <w:rFonts w:eastAsiaTheme="minorEastAsia"/>
          <w:b/>
          <w:lang w:eastAsia="en-GB"/>
        </w:rPr>
        <w:t>a</w:t>
      </w:r>
      <w:r w:rsidRPr="008D2137">
        <w:rPr>
          <w:rFonts w:eastAsiaTheme="minorEastAsia"/>
          <w:b/>
          <w:lang w:eastAsia="en-GB"/>
        </w:rPr>
        <w:t>rrangements</w:t>
      </w:r>
    </w:p>
    <w:p w14:paraId="1C0A7310" w14:textId="1075FBFE" w:rsidR="00A500B7" w:rsidRPr="00A500B7" w:rsidRDefault="00A500B7" w:rsidP="00A500B7">
      <w:pPr>
        <w:rPr>
          <w:rStyle w:val="Heading3Char"/>
          <w:b w:val="0"/>
          <w:bCs/>
          <w:color w:val="000000" w:themeColor="text1"/>
        </w:rPr>
      </w:pPr>
      <w:bookmarkStart w:id="8" w:name="_Toc457384259"/>
      <w:bookmarkStart w:id="9" w:name="_Toc458520734"/>
      <w:bookmarkEnd w:id="6"/>
      <w:bookmarkEnd w:id="7"/>
      <w:r w:rsidRPr="00A500B7">
        <w:rPr>
          <w:rStyle w:val="Heading3Char"/>
          <w:b w:val="0"/>
          <w:bCs/>
          <w:color w:val="000000" w:themeColor="text1"/>
        </w:rPr>
        <w:t xml:space="preserve">All patients identified who might benefit from starting TAF will (in medium risk cases) be referred to and discussed at specialist HIV MDTs and the recommendation recorded in accordance with </w:t>
      </w:r>
      <w:r w:rsidR="00CB6A3C">
        <w:rPr>
          <w:rStyle w:val="Heading3Char"/>
          <w:b w:val="0"/>
          <w:bCs/>
          <w:color w:val="000000" w:themeColor="text1"/>
        </w:rPr>
        <w:t xml:space="preserve">national prescribing </w:t>
      </w:r>
      <w:r w:rsidRPr="00A500B7">
        <w:rPr>
          <w:rStyle w:val="Heading3Char"/>
          <w:b w:val="0"/>
          <w:bCs/>
          <w:color w:val="000000" w:themeColor="text1"/>
        </w:rPr>
        <w:t>ART guidance.</w:t>
      </w:r>
    </w:p>
    <w:p w14:paraId="373CB359" w14:textId="04325E68" w:rsidR="00A500B7" w:rsidRPr="00A500B7" w:rsidRDefault="00A500B7" w:rsidP="00A500B7">
      <w:pPr>
        <w:rPr>
          <w:rStyle w:val="Heading3Char"/>
          <w:b w:val="0"/>
          <w:bCs/>
          <w:color w:val="000000" w:themeColor="text1"/>
        </w:rPr>
      </w:pPr>
      <w:r w:rsidRPr="00A500B7">
        <w:rPr>
          <w:rStyle w:val="Heading3Char"/>
          <w:b w:val="0"/>
          <w:bCs/>
          <w:color w:val="000000" w:themeColor="text1"/>
        </w:rPr>
        <w:t xml:space="preserve">All patients identified who might benefit from switching to TAF, should be managed </w:t>
      </w:r>
      <w:r w:rsidR="0028736B">
        <w:rPr>
          <w:rStyle w:val="Heading3Char"/>
          <w:b w:val="0"/>
          <w:bCs/>
          <w:color w:val="000000" w:themeColor="text1"/>
        </w:rPr>
        <w:t>in accordance with the national guidance</w:t>
      </w:r>
      <w:r w:rsidRPr="00A500B7">
        <w:rPr>
          <w:rStyle w:val="Heading3Char"/>
          <w:b w:val="0"/>
          <w:bCs/>
          <w:color w:val="000000" w:themeColor="text1"/>
        </w:rPr>
        <w:t xml:space="preserve"> for switching ARVs including prescribing for the best clinical efficacy at the lowest acquisition cost. </w:t>
      </w:r>
    </w:p>
    <w:p w14:paraId="7CF66A5D" w14:textId="77777777" w:rsidR="00153183" w:rsidRDefault="00A500B7" w:rsidP="00A500B7">
      <w:pPr>
        <w:rPr>
          <w:rStyle w:val="Heading3Char"/>
          <w:b w:val="0"/>
          <w:bCs/>
          <w:color w:val="000000" w:themeColor="text1"/>
        </w:rPr>
      </w:pPr>
      <w:r w:rsidRPr="00A500B7">
        <w:rPr>
          <w:rStyle w:val="Heading3Char"/>
          <w:b w:val="0"/>
          <w:bCs/>
          <w:color w:val="000000" w:themeColor="text1"/>
        </w:rPr>
        <w:t>For patients deemed suitable for</w:t>
      </w:r>
      <w:r w:rsidR="00917BD9">
        <w:rPr>
          <w:rStyle w:val="Heading3Char"/>
          <w:b w:val="0"/>
          <w:bCs/>
          <w:color w:val="000000" w:themeColor="text1"/>
        </w:rPr>
        <w:t xml:space="preserve"> a</w:t>
      </w:r>
      <w:r w:rsidRPr="00A500B7">
        <w:rPr>
          <w:rStyle w:val="Heading3Char"/>
          <w:b w:val="0"/>
          <w:bCs/>
          <w:color w:val="000000" w:themeColor="text1"/>
        </w:rPr>
        <w:t xml:space="preserve"> switch following medical review, this, must be undertaken with a planned approach to ensure no drug wastage occurs. </w:t>
      </w:r>
    </w:p>
    <w:p w14:paraId="21C921FE" w14:textId="145B5C90" w:rsidR="00F503AC" w:rsidRDefault="00A500B7" w:rsidP="00A500B7">
      <w:pPr>
        <w:rPr>
          <w:rStyle w:val="Heading3Char"/>
          <w:b w:val="0"/>
          <w:bCs/>
          <w:color w:val="000000" w:themeColor="text1"/>
        </w:rPr>
      </w:pPr>
      <w:r w:rsidRPr="00A500B7">
        <w:rPr>
          <w:rStyle w:val="Heading3Char"/>
          <w:b w:val="0"/>
          <w:bCs/>
          <w:color w:val="000000" w:themeColor="text1"/>
        </w:rPr>
        <w:t>For guidance on role and responsibilities of MDT meetings see HIV CRG guidance February 2016.</w:t>
      </w:r>
      <w:bookmarkEnd w:id="8"/>
      <w:bookmarkEnd w:id="9"/>
    </w:p>
    <w:p w14:paraId="12EE3929" w14:textId="573A522F" w:rsidR="007679C0" w:rsidRPr="00A500B7" w:rsidRDefault="007679C0" w:rsidP="00A500B7">
      <w:pPr>
        <w:rPr>
          <w:b/>
          <w:bCs w:val="0"/>
        </w:rPr>
      </w:pPr>
      <w:r>
        <w:t>Provider organisations must register all patients using prior approval software and ensure monitoring arrangements are in place to demonstrate compliance against the criteria as outlined.</w:t>
      </w:r>
    </w:p>
    <w:p w14:paraId="0BF21427" w14:textId="38763DCF" w:rsidR="00B5769A" w:rsidRDefault="00B5769A">
      <w:pPr>
        <w:pStyle w:val="Heading2"/>
        <w:rPr>
          <w:rStyle w:val="Heading3Char"/>
          <w:b/>
          <w:color w:val="000000" w:themeColor="text1"/>
        </w:rPr>
      </w:pPr>
      <w:r>
        <w:rPr>
          <w:rStyle w:val="Heading3Char"/>
          <w:b/>
          <w:color w:val="000000" w:themeColor="text1"/>
        </w:rPr>
        <w:lastRenderedPageBreak/>
        <w:t>Mechanism for funding</w:t>
      </w:r>
    </w:p>
    <w:p w14:paraId="2B2DFB61" w14:textId="2CC9D05E" w:rsidR="005D284C" w:rsidRPr="005D284C" w:rsidRDefault="005D284C" w:rsidP="005D284C">
      <w:r w:rsidRPr="005D284C">
        <w:t xml:space="preserve">Reimbursement for use of ART for individuals meeting the criteria in this policy is provided via </w:t>
      </w:r>
      <w:r w:rsidR="00E874A8">
        <w:t>S</w:t>
      </w:r>
      <w:r w:rsidRPr="005D284C">
        <w:t xml:space="preserve">pecialised </w:t>
      </w:r>
      <w:r w:rsidR="00E874A8">
        <w:t>C</w:t>
      </w:r>
      <w:r w:rsidRPr="005D284C">
        <w:t>ommissioning teams.</w:t>
      </w:r>
      <w:r w:rsidR="00F9308E">
        <w:t xml:space="preserve"> </w:t>
      </w:r>
      <w:r w:rsidR="00F9308E" w:rsidRPr="00F9308E">
        <w:t>Off-label use is not routinely commissioned.</w:t>
      </w:r>
    </w:p>
    <w:p w14:paraId="1B31BABA" w14:textId="331A1DB2" w:rsidR="00FD246E" w:rsidRDefault="008D2137">
      <w:pPr>
        <w:pStyle w:val="Heading2"/>
      </w:pPr>
      <w:r w:rsidRPr="00E468DD">
        <w:rPr>
          <w:rStyle w:val="Heading3Char"/>
          <w:b/>
          <w:color w:val="000000" w:themeColor="text1"/>
        </w:rPr>
        <w:t>Audit requirements</w:t>
      </w:r>
      <w:r w:rsidR="00E468DD" w:rsidRPr="00E468DD">
        <w:rPr>
          <w:color w:val="000000" w:themeColor="text1"/>
        </w:rPr>
        <w:t xml:space="preserve"> </w:t>
      </w:r>
      <w:bookmarkStart w:id="10" w:name="_Toc457384262"/>
      <w:bookmarkStart w:id="11" w:name="_Toc458520737"/>
    </w:p>
    <w:p w14:paraId="00922F35" w14:textId="3A56C027" w:rsidR="003F5373" w:rsidRDefault="003F5373" w:rsidP="003F5373">
      <w:pPr>
        <w:spacing w:after="0"/>
      </w:pPr>
      <w:r>
        <w:t>1.</w:t>
      </w:r>
      <w:r>
        <w:tab/>
        <w:t>Number of medium risk patients referred to MDT</w:t>
      </w:r>
    </w:p>
    <w:p w14:paraId="70246D81" w14:textId="7146DEA7" w:rsidR="003F5373" w:rsidRDefault="003F5373" w:rsidP="003F5373">
      <w:pPr>
        <w:spacing w:after="0"/>
      </w:pPr>
      <w:r>
        <w:t>2.</w:t>
      </w:r>
      <w:r>
        <w:tab/>
        <w:t>Estimated GFR changes in patients commencing TAF-based ART</w:t>
      </w:r>
    </w:p>
    <w:p w14:paraId="06F6996A" w14:textId="4089DFF1" w:rsidR="00676B69" w:rsidRDefault="003F5373" w:rsidP="003F5373">
      <w:pPr>
        <w:spacing w:after="0"/>
      </w:pPr>
      <w:r>
        <w:t>3.</w:t>
      </w:r>
      <w:r>
        <w:tab/>
        <w:t>Patients with contraindications to other NRTI backbones switched to F/TAF</w:t>
      </w:r>
    </w:p>
    <w:p w14:paraId="10045C95" w14:textId="5E80D6D9" w:rsidR="008A2B66" w:rsidRDefault="008A2B66">
      <w:pPr>
        <w:pStyle w:val="Heading2"/>
      </w:pPr>
      <w:r>
        <w:t>Policy</w:t>
      </w:r>
      <w:r w:rsidR="00655E3C">
        <w:t xml:space="preserve"> amendments</w:t>
      </w:r>
    </w:p>
    <w:p w14:paraId="5177DD8E" w14:textId="4BB36F1C" w:rsidR="00655E3C" w:rsidRPr="00655E3C" w:rsidRDefault="1D1717E8" w:rsidP="00655E3C">
      <w:r>
        <w:t xml:space="preserve">First published July 2016. Updated and republished February </w:t>
      </w:r>
      <w:r w:rsidRPr="00BD0183">
        <w:t>2017</w:t>
      </w:r>
      <w:r w:rsidR="1A86DE73" w:rsidRPr="00BD0183">
        <w:t xml:space="preserve">.Updated </w:t>
      </w:r>
      <w:r w:rsidR="00305ED5" w:rsidRPr="00BD0183">
        <w:t>November</w:t>
      </w:r>
      <w:r w:rsidRPr="00BD0183">
        <w:t xml:space="preserve"> 202</w:t>
      </w:r>
      <w:r w:rsidR="5AD166B0" w:rsidRPr="00BD0183">
        <w:t>2</w:t>
      </w:r>
      <w:r w:rsidR="1A86DE73" w:rsidRPr="00BD0183">
        <w:t>.</w:t>
      </w:r>
    </w:p>
    <w:p w14:paraId="677EEC65" w14:textId="1704036E" w:rsidR="004F596F" w:rsidRDefault="004F596F">
      <w:pPr>
        <w:pStyle w:val="Heading2"/>
      </w:pPr>
      <w:r w:rsidRPr="00DD6586">
        <w:t>Policy review date</w:t>
      </w:r>
      <w:bookmarkEnd w:id="10"/>
      <w:bookmarkEnd w:id="11"/>
    </w:p>
    <w:p w14:paraId="6629F014" w14:textId="4B6AD59B" w:rsidR="00FA474B" w:rsidRPr="00FA474B" w:rsidRDefault="008D2137" w:rsidP="000479FE">
      <w:pPr>
        <w:spacing w:after="240"/>
      </w:pPr>
      <w:bookmarkStart w:id="12" w:name="_Toc457384263"/>
      <w:bookmarkStart w:id="13" w:name="_Toc458520738"/>
      <w:r>
        <w:t xml:space="preserve">This document will be reviewed when information is received which indicates that the policy requires revision.  </w:t>
      </w:r>
      <w:r w:rsidR="00FD704D">
        <w:t xml:space="preserve">If a review is needed due to a new evidence base then a new </w:t>
      </w:r>
      <w:r>
        <w:t xml:space="preserve">Preliminary </w:t>
      </w:r>
      <w:r w:rsidR="00FD704D">
        <w:t xml:space="preserve">Policy </w:t>
      </w:r>
      <w:r w:rsidR="00FA474B">
        <w:t xml:space="preserve">Proposal </w:t>
      </w:r>
      <w:r w:rsidR="00FD704D">
        <w:t xml:space="preserve">needs to be submitted by contacting </w:t>
      </w:r>
      <w:hyperlink r:id="rId13" w:history="1">
        <w:r w:rsidR="00FA474B" w:rsidRPr="00AA6D17">
          <w:rPr>
            <w:rStyle w:val="Hyperlink"/>
          </w:rPr>
          <w:t>england.CET@nhs.net</w:t>
        </w:r>
      </w:hyperlink>
      <w:r w:rsidR="00FD704D">
        <w:t xml:space="preserve">. </w:t>
      </w:r>
    </w:p>
    <w:p w14:paraId="34B0E33D" w14:textId="77777777" w:rsidR="00695AF4" w:rsidRDefault="00695AF4" w:rsidP="008A07D4">
      <w:pPr>
        <w:rPr>
          <w:color w:val="000000"/>
        </w:rPr>
      </w:pPr>
      <w:r w:rsidRPr="009176B6">
        <w:rPr>
          <w:color w:val="000000"/>
        </w:rPr>
        <w:t xml:space="preserve">Our policies provide access on the basis that the prices of therapies will be at or below the prices and commercial terms submitted for consideration at the time evaluated.  NHS England reserves the right to </w:t>
      </w:r>
      <w:r>
        <w:rPr>
          <w:color w:val="000000"/>
        </w:rPr>
        <w:t>review</w:t>
      </w:r>
      <w:r w:rsidRPr="009176B6">
        <w:rPr>
          <w:color w:val="000000"/>
        </w:rPr>
        <w:t xml:space="preserve"> policies where the supplier of an intervention is no longer willing to supply the treatment to the NHS at or below this price and to review policies where the supplier is unable or unwilling to match price reductions in alternative therapies.</w:t>
      </w:r>
    </w:p>
    <w:p w14:paraId="264510B3" w14:textId="7D27DB67" w:rsidR="008C4F21" w:rsidRPr="004F6C74" w:rsidRDefault="008C4F21" w:rsidP="004F6C74">
      <w:pPr>
        <w:pStyle w:val="Heading2"/>
        <w:rPr>
          <w:lang w:val="en-US"/>
        </w:rPr>
      </w:pPr>
      <w:bookmarkStart w:id="14" w:name="_Toc457384264"/>
      <w:bookmarkStart w:id="15" w:name="_Toc458520739"/>
      <w:bookmarkEnd w:id="12"/>
      <w:bookmarkEnd w:id="13"/>
      <w:r>
        <w:rPr>
          <w:lang w:val="en-US"/>
        </w:rPr>
        <w:t>Definitions</w:t>
      </w:r>
    </w:p>
    <w:tbl>
      <w:tblPr>
        <w:tblStyle w:val="TableGrid"/>
        <w:tblpPr w:leftFromText="180" w:rightFromText="180" w:vertAnchor="text" w:horzAnchor="margin" w:tblpY="161"/>
        <w:tblW w:w="0" w:type="auto"/>
        <w:tblLook w:val="04A0" w:firstRow="1" w:lastRow="0" w:firstColumn="1" w:lastColumn="0" w:noHBand="0" w:noVBand="1"/>
      </w:tblPr>
      <w:tblGrid>
        <w:gridCol w:w="5094"/>
        <w:gridCol w:w="5094"/>
      </w:tblGrid>
      <w:tr w:rsidR="008C4F21" w14:paraId="58520487" w14:textId="77777777" w:rsidTr="1467F4BE">
        <w:tc>
          <w:tcPr>
            <w:tcW w:w="5094" w:type="dxa"/>
          </w:tcPr>
          <w:p w14:paraId="1A90D003" w14:textId="5F8A9B7A" w:rsidR="008C4F21" w:rsidRDefault="00CD62C6" w:rsidP="000479FE">
            <w:pPr>
              <w:rPr>
                <w:lang w:val="en-US"/>
              </w:rPr>
            </w:pPr>
            <w:r>
              <w:rPr>
                <w:lang w:val="en-US"/>
              </w:rPr>
              <w:t>Antiretroviral therapy (ART)</w:t>
            </w:r>
          </w:p>
        </w:tc>
        <w:tc>
          <w:tcPr>
            <w:tcW w:w="5094" w:type="dxa"/>
          </w:tcPr>
          <w:p w14:paraId="4088B9F0" w14:textId="40A8BFFC" w:rsidR="008C4F21" w:rsidRDefault="00CD62C6" w:rsidP="000479FE">
            <w:pPr>
              <w:rPr>
                <w:lang w:val="en-US"/>
              </w:rPr>
            </w:pPr>
            <w:r w:rsidRPr="00221D28">
              <w:rPr>
                <w:rFonts w:cs="Arial"/>
                <w:bCs w:val="0"/>
                <w:szCs w:val="24"/>
                <w:lang w:eastAsia="en-GB"/>
              </w:rPr>
              <w:t>A</w:t>
            </w:r>
            <w:r>
              <w:rPr>
                <w:rFonts w:cs="Arial"/>
                <w:bCs w:val="0"/>
                <w:szCs w:val="24"/>
                <w:lang w:eastAsia="en-GB"/>
              </w:rPr>
              <w:t xml:space="preserve">RT is a combination of drugs used in HIV treatment. ART drugs </w:t>
            </w:r>
            <w:r w:rsidRPr="00221D28">
              <w:rPr>
                <w:rFonts w:cs="Arial"/>
                <w:bCs w:val="0"/>
                <w:szCs w:val="24"/>
                <w:lang w:eastAsia="en-GB"/>
              </w:rPr>
              <w:t xml:space="preserve">are divided into different </w:t>
            </w:r>
            <w:r>
              <w:rPr>
                <w:rFonts w:cs="Arial"/>
                <w:bCs w:val="0"/>
                <w:szCs w:val="24"/>
                <w:lang w:eastAsia="en-GB"/>
              </w:rPr>
              <w:t>groups depending on where they act on the HIV virus enzymes (</w:t>
            </w:r>
            <w:r w:rsidRPr="00221D28">
              <w:rPr>
                <w:rFonts w:cs="Arial"/>
                <w:bCs w:val="0"/>
                <w:szCs w:val="24"/>
                <w:lang w:eastAsia="en-GB"/>
              </w:rPr>
              <w:t>reverse transcriptase, protease or integrase inhibitors</w:t>
            </w:r>
            <w:r>
              <w:rPr>
                <w:rFonts w:cs="Arial"/>
                <w:bCs w:val="0"/>
                <w:szCs w:val="24"/>
                <w:lang w:eastAsia="en-GB"/>
              </w:rPr>
              <w:t>)</w:t>
            </w:r>
            <w:r w:rsidRPr="00221D28">
              <w:rPr>
                <w:rFonts w:ascii="Calibri" w:hAnsi="Calibri" w:cs="Calibri"/>
                <w:bCs w:val="0"/>
                <w:szCs w:val="24"/>
                <w:lang w:eastAsia="en-GB"/>
              </w:rPr>
              <w:t>. </w:t>
            </w:r>
            <w:r>
              <w:rPr>
                <w:rFonts w:ascii="Calibri" w:hAnsi="Calibri" w:cs="Calibri"/>
                <w:bCs w:val="0"/>
                <w:szCs w:val="24"/>
                <w:lang w:eastAsia="en-GB"/>
              </w:rPr>
              <w:t xml:space="preserve"> </w:t>
            </w:r>
          </w:p>
        </w:tc>
      </w:tr>
      <w:tr w:rsidR="001F04EC" w14:paraId="071F3947" w14:textId="77777777" w:rsidTr="1467F4BE">
        <w:tc>
          <w:tcPr>
            <w:tcW w:w="5094" w:type="dxa"/>
          </w:tcPr>
          <w:p w14:paraId="63A3A587" w14:textId="4EEBC665" w:rsidR="001F04EC" w:rsidRDefault="001F04EC" w:rsidP="000479FE">
            <w:pPr>
              <w:rPr>
                <w:lang w:val="en-US"/>
              </w:rPr>
            </w:pPr>
            <w:r>
              <w:rPr>
                <w:lang w:val="en-US"/>
              </w:rPr>
              <w:t>First line therapy</w:t>
            </w:r>
          </w:p>
        </w:tc>
        <w:tc>
          <w:tcPr>
            <w:tcW w:w="5094" w:type="dxa"/>
          </w:tcPr>
          <w:p w14:paraId="18120A3B" w14:textId="3149E57C" w:rsidR="001F04EC" w:rsidRDefault="7B395973" w:rsidP="1467F4BE">
            <w:pPr>
              <w:rPr>
                <w:rFonts w:cs="Arial"/>
                <w:lang w:eastAsia="en-GB"/>
              </w:rPr>
            </w:pPr>
            <w:r w:rsidRPr="1467F4BE">
              <w:rPr>
                <w:rFonts w:cs="Arial"/>
                <w:lang w:eastAsia="en-GB"/>
              </w:rPr>
              <w:t>The first combination that someone is prescribed</w:t>
            </w:r>
            <w:r w:rsidR="007F27E7" w:rsidRPr="1467F4BE">
              <w:rPr>
                <w:rFonts w:cs="Arial"/>
                <w:lang w:eastAsia="en-GB"/>
              </w:rPr>
              <w:t xml:space="preserve"> to treat HIV</w:t>
            </w:r>
            <w:r w:rsidRPr="1467F4BE">
              <w:rPr>
                <w:rFonts w:cs="Arial"/>
                <w:lang w:eastAsia="en-GB"/>
              </w:rPr>
              <w:t xml:space="preserve">. Tenofovir disoproxil and emtricitabine or tenofovir alafenamide and emtricitabine </w:t>
            </w:r>
            <w:r w:rsidR="00BD2758">
              <w:rPr>
                <w:rFonts w:cs="Arial"/>
                <w:lang w:eastAsia="en-GB"/>
              </w:rPr>
              <w:t>the NRTIs recommended for most people</w:t>
            </w:r>
            <w:r w:rsidRPr="1467F4BE">
              <w:rPr>
                <w:rFonts w:cs="Arial"/>
                <w:lang w:eastAsia="en-GB"/>
              </w:rPr>
              <w:t xml:space="preserve">. </w:t>
            </w:r>
            <w:r w:rsidR="794D57A3" w:rsidRPr="00BD0183">
              <w:rPr>
                <w:rFonts w:cs="Arial"/>
                <w:lang w:eastAsia="en-GB"/>
              </w:rPr>
              <w:t>L</w:t>
            </w:r>
            <w:r w:rsidRPr="00BD0183">
              <w:rPr>
                <w:rFonts w:cs="Arial"/>
                <w:lang w:eastAsia="en-GB"/>
              </w:rPr>
              <w:t>amivudine</w:t>
            </w:r>
            <w:r w:rsidR="3FC0A2E7" w:rsidRPr="00BD0183">
              <w:rPr>
                <w:rFonts w:cs="Arial"/>
                <w:lang w:eastAsia="en-GB"/>
              </w:rPr>
              <w:t xml:space="preserve"> or lamivudine/abacavir are</w:t>
            </w:r>
            <w:r w:rsidRPr="00BD0183">
              <w:rPr>
                <w:rFonts w:cs="Arial"/>
                <w:lang w:eastAsia="en-GB"/>
              </w:rPr>
              <w:t xml:space="preserve"> </w:t>
            </w:r>
            <w:r w:rsidR="00BD2758" w:rsidRPr="00BD0183">
              <w:rPr>
                <w:rFonts w:cs="Arial"/>
                <w:lang w:eastAsia="en-GB"/>
              </w:rPr>
              <w:t>also recommended in combination with dolutegravir</w:t>
            </w:r>
            <w:r w:rsidRPr="00BD0183">
              <w:rPr>
                <w:rFonts w:cs="Arial"/>
                <w:lang w:eastAsia="en-GB"/>
              </w:rPr>
              <w:t xml:space="preserve">. </w:t>
            </w:r>
            <w:r w:rsidR="592DEC44" w:rsidRPr="00BD0183">
              <w:rPr>
                <w:rFonts w:cs="Arial"/>
                <w:lang w:eastAsia="en-GB"/>
              </w:rPr>
              <w:t>When clinically appropriate, lamivudine and emtricitabine can be considered interchangeable (BHIVA. 2022).</w:t>
            </w:r>
          </w:p>
        </w:tc>
      </w:tr>
      <w:tr w:rsidR="0015215D" w14:paraId="55C2D32E" w14:textId="77777777" w:rsidTr="1467F4BE">
        <w:tc>
          <w:tcPr>
            <w:tcW w:w="5094" w:type="dxa"/>
          </w:tcPr>
          <w:p w14:paraId="142A3C21" w14:textId="215C4B20" w:rsidR="0015215D" w:rsidRDefault="0015215D" w:rsidP="000479FE">
            <w:pPr>
              <w:rPr>
                <w:lang w:val="en-US"/>
              </w:rPr>
            </w:pPr>
            <w:r>
              <w:rPr>
                <w:lang w:val="en-US"/>
              </w:rPr>
              <w:t>Fixed dose combinations (FDC)</w:t>
            </w:r>
          </w:p>
        </w:tc>
        <w:tc>
          <w:tcPr>
            <w:tcW w:w="5094" w:type="dxa"/>
          </w:tcPr>
          <w:p w14:paraId="33516CAC" w14:textId="1ECBA5AB" w:rsidR="0015215D" w:rsidRPr="00221D28" w:rsidRDefault="00411A8D" w:rsidP="000479FE">
            <w:pPr>
              <w:rPr>
                <w:rFonts w:cs="Arial"/>
                <w:bCs w:val="0"/>
                <w:szCs w:val="24"/>
                <w:lang w:eastAsia="en-GB"/>
              </w:rPr>
            </w:pPr>
            <w:r>
              <w:rPr>
                <w:rFonts w:cs="Arial"/>
                <w:bCs w:val="0"/>
                <w:szCs w:val="24"/>
                <w:lang w:eastAsia="en-GB"/>
              </w:rPr>
              <w:t>FDC are single tablets that combine a complete ART regimen in</w:t>
            </w:r>
            <w:r w:rsidR="00F1155F">
              <w:rPr>
                <w:rFonts w:cs="Arial"/>
                <w:bCs w:val="0"/>
                <w:szCs w:val="24"/>
                <w:lang w:eastAsia="en-GB"/>
              </w:rPr>
              <w:t>to one pill.</w:t>
            </w:r>
          </w:p>
        </w:tc>
      </w:tr>
      <w:tr w:rsidR="006D2A63" w14:paraId="5EDC9BF0" w14:textId="77777777" w:rsidTr="1467F4BE">
        <w:tc>
          <w:tcPr>
            <w:tcW w:w="5094" w:type="dxa"/>
          </w:tcPr>
          <w:p w14:paraId="2B7C1975" w14:textId="4603C00E" w:rsidR="006D2A63" w:rsidRDefault="006D2A63" w:rsidP="000479FE">
            <w:pPr>
              <w:rPr>
                <w:lang w:val="en-US"/>
              </w:rPr>
            </w:pPr>
            <w:r>
              <w:rPr>
                <w:lang w:val="en-US"/>
              </w:rPr>
              <w:t>Intolerance</w:t>
            </w:r>
          </w:p>
        </w:tc>
        <w:tc>
          <w:tcPr>
            <w:tcW w:w="5094" w:type="dxa"/>
          </w:tcPr>
          <w:p w14:paraId="52E96536" w14:textId="120C727B" w:rsidR="006D2A63" w:rsidRDefault="008B1E25" w:rsidP="000479FE">
            <w:pPr>
              <w:rPr>
                <w:rFonts w:cs="Arial"/>
                <w:bCs w:val="0"/>
                <w:szCs w:val="24"/>
                <w:lang w:eastAsia="en-GB"/>
              </w:rPr>
            </w:pPr>
            <w:r>
              <w:rPr>
                <w:rFonts w:cs="Arial"/>
                <w:bCs w:val="0"/>
                <w:szCs w:val="24"/>
                <w:lang w:eastAsia="en-GB"/>
              </w:rPr>
              <w:t>Intolerance is w</w:t>
            </w:r>
            <w:r w:rsidRPr="008B1E25">
              <w:rPr>
                <w:rFonts w:cs="Arial"/>
                <w:bCs w:val="0"/>
                <w:szCs w:val="24"/>
                <w:lang w:eastAsia="en-GB"/>
              </w:rPr>
              <w:t>hen patients either (i) experience side effects, or (ii) have been assessed to be at high risk of side effects.</w:t>
            </w:r>
          </w:p>
        </w:tc>
      </w:tr>
      <w:tr w:rsidR="0012549C" w14:paraId="00DE1792" w14:textId="77777777" w:rsidTr="1467F4BE">
        <w:tc>
          <w:tcPr>
            <w:tcW w:w="5094" w:type="dxa"/>
          </w:tcPr>
          <w:p w14:paraId="4BA2F514" w14:textId="12FDD9C7" w:rsidR="0012549C" w:rsidRPr="00BD0183" w:rsidRDefault="005041DD" w:rsidP="1467F4BE">
            <w:pPr>
              <w:rPr>
                <w:lang w:val="en-US"/>
              </w:rPr>
            </w:pPr>
            <w:r w:rsidRPr="00BD0183">
              <w:rPr>
                <w:lang w:val="en-US"/>
              </w:rPr>
              <w:t xml:space="preserve"> </w:t>
            </w:r>
            <w:r w:rsidR="00BB20DE" w:rsidRPr="00BD0183">
              <w:rPr>
                <w:lang w:val="en-US"/>
              </w:rPr>
              <w:t xml:space="preserve">Second line </w:t>
            </w:r>
            <w:r w:rsidR="00234D6C" w:rsidRPr="00BD0183">
              <w:rPr>
                <w:lang w:val="en-US"/>
              </w:rPr>
              <w:t>t</w:t>
            </w:r>
            <w:r w:rsidRPr="00BD0183">
              <w:rPr>
                <w:lang w:val="en-US"/>
              </w:rPr>
              <w:t>hird agents</w:t>
            </w:r>
          </w:p>
          <w:p w14:paraId="7B9067FC" w14:textId="7E25193E" w:rsidR="0012549C" w:rsidRPr="00BD0183" w:rsidRDefault="0012549C" w:rsidP="1467F4BE">
            <w:pPr>
              <w:rPr>
                <w:rFonts w:cs="Arial"/>
                <w:lang w:eastAsia="en-GB"/>
              </w:rPr>
            </w:pPr>
          </w:p>
        </w:tc>
        <w:tc>
          <w:tcPr>
            <w:tcW w:w="5094" w:type="dxa"/>
          </w:tcPr>
          <w:p w14:paraId="6DF23B69" w14:textId="3B9E7940" w:rsidR="0012549C" w:rsidRPr="00BD0183" w:rsidRDefault="6139FF02" w:rsidP="1467F4BE">
            <w:pPr>
              <w:rPr>
                <w:rFonts w:cs="Arial"/>
                <w:lang w:eastAsia="en-GB"/>
              </w:rPr>
            </w:pPr>
            <w:r w:rsidRPr="00BD0183">
              <w:t xml:space="preserve">The use of alternative </w:t>
            </w:r>
            <w:r w:rsidR="00BD2758" w:rsidRPr="00BD0183">
              <w:t>non-NRTIs</w:t>
            </w:r>
            <w:r w:rsidRPr="00BD0183">
              <w:t xml:space="preserve"> agents </w:t>
            </w:r>
            <w:r w:rsidR="00522630" w:rsidRPr="00BD0183">
              <w:t xml:space="preserve">where first line </w:t>
            </w:r>
            <w:r w:rsidR="00BD2758" w:rsidRPr="00BD0183">
              <w:t>options</w:t>
            </w:r>
            <w:r w:rsidR="00522630" w:rsidRPr="00BD0183">
              <w:t xml:space="preserve"> cannot be used </w:t>
            </w:r>
            <w:r w:rsidRPr="00BD0183">
              <w:t>for reasons of potential or</w:t>
            </w:r>
            <w:r w:rsidR="7A065E1D" w:rsidRPr="00BD0183">
              <w:t xml:space="preserve"> actual intolerance</w:t>
            </w:r>
            <w:r w:rsidR="00BD2758" w:rsidRPr="00BD0183">
              <w:t xml:space="preserve">, </w:t>
            </w:r>
            <w:r w:rsidR="00BD2758" w:rsidRPr="00BD0183">
              <w:lastRenderedPageBreak/>
              <w:t>drug-drug interactions</w:t>
            </w:r>
            <w:r w:rsidR="7A065E1D" w:rsidRPr="00BD0183">
              <w:t xml:space="preserve"> or transmitted HIV drug resistance.</w:t>
            </w:r>
            <w:r w:rsidR="1CCF914D" w:rsidRPr="00BD0183">
              <w:t xml:space="preserve">  Alternative 3rd agents include: the NNRTI rilpivirine</w:t>
            </w:r>
            <w:r w:rsidR="3312D42A" w:rsidRPr="00BD0183">
              <w:t xml:space="preserve"> or nevirapine</w:t>
            </w:r>
            <w:r w:rsidR="1CCF914D" w:rsidRPr="00BD0183">
              <w:t>, the INIs elvitegravir/cobicistat</w:t>
            </w:r>
            <w:r w:rsidR="0F39181E" w:rsidRPr="00BD0183">
              <w:t>,</w:t>
            </w:r>
            <w:r w:rsidR="1CCF914D" w:rsidRPr="00BD0183">
              <w:t xml:space="preserve"> and the PI/r </w:t>
            </w:r>
            <w:r w:rsidR="6BD55519" w:rsidRPr="00BD0183">
              <w:t xml:space="preserve">lopinavir/ritonavir or </w:t>
            </w:r>
            <w:r w:rsidR="1CCF914D" w:rsidRPr="00BD0183">
              <w:t>atazanavir/ritonavir or cobicistat. Drug selection depends on side effects profile, tolerability, resistance profile, drug-drug interactions and cost.</w:t>
            </w:r>
          </w:p>
        </w:tc>
      </w:tr>
      <w:tr w:rsidR="000E771E" w14:paraId="350624F6" w14:textId="77777777" w:rsidTr="1467F4BE">
        <w:tc>
          <w:tcPr>
            <w:tcW w:w="5094" w:type="dxa"/>
          </w:tcPr>
          <w:p w14:paraId="7044F421" w14:textId="5380DF26" w:rsidR="000E771E" w:rsidRDefault="00AC3134" w:rsidP="000479FE">
            <w:pPr>
              <w:rPr>
                <w:lang w:val="en-US"/>
              </w:rPr>
            </w:pPr>
            <w:r>
              <w:rPr>
                <w:lang w:val="en-US"/>
              </w:rPr>
              <w:lastRenderedPageBreak/>
              <w:t>People with stable HIV</w:t>
            </w:r>
          </w:p>
        </w:tc>
        <w:tc>
          <w:tcPr>
            <w:tcW w:w="5094" w:type="dxa"/>
          </w:tcPr>
          <w:p w14:paraId="205697B1" w14:textId="539270FD" w:rsidR="000E771E" w:rsidRDefault="00076D48" w:rsidP="000479FE">
            <w:r>
              <w:t xml:space="preserve">Stable </w:t>
            </w:r>
            <w:r w:rsidRPr="00076D48">
              <w:t>patients have a sustained undetectable viral load on ART and are not experiencing side effects.</w:t>
            </w:r>
          </w:p>
        </w:tc>
      </w:tr>
      <w:tr w:rsidR="004933DD" w14:paraId="14922FE3" w14:textId="77777777" w:rsidTr="1467F4BE">
        <w:tc>
          <w:tcPr>
            <w:tcW w:w="5094" w:type="dxa"/>
          </w:tcPr>
          <w:p w14:paraId="1C7F5609" w14:textId="498803FF" w:rsidR="004933DD" w:rsidRDefault="004933DD" w:rsidP="000479FE">
            <w:pPr>
              <w:rPr>
                <w:lang w:val="en-US"/>
              </w:rPr>
            </w:pPr>
            <w:r>
              <w:rPr>
                <w:lang w:val="en-US"/>
              </w:rPr>
              <w:t>Viral load</w:t>
            </w:r>
          </w:p>
        </w:tc>
        <w:tc>
          <w:tcPr>
            <w:tcW w:w="5094" w:type="dxa"/>
          </w:tcPr>
          <w:p w14:paraId="5C145F20" w14:textId="57D00A3F" w:rsidR="004933DD" w:rsidRPr="004419EC" w:rsidRDefault="00236C82" w:rsidP="000479FE">
            <w:pPr>
              <w:rPr>
                <w:rFonts w:cs="Arial"/>
                <w:bCs w:val="0"/>
                <w:szCs w:val="24"/>
                <w:lang w:eastAsia="en-GB"/>
              </w:rPr>
            </w:pPr>
            <w:r w:rsidRPr="00236C82">
              <w:rPr>
                <w:rFonts w:cs="Arial"/>
                <w:bCs w:val="0"/>
                <w:szCs w:val="24"/>
                <w:lang w:eastAsia="en-GB"/>
              </w:rPr>
              <w:t xml:space="preserve">HIV RNA levels in plasma are used to monitor response to ART. Patients on effective therapy sustain </w:t>
            </w:r>
            <w:r w:rsidR="00BD5F15">
              <w:rPr>
                <w:rFonts w:cs="Arial"/>
                <w:bCs w:val="0"/>
                <w:szCs w:val="24"/>
                <w:lang w:eastAsia="en-GB"/>
              </w:rPr>
              <w:t xml:space="preserve">a </w:t>
            </w:r>
            <w:r w:rsidRPr="00236C82">
              <w:rPr>
                <w:rFonts w:cs="Arial"/>
                <w:bCs w:val="0"/>
                <w:szCs w:val="24"/>
                <w:lang w:eastAsia="en-GB"/>
              </w:rPr>
              <w:t>viral load</w:t>
            </w:r>
            <w:r w:rsidR="00BD5F15">
              <w:rPr>
                <w:rFonts w:cs="Arial"/>
                <w:bCs w:val="0"/>
                <w:szCs w:val="24"/>
                <w:lang w:eastAsia="en-GB"/>
              </w:rPr>
              <w:t xml:space="preserve"> of</w:t>
            </w:r>
            <w:r w:rsidRPr="00236C82">
              <w:rPr>
                <w:rFonts w:cs="Arial"/>
                <w:bCs w:val="0"/>
                <w:szCs w:val="24"/>
                <w:lang w:eastAsia="en-GB"/>
              </w:rPr>
              <w:t xml:space="preserve"> &lt;50 copies/ml (undetectable). Patients who </w:t>
            </w:r>
            <w:r w:rsidR="009D6C82">
              <w:rPr>
                <w:rFonts w:cs="Arial"/>
                <w:bCs w:val="0"/>
                <w:szCs w:val="24"/>
                <w:lang w:eastAsia="en-GB"/>
              </w:rPr>
              <w:t xml:space="preserve">do not </w:t>
            </w:r>
            <w:r w:rsidRPr="00236C82">
              <w:rPr>
                <w:rFonts w:cs="Arial"/>
                <w:bCs w:val="0"/>
                <w:szCs w:val="24"/>
                <w:lang w:eastAsia="en-GB"/>
              </w:rPr>
              <w:t>achieve an undetectable viral load or who experience a confirmed viral load rebound to above 50 copies/ml are deemed to be experiencing virological failure.</w:t>
            </w:r>
          </w:p>
        </w:tc>
      </w:tr>
    </w:tbl>
    <w:p w14:paraId="3296C851" w14:textId="5C9178BE" w:rsidR="00FA474B" w:rsidRPr="004E766C" w:rsidRDefault="00E468DD" w:rsidP="004E766C">
      <w:pPr>
        <w:pStyle w:val="Heading2"/>
      </w:pPr>
      <w:r w:rsidRPr="004E766C">
        <w:t>References</w:t>
      </w:r>
    </w:p>
    <w:bookmarkEnd w:id="14"/>
    <w:bookmarkEnd w:id="15"/>
    <w:p w14:paraId="7250FFE2" w14:textId="677A0E78" w:rsidR="003E2B61" w:rsidRPr="00BD0183" w:rsidRDefault="1FBF146B" w:rsidP="1467F4BE">
      <w:pPr>
        <w:pStyle w:val="NoSpacing"/>
        <w:rPr>
          <w:shd w:val="clear" w:color="auto" w:fill="FFFFFF"/>
        </w:rPr>
      </w:pPr>
      <w:r w:rsidRPr="00BD0183">
        <w:rPr>
          <w:shd w:val="clear" w:color="auto" w:fill="FFFFFF"/>
        </w:rPr>
        <w:t>British HIV Association (BHIVA). 20</w:t>
      </w:r>
      <w:r w:rsidR="4EC9FAC9" w:rsidRPr="00BD0183">
        <w:rPr>
          <w:shd w:val="clear" w:color="auto" w:fill="FFFFFF"/>
        </w:rPr>
        <w:t>22</w:t>
      </w:r>
      <w:r w:rsidRPr="00BD0183">
        <w:rPr>
          <w:shd w:val="clear" w:color="auto" w:fill="FFFFFF"/>
        </w:rPr>
        <w:t>. British HIV Association guidelines for the treatment of HIV-1-positive adults with antiretroviral therapy [online].  Available</w:t>
      </w:r>
      <w:r w:rsidR="19451F30" w:rsidRPr="00BD0183">
        <w:rPr>
          <w:shd w:val="clear" w:color="auto" w:fill="FFFFFF"/>
        </w:rPr>
        <w:t xml:space="preserve"> </w:t>
      </w:r>
      <w:r w:rsidRPr="00BD0183">
        <w:rPr>
          <w:shd w:val="clear" w:color="auto" w:fill="FFFFFF"/>
        </w:rPr>
        <w:t>at:  </w:t>
      </w:r>
      <w:hyperlink r:id="rId14">
        <w:r w:rsidR="66B98BB7" w:rsidRPr="00BD0183">
          <w:rPr>
            <w:rStyle w:val="Hyperlink"/>
          </w:rPr>
          <w:t>BHIVA guidelines for the treatment of HIV-1-positive adults with antiretroviral therapy 20</w:t>
        </w:r>
        <w:r w:rsidR="177FEEA1" w:rsidRPr="00BD0183">
          <w:rPr>
            <w:rStyle w:val="Hyperlink"/>
          </w:rPr>
          <w:t>22</w:t>
        </w:r>
      </w:hyperlink>
      <w:r w:rsidRPr="00BD0183">
        <w:rPr>
          <w:shd w:val="clear" w:color="auto" w:fill="FFFFFF"/>
        </w:rPr>
        <w:t xml:space="preserve">. Accessed </w:t>
      </w:r>
      <w:r w:rsidR="00BD2758" w:rsidRPr="00BD0183">
        <w:rPr>
          <w:shd w:val="clear" w:color="auto" w:fill="FFFFFF"/>
        </w:rPr>
        <w:t>13/12/2022</w:t>
      </w:r>
      <w:r w:rsidRPr="00BD0183">
        <w:rPr>
          <w:shd w:val="clear" w:color="auto" w:fill="FFFFFF"/>
        </w:rPr>
        <w:t>. </w:t>
      </w:r>
    </w:p>
    <w:p w14:paraId="28757FF4" w14:textId="77777777" w:rsidR="003E2B61" w:rsidRPr="003E2B61" w:rsidRDefault="003E2B61" w:rsidP="003E2B61">
      <w:pPr>
        <w:pStyle w:val="NoSpacing"/>
        <w:rPr>
          <w:shd w:val="clear" w:color="auto" w:fill="FFFFFF"/>
        </w:rPr>
      </w:pPr>
      <w:r w:rsidRPr="003E2B61">
        <w:rPr>
          <w:shd w:val="clear" w:color="auto" w:fill="FFFFFF"/>
        </w:rPr>
        <w:t> </w:t>
      </w:r>
    </w:p>
    <w:p w14:paraId="406DA954" w14:textId="39A21688" w:rsidR="003A6058" w:rsidRDefault="003A6058" w:rsidP="003A6058">
      <w:pPr>
        <w:pStyle w:val="NoSpacing"/>
      </w:pPr>
      <w:r>
        <w:t xml:space="preserve">Medicines and Healthcare products Regulatory Agency (MHRA) 2019. Prescribing medicines in renal impairment: using the appropriate estimation of renal function to avoid the risk of adverse drug reactions [online]. Available at: </w:t>
      </w:r>
      <w:hyperlink r:id="rId15" w:history="1">
        <w:r w:rsidRPr="00C34613">
          <w:rPr>
            <w:rStyle w:val="Hyperlink"/>
          </w:rPr>
          <w:t>https://www.gov.uk/drug-safety-update/prescribing-medicines-in-renal-impairment-using-the-appropriate-estimate-of-renal-function-to-avoid-the-risk-of-adverse-drug-reactions. Accessed 18/10/21</w:t>
        </w:r>
      </w:hyperlink>
      <w:r>
        <w:t>.</w:t>
      </w:r>
    </w:p>
    <w:p w14:paraId="44B9FCD8" w14:textId="77777777" w:rsidR="003A6058" w:rsidRDefault="003A6058" w:rsidP="003A6058">
      <w:pPr>
        <w:pStyle w:val="NoSpacing"/>
      </w:pPr>
    </w:p>
    <w:p w14:paraId="4A05D26F" w14:textId="5E4C0F25" w:rsidR="003A6058" w:rsidRDefault="003A6058" w:rsidP="003A6058">
      <w:pPr>
        <w:pStyle w:val="NoSpacing"/>
      </w:pPr>
      <w:r>
        <w:t>Mills A, Arribas JR, Andrade-Villaenueva J et al. Switching from tenofovir disoproxil fumarate to tenofovir alafenamide in antiretroviral regimens for virologically suppressed adults with HIV-1 infection: a randomised, active-controlled, multicentre, open-label, phase 3, non-inferiority study. Lancet ID 2015; 16: 43-52.</w:t>
      </w:r>
    </w:p>
    <w:p w14:paraId="26EDD822" w14:textId="0D895417" w:rsidR="00EE4BD4" w:rsidRDefault="00EE4BD4" w:rsidP="003A6058">
      <w:pPr>
        <w:pStyle w:val="NoSpacing"/>
      </w:pPr>
    </w:p>
    <w:p w14:paraId="2A584375" w14:textId="1DC14550" w:rsidR="00432C41" w:rsidRPr="003E2B61" w:rsidRDefault="00432C41" w:rsidP="00432C41">
      <w:pPr>
        <w:pStyle w:val="NoSpacing"/>
        <w:rPr>
          <w:shd w:val="clear" w:color="auto" w:fill="FFFFFF"/>
        </w:rPr>
      </w:pPr>
      <w:r w:rsidRPr="003E2B61">
        <w:rPr>
          <w:shd w:val="clear" w:color="auto" w:fill="FFFFFF"/>
        </w:rPr>
        <w:t xml:space="preserve">NHS England. 2013. Specialised Human Immunodeficiency virus (HIV) Services (Adult) [online].  </w:t>
      </w:r>
      <w:r w:rsidRPr="00AC3134">
        <w:rPr>
          <w:shd w:val="clear" w:color="auto" w:fill="FFFFFF"/>
          <w:lang w:val="fr-FR"/>
        </w:rPr>
        <w:t>Available at: </w:t>
      </w:r>
      <w:hyperlink r:id="rId16" w:tgtFrame="_blank" w:history="1">
        <w:r w:rsidRPr="00AC3134">
          <w:rPr>
            <w:rStyle w:val="Hyperlink"/>
            <w:rFonts w:cs="Arial"/>
            <w:shd w:val="clear" w:color="auto" w:fill="FFFFFF"/>
            <w:lang w:val="fr-FR"/>
          </w:rPr>
          <w:t xml:space="preserve">https://www.england.nhs.uk/wp-content/uploads/2013/06/b06-spec-hiv-serv.pdf.  </w:t>
        </w:r>
      </w:hyperlink>
      <w:r w:rsidRPr="003E2B61">
        <w:rPr>
          <w:shd w:val="clear" w:color="auto" w:fill="FFFFFF"/>
        </w:rPr>
        <w:t>. </w:t>
      </w:r>
    </w:p>
    <w:p w14:paraId="1720A33E" w14:textId="77777777" w:rsidR="00432C41" w:rsidRPr="003E2B61" w:rsidRDefault="00432C41" w:rsidP="00432C41">
      <w:pPr>
        <w:pStyle w:val="NoSpacing"/>
        <w:rPr>
          <w:shd w:val="clear" w:color="auto" w:fill="FFFFFF"/>
        </w:rPr>
      </w:pPr>
      <w:r w:rsidRPr="003E2B61">
        <w:rPr>
          <w:shd w:val="clear" w:color="auto" w:fill="FFFFFF"/>
        </w:rPr>
        <w:t> </w:t>
      </w:r>
    </w:p>
    <w:p w14:paraId="686BB19F" w14:textId="640508C3" w:rsidR="00EE4BD4" w:rsidRPr="00AC3134" w:rsidRDefault="00432C41" w:rsidP="003A6058">
      <w:pPr>
        <w:pStyle w:val="NoSpacing"/>
        <w:rPr>
          <w:shd w:val="clear" w:color="auto" w:fill="FFFFFF"/>
          <w:lang w:val="fr-FR"/>
        </w:rPr>
      </w:pPr>
      <w:r w:rsidRPr="003E2B61">
        <w:rPr>
          <w:shd w:val="clear" w:color="auto" w:fill="FFFFFF"/>
        </w:rPr>
        <w:t xml:space="preserve">NHS England. 2013. Specialised Human Immunodeficiency virus (HIV) Services (Children) [online]. </w:t>
      </w:r>
      <w:r w:rsidRPr="00AC3134">
        <w:rPr>
          <w:shd w:val="clear" w:color="auto" w:fill="FFFFFF"/>
          <w:lang w:val="fr-FR"/>
        </w:rPr>
        <w:t>Available at: </w:t>
      </w:r>
      <w:hyperlink r:id="rId17" w:tgtFrame="_blank" w:history="1">
        <w:r w:rsidRPr="00AC3134">
          <w:rPr>
            <w:rStyle w:val="Hyperlink"/>
            <w:rFonts w:cs="Arial"/>
            <w:shd w:val="clear" w:color="auto" w:fill="FFFFFF"/>
            <w:lang w:val="fr-FR"/>
          </w:rPr>
          <w:t>https://www.england.nhs.uk/wp-content/uploads/2013/06/b06-spec-hiv-child.pdf</w:t>
        </w:r>
      </w:hyperlink>
      <w:r w:rsidRPr="00AC3134">
        <w:rPr>
          <w:shd w:val="clear" w:color="auto" w:fill="FFFFFF"/>
          <w:lang w:val="fr-FR"/>
        </w:rPr>
        <w:t xml:space="preserve">. </w:t>
      </w:r>
    </w:p>
    <w:p w14:paraId="302E107C" w14:textId="723B313F" w:rsidR="00DA6E9D" w:rsidRPr="00AC3134" w:rsidRDefault="00DA6E9D" w:rsidP="003A6058">
      <w:pPr>
        <w:pStyle w:val="NoSpacing"/>
        <w:rPr>
          <w:shd w:val="clear" w:color="auto" w:fill="FFFFFF"/>
          <w:lang w:val="fr-FR"/>
        </w:rPr>
      </w:pPr>
    </w:p>
    <w:p w14:paraId="63DD33AC" w14:textId="58CE6EAB" w:rsidR="00DA6E9D" w:rsidRDefault="00DA6E9D" w:rsidP="003A6058">
      <w:pPr>
        <w:pStyle w:val="NoSpacing"/>
        <w:rPr>
          <w:shd w:val="clear" w:color="auto" w:fill="FFFFFF"/>
        </w:rPr>
      </w:pPr>
      <w:r>
        <w:rPr>
          <w:shd w:val="clear" w:color="auto" w:fill="FFFFFF"/>
        </w:rPr>
        <w:t>NHS England. 2020</w:t>
      </w:r>
      <w:r w:rsidR="00EC2135">
        <w:rPr>
          <w:shd w:val="clear" w:color="auto" w:fill="FFFFFF"/>
        </w:rPr>
        <w:t>. Reimbursement for the use of generic drugs for pre exposure prophylaxis (PrEP) for the prevention of HIV</w:t>
      </w:r>
      <w:r w:rsidR="009608CE">
        <w:rPr>
          <w:shd w:val="clear" w:color="auto" w:fill="FFFFFF"/>
        </w:rPr>
        <w:t xml:space="preserve"> [online]. Available at: </w:t>
      </w:r>
      <w:hyperlink r:id="rId18" w:history="1">
        <w:r w:rsidR="0011370C" w:rsidRPr="004D7FBC">
          <w:rPr>
            <w:rStyle w:val="Hyperlink"/>
            <w:shd w:val="clear" w:color="auto" w:fill="FFFFFF"/>
          </w:rPr>
          <w:t>https://www.england.nhs.uk/publication/reimbursement-for-the-use-of-generic-drugs-for-pre-exposure-prophylaxis-prep-for-the-prevention-of-hiv/</w:t>
        </w:r>
      </w:hyperlink>
    </w:p>
    <w:p w14:paraId="3680992F" w14:textId="77777777" w:rsidR="003A6058" w:rsidRDefault="003A6058" w:rsidP="003A6058">
      <w:pPr>
        <w:pStyle w:val="NoSpacing"/>
      </w:pPr>
    </w:p>
    <w:p w14:paraId="10FDDEE3" w14:textId="6F104857" w:rsidR="008F3986" w:rsidRDefault="003A6058" w:rsidP="003A6058">
      <w:pPr>
        <w:pStyle w:val="NoSpacing"/>
      </w:pPr>
      <w:r>
        <w:t xml:space="preserve">Public Health England. 2020. Trends in HIV testing, new diagnoses and people receiving HIV-related care in the UK: data to end December 2019 Health Protection Report Volume 14 </w:t>
      </w:r>
      <w:r>
        <w:lastRenderedPageBreak/>
        <w:t>Number 20 [online]. Availab</w:t>
      </w:r>
      <w:bookmarkStart w:id="16" w:name="_Hlk93493119"/>
      <w:r w:rsidR="007869B5">
        <w:t>le at</w:t>
      </w:r>
      <w:r w:rsidR="008F3986">
        <w:t>:</w:t>
      </w:r>
      <w:r w:rsidR="006D128B">
        <w:t xml:space="preserve"> </w:t>
      </w:r>
      <w:hyperlink r:id="rId19" w:history="1">
        <w:r w:rsidR="002E3650">
          <w:rPr>
            <w:rStyle w:val="Hyperlink"/>
          </w:rPr>
          <w:t>HIV testing trends, new diagnoses and people receiving HIV-related care in UK: data to the end December 2019 (publishing.service.gov.uk)</w:t>
        </w:r>
      </w:hyperlink>
      <w:r>
        <w:t>Accessed 11/10/21.</w:t>
      </w:r>
    </w:p>
    <w:bookmarkEnd w:id="16"/>
    <w:p w14:paraId="47B61D1C" w14:textId="77777777" w:rsidR="003A6058" w:rsidRDefault="003A6058" w:rsidP="003A6058">
      <w:pPr>
        <w:pStyle w:val="NoSpacing"/>
      </w:pPr>
    </w:p>
    <w:p w14:paraId="6C181E96" w14:textId="0BF2A73E" w:rsidR="003A6058" w:rsidRPr="00AC3134" w:rsidRDefault="003A6058" w:rsidP="003A6058">
      <w:pPr>
        <w:pStyle w:val="NoSpacing"/>
        <w:rPr>
          <w:lang w:val="fr-FR"/>
        </w:rPr>
      </w:pPr>
      <w:r w:rsidRPr="00AC3134">
        <w:rPr>
          <w:lang w:val="es-ES"/>
        </w:rPr>
        <w:t xml:space="preserve">Sax P, Zolopa A, Brar I et al. 2014. </w:t>
      </w:r>
      <w:r>
        <w:t xml:space="preserve">Tenofovir alafenamide vs tenofovir disoproxil fumarate in single tablet regimens for initial HIV-1 therapy: a randomised phase 2 study. </w:t>
      </w:r>
      <w:r w:rsidRPr="00AC3134">
        <w:rPr>
          <w:lang w:val="fr-FR"/>
        </w:rPr>
        <w:t>J Acquire Immune Defic Syndr, 67(1), pp. 52-58.</w:t>
      </w:r>
    </w:p>
    <w:p w14:paraId="5F4C44A7" w14:textId="77777777" w:rsidR="003A6058" w:rsidRPr="00AC3134" w:rsidRDefault="003A6058" w:rsidP="003A6058">
      <w:pPr>
        <w:pStyle w:val="NoSpacing"/>
        <w:rPr>
          <w:lang w:val="fr-FR"/>
        </w:rPr>
      </w:pPr>
    </w:p>
    <w:p w14:paraId="108FA95F" w14:textId="344B8A10" w:rsidR="00710674" w:rsidRDefault="003A6058" w:rsidP="003A6058">
      <w:pPr>
        <w:pStyle w:val="NoSpacing"/>
      </w:pPr>
      <w:r w:rsidRPr="00AC3134">
        <w:rPr>
          <w:lang w:val="fr-FR"/>
        </w:rPr>
        <w:t xml:space="preserve">Sax PE, Wohl D, Yin MT et al. </w:t>
      </w:r>
      <w:r>
        <w:t>Tenofovir alafenamide versus tenofovir disoproxil fumarate, coformulated with elvitegravir, cobicistat, and emtricitabine, for initial treatment of HIV-1 infection: two randomised, double-blind, phase 3, non-inferiority trials. Lancet 2015; 385: 2606-15.</w:t>
      </w:r>
    </w:p>
    <w:p w14:paraId="50FC5A88" w14:textId="7C2A019F" w:rsidR="00B01083" w:rsidRDefault="00B01083" w:rsidP="003A6058">
      <w:pPr>
        <w:pStyle w:val="NoSpacing"/>
      </w:pPr>
    </w:p>
    <w:p w14:paraId="728D3861" w14:textId="47BBB141" w:rsidR="00B01083" w:rsidRDefault="00AB3C68" w:rsidP="003A6058">
      <w:pPr>
        <w:pStyle w:val="NoSpacing"/>
      </w:pPr>
      <w:r w:rsidRPr="00AB3C68">
        <w:t>UK Health Security Agency (UKHSA) 202</w:t>
      </w:r>
      <w:r w:rsidR="00AF406D">
        <w:t>1</w:t>
      </w:r>
      <w:r w:rsidRPr="00AB3C68">
        <w:t>. HIV testing, new HIV diagnoses, outcomes and quality of care for people accessing HIV services: 2021 report [online]. Available at:</w:t>
      </w:r>
      <w:r w:rsidR="004076D7" w:rsidRPr="004076D7">
        <w:t xml:space="preserve"> </w:t>
      </w:r>
      <w:hyperlink r:id="rId20" w:anchor="hiv-care-outcomes" w:history="1">
        <w:r w:rsidR="00AF406D">
          <w:rPr>
            <w:rStyle w:val="Hyperlink"/>
          </w:rPr>
          <w:t>HIV testing, PrEP, new HIV diagnoses, and care outcomes for people accessing HIV services: 2022 report - GOV.UK (www.gov.uk)</w:t>
        </w:r>
      </w:hyperlink>
      <w:r w:rsidR="00AF406D">
        <w:t xml:space="preserve">. </w:t>
      </w:r>
      <w:r w:rsidRPr="00AB3C68">
        <w:t>Accessed 18/1</w:t>
      </w:r>
      <w:r w:rsidR="00AF406D">
        <w:t>2</w:t>
      </w:r>
      <w:r w:rsidRPr="00AB3C68">
        <w:t>/22.</w:t>
      </w:r>
    </w:p>
    <w:sectPr w:rsidR="00B01083" w:rsidSect="000106E0">
      <w:headerReference w:type="even" r:id="rId21"/>
      <w:headerReference w:type="default" r:id="rId22"/>
      <w:footerReference w:type="even" r:id="rId23"/>
      <w:footerReference w:type="default" r:id="rId24"/>
      <w:headerReference w:type="first" r:id="rId25"/>
      <w:pgSz w:w="11900" w:h="16840"/>
      <w:pgMar w:top="851" w:right="851" w:bottom="851" w:left="85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EDD66" w14:textId="77777777" w:rsidR="00E60C85" w:rsidRDefault="00E60C85">
      <w:r>
        <w:separator/>
      </w:r>
    </w:p>
  </w:endnote>
  <w:endnote w:type="continuationSeparator" w:id="0">
    <w:p w14:paraId="7F3C3182" w14:textId="77777777" w:rsidR="00E60C85" w:rsidRDefault="00E60C85">
      <w:r>
        <w:continuationSeparator/>
      </w:r>
    </w:p>
  </w:endnote>
  <w:endnote w:type="continuationNotice" w:id="1">
    <w:p w14:paraId="2D87568A" w14:textId="77777777" w:rsidR="00E60C85" w:rsidRDefault="00E60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7B32" w14:textId="5643F2C3" w:rsidR="00B749AC" w:rsidRDefault="00B749AC" w:rsidP="00B749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CEC27" w14:textId="77777777" w:rsidR="00B749AC" w:rsidRDefault="00B749AC" w:rsidP="00B749AC">
    <w:pPr>
      <w:pStyle w:val="Footer"/>
      <w:ind w:right="360"/>
    </w:pPr>
  </w:p>
  <w:p w14:paraId="45879D77" w14:textId="77777777" w:rsidR="005C64D9" w:rsidRDefault="005C64D9"/>
  <w:p w14:paraId="3088D5A4" w14:textId="77777777" w:rsidR="005C64D9" w:rsidRDefault="005C64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FDA2" w14:textId="75671567" w:rsidR="00B749AC" w:rsidRDefault="00B749AC" w:rsidP="00B749AC">
    <w:pPr>
      <w:pStyle w:val="Footer"/>
      <w:framePr w:wrap="around" w:vAnchor="text" w:hAnchor="margin" w:xAlign="right" w:y="-482"/>
      <w:rPr>
        <w:rStyle w:val="PageNumber"/>
      </w:rPr>
    </w:pPr>
    <w:r>
      <w:rPr>
        <w:rStyle w:val="PageNumber"/>
      </w:rPr>
      <w:fldChar w:fldCharType="begin"/>
    </w:r>
    <w:r>
      <w:rPr>
        <w:rStyle w:val="PageNumber"/>
      </w:rPr>
      <w:instrText xml:space="preserve">PAGE  </w:instrText>
    </w:r>
    <w:r>
      <w:rPr>
        <w:rStyle w:val="PageNumber"/>
      </w:rPr>
      <w:fldChar w:fldCharType="separate"/>
    </w:r>
    <w:r w:rsidR="00287E8B">
      <w:rPr>
        <w:rStyle w:val="PageNumber"/>
        <w:noProof/>
      </w:rPr>
      <w:t>6</w:t>
    </w:r>
    <w:r>
      <w:rPr>
        <w:rStyle w:val="PageNumber"/>
      </w:rPr>
      <w:fldChar w:fldCharType="end"/>
    </w:r>
  </w:p>
  <w:p w14:paraId="3B14454B" w14:textId="77777777" w:rsidR="00B749AC" w:rsidRDefault="00B749AC" w:rsidP="00B749AC">
    <w:pPr>
      <w:spacing w:line="197" w:lineRule="exact"/>
      <w:ind w:right="360"/>
      <w:rPr>
        <w:sz w:val="19"/>
        <w:szCs w:val="19"/>
      </w:rPr>
    </w:pPr>
    <w:r>
      <w:rPr>
        <w:noProof/>
        <w:lang w:eastAsia="en-GB"/>
      </w:rPr>
      <mc:AlternateContent>
        <mc:Choice Requires="wps">
          <w:drawing>
            <wp:anchor distT="0" distB="0" distL="114300" distR="114300" simplePos="0" relativeHeight="251658241" behindDoc="1" locked="0" layoutInCell="1" allowOverlap="1" wp14:anchorId="75016963" wp14:editId="5234DFE4">
              <wp:simplePos x="0" y="0"/>
              <wp:positionH relativeFrom="page">
                <wp:posOffset>6569050</wp:posOffset>
              </wp:positionH>
              <wp:positionV relativeFrom="page">
                <wp:posOffset>10372954</wp:posOffset>
              </wp:positionV>
              <wp:extent cx="0" cy="1384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5C85A" w14:textId="648705D4" w:rsidR="00B749AC" w:rsidRDefault="00B749AC">
                          <w:pPr>
                            <w:spacing w:before="5"/>
                            <w:ind w:left="40" w:right="-20"/>
                            <w:rPr>
                              <w:rFonts w:eastAsia="Arial" w:cs="Arial"/>
                              <w:sz w:val="17"/>
                              <w:szCs w:val="17"/>
                            </w:rPr>
                          </w:pPr>
                          <w:r>
                            <w:fldChar w:fldCharType="begin"/>
                          </w:r>
                          <w:r>
                            <w:rPr>
                              <w:rFonts w:eastAsia="Arial" w:cs="Arial"/>
                              <w:color w:val="A00054"/>
                              <w:w w:val="103"/>
                              <w:sz w:val="17"/>
                              <w:szCs w:val="17"/>
                            </w:rPr>
                            <w:instrText xml:space="preserve"> PAGE </w:instrText>
                          </w:r>
                          <w:r>
                            <w:fldChar w:fldCharType="separate"/>
                          </w:r>
                          <w:r w:rsidR="00287E8B">
                            <w:rPr>
                              <w:rFonts w:eastAsia="Arial" w:cs="Arial"/>
                              <w:noProof/>
                              <w:color w:val="A00054"/>
                              <w:w w:val="103"/>
                              <w:sz w:val="17"/>
                              <w:szCs w:val="17"/>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16963" id="_x0000_t202" coordsize="21600,21600" o:spt="202" path="m,l,21600r21600,l21600,xe">
              <v:stroke joinstyle="miter"/>
              <v:path gradientshapeok="t" o:connecttype="rect"/>
            </v:shapetype>
            <v:shape id="Text Box 16" o:spid="_x0000_s1027" type="#_x0000_t202" style="position:absolute;margin-left:517.25pt;margin-top:816.75pt;width:0;height:10.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" filled="f" stroked="f">
              <v:textbox inset="0,0,0,0">
                <w:txbxContent>
                  <w:p w14:paraId="09D5C85A" w14:textId="648705D4" w:rsidR="00B749AC" w:rsidRDefault="00B749AC">
                    <w:pPr>
                      <w:spacing w:before="5"/>
                      <w:ind w:left="40" w:right="-20"/>
                      <w:rPr>
                        <w:rFonts w:eastAsia="Arial" w:cs="Arial"/>
                        <w:sz w:val="17"/>
                        <w:szCs w:val="17"/>
                      </w:rPr>
                    </w:pPr>
                    <w:r>
                      <w:fldChar w:fldCharType="begin"/>
                    </w:r>
                    <w:r>
                      <w:rPr>
                        <w:rFonts w:eastAsia="Arial" w:cs="Arial"/>
                        <w:color w:val="A00054"/>
                        <w:w w:val="103"/>
                        <w:sz w:val="17"/>
                        <w:szCs w:val="17"/>
                      </w:rPr>
                      <w:instrText xml:space="preserve"> PAGE </w:instrText>
                    </w:r>
                    <w:r>
                      <w:fldChar w:fldCharType="separate"/>
                    </w:r>
                    <w:r w:rsidR="00287E8B">
                      <w:rPr>
                        <w:rFonts w:eastAsia="Arial" w:cs="Arial"/>
                        <w:noProof/>
                        <w:color w:val="A00054"/>
                        <w:w w:val="103"/>
                        <w:sz w:val="17"/>
                        <w:szCs w:val="17"/>
                      </w:rPr>
                      <w:t>6</w:t>
                    </w:r>
                    <w:r>
                      <w:fldChar w:fldCharType="end"/>
                    </w:r>
                  </w:p>
                </w:txbxContent>
              </v:textbox>
              <w10:wrap anchorx="page" anchory="page"/>
            </v:shape>
          </w:pict>
        </mc:Fallback>
      </mc:AlternateContent>
    </w:r>
  </w:p>
  <w:p w14:paraId="61D2A84F" w14:textId="77777777" w:rsidR="005C64D9" w:rsidRDefault="005C64D9"/>
  <w:p w14:paraId="7927E6F7" w14:textId="77777777" w:rsidR="005C64D9" w:rsidRDefault="005C64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B49F" w14:textId="77777777" w:rsidR="00E60C85" w:rsidRDefault="00E60C85">
      <w:r>
        <w:separator/>
      </w:r>
    </w:p>
  </w:footnote>
  <w:footnote w:type="continuationSeparator" w:id="0">
    <w:p w14:paraId="34E55D69" w14:textId="77777777" w:rsidR="00E60C85" w:rsidRDefault="00E60C85">
      <w:r>
        <w:continuationSeparator/>
      </w:r>
    </w:p>
  </w:footnote>
  <w:footnote w:type="continuationNotice" w:id="1">
    <w:p w14:paraId="72F06109" w14:textId="77777777" w:rsidR="00E60C85" w:rsidRDefault="00E60C85"/>
  </w:footnote>
  <w:footnote w:id="2">
    <w:p w14:paraId="384EDD0B" w14:textId="4225E5FD" w:rsidR="00242654" w:rsidRDefault="00242654">
      <w:pPr>
        <w:pStyle w:val="FootnoteText"/>
      </w:pPr>
      <w:r>
        <w:rPr>
          <w:rStyle w:val="FootnoteReference"/>
        </w:rPr>
        <w:footnoteRef/>
      </w:r>
      <w:r>
        <w:t xml:space="preserve"> </w:t>
      </w:r>
      <w:r w:rsidR="005259DC">
        <w:t xml:space="preserve">Tenofovir </w:t>
      </w:r>
      <w:r>
        <w:t xml:space="preserve">disoproxil </w:t>
      </w:r>
      <w:r w:rsidR="005259DC">
        <w:t xml:space="preserve">can be formulated with different </w:t>
      </w:r>
      <w:r>
        <w:t>salts</w:t>
      </w:r>
      <w:r w:rsidR="00BF6F5E">
        <w:t xml:space="preserve">, those </w:t>
      </w:r>
      <w:r w:rsidR="00D40AF4">
        <w:t>with fumarate are referred to as TDF</w:t>
      </w:r>
      <w:r w:rsidR="001026AC">
        <w:t>. TDF is used throughout this policy</w:t>
      </w:r>
      <w:r w:rsidR="00366E54">
        <w:t xml:space="preserve"> </w:t>
      </w:r>
      <w:r w:rsidR="00E1609D">
        <w:t>due to the evidence</w:t>
      </w:r>
      <w:r w:rsidR="006820EC">
        <w:t xml:space="preserve"> base</w:t>
      </w:r>
      <w:r w:rsidR="00E1609D">
        <w:t xml:space="preserve"> returned.</w:t>
      </w:r>
      <w:r w:rsidR="0057213C">
        <w:t xml:space="preserve"> Other tenofovir disoproxil salts are covered within this policy.</w:t>
      </w:r>
    </w:p>
  </w:footnote>
  <w:footnote w:id="3">
    <w:p w14:paraId="07FE5160" w14:textId="6815FBEB" w:rsidR="003F6C45" w:rsidRDefault="003F6C45">
      <w:pPr>
        <w:pStyle w:val="FootnoteText"/>
      </w:pPr>
      <w:r>
        <w:rPr>
          <w:rStyle w:val="FootnoteReference"/>
        </w:rPr>
        <w:footnoteRef/>
      </w:r>
      <w:r>
        <w:t xml:space="preserve"> </w:t>
      </w:r>
      <w:r w:rsidRPr="00B91767">
        <w:rPr>
          <w:rFonts w:cs="Arial"/>
          <w:lang w:eastAsia="en-GB"/>
        </w:rPr>
        <w:t>UNAIDS has a vision of zero new HIV infections, zero discrimination and zero AIDS-related deaths, and a principle of leaving no one behind”. They agreed to end AIDS as a public health threat by 2030 through meeting a series of Fast-Track commitments including treatment for all</w:t>
      </w:r>
      <w:r w:rsidR="005573DB">
        <w:rPr>
          <w:rFonts w:cs="Arial"/>
          <w:lang w:eastAsia="en-GB"/>
        </w:rPr>
        <w:t xml:space="preserve">, </w:t>
      </w:r>
      <w:r w:rsidRPr="00B91767">
        <w:rPr>
          <w:rFonts w:cs="Arial"/>
          <w:lang w:eastAsia="en-GB"/>
        </w:rPr>
        <w:t>eliminating childhood AIDS, ensuring access to HIV prevention, championing the rights of girls, women and key populations, social protection and delivery by communities, financing the AIDS response and realising human rights</w:t>
      </w:r>
      <w:r>
        <w:rPr>
          <w:rFonts w:cs="Arial"/>
          <w:lang w:eastAsia="en-GB"/>
        </w:rPr>
        <w:t>.</w:t>
      </w:r>
    </w:p>
  </w:footnote>
  <w:footnote w:id="4">
    <w:p w14:paraId="7B02A576" w14:textId="77777777" w:rsidR="005A595F" w:rsidRPr="004B14FE" w:rsidRDefault="005A595F" w:rsidP="0053487A">
      <w:pPr>
        <w:spacing w:after="0"/>
        <w:rPr>
          <w:sz w:val="20"/>
          <w:szCs w:val="20"/>
        </w:rPr>
      </w:pPr>
      <w:r>
        <w:rPr>
          <w:rStyle w:val="FootnoteReference"/>
          <w:rFonts w:eastAsiaTheme="majorEastAsia"/>
        </w:rPr>
        <w:footnoteRef/>
      </w:r>
      <w:r>
        <w:t xml:space="preserve"> </w:t>
      </w:r>
      <w:r w:rsidRPr="00B91767">
        <w:rPr>
          <w:sz w:val="20"/>
          <w:szCs w:val="20"/>
        </w:rPr>
        <w:t xml:space="preserve">This policy uses eGFR to define renal thresholds as this estimation of renal function as it is more frequently used in clinical practice. It is noted that Creatinine Clearance (CrCl) is used in the Summary of Product Characteristics (SPC). Prescribers should consider situations where eGFR is a poor approximation for renal function, such as in the extremes of body mass.  Further details are available from the Medicines and Healthcare products and Regulation Agency (MHRA) 2019. </w:t>
      </w:r>
    </w:p>
  </w:footnote>
  <w:footnote w:id="5">
    <w:p w14:paraId="2F92A5FD" w14:textId="77777777" w:rsidR="005A595F" w:rsidRDefault="005A595F" w:rsidP="005A595F">
      <w:pPr>
        <w:pStyle w:val="FootnoteText"/>
      </w:pPr>
      <w:r>
        <w:rPr>
          <w:rStyle w:val="FootnoteReference"/>
          <w:rFonts w:eastAsiaTheme="majorEastAsia"/>
        </w:rPr>
        <w:footnoteRef/>
      </w:r>
      <w:r>
        <w:t xml:space="preserve"> </w:t>
      </w:r>
      <w:r w:rsidRPr="007759C9">
        <w:t xml:space="preserve">Renal toxicity defined as a progressive, sustained decline in </w:t>
      </w:r>
      <w:r>
        <w:t>renal function</w:t>
      </w:r>
      <w:r w:rsidRPr="007759C9">
        <w:t xml:space="preserve"> or development of renal tubular acidosis</w:t>
      </w:r>
      <w:r>
        <w:t>, attributable to TDF</w:t>
      </w:r>
      <w:r w:rsidRPr="007759C9">
        <w:t>. Toxicity could also include development or worsening of existing proteinuria without a</w:t>
      </w:r>
      <w:r>
        <w:t>nother</w:t>
      </w:r>
      <w:r w:rsidRPr="007759C9">
        <w:t xml:space="preserve"> reversible or explained cause</w:t>
      </w:r>
      <w:r>
        <w:t>. It is expected that prescribers can consult renal specialists if there is diagnostic uncertainty.</w:t>
      </w:r>
    </w:p>
  </w:footnote>
  <w:footnote w:id="6">
    <w:p w14:paraId="27F6BA25" w14:textId="77777777" w:rsidR="005A595F" w:rsidRDefault="005A595F" w:rsidP="005A595F">
      <w:pPr>
        <w:pStyle w:val="FootnoteText"/>
      </w:pPr>
      <w:r>
        <w:rPr>
          <w:rStyle w:val="FootnoteReference"/>
          <w:rFonts w:eastAsiaTheme="majorEastAsia"/>
        </w:rPr>
        <w:footnoteRef/>
      </w:r>
      <w:r>
        <w:t xml:space="preserve"> H</w:t>
      </w:r>
      <w:r w:rsidRPr="00B91767">
        <w:t>igh fracture probability</w:t>
      </w:r>
      <w:r>
        <w:t xml:space="preserve"> defined as </w:t>
      </w:r>
      <w:r w:rsidRPr="00B91767">
        <w:t xml:space="preserve">&gt;10% </w:t>
      </w:r>
      <w:r>
        <w:t>(</w:t>
      </w:r>
      <w:r w:rsidRPr="00B91767">
        <w:t>major osteoporotic or hip</w:t>
      </w:r>
      <w:r>
        <w:t xml:space="preserve"> fracture absolute risk), with NICE recommending QFracture or FRAX scores.</w:t>
      </w:r>
    </w:p>
  </w:footnote>
  <w:footnote w:id="7">
    <w:p w14:paraId="3F4FF21C" w14:textId="5A1A69C6" w:rsidR="005A595F" w:rsidRPr="006223C6" w:rsidRDefault="005A595F" w:rsidP="005A595F">
      <w:pPr>
        <w:pStyle w:val="FootnoteText"/>
      </w:pPr>
      <w:r w:rsidRPr="006223C6">
        <w:rPr>
          <w:rStyle w:val="FootnoteReference"/>
          <w:rFonts w:eastAsiaTheme="majorEastAsia"/>
        </w:rPr>
        <w:footnoteRef/>
      </w:r>
      <w:r w:rsidRPr="006223C6">
        <w:t xml:space="preserve"> SPC</w:t>
      </w:r>
      <w:r>
        <w:t xml:space="preserve"> information</w:t>
      </w:r>
      <w:r w:rsidRPr="006223C6">
        <w:t xml:space="preserve"> for TD</w:t>
      </w:r>
      <w:r w:rsidR="001E6D7B">
        <w:t>-</w:t>
      </w:r>
      <w:r w:rsidRPr="006223C6">
        <w:t xml:space="preserve">FTC </w:t>
      </w:r>
      <w:r w:rsidRPr="006223C6">
        <w:rPr>
          <w:color w:val="000000"/>
          <w:lang w:val="en"/>
        </w:rPr>
        <w:t>mentions uncertainties associated with the long-term renal and bone effects of tenofovir disoproxil during the treatment of HIV-1 infection in the paediatric population</w:t>
      </w:r>
      <w:r w:rsidR="009A77D1">
        <w:rPr>
          <w:color w:val="000000"/>
          <w:lang w:val="en"/>
        </w:rPr>
        <w:t>.</w:t>
      </w:r>
      <w:r w:rsidRPr="006223C6">
        <w:rPr>
          <w:color w:val="000000"/>
          <w:lang w:val="en"/>
        </w:rPr>
        <w:t xml:space="preserve"> </w:t>
      </w:r>
      <w:r w:rsidR="00ED2CE5" w:rsidRPr="00ED2CE5">
        <w:rPr>
          <w:color w:val="000000"/>
        </w:rPr>
        <w:t xml:space="preserve">The HIV positive population most at risk </w:t>
      </w:r>
      <w:r w:rsidR="00C63D9A">
        <w:rPr>
          <w:color w:val="000000"/>
        </w:rPr>
        <w:t xml:space="preserve">of bone disease </w:t>
      </w:r>
      <w:r w:rsidR="00ED2CE5" w:rsidRPr="00ED2CE5">
        <w:rPr>
          <w:color w:val="000000"/>
        </w:rPr>
        <w:t>include children and young people below the age of peak bone mass (aged approx. 25 years)</w:t>
      </w:r>
      <w:r w:rsidR="00C63D9A">
        <w:rPr>
          <w:color w:val="000000"/>
        </w:rPr>
        <w:t xml:space="preserve">. </w:t>
      </w:r>
    </w:p>
  </w:footnote>
  <w:footnote w:id="8">
    <w:p w14:paraId="0BC58CBD" w14:textId="77777777" w:rsidR="00B02B87" w:rsidRDefault="00B02B87" w:rsidP="00B02B87">
      <w:pPr>
        <w:pStyle w:val="FootnoteText"/>
      </w:pPr>
      <w:r>
        <w:rPr>
          <w:rStyle w:val="FootnoteReference"/>
        </w:rPr>
        <w:footnoteRef/>
      </w:r>
      <w:r>
        <w:t xml:space="preserve"> A reduction in eGFR of 15ml/min in the past 12 months or 25% reduction in eGFR in the past 12 months were determined to be significant threshold measures by HIV CRG working group.</w:t>
      </w:r>
    </w:p>
    <w:p w14:paraId="4F0F7FF9" w14:textId="34B4E702" w:rsidR="00B02B87" w:rsidRDefault="00B02B8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CA03" w14:textId="0F6F6521" w:rsidR="00B749AC" w:rsidRDefault="00B749AC">
    <w:pPr>
      <w:pStyle w:val="Header"/>
    </w:pPr>
  </w:p>
  <w:p w14:paraId="49321AB3" w14:textId="77777777" w:rsidR="005C64D9" w:rsidRDefault="005C64D9"/>
  <w:p w14:paraId="2980350C" w14:textId="77777777" w:rsidR="005C64D9" w:rsidRDefault="005C64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3CFE" w14:textId="2AD9B3EC" w:rsidR="00B749AC" w:rsidRDefault="00B749AC">
    <w:pPr>
      <w:spacing w:line="200" w:lineRule="exact"/>
      <w:rPr>
        <w:sz w:val="20"/>
        <w:szCs w:val="20"/>
      </w:rPr>
    </w:pPr>
    <w:r>
      <w:rPr>
        <w:noProof/>
        <w:lang w:eastAsia="en-GB"/>
      </w:rPr>
      <mc:AlternateContent>
        <mc:Choice Requires="wps">
          <w:drawing>
            <wp:anchor distT="0" distB="0" distL="114300" distR="114300" simplePos="0" relativeHeight="251658240" behindDoc="1" locked="0" layoutInCell="1" allowOverlap="1" wp14:anchorId="478AB71B" wp14:editId="2F9F6CDD">
              <wp:simplePos x="0" y="0"/>
              <wp:positionH relativeFrom="page">
                <wp:posOffset>3444949</wp:posOffset>
              </wp:positionH>
              <wp:positionV relativeFrom="page">
                <wp:posOffset>361507</wp:posOffset>
              </wp:positionV>
              <wp:extent cx="871870" cy="165100"/>
              <wp:effectExtent l="0" t="0" r="4445"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F405" w14:textId="77777777" w:rsidR="00B749AC" w:rsidRDefault="00B749AC">
                          <w:pPr>
                            <w:spacing w:line="245" w:lineRule="exact"/>
                            <w:ind w:left="20" w:right="-53"/>
                            <w:rPr>
                              <w:rFonts w:eastAsia="Arial" w:cs="Arial"/>
                            </w:rPr>
                          </w:pPr>
                          <w:r>
                            <w:rPr>
                              <w:rFonts w:eastAsia="Arial" w:cs="Arial"/>
                              <w:w w:val="102"/>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AB71B" id="_x0000_t202" coordsize="21600,21600" o:spt="202" path="m,l,21600r21600,l21600,xe">
              <v:stroke joinstyle="miter"/>
              <v:path gradientshapeok="t" o:connecttype="rect"/>
            </v:shapetype>
            <v:shape id="Text Box 15" o:spid="_x0000_s1026" type="#_x0000_t202" style="position:absolute;margin-left:271.25pt;margin-top:28.45pt;width:68.6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" filled="f" stroked="f">
              <v:textbox inset="0,0,0,0">
                <w:txbxContent>
                  <w:p w14:paraId="3594F405" w14:textId="77777777" w:rsidR="00B749AC" w:rsidRDefault="00B749AC">
                    <w:pPr>
                      <w:spacing w:line="245" w:lineRule="exact"/>
                      <w:ind w:left="20" w:right="-53"/>
                      <w:rPr>
                        <w:rFonts w:eastAsia="Arial" w:cs="Arial"/>
                      </w:rPr>
                    </w:pPr>
                    <w:r>
                      <w:rPr>
                        <w:rFonts w:eastAsia="Arial" w:cs="Arial"/>
                        <w:w w:val="102"/>
                      </w:rPr>
                      <w:t>OFFICIAL</w:t>
                    </w:r>
                  </w:p>
                </w:txbxContent>
              </v:textbox>
              <w10:wrap anchorx="page" anchory="page"/>
            </v:shape>
          </w:pict>
        </mc:Fallback>
      </mc:AlternateContent>
    </w:r>
  </w:p>
  <w:p w14:paraId="48C1C024" w14:textId="77777777" w:rsidR="005C64D9" w:rsidRDefault="005C64D9"/>
  <w:p w14:paraId="79BF8AD0" w14:textId="77777777" w:rsidR="005C64D9" w:rsidRDefault="005C64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2517" w14:textId="3D44F0F3" w:rsidR="00B749AC" w:rsidRDefault="00B7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F48"/>
    <w:multiLevelType w:val="hybridMultilevel"/>
    <w:tmpl w:val="C3E0FCEC"/>
    <w:lvl w:ilvl="0" w:tplc="ECB0E312">
      <w:start w:val="16"/>
      <w:numFmt w:val="bullet"/>
      <w:lvlText w:val=""/>
      <w:lvlJc w:val="left"/>
      <w:pPr>
        <w:ind w:left="366" w:hanging="720"/>
      </w:pPr>
      <w:rPr>
        <w:rFonts w:ascii="Symbol" w:eastAsia="Times New Roman" w:hAnsi="Symbol" w:cs="Times New Roman" w:hint="default"/>
      </w:rPr>
    </w:lvl>
    <w:lvl w:ilvl="1" w:tplc="04090003" w:tentative="1">
      <w:start w:val="1"/>
      <w:numFmt w:val="bullet"/>
      <w:lvlText w:val="o"/>
      <w:lvlJc w:val="left"/>
      <w:pPr>
        <w:ind w:left="726" w:hanging="360"/>
      </w:pPr>
      <w:rPr>
        <w:rFonts w:ascii="Courier New" w:hAnsi="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 w15:restartNumberingAfterBreak="0">
    <w:nsid w:val="153123E3"/>
    <w:multiLevelType w:val="hybridMultilevel"/>
    <w:tmpl w:val="C6A0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41C2"/>
    <w:multiLevelType w:val="hybridMultilevel"/>
    <w:tmpl w:val="E2963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045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CE3C40"/>
    <w:multiLevelType w:val="hybridMultilevel"/>
    <w:tmpl w:val="4B80F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C1EB2"/>
    <w:multiLevelType w:val="multilevel"/>
    <w:tmpl w:val="0F22DA3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4E0BD9"/>
    <w:multiLevelType w:val="multilevel"/>
    <w:tmpl w:val="023E69D8"/>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4F1789A"/>
    <w:multiLevelType w:val="hybridMultilevel"/>
    <w:tmpl w:val="D916BBC2"/>
    <w:lvl w:ilvl="0" w:tplc="0809000F">
      <w:start w:val="1"/>
      <w:numFmt w:val="decimal"/>
      <w:lvlText w:val="%1."/>
      <w:lvlJc w:val="left"/>
      <w:pPr>
        <w:ind w:left="832" w:hanging="361"/>
      </w:pPr>
      <w:rPr>
        <w:rFonts w:hint="default"/>
        <w:w w:val="100"/>
        <w:sz w:val="24"/>
        <w:szCs w:val="24"/>
        <w:lang w:val="en-GB" w:eastAsia="en-GB" w:bidi="en-GB"/>
      </w:rPr>
    </w:lvl>
    <w:lvl w:ilvl="1" w:tplc="9D6E0F80">
      <w:numFmt w:val="bullet"/>
      <w:lvlText w:val="•"/>
      <w:lvlJc w:val="left"/>
      <w:pPr>
        <w:ind w:left="1797" w:hanging="361"/>
      </w:pPr>
      <w:rPr>
        <w:rFonts w:hint="default"/>
        <w:lang w:val="en-GB" w:eastAsia="en-GB" w:bidi="en-GB"/>
      </w:rPr>
    </w:lvl>
    <w:lvl w:ilvl="2" w:tplc="FB08F88A">
      <w:numFmt w:val="bullet"/>
      <w:lvlText w:val="•"/>
      <w:lvlJc w:val="left"/>
      <w:pPr>
        <w:ind w:left="2755" w:hanging="361"/>
      </w:pPr>
      <w:rPr>
        <w:rFonts w:hint="default"/>
        <w:lang w:val="en-GB" w:eastAsia="en-GB" w:bidi="en-GB"/>
      </w:rPr>
    </w:lvl>
    <w:lvl w:ilvl="3" w:tplc="7CECF1EC">
      <w:numFmt w:val="bullet"/>
      <w:lvlText w:val="•"/>
      <w:lvlJc w:val="left"/>
      <w:pPr>
        <w:ind w:left="3713" w:hanging="361"/>
      </w:pPr>
      <w:rPr>
        <w:rFonts w:hint="default"/>
        <w:lang w:val="en-GB" w:eastAsia="en-GB" w:bidi="en-GB"/>
      </w:rPr>
    </w:lvl>
    <w:lvl w:ilvl="4" w:tplc="8DE629E8">
      <w:numFmt w:val="bullet"/>
      <w:lvlText w:val="•"/>
      <w:lvlJc w:val="left"/>
      <w:pPr>
        <w:ind w:left="4671" w:hanging="361"/>
      </w:pPr>
      <w:rPr>
        <w:rFonts w:hint="default"/>
        <w:lang w:val="en-GB" w:eastAsia="en-GB" w:bidi="en-GB"/>
      </w:rPr>
    </w:lvl>
    <w:lvl w:ilvl="5" w:tplc="0BE8326C">
      <w:numFmt w:val="bullet"/>
      <w:lvlText w:val="•"/>
      <w:lvlJc w:val="left"/>
      <w:pPr>
        <w:ind w:left="5629" w:hanging="361"/>
      </w:pPr>
      <w:rPr>
        <w:rFonts w:hint="default"/>
        <w:lang w:val="en-GB" w:eastAsia="en-GB" w:bidi="en-GB"/>
      </w:rPr>
    </w:lvl>
    <w:lvl w:ilvl="6" w:tplc="DC9C0006">
      <w:numFmt w:val="bullet"/>
      <w:lvlText w:val="•"/>
      <w:lvlJc w:val="left"/>
      <w:pPr>
        <w:ind w:left="6587" w:hanging="361"/>
      </w:pPr>
      <w:rPr>
        <w:rFonts w:hint="default"/>
        <w:lang w:val="en-GB" w:eastAsia="en-GB" w:bidi="en-GB"/>
      </w:rPr>
    </w:lvl>
    <w:lvl w:ilvl="7" w:tplc="5D88AC54">
      <w:numFmt w:val="bullet"/>
      <w:lvlText w:val="•"/>
      <w:lvlJc w:val="left"/>
      <w:pPr>
        <w:ind w:left="7545" w:hanging="361"/>
      </w:pPr>
      <w:rPr>
        <w:rFonts w:hint="default"/>
        <w:lang w:val="en-GB" w:eastAsia="en-GB" w:bidi="en-GB"/>
      </w:rPr>
    </w:lvl>
    <w:lvl w:ilvl="8" w:tplc="8D3843C2">
      <w:numFmt w:val="bullet"/>
      <w:lvlText w:val="•"/>
      <w:lvlJc w:val="left"/>
      <w:pPr>
        <w:ind w:left="8503" w:hanging="361"/>
      </w:pPr>
      <w:rPr>
        <w:rFonts w:hint="default"/>
        <w:lang w:val="en-GB" w:eastAsia="en-GB" w:bidi="en-GB"/>
      </w:rPr>
    </w:lvl>
  </w:abstractNum>
  <w:abstractNum w:abstractNumId="8" w15:restartNumberingAfterBreak="0">
    <w:nsid w:val="27B168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5C67D0"/>
    <w:multiLevelType w:val="multilevel"/>
    <w:tmpl w:val="E5B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915DA3"/>
    <w:multiLevelType w:val="hybridMultilevel"/>
    <w:tmpl w:val="E3D6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D49BA"/>
    <w:multiLevelType w:val="hybridMultilevel"/>
    <w:tmpl w:val="89A63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553D5"/>
    <w:multiLevelType w:val="multilevel"/>
    <w:tmpl w:val="AA4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93D29"/>
    <w:multiLevelType w:val="hybridMultilevel"/>
    <w:tmpl w:val="F6C4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D38FE"/>
    <w:multiLevelType w:val="hybridMultilevel"/>
    <w:tmpl w:val="ACB085C6"/>
    <w:lvl w:ilvl="0" w:tplc="ECB0E312">
      <w:start w:val="16"/>
      <w:numFmt w:val="bullet"/>
      <w:lvlText w:val=""/>
      <w:lvlJc w:val="left"/>
      <w:pPr>
        <w:ind w:left="720" w:hanging="72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5" w15:restartNumberingAfterBreak="0">
    <w:nsid w:val="3F6A03AE"/>
    <w:multiLevelType w:val="hybridMultilevel"/>
    <w:tmpl w:val="49C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41ECE"/>
    <w:multiLevelType w:val="multilevel"/>
    <w:tmpl w:val="D57C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49427D"/>
    <w:multiLevelType w:val="hybridMultilevel"/>
    <w:tmpl w:val="CFCC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D1AE8"/>
    <w:multiLevelType w:val="multilevel"/>
    <w:tmpl w:val="C2EEB3DC"/>
    <w:lvl w:ilvl="0">
      <w:start w:val="1"/>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19925F9"/>
    <w:multiLevelType w:val="hybridMultilevel"/>
    <w:tmpl w:val="D052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57736"/>
    <w:multiLevelType w:val="hybridMultilevel"/>
    <w:tmpl w:val="3ABA43BA"/>
    <w:lvl w:ilvl="0" w:tplc="ECB0E312">
      <w:start w:val="16"/>
      <w:numFmt w:val="bullet"/>
      <w:lvlText w:val=""/>
      <w:lvlJc w:val="left"/>
      <w:pPr>
        <w:ind w:left="366"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B2BC6"/>
    <w:multiLevelType w:val="hybridMultilevel"/>
    <w:tmpl w:val="FA901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E0042F"/>
    <w:multiLevelType w:val="multilevel"/>
    <w:tmpl w:val="56BC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4C11DD"/>
    <w:multiLevelType w:val="hybridMultilevel"/>
    <w:tmpl w:val="C912440A"/>
    <w:lvl w:ilvl="0" w:tplc="A738C18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FB064E"/>
    <w:multiLevelType w:val="multilevel"/>
    <w:tmpl w:val="2A74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061970"/>
    <w:multiLevelType w:val="hybridMultilevel"/>
    <w:tmpl w:val="FEDCD770"/>
    <w:lvl w:ilvl="0" w:tplc="C3F8B6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57D66"/>
    <w:multiLevelType w:val="hybridMultilevel"/>
    <w:tmpl w:val="4AAAC1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657D57"/>
    <w:multiLevelType w:val="hybridMultilevel"/>
    <w:tmpl w:val="700E3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910F1B"/>
    <w:multiLevelType w:val="hybridMultilevel"/>
    <w:tmpl w:val="4128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41695"/>
    <w:multiLevelType w:val="hybridMultilevel"/>
    <w:tmpl w:val="3458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04440"/>
    <w:multiLevelType w:val="hybridMultilevel"/>
    <w:tmpl w:val="337EC9CE"/>
    <w:lvl w:ilvl="0" w:tplc="A738C182">
      <w:start w:val="1"/>
      <w:numFmt w:val="lowerLetter"/>
      <w:lvlText w:val="%1."/>
      <w:lvlJc w:val="left"/>
      <w:pPr>
        <w:ind w:left="720" w:hanging="360"/>
      </w:pPr>
      <w:rPr>
        <w:b/>
        <w:bCs/>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62C28"/>
    <w:multiLevelType w:val="hybridMultilevel"/>
    <w:tmpl w:val="718A19A0"/>
    <w:lvl w:ilvl="0" w:tplc="08090001">
      <w:start w:val="1"/>
      <w:numFmt w:val="bullet"/>
      <w:lvlText w:val=""/>
      <w:lvlJc w:val="left"/>
      <w:pPr>
        <w:ind w:left="832" w:hanging="361"/>
      </w:pPr>
      <w:rPr>
        <w:rFonts w:ascii="Symbol" w:hAnsi="Symbol" w:hint="default"/>
        <w:w w:val="100"/>
        <w:sz w:val="24"/>
        <w:szCs w:val="24"/>
        <w:lang w:val="en-GB" w:eastAsia="en-GB" w:bidi="en-GB"/>
      </w:rPr>
    </w:lvl>
    <w:lvl w:ilvl="1" w:tplc="9D6E0F80">
      <w:numFmt w:val="bullet"/>
      <w:lvlText w:val="•"/>
      <w:lvlJc w:val="left"/>
      <w:pPr>
        <w:ind w:left="1797" w:hanging="361"/>
      </w:pPr>
      <w:rPr>
        <w:rFonts w:hint="default"/>
        <w:lang w:val="en-GB" w:eastAsia="en-GB" w:bidi="en-GB"/>
      </w:rPr>
    </w:lvl>
    <w:lvl w:ilvl="2" w:tplc="FB08F88A">
      <w:numFmt w:val="bullet"/>
      <w:lvlText w:val="•"/>
      <w:lvlJc w:val="left"/>
      <w:pPr>
        <w:ind w:left="2755" w:hanging="361"/>
      </w:pPr>
      <w:rPr>
        <w:rFonts w:hint="default"/>
        <w:lang w:val="en-GB" w:eastAsia="en-GB" w:bidi="en-GB"/>
      </w:rPr>
    </w:lvl>
    <w:lvl w:ilvl="3" w:tplc="7CECF1EC">
      <w:numFmt w:val="bullet"/>
      <w:lvlText w:val="•"/>
      <w:lvlJc w:val="left"/>
      <w:pPr>
        <w:ind w:left="3713" w:hanging="361"/>
      </w:pPr>
      <w:rPr>
        <w:rFonts w:hint="default"/>
        <w:lang w:val="en-GB" w:eastAsia="en-GB" w:bidi="en-GB"/>
      </w:rPr>
    </w:lvl>
    <w:lvl w:ilvl="4" w:tplc="8DE629E8">
      <w:numFmt w:val="bullet"/>
      <w:lvlText w:val="•"/>
      <w:lvlJc w:val="left"/>
      <w:pPr>
        <w:ind w:left="4671" w:hanging="361"/>
      </w:pPr>
      <w:rPr>
        <w:rFonts w:hint="default"/>
        <w:lang w:val="en-GB" w:eastAsia="en-GB" w:bidi="en-GB"/>
      </w:rPr>
    </w:lvl>
    <w:lvl w:ilvl="5" w:tplc="0BE8326C">
      <w:numFmt w:val="bullet"/>
      <w:lvlText w:val="•"/>
      <w:lvlJc w:val="left"/>
      <w:pPr>
        <w:ind w:left="5629" w:hanging="361"/>
      </w:pPr>
      <w:rPr>
        <w:rFonts w:hint="default"/>
        <w:lang w:val="en-GB" w:eastAsia="en-GB" w:bidi="en-GB"/>
      </w:rPr>
    </w:lvl>
    <w:lvl w:ilvl="6" w:tplc="DC9C0006">
      <w:numFmt w:val="bullet"/>
      <w:lvlText w:val="•"/>
      <w:lvlJc w:val="left"/>
      <w:pPr>
        <w:ind w:left="6587" w:hanging="361"/>
      </w:pPr>
      <w:rPr>
        <w:rFonts w:hint="default"/>
        <w:lang w:val="en-GB" w:eastAsia="en-GB" w:bidi="en-GB"/>
      </w:rPr>
    </w:lvl>
    <w:lvl w:ilvl="7" w:tplc="5D88AC54">
      <w:numFmt w:val="bullet"/>
      <w:lvlText w:val="•"/>
      <w:lvlJc w:val="left"/>
      <w:pPr>
        <w:ind w:left="7545" w:hanging="361"/>
      </w:pPr>
      <w:rPr>
        <w:rFonts w:hint="default"/>
        <w:lang w:val="en-GB" w:eastAsia="en-GB" w:bidi="en-GB"/>
      </w:rPr>
    </w:lvl>
    <w:lvl w:ilvl="8" w:tplc="8D3843C2">
      <w:numFmt w:val="bullet"/>
      <w:lvlText w:val="•"/>
      <w:lvlJc w:val="left"/>
      <w:pPr>
        <w:ind w:left="8503" w:hanging="361"/>
      </w:pPr>
      <w:rPr>
        <w:rFonts w:hint="default"/>
        <w:lang w:val="en-GB" w:eastAsia="en-GB" w:bidi="en-GB"/>
      </w:rPr>
    </w:lvl>
  </w:abstractNum>
  <w:abstractNum w:abstractNumId="32" w15:restartNumberingAfterBreak="0">
    <w:nsid w:val="78757C02"/>
    <w:multiLevelType w:val="hybridMultilevel"/>
    <w:tmpl w:val="D104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4069D"/>
    <w:multiLevelType w:val="hybridMultilevel"/>
    <w:tmpl w:val="D4D4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B2A47"/>
    <w:multiLevelType w:val="hybridMultilevel"/>
    <w:tmpl w:val="34DE8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31DDF"/>
    <w:multiLevelType w:val="hybridMultilevel"/>
    <w:tmpl w:val="C9EA8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E66FC5"/>
    <w:multiLevelType w:val="hybridMultilevel"/>
    <w:tmpl w:val="45F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8236B"/>
    <w:multiLevelType w:val="multilevel"/>
    <w:tmpl w:val="0F22DA3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6380731">
    <w:abstractNumId w:val="6"/>
  </w:num>
  <w:num w:numId="2" w16cid:durableId="1534078578">
    <w:abstractNumId w:val="37"/>
  </w:num>
  <w:num w:numId="3" w16cid:durableId="2062702512">
    <w:abstractNumId w:val="18"/>
  </w:num>
  <w:num w:numId="4" w16cid:durableId="1165128187">
    <w:abstractNumId w:val="8"/>
  </w:num>
  <w:num w:numId="5" w16cid:durableId="887228966">
    <w:abstractNumId w:val="3"/>
  </w:num>
  <w:num w:numId="6" w16cid:durableId="156697585">
    <w:abstractNumId w:val="5"/>
  </w:num>
  <w:num w:numId="7" w16cid:durableId="453450414">
    <w:abstractNumId w:val="36"/>
  </w:num>
  <w:num w:numId="8" w16cid:durableId="228661403">
    <w:abstractNumId w:val="0"/>
  </w:num>
  <w:num w:numId="9" w16cid:durableId="2085059602">
    <w:abstractNumId w:val="14"/>
  </w:num>
  <w:num w:numId="10" w16cid:durableId="1245264148">
    <w:abstractNumId w:val="20"/>
  </w:num>
  <w:num w:numId="11" w16cid:durableId="400710767">
    <w:abstractNumId w:val="2"/>
  </w:num>
  <w:num w:numId="12" w16cid:durableId="58289184">
    <w:abstractNumId w:val="15"/>
  </w:num>
  <w:num w:numId="13" w16cid:durableId="1814712833">
    <w:abstractNumId w:val="25"/>
  </w:num>
  <w:num w:numId="14" w16cid:durableId="1846239617">
    <w:abstractNumId w:val="28"/>
  </w:num>
  <w:num w:numId="15" w16cid:durableId="1119833829">
    <w:abstractNumId w:val="11"/>
  </w:num>
  <w:num w:numId="16" w16cid:durableId="1315260764">
    <w:abstractNumId w:val="13"/>
  </w:num>
  <w:num w:numId="17" w16cid:durableId="914128713">
    <w:abstractNumId w:val="32"/>
  </w:num>
  <w:num w:numId="18" w16cid:durableId="1865555362">
    <w:abstractNumId w:val="19"/>
  </w:num>
  <w:num w:numId="19" w16cid:durableId="1381199915">
    <w:abstractNumId w:val="9"/>
  </w:num>
  <w:num w:numId="20" w16cid:durableId="1373311221">
    <w:abstractNumId w:val="12"/>
  </w:num>
  <w:num w:numId="21" w16cid:durableId="1248533901">
    <w:abstractNumId w:val="24"/>
  </w:num>
  <w:num w:numId="22" w16cid:durableId="749354465">
    <w:abstractNumId w:val="17"/>
  </w:num>
  <w:num w:numId="23" w16cid:durableId="282656944">
    <w:abstractNumId w:val="16"/>
  </w:num>
  <w:num w:numId="24" w16cid:durableId="988091152">
    <w:abstractNumId w:val="4"/>
  </w:num>
  <w:num w:numId="25" w16cid:durableId="1343508680">
    <w:abstractNumId w:val="21"/>
  </w:num>
  <w:num w:numId="26" w16cid:durableId="756441694">
    <w:abstractNumId w:val="27"/>
  </w:num>
  <w:num w:numId="27" w16cid:durableId="1079400010">
    <w:abstractNumId w:val="22"/>
  </w:num>
  <w:num w:numId="28" w16cid:durableId="840778291">
    <w:abstractNumId w:val="29"/>
  </w:num>
  <w:num w:numId="29" w16cid:durableId="1867451166">
    <w:abstractNumId w:val="10"/>
  </w:num>
  <w:num w:numId="30" w16cid:durableId="687560019">
    <w:abstractNumId w:val="34"/>
  </w:num>
  <w:num w:numId="31" w16cid:durableId="1612515764">
    <w:abstractNumId w:val="33"/>
  </w:num>
  <w:num w:numId="32" w16cid:durableId="1631860913">
    <w:abstractNumId w:val="1"/>
  </w:num>
  <w:num w:numId="33" w16cid:durableId="78841369">
    <w:abstractNumId w:val="7"/>
  </w:num>
  <w:num w:numId="34" w16cid:durableId="945120964">
    <w:abstractNumId w:val="23"/>
  </w:num>
  <w:num w:numId="35" w16cid:durableId="1044989843">
    <w:abstractNumId w:val="30"/>
  </w:num>
  <w:num w:numId="36" w16cid:durableId="73011402">
    <w:abstractNumId w:val="26"/>
  </w:num>
  <w:num w:numId="37" w16cid:durableId="660350632">
    <w:abstractNumId w:val="31"/>
  </w:num>
  <w:num w:numId="38" w16cid:durableId="20716071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F"/>
    <w:rsid w:val="00000FC5"/>
    <w:rsid w:val="00001D73"/>
    <w:rsid w:val="00003452"/>
    <w:rsid w:val="00007AB0"/>
    <w:rsid w:val="000106E0"/>
    <w:rsid w:val="00010A2B"/>
    <w:rsid w:val="00013F06"/>
    <w:rsid w:val="000163C5"/>
    <w:rsid w:val="00016432"/>
    <w:rsid w:val="0002185D"/>
    <w:rsid w:val="000438FA"/>
    <w:rsid w:val="000479FE"/>
    <w:rsid w:val="00053602"/>
    <w:rsid w:val="00054697"/>
    <w:rsid w:val="00062B5D"/>
    <w:rsid w:val="00076D48"/>
    <w:rsid w:val="000828E0"/>
    <w:rsid w:val="000829E1"/>
    <w:rsid w:val="00087B9F"/>
    <w:rsid w:val="00094D6C"/>
    <w:rsid w:val="000951C4"/>
    <w:rsid w:val="00096A41"/>
    <w:rsid w:val="000A0BFE"/>
    <w:rsid w:val="000A17C5"/>
    <w:rsid w:val="000B2415"/>
    <w:rsid w:val="000B2F03"/>
    <w:rsid w:val="000B4261"/>
    <w:rsid w:val="000B618D"/>
    <w:rsid w:val="000C57E6"/>
    <w:rsid w:val="000C79B3"/>
    <w:rsid w:val="000D04C4"/>
    <w:rsid w:val="000D23A4"/>
    <w:rsid w:val="000D4554"/>
    <w:rsid w:val="000D46D0"/>
    <w:rsid w:val="000D4DDA"/>
    <w:rsid w:val="000E1845"/>
    <w:rsid w:val="000E23F3"/>
    <w:rsid w:val="000E3442"/>
    <w:rsid w:val="000E6A28"/>
    <w:rsid w:val="000E771E"/>
    <w:rsid w:val="000F29D9"/>
    <w:rsid w:val="000F7412"/>
    <w:rsid w:val="0010055E"/>
    <w:rsid w:val="00100750"/>
    <w:rsid w:val="0010098E"/>
    <w:rsid w:val="00100B99"/>
    <w:rsid w:val="00100D65"/>
    <w:rsid w:val="001026AC"/>
    <w:rsid w:val="00103F4C"/>
    <w:rsid w:val="0010793F"/>
    <w:rsid w:val="00110094"/>
    <w:rsid w:val="0011014D"/>
    <w:rsid w:val="00110989"/>
    <w:rsid w:val="0011229E"/>
    <w:rsid w:val="001126EA"/>
    <w:rsid w:val="00112BC4"/>
    <w:rsid w:val="0011370C"/>
    <w:rsid w:val="0012037D"/>
    <w:rsid w:val="00122BCB"/>
    <w:rsid w:val="00122FBD"/>
    <w:rsid w:val="0012549C"/>
    <w:rsid w:val="00125D59"/>
    <w:rsid w:val="00130F68"/>
    <w:rsid w:val="00131E9B"/>
    <w:rsid w:val="001324E1"/>
    <w:rsid w:val="00132CCE"/>
    <w:rsid w:val="0014223B"/>
    <w:rsid w:val="0014449F"/>
    <w:rsid w:val="00147B62"/>
    <w:rsid w:val="0015215D"/>
    <w:rsid w:val="00153183"/>
    <w:rsid w:val="001532D1"/>
    <w:rsid w:val="00163A06"/>
    <w:rsid w:val="00165D2A"/>
    <w:rsid w:val="00167210"/>
    <w:rsid w:val="00170D9B"/>
    <w:rsid w:val="0017186C"/>
    <w:rsid w:val="00173574"/>
    <w:rsid w:val="00174EFA"/>
    <w:rsid w:val="00176A5D"/>
    <w:rsid w:val="00177234"/>
    <w:rsid w:val="00190027"/>
    <w:rsid w:val="001905FB"/>
    <w:rsid w:val="001943E1"/>
    <w:rsid w:val="001A16B6"/>
    <w:rsid w:val="001B1B6B"/>
    <w:rsid w:val="001B22FC"/>
    <w:rsid w:val="001B5702"/>
    <w:rsid w:val="001B66E5"/>
    <w:rsid w:val="001B67A5"/>
    <w:rsid w:val="001C0BE5"/>
    <w:rsid w:val="001C3513"/>
    <w:rsid w:val="001C389E"/>
    <w:rsid w:val="001D1659"/>
    <w:rsid w:val="001D3DBB"/>
    <w:rsid w:val="001D4FD1"/>
    <w:rsid w:val="001D6105"/>
    <w:rsid w:val="001E25CB"/>
    <w:rsid w:val="001E500D"/>
    <w:rsid w:val="001E6D7B"/>
    <w:rsid w:val="001E70C5"/>
    <w:rsid w:val="001E77D1"/>
    <w:rsid w:val="001E7BAA"/>
    <w:rsid w:val="001F04EC"/>
    <w:rsid w:val="001F2564"/>
    <w:rsid w:val="001F45D2"/>
    <w:rsid w:val="001F521F"/>
    <w:rsid w:val="001F6478"/>
    <w:rsid w:val="001F6E4D"/>
    <w:rsid w:val="001F7DB4"/>
    <w:rsid w:val="0020120E"/>
    <w:rsid w:val="00202886"/>
    <w:rsid w:val="00205E5E"/>
    <w:rsid w:val="00207BCD"/>
    <w:rsid w:val="00210892"/>
    <w:rsid w:val="00214016"/>
    <w:rsid w:val="00220E65"/>
    <w:rsid w:val="00221BCA"/>
    <w:rsid w:val="00221D28"/>
    <w:rsid w:val="00223B13"/>
    <w:rsid w:val="00233108"/>
    <w:rsid w:val="00234D6C"/>
    <w:rsid w:val="00236C82"/>
    <w:rsid w:val="0024034C"/>
    <w:rsid w:val="00242654"/>
    <w:rsid w:val="0024304E"/>
    <w:rsid w:val="00243B2A"/>
    <w:rsid w:val="00246CD7"/>
    <w:rsid w:val="002476BD"/>
    <w:rsid w:val="0025018C"/>
    <w:rsid w:val="00253C74"/>
    <w:rsid w:val="00262107"/>
    <w:rsid w:val="002638F7"/>
    <w:rsid w:val="00265ED1"/>
    <w:rsid w:val="0027790F"/>
    <w:rsid w:val="00280B25"/>
    <w:rsid w:val="002810AE"/>
    <w:rsid w:val="0028736B"/>
    <w:rsid w:val="00287E8B"/>
    <w:rsid w:val="0029050A"/>
    <w:rsid w:val="0029242E"/>
    <w:rsid w:val="002963A4"/>
    <w:rsid w:val="002A0A17"/>
    <w:rsid w:val="002A0D39"/>
    <w:rsid w:val="002A3D09"/>
    <w:rsid w:val="002A5F8E"/>
    <w:rsid w:val="002B0B78"/>
    <w:rsid w:val="002C03F7"/>
    <w:rsid w:val="002C0ED7"/>
    <w:rsid w:val="002C48FB"/>
    <w:rsid w:val="002C5881"/>
    <w:rsid w:val="002D039C"/>
    <w:rsid w:val="002D59D8"/>
    <w:rsid w:val="002D5B46"/>
    <w:rsid w:val="002E00E8"/>
    <w:rsid w:val="002E202C"/>
    <w:rsid w:val="002E3650"/>
    <w:rsid w:val="002E3F0C"/>
    <w:rsid w:val="002E46C4"/>
    <w:rsid w:val="002E4DAE"/>
    <w:rsid w:val="002F22E9"/>
    <w:rsid w:val="002F4303"/>
    <w:rsid w:val="002F4C10"/>
    <w:rsid w:val="002F66E5"/>
    <w:rsid w:val="00301AA5"/>
    <w:rsid w:val="00305ED5"/>
    <w:rsid w:val="00310A8F"/>
    <w:rsid w:val="00314B60"/>
    <w:rsid w:val="00315B47"/>
    <w:rsid w:val="00324FDB"/>
    <w:rsid w:val="003318A7"/>
    <w:rsid w:val="00332126"/>
    <w:rsid w:val="00340760"/>
    <w:rsid w:val="00343151"/>
    <w:rsid w:val="003513D0"/>
    <w:rsid w:val="00353514"/>
    <w:rsid w:val="003601D3"/>
    <w:rsid w:val="00361BAF"/>
    <w:rsid w:val="003629CC"/>
    <w:rsid w:val="00363EAA"/>
    <w:rsid w:val="00366E54"/>
    <w:rsid w:val="003730BC"/>
    <w:rsid w:val="00374A43"/>
    <w:rsid w:val="0037568B"/>
    <w:rsid w:val="00376A42"/>
    <w:rsid w:val="003843B2"/>
    <w:rsid w:val="003853BF"/>
    <w:rsid w:val="00386339"/>
    <w:rsid w:val="00390A13"/>
    <w:rsid w:val="00396000"/>
    <w:rsid w:val="00397467"/>
    <w:rsid w:val="003A49CC"/>
    <w:rsid w:val="003A4D75"/>
    <w:rsid w:val="003A6058"/>
    <w:rsid w:val="003A739E"/>
    <w:rsid w:val="003B1857"/>
    <w:rsid w:val="003B639F"/>
    <w:rsid w:val="003B75E9"/>
    <w:rsid w:val="003C3A30"/>
    <w:rsid w:val="003C7597"/>
    <w:rsid w:val="003D0D1A"/>
    <w:rsid w:val="003D4201"/>
    <w:rsid w:val="003D7F1B"/>
    <w:rsid w:val="003E073F"/>
    <w:rsid w:val="003E2B61"/>
    <w:rsid w:val="003E348D"/>
    <w:rsid w:val="003E7A5F"/>
    <w:rsid w:val="003F5373"/>
    <w:rsid w:val="003F6273"/>
    <w:rsid w:val="003F6C45"/>
    <w:rsid w:val="00401F21"/>
    <w:rsid w:val="0040222D"/>
    <w:rsid w:val="00402DCC"/>
    <w:rsid w:val="004053B4"/>
    <w:rsid w:val="00405A79"/>
    <w:rsid w:val="00406689"/>
    <w:rsid w:val="00406D63"/>
    <w:rsid w:val="004076D7"/>
    <w:rsid w:val="00411A8D"/>
    <w:rsid w:val="00412D03"/>
    <w:rsid w:val="004142C2"/>
    <w:rsid w:val="00416D9B"/>
    <w:rsid w:val="00420768"/>
    <w:rsid w:val="00425C0B"/>
    <w:rsid w:val="00427FA6"/>
    <w:rsid w:val="00431D8E"/>
    <w:rsid w:val="00432C41"/>
    <w:rsid w:val="00435DCC"/>
    <w:rsid w:val="00440F8A"/>
    <w:rsid w:val="004419EC"/>
    <w:rsid w:val="00442A21"/>
    <w:rsid w:val="0044304E"/>
    <w:rsid w:val="00445889"/>
    <w:rsid w:val="004554FC"/>
    <w:rsid w:val="00462712"/>
    <w:rsid w:val="004652E1"/>
    <w:rsid w:val="0047153F"/>
    <w:rsid w:val="00471EE0"/>
    <w:rsid w:val="004733F0"/>
    <w:rsid w:val="004742B3"/>
    <w:rsid w:val="00477A99"/>
    <w:rsid w:val="0048477C"/>
    <w:rsid w:val="004858A8"/>
    <w:rsid w:val="00485BB1"/>
    <w:rsid w:val="00486DB9"/>
    <w:rsid w:val="00487CE8"/>
    <w:rsid w:val="00490BA1"/>
    <w:rsid w:val="004933DD"/>
    <w:rsid w:val="00494A2E"/>
    <w:rsid w:val="00495243"/>
    <w:rsid w:val="00495C3F"/>
    <w:rsid w:val="00497B17"/>
    <w:rsid w:val="004B00C4"/>
    <w:rsid w:val="004B0EBE"/>
    <w:rsid w:val="004B294A"/>
    <w:rsid w:val="004C2954"/>
    <w:rsid w:val="004C716E"/>
    <w:rsid w:val="004D0485"/>
    <w:rsid w:val="004D390D"/>
    <w:rsid w:val="004D418D"/>
    <w:rsid w:val="004D618F"/>
    <w:rsid w:val="004E1C92"/>
    <w:rsid w:val="004E278F"/>
    <w:rsid w:val="004E31DE"/>
    <w:rsid w:val="004E3E6A"/>
    <w:rsid w:val="004E766C"/>
    <w:rsid w:val="004F1D3D"/>
    <w:rsid w:val="004F2DB3"/>
    <w:rsid w:val="004F596F"/>
    <w:rsid w:val="004F5E7B"/>
    <w:rsid w:val="004F6C74"/>
    <w:rsid w:val="00502D6E"/>
    <w:rsid w:val="00504166"/>
    <w:rsid w:val="005041DD"/>
    <w:rsid w:val="00504800"/>
    <w:rsid w:val="00504A4D"/>
    <w:rsid w:val="0050550D"/>
    <w:rsid w:val="00522630"/>
    <w:rsid w:val="00522961"/>
    <w:rsid w:val="005259DC"/>
    <w:rsid w:val="0052792B"/>
    <w:rsid w:val="00527ED4"/>
    <w:rsid w:val="00530D51"/>
    <w:rsid w:val="00531D08"/>
    <w:rsid w:val="0053231B"/>
    <w:rsid w:val="0053487A"/>
    <w:rsid w:val="00540445"/>
    <w:rsid w:val="00546E63"/>
    <w:rsid w:val="00552A7E"/>
    <w:rsid w:val="00552AE5"/>
    <w:rsid w:val="00554ADB"/>
    <w:rsid w:val="005573DB"/>
    <w:rsid w:val="00562AB5"/>
    <w:rsid w:val="005662FF"/>
    <w:rsid w:val="0057213C"/>
    <w:rsid w:val="00576AE9"/>
    <w:rsid w:val="005826FD"/>
    <w:rsid w:val="00585C9E"/>
    <w:rsid w:val="005930AF"/>
    <w:rsid w:val="00596AC8"/>
    <w:rsid w:val="00596C09"/>
    <w:rsid w:val="0059704C"/>
    <w:rsid w:val="005A0D3D"/>
    <w:rsid w:val="005A2968"/>
    <w:rsid w:val="005A33F9"/>
    <w:rsid w:val="005A595F"/>
    <w:rsid w:val="005B37AF"/>
    <w:rsid w:val="005B53F5"/>
    <w:rsid w:val="005C562D"/>
    <w:rsid w:val="005C64D9"/>
    <w:rsid w:val="005C7C6F"/>
    <w:rsid w:val="005D284C"/>
    <w:rsid w:val="005D5EA5"/>
    <w:rsid w:val="005E245C"/>
    <w:rsid w:val="005E525F"/>
    <w:rsid w:val="005E6E7E"/>
    <w:rsid w:val="005F04A6"/>
    <w:rsid w:val="005F3127"/>
    <w:rsid w:val="005F7949"/>
    <w:rsid w:val="00602E32"/>
    <w:rsid w:val="00604654"/>
    <w:rsid w:val="0060599C"/>
    <w:rsid w:val="00611155"/>
    <w:rsid w:val="00611DE4"/>
    <w:rsid w:val="006127CD"/>
    <w:rsid w:val="00613EE7"/>
    <w:rsid w:val="00626B95"/>
    <w:rsid w:val="006270C1"/>
    <w:rsid w:val="006307C0"/>
    <w:rsid w:val="00633DB7"/>
    <w:rsid w:val="006372D6"/>
    <w:rsid w:val="00637E35"/>
    <w:rsid w:val="00640CE2"/>
    <w:rsid w:val="00641148"/>
    <w:rsid w:val="00641903"/>
    <w:rsid w:val="00642050"/>
    <w:rsid w:val="00643BF7"/>
    <w:rsid w:val="00650809"/>
    <w:rsid w:val="00651737"/>
    <w:rsid w:val="00655E3C"/>
    <w:rsid w:val="00656BA6"/>
    <w:rsid w:val="00657A93"/>
    <w:rsid w:val="0066322E"/>
    <w:rsid w:val="006659DD"/>
    <w:rsid w:val="00666492"/>
    <w:rsid w:val="00666980"/>
    <w:rsid w:val="006703E8"/>
    <w:rsid w:val="00670C18"/>
    <w:rsid w:val="00676A7A"/>
    <w:rsid w:val="00676B69"/>
    <w:rsid w:val="006777CE"/>
    <w:rsid w:val="006778CD"/>
    <w:rsid w:val="006820EC"/>
    <w:rsid w:val="00683163"/>
    <w:rsid w:val="00695AF4"/>
    <w:rsid w:val="006A4AC5"/>
    <w:rsid w:val="006A7F2C"/>
    <w:rsid w:val="006B31D8"/>
    <w:rsid w:val="006C0188"/>
    <w:rsid w:val="006C63C0"/>
    <w:rsid w:val="006C660B"/>
    <w:rsid w:val="006D0458"/>
    <w:rsid w:val="006D128B"/>
    <w:rsid w:val="006D2A63"/>
    <w:rsid w:val="006D2B62"/>
    <w:rsid w:val="006D517D"/>
    <w:rsid w:val="006D5B2D"/>
    <w:rsid w:val="006E170C"/>
    <w:rsid w:val="006E6911"/>
    <w:rsid w:val="006E72BF"/>
    <w:rsid w:val="006F53C2"/>
    <w:rsid w:val="006F60DB"/>
    <w:rsid w:val="00702A46"/>
    <w:rsid w:val="00704E01"/>
    <w:rsid w:val="00710674"/>
    <w:rsid w:val="0071788C"/>
    <w:rsid w:val="00720A7B"/>
    <w:rsid w:val="00721746"/>
    <w:rsid w:val="00724050"/>
    <w:rsid w:val="00727E71"/>
    <w:rsid w:val="0073102B"/>
    <w:rsid w:val="00732C81"/>
    <w:rsid w:val="00737768"/>
    <w:rsid w:val="0074378D"/>
    <w:rsid w:val="00743FD1"/>
    <w:rsid w:val="007460A5"/>
    <w:rsid w:val="0074629B"/>
    <w:rsid w:val="007516C6"/>
    <w:rsid w:val="00760DA4"/>
    <w:rsid w:val="00762D92"/>
    <w:rsid w:val="00763334"/>
    <w:rsid w:val="007679C0"/>
    <w:rsid w:val="007732AA"/>
    <w:rsid w:val="0077797D"/>
    <w:rsid w:val="00782856"/>
    <w:rsid w:val="007869B5"/>
    <w:rsid w:val="00792025"/>
    <w:rsid w:val="00793337"/>
    <w:rsid w:val="007A6D45"/>
    <w:rsid w:val="007B7A53"/>
    <w:rsid w:val="007C2040"/>
    <w:rsid w:val="007C2774"/>
    <w:rsid w:val="007D4720"/>
    <w:rsid w:val="007D4D4D"/>
    <w:rsid w:val="007D5CEE"/>
    <w:rsid w:val="007D63B7"/>
    <w:rsid w:val="007D7E90"/>
    <w:rsid w:val="007E1321"/>
    <w:rsid w:val="007E7D6A"/>
    <w:rsid w:val="007F05CF"/>
    <w:rsid w:val="007F27E7"/>
    <w:rsid w:val="0081049D"/>
    <w:rsid w:val="0081596C"/>
    <w:rsid w:val="00821B35"/>
    <w:rsid w:val="00823587"/>
    <w:rsid w:val="00824454"/>
    <w:rsid w:val="008253C4"/>
    <w:rsid w:val="00834246"/>
    <w:rsid w:val="008342F0"/>
    <w:rsid w:val="00837B97"/>
    <w:rsid w:val="008472AE"/>
    <w:rsid w:val="0085015C"/>
    <w:rsid w:val="0085177C"/>
    <w:rsid w:val="008545C6"/>
    <w:rsid w:val="008545F1"/>
    <w:rsid w:val="00855879"/>
    <w:rsid w:val="008559D4"/>
    <w:rsid w:val="008563C0"/>
    <w:rsid w:val="008572CB"/>
    <w:rsid w:val="008634D4"/>
    <w:rsid w:val="00865819"/>
    <w:rsid w:val="0086650A"/>
    <w:rsid w:val="00872548"/>
    <w:rsid w:val="00874368"/>
    <w:rsid w:val="008748AF"/>
    <w:rsid w:val="00892467"/>
    <w:rsid w:val="00893747"/>
    <w:rsid w:val="0089385A"/>
    <w:rsid w:val="00893B59"/>
    <w:rsid w:val="00895EFE"/>
    <w:rsid w:val="008A015C"/>
    <w:rsid w:val="008A07D4"/>
    <w:rsid w:val="008A1CF6"/>
    <w:rsid w:val="008A2B66"/>
    <w:rsid w:val="008A3997"/>
    <w:rsid w:val="008A4146"/>
    <w:rsid w:val="008A4172"/>
    <w:rsid w:val="008B1E25"/>
    <w:rsid w:val="008B52E0"/>
    <w:rsid w:val="008C1C8A"/>
    <w:rsid w:val="008C2E0C"/>
    <w:rsid w:val="008C33B7"/>
    <w:rsid w:val="008C3F80"/>
    <w:rsid w:val="008C4F21"/>
    <w:rsid w:val="008C5596"/>
    <w:rsid w:val="008C7559"/>
    <w:rsid w:val="008C7752"/>
    <w:rsid w:val="008D0CD1"/>
    <w:rsid w:val="008D1469"/>
    <w:rsid w:val="008D2137"/>
    <w:rsid w:val="008D259B"/>
    <w:rsid w:val="008D775C"/>
    <w:rsid w:val="008E414A"/>
    <w:rsid w:val="008E5005"/>
    <w:rsid w:val="008F3986"/>
    <w:rsid w:val="008F75FC"/>
    <w:rsid w:val="0090170F"/>
    <w:rsid w:val="00904058"/>
    <w:rsid w:val="0090456C"/>
    <w:rsid w:val="00904D5F"/>
    <w:rsid w:val="00910401"/>
    <w:rsid w:val="009149E9"/>
    <w:rsid w:val="009176B6"/>
    <w:rsid w:val="00917BD9"/>
    <w:rsid w:val="00927A41"/>
    <w:rsid w:val="00934186"/>
    <w:rsid w:val="00940E30"/>
    <w:rsid w:val="00943B89"/>
    <w:rsid w:val="00954E98"/>
    <w:rsid w:val="00956111"/>
    <w:rsid w:val="00957AA0"/>
    <w:rsid w:val="009608CE"/>
    <w:rsid w:val="0096584B"/>
    <w:rsid w:val="00976DF3"/>
    <w:rsid w:val="009775A8"/>
    <w:rsid w:val="00983FB2"/>
    <w:rsid w:val="00984D74"/>
    <w:rsid w:val="009905A6"/>
    <w:rsid w:val="00990A41"/>
    <w:rsid w:val="00991828"/>
    <w:rsid w:val="00992A99"/>
    <w:rsid w:val="00993B65"/>
    <w:rsid w:val="009A1940"/>
    <w:rsid w:val="009A20DA"/>
    <w:rsid w:val="009A3895"/>
    <w:rsid w:val="009A46E9"/>
    <w:rsid w:val="009A7343"/>
    <w:rsid w:val="009A77D1"/>
    <w:rsid w:val="009B0DEF"/>
    <w:rsid w:val="009C5D30"/>
    <w:rsid w:val="009C5E34"/>
    <w:rsid w:val="009D127D"/>
    <w:rsid w:val="009D28A7"/>
    <w:rsid w:val="009D45D8"/>
    <w:rsid w:val="009D53F1"/>
    <w:rsid w:val="009D6C82"/>
    <w:rsid w:val="009E29B9"/>
    <w:rsid w:val="009E42A6"/>
    <w:rsid w:val="009F5723"/>
    <w:rsid w:val="009F68D0"/>
    <w:rsid w:val="00A020AE"/>
    <w:rsid w:val="00A0385C"/>
    <w:rsid w:val="00A0515A"/>
    <w:rsid w:val="00A05261"/>
    <w:rsid w:val="00A07804"/>
    <w:rsid w:val="00A13A9E"/>
    <w:rsid w:val="00A14FFB"/>
    <w:rsid w:val="00A17EBB"/>
    <w:rsid w:val="00A21167"/>
    <w:rsid w:val="00A26367"/>
    <w:rsid w:val="00A274C1"/>
    <w:rsid w:val="00A31677"/>
    <w:rsid w:val="00A32685"/>
    <w:rsid w:val="00A350F7"/>
    <w:rsid w:val="00A359AA"/>
    <w:rsid w:val="00A4268A"/>
    <w:rsid w:val="00A44CA8"/>
    <w:rsid w:val="00A500B7"/>
    <w:rsid w:val="00A5101D"/>
    <w:rsid w:val="00A62BED"/>
    <w:rsid w:val="00A63113"/>
    <w:rsid w:val="00A65B32"/>
    <w:rsid w:val="00A664AC"/>
    <w:rsid w:val="00A804AA"/>
    <w:rsid w:val="00A81748"/>
    <w:rsid w:val="00A9108E"/>
    <w:rsid w:val="00A92188"/>
    <w:rsid w:val="00A95AC2"/>
    <w:rsid w:val="00AA12A6"/>
    <w:rsid w:val="00AA162F"/>
    <w:rsid w:val="00AA2212"/>
    <w:rsid w:val="00AA2EED"/>
    <w:rsid w:val="00AA3BDC"/>
    <w:rsid w:val="00AA45ED"/>
    <w:rsid w:val="00AB036F"/>
    <w:rsid w:val="00AB386C"/>
    <w:rsid w:val="00AB3942"/>
    <w:rsid w:val="00AB3C68"/>
    <w:rsid w:val="00AB6A6D"/>
    <w:rsid w:val="00AC3134"/>
    <w:rsid w:val="00AC320D"/>
    <w:rsid w:val="00AC464A"/>
    <w:rsid w:val="00AC5781"/>
    <w:rsid w:val="00AC7AD3"/>
    <w:rsid w:val="00AD0BFD"/>
    <w:rsid w:val="00AD48EE"/>
    <w:rsid w:val="00AD58E7"/>
    <w:rsid w:val="00AD5902"/>
    <w:rsid w:val="00AD5BD2"/>
    <w:rsid w:val="00AD7320"/>
    <w:rsid w:val="00AE22A8"/>
    <w:rsid w:val="00AE2CDE"/>
    <w:rsid w:val="00AE4D19"/>
    <w:rsid w:val="00AE7367"/>
    <w:rsid w:val="00AE7C6C"/>
    <w:rsid w:val="00AF406D"/>
    <w:rsid w:val="00AF5B25"/>
    <w:rsid w:val="00B01083"/>
    <w:rsid w:val="00B026C2"/>
    <w:rsid w:val="00B02B87"/>
    <w:rsid w:val="00B06F35"/>
    <w:rsid w:val="00B10045"/>
    <w:rsid w:val="00B11F18"/>
    <w:rsid w:val="00B13718"/>
    <w:rsid w:val="00B143F9"/>
    <w:rsid w:val="00B154CC"/>
    <w:rsid w:val="00B25A26"/>
    <w:rsid w:val="00B27076"/>
    <w:rsid w:val="00B44487"/>
    <w:rsid w:val="00B473E4"/>
    <w:rsid w:val="00B4742B"/>
    <w:rsid w:val="00B51645"/>
    <w:rsid w:val="00B5769A"/>
    <w:rsid w:val="00B619A3"/>
    <w:rsid w:val="00B6385A"/>
    <w:rsid w:val="00B749AC"/>
    <w:rsid w:val="00B877CB"/>
    <w:rsid w:val="00B8787D"/>
    <w:rsid w:val="00B96410"/>
    <w:rsid w:val="00B97EEC"/>
    <w:rsid w:val="00BA5D35"/>
    <w:rsid w:val="00BB20DE"/>
    <w:rsid w:val="00BB2751"/>
    <w:rsid w:val="00BB2F77"/>
    <w:rsid w:val="00BB5836"/>
    <w:rsid w:val="00BB77F9"/>
    <w:rsid w:val="00BB7AD0"/>
    <w:rsid w:val="00BB7ADA"/>
    <w:rsid w:val="00BC29E9"/>
    <w:rsid w:val="00BC3770"/>
    <w:rsid w:val="00BC68AA"/>
    <w:rsid w:val="00BC7C61"/>
    <w:rsid w:val="00BD0183"/>
    <w:rsid w:val="00BD0DAC"/>
    <w:rsid w:val="00BD16E5"/>
    <w:rsid w:val="00BD2758"/>
    <w:rsid w:val="00BD5053"/>
    <w:rsid w:val="00BD5257"/>
    <w:rsid w:val="00BD5F15"/>
    <w:rsid w:val="00BF3FA4"/>
    <w:rsid w:val="00BF5836"/>
    <w:rsid w:val="00BF5AB6"/>
    <w:rsid w:val="00BF6D51"/>
    <w:rsid w:val="00BF6F5E"/>
    <w:rsid w:val="00C0371D"/>
    <w:rsid w:val="00C219E1"/>
    <w:rsid w:val="00C23976"/>
    <w:rsid w:val="00C253C8"/>
    <w:rsid w:val="00C42B1E"/>
    <w:rsid w:val="00C4748B"/>
    <w:rsid w:val="00C47DDA"/>
    <w:rsid w:val="00C531F9"/>
    <w:rsid w:val="00C5665D"/>
    <w:rsid w:val="00C5706D"/>
    <w:rsid w:val="00C626C1"/>
    <w:rsid w:val="00C63A03"/>
    <w:rsid w:val="00C63D9A"/>
    <w:rsid w:val="00C64624"/>
    <w:rsid w:val="00C675D4"/>
    <w:rsid w:val="00C7166D"/>
    <w:rsid w:val="00C722C0"/>
    <w:rsid w:val="00C724F3"/>
    <w:rsid w:val="00C7452A"/>
    <w:rsid w:val="00C82A01"/>
    <w:rsid w:val="00C873C9"/>
    <w:rsid w:val="00C87F1C"/>
    <w:rsid w:val="00C94B8D"/>
    <w:rsid w:val="00C94C95"/>
    <w:rsid w:val="00CA102E"/>
    <w:rsid w:val="00CA114D"/>
    <w:rsid w:val="00CA2EDE"/>
    <w:rsid w:val="00CA45F0"/>
    <w:rsid w:val="00CA64EA"/>
    <w:rsid w:val="00CB0A96"/>
    <w:rsid w:val="00CB1152"/>
    <w:rsid w:val="00CB2ABA"/>
    <w:rsid w:val="00CB6A3C"/>
    <w:rsid w:val="00CC1702"/>
    <w:rsid w:val="00CC1EC1"/>
    <w:rsid w:val="00CC4249"/>
    <w:rsid w:val="00CC61CA"/>
    <w:rsid w:val="00CD0430"/>
    <w:rsid w:val="00CD31A5"/>
    <w:rsid w:val="00CD5349"/>
    <w:rsid w:val="00CD62C6"/>
    <w:rsid w:val="00CE36CC"/>
    <w:rsid w:val="00CE3C77"/>
    <w:rsid w:val="00CE5F8F"/>
    <w:rsid w:val="00CE7A1D"/>
    <w:rsid w:val="00CF372A"/>
    <w:rsid w:val="00CF4214"/>
    <w:rsid w:val="00CF6C59"/>
    <w:rsid w:val="00D00B58"/>
    <w:rsid w:val="00D0186A"/>
    <w:rsid w:val="00D02EA4"/>
    <w:rsid w:val="00D06A19"/>
    <w:rsid w:val="00D07642"/>
    <w:rsid w:val="00D15028"/>
    <w:rsid w:val="00D159CD"/>
    <w:rsid w:val="00D20AF4"/>
    <w:rsid w:val="00D21A44"/>
    <w:rsid w:val="00D27F50"/>
    <w:rsid w:val="00D319C0"/>
    <w:rsid w:val="00D36302"/>
    <w:rsid w:val="00D40AF4"/>
    <w:rsid w:val="00D42C9A"/>
    <w:rsid w:val="00D4632C"/>
    <w:rsid w:val="00D50E01"/>
    <w:rsid w:val="00D65958"/>
    <w:rsid w:val="00D6692B"/>
    <w:rsid w:val="00D70DC5"/>
    <w:rsid w:val="00D71612"/>
    <w:rsid w:val="00D71BAD"/>
    <w:rsid w:val="00D731A6"/>
    <w:rsid w:val="00D80926"/>
    <w:rsid w:val="00D8615A"/>
    <w:rsid w:val="00D90D46"/>
    <w:rsid w:val="00D92439"/>
    <w:rsid w:val="00D97C9C"/>
    <w:rsid w:val="00DA0230"/>
    <w:rsid w:val="00DA53CC"/>
    <w:rsid w:val="00DA5A21"/>
    <w:rsid w:val="00DA6E9D"/>
    <w:rsid w:val="00DB21E6"/>
    <w:rsid w:val="00DB4648"/>
    <w:rsid w:val="00DB7051"/>
    <w:rsid w:val="00DC000A"/>
    <w:rsid w:val="00DC0559"/>
    <w:rsid w:val="00DC3B7D"/>
    <w:rsid w:val="00DC50EF"/>
    <w:rsid w:val="00DC7DA2"/>
    <w:rsid w:val="00DD6651"/>
    <w:rsid w:val="00DF1248"/>
    <w:rsid w:val="00DF2827"/>
    <w:rsid w:val="00DF2C21"/>
    <w:rsid w:val="00DF336C"/>
    <w:rsid w:val="00DF3997"/>
    <w:rsid w:val="00DF58DD"/>
    <w:rsid w:val="00E0021E"/>
    <w:rsid w:val="00E029A7"/>
    <w:rsid w:val="00E0586A"/>
    <w:rsid w:val="00E1552C"/>
    <w:rsid w:val="00E1609D"/>
    <w:rsid w:val="00E209DB"/>
    <w:rsid w:val="00E22020"/>
    <w:rsid w:val="00E27D33"/>
    <w:rsid w:val="00E3446F"/>
    <w:rsid w:val="00E3512E"/>
    <w:rsid w:val="00E35EE2"/>
    <w:rsid w:val="00E36620"/>
    <w:rsid w:val="00E41414"/>
    <w:rsid w:val="00E4592E"/>
    <w:rsid w:val="00E461B5"/>
    <w:rsid w:val="00E4680C"/>
    <w:rsid w:val="00E468DD"/>
    <w:rsid w:val="00E57473"/>
    <w:rsid w:val="00E60C85"/>
    <w:rsid w:val="00E6375F"/>
    <w:rsid w:val="00E75C9C"/>
    <w:rsid w:val="00E760BA"/>
    <w:rsid w:val="00E80D33"/>
    <w:rsid w:val="00E814C4"/>
    <w:rsid w:val="00E826F9"/>
    <w:rsid w:val="00E85536"/>
    <w:rsid w:val="00E874A8"/>
    <w:rsid w:val="00E91893"/>
    <w:rsid w:val="00E9258C"/>
    <w:rsid w:val="00E96657"/>
    <w:rsid w:val="00EA4018"/>
    <w:rsid w:val="00EB0CAF"/>
    <w:rsid w:val="00EB26C0"/>
    <w:rsid w:val="00EB4714"/>
    <w:rsid w:val="00EB5481"/>
    <w:rsid w:val="00EC2135"/>
    <w:rsid w:val="00EC29E3"/>
    <w:rsid w:val="00EC4B03"/>
    <w:rsid w:val="00EC52F5"/>
    <w:rsid w:val="00EC5B5B"/>
    <w:rsid w:val="00EC5F7F"/>
    <w:rsid w:val="00EC661B"/>
    <w:rsid w:val="00EC79B5"/>
    <w:rsid w:val="00ED294D"/>
    <w:rsid w:val="00ED2B6A"/>
    <w:rsid w:val="00ED2CE5"/>
    <w:rsid w:val="00ED360A"/>
    <w:rsid w:val="00EE0048"/>
    <w:rsid w:val="00EE147C"/>
    <w:rsid w:val="00EE33BA"/>
    <w:rsid w:val="00EE4BD4"/>
    <w:rsid w:val="00EE6E28"/>
    <w:rsid w:val="00EF2EF4"/>
    <w:rsid w:val="00EF3677"/>
    <w:rsid w:val="00F02A6C"/>
    <w:rsid w:val="00F06195"/>
    <w:rsid w:val="00F07ACA"/>
    <w:rsid w:val="00F07C36"/>
    <w:rsid w:val="00F114E1"/>
    <w:rsid w:val="00F1155F"/>
    <w:rsid w:val="00F13811"/>
    <w:rsid w:val="00F14C72"/>
    <w:rsid w:val="00F1532E"/>
    <w:rsid w:val="00F16E10"/>
    <w:rsid w:val="00F204A7"/>
    <w:rsid w:val="00F24B67"/>
    <w:rsid w:val="00F307CB"/>
    <w:rsid w:val="00F342C4"/>
    <w:rsid w:val="00F37088"/>
    <w:rsid w:val="00F376ED"/>
    <w:rsid w:val="00F419FF"/>
    <w:rsid w:val="00F42A04"/>
    <w:rsid w:val="00F45B7D"/>
    <w:rsid w:val="00F503AC"/>
    <w:rsid w:val="00F571E4"/>
    <w:rsid w:val="00F57E52"/>
    <w:rsid w:val="00F62373"/>
    <w:rsid w:val="00F66C64"/>
    <w:rsid w:val="00F6737C"/>
    <w:rsid w:val="00F704A4"/>
    <w:rsid w:val="00F712BC"/>
    <w:rsid w:val="00F72EE7"/>
    <w:rsid w:val="00F76BB1"/>
    <w:rsid w:val="00F7767D"/>
    <w:rsid w:val="00F9308E"/>
    <w:rsid w:val="00F95828"/>
    <w:rsid w:val="00F95D79"/>
    <w:rsid w:val="00FA085D"/>
    <w:rsid w:val="00FA474B"/>
    <w:rsid w:val="00FA7418"/>
    <w:rsid w:val="00FB1EDF"/>
    <w:rsid w:val="00FB3D4D"/>
    <w:rsid w:val="00FB40B0"/>
    <w:rsid w:val="00FC0EF8"/>
    <w:rsid w:val="00FC413D"/>
    <w:rsid w:val="00FC4864"/>
    <w:rsid w:val="00FD246E"/>
    <w:rsid w:val="00FD704D"/>
    <w:rsid w:val="00FE245A"/>
    <w:rsid w:val="00FE25B8"/>
    <w:rsid w:val="00FF391D"/>
    <w:rsid w:val="00FF3DB0"/>
    <w:rsid w:val="01CEE9EF"/>
    <w:rsid w:val="01E8C152"/>
    <w:rsid w:val="02CD0879"/>
    <w:rsid w:val="035DB3F2"/>
    <w:rsid w:val="040EB59D"/>
    <w:rsid w:val="040F9FFC"/>
    <w:rsid w:val="0468D8DA"/>
    <w:rsid w:val="05169D2C"/>
    <w:rsid w:val="061E87A3"/>
    <w:rsid w:val="07001B50"/>
    <w:rsid w:val="070FB937"/>
    <w:rsid w:val="08D4DCAF"/>
    <w:rsid w:val="0BD36B97"/>
    <w:rsid w:val="0C0CE979"/>
    <w:rsid w:val="0C9A2BA5"/>
    <w:rsid w:val="0D6DD3D5"/>
    <w:rsid w:val="0EF2A71E"/>
    <w:rsid w:val="0F0B2D35"/>
    <w:rsid w:val="0F2A9D66"/>
    <w:rsid w:val="0F39181E"/>
    <w:rsid w:val="0F3CBE3E"/>
    <w:rsid w:val="0FABFAC0"/>
    <w:rsid w:val="106B5A5F"/>
    <w:rsid w:val="106FC9B6"/>
    <w:rsid w:val="10FC8837"/>
    <w:rsid w:val="11FD0DBA"/>
    <w:rsid w:val="12AE740C"/>
    <w:rsid w:val="12F2C8EB"/>
    <w:rsid w:val="135220C4"/>
    <w:rsid w:val="13DF01B0"/>
    <w:rsid w:val="1414EFE6"/>
    <w:rsid w:val="1467F4BE"/>
    <w:rsid w:val="1561465C"/>
    <w:rsid w:val="1592D765"/>
    <w:rsid w:val="1698773F"/>
    <w:rsid w:val="16C245C9"/>
    <w:rsid w:val="177FEEA1"/>
    <w:rsid w:val="1850BE69"/>
    <w:rsid w:val="18CA7827"/>
    <w:rsid w:val="19451F30"/>
    <w:rsid w:val="19EB06C6"/>
    <w:rsid w:val="1A86DE73"/>
    <w:rsid w:val="1C82C6D9"/>
    <w:rsid w:val="1CAACC62"/>
    <w:rsid w:val="1CC44AD3"/>
    <w:rsid w:val="1CCF914D"/>
    <w:rsid w:val="1D1717E8"/>
    <w:rsid w:val="1DC6C3BE"/>
    <w:rsid w:val="1DE61338"/>
    <w:rsid w:val="1E8AA99C"/>
    <w:rsid w:val="1F007980"/>
    <w:rsid w:val="1F101628"/>
    <w:rsid w:val="1FBF146B"/>
    <w:rsid w:val="1FF6B5FC"/>
    <w:rsid w:val="2069280F"/>
    <w:rsid w:val="20ABE689"/>
    <w:rsid w:val="21DCF04E"/>
    <w:rsid w:val="21F3C79C"/>
    <w:rsid w:val="224A8409"/>
    <w:rsid w:val="2263C1E3"/>
    <w:rsid w:val="22CEECD9"/>
    <w:rsid w:val="2332D04B"/>
    <w:rsid w:val="2348AD55"/>
    <w:rsid w:val="23A0C8D1"/>
    <w:rsid w:val="25BA52EF"/>
    <w:rsid w:val="260602CE"/>
    <w:rsid w:val="261320B2"/>
    <w:rsid w:val="26B6888F"/>
    <w:rsid w:val="28B43106"/>
    <w:rsid w:val="2994C337"/>
    <w:rsid w:val="2AAF984F"/>
    <w:rsid w:val="2AB3E6F7"/>
    <w:rsid w:val="2AE8FF4E"/>
    <w:rsid w:val="2BB23D2C"/>
    <w:rsid w:val="2C08CB12"/>
    <w:rsid w:val="2C94AE60"/>
    <w:rsid w:val="2CAE794C"/>
    <w:rsid w:val="2DB2B878"/>
    <w:rsid w:val="2EE1E513"/>
    <w:rsid w:val="2F16D67D"/>
    <w:rsid w:val="2F999F4A"/>
    <w:rsid w:val="2FA4B7E8"/>
    <w:rsid w:val="301EA490"/>
    <w:rsid w:val="3068459E"/>
    <w:rsid w:val="31681F83"/>
    <w:rsid w:val="31B84EB8"/>
    <w:rsid w:val="32E1D344"/>
    <w:rsid w:val="3312D42A"/>
    <w:rsid w:val="3359442D"/>
    <w:rsid w:val="34AAAF8E"/>
    <w:rsid w:val="36893E69"/>
    <w:rsid w:val="3774F2FA"/>
    <w:rsid w:val="38422D43"/>
    <w:rsid w:val="386558FD"/>
    <w:rsid w:val="38663589"/>
    <w:rsid w:val="39F1B083"/>
    <w:rsid w:val="3A6B0C81"/>
    <w:rsid w:val="3E723FE8"/>
    <w:rsid w:val="3FC0A2E7"/>
    <w:rsid w:val="40874E11"/>
    <w:rsid w:val="40BD0D82"/>
    <w:rsid w:val="41A8E2EF"/>
    <w:rsid w:val="41E459BC"/>
    <w:rsid w:val="42379725"/>
    <w:rsid w:val="4276D884"/>
    <w:rsid w:val="42E8161F"/>
    <w:rsid w:val="42E95AB0"/>
    <w:rsid w:val="44C8C0DE"/>
    <w:rsid w:val="4785D54D"/>
    <w:rsid w:val="49781A5B"/>
    <w:rsid w:val="4A330498"/>
    <w:rsid w:val="4ACA096D"/>
    <w:rsid w:val="4D0763D4"/>
    <w:rsid w:val="4D691557"/>
    <w:rsid w:val="4DE038D5"/>
    <w:rsid w:val="4DE25879"/>
    <w:rsid w:val="4E1ACF56"/>
    <w:rsid w:val="4EC9FAC9"/>
    <w:rsid w:val="4EDC168F"/>
    <w:rsid w:val="4EFC8D29"/>
    <w:rsid w:val="4F99DED3"/>
    <w:rsid w:val="51E7F801"/>
    <w:rsid w:val="5260D9A1"/>
    <w:rsid w:val="53214460"/>
    <w:rsid w:val="5329EBEA"/>
    <w:rsid w:val="544881C9"/>
    <w:rsid w:val="55E99E51"/>
    <w:rsid w:val="574C37B8"/>
    <w:rsid w:val="5751644D"/>
    <w:rsid w:val="5752DA12"/>
    <w:rsid w:val="57A8893F"/>
    <w:rsid w:val="581671DD"/>
    <w:rsid w:val="583FFAAB"/>
    <w:rsid w:val="5882198A"/>
    <w:rsid w:val="592DEC44"/>
    <w:rsid w:val="593638AF"/>
    <w:rsid w:val="59B4B40C"/>
    <w:rsid w:val="5A24C65D"/>
    <w:rsid w:val="5A321669"/>
    <w:rsid w:val="5AD166B0"/>
    <w:rsid w:val="5B779B6D"/>
    <w:rsid w:val="5BEA680E"/>
    <w:rsid w:val="5C8B7A64"/>
    <w:rsid w:val="5D0A7645"/>
    <w:rsid w:val="5D32630B"/>
    <w:rsid w:val="5D70D05B"/>
    <w:rsid w:val="5E17CAC3"/>
    <w:rsid w:val="5FCB4E69"/>
    <w:rsid w:val="5FE9FE2C"/>
    <w:rsid w:val="6139FF02"/>
    <w:rsid w:val="6151D0CA"/>
    <w:rsid w:val="634EE26A"/>
    <w:rsid w:val="63DDAF52"/>
    <w:rsid w:val="6433D2A7"/>
    <w:rsid w:val="65A7C46A"/>
    <w:rsid w:val="66B98BB7"/>
    <w:rsid w:val="66E05079"/>
    <w:rsid w:val="66FE1613"/>
    <w:rsid w:val="67181711"/>
    <w:rsid w:val="67475BC3"/>
    <w:rsid w:val="683567D2"/>
    <w:rsid w:val="6A5FEB6E"/>
    <w:rsid w:val="6B69E1CE"/>
    <w:rsid w:val="6BD55519"/>
    <w:rsid w:val="6C687AA9"/>
    <w:rsid w:val="6D39A156"/>
    <w:rsid w:val="6EAC379C"/>
    <w:rsid w:val="6F3B7BED"/>
    <w:rsid w:val="70E0689E"/>
    <w:rsid w:val="71ECF045"/>
    <w:rsid w:val="72245AE3"/>
    <w:rsid w:val="73137ABD"/>
    <w:rsid w:val="745A6431"/>
    <w:rsid w:val="74738C8E"/>
    <w:rsid w:val="754C9D5F"/>
    <w:rsid w:val="77254619"/>
    <w:rsid w:val="777077E8"/>
    <w:rsid w:val="794D57A3"/>
    <w:rsid w:val="796C6EF3"/>
    <w:rsid w:val="7A065E1D"/>
    <w:rsid w:val="7A69AAC8"/>
    <w:rsid w:val="7AC48ED0"/>
    <w:rsid w:val="7AEA935F"/>
    <w:rsid w:val="7B395973"/>
    <w:rsid w:val="7BD27375"/>
    <w:rsid w:val="7BDAC348"/>
    <w:rsid w:val="7BE14AAF"/>
    <w:rsid w:val="7C97F575"/>
    <w:rsid w:val="7CA55831"/>
    <w:rsid w:val="7D6B7B92"/>
    <w:rsid w:val="7ECB734D"/>
    <w:rsid w:val="7F6245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71B02"/>
  <w15:docId w15:val="{60E2E643-575F-4222-A3F2-E27DFB7B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EE2"/>
    <w:pPr>
      <w:spacing w:after="12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8563C0"/>
    <w:pPr>
      <w:spacing w:after="240"/>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8563C0"/>
    <w:pPr>
      <w:spacing w:before="240"/>
      <w:outlineLvl w:val="1"/>
    </w:pPr>
    <w:rPr>
      <w:b/>
      <w:iCs/>
      <w:color w:val="A00054"/>
      <w:sz w:val="28"/>
      <w:szCs w:val="28"/>
    </w:rPr>
  </w:style>
  <w:style w:type="paragraph" w:styleId="Heading3">
    <w:name w:val="heading 3"/>
    <w:basedOn w:val="Normal"/>
    <w:next w:val="Normal"/>
    <w:link w:val="Heading3Char"/>
    <w:uiPriority w:val="9"/>
    <w:unhideWhenUsed/>
    <w:qFormat/>
    <w:rsid w:val="001E25CB"/>
    <w:pPr>
      <w:spacing w:before="120"/>
      <w:outlineLvl w:val="2"/>
    </w:pPr>
    <w:rPr>
      <w:b/>
    </w:rPr>
  </w:style>
  <w:style w:type="paragraph" w:styleId="Heading4">
    <w:name w:val="heading 4"/>
    <w:basedOn w:val="Normal"/>
    <w:next w:val="Normal"/>
    <w:link w:val="Heading4Char"/>
    <w:uiPriority w:val="9"/>
    <w:unhideWhenUsed/>
    <w:rsid w:val="002C0ED7"/>
    <w:pPr>
      <w:keepNext/>
      <w:keepLines/>
      <w:numPr>
        <w:ilvl w:val="3"/>
        <w:numId w:val="1"/>
      </w:numPr>
      <w:spacing w:before="200"/>
      <w:outlineLvl w:val="3"/>
    </w:pPr>
    <w:rPr>
      <w:rFonts w:eastAsiaTheme="majorEastAsia" w:cstheme="majorBidi"/>
      <w:bCs w:val="0"/>
      <w:iCs/>
      <w:u w:val="single"/>
    </w:rPr>
  </w:style>
  <w:style w:type="paragraph" w:styleId="Heading5">
    <w:name w:val="heading 5"/>
    <w:basedOn w:val="Normal"/>
    <w:next w:val="Normal"/>
    <w:link w:val="Heading5Char"/>
    <w:uiPriority w:val="9"/>
    <w:unhideWhenUsed/>
    <w:qFormat/>
    <w:rsid w:val="004F596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F596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F596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F596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F596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3C0"/>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8563C0"/>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E25CB"/>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2C0ED7"/>
    <w:rPr>
      <w:rFonts w:ascii="Arial" w:eastAsiaTheme="majorEastAsia" w:hAnsi="Arial" w:cstheme="majorBidi"/>
      <w:iCs/>
      <w:sz w:val="24"/>
      <w:szCs w:val="26"/>
      <w:u w:val="single"/>
    </w:rPr>
  </w:style>
  <w:style w:type="character" w:customStyle="1" w:styleId="Heading5Char">
    <w:name w:val="Heading 5 Char"/>
    <w:basedOn w:val="DefaultParagraphFont"/>
    <w:link w:val="Heading5"/>
    <w:uiPriority w:val="9"/>
    <w:rsid w:val="004F596F"/>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rsid w:val="004F596F"/>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rsid w:val="004F596F"/>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rsid w:val="004F596F"/>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rsid w:val="004F596F"/>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4F596F"/>
    <w:pPr>
      <w:tabs>
        <w:tab w:val="center" w:pos="4320"/>
        <w:tab w:val="right" w:pos="8640"/>
      </w:tabs>
    </w:pPr>
  </w:style>
  <w:style w:type="character" w:customStyle="1" w:styleId="HeaderChar">
    <w:name w:val="Header Char"/>
    <w:basedOn w:val="DefaultParagraphFont"/>
    <w:link w:val="Header"/>
    <w:uiPriority w:val="99"/>
    <w:rsid w:val="004F596F"/>
    <w:rPr>
      <w:rFonts w:ascii="Arial" w:eastAsia="Times New Roman" w:hAnsi="Arial" w:cs="Times New Roman"/>
      <w:bCs/>
      <w:sz w:val="24"/>
      <w:szCs w:val="26"/>
    </w:rPr>
  </w:style>
  <w:style w:type="paragraph" w:styleId="TOC1">
    <w:name w:val="toc 1"/>
    <w:basedOn w:val="Normal"/>
    <w:next w:val="Normal"/>
    <w:autoRedefine/>
    <w:uiPriority w:val="39"/>
    <w:unhideWhenUsed/>
    <w:qFormat/>
    <w:rsid w:val="004F596F"/>
    <w:pPr>
      <w:tabs>
        <w:tab w:val="left" w:pos="480"/>
        <w:tab w:val="right" w:leader="dot" w:pos="9054"/>
      </w:tabs>
      <w:spacing w:line="360" w:lineRule="auto"/>
    </w:pPr>
  </w:style>
  <w:style w:type="paragraph" w:styleId="Title">
    <w:name w:val="Title"/>
    <w:basedOn w:val="Normal"/>
    <w:next w:val="Normal"/>
    <w:link w:val="TitleChar"/>
    <w:uiPriority w:val="10"/>
    <w:qFormat/>
    <w:rsid w:val="004F596F"/>
    <w:rPr>
      <w:b/>
      <w:color w:val="1F497D" w:themeColor="text2"/>
      <w:sz w:val="80"/>
      <w:szCs w:val="80"/>
    </w:rPr>
  </w:style>
  <w:style w:type="character" w:customStyle="1" w:styleId="TitleChar">
    <w:name w:val="Title Char"/>
    <w:basedOn w:val="DefaultParagraphFont"/>
    <w:link w:val="Title"/>
    <w:uiPriority w:val="10"/>
    <w:rsid w:val="004F596F"/>
    <w:rPr>
      <w:rFonts w:ascii="Arial" w:eastAsia="Times New Roman" w:hAnsi="Arial" w:cs="Times New Roman"/>
      <w:b/>
      <w:bCs/>
      <w:color w:val="1F497D" w:themeColor="text2"/>
      <w:sz w:val="80"/>
      <w:szCs w:val="80"/>
    </w:rPr>
  </w:style>
  <w:style w:type="character" w:styleId="Hyperlink">
    <w:name w:val="Hyperlink"/>
    <w:uiPriority w:val="99"/>
    <w:unhideWhenUsed/>
    <w:rsid w:val="004F596F"/>
    <w:rPr>
      <w:color w:val="0000FF"/>
      <w:u w:val="single"/>
    </w:rPr>
  </w:style>
  <w:style w:type="paragraph" w:styleId="TOCHeading">
    <w:name w:val="TOC Heading"/>
    <w:basedOn w:val="Heading1"/>
    <w:next w:val="Normal"/>
    <w:uiPriority w:val="39"/>
    <w:unhideWhenUsed/>
    <w:qFormat/>
    <w:rsid w:val="004F596F"/>
    <w:pPr>
      <w:keepLines/>
      <w:spacing w:before="480" w:line="276" w:lineRule="auto"/>
      <w:outlineLvl w:val="9"/>
    </w:pPr>
    <w:rPr>
      <w:color w:val="365F91"/>
      <w:kern w:val="0"/>
      <w:sz w:val="28"/>
      <w:szCs w:val="28"/>
      <w:lang w:val="en-US" w:eastAsia="ja-JP"/>
    </w:rPr>
  </w:style>
  <w:style w:type="paragraph" w:styleId="TOC2">
    <w:name w:val="toc 2"/>
    <w:basedOn w:val="Normal"/>
    <w:next w:val="Normal"/>
    <w:autoRedefine/>
    <w:uiPriority w:val="39"/>
    <w:unhideWhenUsed/>
    <w:qFormat/>
    <w:rsid w:val="004F596F"/>
    <w:pPr>
      <w:ind w:left="240"/>
    </w:pPr>
  </w:style>
  <w:style w:type="paragraph" w:styleId="ListParagraph">
    <w:name w:val="List Paragraph"/>
    <w:basedOn w:val="Normal"/>
    <w:uiPriority w:val="34"/>
    <w:qFormat/>
    <w:rsid w:val="004F596F"/>
    <w:pPr>
      <w:ind w:left="720"/>
      <w:contextualSpacing/>
    </w:pPr>
  </w:style>
  <w:style w:type="paragraph" w:customStyle="1" w:styleId="Default">
    <w:name w:val="Default"/>
    <w:rsid w:val="004F596F"/>
    <w:pPr>
      <w:autoSpaceDE w:val="0"/>
      <w:autoSpaceDN w:val="0"/>
      <w:adjustRightInd w:val="0"/>
      <w:spacing w:after="0" w:line="240" w:lineRule="auto"/>
    </w:pPr>
    <w:rPr>
      <w:rFonts w:ascii="Arial" w:eastAsia="HGSMinchoE" w:hAnsi="Arial" w:cs="Arial"/>
      <w:color w:val="000000"/>
      <w:sz w:val="24"/>
      <w:szCs w:val="24"/>
      <w:lang w:eastAsia="en-GB"/>
    </w:rPr>
  </w:style>
  <w:style w:type="paragraph" w:styleId="Footer">
    <w:name w:val="footer"/>
    <w:basedOn w:val="Normal"/>
    <w:link w:val="FooterChar"/>
    <w:uiPriority w:val="99"/>
    <w:unhideWhenUsed/>
    <w:rsid w:val="002B0B78"/>
    <w:pPr>
      <w:tabs>
        <w:tab w:val="center" w:pos="4320"/>
        <w:tab w:val="right" w:pos="8640"/>
      </w:tabs>
    </w:pPr>
  </w:style>
  <w:style w:type="paragraph" w:customStyle="1" w:styleId="NHSEMain">
    <w:name w:val="NHSE Main"/>
    <w:basedOn w:val="Normal"/>
    <w:next w:val="Heading1"/>
    <w:qFormat/>
    <w:rsid w:val="004F596F"/>
    <w:pPr>
      <w:widowControl w:val="0"/>
      <w:spacing w:before="19"/>
      <w:ind w:right="-20"/>
    </w:pPr>
    <w:rPr>
      <w:rFonts w:eastAsia="Arial" w:cs="Arial"/>
      <w:b/>
      <w:color w:val="0072C6"/>
      <w:spacing w:val="-7"/>
      <w:sz w:val="32"/>
      <w:szCs w:val="32"/>
      <w:lang w:val="en-US"/>
    </w:rPr>
  </w:style>
  <w:style w:type="paragraph" w:styleId="BalloonText">
    <w:name w:val="Balloon Text"/>
    <w:basedOn w:val="Normal"/>
    <w:link w:val="BalloonTextChar"/>
    <w:uiPriority w:val="99"/>
    <w:semiHidden/>
    <w:unhideWhenUsed/>
    <w:rsid w:val="00BB58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836"/>
    <w:rPr>
      <w:rFonts w:ascii="Lucida Grande" w:eastAsia="Times New Roman" w:hAnsi="Lucida Grande" w:cs="Lucida Grande"/>
      <w:bCs/>
      <w:sz w:val="18"/>
      <w:szCs w:val="18"/>
    </w:rPr>
  </w:style>
  <w:style w:type="paragraph" w:customStyle="1" w:styleId="Paragraph">
    <w:name w:val="Paragraph"/>
    <w:basedOn w:val="Normal"/>
    <w:qFormat/>
    <w:rsid w:val="001E25CB"/>
  </w:style>
  <w:style w:type="character" w:customStyle="1" w:styleId="FooterChar">
    <w:name w:val="Footer Char"/>
    <w:basedOn w:val="DefaultParagraphFont"/>
    <w:link w:val="Footer"/>
    <w:uiPriority w:val="99"/>
    <w:rsid w:val="002B0B78"/>
    <w:rPr>
      <w:rFonts w:ascii="Arial" w:eastAsia="Times New Roman" w:hAnsi="Arial" w:cs="Times New Roman"/>
      <w:bCs/>
      <w:sz w:val="24"/>
      <w:szCs w:val="26"/>
    </w:rPr>
  </w:style>
  <w:style w:type="character" w:styleId="PageNumber">
    <w:name w:val="page number"/>
    <w:basedOn w:val="DefaultParagraphFont"/>
    <w:uiPriority w:val="99"/>
    <w:semiHidden/>
    <w:unhideWhenUsed/>
    <w:rsid w:val="002B0B78"/>
  </w:style>
  <w:style w:type="paragraph" w:styleId="NormalWeb">
    <w:name w:val="Normal (Web)"/>
    <w:basedOn w:val="Normal"/>
    <w:uiPriority w:val="99"/>
    <w:semiHidden/>
    <w:unhideWhenUsed/>
    <w:rsid w:val="0037568B"/>
    <w:rPr>
      <w:rFonts w:ascii="Times New Roman" w:hAnsi="Times New Roman"/>
      <w:szCs w:val="24"/>
    </w:rPr>
  </w:style>
  <w:style w:type="character" w:styleId="CommentReference">
    <w:name w:val="annotation reference"/>
    <w:basedOn w:val="DefaultParagraphFont"/>
    <w:uiPriority w:val="99"/>
    <w:semiHidden/>
    <w:unhideWhenUsed/>
    <w:rsid w:val="0090170F"/>
    <w:rPr>
      <w:sz w:val="18"/>
      <w:szCs w:val="18"/>
    </w:rPr>
  </w:style>
  <w:style w:type="paragraph" w:styleId="CommentText">
    <w:name w:val="annotation text"/>
    <w:basedOn w:val="Normal"/>
    <w:link w:val="CommentTextChar"/>
    <w:uiPriority w:val="99"/>
    <w:semiHidden/>
    <w:unhideWhenUsed/>
    <w:rsid w:val="0090170F"/>
    <w:rPr>
      <w:szCs w:val="24"/>
    </w:rPr>
  </w:style>
  <w:style w:type="character" w:customStyle="1" w:styleId="CommentTextChar">
    <w:name w:val="Comment Text Char"/>
    <w:basedOn w:val="DefaultParagraphFont"/>
    <w:link w:val="CommentText"/>
    <w:uiPriority w:val="99"/>
    <w:semiHidden/>
    <w:rsid w:val="0090170F"/>
    <w:rPr>
      <w:rFonts w:ascii="Arial" w:eastAsia="Times New Roman" w:hAnsi="Arial" w:cs="Times New Roman"/>
      <w:bCs/>
      <w:sz w:val="24"/>
      <w:szCs w:val="24"/>
    </w:rPr>
  </w:style>
  <w:style w:type="paragraph" w:styleId="CommentSubject">
    <w:name w:val="annotation subject"/>
    <w:basedOn w:val="CommentText"/>
    <w:next w:val="CommentText"/>
    <w:link w:val="CommentSubjectChar"/>
    <w:uiPriority w:val="99"/>
    <w:semiHidden/>
    <w:unhideWhenUsed/>
    <w:rsid w:val="0090170F"/>
    <w:rPr>
      <w:b/>
      <w:sz w:val="20"/>
      <w:szCs w:val="20"/>
    </w:rPr>
  </w:style>
  <w:style w:type="character" w:customStyle="1" w:styleId="CommentSubjectChar">
    <w:name w:val="Comment Subject Char"/>
    <w:basedOn w:val="CommentTextChar"/>
    <w:link w:val="CommentSubject"/>
    <w:uiPriority w:val="99"/>
    <w:semiHidden/>
    <w:rsid w:val="0090170F"/>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8C7752"/>
    <w:rPr>
      <w:color w:val="808080"/>
      <w:shd w:val="clear" w:color="auto" w:fill="E6E6E6"/>
    </w:rPr>
  </w:style>
  <w:style w:type="table" w:styleId="TableGrid">
    <w:name w:val="Table Grid"/>
    <w:basedOn w:val="TableNormal"/>
    <w:uiPriority w:val="59"/>
    <w:rsid w:val="008C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76B6"/>
    <w:rPr>
      <w:color w:val="808080"/>
    </w:rPr>
  </w:style>
  <w:style w:type="character" w:styleId="FollowedHyperlink">
    <w:name w:val="FollowedHyperlink"/>
    <w:basedOn w:val="DefaultParagraphFont"/>
    <w:uiPriority w:val="99"/>
    <w:semiHidden/>
    <w:unhideWhenUsed/>
    <w:rsid w:val="00695AF4"/>
    <w:rPr>
      <w:color w:val="800080" w:themeColor="followedHyperlink"/>
      <w:u w:val="single"/>
    </w:rPr>
  </w:style>
  <w:style w:type="character" w:styleId="Emphasis">
    <w:name w:val="Emphasis"/>
    <w:basedOn w:val="DefaultParagraphFont"/>
    <w:uiPriority w:val="20"/>
    <w:qFormat/>
    <w:rsid w:val="00695AF4"/>
    <w:rPr>
      <w:i/>
      <w:iCs/>
    </w:rPr>
  </w:style>
  <w:style w:type="character" w:styleId="FootnoteReference">
    <w:name w:val="footnote reference"/>
    <w:basedOn w:val="DefaultParagraphFont"/>
    <w:uiPriority w:val="99"/>
    <w:semiHidden/>
    <w:unhideWhenUsed/>
    <w:rsid w:val="00406D63"/>
    <w:rPr>
      <w:vertAlign w:val="superscript"/>
    </w:rPr>
  </w:style>
  <w:style w:type="paragraph" w:customStyle="1" w:styleId="paragraph0">
    <w:name w:val="paragraph"/>
    <w:basedOn w:val="Normal"/>
    <w:rsid w:val="00A62BED"/>
    <w:pPr>
      <w:spacing w:before="100" w:beforeAutospacing="1" w:after="100" w:afterAutospacing="1"/>
    </w:pPr>
    <w:rPr>
      <w:rFonts w:ascii="Times New Roman" w:hAnsi="Times New Roman"/>
      <w:bCs w:val="0"/>
      <w:szCs w:val="24"/>
      <w:lang w:eastAsia="en-GB"/>
    </w:rPr>
  </w:style>
  <w:style w:type="character" w:customStyle="1" w:styleId="normaltextrun">
    <w:name w:val="normaltextrun"/>
    <w:basedOn w:val="DefaultParagraphFont"/>
    <w:rsid w:val="00A62BED"/>
  </w:style>
  <w:style w:type="character" w:customStyle="1" w:styleId="eop">
    <w:name w:val="eop"/>
    <w:basedOn w:val="DefaultParagraphFont"/>
    <w:rsid w:val="00A62BED"/>
  </w:style>
  <w:style w:type="paragraph" w:styleId="NoSpacing">
    <w:name w:val="No Spacing"/>
    <w:uiPriority w:val="1"/>
    <w:qFormat/>
    <w:rsid w:val="00904058"/>
    <w:pPr>
      <w:spacing w:after="0" w:line="240" w:lineRule="auto"/>
    </w:pPr>
    <w:rPr>
      <w:rFonts w:ascii="Arial" w:eastAsia="Times New Roman" w:hAnsi="Arial" w:cs="Times New Roman"/>
      <w:bCs/>
      <w:sz w:val="24"/>
      <w:szCs w:val="26"/>
    </w:rPr>
  </w:style>
  <w:style w:type="paragraph" w:styleId="FootnoteText">
    <w:name w:val="footnote text"/>
    <w:basedOn w:val="Normal"/>
    <w:link w:val="FootnoteTextChar"/>
    <w:uiPriority w:val="99"/>
    <w:semiHidden/>
    <w:unhideWhenUsed/>
    <w:rsid w:val="001532D1"/>
    <w:pPr>
      <w:spacing w:after="0"/>
    </w:pPr>
    <w:rPr>
      <w:sz w:val="20"/>
      <w:szCs w:val="20"/>
    </w:rPr>
  </w:style>
  <w:style w:type="character" w:customStyle="1" w:styleId="FootnoteTextChar">
    <w:name w:val="Footnote Text Char"/>
    <w:basedOn w:val="DefaultParagraphFont"/>
    <w:link w:val="FootnoteText"/>
    <w:uiPriority w:val="99"/>
    <w:semiHidden/>
    <w:rsid w:val="001532D1"/>
    <w:rPr>
      <w:rFonts w:ascii="Arial" w:eastAsia="Times New Roman" w:hAnsi="Arial" w:cs="Times New Roman"/>
      <w:bCs/>
      <w:sz w:val="20"/>
      <w:szCs w:val="20"/>
    </w:rPr>
  </w:style>
  <w:style w:type="paragraph" w:styleId="Caption">
    <w:name w:val="caption"/>
    <w:basedOn w:val="Normal"/>
    <w:next w:val="Normal"/>
    <w:uiPriority w:val="35"/>
    <w:unhideWhenUsed/>
    <w:qFormat/>
    <w:rsid w:val="00C94C95"/>
    <w:pPr>
      <w:spacing w:after="200"/>
    </w:pPr>
    <w:rPr>
      <w:i/>
      <w:iCs/>
      <w:color w:val="1F497D" w:themeColor="text2"/>
      <w:sz w:val="18"/>
      <w:szCs w:val="18"/>
    </w:rPr>
  </w:style>
  <w:style w:type="paragraph" w:styleId="BodyText">
    <w:name w:val="Body Text"/>
    <w:basedOn w:val="Normal"/>
    <w:link w:val="BodyTextChar"/>
    <w:uiPriority w:val="1"/>
    <w:qFormat/>
    <w:rsid w:val="00CE7A1D"/>
    <w:pPr>
      <w:widowControl w:val="0"/>
      <w:autoSpaceDE w:val="0"/>
      <w:autoSpaceDN w:val="0"/>
      <w:spacing w:after="0"/>
    </w:pPr>
    <w:rPr>
      <w:rFonts w:eastAsia="Arial" w:cs="Arial"/>
      <w:bCs w:val="0"/>
      <w:szCs w:val="24"/>
      <w:lang w:eastAsia="en-GB" w:bidi="en-GB"/>
    </w:rPr>
  </w:style>
  <w:style w:type="character" w:customStyle="1" w:styleId="BodyTextChar">
    <w:name w:val="Body Text Char"/>
    <w:basedOn w:val="DefaultParagraphFont"/>
    <w:link w:val="BodyText"/>
    <w:uiPriority w:val="1"/>
    <w:rsid w:val="00CE7A1D"/>
    <w:rPr>
      <w:rFonts w:ascii="Arial" w:eastAsia="Arial" w:hAnsi="Arial" w:cs="Arial"/>
      <w:sz w:val="24"/>
      <w:szCs w:val="24"/>
      <w:lang w:eastAsia="en-GB" w:bidi="en-GB"/>
    </w:rPr>
  </w:style>
  <w:style w:type="paragraph" w:styleId="Revision">
    <w:name w:val="Revision"/>
    <w:hidden/>
    <w:uiPriority w:val="99"/>
    <w:semiHidden/>
    <w:rsid w:val="00984D74"/>
    <w:pPr>
      <w:spacing w:after="0" w:line="240" w:lineRule="auto"/>
    </w:pPr>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6160">
      <w:bodyDiv w:val="1"/>
      <w:marLeft w:val="0"/>
      <w:marRight w:val="0"/>
      <w:marTop w:val="0"/>
      <w:marBottom w:val="0"/>
      <w:divBdr>
        <w:top w:val="none" w:sz="0" w:space="0" w:color="auto"/>
        <w:left w:val="none" w:sz="0" w:space="0" w:color="auto"/>
        <w:bottom w:val="none" w:sz="0" w:space="0" w:color="auto"/>
        <w:right w:val="none" w:sz="0" w:space="0" w:color="auto"/>
      </w:divBdr>
      <w:divsChild>
        <w:div w:id="681591474">
          <w:marLeft w:val="0"/>
          <w:marRight w:val="0"/>
          <w:marTop w:val="0"/>
          <w:marBottom w:val="0"/>
          <w:divBdr>
            <w:top w:val="none" w:sz="0" w:space="0" w:color="auto"/>
            <w:left w:val="none" w:sz="0" w:space="0" w:color="auto"/>
            <w:bottom w:val="none" w:sz="0" w:space="0" w:color="auto"/>
            <w:right w:val="none" w:sz="0" w:space="0" w:color="auto"/>
          </w:divBdr>
        </w:div>
        <w:div w:id="825703449">
          <w:marLeft w:val="0"/>
          <w:marRight w:val="0"/>
          <w:marTop w:val="0"/>
          <w:marBottom w:val="0"/>
          <w:divBdr>
            <w:top w:val="none" w:sz="0" w:space="0" w:color="auto"/>
            <w:left w:val="none" w:sz="0" w:space="0" w:color="auto"/>
            <w:bottom w:val="none" w:sz="0" w:space="0" w:color="auto"/>
            <w:right w:val="none" w:sz="0" w:space="0" w:color="auto"/>
          </w:divBdr>
        </w:div>
        <w:div w:id="1417704009">
          <w:marLeft w:val="0"/>
          <w:marRight w:val="0"/>
          <w:marTop w:val="0"/>
          <w:marBottom w:val="0"/>
          <w:divBdr>
            <w:top w:val="none" w:sz="0" w:space="0" w:color="auto"/>
            <w:left w:val="none" w:sz="0" w:space="0" w:color="auto"/>
            <w:bottom w:val="none" w:sz="0" w:space="0" w:color="auto"/>
            <w:right w:val="none" w:sz="0" w:space="0" w:color="auto"/>
          </w:divBdr>
        </w:div>
        <w:div w:id="1934509769">
          <w:marLeft w:val="0"/>
          <w:marRight w:val="0"/>
          <w:marTop w:val="0"/>
          <w:marBottom w:val="0"/>
          <w:divBdr>
            <w:top w:val="none" w:sz="0" w:space="0" w:color="auto"/>
            <w:left w:val="none" w:sz="0" w:space="0" w:color="auto"/>
            <w:bottom w:val="none" w:sz="0" w:space="0" w:color="auto"/>
            <w:right w:val="none" w:sz="0" w:space="0" w:color="auto"/>
          </w:divBdr>
        </w:div>
        <w:div w:id="2068140024">
          <w:marLeft w:val="0"/>
          <w:marRight w:val="0"/>
          <w:marTop w:val="0"/>
          <w:marBottom w:val="0"/>
          <w:divBdr>
            <w:top w:val="none" w:sz="0" w:space="0" w:color="auto"/>
            <w:left w:val="none" w:sz="0" w:space="0" w:color="auto"/>
            <w:bottom w:val="none" w:sz="0" w:space="0" w:color="auto"/>
            <w:right w:val="none" w:sz="0" w:space="0" w:color="auto"/>
          </w:divBdr>
        </w:div>
      </w:divsChild>
    </w:div>
    <w:div w:id="302002645">
      <w:bodyDiv w:val="1"/>
      <w:marLeft w:val="0"/>
      <w:marRight w:val="0"/>
      <w:marTop w:val="0"/>
      <w:marBottom w:val="0"/>
      <w:divBdr>
        <w:top w:val="none" w:sz="0" w:space="0" w:color="auto"/>
        <w:left w:val="none" w:sz="0" w:space="0" w:color="auto"/>
        <w:bottom w:val="none" w:sz="0" w:space="0" w:color="auto"/>
        <w:right w:val="none" w:sz="0" w:space="0" w:color="auto"/>
      </w:divBdr>
    </w:div>
    <w:div w:id="434982454">
      <w:bodyDiv w:val="1"/>
      <w:marLeft w:val="0"/>
      <w:marRight w:val="0"/>
      <w:marTop w:val="0"/>
      <w:marBottom w:val="0"/>
      <w:divBdr>
        <w:top w:val="none" w:sz="0" w:space="0" w:color="auto"/>
        <w:left w:val="none" w:sz="0" w:space="0" w:color="auto"/>
        <w:bottom w:val="none" w:sz="0" w:space="0" w:color="auto"/>
        <w:right w:val="none" w:sz="0" w:space="0" w:color="auto"/>
      </w:divBdr>
    </w:div>
    <w:div w:id="462309913">
      <w:bodyDiv w:val="1"/>
      <w:marLeft w:val="0"/>
      <w:marRight w:val="0"/>
      <w:marTop w:val="0"/>
      <w:marBottom w:val="0"/>
      <w:divBdr>
        <w:top w:val="none" w:sz="0" w:space="0" w:color="auto"/>
        <w:left w:val="none" w:sz="0" w:space="0" w:color="auto"/>
        <w:bottom w:val="none" w:sz="0" w:space="0" w:color="auto"/>
        <w:right w:val="none" w:sz="0" w:space="0" w:color="auto"/>
      </w:divBdr>
      <w:divsChild>
        <w:div w:id="943611504">
          <w:marLeft w:val="0"/>
          <w:marRight w:val="0"/>
          <w:marTop w:val="0"/>
          <w:marBottom w:val="0"/>
          <w:divBdr>
            <w:top w:val="none" w:sz="0" w:space="0" w:color="auto"/>
            <w:left w:val="none" w:sz="0" w:space="0" w:color="auto"/>
            <w:bottom w:val="none" w:sz="0" w:space="0" w:color="auto"/>
            <w:right w:val="none" w:sz="0" w:space="0" w:color="auto"/>
          </w:divBdr>
        </w:div>
        <w:div w:id="1887062406">
          <w:marLeft w:val="0"/>
          <w:marRight w:val="0"/>
          <w:marTop w:val="0"/>
          <w:marBottom w:val="0"/>
          <w:divBdr>
            <w:top w:val="none" w:sz="0" w:space="0" w:color="auto"/>
            <w:left w:val="none" w:sz="0" w:space="0" w:color="auto"/>
            <w:bottom w:val="none" w:sz="0" w:space="0" w:color="auto"/>
            <w:right w:val="none" w:sz="0" w:space="0" w:color="auto"/>
          </w:divBdr>
        </w:div>
      </w:divsChild>
    </w:div>
    <w:div w:id="511722285">
      <w:bodyDiv w:val="1"/>
      <w:marLeft w:val="0"/>
      <w:marRight w:val="0"/>
      <w:marTop w:val="0"/>
      <w:marBottom w:val="0"/>
      <w:divBdr>
        <w:top w:val="none" w:sz="0" w:space="0" w:color="auto"/>
        <w:left w:val="none" w:sz="0" w:space="0" w:color="auto"/>
        <w:bottom w:val="none" w:sz="0" w:space="0" w:color="auto"/>
        <w:right w:val="none" w:sz="0" w:space="0" w:color="auto"/>
      </w:divBdr>
      <w:divsChild>
        <w:div w:id="1579098589">
          <w:marLeft w:val="0"/>
          <w:marRight w:val="0"/>
          <w:marTop w:val="0"/>
          <w:marBottom w:val="0"/>
          <w:divBdr>
            <w:top w:val="none" w:sz="0" w:space="0" w:color="auto"/>
            <w:left w:val="none" w:sz="0" w:space="0" w:color="auto"/>
            <w:bottom w:val="none" w:sz="0" w:space="0" w:color="auto"/>
            <w:right w:val="none" w:sz="0" w:space="0" w:color="auto"/>
          </w:divBdr>
          <w:divsChild>
            <w:div w:id="1777292987">
              <w:marLeft w:val="0"/>
              <w:marRight w:val="0"/>
              <w:marTop w:val="0"/>
              <w:marBottom w:val="0"/>
              <w:divBdr>
                <w:top w:val="none" w:sz="0" w:space="0" w:color="auto"/>
                <w:left w:val="none" w:sz="0" w:space="0" w:color="auto"/>
                <w:bottom w:val="none" w:sz="0" w:space="0" w:color="auto"/>
                <w:right w:val="none" w:sz="0" w:space="0" w:color="auto"/>
              </w:divBdr>
              <w:divsChild>
                <w:div w:id="15899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68607">
      <w:bodyDiv w:val="1"/>
      <w:marLeft w:val="0"/>
      <w:marRight w:val="0"/>
      <w:marTop w:val="0"/>
      <w:marBottom w:val="0"/>
      <w:divBdr>
        <w:top w:val="none" w:sz="0" w:space="0" w:color="auto"/>
        <w:left w:val="none" w:sz="0" w:space="0" w:color="auto"/>
        <w:bottom w:val="none" w:sz="0" w:space="0" w:color="auto"/>
        <w:right w:val="none" w:sz="0" w:space="0" w:color="auto"/>
      </w:divBdr>
      <w:divsChild>
        <w:div w:id="1266695393">
          <w:marLeft w:val="0"/>
          <w:marRight w:val="0"/>
          <w:marTop w:val="0"/>
          <w:marBottom w:val="0"/>
          <w:divBdr>
            <w:top w:val="none" w:sz="0" w:space="0" w:color="auto"/>
            <w:left w:val="none" w:sz="0" w:space="0" w:color="auto"/>
            <w:bottom w:val="none" w:sz="0" w:space="0" w:color="auto"/>
            <w:right w:val="none" w:sz="0" w:space="0" w:color="auto"/>
          </w:divBdr>
          <w:divsChild>
            <w:div w:id="808980209">
              <w:marLeft w:val="0"/>
              <w:marRight w:val="0"/>
              <w:marTop w:val="0"/>
              <w:marBottom w:val="0"/>
              <w:divBdr>
                <w:top w:val="none" w:sz="0" w:space="0" w:color="auto"/>
                <w:left w:val="none" w:sz="0" w:space="0" w:color="auto"/>
                <w:bottom w:val="none" w:sz="0" w:space="0" w:color="auto"/>
                <w:right w:val="none" w:sz="0" w:space="0" w:color="auto"/>
              </w:divBdr>
              <w:divsChild>
                <w:div w:id="1781532080">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48894">
      <w:bodyDiv w:val="1"/>
      <w:marLeft w:val="0"/>
      <w:marRight w:val="0"/>
      <w:marTop w:val="0"/>
      <w:marBottom w:val="0"/>
      <w:divBdr>
        <w:top w:val="none" w:sz="0" w:space="0" w:color="auto"/>
        <w:left w:val="none" w:sz="0" w:space="0" w:color="auto"/>
        <w:bottom w:val="none" w:sz="0" w:space="0" w:color="auto"/>
        <w:right w:val="none" w:sz="0" w:space="0" w:color="auto"/>
      </w:divBdr>
      <w:divsChild>
        <w:div w:id="1330861957">
          <w:marLeft w:val="0"/>
          <w:marRight w:val="0"/>
          <w:marTop w:val="0"/>
          <w:marBottom w:val="0"/>
          <w:divBdr>
            <w:top w:val="none" w:sz="0" w:space="0" w:color="auto"/>
            <w:left w:val="none" w:sz="0" w:space="0" w:color="auto"/>
            <w:bottom w:val="none" w:sz="0" w:space="0" w:color="auto"/>
            <w:right w:val="none" w:sz="0" w:space="0" w:color="auto"/>
          </w:divBdr>
        </w:div>
        <w:div w:id="1378313396">
          <w:marLeft w:val="0"/>
          <w:marRight w:val="0"/>
          <w:marTop w:val="0"/>
          <w:marBottom w:val="0"/>
          <w:divBdr>
            <w:top w:val="none" w:sz="0" w:space="0" w:color="auto"/>
            <w:left w:val="none" w:sz="0" w:space="0" w:color="auto"/>
            <w:bottom w:val="none" w:sz="0" w:space="0" w:color="auto"/>
            <w:right w:val="none" w:sz="0" w:space="0" w:color="auto"/>
          </w:divBdr>
        </w:div>
        <w:div w:id="1785031783">
          <w:marLeft w:val="0"/>
          <w:marRight w:val="0"/>
          <w:marTop w:val="0"/>
          <w:marBottom w:val="0"/>
          <w:divBdr>
            <w:top w:val="none" w:sz="0" w:space="0" w:color="auto"/>
            <w:left w:val="none" w:sz="0" w:space="0" w:color="auto"/>
            <w:bottom w:val="none" w:sz="0" w:space="0" w:color="auto"/>
            <w:right w:val="none" w:sz="0" w:space="0" w:color="auto"/>
          </w:divBdr>
        </w:div>
      </w:divsChild>
    </w:div>
    <w:div w:id="646587242">
      <w:bodyDiv w:val="1"/>
      <w:marLeft w:val="0"/>
      <w:marRight w:val="0"/>
      <w:marTop w:val="0"/>
      <w:marBottom w:val="0"/>
      <w:divBdr>
        <w:top w:val="none" w:sz="0" w:space="0" w:color="auto"/>
        <w:left w:val="none" w:sz="0" w:space="0" w:color="auto"/>
        <w:bottom w:val="none" w:sz="0" w:space="0" w:color="auto"/>
        <w:right w:val="none" w:sz="0" w:space="0" w:color="auto"/>
      </w:divBdr>
      <w:divsChild>
        <w:div w:id="1514303880">
          <w:marLeft w:val="0"/>
          <w:marRight w:val="0"/>
          <w:marTop w:val="0"/>
          <w:marBottom w:val="0"/>
          <w:divBdr>
            <w:top w:val="none" w:sz="0" w:space="0" w:color="auto"/>
            <w:left w:val="none" w:sz="0" w:space="0" w:color="auto"/>
            <w:bottom w:val="none" w:sz="0" w:space="0" w:color="auto"/>
            <w:right w:val="none" w:sz="0" w:space="0" w:color="auto"/>
          </w:divBdr>
          <w:divsChild>
            <w:div w:id="2035575040">
              <w:marLeft w:val="0"/>
              <w:marRight w:val="0"/>
              <w:marTop w:val="0"/>
              <w:marBottom w:val="0"/>
              <w:divBdr>
                <w:top w:val="none" w:sz="0" w:space="0" w:color="auto"/>
                <w:left w:val="none" w:sz="0" w:space="0" w:color="auto"/>
                <w:bottom w:val="none" w:sz="0" w:space="0" w:color="auto"/>
                <w:right w:val="none" w:sz="0" w:space="0" w:color="auto"/>
              </w:divBdr>
              <w:divsChild>
                <w:div w:id="82454126">
                  <w:marLeft w:val="0"/>
                  <w:marRight w:val="0"/>
                  <w:marTop w:val="0"/>
                  <w:marBottom w:val="0"/>
                  <w:divBdr>
                    <w:top w:val="none" w:sz="0" w:space="0" w:color="auto"/>
                    <w:left w:val="none" w:sz="0" w:space="0" w:color="auto"/>
                    <w:bottom w:val="none" w:sz="0" w:space="0" w:color="auto"/>
                    <w:right w:val="none" w:sz="0" w:space="0" w:color="auto"/>
                  </w:divBdr>
                  <w:divsChild>
                    <w:div w:id="1597861502">
                      <w:marLeft w:val="0"/>
                      <w:marRight w:val="0"/>
                      <w:marTop w:val="0"/>
                      <w:marBottom w:val="0"/>
                      <w:divBdr>
                        <w:top w:val="none" w:sz="0" w:space="0" w:color="auto"/>
                        <w:left w:val="none" w:sz="0" w:space="0" w:color="auto"/>
                        <w:bottom w:val="none" w:sz="0" w:space="0" w:color="auto"/>
                        <w:right w:val="none" w:sz="0" w:space="0" w:color="auto"/>
                      </w:divBdr>
                    </w:div>
                  </w:divsChild>
                </w:div>
                <w:div w:id="871118111">
                  <w:marLeft w:val="0"/>
                  <w:marRight w:val="0"/>
                  <w:marTop w:val="0"/>
                  <w:marBottom w:val="0"/>
                  <w:divBdr>
                    <w:top w:val="none" w:sz="0" w:space="0" w:color="auto"/>
                    <w:left w:val="none" w:sz="0" w:space="0" w:color="auto"/>
                    <w:bottom w:val="none" w:sz="0" w:space="0" w:color="auto"/>
                    <w:right w:val="none" w:sz="0" w:space="0" w:color="auto"/>
                  </w:divBdr>
                  <w:divsChild>
                    <w:div w:id="1769886767">
                      <w:marLeft w:val="0"/>
                      <w:marRight w:val="0"/>
                      <w:marTop w:val="0"/>
                      <w:marBottom w:val="0"/>
                      <w:divBdr>
                        <w:top w:val="none" w:sz="0" w:space="0" w:color="auto"/>
                        <w:left w:val="none" w:sz="0" w:space="0" w:color="auto"/>
                        <w:bottom w:val="none" w:sz="0" w:space="0" w:color="auto"/>
                        <w:right w:val="none" w:sz="0" w:space="0" w:color="auto"/>
                      </w:divBdr>
                    </w:div>
                  </w:divsChild>
                </w:div>
                <w:div w:id="1578437205">
                  <w:marLeft w:val="0"/>
                  <w:marRight w:val="0"/>
                  <w:marTop w:val="0"/>
                  <w:marBottom w:val="0"/>
                  <w:divBdr>
                    <w:top w:val="none" w:sz="0" w:space="0" w:color="auto"/>
                    <w:left w:val="none" w:sz="0" w:space="0" w:color="auto"/>
                    <w:bottom w:val="none" w:sz="0" w:space="0" w:color="auto"/>
                    <w:right w:val="none" w:sz="0" w:space="0" w:color="auto"/>
                  </w:divBdr>
                  <w:divsChild>
                    <w:div w:id="1098138314">
                      <w:marLeft w:val="0"/>
                      <w:marRight w:val="0"/>
                      <w:marTop w:val="0"/>
                      <w:marBottom w:val="0"/>
                      <w:divBdr>
                        <w:top w:val="none" w:sz="0" w:space="0" w:color="auto"/>
                        <w:left w:val="none" w:sz="0" w:space="0" w:color="auto"/>
                        <w:bottom w:val="none" w:sz="0" w:space="0" w:color="auto"/>
                        <w:right w:val="none" w:sz="0" w:space="0" w:color="auto"/>
                      </w:divBdr>
                    </w:div>
                  </w:divsChild>
                </w:div>
                <w:div w:id="1740668258">
                  <w:marLeft w:val="0"/>
                  <w:marRight w:val="0"/>
                  <w:marTop w:val="0"/>
                  <w:marBottom w:val="0"/>
                  <w:divBdr>
                    <w:top w:val="none" w:sz="0" w:space="0" w:color="auto"/>
                    <w:left w:val="none" w:sz="0" w:space="0" w:color="auto"/>
                    <w:bottom w:val="none" w:sz="0" w:space="0" w:color="auto"/>
                    <w:right w:val="none" w:sz="0" w:space="0" w:color="auto"/>
                  </w:divBdr>
                  <w:divsChild>
                    <w:div w:id="10353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5691">
      <w:bodyDiv w:val="1"/>
      <w:marLeft w:val="0"/>
      <w:marRight w:val="0"/>
      <w:marTop w:val="0"/>
      <w:marBottom w:val="0"/>
      <w:divBdr>
        <w:top w:val="none" w:sz="0" w:space="0" w:color="auto"/>
        <w:left w:val="none" w:sz="0" w:space="0" w:color="auto"/>
        <w:bottom w:val="none" w:sz="0" w:space="0" w:color="auto"/>
        <w:right w:val="none" w:sz="0" w:space="0" w:color="auto"/>
      </w:divBdr>
      <w:divsChild>
        <w:div w:id="2102750262">
          <w:marLeft w:val="0"/>
          <w:marRight w:val="0"/>
          <w:marTop w:val="0"/>
          <w:marBottom w:val="0"/>
          <w:divBdr>
            <w:top w:val="none" w:sz="0" w:space="0" w:color="auto"/>
            <w:left w:val="none" w:sz="0" w:space="0" w:color="auto"/>
            <w:bottom w:val="none" w:sz="0" w:space="0" w:color="auto"/>
            <w:right w:val="none" w:sz="0" w:space="0" w:color="auto"/>
          </w:divBdr>
        </w:div>
        <w:div w:id="2115467877">
          <w:marLeft w:val="0"/>
          <w:marRight w:val="0"/>
          <w:marTop w:val="0"/>
          <w:marBottom w:val="0"/>
          <w:divBdr>
            <w:top w:val="none" w:sz="0" w:space="0" w:color="auto"/>
            <w:left w:val="none" w:sz="0" w:space="0" w:color="auto"/>
            <w:bottom w:val="none" w:sz="0" w:space="0" w:color="auto"/>
            <w:right w:val="none" w:sz="0" w:space="0" w:color="auto"/>
          </w:divBdr>
        </w:div>
      </w:divsChild>
    </w:div>
    <w:div w:id="671562907">
      <w:bodyDiv w:val="1"/>
      <w:marLeft w:val="0"/>
      <w:marRight w:val="0"/>
      <w:marTop w:val="0"/>
      <w:marBottom w:val="0"/>
      <w:divBdr>
        <w:top w:val="none" w:sz="0" w:space="0" w:color="auto"/>
        <w:left w:val="none" w:sz="0" w:space="0" w:color="auto"/>
        <w:bottom w:val="none" w:sz="0" w:space="0" w:color="auto"/>
        <w:right w:val="none" w:sz="0" w:space="0" w:color="auto"/>
      </w:divBdr>
      <w:divsChild>
        <w:div w:id="1381444695">
          <w:marLeft w:val="0"/>
          <w:marRight w:val="0"/>
          <w:marTop w:val="0"/>
          <w:marBottom w:val="0"/>
          <w:divBdr>
            <w:top w:val="none" w:sz="0" w:space="0" w:color="auto"/>
            <w:left w:val="none" w:sz="0" w:space="0" w:color="auto"/>
            <w:bottom w:val="none" w:sz="0" w:space="0" w:color="auto"/>
            <w:right w:val="none" w:sz="0" w:space="0" w:color="auto"/>
          </w:divBdr>
          <w:divsChild>
            <w:div w:id="900554864">
              <w:marLeft w:val="0"/>
              <w:marRight w:val="0"/>
              <w:marTop w:val="0"/>
              <w:marBottom w:val="0"/>
              <w:divBdr>
                <w:top w:val="none" w:sz="0" w:space="0" w:color="auto"/>
                <w:left w:val="none" w:sz="0" w:space="0" w:color="auto"/>
                <w:bottom w:val="none" w:sz="0" w:space="0" w:color="auto"/>
                <w:right w:val="none" w:sz="0" w:space="0" w:color="auto"/>
              </w:divBdr>
              <w:divsChild>
                <w:div w:id="858660707">
                  <w:marLeft w:val="0"/>
                  <w:marRight w:val="0"/>
                  <w:marTop w:val="0"/>
                  <w:marBottom w:val="0"/>
                  <w:divBdr>
                    <w:top w:val="none" w:sz="0" w:space="0" w:color="auto"/>
                    <w:left w:val="none" w:sz="0" w:space="0" w:color="auto"/>
                    <w:bottom w:val="none" w:sz="0" w:space="0" w:color="auto"/>
                    <w:right w:val="none" w:sz="0" w:space="0" w:color="auto"/>
                  </w:divBdr>
                  <w:divsChild>
                    <w:div w:id="3063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0037">
      <w:bodyDiv w:val="1"/>
      <w:marLeft w:val="0"/>
      <w:marRight w:val="0"/>
      <w:marTop w:val="0"/>
      <w:marBottom w:val="0"/>
      <w:divBdr>
        <w:top w:val="none" w:sz="0" w:space="0" w:color="auto"/>
        <w:left w:val="none" w:sz="0" w:space="0" w:color="auto"/>
        <w:bottom w:val="none" w:sz="0" w:space="0" w:color="auto"/>
        <w:right w:val="none" w:sz="0" w:space="0" w:color="auto"/>
      </w:divBdr>
      <w:divsChild>
        <w:div w:id="1730495604">
          <w:marLeft w:val="0"/>
          <w:marRight w:val="0"/>
          <w:marTop w:val="0"/>
          <w:marBottom w:val="0"/>
          <w:divBdr>
            <w:top w:val="none" w:sz="0" w:space="0" w:color="auto"/>
            <w:left w:val="none" w:sz="0" w:space="0" w:color="auto"/>
            <w:bottom w:val="none" w:sz="0" w:space="0" w:color="auto"/>
            <w:right w:val="none" w:sz="0" w:space="0" w:color="auto"/>
          </w:divBdr>
          <w:divsChild>
            <w:div w:id="1038970707">
              <w:marLeft w:val="0"/>
              <w:marRight w:val="0"/>
              <w:marTop w:val="0"/>
              <w:marBottom w:val="0"/>
              <w:divBdr>
                <w:top w:val="none" w:sz="0" w:space="0" w:color="auto"/>
                <w:left w:val="none" w:sz="0" w:space="0" w:color="auto"/>
                <w:bottom w:val="none" w:sz="0" w:space="0" w:color="auto"/>
                <w:right w:val="none" w:sz="0" w:space="0" w:color="auto"/>
              </w:divBdr>
              <w:divsChild>
                <w:div w:id="677270632">
                  <w:marLeft w:val="0"/>
                  <w:marRight w:val="0"/>
                  <w:marTop w:val="0"/>
                  <w:marBottom w:val="0"/>
                  <w:divBdr>
                    <w:top w:val="none" w:sz="0" w:space="0" w:color="auto"/>
                    <w:left w:val="none" w:sz="0" w:space="0" w:color="auto"/>
                    <w:bottom w:val="none" w:sz="0" w:space="0" w:color="auto"/>
                    <w:right w:val="none" w:sz="0" w:space="0" w:color="auto"/>
                  </w:divBdr>
                  <w:divsChild>
                    <w:div w:id="14318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31112">
      <w:bodyDiv w:val="1"/>
      <w:marLeft w:val="0"/>
      <w:marRight w:val="0"/>
      <w:marTop w:val="0"/>
      <w:marBottom w:val="0"/>
      <w:divBdr>
        <w:top w:val="none" w:sz="0" w:space="0" w:color="auto"/>
        <w:left w:val="none" w:sz="0" w:space="0" w:color="auto"/>
        <w:bottom w:val="none" w:sz="0" w:space="0" w:color="auto"/>
        <w:right w:val="none" w:sz="0" w:space="0" w:color="auto"/>
      </w:divBdr>
    </w:div>
    <w:div w:id="743449377">
      <w:bodyDiv w:val="1"/>
      <w:marLeft w:val="0"/>
      <w:marRight w:val="0"/>
      <w:marTop w:val="0"/>
      <w:marBottom w:val="0"/>
      <w:divBdr>
        <w:top w:val="none" w:sz="0" w:space="0" w:color="auto"/>
        <w:left w:val="none" w:sz="0" w:space="0" w:color="auto"/>
        <w:bottom w:val="none" w:sz="0" w:space="0" w:color="auto"/>
        <w:right w:val="none" w:sz="0" w:space="0" w:color="auto"/>
      </w:divBdr>
      <w:divsChild>
        <w:div w:id="1832601599">
          <w:marLeft w:val="0"/>
          <w:marRight w:val="0"/>
          <w:marTop w:val="0"/>
          <w:marBottom w:val="0"/>
          <w:divBdr>
            <w:top w:val="none" w:sz="0" w:space="0" w:color="auto"/>
            <w:left w:val="none" w:sz="0" w:space="0" w:color="auto"/>
            <w:bottom w:val="none" w:sz="0" w:space="0" w:color="auto"/>
            <w:right w:val="none" w:sz="0" w:space="0" w:color="auto"/>
          </w:divBdr>
          <w:divsChild>
            <w:div w:id="40978847">
              <w:marLeft w:val="0"/>
              <w:marRight w:val="0"/>
              <w:marTop w:val="0"/>
              <w:marBottom w:val="0"/>
              <w:divBdr>
                <w:top w:val="none" w:sz="0" w:space="0" w:color="auto"/>
                <w:left w:val="none" w:sz="0" w:space="0" w:color="auto"/>
                <w:bottom w:val="none" w:sz="0" w:space="0" w:color="auto"/>
                <w:right w:val="none" w:sz="0" w:space="0" w:color="auto"/>
              </w:divBdr>
              <w:divsChild>
                <w:div w:id="500198574">
                  <w:marLeft w:val="0"/>
                  <w:marRight w:val="0"/>
                  <w:marTop w:val="0"/>
                  <w:marBottom w:val="0"/>
                  <w:divBdr>
                    <w:top w:val="none" w:sz="0" w:space="0" w:color="auto"/>
                    <w:left w:val="none" w:sz="0" w:space="0" w:color="auto"/>
                    <w:bottom w:val="none" w:sz="0" w:space="0" w:color="auto"/>
                    <w:right w:val="none" w:sz="0" w:space="0" w:color="auto"/>
                  </w:divBdr>
                  <w:divsChild>
                    <w:div w:id="5771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6319">
              <w:marLeft w:val="0"/>
              <w:marRight w:val="0"/>
              <w:marTop w:val="0"/>
              <w:marBottom w:val="0"/>
              <w:divBdr>
                <w:top w:val="none" w:sz="0" w:space="0" w:color="auto"/>
                <w:left w:val="none" w:sz="0" w:space="0" w:color="auto"/>
                <w:bottom w:val="none" w:sz="0" w:space="0" w:color="auto"/>
                <w:right w:val="none" w:sz="0" w:space="0" w:color="auto"/>
              </w:divBdr>
              <w:divsChild>
                <w:div w:id="1514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6053">
      <w:bodyDiv w:val="1"/>
      <w:marLeft w:val="0"/>
      <w:marRight w:val="0"/>
      <w:marTop w:val="0"/>
      <w:marBottom w:val="0"/>
      <w:divBdr>
        <w:top w:val="none" w:sz="0" w:space="0" w:color="auto"/>
        <w:left w:val="none" w:sz="0" w:space="0" w:color="auto"/>
        <w:bottom w:val="none" w:sz="0" w:space="0" w:color="auto"/>
        <w:right w:val="none" w:sz="0" w:space="0" w:color="auto"/>
      </w:divBdr>
      <w:divsChild>
        <w:div w:id="31658786">
          <w:marLeft w:val="0"/>
          <w:marRight w:val="0"/>
          <w:marTop w:val="0"/>
          <w:marBottom w:val="0"/>
          <w:divBdr>
            <w:top w:val="none" w:sz="0" w:space="0" w:color="auto"/>
            <w:left w:val="none" w:sz="0" w:space="0" w:color="auto"/>
            <w:bottom w:val="none" w:sz="0" w:space="0" w:color="auto"/>
            <w:right w:val="none" w:sz="0" w:space="0" w:color="auto"/>
          </w:divBdr>
        </w:div>
        <w:div w:id="67073644">
          <w:marLeft w:val="0"/>
          <w:marRight w:val="0"/>
          <w:marTop w:val="0"/>
          <w:marBottom w:val="0"/>
          <w:divBdr>
            <w:top w:val="none" w:sz="0" w:space="0" w:color="auto"/>
            <w:left w:val="none" w:sz="0" w:space="0" w:color="auto"/>
            <w:bottom w:val="none" w:sz="0" w:space="0" w:color="auto"/>
            <w:right w:val="none" w:sz="0" w:space="0" w:color="auto"/>
          </w:divBdr>
        </w:div>
        <w:div w:id="176962773">
          <w:marLeft w:val="0"/>
          <w:marRight w:val="0"/>
          <w:marTop w:val="0"/>
          <w:marBottom w:val="0"/>
          <w:divBdr>
            <w:top w:val="none" w:sz="0" w:space="0" w:color="auto"/>
            <w:left w:val="none" w:sz="0" w:space="0" w:color="auto"/>
            <w:bottom w:val="none" w:sz="0" w:space="0" w:color="auto"/>
            <w:right w:val="none" w:sz="0" w:space="0" w:color="auto"/>
          </w:divBdr>
        </w:div>
        <w:div w:id="362751751">
          <w:marLeft w:val="0"/>
          <w:marRight w:val="0"/>
          <w:marTop w:val="0"/>
          <w:marBottom w:val="0"/>
          <w:divBdr>
            <w:top w:val="none" w:sz="0" w:space="0" w:color="auto"/>
            <w:left w:val="none" w:sz="0" w:space="0" w:color="auto"/>
            <w:bottom w:val="none" w:sz="0" w:space="0" w:color="auto"/>
            <w:right w:val="none" w:sz="0" w:space="0" w:color="auto"/>
          </w:divBdr>
        </w:div>
        <w:div w:id="468016914">
          <w:marLeft w:val="0"/>
          <w:marRight w:val="0"/>
          <w:marTop w:val="0"/>
          <w:marBottom w:val="0"/>
          <w:divBdr>
            <w:top w:val="none" w:sz="0" w:space="0" w:color="auto"/>
            <w:left w:val="none" w:sz="0" w:space="0" w:color="auto"/>
            <w:bottom w:val="none" w:sz="0" w:space="0" w:color="auto"/>
            <w:right w:val="none" w:sz="0" w:space="0" w:color="auto"/>
          </w:divBdr>
        </w:div>
        <w:div w:id="576748983">
          <w:marLeft w:val="0"/>
          <w:marRight w:val="0"/>
          <w:marTop w:val="0"/>
          <w:marBottom w:val="0"/>
          <w:divBdr>
            <w:top w:val="none" w:sz="0" w:space="0" w:color="auto"/>
            <w:left w:val="none" w:sz="0" w:space="0" w:color="auto"/>
            <w:bottom w:val="none" w:sz="0" w:space="0" w:color="auto"/>
            <w:right w:val="none" w:sz="0" w:space="0" w:color="auto"/>
          </w:divBdr>
        </w:div>
        <w:div w:id="639043829">
          <w:marLeft w:val="0"/>
          <w:marRight w:val="0"/>
          <w:marTop w:val="0"/>
          <w:marBottom w:val="0"/>
          <w:divBdr>
            <w:top w:val="none" w:sz="0" w:space="0" w:color="auto"/>
            <w:left w:val="none" w:sz="0" w:space="0" w:color="auto"/>
            <w:bottom w:val="none" w:sz="0" w:space="0" w:color="auto"/>
            <w:right w:val="none" w:sz="0" w:space="0" w:color="auto"/>
          </w:divBdr>
        </w:div>
        <w:div w:id="692995200">
          <w:marLeft w:val="0"/>
          <w:marRight w:val="0"/>
          <w:marTop w:val="0"/>
          <w:marBottom w:val="0"/>
          <w:divBdr>
            <w:top w:val="none" w:sz="0" w:space="0" w:color="auto"/>
            <w:left w:val="none" w:sz="0" w:space="0" w:color="auto"/>
            <w:bottom w:val="none" w:sz="0" w:space="0" w:color="auto"/>
            <w:right w:val="none" w:sz="0" w:space="0" w:color="auto"/>
          </w:divBdr>
        </w:div>
        <w:div w:id="699548802">
          <w:marLeft w:val="0"/>
          <w:marRight w:val="0"/>
          <w:marTop w:val="0"/>
          <w:marBottom w:val="0"/>
          <w:divBdr>
            <w:top w:val="none" w:sz="0" w:space="0" w:color="auto"/>
            <w:left w:val="none" w:sz="0" w:space="0" w:color="auto"/>
            <w:bottom w:val="none" w:sz="0" w:space="0" w:color="auto"/>
            <w:right w:val="none" w:sz="0" w:space="0" w:color="auto"/>
          </w:divBdr>
        </w:div>
        <w:div w:id="794447573">
          <w:marLeft w:val="0"/>
          <w:marRight w:val="0"/>
          <w:marTop w:val="0"/>
          <w:marBottom w:val="0"/>
          <w:divBdr>
            <w:top w:val="none" w:sz="0" w:space="0" w:color="auto"/>
            <w:left w:val="none" w:sz="0" w:space="0" w:color="auto"/>
            <w:bottom w:val="none" w:sz="0" w:space="0" w:color="auto"/>
            <w:right w:val="none" w:sz="0" w:space="0" w:color="auto"/>
          </w:divBdr>
        </w:div>
        <w:div w:id="848912301">
          <w:marLeft w:val="0"/>
          <w:marRight w:val="0"/>
          <w:marTop w:val="0"/>
          <w:marBottom w:val="0"/>
          <w:divBdr>
            <w:top w:val="none" w:sz="0" w:space="0" w:color="auto"/>
            <w:left w:val="none" w:sz="0" w:space="0" w:color="auto"/>
            <w:bottom w:val="none" w:sz="0" w:space="0" w:color="auto"/>
            <w:right w:val="none" w:sz="0" w:space="0" w:color="auto"/>
          </w:divBdr>
        </w:div>
        <w:div w:id="1069883438">
          <w:marLeft w:val="0"/>
          <w:marRight w:val="0"/>
          <w:marTop w:val="0"/>
          <w:marBottom w:val="0"/>
          <w:divBdr>
            <w:top w:val="none" w:sz="0" w:space="0" w:color="auto"/>
            <w:left w:val="none" w:sz="0" w:space="0" w:color="auto"/>
            <w:bottom w:val="none" w:sz="0" w:space="0" w:color="auto"/>
            <w:right w:val="none" w:sz="0" w:space="0" w:color="auto"/>
          </w:divBdr>
        </w:div>
        <w:div w:id="1194881464">
          <w:marLeft w:val="0"/>
          <w:marRight w:val="0"/>
          <w:marTop w:val="0"/>
          <w:marBottom w:val="0"/>
          <w:divBdr>
            <w:top w:val="none" w:sz="0" w:space="0" w:color="auto"/>
            <w:left w:val="none" w:sz="0" w:space="0" w:color="auto"/>
            <w:bottom w:val="none" w:sz="0" w:space="0" w:color="auto"/>
            <w:right w:val="none" w:sz="0" w:space="0" w:color="auto"/>
          </w:divBdr>
        </w:div>
        <w:div w:id="1253124404">
          <w:marLeft w:val="0"/>
          <w:marRight w:val="0"/>
          <w:marTop w:val="0"/>
          <w:marBottom w:val="0"/>
          <w:divBdr>
            <w:top w:val="none" w:sz="0" w:space="0" w:color="auto"/>
            <w:left w:val="none" w:sz="0" w:space="0" w:color="auto"/>
            <w:bottom w:val="none" w:sz="0" w:space="0" w:color="auto"/>
            <w:right w:val="none" w:sz="0" w:space="0" w:color="auto"/>
          </w:divBdr>
        </w:div>
        <w:div w:id="1284730994">
          <w:marLeft w:val="0"/>
          <w:marRight w:val="0"/>
          <w:marTop w:val="0"/>
          <w:marBottom w:val="0"/>
          <w:divBdr>
            <w:top w:val="none" w:sz="0" w:space="0" w:color="auto"/>
            <w:left w:val="none" w:sz="0" w:space="0" w:color="auto"/>
            <w:bottom w:val="none" w:sz="0" w:space="0" w:color="auto"/>
            <w:right w:val="none" w:sz="0" w:space="0" w:color="auto"/>
          </w:divBdr>
        </w:div>
        <w:div w:id="1305697175">
          <w:marLeft w:val="0"/>
          <w:marRight w:val="0"/>
          <w:marTop w:val="0"/>
          <w:marBottom w:val="0"/>
          <w:divBdr>
            <w:top w:val="none" w:sz="0" w:space="0" w:color="auto"/>
            <w:left w:val="none" w:sz="0" w:space="0" w:color="auto"/>
            <w:bottom w:val="none" w:sz="0" w:space="0" w:color="auto"/>
            <w:right w:val="none" w:sz="0" w:space="0" w:color="auto"/>
          </w:divBdr>
        </w:div>
        <w:div w:id="1354457924">
          <w:marLeft w:val="0"/>
          <w:marRight w:val="0"/>
          <w:marTop w:val="0"/>
          <w:marBottom w:val="0"/>
          <w:divBdr>
            <w:top w:val="none" w:sz="0" w:space="0" w:color="auto"/>
            <w:left w:val="none" w:sz="0" w:space="0" w:color="auto"/>
            <w:bottom w:val="none" w:sz="0" w:space="0" w:color="auto"/>
            <w:right w:val="none" w:sz="0" w:space="0" w:color="auto"/>
          </w:divBdr>
        </w:div>
        <w:div w:id="1372850160">
          <w:marLeft w:val="0"/>
          <w:marRight w:val="0"/>
          <w:marTop w:val="0"/>
          <w:marBottom w:val="0"/>
          <w:divBdr>
            <w:top w:val="none" w:sz="0" w:space="0" w:color="auto"/>
            <w:left w:val="none" w:sz="0" w:space="0" w:color="auto"/>
            <w:bottom w:val="none" w:sz="0" w:space="0" w:color="auto"/>
            <w:right w:val="none" w:sz="0" w:space="0" w:color="auto"/>
          </w:divBdr>
        </w:div>
        <w:div w:id="1378624533">
          <w:marLeft w:val="0"/>
          <w:marRight w:val="0"/>
          <w:marTop w:val="0"/>
          <w:marBottom w:val="0"/>
          <w:divBdr>
            <w:top w:val="none" w:sz="0" w:space="0" w:color="auto"/>
            <w:left w:val="none" w:sz="0" w:space="0" w:color="auto"/>
            <w:bottom w:val="none" w:sz="0" w:space="0" w:color="auto"/>
            <w:right w:val="none" w:sz="0" w:space="0" w:color="auto"/>
          </w:divBdr>
        </w:div>
        <w:div w:id="1479877094">
          <w:marLeft w:val="0"/>
          <w:marRight w:val="0"/>
          <w:marTop w:val="0"/>
          <w:marBottom w:val="0"/>
          <w:divBdr>
            <w:top w:val="none" w:sz="0" w:space="0" w:color="auto"/>
            <w:left w:val="none" w:sz="0" w:space="0" w:color="auto"/>
            <w:bottom w:val="none" w:sz="0" w:space="0" w:color="auto"/>
            <w:right w:val="none" w:sz="0" w:space="0" w:color="auto"/>
          </w:divBdr>
        </w:div>
        <w:div w:id="1490632699">
          <w:marLeft w:val="0"/>
          <w:marRight w:val="0"/>
          <w:marTop w:val="0"/>
          <w:marBottom w:val="0"/>
          <w:divBdr>
            <w:top w:val="none" w:sz="0" w:space="0" w:color="auto"/>
            <w:left w:val="none" w:sz="0" w:space="0" w:color="auto"/>
            <w:bottom w:val="none" w:sz="0" w:space="0" w:color="auto"/>
            <w:right w:val="none" w:sz="0" w:space="0" w:color="auto"/>
          </w:divBdr>
        </w:div>
        <w:div w:id="1588926143">
          <w:marLeft w:val="0"/>
          <w:marRight w:val="0"/>
          <w:marTop w:val="0"/>
          <w:marBottom w:val="0"/>
          <w:divBdr>
            <w:top w:val="none" w:sz="0" w:space="0" w:color="auto"/>
            <w:left w:val="none" w:sz="0" w:space="0" w:color="auto"/>
            <w:bottom w:val="none" w:sz="0" w:space="0" w:color="auto"/>
            <w:right w:val="none" w:sz="0" w:space="0" w:color="auto"/>
          </w:divBdr>
        </w:div>
        <w:div w:id="1598250746">
          <w:marLeft w:val="0"/>
          <w:marRight w:val="0"/>
          <w:marTop w:val="0"/>
          <w:marBottom w:val="0"/>
          <w:divBdr>
            <w:top w:val="none" w:sz="0" w:space="0" w:color="auto"/>
            <w:left w:val="none" w:sz="0" w:space="0" w:color="auto"/>
            <w:bottom w:val="none" w:sz="0" w:space="0" w:color="auto"/>
            <w:right w:val="none" w:sz="0" w:space="0" w:color="auto"/>
          </w:divBdr>
        </w:div>
        <w:div w:id="1664968918">
          <w:marLeft w:val="0"/>
          <w:marRight w:val="0"/>
          <w:marTop w:val="0"/>
          <w:marBottom w:val="0"/>
          <w:divBdr>
            <w:top w:val="none" w:sz="0" w:space="0" w:color="auto"/>
            <w:left w:val="none" w:sz="0" w:space="0" w:color="auto"/>
            <w:bottom w:val="none" w:sz="0" w:space="0" w:color="auto"/>
            <w:right w:val="none" w:sz="0" w:space="0" w:color="auto"/>
          </w:divBdr>
        </w:div>
        <w:div w:id="1682658100">
          <w:marLeft w:val="0"/>
          <w:marRight w:val="0"/>
          <w:marTop w:val="0"/>
          <w:marBottom w:val="0"/>
          <w:divBdr>
            <w:top w:val="none" w:sz="0" w:space="0" w:color="auto"/>
            <w:left w:val="none" w:sz="0" w:space="0" w:color="auto"/>
            <w:bottom w:val="none" w:sz="0" w:space="0" w:color="auto"/>
            <w:right w:val="none" w:sz="0" w:space="0" w:color="auto"/>
          </w:divBdr>
        </w:div>
        <w:div w:id="1813979087">
          <w:marLeft w:val="0"/>
          <w:marRight w:val="0"/>
          <w:marTop w:val="0"/>
          <w:marBottom w:val="0"/>
          <w:divBdr>
            <w:top w:val="none" w:sz="0" w:space="0" w:color="auto"/>
            <w:left w:val="none" w:sz="0" w:space="0" w:color="auto"/>
            <w:bottom w:val="none" w:sz="0" w:space="0" w:color="auto"/>
            <w:right w:val="none" w:sz="0" w:space="0" w:color="auto"/>
          </w:divBdr>
        </w:div>
        <w:div w:id="1916695588">
          <w:marLeft w:val="0"/>
          <w:marRight w:val="0"/>
          <w:marTop w:val="0"/>
          <w:marBottom w:val="0"/>
          <w:divBdr>
            <w:top w:val="none" w:sz="0" w:space="0" w:color="auto"/>
            <w:left w:val="none" w:sz="0" w:space="0" w:color="auto"/>
            <w:bottom w:val="none" w:sz="0" w:space="0" w:color="auto"/>
            <w:right w:val="none" w:sz="0" w:space="0" w:color="auto"/>
          </w:divBdr>
        </w:div>
        <w:div w:id="1926303747">
          <w:marLeft w:val="0"/>
          <w:marRight w:val="0"/>
          <w:marTop w:val="0"/>
          <w:marBottom w:val="0"/>
          <w:divBdr>
            <w:top w:val="none" w:sz="0" w:space="0" w:color="auto"/>
            <w:left w:val="none" w:sz="0" w:space="0" w:color="auto"/>
            <w:bottom w:val="none" w:sz="0" w:space="0" w:color="auto"/>
            <w:right w:val="none" w:sz="0" w:space="0" w:color="auto"/>
          </w:divBdr>
        </w:div>
        <w:div w:id="2049648531">
          <w:marLeft w:val="0"/>
          <w:marRight w:val="0"/>
          <w:marTop w:val="0"/>
          <w:marBottom w:val="0"/>
          <w:divBdr>
            <w:top w:val="none" w:sz="0" w:space="0" w:color="auto"/>
            <w:left w:val="none" w:sz="0" w:space="0" w:color="auto"/>
            <w:bottom w:val="none" w:sz="0" w:space="0" w:color="auto"/>
            <w:right w:val="none" w:sz="0" w:space="0" w:color="auto"/>
          </w:divBdr>
        </w:div>
      </w:divsChild>
    </w:div>
    <w:div w:id="839735575">
      <w:bodyDiv w:val="1"/>
      <w:marLeft w:val="0"/>
      <w:marRight w:val="0"/>
      <w:marTop w:val="0"/>
      <w:marBottom w:val="0"/>
      <w:divBdr>
        <w:top w:val="none" w:sz="0" w:space="0" w:color="auto"/>
        <w:left w:val="none" w:sz="0" w:space="0" w:color="auto"/>
        <w:bottom w:val="none" w:sz="0" w:space="0" w:color="auto"/>
        <w:right w:val="none" w:sz="0" w:space="0" w:color="auto"/>
      </w:divBdr>
      <w:divsChild>
        <w:div w:id="1214581352">
          <w:marLeft w:val="0"/>
          <w:marRight w:val="0"/>
          <w:marTop w:val="0"/>
          <w:marBottom w:val="0"/>
          <w:divBdr>
            <w:top w:val="none" w:sz="0" w:space="0" w:color="auto"/>
            <w:left w:val="none" w:sz="0" w:space="0" w:color="auto"/>
            <w:bottom w:val="none" w:sz="0" w:space="0" w:color="auto"/>
            <w:right w:val="none" w:sz="0" w:space="0" w:color="auto"/>
          </w:divBdr>
        </w:div>
        <w:div w:id="1268849640">
          <w:marLeft w:val="0"/>
          <w:marRight w:val="0"/>
          <w:marTop w:val="0"/>
          <w:marBottom w:val="0"/>
          <w:divBdr>
            <w:top w:val="none" w:sz="0" w:space="0" w:color="auto"/>
            <w:left w:val="none" w:sz="0" w:space="0" w:color="auto"/>
            <w:bottom w:val="none" w:sz="0" w:space="0" w:color="auto"/>
            <w:right w:val="none" w:sz="0" w:space="0" w:color="auto"/>
          </w:divBdr>
        </w:div>
      </w:divsChild>
    </w:div>
    <w:div w:id="916866047">
      <w:bodyDiv w:val="1"/>
      <w:marLeft w:val="0"/>
      <w:marRight w:val="0"/>
      <w:marTop w:val="0"/>
      <w:marBottom w:val="0"/>
      <w:divBdr>
        <w:top w:val="none" w:sz="0" w:space="0" w:color="auto"/>
        <w:left w:val="none" w:sz="0" w:space="0" w:color="auto"/>
        <w:bottom w:val="none" w:sz="0" w:space="0" w:color="auto"/>
        <w:right w:val="none" w:sz="0" w:space="0" w:color="auto"/>
      </w:divBdr>
      <w:divsChild>
        <w:div w:id="17900804">
          <w:marLeft w:val="0"/>
          <w:marRight w:val="0"/>
          <w:marTop w:val="0"/>
          <w:marBottom w:val="0"/>
          <w:divBdr>
            <w:top w:val="none" w:sz="0" w:space="0" w:color="auto"/>
            <w:left w:val="none" w:sz="0" w:space="0" w:color="auto"/>
            <w:bottom w:val="none" w:sz="0" w:space="0" w:color="auto"/>
            <w:right w:val="none" w:sz="0" w:space="0" w:color="auto"/>
          </w:divBdr>
        </w:div>
        <w:div w:id="66653166">
          <w:marLeft w:val="0"/>
          <w:marRight w:val="0"/>
          <w:marTop w:val="0"/>
          <w:marBottom w:val="0"/>
          <w:divBdr>
            <w:top w:val="none" w:sz="0" w:space="0" w:color="auto"/>
            <w:left w:val="none" w:sz="0" w:space="0" w:color="auto"/>
            <w:bottom w:val="none" w:sz="0" w:space="0" w:color="auto"/>
            <w:right w:val="none" w:sz="0" w:space="0" w:color="auto"/>
          </w:divBdr>
        </w:div>
        <w:div w:id="115486513">
          <w:marLeft w:val="0"/>
          <w:marRight w:val="0"/>
          <w:marTop w:val="0"/>
          <w:marBottom w:val="0"/>
          <w:divBdr>
            <w:top w:val="none" w:sz="0" w:space="0" w:color="auto"/>
            <w:left w:val="none" w:sz="0" w:space="0" w:color="auto"/>
            <w:bottom w:val="none" w:sz="0" w:space="0" w:color="auto"/>
            <w:right w:val="none" w:sz="0" w:space="0" w:color="auto"/>
          </w:divBdr>
        </w:div>
        <w:div w:id="130947288">
          <w:marLeft w:val="0"/>
          <w:marRight w:val="0"/>
          <w:marTop w:val="0"/>
          <w:marBottom w:val="0"/>
          <w:divBdr>
            <w:top w:val="none" w:sz="0" w:space="0" w:color="auto"/>
            <w:left w:val="none" w:sz="0" w:space="0" w:color="auto"/>
            <w:bottom w:val="none" w:sz="0" w:space="0" w:color="auto"/>
            <w:right w:val="none" w:sz="0" w:space="0" w:color="auto"/>
          </w:divBdr>
        </w:div>
        <w:div w:id="165093386">
          <w:marLeft w:val="0"/>
          <w:marRight w:val="0"/>
          <w:marTop w:val="0"/>
          <w:marBottom w:val="0"/>
          <w:divBdr>
            <w:top w:val="none" w:sz="0" w:space="0" w:color="auto"/>
            <w:left w:val="none" w:sz="0" w:space="0" w:color="auto"/>
            <w:bottom w:val="none" w:sz="0" w:space="0" w:color="auto"/>
            <w:right w:val="none" w:sz="0" w:space="0" w:color="auto"/>
          </w:divBdr>
        </w:div>
        <w:div w:id="318536007">
          <w:marLeft w:val="0"/>
          <w:marRight w:val="0"/>
          <w:marTop w:val="0"/>
          <w:marBottom w:val="0"/>
          <w:divBdr>
            <w:top w:val="none" w:sz="0" w:space="0" w:color="auto"/>
            <w:left w:val="none" w:sz="0" w:space="0" w:color="auto"/>
            <w:bottom w:val="none" w:sz="0" w:space="0" w:color="auto"/>
            <w:right w:val="none" w:sz="0" w:space="0" w:color="auto"/>
          </w:divBdr>
        </w:div>
        <w:div w:id="328484885">
          <w:marLeft w:val="0"/>
          <w:marRight w:val="0"/>
          <w:marTop w:val="0"/>
          <w:marBottom w:val="0"/>
          <w:divBdr>
            <w:top w:val="none" w:sz="0" w:space="0" w:color="auto"/>
            <w:left w:val="none" w:sz="0" w:space="0" w:color="auto"/>
            <w:bottom w:val="none" w:sz="0" w:space="0" w:color="auto"/>
            <w:right w:val="none" w:sz="0" w:space="0" w:color="auto"/>
          </w:divBdr>
        </w:div>
        <w:div w:id="450826934">
          <w:marLeft w:val="0"/>
          <w:marRight w:val="0"/>
          <w:marTop w:val="0"/>
          <w:marBottom w:val="0"/>
          <w:divBdr>
            <w:top w:val="none" w:sz="0" w:space="0" w:color="auto"/>
            <w:left w:val="none" w:sz="0" w:space="0" w:color="auto"/>
            <w:bottom w:val="none" w:sz="0" w:space="0" w:color="auto"/>
            <w:right w:val="none" w:sz="0" w:space="0" w:color="auto"/>
          </w:divBdr>
        </w:div>
        <w:div w:id="456684205">
          <w:marLeft w:val="0"/>
          <w:marRight w:val="0"/>
          <w:marTop w:val="0"/>
          <w:marBottom w:val="0"/>
          <w:divBdr>
            <w:top w:val="none" w:sz="0" w:space="0" w:color="auto"/>
            <w:left w:val="none" w:sz="0" w:space="0" w:color="auto"/>
            <w:bottom w:val="none" w:sz="0" w:space="0" w:color="auto"/>
            <w:right w:val="none" w:sz="0" w:space="0" w:color="auto"/>
          </w:divBdr>
        </w:div>
        <w:div w:id="490682091">
          <w:marLeft w:val="0"/>
          <w:marRight w:val="0"/>
          <w:marTop w:val="0"/>
          <w:marBottom w:val="0"/>
          <w:divBdr>
            <w:top w:val="none" w:sz="0" w:space="0" w:color="auto"/>
            <w:left w:val="none" w:sz="0" w:space="0" w:color="auto"/>
            <w:bottom w:val="none" w:sz="0" w:space="0" w:color="auto"/>
            <w:right w:val="none" w:sz="0" w:space="0" w:color="auto"/>
          </w:divBdr>
        </w:div>
        <w:div w:id="501049702">
          <w:marLeft w:val="0"/>
          <w:marRight w:val="0"/>
          <w:marTop w:val="0"/>
          <w:marBottom w:val="0"/>
          <w:divBdr>
            <w:top w:val="none" w:sz="0" w:space="0" w:color="auto"/>
            <w:left w:val="none" w:sz="0" w:space="0" w:color="auto"/>
            <w:bottom w:val="none" w:sz="0" w:space="0" w:color="auto"/>
            <w:right w:val="none" w:sz="0" w:space="0" w:color="auto"/>
          </w:divBdr>
        </w:div>
        <w:div w:id="604726841">
          <w:marLeft w:val="0"/>
          <w:marRight w:val="0"/>
          <w:marTop w:val="0"/>
          <w:marBottom w:val="0"/>
          <w:divBdr>
            <w:top w:val="none" w:sz="0" w:space="0" w:color="auto"/>
            <w:left w:val="none" w:sz="0" w:space="0" w:color="auto"/>
            <w:bottom w:val="none" w:sz="0" w:space="0" w:color="auto"/>
            <w:right w:val="none" w:sz="0" w:space="0" w:color="auto"/>
          </w:divBdr>
        </w:div>
        <w:div w:id="665211617">
          <w:marLeft w:val="0"/>
          <w:marRight w:val="0"/>
          <w:marTop w:val="0"/>
          <w:marBottom w:val="0"/>
          <w:divBdr>
            <w:top w:val="none" w:sz="0" w:space="0" w:color="auto"/>
            <w:left w:val="none" w:sz="0" w:space="0" w:color="auto"/>
            <w:bottom w:val="none" w:sz="0" w:space="0" w:color="auto"/>
            <w:right w:val="none" w:sz="0" w:space="0" w:color="auto"/>
          </w:divBdr>
        </w:div>
        <w:div w:id="733771390">
          <w:marLeft w:val="0"/>
          <w:marRight w:val="0"/>
          <w:marTop w:val="0"/>
          <w:marBottom w:val="0"/>
          <w:divBdr>
            <w:top w:val="none" w:sz="0" w:space="0" w:color="auto"/>
            <w:left w:val="none" w:sz="0" w:space="0" w:color="auto"/>
            <w:bottom w:val="none" w:sz="0" w:space="0" w:color="auto"/>
            <w:right w:val="none" w:sz="0" w:space="0" w:color="auto"/>
          </w:divBdr>
        </w:div>
        <w:div w:id="831717944">
          <w:marLeft w:val="0"/>
          <w:marRight w:val="0"/>
          <w:marTop w:val="0"/>
          <w:marBottom w:val="0"/>
          <w:divBdr>
            <w:top w:val="none" w:sz="0" w:space="0" w:color="auto"/>
            <w:left w:val="none" w:sz="0" w:space="0" w:color="auto"/>
            <w:bottom w:val="none" w:sz="0" w:space="0" w:color="auto"/>
            <w:right w:val="none" w:sz="0" w:space="0" w:color="auto"/>
          </w:divBdr>
        </w:div>
        <w:div w:id="869225398">
          <w:marLeft w:val="0"/>
          <w:marRight w:val="0"/>
          <w:marTop w:val="0"/>
          <w:marBottom w:val="0"/>
          <w:divBdr>
            <w:top w:val="none" w:sz="0" w:space="0" w:color="auto"/>
            <w:left w:val="none" w:sz="0" w:space="0" w:color="auto"/>
            <w:bottom w:val="none" w:sz="0" w:space="0" w:color="auto"/>
            <w:right w:val="none" w:sz="0" w:space="0" w:color="auto"/>
          </w:divBdr>
        </w:div>
        <w:div w:id="924876407">
          <w:marLeft w:val="0"/>
          <w:marRight w:val="0"/>
          <w:marTop w:val="0"/>
          <w:marBottom w:val="0"/>
          <w:divBdr>
            <w:top w:val="none" w:sz="0" w:space="0" w:color="auto"/>
            <w:left w:val="none" w:sz="0" w:space="0" w:color="auto"/>
            <w:bottom w:val="none" w:sz="0" w:space="0" w:color="auto"/>
            <w:right w:val="none" w:sz="0" w:space="0" w:color="auto"/>
          </w:divBdr>
        </w:div>
        <w:div w:id="1322079888">
          <w:marLeft w:val="0"/>
          <w:marRight w:val="0"/>
          <w:marTop w:val="0"/>
          <w:marBottom w:val="0"/>
          <w:divBdr>
            <w:top w:val="none" w:sz="0" w:space="0" w:color="auto"/>
            <w:left w:val="none" w:sz="0" w:space="0" w:color="auto"/>
            <w:bottom w:val="none" w:sz="0" w:space="0" w:color="auto"/>
            <w:right w:val="none" w:sz="0" w:space="0" w:color="auto"/>
          </w:divBdr>
        </w:div>
        <w:div w:id="1420326791">
          <w:marLeft w:val="0"/>
          <w:marRight w:val="0"/>
          <w:marTop w:val="0"/>
          <w:marBottom w:val="0"/>
          <w:divBdr>
            <w:top w:val="none" w:sz="0" w:space="0" w:color="auto"/>
            <w:left w:val="none" w:sz="0" w:space="0" w:color="auto"/>
            <w:bottom w:val="none" w:sz="0" w:space="0" w:color="auto"/>
            <w:right w:val="none" w:sz="0" w:space="0" w:color="auto"/>
          </w:divBdr>
        </w:div>
        <w:div w:id="1424034127">
          <w:marLeft w:val="0"/>
          <w:marRight w:val="0"/>
          <w:marTop w:val="0"/>
          <w:marBottom w:val="0"/>
          <w:divBdr>
            <w:top w:val="none" w:sz="0" w:space="0" w:color="auto"/>
            <w:left w:val="none" w:sz="0" w:space="0" w:color="auto"/>
            <w:bottom w:val="none" w:sz="0" w:space="0" w:color="auto"/>
            <w:right w:val="none" w:sz="0" w:space="0" w:color="auto"/>
          </w:divBdr>
        </w:div>
        <w:div w:id="1717729908">
          <w:marLeft w:val="0"/>
          <w:marRight w:val="0"/>
          <w:marTop w:val="0"/>
          <w:marBottom w:val="0"/>
          <w:divBdr>
            <w:top w:val="none" w:sz="0" w:space="0" w:color="auto"/>
            <w:left w:val="none" w:sz="0" w:space="0" w:color="auto"/>
            <w:bottom w:val="none" w:sz="0" w:space="0" w:color="auto"/>
            <w:right w:val="none" w:sz="0" w:space="0" w:color="auto"/>
          </w:divBdr>
        </w:div>
        <w:div w:id="1827356136">
          <w:marLeft w:val="0"/>
          <w:marRight w:val="0"/>
          <w:marTop w:val="0"/>
          <w:marBottom w:val="0"/>
          <w:divBdr>
            <w:top w:val="none" w:sz="0" w:space="0" w:color="auto"/>
            <w:left w:val="none" w:sz="0" w:space="0" w:color="auto"/>
            <w:bottom w:val="none" w:sz="0" w:space="0" w:color="auto"/>
            <w:right w:val="none" w:sz="0" w:space="0" w:color="auto"/>
          </w:divBdr>
        </w:div>
        <w:div w:id="1839153712">
          <w:marLeft w:val="0"/>
          <w:marRight w:val="0"/>
          <w:marTop w:val="0"/>
          <w:marBottom w:val="0"/>
          <w:divBdr>
            <w:top w:val="none" w:sz="0" w:space="0" w:color="auto"/>
            <w:left w:val="none" w:sz="0" w:space="0" w:color="auto"/>
            <w:bottom w:val="none" w:sz="0" w:space="0" w:color="auto"/>
            <w:right w:val="none" w:sz="0" w:space="0" w:color="auto"/>
          </w:divBdr>
        </w:div>
        <w:div w:id="1857426457">
          <w:marLeft w:val="0"/>
          <w:marRight w:val="0"/>
          <w:marTop w:val="0"/>
          <w:marBottom w:val="0"/>
          <w:divBdr>
            <w:top w:val="none" w:sz="0" w:space="0" w:color="auto"/>
            <w:left w:val="none" w:sz="0" w:space="0" w:color="auto"/>
            <w:bottom w:val="none" w:sz="0" w:space="0" w:color="auto"/>
            <w:right w:val="none" w:sz="0" w:space="0" w:color="auto"/>
          </w:divBdr>
        </w:div>
        <w:div w:id="1929385248">
          <w:marLeft w:val="0"/>
          <w:marRight w:val="0"/>
          <w:marTop w:val="0"/>
          <w:marBottom w:val="0"/>
          <w:divBdr>
            <w:top w:val="none" w:sz="0" w:space="0" w:color="auto"/>
            <w:left w:val="none" w:sz="0" w:space="0" w:color="auto"/>
            <w:bottom w:val="none" w:sz="0" w:space="0" w:color="auto"/>
            <w:right w:val="none" w:sz="0" w:space="0" w:color="auto"/>
          </w:divBdr>
        </w:div>
        <w:div w:id="1969123168">
          <w:marLeft w:val="0"/>
          <w:marRight w:val="0"/>
          <w:marTop w:val="0"/>
          <w:marBottom w:val="0"/>
          <w:divBdr>
            <w:top w:val="none" w:sz="0" w:space="0" w:color="auto"/>
            <w:left w:val="none" w:sz="0" w:space="0" w:color="auto"/>
            <w:bottom w:val="none" w:sz="0" w:space="0" w:color="auto"/>
            <w:right w:val="none" w:sz="0" w:space="0" w:color="auto"/>
          </w:divBdr>
        </w:div>
        <w:div w:id="2085058939">
          <w:marLeft w:val="0"/>
          <w:marRight w:val="0"/>
          <w:marTop w:val="0"/>
          <w:marBottom w:val="0"/>
          <w:divBdr>
            <w:top w:val="none" w:sz="0" w:space="0" w:color="auto"/>
            <w:left w:val="none" w:sz="0" w:space="0" w:color="auto"/>
            <w:bottom w:val="none" w:sz="0" w:space="0" w:color="auto"/>
            <w:right w:val="none" w:sz="0" w:space="0" w:color="auto"/>
          </w:divBdr>
        </w:div>
        <w:div w:id="2105681736">
          <w:marLeft w:val="0"/>
          <w:marRight w:val="0"/>
          <w:marTop w:val="0"/>
          <w:marBottom w:val="0"/>
          <w:divBdr>
            <w:top w:val="none" w:sz="0" w:space="0" w:color="auto"/>
            <w:left w:val="none" w:sz="0" w:space="0" w:color="auto"/>
            <w:bottom w:val="none" w:sz="0" w:space="0" w:color="auto"/>
            <w:right w:val="none" w:sz="0" w:space="0" w:color="auto"/>
          </w:divBdr>
        </w:div>
        <w:div w:id="2122795033">
          <w:marLeft w:val="0"/>
          <w:marRight w:val="0"/>
          <w:marTop w:val="0"/>
          <w:marBottom w:val="0"/>
          <w:divBdr>
            <w:top w:val="none" w:sz="0" w:space="0" w:color="auto"/>
            <w:left w:val="none" w:sz="0" w:space="0" w:color="auto"/>
            <w:bottom w:val="none" w:sz="0" w:space="0" w:color="auto"/>
            <w:right w:val="none" w:sz="0" w:space="0" w:color="auto"/>
          </w:divBdr>
        </w:div>
      </w:divsChild>
    </w:div>
    <w:div w:id="930088224">
      <w:bodyDiv w:val="1"/>
      <w:marLeft w:val="0"/>
      <w:marRight w:val="0"/>
      <w:marTop w:val="0"/>
      <w:marBottom w:val="0"/>
      <w:divBdr>
        <w:top w:val="none" w:sz="0" w:space="0" w:color="auto"/>
        <w:left w:val="none" w:sz="0" w:space="0" w:color="auto"/>
        <w:bottom w:val="none" w:sz="0" w:space="0" w:color="auto"/>
        <w:right w:val="none" w:sz="0" w:space="0" w:color="auto"/>
      </w:divBdr>
      <w:divsChild>
        <w:div w:id="97408287">
          <w:marLeft w:val="0"/>
          <w:marRight w:val="0"/>
          <w:marTop w:val="0"/>
          <w:marBottom w:val="0"/>
          <w:divBdr>
            <w:top w:val="none" w:sz="0" w:space="0" w:color="auto"/>
            <w:left w:val="none" w:sz="0" w:space="0" w:color="auto"/>
            <w:bottom w:val="none" w:sz="0" w:space="0" w:color="auto"/>
            <w:right w:val="none" w:sz="0" w:space="0" w:color="auto"/>
          </w:divBdr>
          <w:divsChild>
            <w:div w:id="20479189">
              <w:marLeft w:val="0"/>
              <w:marRight w:val="0"/>
              <w:marTop w:val="0"/>
              <w:marBottom w:val="0"/>
              <w:divBdr>
                <w:top w:val="none" w:sz="0" w:space="0" w:color="auto"/>
                <w:left w:val="none" w:sz="0" w:space="0" w:color="auto"/>
                <w:bottom w:val="none" w:sz="0" w:space="0" w:color="auto"/>
                <w:right w:val="none" w:sz="0" w:space="0" w:color="auto"/>
              </w:divBdr>
            </w:div>
            <w:div w:id="1046837867">
              <w:marLeft w:val="0"/>
              <w:marRight w:val="0"/>
              <w:marTop w:val="0"/>
              <w:marBottom w:val="0"/>
              <w:divBdr>
                <w:top w:val="none" w:sz="0" w:space="0" w:color="auto"/>
                <w:left w:val="none" w:sz="0" w:space="0" w:color="auto"/>
                <w:bottom w:val="none" w:sz="0" w:space="0" w:color="auto"/>
                <w:right w:val="none" w:sz="0" w:space="0" w:color="auto"/>
              </w:divBdr>
            </w:div>
          </w:divsChild>
        </w:div>
        <w:div w:id="304896426">
          <w:marLeft w:val="0"/>
          <w:marRight w:val="0"/>
          <w:marTop w:val="0"/>
          <w:marBottom w:val="0"/>
          <w:divBdr>
            <w:top w:val="none" w:sz="0" w:space="0" w:color="auto"/>
            <w:left w:val="none" w:sz="0" w:space="0" w:color="auto"/>
            <w:bottom w:val="none" w:sz="0" w:space="0" w:color="auto"/>
            <w:right w:val="none" w:sz="0" w:space="0" w:color="auto"/>
          </w:divBdr>
          <w:divsChild>
            <w:div w:id="1128089232">
              <w:marLeft w:val="0"/>
              <w:marRight w:val="0"/>
              <w:marTop w:val="0"/>
              <w:marBottom w:val="0"/>
              <w:divBdr>
                <w:top w:val="none" w:sz="0" w:space="0" w:color="auto"/>
                <w:left w:val="none" w:sz="0" w:space="0" w:color="auto"/>
                <w:bottom w:val="none" w:sz="0" w:space="0" w:color="auto"/>
                <w:right w:val="none" w:sz="0" w:space="0" w:color="auto"/>
              </w:divBdr>
            </w:div>
          </w:divsChild>
        </w:div>
        <w:div w:id="787427425">
          <w:marLeft w:val="0"/>
          <w:marRight w:val="0"/>
          <w:marTop w:val="0"/>
          <w:marBottom w:val="0"/>
          <w:divBdr>
            <w:top w:val="none" w:sz="0" w:space="0" w:color="auto"/>
            <w:left w:val="none" w:sz="0" w:space="0" w:color="auto"/>
            <w:bottom w:val="none" w:sz="0" w:space="0" w:color="auto"/>
            <w:right w:val="none" w:sz="0" w:space="0" w:color="auto"/>
          </w:divBdr>
          <w:divsChild>
            <w:div w:id="751513622">
              <w:marLeft w:val="0"/>
              <w:marRight w:val="0"/>
              <w:marTop w:val="0"/>
              <w:marBottom w:val="0"/>
              <w:divBdr>
                <w:top w:val="none" w:sz="0" w:space="0" w:color="auto"/>
                <w:left w:val="none" w:sz="0" w:space="0" w:color="auto"/>
                <w:bottom w:val="none" w:sz="0" w:space="0" w:color="auto"/>
                <w:right w:val="none" w:sz="0" w:space="0" w:color="auto"/>
              </w:divBdr>
            </w:div>
            <w:div w:id="1230115265">
              <w:marLeft w:val="0"/>
              <w:marRight w:val="0"/>
              <w:marTop w:val="0"/>
              <w:marBottom w:val="0"/>
              <w:divBdr>
                <w:top w:val="none" w:sz="0" w:space="0" w:color="auto"/>
                <w:left w:val="none" w:sz="0" w:space="0" w:color="auto"/>
                <w:bottom w:val="none" w:sz="0" w:space="0" w:color="auto"/>
                <w:right w:val="none" w:sz="0" w:space="0" w:color="auto"/>
              </w:divBdr>
            </w:div>
          </w:divsChild>
        </w:div>
        <w:div w:id="2129426058">
          <w:marLeft w:val="0"/>
          <w:marRight w:val="0"/>
          <w:marTop w:val="0"/>
          <w:marBottom w:val="0"/>
          <w:divBdr>
            <w:top w:val="none" w:sz="0" w:space="0" w:color="auto"/>
            <w:left w:val="none" w:sz="0" w:space="0" w:color="auto"/>
            <w:bottom w:val="none" w:sz="0" w:space="0" w:color="auto"/>
            <w:right w:val="none" w:sz="0" w:space="0" w:color="auto"/>
          </w:divBdr>
        </w:div>
      </w:divsChild>
    </w:div>
    <w:div w:id="969239823">
      <w:bodyDiv w:val="1"/>
      <w:marLeft w:val="0"/>
      <w:marRight w:val="0"/>
      <w:marTop w:val="0"/>
      <w:marBottom w:val="0"/>
      <w:divBdr>
        <w:top w:val="none" w:sz="0" w:space="0" w:color="auto"/>
        <w:left w:val="none" w:sz="0" w:space="0" w:color="auto"/>
        <w:bottom w:val="none" w:sz="0" w:space="0" w:color="auto"/>
        <w:right w:val="none" w:sz="0" w:space="0" w:color="auto"/>
      </w:divBdr>
      <w:divsChild>
        <w:div w:id="320501942">
          <w:marLeft w:val="0"/>
          <w:marRight w:val="0"/>
          <w:marTop w:val="0"/>
          <w:marBottom w:val="0"/>
          <w:divBdr>
            <w:top w:val="none" w:sz="0" w:space="0" w:color="auto"/>
            <w:left w:val="none" w:sz="0" w:space="0" w:color="auto"/>
            <w:bottom w:val="none" w:sz="0" w:space="0" w:color="auto"/>
            <w:right w:val="none" w:sz="0" w:space="0" w:color="auto"/>
          </w:divBdr>
        </w:div>
        <w:div w:id="324089779">
          <w:marLeft w:val="0"/>
          <w:marRight w:val="0"/>
          <w:marTop w:val="0"/>
          <w:marBottom w:val="0"/>
          <w:divBdr>
            <w:top w:val="none" w:sz="0" w:space="0" w:color="auto"/>
            <w:left w:val="none" w:sz="0" w:space="0" w:color="auto"/>
            <w:bottom w:val="none" w:sz="0" w:space="0" w:color="auto"/>
            <w:right w:val="none" w:sz="0" w:space="0" w:color="auto"/>
          </w:divBdr>
        </w:div>
        <w:div w:id="348914493">
          <w:marLeft w:val="0"/>
          <w:marRight w:val="0"/>
          <w:marTop w:val="0"/>
          <w:marBottom w:val="0"/>
          <w:divBdr>
            <w:top w:val="none" w:sz="0" w:space="0" w:color="auto"/>
            <w:left w:val="none" w:sz="0" w:space="0" w:color="auto"/>
            <w:bottom w:val="none" w:sz="0" w:space="0" w:color="auto"/>
            <w:right w:val="none" w:sz="0" w:space="0" w:color="auto"/>
          </w:divBdr>
        </w:div>
        <w:div w:id="900604090">
          <w:marLeft w:val="0"/>
          <w:marRight w:val="0"/>
          <w:marTop w:val="0"/>
          <w:marBottom w:val="0"/>
          <w:divBdr>
            <w:top w:val="none" w:sz="0" w:space="0" w:color="auto"/>
            <w:left w:val="none" w:sz="0" w:space="0" w:color="auto"/>
            <w:bottom w:val="none" w:sz="0" w:space="0" w:color="auto"/>
            <w:right w:val="none" w:sz="0" w:space="0" w:color="auto"/>
          </w:divBdr>
        </w:div>
        <w:div w:id="1831023237">
          <w:marLeft w:val="0"/>
          <w:marRight w:val="0"/>
          <w:marTop w:val="0"/>
          <w:marBottom w:val="0"/>
          <w:divBdr>
            <w:top w:val="none" w:sz="0" w:space="0" w:color="auto"/>
            <w:left w:val="none" w:sz="0" w:space="0" w:color="auto"/>
            <w:bottom w:val="none" w:sz="0" w:space="0" w:color="auto"/>
            <w:right w:val="none" w:sz="0" w:space="0" w:color="auto"/>
          </w:divBdr>
        </w:div>
      </w:divsChild>
    </w:div>
    <w:div w:id="1057510952">
      <w:bodyDiv w:val="1"/>
      <w:marLeft w:val="0"/>
      <w:marRight w:val="0"/>
      <w:marTop w:val="0"/>
      <w:marBottom w:val="0"/>
      <w:divBdr>
        <w:top w:val="none" w:sz="0" w:space="0" w:color="auto"/>
        <w:left w:val="none" w:sz="0" w:space="0" w:color="auto"/>
        <w:bottom w:val="none" w:sz="0" w:space="0" w:color="auto"/>
        <w:right w:val="none" w:sz="0" w:space="0" w:color="auto"/>
      </w:divBdr>
      <w:divsChild>
        <w:div w:id="538395037">
          <w:marLeft w:val="0"/>
          <w:marRight w:val="0"/>
          <w:marTop w:val="0"/>
          <w:marBottom w:val="0"/>
          <w:divBdr>
            <w:top w:val="none" w:sz="0" w:space="0" w:color="auto"/>
            <w:left w:val="none" w:sz="0" w:space="0" w:color="auto"/>
            <w:bottom w:val="none" w:sz="0" w:space="0" w:color="auto"/>
            <w:right w:val="none" w:sz="0" w:space="0" w:color="auto"/>
          </w:divBdr>
        </w:div>
        <w:div w:id="604504190">
          <w:marLeft w:val="0"/>
          <w:marRight w:val="0"/>
          <w:marTop w:val="0"/>
          <w:marBottom w:val="0"/>
          <w:divBdr>
            <w:top w:val="none" w:sz="0" w:space="0" w:color="auto"/>
            <w:left w:val="none" w:sz="0" w:space="0" w:color="auto"/>
            <w:bottom w:val="none" w:sz="0" w:space="0" w:color="auto"/>
            <w:right w:val="none" w:sz="0" w:space="0" w:color="auto"/>
          </w:divBdr>
        </w:div>
        <w:div w:id="938949437">
          <w:marLeft w:val="0"/>
          <w:marRight w:val="0"/>
          <w:marTop w:val="0"/>
          <w:marBottom w:val="0"/>
          <w:divBdr>
            <w:top w:val="none" w:sz="0" w:space="0" w:color="auto"/>
            <w:left w:val="none" w:sz="0" w:space="0" w:color="auto"/>
            <w:bottom w:val="none" w:sz="0" w:space="0" w:color="auto"/>
            <w:right w:val="none" w:sz="0" w:space="0" w:color="auto"/>
          </w:divBdr>
        </w:div>
        <w:div w:id="1113478702">
          <w:marLeft w:val="0"/>
          <w:marRight w:val="0"/>
          <w:marTop w:val="0"/>
          <w:marBottom w:val="0"/>
          <w:divBdr>
            <w:top w:val="none" w:sz="0" w:space="0" w:color="auto"/>
            <w:left w:val="none" w:sz="0" w:space="0" w:color="auto"/>
            <w:bottom w:val="none" w:sz="0" w:space="0" w:color="auto"/>
            <w:right w:val="none" w:sz="0" w:space="0" w:color="auto"/>
          </w:divBdr>
        </w:div>
        <w:div w:id="1176847193">
          <w:marLeft w:val="0"/>
          <w:marRight w:val="0"/>
          <w:marTop w:val="0"/>
          <w:marBottom w:val="0"/>
          <w:divBdr>
            <w:top w:val="none" w:sz="0" w:space="0" w:color="auto"/>
            <w:left w:val="none" w:sz="0" w:space="0" w:color="auto"/>
            <w:bottom w:val="none" w:sz="0" w:space="0" w:color="auto"/>
            <w:right w:val="none" w:sz="0" w:space="0" w:color="auto"/>
          </w:divBdr>
        </w:div>
        <w:div w:id="1568302989">
          <w:marLeft w:val="0"/>
          <w:marRight w:val="0"/>
          <w:marTop w:val="0"/>
          <w:marBottom w:val="0"/>
          <w:divBdr>
            <w:top w:val="none" w:sz="0" w:space="0" w:color="auto"/>
            <w:left w:val="none" w:sz="0" w:space="0" w:color="auto"/>
            <w:bottom w:val="none" w:sz="0" w:space="0" w:color="auto"/>
            <w:right w:val="none" w:sz="0" w:space="0" w:color="auto"/>
          </w:divBdr>
        </w:div>
        <w:div w:id="1990287231">
          <w:marLeft w:val="0"/>
          <w:marRight w:val="0"/>
          <w:marTop w:val="0"/>
          <w:marBottom w:val="0"/>
          <w:divBdr>
            <w:top w:val="none" w:sz="0" w:space="0" w:color="auto"/>
            <w:left w:val="none" w:sz="0" w:space="0" w:color="auto"/>
            <w:bottom w:val="none" w:sz="0" w:space="0" w:color="auto"/>
            <w:right w:val="none" w:sz="0" w:space="0" w:color="auto"/>
          </w:divBdr>
        </w:div>
      </w:divsChild>
    </w:div>
    <w:div w:id="1059551534">
      <w:bodyDiv w:val="1"/>
      <w:marLeft w:val="0"/>
      <w:marRight w:val="0"/>
      <w:marTop w:val="0"/>
      <w:marBottom w:val="0"/>
      <w:divBdr>
        <w:top w:val="none" w:sz="0" w:space="0" w:color="auto"/>
        <w:left w:val="none" w:sz="0" w:space="0" w:color="auto"/>
        <w:bottom w:val="none" w:sz="0" w:space="0" w:color="auto"/>
        <w:right w:val="none" w:sz="0" w:space="0" w:color="auto"/>
      </w:divBdr>
      <w:divsChild>
        <w:div w:id="607546004">
          <w:marLeft w:val="0"/>
          <w:marRight w:val="0"/>
          <w:marTop w:val="0"/>
          <w:marBottom w:val="0"/>
          <w:divBdr>
            <w:top w:val="none" w:sz="0" w:space="0" w:color="auto"/>
            <w:left w:val="none" w:sz="0" w:space="0" w:color="auto"/>
            <w:bottom w:val="none" w:sz="0" w:space="0" w:color="auto"/>
            <w:right w:val="none" w:sz="0" w:space="0" w:color="auto"/>
          </w:divBdr>
        </w:div>
        <w:div w:id="1234046040">
          <w:marLeft w:val="0"/>
          <w:marRight w:val="0"/>
          <w:marTop w:val="0"/>
          <w:marBottom w:val="0"/>
          <w:divBdr>
            <w:top w:val="none" w:sz="0" w:space="0" w:color="auto"/>
            <w:left w:val="none" w:sz="0" w:space="0" w:color="auto"/>
            <w:bottom w:val="none" w:sz="0" w:space="0" w:color="auto"/>
            <w:right w:val="none" w:sz="0" w:space="0" w:color="auto"/>
          </w:divBdr>
        </w:div>
        <w:div w:id="1569144471">
          <w:marLeft w:val="0"/>
          <w:marRight w:val="0"/>
          <w:marTop w:val="0"/>
          <w:marBottom w:val="0"/>
          <w:divBdr>
            <w:top w:val="none" w:sz="0" w:space="0" w:color="auto"/>
            <w:left w:val="none" w:sz="0" w:space="0" w:color="auto"/>
            <w:bottom w:val="none" w:sz="0" w:space="0" w:color="auto"/>
            <w:right w:val="none" w:sz="0" w:space="0" w:color="auto"/>
          </w:divBdr>
        </w:div>
      </w:divsChild>
    </w:div>
    <w:div w:id="1073044352">
      <w:bodyDiv w:val="1"/>
      <w:marLeft w:val="0"/>
      <w:marRight w:val="0"/>
      <w:marTop w:val="0"/>
      <w:marBottom w:val="0"/>
      <w:divBdr>
        <w:top w:val="none" w:sz="0" w:space="0" w:color="auto"/>
        <w:left w:val="none" w:sz="0" w:space="0" w:color="auto"/>
        <w:bottom w:val="none" w:sz="0" w:space="0" w:color="auto"/>
        <w:right w:val="none" w:sz="0" w:space="0" w:color="auto"/>
      </w:divBdr>
    </w:div>
    <w:div w:id="1195315297">
      <w:bodyDiv w:val="1"/>
      <w:marLeft w:val="0"/>
      <w:marRight w:val="0"/>
      <w:marTop w:val="0"/>
      <w:marBottom w:val="0"/>
      <w:divBdr>
        <w:top w:val="none" w:sz="0" w:space="0" w:color="auto"/>
        <w:left w:val="none" w:sz="0" w:space="0" w:color="auto"/>
        <w:bottom w:val="none" w:sz="0" w:space="0" w:color="auto"/>
        <w:right w:val="none" w:sz="0" w:space="0" w:color="auto"/>
      </w:divBdr>
    </w:div>
    <w:div w:id="1264537116">
      <w:bodyDiv w:val="1"/>
      <w:marLeft w:val="0"/>
      <w:marRight w:val="0"/>
      <w:marTop w:val="0"/>
      <w:marBottom w:val="0"/>
      <w:divBdr>
        <w:top w:val="none" w:sz="0" w:space="0" w:color="auto"/>
        <w:left w:val="none" w:sz="0" w:space="0" w:color="auto"/>
        <w:bottom w:val="none" w:sz="0" w:space="0" w:color="auto"/>
        <w:right w:val="none" w:sz="0" w:space="0" w:color="auto"/>
      </w:divBdr>
      <w:divsChild>
        <w:div w:id="407457890">
          <w:marLeft w:val="0"/>
          <w:marRight w:val="0"/>
          <w:marTop w:val="0"/>
          <w:marBottom w:val="0"/>
          <w:divBdr>
            <w:top w:val="none" w:sz="0" w:space="0" w:color="auto"/>
            <w:left w:val="none" w:sz="0" w:space="0" w:color="auto"/>
            <w:bottom w:val="none" w:sz="0" w:space="0" w:color="auto"/>
            <w:right w:val="none" w:sz="0" w:space="0" w:color="auto"/>
          </w:divBdr>
          <w:divsChild>
            <w:div w:id="645356075">
              <w:marLeft w:val="0"/>
              <w:marRight w:val="0"/>
              <w:marTop w:val="0"/>
              <w:marBottom w:val="0"/>
              <w:divBdr>
                <w:top w:val="none" w:sz="0" w:space="0" w:color="auto"/>
                <w:left w:val="none" w:sz="0" w:space="0" w:color="auto"/>
                <w:bottom w:val="none" w:sz="0" w:space="0" w:color="auto"/>
                <w:right w:val="none" w:sz="0" w:space="0" w:color="auto"/>
              </w:divBdr>
            </w:div>
            <w:div w:id="924652970">
              <w:marLeft w:val="0"/>
              <w:marRight w:val="0"/>
              <w:marTop w:val="0"/>
              <w:marBottom w:val="0"/>
              <w:divBdr>
                <w:top w:val="none" w:sz="0" w:space="0" w:color="auto"/>
                <w:left w:val="none" w:sz="0" w:space="0" w:color="auto"/>
                <w:bottom w:val="none" w:sz="0" w:space="0" w:color="auto"/>
                <w:right w:val="none" w:sz="0" w:space="0" w:color="auto"/>
              </w:divBdr>
            </w:div>
          </w:divsChild>
        </w:div>
        <w:div w:id="472065332">
          <w:marLeft w:val="0"/>
          <w:marRight w:val="0"/>
          <w:marTop w:val="0"/>
          <w:marBottom w:val="0"/>
          <w:divBdr>
            <w:top w:val="none" w:sz="0" w:space="0" w:color="auto"/>
            <w:left w:val="none" w:sz="0" w:space="0" w:color="auto"/>
            <w:bottom w:val="none" w:sz="0" w:space="0" w:color="auto"/>
            <w:right w:val="none" w:sz="0" w:space="0" w:color="auto"/>
          </w:divBdr>
        </w:div>
        <w:div w:id="1360736003">
          <w:marLeft w:val="0"/>
          <w:marRight w:val="0"/>
          <w:marTop w:val="0"/>
          <w:marBottom w:val="0"/>
          <w:divBdr>
            <w:top w:val="none" w:sz="0" w:space="0" w:color="auto"/>
            <w:left w:val="none" w:sz="0" w:space="0" w:color="auto"/>
            <w:bottom w:val="none" w:sz="0" w:space="0" w:color="auto"/>
            <w:right w:val="none" w:sz="0" w:space="0" w:color="auto"/>
          </w:divBdr>
          <w:divsChild>
            <w:div w:id="35006592">
              <w:marLeft w:val="0"/>
              <w:marRight w:val="0"/>
              <w:marTop w:val="0"/>
              <w:marBottom w:val="0"/>
              <w:divBdr>
                <w:top w:val="none" w:sz="0" w:space="0" w:color="auto"/>
                <w:left w:val="none" w:sz="0" w:space="0" w:color="auto"/>
                <w:bottom w:val="none" w:sz="0" w:space="0" w:color="auto"/>
                <w:right w:val="none" w:sz="0" w:space="0" w:color="auto"/>
              </w:divBdr>
            </w:div>
            <w:div w:id="1070352472">
              <w:marLeft w:val="0"/>
              <w:marRight w:val="0"/>
              <w:marTop w:val="0"/>
              <w:marBottom w:val="0"/>
              <w:divBdr>
                <w:top w:val="none" w:sz="0" w:space="0" w:color="auto"/>
                <w:left w:val="none" w:sz="0" w:space="0" w:color="auto"/>
                <w:bottom w:val="none" w:sz="0" w:space="0" w:color="auto"/>
                <w:right w:val="none" w:sz="0" w:space="0" w:color="auto"/>
              </w:divBdr>
            </w:div>
          </w:divsChild>
        </w:div>
        <w:div w:id="1760517642">
          <w:marLeft w:val="0"/>
          <w:marRight w:val="0"/>
          <w:marTop w:val="0"/>
          <w:marBottom w:val="0"/>
          <w:divBdr>
            <w:top w:val="none" w:sz="0" w:space="0" w:color="auto"/>
            <w:left w:val="none" w:sz="0" w:space="0" w:color="auto"/>
            <w:bottom w:val="none" w:sz="0" w:space="0" w:color="auto"/>
            <w:right w:val="none" w:sz="0" w:space="0" w:color="auto"/>
          </w:divBdr>
          <w:divsChild>
            <w:div w:id="429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2441">
      <w:bodyDiv w:val="1"/>
      <w:marLeft w:val="0"/>
      <w:marRight w:val="0"/>
      <w:marTop w:val="0"/>
      <w:marBottom w:val="0"/>
      <w:divBdr>
        <w:top w:val="none" w:sz="0" w:space="0" w:color="auto"/>
        <w:left w:val="none" w:sz="0" w:space="0" w:color="auto"/>
        <w:bottom w:val="none" w:sz="0" w:space="0" w:color="auto"/>
        <w:right w:val="none" w:sz="0" w:space="0" w:color="auto"/>
      </w:divBdr>
    </w:div>
    <w:div w:id="1375498953">
      <w:bodyDiv w:val="1"/>
      <w:marLeft w:val="0"/>
      <w:marRight w:val="0"/>
      <w:marTop w:val="0"/>
      <w:marBottom w:val="0"/>
      <w:divBdr>
        <w:top w:val="none" w:sz="0" w:space="0" w:color="auto"/>
        <w:left w:val="none" w:sz="0" w:space="0" w:color="auto"/>
        <w:bottom w:val="none" w:sz="0" w:space="0" w:color="auto"/>
        <w:right w:val="none" w:sz="0" w:space="0" w:color="auto"/>
      </w:divBdr>
    </w:div>
    <w:div w:id="1394739893">
      <w:bodyDiv w:val="1"/>
      <w:marLeft w:val="0"/>
      <w:marRight w:val="0"/>
      <w:marTop w:val="0"/>
      <w:marBottom w:val="0"/>
      <w:divBdr>
        <w:top w:val="none" w:sz="0" w:space="0" w:color="auto"/>
        <w:left w:val="none" w:sz="0" w:space="0" w:color="auto"/>
        <w:bottom w:val="none" w:sz="0" w:space="0" w:color="auto"/>
        <w:right w:val="none" w:sz="0" w:space="0" w:color="auto"/>
      </w:divBdr>
      <w:divsChild>
        <w:div w:id="473572095">
          <w:marLeft w:val="0"/>
          <w:marRight w:val="0"/>
          <w:marTop w:val="0"/>
          <w:marBottom w:val="0"/>
          <w:divBdr>
            <w:top w:val="none" w:sz="0" w:space="0" w:color="auto"/>
            <w:left w:val="none" w:sz="0" w:space="0" w:color="auto"/>
            <w:bottom w:val="none" w:sz="0" w:space="0" w:color="auto"/>
            <w:right w:val="none" w:sz="0" w:space="0" w:color="auto"/>
          </w:divBdr>
        </w:div>
        <w:div w:id="632176690">
          <w:marLeft w:val="0"/>
          <w:marRight w:val="0"/>
          <w:marTop w:val="0"/>
          <w:marBottom w:val="0"/>
          <w:divBdr>
            <w:top w:val="none" w:sz="0" w:space="0" w:color="auto"/>
            <w:left w:val="none" w:sz="0" w:space="0" w:color="auto"/>
            <w:bottom w:val="none" w:sz="0" w:space="0" w:color="auto"/>
            <w:right w:val="none" w:sz="0" w:space="0" w:color="auto"/>
          </w:divBdr>
        </w:div>
        <w:div w:id="1391807762">
          <w:marLeft w:val="0"/>
          <w:marRight w:val="0"/>
          <w:marTop w:val="0"/>
          <w:marBottom w:val="0"/>
          <w:divBdr>
            <w:top w:val="none" w:sz="0" w:space="0" w:color="auto"/>
            <w:left w:val="none" w:sz="0" w:space="0" w:color="auto"/>
            <w:bottom w:val="none" w:sz="0" w:space="0" w:color="auto"/>
            <w:right w:val="none" w:sz="0" w:space="0" w:color="auto"/>
          </w:divBdr>
        </w:div>
        <w:div w:id="1957564930">
          <w:marLeft w:val="0"/>
          <w:marRight w:val="0"/>
          <w:marTop w:val="0"/>
          <w:marBottom w:val="0"/>
          <w:divBdr>
            <w:top w:val="none" w:sz="0" w:space="0" w:color="auto"/>
            <w:left w:val="none" w:sz="0" w:space="0" w:color="auto"/>
            <w:bottom w:val="none" w:sz="0" w:space="0" w:color="auto"/>
            <w:right w:val="none" w:sz="0" w:space="0" w:color="auto"/>
          </w:divBdr>
        </w:div>
        <w:div w:id="1991211658">
          <w:marLeft w:val="0"/>
          <w:marRight w:val="0"/>
          <w:marTop w:val="0"/>
          <w:marBottom w:val="0"/>
          <w:divBdr>
            <w:top w:val="none" w:sz="0" w:space="0" w:color="auto"/>
            <w:left w:val="none" w:sz="0" w:space="0" w:color="auto"/>
            <w:bottom w:val="none" w:sz="0" w:space="0" w:color="auto"/>
            <w:right w:val="none" w:sz="0" w:space="0" w:color="auto"/>
          </w:divBdr>
        </w:div>
      </w:divsChild>
    </w:div>
    <w:div w:id="1407336799">
      <w:bodyDiv w:val="1"/>
      <w:marLeft w:val="0"/>
      <w:marRight w:val="0"/>
      <w:marTop w:val="0"/>
      <w:marBottom w:val="0"/>
      <w:divBdr>
        <w:top w:val="none" w:sz="0" w:space="0" w:color="auto"/>
        <w:left w:val="none" w:sz="0" w:space="0" w:color="auto"/>
        <w:bottom w:val="none" w:sz="0" w:space="0" w:color="auto"/>
        <w:right w:val="none" w:sz="0" w:space="0" w:color="auto"/>
      </w:divBdr>
      <w:divsChild>
        <w:div w:id="1225867814">
          <w:marLeft w:val="0"/>
          <w:marRight w:val="0"/>
          <w:marTop w:val="0"/>
          <w:marBottom w:val="0"/>
          <w:divBdr>
            <w:top w:val="none" w:sz="0" w:space="0" w:color="auto"/>
            <w:left w:val="none" w:sz="0" w:space="0" w:color="auto"/>
            <w:bottom w:val="none" w:sz="0" w:space="0" w:color="auto"/>
            <w:right w:val="none" w:sz="0" w:space="0" w:color="auto"/>
          </w:divBdr>
          <w:divsChild>
            <w:div w:id="915673948">
              <w:marLeft w:val="0"/>
              <w:marRight w:val="0"/>
              <w:marTop w:val="0"/>
              <w:marBottom w:val="0"/>
              <w:divBdr>
                <w:top w:val="none" w:sz="0" w:space="0" w:color="auto"/>
                <w:left w:val="none" w:sz="0" w:space="0" w:color="auto"/>
                <w:bottom w:val="none" w:sz="0" w:space="0" w:color="auto"/>
                <w:right w:val="none" w:sz="0" w:space="0" w:color="auto"/>
              </w:divBdr>
              <w:divsChild>
                <w:div w:id="9257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8987">
      <w:bodyDiv w:val="1"/>
      <w:marLeft w:val="0"/>
      <w:marRight w:val="0"/>
      <w:marTop w:val="0"/>
      <w:marBottom w:val="0"/>
      <w:divBdr>
        <w:top w:val="none" w:sz="0" w:space="0" w:color="auto"/>
        <w:left w:val="none" w:sz="0" w:space="0" w:color="auto"/>
        <w:bottom w:val="none" w:sz="0" w:space="0" w:color="auto"/>
        <w:right w:val="none" w:sz="0" w:space="0" w:color="auto"/>
      </w:divBdr>
      <w:divsChild>
        <w:div w:id="1983001499">
          <w:marLeft w:val="0"/>
          <w:marRight w:val="0"/>
          <w:marTop w:val="0"/>
          <w:marBottom w:val="0"/>
          <w:divBdr>
            <w:top w:val="none" w:sz="0" w:space="0" w:color="auto"/>
            <w:left w:val="none" w:sz="0" w:space="0" w:color="auto"/>
            <w:bottom w:val="none" w:sz="0" w:space="0" w:color="auto"/>
            <w:right w:val="none" w:sz="0" w:space="0" w:color="auto"/>
          </w:divBdr>
          <w:divsChild>
            <w:div w:id="66848561">
              <w:marLeft w:val="0"/>
              <w:marRight w:val="0"/>
              <w:marTop w:val="0"/>
              <w:marBottom w:val="0"/>
              <w:divBdr>
                <w:top w:val="none" w:sz="0" w:space="0" w:color="auto"/>
                <w:left w:val="none" w:sz="0" w:space="0" w:color="auto"/>
                <w:bottom w:val="none" w:sz="0" w:space="0" w:color="auto"/>
                <w:right w:val="none" w:sz="0" w:space="0" w:color="auto"/>
              </w:divBdr>
              <w:divsChild>
                <w:div w:id="15469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4772">
      <w:bodyDiv w:val="1"/>
      <w:marLeft w:val="0"/>
      <w:marRight w:val="0"/>
      <w:marTop w:val="0"/>
      <w:marBottom w:val="0"/>
      <w:divBdr>
        <w:top w:val="none" w:sz="0" w:space="0" w:color="auto"/>
        <w:left w:val="none" w:sz="0" w:space="0" w:color="auto"/>
        <w:bottom w:val="none" w:sz="0" w:space="0" w:color="auto"/>
        <w:right w:val="none" w:sz="0" w:space="0" w:color="auto"/>
      </w:divBdr>
      <w:divsChild>
        <w:div w:id="1379817047">
          <w:marLeft w:val="0"/>
          <w:marRight w:val="0"/>
          <w:marTop w:val="0"/>
          <w:marBottom w:val="0"/>
          <w:divBdr>
            <w:top w:val="none" w:sz="0" w:space="0" w:color="auto"/>
            <w:left w:val="none" w:sz="0" w:space="0" w:color="auto"/>
            <w:bottom w:val="none" w:sz="0" w:space="0" w:color="auto"/>
            <w:right w:val="none" w:sz="0" w:space="0" w:color="auto"/>
          </w:divBdr>
        </w:div>
        <w:div w:id="1448308807">
          <w:marLeft w:val="0"/>
          <w:marRight w:val="0"/>
          <w:marTop w:val="0"/>
          <w:marBottom w:val="0"/>
          <w:divBdr>
            <w:top w:val="none" w:sz="0" w:space="0" w:color="auto"/>
            <w:left w:val="none" w:sz="0" w:space="0" w:color="auto"/>
            <w:bottom w:val="none" w:sz="0" w:space="0" w:color="auto"/>
            <w:right w:val="none" w:sz="0" w:space="0" w:color="auto"/>
          </w:divBdr>
        </w:div>
        <w:div w:id="1551769601">
          <w:marLeft w:val="0"/>
          <w:marRight w:val="0"/>
          <w:marTop w:val="0"/>
          <w:marBottom w:val="0"/>
          <w:divBdr>
            <w:top w:val="none" w:sz="0" w:space="0" w:color="auto"/>
            <w:left w:val="none" w:sz="0" w:space="0" w:color="auto"/>
            <w:bottom w:val="none" w:sz="0" w:space="0" w:color="auto"/>
            <w:right w:val="none" w:sz="0" w:space="0" w:color="auto"/>
          </w:divBdr>
        </w:div>
        <w:div w:id="1944992914">
          <w:marLeft w:val="0"/>
          <w:marRight w:val="0"/>
          <w:marTop w:val="0"/>
          <w:marBottom w:val="0"/>
          <w:divBdr>
            <w:top w:val="none" w:sz="0" w:space="0" w:color="auto"/>
            <w:left w:val="none" w:sz="0" w:space="0" w:color="auto"/>
            <w:bottom w:val="none" w:sz="0" w:space="0" w:color="auto"/>
            <w:right w:val="none" w:sz="0" w:space="0" w:color="auto"/>
          </w:divBdr>
        </w:div>
      </w:divsChild>
    </w:div>
    <w:div w:id="1637567936">
      <w:bodyDiv w:val="1"/>
      <w:marLeft w:val="0"/>
      <w:marRight w:val="0"/>
      <w:marTop w:val="0"/>
      <w:marBottom w:val="0"/>
      <w:divBdr>
        <w:top w:val="none" w:sz="0" w:space="0" w:color="auto"/>
        <w:left w:val="none" w:sz="0" w:space="0" w:color="auto"/>
        <w:bottom w:val="none" w:sz="0" w:space="0" w:color="auto"/>
        <w:right w:val="none" w:sz="0" w:space="0" w:color="auto"/>
      </w:divBdr>
      <w:divsChild>
        <w:div w:id="1785616142">
          <w:marLeft w:val="0"/>
          <w:marRight w:val="0"/>
          <w:marTop w:val="0"/>
          <w:marBottom w:val="0"/>
          <w:divBdr>
            <w:top w:val="none" w:sz="0" w:space="0" w:color="auto"/>
            <w:left w:val="none" w:sz="0" w:space="0" w:color="auto"/>
            <w:bottom w:val="none" w:sz="0" w:space="0" w:color="auto"/>
            <w:right w:val="none" w:sz="0" w:space="0" w:color="auto"/>
          </w:divBdr>
          <w:divsChild>
            <w:div w:id="667365502">
              <w:marLeft w:val="0"/>
              <w:marRight w:val="0"/>
              <w:marTop w:val="0"/>
              <w:marBottom w:val="0"/>
              <w:divBdr>
                <w:top w:val="none" w:sz="0" w:space="0" w:color="auto"/>
                <w:left w:val="none" w:sz="0" w:space="0" w:color="auto"/>
                <w:bottom w:val="none" w:sz="0" w:space="0" w:color="auto"/>
                <w:right w:val="none" w:sz="0" w:space="0" w:color="auto"/>
              </w:divBdr>
              <w:divsChild>
                <w:div w:id="14859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4255">
      <w:bodyDiv w:val="1"/>
      <w:marLeft w:val="0"/>
      <w:marRight w:val="0"/>
      <w:marTop w:val="0"/>
      <w:marBottom w:val="0"/>
      <w:divBdr>
        <w:top w:val="none" w:sz="0" w:space="0" w:color="auto"/>
        <w:left w:val="none" w:sz="0" w:space="0" w:color="auto"/>
        <w:bottom w:val="none" w:sz="0" w:space="0" w:color="auto"/>
        <w:right w:val="none" w:sz="0" w:space="0" w:color="auto"/>
      </w:divBdr>
      <w:divsChild>
        <w:div w:id="20907498">
          <w:marLeft w:val="0"/>
          <w:marRight w:val="0"/>
          <w:marTop w:val="0"/>
          <w:marBottom w:val="0"/>
          <w:divBdr>
            <w:top w:val="none" w:sz="0" w:space="0" w:color="auto"/>
            <w:left w:val="none" w:sz="0" w:space="0" w:color="auto"/>
            <w:bottom w:val="none" w:sz="0" w:space="0" w:color="auto"/>
            <w:right w:val="none" w:sz="0" w:space="0" w:color="auto"/>
          </w:divBdr>
        </w:div>
        <w:div w:id="134375774">
          <w:marLeft w:val="0"/>
          <w:marRight w:val="0"/>
          <w:marTop w:val="0"/>
          <w:marBottom w:val="0"/>
          <w:divBdr>
            <w:top w:val="none" w:sz="0" w:space="0" w:color="auto"/>
            <w:left w:val="none" w:sz="0" w:space="0" w:color="auto"/>
            <w:bottom w:val="none" w:sz="0" w:space="0" w:color="auto"/>
            <w:right w:val="none" w:sz="0" w:space="0" w:color="auto"/>
          </w:divBdr>
        </w:div>
        <w:div w:id="495847278">
          <w:marLeft w:val="0"/>
          <w:marRight w:val="0"/>
          <w:marTop w:val="0"/>
          <w:marBottom w:val="0"/>
          <w:divBdr>
            <w:top w:val="none" w:sz="0" w:space="0" w:color="auto"/>
            <w:left w:val="none" w:sz="0" w:space="0" w:color="auto"/>
            <w:bottom w:val="none" w:sz="0" w:space="0" w:color="auto"/>
            <w:right w:val="none" w:sz="0" w:space="0" w:color="auto"/>
          </w:divBdr>
        </w:div>
        <w:div w:id="1002048593">
          <w:marLeft w:val="0"/>
          <w:marRight w:val="0"/>
          <w:marTop w:val="0"/>
          <w:marBottom w:val="0"/>
          <w:divBdr>
            <w:top w:val="none" w:sz="0" w:space="0" w:color="auto"/>
            <w:left w:val="none" w:sz="0" w:space="0" w:color="auto"/>
            <w:bottom w:val="none" w:sz="0" w:space="0" w:color="auto"/>
            <w:right w:val="none" w:sz="0" w:space="0" w:color="auto"/>
          </w:divBdr>
        </w:div>
        <w:div w:id="1223295810">
          <w:marLeft w:val="0"/>
          <w:marRight w:val="0"/>
          <w:marTop w:val="0"/>
          <w:marBottom w:val="0"/>
          <w:divBdr>
            <w:top w:val="none" w:sz="0" w:space="0" w:color="auto"/>
            <w:left w:val="none" w:sz="0" w:space="0" w:color="auto"/>
            <w:bottom w:val="none" w:sz="0" w:space="0" w:color="auto"/>
            <w:right w:val="none" w:sz="0" w:space="0" w:color="auto"/>
          </w:divBdr>
        </w:div>
        <w:div w:id="1588346386">
          <w:marLeft w:val="0"/>
          <w:marRight w:val="0"/>
          <w:marTop w:val="0"/>
          <w:marBottom w:val="0"/>
          <w:divBdr>
            <w:top w:val="none" w:sz="0" w:space="0" w:color="auto"/>
            <w:left w:val="none" w:sz="0" w:space="0" w:color="auto"/>
            <w:bottom w:val="none" w:sz="0" w:space="0" w:color="auto"/>
            <w:right w:val="none" w:sz="0" w:space="0" w:color="auto"/>
          </w:divBdr>
        </w:div>
        <w:div w:id="1966545597">
          <w:marLeft w:val="0"/>
          <w:marRight w:val="0"/>
          <w:marTop w:val="0"/>
          <w:marBottom w:val="0"/>
          <w:divBdr>
            <w:top w:val="none" w:sz="0" w:space="0" w:color="auto"/>
            <w:left w:val="none" w:sz="0" w:space="0" w:color="auto"/>
            <w:bottom w:val="none" w:sz="0" w:space="0" w:color="auto"/>
            <w:right w:val="none" w:sz="0" w:space="0" w:color="auto"/>
          </w:divBdr>
        </w:div>
        <w:div w:id="2024821983">
          <w:marLeft w:val="0"/>
          <w:marRight w:val="0"/>
          <w:marTop w:val="0"/>
          <w:marBottom w:val="0"/>
          <w:divBdr>
            <w:top w:val="none" w:sz="0" w:space="0" w:color="auto"/>
            <w:left w:val="none" w:sz="0" w:space="0" w:color="auto"/>
            <w:bottom w:val="none" w:sz="0" w:space="0" w:color="auto"/>
            <w:right w:val="none" w:sz="0" w:space="0" w:color="auto"/>
          </w:divBdr>
        </w:div>
      </w:divsChild>
    </w:div>
    <w:div w:id="1894729258">
      <w:bodyDiv w:val="1"/>
      <w:marLeft w:val="0"/>
      <w:marRight w:val="0"/>
      <w:marTop w:val="0"/>
      <w:marBottom w:val="0"/>
      <w:divBdr>
        <w:top w:val="none" w:sz="0" w:space="0" w:color="auto"/>
        <w:left w:val="none" w:sz="0" w:space="0" w:color="auto"/>
        <w:bottom w:val="none" w:sz="0" w:space="0" w:color="auto"/>
        <w:right w:val="none" w:sz="0" w:space="0" w:color="auto"/>
      </w:divBdr>
      <w:divsChild>
        <w:div w:id="2062710455">
          <w:marLeft w:val="0"/>
          <w:marRight w:val="0"/>
          <w:marTop w:val="0"/>
          <w:marBottom w:val="0"/>
          <w:divBdr>
            <w:top w:val="none" w:sz="0" w:space="0" w:color="auto"/>
            <w:left w:val="none" w:sz="0" w:space="0" w:color="auto"/>
            <w:bottom w:val="none" w:sz="0" w:space="0" w:color="auto"/>
            <w:right w:val="none" w:sz="0" w:space="0" w:color="auto"/>
          </w:divBdr>
          <w:divsChild>
            <w:div w:id="1420826749">
              <w:marLeft w:val="0"/>
              <w:marRight w:val="0"/>
              <w:marTop w:val="0"/>
              <w:marBottom w:val="0"/>
              <w:divBdr>
                <w:top w:val="none" w:sz="0" w:space="0" w:color="auto"/>
                <w:left w:val="none" w:sz="0" w:space="0" w:color="auto"/>
                <w:bottom w:val="none" w:sz="0" w:space="0" w:color="auto"/>
                <w:right w:val="none" w:sz="0" w:space="0" w:color="auto"/>
              </w:divBdr>
              <w:divsChild>
                <w:div w:id="1249120830">
                  <w:marLeft w:val="0"/>
                  <w:marRight w:val="0"/>
                  <w:marTop w:val="0"/>
                  <w:marBottom w:val="0"/>
                  <w:divBdr>
                    <w:top w:val="none" w:sz="0" w:space="0" w:color="auto"/>
                    <w:left w:val="none" w:sz="0" w:space="0" w:color="auto"/>
                    <w:bottom w:val="none" w:sz="0" w:space="0" w:color="auto"/>
                    <w:right w:val="none" w:sz="0" w:space="0" w:color="auto"/>
                  </w:divBdr>
                  <w:divsChild>
                    <w:div w:id="865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5261">
      <w:bodyDiv w:val="1"/>
      <w:marLeft w:val="0"/>
      <w:marRight w:val="0"/>
      <w:marTop w:val="0"/>
      <w:marBottom w:val="0"/>
      <w:divBdr>
        <w:top w:val="none" w:sz="0" w:space="0" w:color="auto"/>
        <w:left w:val="none" w:sz="0" w:space="0" w:color="auto"/>
        <w:bottom w:val="none" w:sz="0" w:space="0" w:color="auto"/>
        <w:right w:val="none" w:sz="0" w:space="0" w:color="auto"/>
      </w:divBdr>
    </w:div>
    <w:div w:id="2087335191">
      <w:bodyDiv w:val="1"/>
      <w:marLeft w:val="0"/>
      <w:marRight w:val="0"/>
      <w:marTop w:val="0"/>
      <w:marBottom w:val="0"/>
      <w:divBdr>
        <w:top w:val="none" w:sz="0" w:space="0" w:color="auto"/>
        <w:left w:val="none" w:sz="0" w:space="0" w:color="auto"/>
        <w:bottom w:val="none" w:sz="0" w:space="0" w:color="auto"/>
        <w:right w:val="none" w:sz="0" w:space="0" w:color="auto"/>
      </w:divBdr>
    </w:div>
    <w:div w:id="2125078349">
      <w:bodyDiv w:val="1"/>
      <w:marLeft w:val="0"/>
      <w:marRight w:val="0"/>
      <w:marTop w:val="0"/>
      <w:marBottom w:val="0"/>
      <w:divBdr>
        <w:top w:val="none" w:sz="0" w:space="0" w:color="auto"/>
        <w:left w:val="none" w:sz="0" w:space="0" w:color="auto"/>
        <w:bottom w:val="none" w:sz="0" w:space="0" w:color="auto"/>
        <w:right w:val="none" w:sz="0" w:space="0" w:color="auto"/>
      </w:divBdr>
      <w:divsChild>
        <w:div w:id="469858723">
          <w:marLeft w:val="0"/>
          <w:marRight w:val="0"/>
          <w:marTop w:val="0"/>
          <w:marBottom w:val="0"/>
          <w:divBdr>
            <w:top w:val="none" w:sz="0" w:space="0" w:color="auto"/>
            <w:left w:val="none" w:sz="0" w:space="0" w:color="auto"/>
            <w:bottom w:val="none" w:sz="0" w:space="0" w:color="auto"/>
            <w:right w:val="none" w:sz="0" w:space="0" w:color="auto"/>
          </w:divBdr>
          <w:divsChild>
            <w:div w:id="1183933147">
              <w:marLeft w:val="0"/>
              <w:marRight w:val="0"/>
              <w:marTop w:val="0"/>
              <w:marBottom w:val="0"/>
              <w:divBdr>
                <w:top w:val="none" w:sz="0" w:space="0" w:color="auto"/>
                <w:left w:val="none" w:sz="0" w:space="0" w:color="auto"/>
                <w:bottom w:val="none" w:sz="0" w:space="0" w:color="auto"/>
                <w:right w:val="none" w:sz="0" w:space="0" w:color="auto"/>
              </w:divBdr>
              <w:divsChild>
                <w:div w:id="976372969">
                  <w:marLeft w:val="0"/>
                  <w:marRight w:val="0"/>
                  <w:marTop w:val="0"/>
                  <w:marBottom w:val="0"/>
                  <w:divBdr>
                    <w:top w:val="none" w:sz="0" w:space="0" w:color="auto"/>
                    <w:left w:val="none" w:sz="0" w:space="0" w:color="auto"/>
                    <w:bottom w:val="none" w:sz="0" w:space="0" w:color="auto"/>
                    <w:right w:val="none" w:sz="0" w:space="0" w:color="auto"/>
                  </w:divBdr>
                  <w:divsChild>
                    <w:div w:id="7772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5993">
      <w:bodyDiv w:val="1"/>
      <w:marLeft w:val="0"/>
      <w:marRight w:val="0"/>
      <w:marTop w:val="0"/>
      <w:marBottom w:val="0"/>
      <w:divBdr>
        <w:top w:val="none" w:sz="0" w:space="0" w:color="auto"/>
        <w:left w:val="none" w:sz="0" w:space="0" w:color="auto"/>
        <w:bottom w:val="none" w:sz="0" w:space="0" w:color="auto"/>
        <w:right w:val="none" w:sz="0" w:space="0" w:color="auto"/>
      </w:divBdr>
      <w:divsChild>
        <w:div w:id="60912864">
          <w:marLeft w:val="0"/>
          <w:marRight w:val="0"/>
          <w:marTop w:val="0"/>
          <w:marBottom w:val="0"/>
          <w:divBdr>
            <w:top w:val="none" w:sz="0" w:space="0" w:color="auto"/>
            <w:left w:val="none" w:sz="0" w:space="0" w:color="auto"/>
            <w:bottom w:val="none" w:sz="0" w:space="0" w:color="auto"/>
            <w:right w:val="none" w:sz="0" w:space="0" w:color="auto"/>
          </w:divBdr>
        </w:div>
        <w:div w:id="1436051936">
          <w:marLeft w:val="0"/>
          <w:marRight w:val="0"/>
          <w:marTop w:val="0"/>
          <w:marBottom w:val="0"/>
          <w:divBdr>
            <w:top w:val="none" w:sz="0" w:space="0" w:color="auto"/>
            <w:left w:val="none" w:sz="0" w:space="0" w:color="auto"/>
            <w:bottom w:val="none" w:sz="0" w:space="0" w:color="auto"/>
            <w:right w:val="none" w:sz="0" w:space="0" w:color="auto"/>
          </w:divBdr>
        </w:div>
        <w:div w:id="1774322361">
          <w:marLeft w:val="0"/>
          <w:marRight w:val="0"/>
          <w:marTop w:val="0"/>
          <w:marBottom w:val="0"/>
          <w:divBdr>
            <w:top w:val="none" w:sz="0" w:space="0" w:color="auto"/>
            <w:left w:val="none" w:sz="0" w:space="0" w:color="auto"/>
            <w:bottom w:val="none" w:sz="0" w:space="0" w:color="auto"/>
            <w:right w:val="none" w:sz="0" w:space="0" w:color="auto"/>
          </w:divBdr>
        </w:div>
      </w:divsChild>
    </w:div>
    <w:div w:id="2133480902">
      <w:bodyDiv w:val="1"/>
      <w:marLeft w:val="0"/>
      <w:marRight w:val="0"/>
      <w:marTop w:val="0"/>
      <w:marBottom w:val="0"/>
      <w:divBdr>
        <w:top w:val="none" w:sz="0" w:space="0" w:color="auto"/>
        <w:left w:val="none" w:sz="0" w:space="0" w:color="auto"/>
        <w:bottom w:val="none" w:sz="0" w:space="0" w:color="auto"/>
        <w:right w:val="none" w:sz="0" w:space="0" w:color="auto"/>
      </w:divBdr>
      <w:divsChild>
        <w:div w:id="17657739">
          <w:marLeft w:val="0"/>
          <w:marRight w:val="0"/>
          <w:marTop w:val="0"/>
          <w:marBottom w:val="0"/>
          <w:divBdr>
            <w:top w:val="none" w:sz="0" w:space="0" w:color="auto"/>
            <w:left w:val="none" w:sz="0" w:space="0" w:color="auto"/>
            <w:bottom w:val="none" w:sz="0" w:space="0" w:color="auto"/>
            <w:right w:val="none" w:sz="0" w:space="0" w:color="auto"/>
          </w:divBdr>
        </w:div>
        <w:div w:id="451049109">
          <w:marLeft w:val="0"/>
          <w:marRight w:val="0"/>
          <w:marTop w:val="0"/>
          <w:marBottom w:val="0"/>
          <w:divBdr>
            <w:top w:val="none" w:sz="0" w:space="0" w:color="auto"/>
            <w:left w:val="none" w:sz="0" w:space="0" w:color="auto"/>
            <w:bottom w:val="none" w:sz="0" w:space="0" w:color="auto"/>
            <w:right w:val="none" w:sz="0" w:space="0" w:color="auto"/>
          </w:divBdr>
        </w:div>
        <w:div w:id="1238787422">
          <w:marLeft w:val="0"/>
          <w:marRight w:val="0"/>
          <w:marTop w:val="0"/>
          <w:marBottom w:val="0"/>
          <w:divBdr>
            <w:top w:val="none" w:sz="0" w:space="0" w:color="auto"/>
            <w:left w:val="none" w:sz="0" w:space="0" w:color="auto"/>
            <w:bottom w:val="none" w:sz="0" w:space="0" w:color="auto"/>
            <w:right w:val="none" w:sz="0" w:space="0" w:color="auto"/>
          </w:divBdr>
        </w:div>
        <w:div w:id="2140106507">
          <w:marLeft w:val="0"/>
          <w:marRight w:val="0"/>
          <w:marTop w:val="0"/>
          <w:marBottom w:val="0"/>
          <w:divBdr>
            <w:top w:val="none" w:sz="0" w:space="0" w:color="auto"/>
            <w:left w:val="none" w:sz="0" w:space="0" w:color="auto"/>
            <w:bottom w:val="none" w:sz="0" w:space="0" w:color="auto"/>
            <w:right w:val="none" w:sz="0" w:space="0" w:color="auto"/>
          </w:divBdr>
        </w:div>
      </w:divsChild>
    </w:div>
    <w:div w:id="2138066150">
      <w:bodyDiv w:val="1"/>
      <w:marLeft w:val="0"/>
      <w:marRight w:val="0"/>
      <w:marTop w:val="0"/>
      <w:marBottom w:val="0"/>
      <w:divBdr>
        <w:top w:val="none" w:sz="0" w:space="0" w:color="auto"/>
        <w:left w:val="none" w:sz="0" w:space="0" w:color="auto"/>
        <w:bottom w:val="none" w:sz="0" w:space="0" w:color="auto"/>
        <w:right w:val="none" w:sz="0" w:space="0" w:color="auto"/>
      </w:divBdr>
      <w:divsChild>
        <w:div w:id="682903482">
          <w:marLeft w:val="0"/>
          <w:marRight w:val="0"/>
          <w:marTop w:val="0"/>
          <w:marBottom w:val="0"/>
          <w:divBdr>
            <w:top w:val="none" w:sz="0" w:space="0" w:color="auto"/>
            <w:left w:val="none" w:sz="0" w:space="0" w:color="auto"/>
            <w:bottom w:val="none" w:sz="0" w:space="0" w:color="auto"/>
            <w:right w:val="none" w:sz="0" w:space="0" w:color="auto"/>
          </w:divBdr>
        </w:div>
        <w:div w:id="974681816">
          <w:marLeft w:val="0"/>
          <w:marRight w:val="0"/>
          <w:marTop w:val="0"/>
          <w:marBottom w:val="0"/>
          <w:divBdr>
            <w:top w:val="none" w:sz="0" w:space="0" w:color="auto"/>
            <w:left w:val="none" w:sz="0" w:space="0" w:color="auto"/>
            <w:bottom w:val="none" w:sz="0" w:space="0" w:color="auto"/>
            <w:right w:val="none" w:sz="0" w:space="0" w:color="auto"/>
          </w:divBdr>
        </w:div>
        <w:div w:id="989988402">
          <w:marLeft w:val="0"/>
          <w:marRight w:val="0"/>
          <w:marTop w:val="0"/>
          <w:marBottom w:val="0"/>
          <w:divBdr>
            <w:top w:val="none" w:sz="0" w:space="0" w:color="auto"/>
            <w:left w:val="none" w:sz="0" w:space="0" w:color="auto"/>
            <w:bottom w:val="none" w:sz="0" w:space="0" w:color="auto"/>
            <w:right w:val="none" w:sz="0" w:space="0" w:color="auto"/>
          </w:divBdr>
        </w:div>
        <w:div w:id="1193618578">
          <w:marLeft w:val="0"/>
          <w:marRight w:val="0"/>
          <w:marTop w:val="0"/>
          <w:marBottom w:val="0"/>
          <w:divBdr>
            <w:top w:val="none" w:sz="0" w:space="0" w:color="auto"/>
            <w:left w:val="none" w:sz="0" w:space="0" w:color="auto"/>
            <w:bottom w:val="none" w:sz="0" w:space="0" w:color="auto"/>
            <w:right w:val="none" w:sz="0" w:space="0" w:color="auto"/>
          </w:divBdr>
        </w:div>
        <w:div w:id="145728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ET@nhs.net" TargetMode="External"/><Relationship Id="rId18" Type="http://schemas.openxmlformats.org/officeDocument/2006/relationships/hyperlink" Target="https://www.england.nhs.uk/publication/reimbursement-for-the-use-of-generic-drugs-for-pre-exposure-prophylaxis-prep-for-the-prevention-of-hi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edicines.org.uk/emc" TargetMode="External"/><Relationship Id="rId17" Type="http://schemas.openxmlformats.org/officeDocument/2006/relationships/hyperlink" Target="https://www.england.nhs.uk/wp-content/uploads/2013/06/b06-spec-hiv-child.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ngland.nhs.uk/wp-content/uploads/2013/06/b06-spec-hiv-serv.pdf.%20%20Accessed%2017/3/21" TargetMode="External"/><Relationship Id="rId20" Type="http://schemas.openxmlformats.org/officeDocument/2006/relationships/hyperlink" Target="https://www.gov.uk/government/statistics/hiv-annual-data-tables/hiv-testing-prep-new-hiv-diagnoses-and-care-outcomes-for-people-accessing-hiv-services-2022-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drug-safety-update/prescribing-medicines-in-renal-impairment-using-the-appropriate-estimate-of-renal-function-to-avoid-the-risk-of-adverse-drug-reactions.%20Accessed%2018/10/2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59330/hpr2020_hiv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hiva.org/HIV-1-treatment-guidelines"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b1cdd1-cf5a-48b9-b14b-3d868fa48288">
      <UserInfo>
        <DisplayName/>
        <AccountId xsi:nil="true"/>
        <AccountType/>
      </UserInfo>
    </SharedWithUsers>
    <TaxCatchAll xmlns="bbb1cdd1-cf5a-48b9-b14b-3d868fa48288" xsi:nil="true"/>
    <_ip_UnifiedCompliancePolicyUIAction xmlns="bbb1cdd1-cf5a-48b9-b14b-3d868fa48288" xsi:nil="true"/>
    <_ip_UnifiedCompliancePolicyProperties xmlns="bbb1cdd1-cf5a-48b9-b14b-3d868fa48288" xsi:nil="true"/>
    <Review_x0020_Date xmlns="672f6cd7-73af-4dc5-90d6-c690ac0a566d" xsi:nil="true"/>
    <lcf76f155ced4ddcb4097134ff3c332f xmlns="672f6cd7-73af-4dc5-90d6-c690ac0a566d">
      <Terms xmlns="http://schemas.microsoft.com/office/infopath/2007/PartnerControls"/>
    </lcf76f155ced4ddcb4097134ff3c332f>
    <_Flow_SignoffStatus xmlns="672f6cd7-73af-4dc5-90d6-c690ac0a56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A1B0643D39EA4B945609A6D5A7F0EC" ma:contentTypeVersion="21" ma:contentTypeDescription="Create a new document." ma:contentTypeScope="" ma:versionID="2339e26690b4514234e4bca3ccd7d62d">
  <xsd:schema xmlns:xsd="http://www.w3.org/2001/XMLSchema" xmlns:xs="http://www.w3.org/2001/XMLSchema" xmlns:p="http://schemas.microsoft.com/office/2006/metadata/properties" xmlns:ns2="672f6cd7-73af-4dc5-90d6-c690ac0a566d" xmlns:ns3="bbb1cdd1-cf5a-48b9-b14b-3d868fa48288" targetNamespace="http://schemas.microsoft.com/office/2006/metadata/properties" ma:root="true" ma:fieldsID="67e6a4c380eb478b8fe08b4b4f279e57" ns2:_="" ns3:_="">
    <xsd:import namespace="672f6cd7-73af-4dc5-90d6-c690ac0a566d"/>
    <xsd:import namespace="bbb1cdd1-cf5a-48b9-b14b-3d868fa48288"/>
    <xsd:element name="properties">
      <xsd:complexType>
        <xsd:sequence>
          <xsd:element name="documentManagement">
            <xsd:complexType>
              <xsd:all>
                <xsd:element ref="ns2:_Flow_SignoffStatus" minOccurs="0"/>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f6cd7-73af-4dc5-90d6-c690ac0a566d"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Review_x0020_Date" ma:index="6" nillable="true" ma:displayName="Review date" ma:indexed="true" ma:internalName="Review_x0020_Date"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21AD8-1D90-441A-A3C2-57BE94BC2F4B}">
  <ds:schemaRefs>
    <ds:schemaRef ds:uri="http://schemas.microsoft.com/sharepoint/v3/contenttype/forms"/>
  </ds:schemaRefs>
</ds:datastoreItem>
</file>

<file path=customXml/itemProps2.xml><?xml version="1.0" encoding="utf-8"?>
<ds:datastoreItem xmlns:ds="http://schemas.openxmlformats.org/officeDocument/2006/customXml" ds:itemID="{0583E2F3-A793-4FA6-8360-85D2CEBACF8F}">
  <ds:schemaRefs>
    <ds:schemaRef ds:uri="http://schemas.openxmlformats.org/officeDocument/2006/bibliography"/>
  </ds:schemaRefs>
</ds:datastoreItem>
</file>

<file path=customXml/itemProps3.xml><?xml version="1.0" encoding="utf-8"?>
<ds:datastoreItem xmlns:ds="http://schemas.openxmlformats.org/officeDocument/2006/customXml" ds:itemID="{33E89D47-B6AF-431C-A9A8-D5F4CAFDD8D2}">
  <ds:schemaRefs>
    <ds:schemaRef ds:uri="http://schemas.microsoft.com/office/2006/metadata/properties"/>
    <ds:schemaRef ds:uri="http://schemas.microsoft.com/office/infopath/2007/PartnerControls"/>
    <ds:schemaRef ds:uri="bbb1cdd1-cf5a-48b9-b14b-3d868fa48288"/>
    <ds:schemaRef ds:uri="672f6cd7-73af-4dc5-90d6-c690ac0a566d"/>
  </ds:schemaRefs>
</ds:datastoreItem>
</file>

<file path=customXml/itemProps4.xml><?xml version="1.0" encoding="utf-8"?>
<ds:datastoreItem xmlns:ds="http://schemas.openxmlformats.org/officeDocument/2006/customXml" ds:itemID="{F66C652B-DEBE-4A1D-9F18-C57D610E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f6cd7-73af-4dc5-90d6-c690ac0a566d"/>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3533</Words>
  <Characters>20141</Characters>
  <Application>Microsoft Office Word</Application>
  <DocSecurity>0</DocSecurity>
  <Lines>167</Lines>
  <Paragraphs>47</Paragraphs>
  <ScaleCrop>false</ScaleCrop>
  <Company>IMS3</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Katie</dc:creator>
  <cp:keywords/>
  <dc:description/>
  <cp:lastModifiedBy>BLAQUIERE, Simon (NHS ENGLAND)</cp:lastModifiedBy>
  <cp:revision>29</cp:revision>
  <cp:lastPrinted>2022-02-09T10:27:00Z</cp:lastPrinted>
  <dcterms:created xsi:type="dcterms:W3CDTF">2023-01-04T11:08:00Z</dcterms:created>
  <dcterms:modified xsi:type="dcterms:W3CDTF">2025-05-02T13:26:00Z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0x01010076A1B0643D39EA4B945609A6D5A7F0EC</vt:lpwstr>
  </property>
  <property fmtid="{D5CDD505-2E9C-101B-9397-08002B2CF9AE}" pid="3" name="_dlc_DocIdItemGuid">
    <vt:lpwstr>bd4b39eb-bd07-466c-a532-a5e06fff853e</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y fmtid="{D5CDD505-2E9C-101B-9397-08002B2CF9AE}" pid="9" name="Order">
    <vt:r8>7100200</vt:r8>
  </property>
  <property fmtid="{D5CDD505-2E9C-101B-9397-08002B2CF9AE}" pid="10" name="MediaServiceAutoTags0">
    <vt:lpwstr/>
  </property>
  <property fmtid="{D5CDD505-2E9C-101B-9397-08002B2CF9AE}" pid="11" name="MediaServiceMetadata0">
    <vt:lpwstr/>
  </property>
  <property fmtid="{D5CDD505-2E9C-101B-9397-08002B2CF9AE}" pid="12" name="MediaServiceFastMetadata0">
    <vt:lpwstr/>
  </property>
  <property fmtid="{D5CDD505-2E9C-101B-9397-08002B2CF9AE}" pid="13" name="MediaServiceDateTaken0">
    <vt:lpwstr/>
  </property>
  <property fmtid="{D5CDD505-2E9C-101B-9397-08002B2CF9AE}" pid="14" name="xd_Signature">
    <vt:bool>false</vt:bool>
  </property>
  <property fmtid="{D5CDD505-2E9C-101B-9397-08002B2CF9AE}" pid="15" name="xd_ProgID">
    <vt:lpwstr/>
  </property>
  <property fmtid="{D5CDD505-2E9C-101B-9397-08002B2CF9AE}" pid="16" name="MediaServiceAutoKeyPoints0">
    <vt:lpwstr/>
  </property>
  <property fmtid="{D5CDD505-2E9C-101B-9397-08002B2CF9AE}" pid="17" name="ComplianceAssetId">
    <vt:lpwstr/>
  </property>
  <property fmtid="{D5CDD505-2E9C-101B-9397-08002B2CF9AE}" pid="18" name="TemplateUrl">
    <vt:lpwstr/>
  </property>
  <property fmtid="{D5CDD505-2E9C-101B-9397-08002B2CF9AE}" pid="19" name="MediaServiceOCR0">
    <vt:lpwstr/>
  </property>
  <property fmtid="{D5CDD505-2E9C-101B-9397-08002B2CF9AE}" pid="20" name="MediaServiceEventHashCode0">
    <vt:lpwstr/>
  </property>
  <property fmtid="{D5CDD505-2E9C-101B-9397-08002B2CF9AE}" pid="21" name="TriggerFlowInfo">
    <vt:lpwstr/>
  </property>
  <property fmtid="{D5CDD505-2E9C-101B-9397-08002B2CF9AE}" pid="22" name="MediaServiceGenerationTime0">
    <vt:lpwstr/>
  </property>
  <property fmtid="{D5CDD505-2E9C-101B-9397-08002B2CF9AE}" pid="23" name="MediaServiceKeyPoints0">
    <vt:lpwstr/>
  </property>
  <property fmtid="{D5CDD505-2E9C-101B-9397-08002B2CF9AE}" pid="24" name="MediaServiceImageTags">
    <vt:lpwstr/>
  </property>
</Properties>
</file>