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673" w:rsidRPr="00A32B47" w:rsidRDefault="00410673" w:rsidP="00410673">
      <w:pPr>
        <w:spacing w:after="0" w:line="240" w:lineRule="auto"/>
        <w:jc w:val="center"/>
        <w:rPr>
          <w:rFonts w:ascii="Arial" w:hAnsi="Arial" w:cs="Arial"/>
          <w:b/>
          <w:sz w:val="24"/>
          <w:szCs w:val="24"/>
        </w:rPr>
      </w:pPr>
      <w:bookmarkStart w:id="0" w:name="_Hlk46492697"/>
    </w:p>
    <w:p w:rsidR="00410673" w:rsidRPr="009F2D80" w:rsidRDefault="00410673" w:rsidP="00410673">
      <w:pPr>
        <w:spacing w:after="0" w:line="240" w:lineRule="auto"/>
        <w:jc w:val="center"/>
        <w:rPr>
          <w:rFonts w:ascii="Arial" w:hAnsi="Arial" w:cs="Arial"/>
          <w:b/>
          <w:sz w:val="24"/>
          <w:szCs w:val="24"/>
        </w:rPr>
      </w:pPr>
      <w:r w:rsidRPr="009F2D80">
        <w:rPr>
          <w:rFonts w:ascii="Arial" w:hAnsi="Arial" w:cs="Arial"/>
          <w:b/>
          <w:sz w:val="24"/>
          <w:szCs w:val="24"/>
        </w:rPr>
        <w:t>Example Job Descriptions for First Contact Physiotherapists – (Musculoskeletal roles)</w:t>
      </w:r>
    </w:p>
    <w:p w:rsidR="00410673" w:rsidRPr="009F2D80" w:rsidRDefault="00410673" w:rsidP="00410673">
      <w:pPr>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 job descriptions are set out in a detailed structure in order to provide a comprehensive and extensive outline of the scope, duties and responsibilities of the MSK FCP roles. Local job descriptions will be structured differently, and it is expected that local job description templates will be used in extracting the information from the CSP examples. </w:t>
      </w:r>
    </w:p>
    <w:p w:rsidR="00410673" w:rsidRPr="009F2D80" w:rsidRDefault="00410673" w:rsidP="00410673">
      <w:pPr>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These job descriptions are structured around </w:t>
      </w:r>
      <w:r w:rsidR="00487417" w:rsidRPr="009F2D80">
        <w:rPr>
          <w:rFonts w:ascii="Arial" w:hAnsi="Arial" w:cs="Arial"/>
          <w:sz w:val="24"/>
          <w:szCs w:val="24"/>
        </w:rPr>
        <w:t>four</w:t>
      </w:r>
      <w:r w:rsidRPr="009F2D80">
        <w:rPr>
          <w:rFonts w:ascii="Arial" w:hAnsi="Arial" w:cs="Arial"/>
          <w:sz w:val="24"/>
          <w:szCs w:val="24"/>
        </w:rPr>
        <w:t xml:space="preserve"> main areas of responsibility: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Clinical skills and application/use of expert practice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Leadership in development/provision of FCP service</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Educational and provision of peer support </w:t>
      </w:r>
    </w:p>
    <w:p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Research and audit</w:t>
      </w:r>
    </w:p>
    <w:p w:rsidR="00487417" w:rsidRPr="009F2D80" w:rsidRDefault="00487417" w:rsidP="00487417">
      <w:pPr>
        <w:pStyle w:val="ListParagraph"/>
        <w:spacing w:after="0" w:line="240" w:lineRule="auto"/>
        <w:rPr>
          <w:rFonts w:ascii="Arial" w:hAnsi="Arial" w:cs="Arial"/>
          <w:sz w:val="24"/>
          <w:szCs w:val="24"/>
        </w:rPr>
      </w:pPr>
    </w:p>
    <w:p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These are then broken down into key areas that include:</w:t>
      </w:r>
    </w:p>
    <w:p w:rsidR="00410673" w:rsidRPr="009F2D80" w:rsidRDefault="00410673" w:rsidP="00410673">
      <w:pPr>
        <w:pStyle w:val="ListParagraph"/>
        <w:numPr>
          <w:ilvl w:val="0"/>
          <w:numId w:val="3"/>
        </w:numPr>
        <w:spacing w:after="0" w:line="240" w:lineRule="auto"/>
        <w:rPr>
          <w:rFonts w:ascii="Arial" w:hAnsi="Arial" w:cs="Arial"/>
          <w:sz w:val="24"/>
          <w:szCs w:val="24"/>
        </w:rPr>
      </w:pPr>
      <w:r w:rsidRPr="009F2D80">
        <w:rPr>
          <w:rFonts w:ascii="Arial" w:hAnsi="Arial" w:cs="Arial"/>
          <w:sz w:val="24"/>
          <w:szCs w:val="24"/>
        </w:rPr>
        <w:t>Scope of role</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Accountabilities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Clinical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Service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Working relationships/Communication</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Workforce development/education responsibilities</w:t>
      </w:r>
    </w:p>
    <w:p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Research and audit responsibilities</w:t>
      </w:r>
    </w:p>
    <w:p w:rsidR="00127732" w:rsidRPr="009F2D80" w:rsidRDefault="00127732" w:rsidP="00127732">
      <w:pPr>
        <w:ind w:left="360"/>
        <w:rPr>
          <w:rFonts w:ascii="Arial" w:hAnsi="Arial" w:cs="Arial"/>
          <w:b/>
          <w:bCs/>
          <w:sz w:val="24"/>
          <w:szCs w:val="24"/>
        </w:rPr>
      </w:pPr>
      <w:bookmarkStart w:id="1" w:name="_Hlk46481076"/>
    </w:p>
    <w:p w:rsidR="00127732" w:rsidRPr="009F2D80" w:rsidRDefault="00127732" w:rsidP="00127732">
      <w:pPr>
        <w:rPr>
          <w:rFonts w:ascii="Arial" w:hAnsi="Arial" w:cs="Arial"/>
          <w:b/>
          <w:bCs/>
          <w:sz w:val="24"/>
          <w:szCs w:val="24"/>
        </w:rPr>
      </w:pPr>
      <w:r w:rsidRPr="009F2D80">
        <w:rPr>
          <w:rFonts w:ascii="Arial" w:hAnsi="Arial" w:cs="Arial"/>
          <w:b/>
          <w:bCs/>
          <w:sz w:val="24"/>
          <w:szCs w:val="24"/>
        </w:rPr>
        <w:t xml:space="preserve">Distinction between indicative </w:t>
      </w:r>
      <w:proofErr w:type="spellStart"/>
      <w:r w:rsidRPr="009F2D80">
        <w:rPr>
          <w:rFonts w:ascii="Arial" w:hAnsi="Arial" w:cs="Arial"/>
          <w:b/>
          <w:bCs/>
          <w:sz w:val="24"/>
          <w:szCs w:val="24"/>
        </w:rPr>
        <w:t>AfC</w:t>
      </w:r>
      <w:proofErr w:type="spellEnd"/>
      <w:r w:rsidRPr="009F2D80">
        <w:rPr>
          <w:rFonts w:ascii="Arial" w:hAnsi="Arial" w:cs="Arial"/>
          <w:b/>
          <w:bCs/>
          <w:sz w:val="24"/>
          <w:szCs w:val="24"/>
        </w:rPr>
        <w:t xml:space="preserve"> Band 7 and 8A </w:t>
      </w:r>
    </w:p>
    <w:p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In order to distinguish between the two roles, which are </w:t>
      </w:r>
      <w:proofErr w:type="spellStart"/>
      <w:r w:rsidRPr="009F2D80">
        <w:rPr>
          <w:rFonts w:ascii="Arial" w:hAnsi="Arial" w:cs="Arial"/>
          <w:sz w:val="24"/>
          <w:szCs w:val="24"/>
        </w:rPr>
        <w:t>AfC</w:t>
      </w:r>
      <w:proofErr w:type="spellEnd"/>
      <w:r w:rsidRPr="009F2D80">
        <w:rPr>
          <w:rFonts w:ascii="Arial" w:hAnsi="Arial" w:cs="Arial"/>
          <w:sz w:val="24"/>
          <w:szCs w:val="24"/>
        </w:rPr>
        <w:t xml:space="preserve"> indicative bands 7-8a in the Network Contract DES, these documents will refer to the roles as either indicative </w:t>
      </w:r>
      <w:proofErr w:type="spellStart"/>
      <w:r w:rsidRPr="009F2D80">
        <w:rPr>
          <w:rFonts w:ascii="Arial" w:hAnsi="Arial" w:cs="Arial"/>
          <w:sz w:val="24"/>
          <w:szCs w:val="24"/>
        </w:rPr>
        <w:t>AfC</w:t>
      </w:r>
      <w:proofErr w:type="spellEnd"/>
      <w:r w:rsidRPr="009F2D80">
        <w:rPr>
          <w:rFonts w:ascii="Arial" w:hAnsi="Arial" w:cs="Arial"/>
          <w:sz w:val="24"/>
          <w:szCs w:val="24"/>
        </w:rPr>
        <w:t xml:space="preserve"> Band 7 or </w:t>
      </w:r>
      <w:bookmarkEnd w:id="1"/>
      <w:r w:rsidRPr="009F2D80">
        <w:rPr>
          <w:rFonts w:ascii="Arial" w:hAnsi="Arial" w:cs="Arial"/>
          <w:sz w:val="24"/>
          <w:szCs w:val="24"/>
        </w:rPr>
        <w:t xml:space="preserve">8a. </w:t>
      </w:r>
    </w:p>
    <w:p w:rsidR="00127732" w:rsidRPr="009F2D80" w:rsidRDefault="00127732" w:rsidP="00127732">
      <w:pPr>
        <w:spacing w:after="0" w:line="240" w:lineRule="auto"/>
        <w:rPr>
          <w:rFonts w:ascii="Arial" w:hAnsi="Arial" w:cs="Arial"/>
          <w:b/>
          <w:sz w:val="24"/>
          <w:szCs w:val="24"/>
        </w:rPr>
      </w:pPr>
    </w:p>
    <w:p w:rsidR="00F5192A" w:rsidRPr="009F2D80" w:rsidRDefault="00F5192A" w:rsidP="00F5192A">
      <w:pPr>
        <w:rPr>
          <w:rFonts w:ascii="Arial" w:hAnsi="Arial" w:cs="Arial"/>
          <w:b/>
          <w:sz w:val="24"/>
          <w:szCs w:val="24"/>
        </w:rPr>
      </w:pPr>
      <w:r w:rsidRPr="009F2D80">
        <w:rPr>
          <w:rFonts w:ascii="Arial" w:hAnsi="Arial" w:cs="Arial"/>
          <w:b/>
          <w:sz w:val="24"/>
          <w:szCs w:val="24"/>
        </w:rPr>
        <w:br w:type="page"/>
      </w:r>
    </w:p>
    <w:bookmarkEnd w:id="0"/>
    <w:p w:rsidR="00F5192A" w:rsidRPr="009F2D80" w:rsidRDefault="00F5192A" w:rsidP="004F093C">
      <w:pPr>
        <w:spacing w:after="0" w:line="240" w:lineRule="auto"/>
        <w:rPr>
          <w:rFonts w:ascii="Arial" w:hAnsi="Arial" w:cs="Arial"/>
          <w:b/>
          <w:sz w:val="24"/>
          <w:szCs w:val="24"/>
        </w:rPr>
      </w:pPr>
      <w:r w:rsidRPr="009F2D80">
        <w:rPr>
          <w:rFonts w:ascii="Arial" w:hAnsi="Arial" w:cs="Arial"/>
          <w:b/>
          <w:sz w:val="24"/>
          <w:szCs w:val="24"/>
        </w:rPr>
        <w:t xml:space="preserve">First Contact Physiotherapist (musculoskeletal conditions) </w:t>
      </w:r>
    </w:p>
    <w:p w:rsidR="00F5192A" w:rsidRPr="009F2D80" w:rsidRDefault="00F5192A" w:rsidP="00F5192A">
      <w:pPr>
        <w:autoSpaceDE w:val="0"/>
        <w:autoSpaceDN w:val="0"/>
        <w:adjustRightInd w:val="0"/>
        <w:spacing w:after="0" w:line="360" w:lineRule="auto"/>
        <w:rPr>
          <w:rFonts w:ascii="Arial" w:hAnsi="Arial" w:cs="Arial"/>
          <w:b/>
          <w:bCs/>
          <w:sz w:val="24"/>
          <w:szCs w:val="24"/>
        </w:rPr>
      </w:pPr>
    </w:p>
    <w:p w:rsidR="00F53E4A" w:rsidRPr="009F2D80" w:rsidRDefault="00487417" w:rsidP="00487417">
      <w:pPr>
        <w:rPr>
          <w:rFonts w:ascii="Arial" w:hAnsi="Arial" w:cs="Arial"/>
          <w:sz w:val="24"/>
          <w:szCs w:val="24"/>
        </w:rPr>
      </w:pPr>
      <w:r w:rsidRPr="009F2D80">
        <w:rPr>
          <w:rFonts w:ascii="Arial" w:hAnsi="Arial" w:cs="Arial"/>
          <w:sz w:val="24"/>
          <w:szCs w:val="24"/>
        </w:rPr>
        <w:t>This complementary guidance has been provided to support PCNs in the recruitment or engagement of</w:t>
      </w:r>
      <w:r w:rsidR="001B533D" w:rsidRPr="009F2D80">
        <w:t xml:space="preserve">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8"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rsidR="00F53E4A" w:rsidRPr="009F2D80" w:rsidRDefault="00F53E4A" w:rsidP="00F53E4A">
      <w:pPr>
        <w:spacing w:after="0" w:line="240" w:lineRule="auto"/>
        <w:rPr>
          <w:rFonts w:ascii="Arial" w:hAnsi="Arial" w:cs="Arial"/>
          <w:sz w:val="24"/>
          <w:szCs w:val="24"/>
        </w:rPr>
      </w:pPr>
      <w:r w:rsidRPr="009F2D80">
        <w:rPr>
          <w:rFonts w:ascii="Arial" w:hAnsi="Arial" w:cs="Arial"/>
          <w:sz w:val="24"/>
          <w:szCs w:val="24"/>
        </w:rPr>
        <w:t xml:space="preserve">PCNs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9" w:history="1">
        <w:r w:rsidRPr="009F2D80">
          <w:rPr>
            <w:rFonts w:ascii="Arial" w:hAnsi="Arial" w:cs="Arial"/>
            <w:sz w:val="24"/>
            <w:szCs w:val="24"/>
            <w:u w:val="single"/>
          </w:rPr>
          <w:t>here</w:t>
        </w:r>
      </w:hyperlink>
      <w:r w:rsidRPr="009F2D80">
        <w:rPr>
          <w:rFonts w:ascii="Arial" w:hAnsi="Arial" w:cs="Arial"/>
          <w:sz w:val="24"/>
          <w:szCs w:val="24"/>
        </w:rPr>
        <w:t>.</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Job Title:  </w:t>
      </w:r>
      <w:r w:rsidRPr="009F2D80">
        <w:rPr>
          <w:rFonts w:ascii="Arial" w:hAnsi="Arial" w:cs="Arial"/>
          <w:sz w:val="24"/>
          <w:szCs w:val="24"/>
        </w:rPr>
        <w:t>First Contact Physiotherapist (musculoskeletal conditions)</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Accountable to: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Hours of work:   </w:t>
      </w:r>
      <w:r w:rsidRPr="009F2D80">
        <w:rPr>
          <w:rFonts w:ascii="Arial" w:hAnsi="Arial" w:cs="Arial"/>
          <w:b/>
          <w:bCs/>
          <w:sz w:val="24"/>
          <w:szCs w:val="24"/>
        </w:rPr>
        <w:tab/>
        <w:t>To be determined by the PCN</w:t>
      </w:r>
    </w:p>
    <w:p w:rsidR="00F53E4A" w:rsidRPr="009F2D80" w:rsidRDefault="00F53E4A" w:rsidP="00F53E4A">
      <w:pPr>
        <w:spacing w:after="0" w:line="240" w:lineRule="auto"/>
        <w:rPr>
          <w:rFonts w:ascii="Arial" w:hAnsi="Arial" w:cs="Arial"/>
          <w:b/>
          <w:bCs/>
          <w:sz w:val="24"/>
          <w:szCs w:val="24"/>
        </w:rPr>
      </w:pPr>
    </w:p>
    <w:p w:rsidR="00F53E4A" w:rsidRPr="009F2D80" w:rsidRDefault="00F53E4A" w:rsidP="00F53E4A">
      <w:pPr>
        <w:autoSpaceDE w:val="0"/>
        <w:autoSpaceDN w:val="0"/>
        <w:adjustRightInd w:val="0"/>
        <w:ind w:left="2160" w:hanging="2160"/>
        <w:rPr>
          <w:rFonts w:ascii="Arial" w:hAnsi="Arial" w:cs="Arial"/>
          <w:b/>
          <w:bCs/>
          <w:sz w:val="24"/>
          <w:szCs w:val="24"/>
        </w:rPr>
      </w:pPr>
      <w:r w:rsidRPr="009F2D80">
        <w:rPr>
          <w:rFonts w:ascii="Arial" w:hAnsi="Arial" w:cs="Arial"/>
          <w:b/>
          <w:bCs/>
          <w:sz w:val="24"/>
          <w:szCs w:val="24"/>
        </w:rPr>
        <w:t xml:space="preserve">Salary:  </w:t>
      </w:r>
      <w:r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reimbursement is based on indicative </w:t>
      </w:r>
      <w:proofErr w:type="spellStart"/>
      <w:r w:rsidRPr="009F2D80">
        <w:rPr>
          <w:rFonts w:ascii="Arial" w:hAnsi="Arial" w:cs="Arial"/>
          <w:bCs/>
          <w:i/>
          <w:iCs/>
          <w:sz w:val="24"/>
          <w:szCs w:val="24"/>
        </w:rPr>
        <w:t>AfC</w:t>
      </w:r>
      <w:proofErr w:type="spellEnd"/>
      <w:r w:rsidRPr="009F2D80">
        <w:rPr>
          <w:rFonts w:ascii="Arial" w:hAnsi="Arial" w:cs="Arial"/>
          <w:bCs/>
          <w:i/>
          <w:iCs/>
          <w:sz w:val="24"/>
          <w:szCs w:val="24"/>
        </w:rPr>
        <w:t xml:space="preserve"> Band </w:t>
      </w:r>
      <w:r w:rsidR="00127732" w:rsidRPr="009F2D80">
        <w:rPr>
          <w:rFonts w:ascii="Arial" w:hAnsi="Arial" w:cs="Arial"/>
          <w:bCs/>
          <w:i/>
          <w:iCs/>
          <w:sz w:val="24"/>
          <w:szCs w:val="24"/>
        </w:rPr>
        <w:t>8a</w:t>
      </w:r>
      <w:r w:rsidRPr="009F2D80">
        <w:rPr>
          <w:rFonts w:ascii="Arial" w:hAnsi="Arial" w:cs="Arial"/>
          <w:bCs/>
          <w:sz w:val="24"/>
          <w:szCs w:val="24"/>
        </w:rPr>
        <w:t xml:space="preserve">] </w:t>
      </w:r>
    </w:p>
    <w:p w:rsidR="00F53E4A" w:rsidRPr="009F2D80" w:rsidRDefault="00F53E4A" w:rsidP="00F53E4A">
      <w:pPr>
        <w:spacing w:after="0" w:line="240" w:lineRule="auto"/>
        <w:rPr>
          <w:rFonts w:ascii="Arial" w:hAnsi="Arial" w:cs="Arial"/>
          <w:b/>
          <w:bCs/>
          <w:sz w:val="24"/>
          <w:szCs w:val="24"/>
        </w:rPr>
      </w:pPr>
    </w:p>
    <w:p w:rsidR="00F5192A" w:rsidRPr="009F2D80" w:rsidRDefault="00F5192A" w:rsidP="00F53E4A">
      <w:pPr>
        <w:spacing w:after="0" w:line="240" w:lineRule="auto"/>
        <w:rPr>
          <w:rFonts w:ascii="Arial" w:hAnsi="Arial" w:cs="Arial"/>
          <w:b/>
          <w:bCs/>
          <w:sz w:val="24"/>
          <w:szCs w:val="24"/>
        </w:rPr>
      </w:pPr>
      <w:r w:rsidRPr="009F2D80">
        <w:rPr>
          <w:rFonts w:ascii="Arial" w:hAnsi="Arial" w:cs="Arial"/>
          <w:b/>
          <w:bCs/>
          <w:sz w:val="24"/>
          <w:szCs w:val="24"/>
        </w:rPr>
        <w:t>Supervision</w:t>
      </w:r>
    </w:p>
    <w:p w:rsidR="00F5192A" w:rsidRPr="009F2D80" w:rsidRDefault="00F5192A" w:rsidP="00F5192A">
      <w:pPr>
        <w:spacing w:after="0" w:line="240" w:lineRule="auto"/>
        <w:rPr>
          <w:rFonts w:ascii="Arial" w:hAnsi="Arial" w:cs="Arial"/>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rsidR="00F5192A" w:rsidRPr="009F2D80" w:rsidRDefault="00F5192A" w:rsidP="00F5192A">
      <w:pPr>
        <w:spacing w:after="0" w:line="240" w:lineRule="auto"/>
        <w:rPr>
          <w:rFonts w:ascii="Arial" w:hAnsi="Arial" w:cs="Arial"/>
          <w:b/>
          <w:sz w:val="24"/>
          <w:szCs w:val="24"/>
        </w:rPr>
      </w:pPr>
    </w:p>
    <w:p w:rsidR="00127732" w:rsidRPr="009F2D80" w:rsidRDefault="00127732" w:rsidP="00127732">
      <w:pPr>
        <w:spacing w:after="0" w:line="240" w:lineRule="auto"/>
        <w:rPr>
          <w:rFonts w:ascii="Arial" w:hAnsi="Arial" w:cs="Arial"/>
          <w:b/>
          <w:sz w:val="24"/>
          <w:szCs w:val="24"/>
        </w:rPr>
      </w:pPr>
      <w:r w:rsidRPr="009F2D80">
        <w:rPr>
          <w:rFonts w:ascii="Arial" w:hAnsi="Arial" w:cs="Arial"/>
          <w:b/>
          <w:sz w:val="24"/>
          <w:szCs w:val="24"/>
        </w:rPr>
        <w:t>Scope of the Role</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first point of clinical contact for patients presenting with MSK conditions or symptoms, providing the patient with the primary assessment, diagnosis and management options for their condition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advanced clinical practice skills and clinical reasoning to provide comprehensive diagnostic and treatment support to patients who present with complex musculoskeletal conditions and/or multiple pathologies and/or mental health and/or pain management needs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advice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w:t>
      </w:r>
    </w:p>
    <w:p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initiate, develop, and maintain relationships with MDTs, orthopaedic and physiotherapy consultant teams in the community and acute settings.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Where appropriate</w:t>
      </w:r>
      <w:r w:rsidR="006F5D13" w:rsidRPr="009F2D80">
        <w:rPr>
          <w:rFonts w:ascii="Arial" w:hAnsi="Arial" w:cs="Arial"/>
          <w:sz w:val="24"/>
          <w:szCs w:val="24"/>
        </w:rPr>
        <w:t>,</w:t>
      </w:r>
      <w:r w:rsidRPr="009F2D80">
        <w:rPr>
          <w:rFonts w:ascii="Arial" w:hAnsi="Arial" w:cs="Arial"/>
          <w:sz w:val="24"/>
          <w:szCs w:val="24"/>
        </w:rPr>
        <w:t xml:space="preserve"> develop relationships with wider health and social care agencies, for example mental health teams, local authorities, third sector providers and patient groups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leadership and support on MSK clinical and service development across the PCN, alongside learning opportunities for the whole multi-disciplinary</w:t>
      </w:r>
      <w:r w:rsidR="006F5D13" w:rsidRPr="009F2D80">
        <w:rPr>
          <w:rFonts w:ascii="Arial" w:hAnsi="Arial" w:cs="Arial"/>
          <w:sz w:val="24"/>
          <w:szCs w:val="24"/>
        </w:rPr>
        <w:t xml:space="preserve"> team</w:t>
      </w:r>
      <w:r w:rsidRPr="009F2D80">
        <w:rPr>
          <w:rFonts w:ascii="Arial" w:hAnsi="Arial" w:cs="Arial"/>
          <w:sz w:val="24"/>
          <w:szCs w:val="24"/>
        </w:rPr>
        <w:t xml:space="preserve"> </w:t>
      </w:r>
      <w:r w:rsidR="006F5D13" w:rsidRPr="009F2D80">
        <w:rPr>
          <w:rFonts w:ascii="Arial" w:hAnsi="Arial" w:cs="Arial"/>
          <w:sz w:val="24"/>
          <w:szCs w:val="24"/>
        </w:rPr>
        <w:t xml:space="preserve">(MDT) </w:t>
      </w:r>
      <w:r w:rsidRPr="009F2D80">
        <w:rPr>
          <w:rFonts w:ascii="Arial" w:hAnsi="Arial" w:cs="Arial"/>
          <w:sz w:val="24"/>
          <w:szCs w:val="24"/>
        </w:rPr>
        <w:t xml:space="preserve">within primary care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highly specialist advice on issues ranging from the provision of expert opinion on individual patient treatment options to be a primary contributor to MSK services and related pathway development.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encourage collaborative working across the health economy and be a key contributor to the primary care networks providing leadership and support on MSK clinical and service development across the network</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w:t>
      </w:r>
      <w:r w:rsidR="006F5D13" w:rsidRPr="009F2D80">
        <w:rPr>
          <w:rFonts w:ascii="Arial" w:hAnsi="Arial" w:cs="Arial"/>
          <w:sz w:val="24"/>
          <w:szCs w:val="24"/>
        </w:rPr>
        <w:t xml:space="preserve">registered patients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as part of a</w:t>
      </w:r>
      <w:r w:rsidR="00E06940" w:rsidRPr="009F2D80">
        <w:rPr>
          <w:rFonts w:ascii="Arial" w:hAnsi="Arial" w:cs="Arial"/>
          <w:sz w:val="24"/>
          <w:szCs w:val="24"/>
        </w:rPr>
        <w:t>n</w:t>
      </w:r>
      <w:r w:rsidRPr="009F2D80">
        <w:rPr>
          <w:rFonts w:ascii="Arial" w:hAnsi="Arial" w:cs="Arial"/>
          <w:sz w:val="24"/>
          <w:szCs w:val="24"/>
        </w:rPr>
        <w:t xml:space="preserve"> </w:t>
      </w:r>
      <w:r w:rsidR="006F5D13" w:rsidRPr="009F2D80">
        <w:rPr>
          <w:rFonts w:ascii="Arial" w:hAnsi="Arial" w:cs="Arial"/>
          <w:sz w:val="24"/>
          <w:szCs w:val="24"/>
        </w:rPr>
        <w:t>MDT</w:t>
      </w:r>
      <w:r w:rsidRPr="009F2D80">
        <w:rPr>
          <w:rFonts w:ascii="Arial" w:hAnsi="Arial" w:cs="Arial"/>
          <w:sz w:val="24"/>
          <w:szCs w:val="24"/>
        </w:rPr>
        <w:t xml:space="preserve"> in a patient facing role, using their expert knowledge of movement and function issues, to create stronger links for wider services through clinical leadership, teaching and evaluation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6F5D13" w:rsidRPr="009F2D80">
        <w:rPr>
          <w:rFonts w:ascii="Arial" w:hAnsi="Arial" w:cs="Arial"/>
          <w:sz w:val="24"/>
          <w:szCs w:val="24"/>
        </w:rPr>
        <w:t>. T</w:t>
      </w:r>
      <w:r w:rsidRPr="009F2D80">
        <w:rPr>
          <w:rFonts w:ascii="Arial" w:hAnsi="Arial" w:cs="Arial"/>
          <w:sz w:val="24"/>
          <w:szCs w:val="24"/>
        </w:rPr>
        <w:t xml:space="preserve">ake responsibility for making and justifying these decisions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rsidR="00127732" w:rsidRPr="009F2D80" w:rsidRDefault="00127732" w:rsidP="00375092">
      <w:pPr>
        <w:pStyle w:val="Heading4"/>
        <w:numPr>
          <w:ilvl w:val="0"/>
          <w:numId w:val="32"/>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rsidR="00127732" w:rsidRPr="009F2D80" w:rsidRDefault="00127732" w:rsidP="00375092">
      <w:pPr>
        <w:pStyle w:val="Heading4"/>
        <w:numPr>
          <w:ilvl w:val="0"/>
          <w:numId w:val="32"/>
        </w:numPr>
        <w:spacing w:line="240" w:lineRule="auto"/>
        <w:rPr>
          <w:color w:val="auto"/>
        </w:rPr>
      </w:pPr>
      <w:r w:rsidRPr="009F2D80">
        <w:rPr>
          <w:color w:val="auto"/>
        </w:rPr>
        <w:t>develop integrated and tailored care programmes in partnership with patients through:</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evaluate and improve the effectiveness of self-management interventions, particularly for those at low levels of activation </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agreeing with patient’s appropriate support for self-management through referral to rehabilitation focussed services and wider social prescribing as appropriate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designing and implementing plans that facilitate behavioural change, optimise patients</w:t>
      </w:r>
      <w:r w:rsidR="00E06940" w:rsidRPr="009F2D80">
        <w:rPr>
          <w:rFonts w:ascii="Arial" w:hAnsi="Arial" w:cs="Arial"/>
          <w:sz w:val="24"/>
          <w:szCs w:val="24"/>
        </w:rPr>
        <w:t>’</w:t>
      </w:r>
      <w:r w:rsidRPr="009F2D80">
        <w:rPr>
          <w:rFonts w:ascii="Arial" w:hAnsi="Arial" w:cs="Arial"/>
          <w:sz w:val="24"/>
          <w:szCs w:val="24"/>
        </w:rPr>
        <w:t xml:space="preserve"> physical activity and mobility, support fulfilment of personal goals and independence, and reduce the need for pharmacological interventions </w:t>
      </w:r>
    </w:p>
    <w:p w:rsidR="00127732" w:rsidRPr="009F2D80" w:rsidRDefault="00127732" w:rsidP="00127732">
      <w:pPr>
        <w:spacing w:after="0" w:line="240" w:lineRule="auto"/>
        <w:rPr>
          <w:rFonts w:ascii="Arial" w:hAnsi="Arial" w:cs="Arial"/>
          <w:sz w:val="24"/>
          <w:szCs w:val="24"/>
        </w:rPr>
      </w:pPr>
    </w:p>
    <w:p w:rsidR="0037509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Clinical</w:t>
      </w: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 xml:space="preserv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request and progress investigations (such as x-rays and blood tests) and referrals to facilitate the diagnosis and choice of treatment regime including, considering the limitations of these investigations, interpret and act on results and feedback to aid patients’ diagnoses and management plans and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carry own caseload as an autonomous practitioner, providing direct clinical/</w:t>
      </w:r>
      <w:r w:rsidR="006F5D13" w:rsidRPr="009F2D80">
        <w:rPr>
          <w:rFonts w:ascii="Arial" w:hAnsi="Arial" w:cs="Arial"/>
          <w:sz w:val="24"/>
          <w:szCs w:val="24"/>
        </w:rPr>
        <w:t xml:space="preserve"> </w:t>
      </w:r>
      <w:r w:rsidRPr="009F2D80">
        <w:rPr>
          <w:rFonts w:ascii="Arial" w:hAnsi="Arial" w:cs="Arial"/>
          <w:sz w:val="24"/>
          <w:szCs w:val="24"/>
        </w:rPr>
        <w:t xml:space="preserve">physiotherapeutic care for patients with a range of complex </w:t>
      </w:r>
      <w:proofErr w:type="spellStart"/>
      <w:r w:rsidRPr="009F2D80">
        <w:rPr>
          <w:rFonts w:ascii="Arial" w:hAnsi="Arial" w:cs="Arial"/>
          <w:sz w:val="24"/>
          <w:szCs w:val="24"/>
        </w:rPr>
        <w:t>musculo</w:t>
      </w:r>
      <w:proofErr w:type="spellEnd"/>
      <w:r w:rsidRPr="009F2D80">
        <w:rPr>
          <w:rFonts w:ascii="Arial" w:hAnsi="Arial" w:cs="Arial"/>
          <w:sz w:val="24"/>
          <w:szCs w:val="24"/>
        </w:rPr>
        <w:t>-skeletal conditions and who may have significant other primary or secondary conditions/multi-pathologies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skills that may include:</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 aspirations</w:t>
      </w:r>
    </w:p>
    <w:p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non-medical prescribing</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rsidR="00240A1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able to demonstrate understanding of the impact of physiotherapeutic interventions on existing conditions and treatment programmes e.g. podiatric treatment, drug therapies, etc.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Ensuring physiotherapy interventions are integrated and supportive of the whole treatment aims promoting a holistic approach to condition managemen</w:t>
      </w:r>
      <w:r w:rsidR="006F5D13" w:rsidRPr="009F2D80">
        <w:rPr>
          <w:rFonts w:ascii="Arial" w:hAnsi="Arial" w:cs="Arial"/>
          <w:sz w:val="24"/>
          <w:szCs w:val="24"/>
        </w:rPr>
        <w:t>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 Including referral to the appropriate stage of the pathway and the use of social prescribing</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for patients that remain the responsibility of primary care services, take the lead for the management of the patient’s journey on their care pathway, acting as the link for the patient between primary care and other services/</w:t>
      </w:r>
      <w:r w:rsidR="006F5D13" w:rsidRPr="009F2D80">
        <w:rPr>
          <w:rFonts w:ascii="Arial" w:hAnsi="Arial" w:cs="Arial"/>
          <w:sz w:val="24"/>
          <w:szCs w:val="24"/>
        </w:rPr>
        <w:t xml:space="preserve"> </w:t>
      </w:r>
      <w:r w:rsidRPr="009F2D80">
        <w:rPr>
          <w:rFonts w:ascii="Arial" w:hAnsi="Arial" w:cs="Arial"/>
          <w:sz w:val="24"/>
          <w:szCs w:val="24"/>
        </w:rPr>
        <w:t>professionals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justify clinically referrals to other specialist services. This will include referral to acute and specialist services such as surgical orthopaedics, rheumatology and neurology, other AHP services, nursing services and to the primary care medical teams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recognise RED flags, serious pathology and potential underlying non-MSK related disease, that may present as MSK symptoms and to refer appropriately. When needed accelerate the patient’s referral to other health professionals/services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in partnership with the patient </w:t>
      </w:r>
      <w:proofErr w:type="gramStart"/>
      <w:r w:rsidRPr="009F2D80">
        <w:rPr>
          <w:rFonts w:ascii="Arial" w:hAnsi="Arial" w:cs="Arial"/>
          <w:sz w:val="24"/>
          <w:szCs w:val="24"/>
        </w:rPr>
        <w:t>at all times</w:t>
      </w:r>
      <w:proofErr w:type="gramEnd"/>
      <w:r w:rsidRPr="009F2D80">
        <w:rPr>
          <w:rFonts w:ascii="Arial" w:hAnsi="Arial" w:cs="Arial"/>
          <w:sz w:val="24"/>
          <w:szCs w:val="24"/>
        </w:rPr>
        <w:t xml:space="preserve"> to attain maximum participation in treatment programmes. This will include working with patients from diverse social background and cultures and understanding how this will affect treatment proposals and models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provide expert advice and act as source of expertise in the management of musculoskeletal conditions and provide a specialist advisory service to patients, specialist physiotherapists other specialist healthcare professionals and members of the primary care team</w:t>
      </w:r>
      <w:r w:rsidR="006F5D13" w:rsidRPr="009F2D80">
        <w:rPr>
          <w:rFonts w:ascii="Arial" w:hAnsi="Arial" w:cs="Arial"/>
          <w:sz w:val="24"/>
          <w:szCs w:val="24"/>
        </w:rPr>
        <w:t>, i</w:t>
      </w:r>
      <w:r w:rsidRPr="009F2D80">
        <w:rPr>
          <w:rFonts w:ascii="Arial" w:hAnsi="Arial" w:cs="Arial"/>
          <w:sz w:val="24"/>
          <w:szCs w:val="24"/>
        </w:rPr>
        <w:t>ncluding advising GPs on management of MSK conditions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clear advice, instruction and teaching on aspects of management of a condition to patients, relatives, carers and other health professionals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continually review and develop specialist clinical and diagnostic skills in response to service need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accountable for own </w:t>
      </w:r>
      <w:r w:rsidR="006F5D13" w:rsidRPr="009F2D80">
        <w:rPr>
          <w:rFonts w:ascii="Arial" w:hAnsi="Arial" w:cs="Arial"/>
          <w:sz w:val="24"/>
          <w:szCs w:val="24"/>
        </w:rPr>
        <w:t>d</w:t>
      </w:r>
      <w:r w:rsidRPr="009F2D80">
        <w:rPr>
          <w:rFonts w:ascii="Arial" w:hAnsi="Arial" w:cs="Arial"/>
          <w:sz w:val="24"/>
          <w:szCs w:val="24"/>
        </w:rPr>
        <w:t>ecisions and actions via HCPC registration and professional standards</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p>
    <w:p w:rsidR="00127732" w:rsidRPr="009F2D80" w:rsidRDefault="00127732" w:rsidP="00375092">
      <w:pPr>
        <w:spacing w:after="0" w:line="240" w:lineRule="auto"/>
        <w:ind w:firstLine="720"/>
        <w:rPr>
          <w:rFonts w:ascii="Arial" w:hAnsi="Arial" w:cs="Arial"/>
          <w:sz w:val="24"/>
          <w:szCs w:val="24"/>
        </w:rPr>
      </w:pPr>
    </w:p>
    <w:p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w:t>
      </w:r>
    </w:p>
    <w:p w:rsidR="00127732" w:rsidRPr="009F2D80" w:rsidRDefault="006F5D13"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w:t>
      </w:r>
      <w:r w:rsidR="00127732" w:rsidRPr="009F2D80">
        <w:rPr>
          <w:rFonts w:ascii="Arial" w:hAnsi="Arial" w:cs="Arial"/>
          <w:sz w:val="24"/>
          <w:szCs w:val="24"/>
        </w:rPr>
        <w:t xml:space="preserve">ttending primary care strategic and practice level meetings to represent FCP/physiotherapy when appropriate.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FCP/</w:t>
      </w:r>
      <w:r w:rsidR="006F5D13" w:rsidRPr="009F2D80">
        <w:rPr>
          <w:rFonts w:ascii="Arial" w:hAnsi="Arial" w:cs="Arial"/>
          <w:sz w:val="24"/>
          <w:szCs w:val="24"/>
        </w:rPr>
        <w:t xml:space="preserve"> </w:t>
      </w:r>
      <w:r w:rsidRPr="009F2D80">
        <w:rPr>
          <w:rFonts w:ascii="Arial" w:hAnsi="Arial" w:cs="Arial"/>
          <w:sz w:val="24"/>
          <w:szCs w:val="24"/>
        </w:rPr>
        <w:t>physiotherapy lead on the development of referral guidelines for MSK and MSK related conditions from primary care to other NHS services that will direct referrals to other primary care services, community, secondary and tertiary [specialist] services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be a primary contributor to the development of MSK pathways across the primary care network, NHS providers across the health economy. This includes contributing to pathways that are not primary MSK pathways, but which have MSK interventions along the pathway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collaboratively with the primary care team, including working across the Primary Care Network [PCN] </w:t>
      </w:r>
      <w:proofErr w:type="gramStart"/>
      <w:r w:rsidRPr="009F2D80">
        <w:rPr>
          <w:rFonts w:ascii="Arial" w:hAnsi="Arial" w:cs="Arial"/>
          <w:sz w:val="24"/>
          <w:szCs w:val="24"/>
        </w:rPr>
        <w:t>and also</w:t>
      </w:r>
      <w:proofErr w:type="gramEnd"/>
      <w:r w:rsidRPr="009F2D80">
        <w:rPr>
          <w:rFonts w:ascii="Arial" w:hAnsi="Arial" w:cs="Arial"/>
          <w:sz w:val="24"/>
          <w:szCs w:val="24"/>
        </w:rPr>
        <w:t xml:space="preserve"> in partnership with business managers, professional managers and lead clinicians of secondary, community and other care providers to improve service delivery and meet the identified needs of the local patient population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with the primary care team, public health professionals and other agencies to introduce a strand of service provision that highlights preventative strategies for local populations, patient groups and individuals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participate and lead in ensuring a professional culture of peer networking and support underpinned by active engagement in peer review and embracing evidence-based practice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demonstrate a detailed knowledge of wider health, healthcare and social care agencies related to MSK conditions and physiotherapy</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review and develop organisational and service policies that support the maintenance of good clinical governance, manage risk and ensure patient safety is paramount</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responsibility for the introduction, monitoring and review of service standards for MSK primary care service</w:t>
      </w:r>
      <w:r w:rsidR="006F5D13" w:rsidRPr="009F2D80">
        <w:rPr>
          <w:rFonts w:ascii="Arial" w:hAnsi="Arial" w:cs="Arial"/>
          <w:sz w:val="24"/>
          <w:szCs w:val="24"/>
        </w:rPr>
        <w:t>s,</w:t>
      </w:r>
      <w:r w:rsidRPr="009F2D80">
        <w:rPr>
          <w:rFonts w:ascii="Arial" w:hAnsi="Arial" w:cs="Arial"/>
          <w:sz w:val="24"/>
          <w:szCs w:val="24"/>
        </w:rPr>
        <w:t xml:space="preserve"> </w:t>
      </w:r>
      <w:r w:rsidR="006F5D13" w:rsidRPr="009F2D80">
        <w:rPr>
          <w:rFonts w:ascii="Arial" w:hAnsi="Arial" w:cs="Arial"/>
          <w:sz w:val="24"/>
          <w:szCs w:val="24"/>
        </w:rPr>
        <w:t>in</w:t>
      </w:r>
      <w:r w:rsidRPr="009F2D80">
        <w:rPr>
          <w:rFonts w:ascii="Arial" w:hAnsi="Arial" w:cs="Arial"/>
          <w:sz w:val="24"/>
          <w:szCs w:val="24"/>
        </w:rPr>
        <w:t>cluding clinical, professional and service standards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aware of and able to demonstrate of how the FCP role contributes to the achievement of key performance indicators [KPIs] for MSK primary care services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where service improvement is required in order to achieve standards and KPIs be a lead contributor to identifying where services need to be changed</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forward operational change within primary care MSK services to deliver improvements in service standards.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when introducing change, be aware of and responsible for identifying and managing alternative/contradictory views expressed by services and specialist clinicians.  For example, when negotiating and explaining proposals to change to service design, organisation and skill mix in primary care and related MSK services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participate in or lead investigation into complaints and clinical errors/incidents when appropriate. </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Education/Workforce Development</w:t>
      </w: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maintain a professional portfolio of knowledge and skills, at advanced clinical practice level, through participation in internal and external development opportunitie</w:t>
      </w:r>
      <w:r w:rsidR="00A55AFF" w:rsidRPr="009F2D80">
        <w:rPr>
          <w:rFonts w:ascii="Arial" w:hAnsi="Arial" w:cs="Arial"/>
          <w:sz w:val="24"/>
          <w:szCs w:val="24"/>
        </w:rPr>
        <w:t>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actively work across the Primary Care Network to identify skill and workforce gaps in MSK and FCP services and contribute to local workforce plan</w:t>
      </w:r>
      <w:r w:rsidR="00A55AFF" w:rsidRPr="009F2D80">
        <w:rPr>
          <w:rFonts w:ascii="Arial" w:hAnsi="Arial" w:cs="Arial"/>
          <w:sz w:val="24"/>
          <w:szCs w:val="24"/>
        </w:rPr>
        <w:t>s</w:t>
      </w:r>
    </w:p>
    <w:p w:rsidR="00127732" w:rsidRPr="009F2D80" w:rsidRDefault="0012773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integration of evidence-based practice and national guidelines into own and local FCP MSK service practice. Use expert knowledge of evidence-based guidelines and national frameworks to influence the development of FCP services across the PCN</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 This may include participation in cross organisational research and audit programmes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present and disseminate research and clinical audit findings across the PCN and wider service providers as required. Provid</w:t>
      </w:r>
      <w:r w:rsidR="009729DD" w:rsidRPr="009F2D80">
        <w:rPr>
          <w:rFonts w:ascii="Arial" w:hAnsi="Arial" w:cs="Arial"/>
          <w:sz w:val="24"/>
          <w:szCs w:val="24"/>
        </w:rPr>
        <w:t>e</w:t>
      </w:r>
      <w:r w:rsidRPr="009F2D80">
        <w:rPr>
          <w:rFonts w:ascii="Arial" w:hAnsi="Arial" w:cs="Arial"/>
          <w:sz w:val="24"/>
          <w:szCs w:val="24"/>
        </w:rPr>
        <w:t xml:space="preserve"> analysis of local and national data sets to illustrate service improvements and to promote service change </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inclusion of FCPs in regional, multi-disciplinary and/or local cross organisational research projects</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maintain and up-date audit and data derived from a range of data sets in order provide statistical reports on outcome measures and achievement of KPIs for a range of audience</w:t>
      </w:r>
      <w:r w:rsidR="009729DD" w:rsidRPr="009F2D80">
        <w:rPr>
          <w:rFonts w:ascii="Arial" w:hAnsi="Arial" w:cs="Arial"/>
          <w:sz w:val="24"/>
          <w:szCs w:val="24"/>
        </w:rPr>
        <w:t>s</w:t>
      </w:r>
    </w:p>
    <w:p w:rsidR="009729DD" w:rsidRPr="009F2D80" w:rsidRDefault="00127732" w:rsidP="0012773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rsidR="00375092" w:rsidRPr="009F2D80" w:rsidRDefault="00375092" w:rsidP="00127732">
      <w:pPr>
        <w:spacing w:after="0" w:line="240" w:lineRule="auto"/>
        <w:rPr>
          <w:rFonts w:ascii="Arial" w:hAnsi="Arial" w:cs="Arial"/>
          <w:sz w:val="24"/>
          <w:szCs w:val="24"/>
        </w:rPr>
      </w:pPr>
    </w:p>
    <w:p w:rsidR="00375092" w:rsidRPr="009F2D80" w:rsidRDefault="00375092" w:rsidP="00127732">
      <w:pPr>
        <w:spacing w:after="0" w:line="240" w:lineRule="auto"/>
        <w:rPr>
          <w:rFonts w:ascii="Arial" w:hAnsi="Arial" w:cs="Arial"/>
          <w:sz w:val="24"/>
          <w:szCs w:val="24"/>
        </w:rPr>
      </w:pPr>
    </w:p>
    <w:p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rsidR="00375092" w:rsidRPr="009F2D80" w:rsidRDefault="00375092" w:rsidP="00375092">
      <w:pPr>
        <w:spacing w:after="0" w:line="240" w:lineRule="auto"/>
        <w:rPr>
          <w:rFonts w:ascii="Arial" w:hAnsi="Arial" w:cs="Arial"/>
          <w:b/>
          <w:bCs/>
          <w:sz w:val="24"/>
          <w:szCs w:val="24"/>
        </w:rPr>
      </w:pP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the lead in communicating and influencing across the PCN the benefits of the FCP role in primary care</w:t>
      </w:r>
    </w:p>
    <w:p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and explain the FCP role and what it can deliver to a range of audiences including patient groups, patient population, individual patients and other primary care providers and linked services</w:t>
      </w:r>
    </w:p>
    <w:p w:rsidR="009729DD"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communicate effectively and appropriately with patients and carers</w:t>
      </w:r>
      <w:r w:rsidR="009729DD" w:rsidRPr="009F2D80">
        <w:rPr>
          <w:rFonts w:ascii="Arial" w:hAnsi="Arial" w:cs="Arial"/>
          <w:sz w:val="24"/>
          <w:szCs w:val="24"/>
        </w:rPr>
        <w:t>, including:</w:t>
      </w:r>
    </w:p>
    <w:p w:rsidR="009729DD"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explaining the diagnosis, prognosis and treatment choices available to manage multi-pathology and complex conditions</w:t>
      </w:r>
    </w:p>
    <w:p w:rsidR="00127732"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communicating limitations on treatment outcomes and managing expectations of patients with chronic or life limiting conditions</w:t>
      </w:r>
    </w:p>
    <w:p w:rsidR="00127732" w:rsidRPr="009F2D80" w:rsidRDefault="00127732" w:rsidP="00375092">
      <w:pPr>
        <w:spacing w:after="0" w:line="240" w:lineRule="auto"/>
        <w:ind w:firstLine="60"/>
        <w:rPr>
          <w:rFonts w:ascii="Arial" w:hAnsi="Arial" w:cs="Arial"/>
          <w:sz w:val="24"/>
          <w:szCs w:val="24"/>
        </w:rPr>
      </w:pPr>
    </w:p>
    <w:p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0"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rsidR="00127732" w:rsidRPr="009F2D80" w:rsidRDefault="00127732" w:rsidP="00127732">
      <w:pPr>
        <w:spacing w:after="0" w:line="240" w:lineRule="auto"/>
        <w:rPr>
          <w:rFonts w:ascii="Arial" w:hAnsi="Arial" w:cs="Arial"/>
          <w:sz w:val="24"/>
          <w:szCs w:val="24"/>
        </w:rPr>
      </w:pPr>
    </w:p>
    <w:p w:rsidR="00127732" w:rsidRPr="009F2D80" w:rsidRDefault="00127732" w:rsidP="00127732">
      <w:pPr>
        <w:spacing w:after="0" w:line="240" w:lineRule="auto"/>
        <w:rPr>
          <w:rFonts w:ascii="Arial" w:hAnsi="Arial" w:cs="Arial"/>
          <w:b/>
          <w:bCs/>
          <w:sz w:val="24"/>
          <w:szCs w:val="24"/>
        </w:rPr>
      </w:pPr>
      <w:r w:rsidRPr="009F2D80">
        <w:rPr>
          <w:rFonts w:ascii="Arial" w:hAnsi="Arial" w:cs="Arial"/>
          <w:b/>
          <w:bCs/>
          <w:sz w:val="24"/>
          <w:szCs w:val="24"/>
        </w:rPr>
        <w:t>Person Specification</w:t>
      </w:r>
    </w:p>
    <w:p w:rsidR="00127732" w:rsidRPr="009F2D80" w:rsidRDefault="00127732" w:rsidP="00127732">
      <w:pPr>
        <w:spacing w:after="0" w:line="240" w:lineRule="auto"/>
        <w:rPr>
          <w:rFonts w:ascii="Arial" w:hAnsi="Arial" w:cs="Arial"/>
          <w:b/>
          <w:bCs/>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685"/>
        <w:gridCol w:w="3209"/>
      </w:tblGrid>
      <w:tr w:rsidR="00A32B47" w:rsidRPr="009F2D80" w:rsidTr="00DA087F">
        <w:trPr>
          <w:cantSplit/>
        </w:trPr>
        <w:tc>
          <w:tcPr>
            <w:tcW w:w="2122"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bookmarkStart w:id="2" w:name="_Hlk46928050"/>
            <w:r w:rsidRPr="009F2D80">
              <w:rPr>
                <w:rFonts w:ascii="Arial" w:hAnsi="Arial" w:cs="Arial"/>
                <w:b/>
                <w:bCs/>
                <w:sz w:val="24"/>
                <w:szCs w:val="24"/>
              </w:rPr>
              <w:t>Element</w:t>
            </w:r>
          </w:p>
        </w:tc>
        <w:tc>
          <w:tcPr>
            <w:tcW w:w="3685"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209"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rsidR="00A32B47" w:rsidRPr="009F2D80" w:rsidRDefault="00A32B47" w:rsidP="00DA087F">
            <w:pPr>
              <w:spacing w:after="160" w:line="259" w:lineRule="auto"/>
              <w:rPr>
                <w:rFonts w:ascii="Arial" w:hAnsi="Arial" w:cs="Arial"/>
                <w:b/>
                <w:bCs/>
                <w:sz w:val="24"/>
                <w:szCs w:val="24"/>
              </w:rPr>
            </w:pPr>
          </w:p>
          <w:p w:rsidR="00A32B47" w:rsidRPr="009F2D80" w:rsidRDefault="00A32B47" w:rsidP="00DA087F">
            <w:pPr>
              <w:spacing w:after="160" w:line="259" w:lineRule="auto"/>
              <w:rPr>
                <w:rFonts w:ascii="Arial" w:hAnsi="Arial" w:cs="Arial"/>
                <w:b/>
                <w:bCs/>
                <w:sz w:val="24"/>
                <w:szCs w:val="24"/>
              </w:rPr>
            </w:pPr>
          </w:p>
        </w:tc>
        <w:tc>
          <w:tcPr>
            <w:tcW w:w="3685" w:type="dxa"/>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sidRPr="009F2D80">
              <w:rPr>
                <w:rFonts w:ascii="Arial" w:hAnsi="Arial" w:cs="Arial"/>
                <w:sz w:val="24"/>
                <w:szCs w:val="24"/>
              </w:rPr>
              <w:t xml:space="preserve"> </w:t>
            </w:r>
            <w:r w:rsidRPr="009F2D80">
              <w:rPr>
                <w:rFonts w:ascii="Arial" w:hAnsi="Arial" w:cs="Arial"/>
                <w:sz w:val="24"/>
                <w:szCs w:val="24"/>
              </w:rPr>
              <w:t xml:space="preserve">registration </w:t>
            </w:r>
          </w:p>
          <w:p w:rsidR="00A32B47" w:rsidRPr="009F2D80" w:rsidRDefault="00A32B47" w:rsidP="00A32B47">
            <w:pPr>
              <w:pStyle w:val="ListParagraph"/>
              <w:rPr>
                <w:rFonts w:ascii="Arial" w:hAnsi="Arial" w:cs="Arial"/>
                <w:sz w:val="24"/>
                <w:szCs w:val="24"/>
              </w:rPr>
            </w:pPr>
          </w:p>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1"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209" w:type="dxa"/>
          </w:tcPr>
          <w:p w:rsidR="00A32B47" w:rsidRPr="009F2D80" w:rsidRDefault="0033049A" w:rsidP="00A32B47">
            <w:pPr>
              <w:pStyle w:val="ListParagraph"/>
              <w:widowControl w:val="0"/>
              <w:numPr>
                <w:ilvl w:val="0"/>
                <w:numId w:val="27"/>
              </w:numPr>
              <w:autoSpaceDE w:val="0"/>
              <w:autoSpaceDN w:val="0"/>
              <w:rPr>
                <w:rFonts w:ascii="Arial" w:hAnsi="Arial" w:cs="Arial"/>
                <w:sz w:val="24"/>
                <w:szCs w:val="24"/>
              </w:rPr>
            </w:pPr>
            <w:r>
              <w:rPr>
                <w:rFonts w:ascii="Arial" w:hAnsi="Arial" w:cs="Arial"/>
                <w:sz w:val="24"/>
                <w:szCs w:val="24"/>
              </w:rPr>
              <w:t xml:space="preserve">Pre-reg </w:t>
            </w:r>
            <w:r w:rsidR="00A32B47" w:rsidRPr="009F2D80">
              <w:rPr>
                <w:rFonts w:ascii="Arial" w:hAnsi="Arial" w:cs="Arial"/>
                <w:sz w:val="24"/>
                <w:szCs w:val="24"/>
              </w:rPr>
              <w:t>MSc degree in Physiotherapy or equivalent</w:t>
            </w:r>
          </w:p>
          <w:p w:rsidR="00A32B47" w:rsidRPr="009F2D80" w:rsidRDefault="00A32B47" w:rsidP="00DA087F">
            <w:pPr>
              <w:pStyle w:val="ListParagraph"/>
              <w:widowControl w:val="0"/>
              <w:autoSpaceDE w:val="0"/>
              <w:autoSpaceDN w:val="0"/>
              <w:ind w:left="360"/>
              <w:rPr>
                <w:rFonts w:ascii="Arial" w:hAnsi="Arial" w:cs="Arial"/>
                <w:sz w:val="24"/>
                <w:szCs w:val="24"/>
              </w:rPr>
            </w:pP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Knowledge</w:t>
            </w:r>
          </w:p>
        </w:tc>
        <w:tc>
          <w:tcPr>
            <w:tcW w:w="3685" w:type="dxa"/>
          </w:tcPr>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significant leadership and experience in applying the physiotherapy process to include MSK assessment, interpretation, individual care planning, motivation, monitoring and evaluation of highly specialised MSK treatment</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senior level decision making and delivery in a changing environment</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of specialist staff/ line management </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stakeholders/providing leadership within the MSK pathway</w:t>
            </w:r>
          </w:p>
          <w:p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w:t>
            </w:r>
            <w:r w:rsidR="00A32B47" w:rsidRPr="009F2D80">
              <w:rPr>
                <w:rFonts w:ascii="Arial" w:hAnsi="Arial" w:cs="Arial"/>
                <w:sz w:val="24"/>
                <w:szCs w:val="24"/>
              </w:rPr>
              <w:t>bility to lead and manage change across own service and wider MDT team/services.</w:t>
            </w:r>
          </w:p>
          <w:p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w:t>
            </w:r>
            <w:r w:rsidR="00A32B47" w:rsidRPr="009F2D80">
              <w:rPr>
                <w:rFonts w:ascii="Arial" w:hAnsi="Arial" w:cs="Arial"/>
                <w:sz w:val="24"/>
                <w:szCs w:val="24"/>
              </w:rPr>
              <w:t xml:space="preserve">bility to integrate latest </w:t>
            </w:r>
            <w:r w:rsidR="00C93307" w:rsidRPr="009F2D80">
              <w:rPr>
                <w:rFonts w:ascii="Arial" w:hAnsi="Arial" w:cs="Arial"/>
                <w:sz w:val="24"/>
                <w:szCs w:val="24"/>
              </w:rPr>
              <w:t>evidence-based</w:t>
            </w:r>
            <w:r w:rsidR="00A32B47" w:rsidRPr="009F2D80">
              <w:rPr>
                <w:rFonts w:ascii="Arial" w:hAnsi="Arial" w:cs="Arial"/>
                <w:sz w:val="24"/>
                <w:szCs w:val="24"/>
              </w:rPr>
              <w:t xml:space="preserve"> practice into services and ability to use to lead change across a pathway/range of providers </w:t>
            </w:r>
          </w:p>
        </w:tc>
        <w:tc>
          <w:tcPr>
            <w:tcW w:w="3209" w:type="dxa"/>
          </w:tcPr>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working towards advanced clinical practitioner status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line management </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 knowledge of cognitive behavioural and motivational interviewing approaches / skills</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t>Analytical skills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able to understand and analyse complex issues and balance competing priorities in order to make difficult decisions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ability</w:t>
            </w:r>
            <w:r w:rsidRPr="009F2D80">
              <w:rPr>
                <w:rFonts w:ascii="Arial" w:hAnsi="Arial" w:cs="Arial"/>
                <w:spacing w:val="-3"/>
                <w:sz w:val="24"/>
                <w:szCs w:val="24"/>
              </w:rPr>
              <w:t xml:space="preserve"> </w:t>
            </w:r>
            <w:r w:rsidRPr="009F2D80">
              <w:rPr>
                <w:rFonts w:ascii="Arial" w:hAnsi="Arial" w:cs="Arial"/>
                <w:sz w:val="24"/>
                <w:szCs w:val="24"/>
              </w:rPr>
              <w:t xml:space="preserve">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t>Communication skills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inspiring and motivating teams with the ability to communicate passionately, effectively and persuasively across a diverse set of stakeholders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negotiate effectively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build effective relationships with a range of stakeholders which are based on openness, honesty trust and confidence</w:t>
            </w:r>
          </w:p>
        </w:tc>
      </w:tr>
      <w:tr w:rsidR="00A32B47" w:rsidRPr="009F2D80" w:rsidTr="00DA087F">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685"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strong and inspirational leadership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co-ordinate and prioritise workloads – able to multi-task as well as be self-disciplined and highly motivated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209"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high degree of personal credibility, emotional intelligence, patience and flexibility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cope with unpredictable situations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2"/>
    </w:tbl>
    <w:p w:rsidR="00A32B47" w:rsidRPr="009F2D80" w:rsidRDefault="00A32B47" w:rsidP="00127732">
      <w:pPr>
        <w:spacing w:after="0" w:line="240" w:lineRule="auto"/>
        <w:rPr>
          <w:rFonts w:ascii="Arial" w:hAnsi="Arial" w:cs="Arial"/>
          <w:b/>
          <w:bCs/>
          <w:sz w:val="24"/>
          <w:szCs w:val="24"/>
        </w:rPr>
      </w:pPr>
    </w:p>
    <w:p w:rsidR="00A32B47" w:rsidRPr="009F2D80" w:rsidRDefault="00A32B47" w:rsidP="007D0FC6">
      <w:pPr>
        <w:spacing w:after="0" w:line="240" w:lineRule="auto"/>
        <w:rPr>
          <w:rFonts w:ascii="Arial" w:hAnsi="Arial" w:cs="Arial"/>
          <w:b/>
          <w:sz w:val="24"/>
          <w:szCs w:val="24"/>
        </w:rPr>
      </w:pPr>
    </w:p>
    <w:p w:rsidR="007D0FC6"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t xml:space="preserve">First Contact Physiotherapist (musculoskeletal conditions) </w:t>
      </w:r>
    </w:p>
    <w:p w:rsidR="007D0FC6" w:rsidRPr="009F2D80" w:rsidRDefault="007D0FC6" w:rsidP="007D0FC6">
      <w:pPr>
        <w:autoSpaceDE w:val="0"/>
        <w:autoSpaceDN w:val="0"/>
        <w:adjustRightInd w:val="0"/>
        <w:spacing w:after="0" w:line="240" w:lineRule="auto"/>
        <w:rPr>
          <w:rFonts w:ascii="Arial" w:hAnsi="Arial" w:cs="Arial"/>
          <w:b/>
          <w:bCs/>
          <w:sz w:val="24"/>
          <w:szCs w:val="24"/>
        </w:rPr>
      </w:pPr>
    </w:p>
    <w:p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t xml:space="preserve">Job Title:  </w:t>
      </w:r>
      <w:r w:rsidRPr="009F2D80">
        <w:rPr>
          <w:rFonts w:ascii="Arial" w:hAnsi="Arial" w:cs="Arial"/>
          <w:bCs/>
          <w:sz w:val="24"/>
          <w:szCs w:val="24"/>
        </w:rPr>
        <w:t>First Contact Physiotherapist (musculoskeletal conditions)</w:t>
      </w:r>
    </w:p>
    <w:p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sz w:val="24"/>
          <w:szCs w:val="24"/>
        </w:rPr>
        <w:t>To be determined by PCN</w:t>
      </w:r>
    </w:p>
    <w:p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Accountable to: </w:t>
      </w:r>
      <w:r w:rsidRPr="009F2D80">
        <w:rPr>
          <w:rFonts w:ascii="Arial" w:hAnsi="Arial" w:cs="Arial"/>
          <w:sz w:val="24"/>
          <w:szCs w:val="24"/>
        </w:rPr>
        <w:t xml:space="preserve"> To be determined by PCN</w:t>
      </w:r>
    </w:p>
    <w:p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Hours of work:  </w:t>
      </w:r>
      <w:r w:rsidR="009F2D80">
        <w:rPr>
          <w:rFonts w:ascii="Arial" w:hAnsi="Arial" w:cs="Arial"/>
          <w:b/>
          <w:bCs/>
          <w:sz w:val="24"/>
          <w:szCs w:val="24"/>
        </w:rPr>
        <w:t xml:space="preserve"> </w:t>
      </w:r>
      <w:r w:rsidRPr="009F2D80">
        <w:rPr>
          <w:rFonts w:ascii="Arial" w:hAnsi="Arial" w:cs="Arial"/>
          <w:b/>
          <w:bCs/>
          <w:sz w:val="24"/>
          <w:szCs w:val="24"/>
        </w:rPr>
        <w:t xml:space="preserve"> </w:t>
      </w:r>
      <w:r w:rsidRPr="009F2D80">
        <w:rPr>
          <w:rFonts w:ascii="Arial" w:hAnsi="Arial" w:cs="Arial"/>
          <w:sz w:val="24"/>
          <w:szCs w:val="24"/>
        </w:rPr>
        <w:t>To be determined by PCN</w:t>
      </w:r>
    </w:p>
    <w:p w:rsidR="007D0FC6" w:rsidRPr="009F2D80" w:rsidRDefault="007D0FC6" w:rsidP="00E15C8D">
      <w:pPr>
        <w:autoSpaceDE w:val="0"/>
        <w:autoSpaceDN w:val="0"/>
        <w:adjustRightInd w:val="0"/>
        <w:spacing w:after="0" w:line="360" w:lineRule="auto"/>
        <w:ind w:left="1980" w:hanging="1980"/>
        <w:rPr>
          <w:rFonts w:ascii="Arial" w:hAnsi="Arial" w:cs="Arial"/>
          <w:bCs/>
          <w:sz w:val="24"/>
          <w:szCs w:val="24"/>
        </w:rPr>
      </w:pPr>
      <w:r w:rsidRPr="009F2D80">
        <w:rPr>
          <w:rFonts w:ascii="Arial" w:hAnsi="Arial" w:cs="Arial"/>
          <w:b/>
          <w:bCs/>
          <w:sz w:val="24"/>
          <w:szCs w:val="24"/>
        </w:rPr>
        <w:t>Salary</w:t>
      </w:r>
      <w:r w:rsidR="00E15C8D" w:rsidRPr="009F2D80">
        <w:rPr>
          <w:rFonts w:ascii="Arial" w:hAnsi="Arial" w:cs="Arial"/>
          <w:b/>
          <w:bCs/>
          <w:sz w:val="24"/>
          <w:szCs w:val="24"/>
        </w:rPr>
        <w:t xml:space="preserve">: </w:t>
      </w:r>
      <w:r w:rsidR="00E15C8D"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w:t>
      </w:r>
      <w:r w:rsidR="00E06940" w:rsidRPr="009F2D80">
        <w:rPr>
          <w:rFonts w:ascii="Arial" w:hAnsi="Arial" w:cs="Arial"/>
          <w:bCs/>
          <w:i/>
          <w:iCs/>
          <w:sz w:val="24"/>
          <w:szCs w:val="24"/>
        </w:rPr>
        <w:t>r</w:t>
      </w:r>
      <w:r w:rsidRPr="009F2D80">
        <w:rPr>
          <w:rFonts w:ascii="Arial" w:hAnsi="Arial" w:cs="Arial"/>
          <w:bCs/>
          <w:i/>
          <w:iCs/>
          <w:sz w:val="24"/>
          <w:szCs w:val="24"/>
        </w:rPr>
        <w:t xml:space="preserve">eimbursement is based on indicative </w:t>
      </w:r>
      <w:proofErr w:type="spellStart"/>
      <w:r w:rsidRPr="009F2D80">
        <w:rPr>
          <w:rFonts w:ascii="Arial" w:hAnsi="Arial" w:cs="Arial"/>
          <w:bCs/>
          <w:i/>
          <w:iCs/>
          <w:sz w:val="24"/>
          <w:szCs w:val="24"/>
        </w:rPr>
        <w:t>AfC</w:t>
      </w:r>
      <w:proofErr w:type="spellEnd"/>
      <w:r w:rsidRPr="009F2D80">
        <w:rPr>
          <w:rFonts w:ascii="Arial" w:hAnsi="Arial" w:cs="Arial"/>
          <w:bCs/>
          <w:i/>
          <w:iCs/>
          <w:sz w:val="24"/>
          <w:szCs w:val="24"/>
        </w:rPr>
        <w:t xml:space="preserve"> Band 7</w:t>
      </w:r>
      <w:r w:rsidRPr="009F2D80">
        <w:rPr>
          <w:rFonts w:ascii="Arial" w:hAnsi="Arial" w:cs="Arial"/>
          <w:bCs/>
          <w:sz w:val="24"/>
          <w:szCs w:val="24"/>
        </w:rPr>
        <w:t xml:space="preserve">] </w:t>
      </w:r>
    </w:p>
    <w:p w:rsidR="00FD019F" w:rsidRPr="009F2D80" w:rsidRDefault="00FD019F" w:rsidP="00FD019F">
      <w:pPr>
        <w:rPr>
          <w:rFonts w:ascii="Arial" w:hAnsi="Arial" w:cs="Arial"/>
          <w:sz w:val="24"/>
          <w:szCs w:val="24"/>
        </w:rPr>
      </w:pPr>
    </w:p>
    <w:p w:rsidR="00FD019F" w:rsidRPr="009F2D80" w:rsidRDefault="00FD019F" w:rsidP="00FD019F">
      <w:pPr>
        <w:rPr>
          <w:rFonts w:ascii="Arial" w:hAnsi="Arial" w:cs="Arial"/>
          <w:sz w:val="24"/>
          <w:szCs w:val="24"/>
        </w:rPr>
      </w:pPr>
      <w:r w:rsidRPr="009F2D80">
        <w:rPr>
          <w:rFonts w:ascii="Arial" w:hAnsi="Arial" w:cs="Arial"/>
          <w:sz w:val="24"/>
          <w:szCs w:val="24"/>
        </w:rPr>
        <w:t xml:space="preserve">This complementary guidance has been provided to support PCNs in the recruitment or engagement of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12"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rsidR="00FD019F" w:rsidRPr="009F2D80" w:rsidRDefault="00FD019F" w:rsidP="00FD019F">
      <w:pPr>
        <w:spacing w:after="0" w:line="240" w:lineRule="auto"/>
        <w:rPr>
          <w:rFonts w:ascii="Arial" w:hAnsi="Arial" w:cs="Arial"/>
          <w:sz w:val="24"/>
          <w:szCs w:val="24"/>
        </w:rPr>
      </w:pPr>
      <w:r w:rsidRPr="009F2D80">
        <w:rPr>
          <w:rFonts w:ascii="Arial" w:hAnsi="Arial" w:cs="Arial"/>
          <w:sz w:val="24"/>
          <w:szCs w:val="24"/>
        </w:rPr>
        <w:t xml:space="preserve">PCNs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13" w:history="1">
        <w:r w:rsidRPr="009F2D80">
          <w:rPr>
            <w:rFonts w:ascii="Arial" w:hAnsi="Arial" w:cs="Arial"/>
            <w:sz w:val="24"/>
            <w:szCs w:val="24"/>
            <w:u w:val="single"/>
          </w:rPr>
          <w:t>here</w:t>
        </w:r>
      </w:hyperlink>
      <w:r w:rsidRPr="009F2D80">
        <w:rPr>
          <w:rFonts w:ascii="Arial" w:hAnsi="Arial" w:cs="Arial"/>
          <w:sz w:val="24"/>
          <w:szCs w:val="24"/>
        </w:rPr>
        <w:t>.</w:t>
      </w:r>
    </w:p>
    <w:p w:rsidR="00FD019F" w:rsidRPr="009F2D80" w:rsidRDefault="00FD019F" w:rsidP="007D0FC6">
      <w:pPr>
        <w:spacing w:after="0" w:line="360" w:lineRule="auto"/>
        <w:rPr>
          <w:rFonts w:ascii="Arial" w:hAnsi="Arial" w:cs="Arial"/>
          <w:b/>
          <w:bCs/>
          <w:sz w:val="24"/>
          <w:szCs w:val="24"/>
        </w:rPr>
      </w:pPr>
    </w:p>
    <w:p w:rsidR="007D0FC6" w:rsidRPr="009F2D80" w:rsidRDefault="007D0FC6" w:rsidP="007D0FC6">
      <w:pPr>
        <w:spacing w:after="0" w:line="360" w:lineRule="auto"/>
        <w:rPr>
          <w:rFonts w:ascii="Arial" w:hAnsi="Arial" w:cs="Arial"/>
          <w:b/>
          <w:bCs/>
          <w:sz w:val="24"/>
          <w:szCs w:val="24"/>
        </w:rPr>
      </w:pPr>
      <w:r w:rsidRPr="009F2D80">
        <w:rPr>
          <w:rFonts w:ascii="Arial" w:hAnsi="Arial" w:cs="Arial"/>
          <w:b/>
          <w:bCs/>
          <w:sz w:val="24"/>
          <w:szCs w:val="24"/>
        </w:rPr>
        <w:t>Supervision</w:t>
      </w:r>
    </w:p>
    <w:p w:rsidR="00C93307" w:rsidRPr="009F2D80" w:rsidRDefault="007D0FC6" w:rsidP="007D0FC6">
      <w:pPr>
        <w:spacing w:after="0" w:line="240" w:lineRule="auto"/>
        <w:rPr>
          <w:rFonts w:ascii="Arial" w:hAnsi="Arial" w:cs="Arial"/>
          <w:b/>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9F0843" w:rsidRPr="009F2D80" w:rsidRDefault="009F0843"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C41B4A" w:rsidRPr="009F2D80" w:rsidRDefault="00C41B4A" w:rsidP="007D0FC6">
      <w:pPr>
        <w:spacing w:after="0" w:line="240" w:lineRule="auto"/>
        <w:rPr>
          <w:rFonts w:ascii="Arial" w:hAnsi="Arial" w:cs="Arial"/>
          <w:b/>
          <w:sz w:val="24"/>
          <w:szCs w:val="24"/>
        </w:rPr>
      </w:pPr>
    </w:p>
    <w:p w:rsidR="00E15C8D"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t>Scope of the Role</w:t>
      </w:r>
    </w:p>
    <w:p w:rsidR="00E15C8D" w:rsidRPr="009F2D80" w:rsidRDefault="00E15C8D" w:rsidP="007D0FC6">
      <w:pPr>
        <w:spacing w:after="0" w:line="240" w:lineRule="auto"/>
        <w:rPr>
          <w:rFonts w:ascii="Arial" w:hAnsi="Arial" w:cs="Arial"/>
          <w:b/>
          <w:sz w:val="24"/>
          <w:szCs w:val="24"/>
        </w:rPr>
      </w:pP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the first point of contact for expert clinical assessment and diagnosis of patients presenting with MSK conditions in primary care/GP practices. This will include patients who present with a range of multiple needs and underlying pathologies/other primary conditions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of advanced assessment tools and application of expert treatment modalities/techniques will be required</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advice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 Educate on the role of the FCP, its impact on referral patterns and patient care pathways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maintain </w:t>
      </w:r>
      <w:r w:rsidR="00FD019F" w:rsidRPr="009F2D80">
        <w:rPr>
          <w:rFonts w:ascii="Arial" w:hAnsi="Arial" w:cs="Arial"/>
          <w:sz w:val="24"/>
          <w:szCs w:val="24"/>
        </w:rPr>
        <w:t>strong</w:t>
      </w:r>
      <w:r w:rsidRPr="009F2D80">
        <w:rPr>
          <w:rFonts w:ascii="Arial" w:hAnsi="Arial" w:cs="Arial"/>
          <w:sz w:val="24"/>
          <w:szCs w:val="24"/>
        </w:rPr>
        <w:t xml:space="preserve"> relationships with orthopaedic consultant teams, relevant MDT and physiotherapy services in community and acute settings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where appropriate develop relationships with wider health and social care agencies, for example mental health teams, local authorities, third sector providers and patient groups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to provide leadership to primary care multi-disciplinary teams on physiotherapeutic management of MSK conditions. This will include the provision of highly specialist advice on issues ranging from the provision of expert opinion on individual patient treatment options to be a contributor to MSK services and related pathway development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Registered Patients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as part of a multi-disciplinary team in a patient facing role, using their expert knowledge of movement and function issues, to create stronger links for wider services through clinical leadership, teaching and evaluation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FD019F" w:rsidRPr="009F2D80">
        <w:rPr>
          <w:rFonts w:ascii="Arial" w:hAnsi="Arial" w:cs="Arial"/>
          <w:sz w:val="24"/>
          <w:szCs w:val="24"/>
        </w:rPr>
        <w:t xml:space="preserve">, and </w:t>
      </w:r>
      <w:r w:rsidRPr="009F2D80">
        <w:rPr>
          <w:rFonts w:ascii="Arial" w:hAnsi="Arial" w:cs="Arial"/>
          <w:sz w:val="24"/>
          <w:szCs w:val="24"/>
        </w:rPr>
        <w:t xml:space="preserve">take responsibility for making and justifying these decisions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rsidR="007D0FC6" w:rsidRPr="009F2D80" w:rsidRDefault="007D0FC6" w:rsidP="00E15C8D">
      <w:pPr>
        <w:pStyle w:val="Heading4"/>
        <w:numPr>
          <w:ilvl w:val="0"/>
          <w:numId w:val="31"/>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rsidR="00FD019F" w:rsidRPr="009F2D80" w:rsidRDefault="00FD019F" w:rsidP="00FD019F">
      <w:pPr>
        <w:rPr>
          <w:lang w:eastAsia="ja-JP" w:bidi="ne-NP"/>
        </w:rPr>
      </w:pPr>
    </w:p>
    <w:p w:rsidR="007D0FC6" w:rsidRPr="009F2D80" w:rsidRDefault="007D0FC6" w:rsidP="00E15C8D">
      <w:pPr>
        <w:pStyle w:val="Heading4"/>
        <w:numPr>
          <w:ilvl w:val="0"/>
          <w:numId w:val="31"/>
        </w:numPr>
        <w:spacing w:line="240" w:lineRule="auto"/>
        <w:rPr>
          <w:color w:val="auto"/>
        </w:rPr>
      </w:pPr>
      <w:r w:rsidRPr="009F2D80">
        <w:rPr>
          <w:color w:val="auto"/>
        </w:rPr>
        <w:t>develop integrated and tailored care programmes in partnership with patients through:</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evaluate and improve the effectiveness of self-management interventions, particularly for those at low levels of activation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agreeing with patient’s appropriate support for self-management through referral to rehabilitation focussed services and wider social prescribing as appropriate </w:t>
      </w:r>
    </w:p>
    <w:p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designing and implementing plans that facilitate behavioural change, optimise patient’s physical activity and mobility, support fulfilment of personal goals and independence, and reduce the need for pharmacological interventions </w:t>
      </w:r>
    </w:p>
    <w:p w:rsidR="007D0FC6" w:rsidRPr="009F2D80" w:rsidRDefault="007D0FC6" w:rsidP="007D0FC6">
      <w:pPr>
        <w:pStyle w:val="ListParagraph"/>
        <w:spacing w:after="0" w:line="240" w:lineRule="auto"/>
        <w:rPr>
          <w:rFonts w:ascii="Arial" w:hAnsi="Arial" w:cs="Arial"/>
          <w:sz w:val="24"/>
          <w:szCs w:val="24"/>
        </w:rPr>
      </w:pPr>
    </w:p>
    <w:p w:rsidR="007D0FC6" w:rsidRPr="009F2D80" w:rsidRDefault="007D0FC6" w:rsidP="007D0FC6">
      <w:pPr>
        <w:spacing w:after="0" w:line="240" w:lineRule="auto"/>
        <w:rPr>
          <w:rFonts w:ascii="Arial" w:hAnsi="Arial" w:cs="Arial"/>
          <w:sz w:val="24"/>
          <w:szCs w:val="24"/>
        </w:rPr>
      </w:pPr>
    </w:p>
    <w:p w:rsidR="007D0FC6" w:rsidRPr="009F2D80" w:rsidRDefault="007D0FC6" w:rsidP="00E15C8D">
      <w:pPr>
        <w:spacing w:after="0" w:line="240" w:lineRule="auto"/>
        <w:rPr>
          <w:rFonts w:ascii="Arial" w:hAnsi="Arial" w:cs="Arial"/>
          <w:b/>
          <w:bCs/>
          <w:sz w:val="24"/>
          <w:szCs w:val="24"/>
        </w:rPr>
      </w:pPr>
      <w:r w:rsidRPr="009F2D80">
        <w:rPr>
          <w:rFonts w:ascii="Arial" w:hAnsi="Arial" w:cs="Arial"/>
          <w:b/>
          <w:bCs/>
          <w:sz w:val="24"/>
          <w:szCs w:val="24"/>
        </w:rPr>
        <w:t xml:space="preserve">Clinical </w:t>
      </w:r>
    </w:p>
    <w:p w:rsidR="007D0FC6" w:rsidRPr="009F2D80" w:rsidRDefault="007D0FC6" w:rsidP="00E15C8D">
      <w:pPr>
        <w:pStyle w:val="ListParagraph"/>
        <w:spacing w:after="0" w:line="240" w:lineRule="auto"/>
        <w:rPr>
          <w:rFonts w:ascii="Arial" w:hAnsi="Arial" w:cs="Arial"/>
          <w:sz w:val="24"/>
          <w:szCs w:val="24"/>
        </w:rPr>
      </w:pP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advance clinical practice skills and clinical reasoning to provide comprehensive diagnostic and treatment support patients who present with complex musculoskeletal conditions and/or multiple pathologies and/or mental health and/or pain management needs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independently request diagnostic tests including routine and specialist x-rays, MRI imaging, ultrasound scans and blood and other pathology tests. Interpret the results alongside traditional physiotherapeutic assessment techniques and non-clinical information to aid clinical diagnosis and decisions on potential treatment options/clinical interventions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carry own caseload as an autonomous practitioner, providing direct clinical/physiotherapeutic care for patients with a range of complex </w:t>
      </w:r>
      <w:proofErr w:type="spellStart"/>
      <w:r w:rsidRPr="009F2D80">
        <w:rPr>
          <w:rFonts w:ascii="Arial" w:hAnsi="Arial" w:cs="Arial"/>
          <w:sz w:val="24"/>
          <w:szCs w:val="24"/>
        </w:rPr>
        <w:t>musculo</w:t>
      </w:r>
      <w:proofErr w:type="spellEnd"/>
      <w:r w:rsidRPr="009F2D80">
        <w:rPr>
          <w:rFonts w:ascii="Arial" w:hAnsi="Arial" w:cs="Arial"/>
          <w:sz w:val="24"/>
          <w:szCs w:val="24"/>
        </w:rPr>
        <w:t>-skeletal conditions and who may have significant other primary or secondary conditions/multi-pathologies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clinical skills that may include:</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 aspirations</w:t>
      </w:r>
    </w:p>
    <w:p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non-medical prescribing</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demonstrate understanding of the impact of physiotherapeutic interventions on existing conditions and treatment programmes e.g. podiatric treatment, drug therapies, etc.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ensure</w:t>
      </w:r>
      <w:r w:rsidR="007D0FC6" w:rsidRPr="009F2D80">
        <w:rPr>
          <w:rFonts w:ascii="Arial" w:hAnsi="Arial" w:cs="Arial"/>
          <w:sz w:val="24"/>
          <w:szCs w:val="24"/>
        </w:rPr>
        <w:t xml:space="preserve"> physiotherapy interventions are integrated and supportive of the whole treatment aims promoting a holistic approach to condition management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w:t>
      </w:r>
      <w:r w:rsidR="00FD019F" w:rsidRPr="009F2D80">
        <w:rPr>
          <w:rFonts w:ascii="Arial" w:hAnsi="Arial" w:cs="Arial"/>
          <w:sz w:val="24"/>
          <w:szCs w:val="24"/>
        </w:rPr>
        <w:t>,</w:t>
      </w:r>
      <w:r w:rsidRPr="009F2D80">
        <w:rPr>
          <w:rFonts w:ascii="Arial" w:hAnsi="Arial" w:cs="Arial"/>
          <w:sz w:val="24"/>
          <w:szCs w:val="24"/>
        </w:rPr>
        <w:t xml:space="preserve"> </w:t>
      </w:r>
      <w:r w:rsidR="00FD019F" w:rsidRPr="009F2D80">
        <w:rPr>
          <w:rFonts w:ascii="Arial" w:hAnsi="Arial" w:cs="Arial"/>
          <w:sz w:val="24"/>
          <w:szCs w:val="24"/>
        </w:rPr>
        <w:t>i</w:t>
      </w:r>
      <w:r w:rsidRPr="009F2D80">
        <w:rPr>
          <w:rFonts w:ascii="Arial" w:hAnsi="Arial" w:cs="Arial"/>
          <w:sz w:val="24"/>
          <w:szCs w:val="24"/>
        </w:rPr>
        <w:t>ncluding referral to the appropriate stage of the pathway and the use of social prescribing</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for patients managed as part of own caseload</w:t>
      </w:r>
      <w:r w:rsidR="00E06940" w:rsidRPr="009F2D80">
        <w:rPr>
          <w:rFonts w:ascii="Arial" w:hAnsi="Arial" w:cs="Arial"/>
          <w:sz w:val="24"/>
          <w:szCs w:val="24"/>
        </w:rPr>
        <w:t>,</w:t>
      </w:r>
      <w:r w:rsidRPr="009F2D80">
        <w:rPr>
          <w:rFonts w:ascii="Arial" w:hAnsi="Arial" w:cs="Arial"/>
          <w:sz w:val="24"/>
          <w:szCs w:val="24"/>
        </w:rPr>
        <w:t xml:space="preserve"> take the lead for the management of the patient’s journey on their care pathway, acting as the link for the patient between primary care and other services/professionals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justify clinically referrals to other specialist services. This will include referral to acute and specialist services such as surgical orthopaedics, rheumatology and neurology, other AHP services, nursing services and to the primary care medical teams. This requires advanced knowledge of the role of other specialist health professionals</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recognise potential underlying non-MSK related disease and conditions that present as MSK symptoms and to refer appropriately.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w:t>
      </w:r>
      <w:r w:rsidR="007D0FC6" w:rsidRPr="009F2D80">
        <w:rPr>
          <w:rFonts w:ascii="Arial" w:hAnsi="Arial" w:cs="Arial"/>
          <w:sz w:val="24"/>
          <w:szCs w:val="24"/>
        </w:rPr>
        <w:t>hen needed</w:t>
      </w:r>
      <w:r w:rsidRPr="009F2D80">
        <w:rPr>
          <w:rFonts w:ascii="Arial" w:hAnsi="Arial" w:cs="Arial"/>
          <w:sz w:val="24"/>
          <w:szCs w:val="24"/>
        </w:rPr>
        <w:t>,</w:t>
      </w:r>
      <w:r w:rsidR="007D0FC6" w:rsidRPr="009F2D80">
        <w:rPr>
          <w:rFonts w:ascii="Arial" w:hAnsi="Arial" w:cs="Arial"/>
          <w:sz w:val="24"/>
          <w:szCs w:val="24"/>
        </w:rPr>
        <w:t xml:space="preserve"> accelerate the patient’s referral to other health professionals/</w:t>
      </w:r>
      <w:r w:rsidRPr="009F2D80">
        <w:rPr>
          <w:rFonts w:ascii="Arial" w:hAnsi="Arial" w:cs="Arial"/>
          <w:sz w:val="24"/>
          <w:szCs w:val="24"/>
        </w:rPr>
        <w:t xml:space="preserve"> </w:t>
      </w:r>
      <w:r w:rsidR="007D0FC6" w:rsidRPr="009F2D80">
        <w:rPr>
          <w:rFonts w:ascii="Arial" w:hAnsi="Arial" w:cs="Arial"/>
          <w:sz w:val="24"/>
          <w:szCs w:val="24"/>
        </w:rPr>
        <w:t>services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in partnership with the patient </w:t>
      </w:r>
      <w:proofErr w:type="gramStart"/>
      <w:r w:rsidRPr="009F2D80">
        <w:rPr>
          <w:rFonts w:ascii="Arial" w:hAnsi="Arial" w:cs="Arial"/>
          <w:sz w:val="24"/>
          <w:szCs w:val="24"/>
        </w:rPr>
        <w:t>at all times</w:t>
      </w:r>
      <w:proofErr w:type="gramEnd"/>
      <w:r w:rsidRPr="009F2D80">
        <w:rPr>
          <w:rFonts w:ascii="Arial" w:hAnsi="Arial" w:cs="Arial"/>
          <w:sz w:val="24"/>
          <w:szCs w:val="24"/>
        </w:rPr>
        <w:t xml:space="preserve"> to attain maximum participation in treatment programmes. This will include working with patients from diverse social background and cultures and understanding how this will affect treatment proposals and models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develop integrated and tailored care programmes in partnership with patients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use effective shared decision making with a range of first line management options (appropriate for the person’s level of activation)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assess levels of Patient Activation to confirm levels of knowledge, skills and confidence to self-manage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agree appropriate support for self-management through referral to rehabilitation focussed services and social prescribing provision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expert advice and act as source of expertise in the management of musculoskeletal conditions and provide a specialist advisory service to patients, specialist physiotherapists other specialist healthcare professionals and members of the primary care team</w:t>
      </w:r>
      <w:r w:rsidR="00FD019F" w:rsidRPr="009F2D80">
        <w:rPr>
          <w:rFonts w:ascii="Arial" w:hAnsi="Arial" w:cs="Arial"/>
          <w:sz w:val="24"/>
          <w:szCs w:val="24"/>
        </w:rPr>
        <w:t>, i</w:t>
      </w:r>
      <w:r w:rsidRPr="009F2D80">
        <w:rPr>
          <w:rFonts w:ascii="Arial" w:hAnsi="Arial" w:cs="Arial"/>
          <w:sz w:val="24"/>
          <w:szCs w:val="24"/>
        </w:rPr>
        <w:t>ncluding advising GPs on management of MSK conditions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advice, instruction and t</w:t>
      </w:r>
      <w:r w:rsidR="00FD019F" w:rsidRPr="009F2D80">
        <w:rPr>
          <w:rFonts w:ascii="Arial" w:hAnsi="Arial" w:cs="Arial"/>
          <w:sz w:val="24"/>
          <w:szCs w:val="24"/>
        </w:rPr>
        <w:t>e</w:t>
      </w:r>
      <w:r w:rsidRPr="009F2D80">
        <w:rPr>
          <w:rFonts w:ascii="Arial" w:hAnsi="Arial" w:cs="Arial"/>
          <w:sz w:val="24"/>
          <w:szCs w:val="24"/>
        </w:rPr>
        <w:t>aching on aspects of management of a condition to patients, relatives, carers and other health professionals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continually review and develop specialist clinical and diagnostic skills in response to service need</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accountable for decisions and actions via Health and Care Professions Council (HCPC) registration, supported by a professional culture of peer networking/review and engagement in evidence-based practice</w:t>
      </w:r>
    </w:p>
    <w:p w:rsidR="00FD019F" w:rsidRPr="009F2D80" w:rsidRDefault="00FD019F" w:rsidP="00FD019F">
      <w:pPr>
        <w:pStyle w:val="ListParagraph"/>
        <w:spacing w:after="0" w:line="240" w:lineRule="auto"/>
        <w:rPr>
          <w:rFonts w:ascii="Arial" w:hAnsi="Arial" w:cs="Arial"/>
          <w:sz w:val="24"/>
          <w:szCs w:val="24"/>
        </w:rPr>
      </w:pPr>
    </w:p>
    <w:p w:rsidR="007D0FC6" w:rsidRPr="009F2D80" w:rsidRDefault="007D0FC6" w:rsidP="00FD019F">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r w:rsidRPr="009F2D80">
        <w:rPr>
          <w:rFonts w:ascii="Arial" w:hAnsi="Arial" w:cs="Arial"/>
          <w:b/>
          <w:bCs/>
          <w:sz w:val="24"/>
          <w:szCs w:val="24"/>
        </w:rPr>
        <w:tab/>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provide leadership and support on MSK clinical and service development across the PCN, alongside learning opportunities for the whole multi-disciplinary team within primary care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plan and organise the FCP service efficiently, ensuring delivery </w:t>
      </w:r>
      <w:r w:rsidR="00375092" w:rsidRPr="009F2D80">
        <w:rPr>
          <w:rFonts w:ascii="Arial" w:hAnsi="Arial" w:cs="Arial"/>
          <w:sz w:val="24"/>
          <w:szCs w:val="24"/>
        </w:rPr>
        <w:t>in line</w:t>
      </w:r>
      <w:r w:rsidRPr="009F2D80">
        <w:rPr>
          <w:rFonts w:ascii="Arial" w:hAnsi="Arial" w:cs="Arial"/>
          <w:sz w:val="24"/>
          <w:szCs w:val="24"/>
        </w:rPr>
        <w:t xml:space="preserve"> with service expectations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Attending primary care strategic and practice level meetings to represent FCP/physiotherapy when appropriate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contribute to the development of referral guidelines for MSK and MSK related conditions from primary care to other NHS services that will direct referrals to other primary care services, community, secondary and tertiary [specialist] services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collaboratively with the primary care team, including working across the PCN </w:t>
      </w:r>
      <w:proofErr w:type="gramStart"/>
      <w:r w:rsidRPr="009F2D80">
        <w:rPr>
          <w:rFonts w:ascii="Arial" w:hAnsi="Arial" w:cs="Arial"/>
          <w:sz w:val="24"/>
          <w:szCs w:val="24"/>
        </w:rPr>
        <w:t>and also</w:t>
      </w:r>
      <w:proofErr w:type="gramEnd"/>
      <w:r w:rsidRPr="009F2D80">
        <w:rPr>
          <w:rFonts w:ascii="Arial" w:hAnsi="Arial" w:cs="Arial"/>
          <w:sz w:val="24"/>
          <w:szCs w:val="24"/>
        </w:rPr>
        <w:t xml:space="preserve"> in partnership with business managers, professional managers and lead clinicians of secondary, community and other care providers to improve service delivery and meet the identified needs of the local patient population.</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work with the PCN team to support preventative strategies for local populations, patient groups and individuals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participate in peer networking and support underpinned by active engagement in peer review and embracing evidence-based practice </w:t>
      </w:r>
    </w:p>
    <w:p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organisational and service policies that support the maintenance of good clinical governance, manage risk and ensure patient safety is paramount. </w:t>
      </w:r>
    </w:p>
    <w:p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w:t>
      </w:r>
      <w:r w:rsidR="007D0FC6" w:rsidRPr="009F2D80">
        <w:rPr>
          <w:rFonts w:ascii="Arial" w:hAnsi="Arial" w:cs="Arial"/>
          <w:sz w:val="24"/>
          <w:szCs w:val="24"/>
        </w:rPr>
        <w:t>e responsible for identifying and reporting any risk/</w:t>
      </w:r>
      <w:r w:rsidRPr="009F2D80">
        <w:rPr>
          <w:rFonts w:ascii="Arial" w:hAnsi="Arial" w:cs="Arial"/>
          <w:sz w:val="24"/>
          <w:szCs w:val="24"/>
        </w:rPr>
        <w:t xml:space="preserve"> </w:t>
      </w:r>
      <w:r w:rsidR="007D0FC6" w:rsidRPr="009F2D80">
        <w:rPr>
          <w:rFonts w:ascii="Arial" w:hAnsi="Arial" w:cs="Arial"/>
          <w:sz w:val="24"/>
          <w:szCs w:val="24"/>
        </w:rPr>
        <w:t>clinical governance issues in the FCP service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monitoring and review of service standards for MSK primary care services. Including established clinical, professional and service standards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represent the PCN’s FCP service </w:t>
      </w:r>
      <w:r w:rsidR="00F901F4" w:rsidRPr="009F2D80">
        <w:rPr>
          <w:rFonts w:ascii="Arial" w:hAnsi="Arial" w:cs="Arial"/>
          <w:sz w:val="24"/>
          <w:szCs w:val="24"/>
        </w:rPr>
        <w:t xml:space="preserve">offer </w:t>
      </w:r>
      <w:r w:rsidRPr="009F2D80">
        <w:rPr>
          <w:rFonts w:ascii="Arial" w:hAnsi="Arial" w:cs="Arial"/>
          <w:sz w:val="24"/>
          <w:szCs w:val="24"/>
        </w:rPr>
        <w:t xml:space="preserve">at internal primary care meetings and at external forums/service meetings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in/support investigations into complaints and clinical errors/incidents when appropriate</w:t>
      </w:r>
    </w:p>
    <w:p w:rsidR="00375092" w:rsidRPr="009F2D80" w:rsidRDefault="00375092" w:rsidP="00375092">
      <w:pPr>
        <w:rPr>
          <w:rFonts w:ascii="Arial" w:hAnsi="Arial" w:cs="Arial"/>
          <w:b/>
          <w:bCs/>
          <w:sz w:val="24"/>
          <w:szCs w:val="24"/>
        </w:rPr>
      </w:pPr>
    </w:p>
    <w:p w:rsidR="007D0FC6" w:rsidRPr="009F2D80" w:rsidRDefault="007D0FC6" w:rsidP="00375092">
      <w:pPr>
        <w:rPr>
          <w:rFonts w:ascii="Arial" w:hAnsi="Arial" w:cs="Arial"/>
          <w:b/>
          <w:bCs/>
          <w:sz w:val="24"/>
          <w:szCs w:val="24"/>
        </w:rPr>
      </w:pPr>
      <w:r w:rsidRPr="009F2D80">
        <w:rPr>
          <w:rFonts w:ascii="Arial" w:hAnsi="Arial" w:cs="Arial"/>
          <w:b/>
          <w:bCs/>
          <w:sz w:val="24"/>
          <w:szCs w:val="24"/>
        </w:rPr>
        <w:t>Education/Workforce Development</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 developing education and training of specialist physiotherapists up-to post</w:t>
      </w:r>
      <w:r w:rsidR="00F901F4" w:rsidRPr="009F2D80">
        <w:rPr>
          <w:rFonts w:ascii="Arial" w:hAnsi="Arial" w:cs="Arial"/>
          <w:sz w:val="24"/>
          <w:szCs w:val="24"/>
        </w:rPr>
        <w:t>-</w:t>
      </w:r>
      <w:r w:rsidRPr="009F2D80">
        <w:rPr>
          <w:rFonts w:ascii="Arial" w:hAnsi="Arial" w:cs="Arial"/>
          <w:sz w:val="24"/>
          <w:szCs w:val="24"/>
        </w:rPr>
        <w:t>graduate level to support the development of advanced clinical practice skills and knowledge within the wider physiotherapy workforce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provide training and supervision, some of which maybe to postgraduate level, for specialist primary care professionals, including GPs </w:t>
      </w:r>
      <w:proofErr w:type="gramStart"/>
      <w:r w:rsidRPr="009F2D80">
        <w:rPr>
          <w:rFonts w:ascii="Arial" w:hAnsi="Arial" w:cs="Arial"/>
          <w:sz w:val="24"/>
          <w:szCs w:val="24"/>
        </w:rPr>
        <w:t>in order for</w:t>
      </w:r>
      <w:proofErr w:type="gramEnd"/>
      <w:r w:rsidRPr="009F2D80">
        <w:rPr>
          <w:rFonts w:ascii="Arial" w:hAnsi="Arial" w:cs="Arial"/>
          <w:sz w:val="24"/>
          <w:szCs w:val="24"/>
        </w:rPr>
        <w:t xml:space="preserve"> them to develop specialist MSK patient referral and management skills</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w:t>
      </w:r>
      <w:r w:rsidR="007D0FC6" w:rsidRPr="009F2D80">
        <w:rPr>
          <w:rFonts w:ascii="Arial" w:hAnsi="Arial" w:cs="Arial"/>
          <w:sz w:val="24"/>
          <w:szCs w:val="24"/>
        </w:rPr>
        <w:t xml:space="preserve">aintain a professional portfolio of advanced clinical practice knowledge and skills through participation in internal and external development opportunities   </w:t>
      </w:r>
    </w:p>
    <w:p w:rsidR="007D0FC6" w:rsidRPr="009F2D80" w:rsidRDefault="007D0FC6" w:rsidP="007D0FC6">
      <w:pPr>
        <w:spacing w:after="0" w:line="240" w:lineRule="auto"/>
        <w:rPr>
          <w:rFonts w:ascii="Arial" w:hAnsi="Arial" w:cs="Arial"/>
          <w:sz w:val="24"/>
          <w:szCs w:val="24"/>
        </w:rPr>
      </w:pPr>
    </w:p>
    <w:p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rsidR="00375092" w:rsidRPr="009F2D80" w:rsidRDefault="00375092" w:rsidP="00375092">
      <w:pPr>
        <w:spacing w:after="0" w:line="240" w:lineRule="auto"/>
        <w:rPr>
          <w:rFonts w:ascii="Arial" w:hAnsi="Arial" w:cs="Arial"/>
          <w:b/>
          <w:bCs/>
          <w:sz w:val="24"/>
          <w:szCs w:val="24"/>
        </w:rPr>
      </w:pPr>
    </w:p>
    <w:p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promote and lead the integration of evidence-based practice and national guidelines into own and local FCP MSK service practice</w:t>
      </w:r>
    </w:p>
    <w:p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w:t>
      </w:r>
      <w:r w:rsidR="007D0FC6" w:rsidRPr="009F2D80">
        <w:rPr>
          <w:rFonts w:ascii="Arial" w:hAnsi="Arial" w:cs="Arial"/>
          <w:sz w:val="24"/>
          <w:szCs w:val="24"/>
        </w:rPr>
        <w:t>se expert knowledge of evidence-based guidelines and national frameworks to influence the development of FCP services within the primary care team</w:t>
      </w:r>
    </w:p>
    <w:p w:rsidR="007D0FC6" w:rsidRPr="009F2D80" w:rsidRDefault="007D0FC6" w:rsidP="00F901F4">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w:t>
      </w:r>
      <w:r w:rsidR="00F901F4" w:rsidRPr="009F2D80">
        <w:rPr>
          <w:rFonts w:ascii="Arial" w:hAnsi="Arial" w:cs="Arial"/>
          <w:sz w:val="24"/>
          <w:szCs w:val="24"/>
        </w:rPr>
        <w:t xml:space="preserve">. </w:t>
      </w:r>
      <w:r w:rsidRPr="009F2D80">
        <w:rPr>
          <w:rFonts w:ascii="Arial" w:hAnsi="Arial" w:cs="Arial"/>
          <w:sz w:val="24"/>
          <w:szCs w:val="24"/>
        </w:rPr>
        <w:t xml:space="preserve">This may include participation in cross organisational research and audit programmes. </w:t>
      </w:r>
    </w:p>
    <w:p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present and disseminate research and clinical audit findings to the primary care team as required.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analysis of local and national data sets to illustrate service improvements and to promote service change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maintain an up-date audit and data derived from a range of data sets in order provide statistical reports on outcome measures and achievement of KPIs for a range of audiences</w:t>
      </w:r>
    </w:p>
    <w:p w:rsidR="007D0FC6" w:rsidRPr="009F2D80" w:rsidRDefault="007D0FC6" w:rsidP="007D0FC6">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rsidR="00F901F4" w:rsidRPr="009F2D80" w:rsidRDefault="00F901F4" w:rsidP="00F901F4">
      <w:pPr>
        <w:pStyle w:val="ListParagraph"/>
        <w:spacing w:after="0" w:line="240" w:lineRule="auto"/>
        <w:rPr>
          <w:rFonts w:ascii="Arial" w:hAnsi="Arial" w:cs="Arial"/>
          <w:sz w:val="24"/>
          <w:szCs w:val="24"/>
        </w:rPr>
      </w:pPr>
    </w:p>
    <w:p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rsidR="00375092" w:rsidRPr="009F2D80" w:rsidRDefault="00375092" w:rsidP="00375092">
      <w:pPr>
        <w:spacing w:after="0" w:line="240" w:lineRule="auto"/>
        <w:rPr>
          <w:rFonts w:ascii="Arial" w:hAnsi="Arial" w:cs="Arial"/>
          <w:b/>
          <w:bCs/>
          <w:sz w:val="24"/>
          <w:szCs w:val="24"/>
        </w:rPr>
      </w:pP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take the lead in communicating and influencing across the PCN the benefits of the FCP role in primary care</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promote and explain the FCP role and what it can deliver to a range of audiences including patient groups, individual patients and other primary care team members, including GPs </w:t>
      </w:r>
    </w:p>
    <w:p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communicate effectively and appropriately with patients and their </w:t>
      </w:r>
      <w:proofErr w:type="spellStart"/>
      <w:r w:rsidRPr="009F2D80">
        <w:rPr>
          <w:rFonts w:ascii="Arial" w:hAnsi="Arial" w:cs="Arial"/>
          <w:sz w:val="24"/>
          <w:szCs w:val="24"/>
        </w:rPr>
        <w:t>carers</w:t>
      </w:r>
      <w:proofErr w:type="spellEnd"/>
      <w:r w:rsidRPr="009F2D80">
        <w:rPr>
          <w:rFonts w:ascii="Arial" w:hAnsi="Arial" w:cs="Arial"/>
          <w:sz w:val="24"/>
          <w:szCs w:val="24"/>
        </w:rPr>
        <w:t>. This will include explaining the diagnosis, prognosis and treatment choices available to manage multi-pathology and complex conditions. It will also involve communicating limitations on treatment outcomes and managing expectations of patients with chronic or life limiting conditions</w:t>
      </w:r>
    </w:p>
    <w:p w:rsidR="007D0FC6" w:rsidRPr="009F2D80" w:rsidRDefault="007D0FC6" w:rsidP="007D0FC6">
      <w:pPr>
        <w:spacing w:after="0" w:line="240" w:lineRule="auto"/>
        <w:rPr>
          <w:rFonts w:ascii="Arial" w:hAnsi="Arial" w:cs="Arial"/>
          <w:sz w:val="24"/>
          <w:szCs w:val="24"/>
        </w:rPr>
      </w:pPr>
    </w:p>
    <w:p w:rsidR="007D0FC6" w:rsidRPr="009F2D80" w:rsidRDefault="007D0FC6" w:rsidP="007D0FC6">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4"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rsidR="007D0FC6" w:rsidRPr="009F2D80" w:rsidRDefault="007D0FC6" w:rsidP="007D0FC6">
      <w:pPr>
        <w:spacing w:after="0" w:line="240" w:lineRule="auto"/>
        <w:rPr>
          <w:rFonts w:ascii="Arial" w:hAnsi="Arial" w:cs="Arial"/>
          <w:sz w:val="24"/>
          <w:szCs w:val="24"/>
        </w:rPr>
      </w:pPr>
    </w:p>
    <w:p w:rsidR="00F901F4" w:rsidRPr="009F2D80" w:rsidRDefault="00F901F4">
      <w:pPr>
        <w:rPr>
          <w:rFonts w:ascii="Arial" w:hAnsi="Arial" w:cs="Arial"/>
          <w:sz w:val="24"/>
          <w:szCs w:val="24"/>
        </w:rPr>
      </w:pPr>
    </w:p>
    <w:p w:rsidR="00375092" w:rsidRPr="009F2D80" w:rsidRDefault="00375092" w:rsidP="00375092">
      <w:pPr>
        <w:spacing w:after="0" w:line="240" w:lineRule="auto"/>
        <w:rPr>
          <w:rFonts w:ascii="Arial" w:hAnsi="Arial" w:cs="Arial"/>
          <w:b/>
          <w:bCs/>
          <w:sz w:val="24"/>
          <w:szCs w:val="24"/>
        </w:rPr>
      </w:pPr>
      <w:r w:rsidRPr="009F2D80">
        <w:rPr>
          <w:rFonts w:ascii="Arial" w:hAnsi="Arial" w:cs="Arial"/>
          <w:b/>
          <w:bCs/>
          <w:sz w:val="24"/>
          <w:szCs w:val="24"/>
        </w:rPr>
        <w:t>Person Specification</w:t>
      </w:r>
    </w:p>
    <w:p w:rsidR="00375092" w:rsidRPr="009F2D80" w:rsidRDefault="00375092" w:rsidP="007D0FC6">
      <w:pPr>
        <w:spacing w:after="0" w:line="240" w:lineRule="auto"/>
        <w:rPr>
          <w:rFonts w:ascii="Arial" w:hAnsi="Arial" w:cs="Arial"/>
          <w:sz w:val="24"/>
          <w:szCs w:val="24"/>
        </w:rPr>
      </w:pPr>
    </w:p>
    <w:p w:rsidR="00375092" w:rsidRPr="009F2D80" w:rsidRDefault="00375092" w:rsidP="007D0FC6">
      <w:pPr>
        <w:spacing w:after="0" w:line="240" w:lineRule="auto"/>
        <w:rPr>
          <w:rFonts w:ascii="Arial" w:hAnsi="Arial" w:cs="Arial"/>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821"/>
        <w:gridCol w:w="6"/>
        <w:gridCol w:w="3067"/>
      </w:tblGrid>
      <w:tr w:rsidR="00A32B47" w:rsidRPr="009F2D80" w:rsidTr="00F901F4">
        <w:trPr>
          <w:cantSplit/>
        </w:trPr>
        <w:tc>
          <w:tcPr>
            <w:tcW w:w="2122"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bookmarkStart w:id="3" w:name="_Hlk46929572"/>
            <w:r w:rsidRPr="009F2D80">
              <w:rPr>
                <w:rFonts w:ascii="Arial" w:hAnsi="Arial" w:cs="Arial"/>
                <w:b/>
                <w:bCs/>
                <w:sz w:val="24"/>
                <w:szCs w:val="24"/>
              </w:rPr>
              <w:t>Element</w:t>
            </w:r>
          </w:p>
        </w:tc>
        <w:tc>
          <w:tcPr>
            <w:tcW w:w="3827" w:type="dxa"/>
            <w:gridSpan w:val="2"/>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067" w:type="dxa"/>
            <w:shd w:val="clear" w:color="auto" w:fill="D9D9D9" w:themeFill="background1" w:themeFillShade="D9"/>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rsidR="00A32B47" w:rsidRPr="009F2D80" w:rsidRDefault="00A32B47" w:rsidP="00DA087F">
            <w:pPr>
              <w:spacing w:after="160" w:line="259" w:lineRule="auto"/>
              <w:rPr>
                <w:rFonts w:ascii="Arial" w:hAnsi="Arial" w:cs="Arial"/>
                <w:b/>
                <w:bCs/>
                <w:sz w:val="24"/>
                <w:szCs w:val="24"/>
              </w:rPr>
            </w:pPr>
          </w:p>
          <w:p w:rsidR="00A32B47" w:rsidRPr="009F2D80" w:rsidRDefault="00A32B47" w:rsidP="00DA087F">
            <w:pPr>
              <w:spacing w:after="160" w:line="259" w:lineRule="auto"/>
              <w:rPr>
                <w:rFonts w:ascii="Arial" w:hAnsi="Arial" w:cs="Arial"/>
                <w:b/>
                <w:bCs/>
                <w:sz w:val="24"/>
                <w:szCs w:val="24"/>
              </w:rPr>
            </w:pPr>
          </w:p>
        </w:tc>
        <w:tc>
          <w:tcPr>
            <w:tcW w:w="3827" w:type="dxa"/>
            <w:gridSpan w:val="2"/>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Pr>
                <w:rFonts w:ascii="Arial" w:hAnsi="Arial" w:cs="Arial"/>
                <w:sz w:val="24"/>
                <w:szCs w:val="24"/>
              </w:rPr>
              <w:t xml:space="preserve"> </w:t>
            </w:r>
            <w:r w:rsidRPr="009F2D80">
              <w:rPr>
                <w:rFonts w:ascii="Arial" w:hAnsi="Arial" w:cs="Arial"/>
                <w:sz w:val="24"/>
                <w:szCs w:val="24"/>
              </w:rPr>
              <w:t xml:space="preserve">registration </w:t>
            </w:r>
          </w:p>
          <w:p w:rsidR="00A32B47" w:rsidRPr="009F2D80" w:rsidRDefault="00A32B47" w:rsidP="00DA087F">
            <w:pPr>
              <w:pStyle w:val="ListParagraph"/>
              <w:rPr>
                <w:rFonts w:ascii="Arial" w:hAnsi="Arial" w:cs="Arial"/>
                <w:sz w:val="24"/>
                <w:szCs w:val="24"/>
              </w:rPr>
            </w:pPr>
          </w:p>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5"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067" w:type="dxa"/>
          </w:tcPr>
          <w:p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MSc degree in Physiotherapy</w:t>
            </w:r>
          </w:p>
          <w:p w:rsidR="00A32B47" w:rsidRPr="009F2D80" w:rsidRDefault="00A32B47" w:rsidP="00DA087F">
            <w:pPr>
              <w:pStyle w:val="ListParagraph"/>
              <w:widowControl w:val="0"/>
              <w:autoSpaceDE w:val="0"/>
              <w:autoSpaceDN w:val="0"/>
              <w:ind w:left="360"/>
              <w:rPr>
                <w:rFonts w:ascii="Arial" w:hAnsi="Arial" w:cs="Arial"/>
                <w:sz w:val="24"/>
                <w:szCs w:val="24"/>
              </w:rPr>
            </w:pP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p w:rsidR="00A32B47" w:rsidRPr="009F2D80" w:rsidRDefault="00A32B47" w:rsidP="00DA087F">
            <w:pPr>
              <w:pStyle w:val="ListParagraph"/>
              <w:widowControl w:val="0"/>
              <w:autoSpaceDE w:val="0"/>
              <w:autoSpaceDN w:val="0"/>
              <w:spacing w:after="160" w:line="259" w:lineRule="auto"/>
              <w:ind w:left="360"/>
              <w:contextualSpacing w:val="0"/>
              <w:rPr>
                <w:rFonts w:ascii="Arial" w:hAnsi="Arial" w:cs="Arial"/>
                <w:sz w:val="24"/>
                <w:szCs w:val="24"/>
              </w:rPr>
            </w:pP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Knowledge</w:t>
            </w:r>
          </w:p>
        </w:tc>
        <w:tc>
          <w:tcPr>
            <w:tcW w:w="3821" w:type="dxa"/>
          </w:tcPr>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in applying the physiotherapy process to include MSK assessment, interpretation, individual care planning, motivation, monitoring and evaluation of highly specialized MSK treatment</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working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contributing to and service delivery/evolving evidence led practice and delivery in a changing environment</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demonstrate leadership when introducing change. </w:t>
            </w:r>
          </w:p>
        </w:tc>
        <w:tc>
          <w:tcPr>
            <w:tcW w:w="3073" w:type="dxa"/>
            <w:gridSpan w:val="2"/>
          </w:tcPr>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working towards advanced clinical practitioner status</w:t>
            </w:r>
          </w:p>
          <w:p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previous supervisory experience</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w:t>
            </w:r>
          </w:p>
          <w:p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cognitive behavioural and motivational interviewing approaches / skills</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t>Analytical skills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able to understand and analyse complex issues and balance competing priorities in order to make difficult clinical decisions.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support individual patient care by an ability 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clinical/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rsidTr="00F901F4">
        <w:trPr>
          <w:cantSplit/>
        </w:trPr>
        <w:tc>
          <w:tcPr>
            <w:tcW w:w="2122" w:type="dxa"/>
          </w:tcPr>
          <w:p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t>Communication skills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evidence of inspiring and motivating teams with the ability to communicate passionately, effectively. </w:t>
            </w:r>
          </w:p>
          <w:p w:rsidR="00A32B47" w:rsidRPr="009F2D80" w:rsidRDefault="00A32B47" w:rsidP="00D1418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negotiate effectively within the MDT or across a range of services/providers. </w:t>
            </w:r>
          </w:p>
        </w:tc>
      </w:tr>
      <w:tr w:rsidR="00A32B47" w:rsidRPr="00A32B47" w:rsidTr="00F901F4">
        <w:trPr>
          <w:cantSplit/>
        </w:trPr>
        <w:tc>
          <w:tcPr>
            <w:tcW w:w="2122" w:type="dxa"/>
          </w:tcPr>
          <w:p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821" w:type="dxa"/>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co-ordinate and prioritise workloads – able to multi-task as well as be self-disciplined and highly motivated </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073" w:type="dxa"/>
            <w:gridSpan w:val="2"/>
          </w:tcPr>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high degree of personal credibility, emotional intelligence, patience and flexibility</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cope with unpredictable situations</w:t>
            </w:r>
          </w:p>
          <w:p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3"/>
    </w:tbl>
    <w:p w:rsidR="007D0FC6" w:rsidRPr="00A32B47" w:rsidRDefault="007D0FC6" w:rsidP="00D14187">
      <w:pPr>
        <w:spacing w:after="0" w:line="240" w:lineRule="auto"/>
        <w:rPr>
          <w:rFonts w:ascii="Arial" w:hAnsi="Arial" w:cs="Arial"/>
          <w:b/>
          <w:sz w:val="24"/>
          <w:szCs w:val="24"/>
        </w:rPr>
      </w:pPr>
    </w:p>
    <w:sectPr w:rsidR="007D0FC6" w:rsidRPr="00A32B47">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62B" w:rsidRDefault="001E462B">
      <w:pPr>
        <w:spacing w:after="0" w:line="240" w:lineRule="auto"/>
      </w:pPr>
      <w:r>
        <w:separator/>
      </w:r>
    </w:p>
  </w:endnote>
  <w:endnote w:type="continuationSeparator" w:id="0">
    <w:p w:rsidR="001E462B" w:rsidRDefault="001E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206124"/>
      <w:docPartObj>
        <w:docPartGallery w:val="Page Numbers (Bottom of Page)"/>
        <w:docPartUnique/>
      </w:docPartObj>
    </w:sdtPr>
    <w:sdtEndPr>
      <w:rPr>
        <w:noProof/>
      </w:rPr>
    </w:sdtEndPr>
    <w:sdtContent>
      <w:p w:rsidR="003C30A9" w:rsidRDefault="003C30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0673" w:rsidRDefault="0041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62B" w:rsidRDefault="001E462B">
      <w:pPr>
        <w:spacing w:after="0" w:line="240" w:lineRule="auto"/>
      </w:pPr>
      <w:r>
        <w:separator/>
      </w:r>
    </w:p>
  </w:footnote>
  <w:footnote w:type="continuationSeparator" w:id="0">
    <w:p w:rsidR="001E462B" w:rsidRDefault="001E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13" w:rsidRDefault="006F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13" w:rsidRDefault="006F5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13" w:rsidRDefault="006F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200"/>
    <w:multiLevelType w:val="hybridMultilevel"/>
    <w:tmpl w:val="ED14C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52391"/>
    <w:multiLevelType w:val="hybridMultilevel"/>
    <w:tmpl w:val="5C2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27F6"/>
    <w:multiLevelType w:val="hybridMultilevel"/>
    <w:tmpl w:val="69D2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A560C"/>
    <w:multiLevelType w:val="hybridMultilevel"/>
    <w:tmpl w:val="8F0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474C6"/>
    <w:multiLevelType w:val="hybridMultilevel"/>
    <w:tmpl w:val="3D32228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C4E12EF"/>
    <w:multiLevelType w:val="hybridMultilevel"/>
    <w:tmpl w:val="167CD726"/>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712C0"/>
    <w:multiLevelType w:val="hybridMultilevel"/>
    <w:tmpl w:val="897C05CA"/>
    <w:lvl w:ilvl="0" w:tplc="9FF0420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D51C5"/>
    <w:multiLevelType w:val="hybridMultilevel"/>
    <w:tmpl w:val="C624EA98"/>
    <w:lvl w:ilvl="0" w:tplc="0DB4374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7513"/>
    <w:multiLevelType w:val="hybridMultilevel"/>
    <w:tmpl w:val="4CB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80695"/>
    <w:multiLevelType w:val="hybridMultilevel"/>
    <w:tmpl w:val="45CC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25B32"/>
    <w:multiLevelType w:val="hybridMultilevel"/>
    <w:tmpl w:val="C6F6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D642C"/>
    <w:multiLevelType w:val="hybridMultilevel"/>
    <w:tmpl w:val="74CE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3018B"/>
    <w:multiLevelType w:val="hybridMultilevel"/>
    <w:tmpl w:val="CF548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62451"/>
    <w:multiLevelType w:val="hybridMultilevel"/>
    <w:tmpl w:val="0110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31C34"/>
    <w:multiLevelType w:val="hybridMultilevel"/>
    <w:tmpl w:val="6EA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F33EE"/>
    <w:multiLevelType w:val="hybridMultilevel"/>
    <w:tmpl w:val="DC8EABF4"/>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1F4DCB"/>
    <w:multiLevelType w:val="hybridMultilevel"/>
    <w:tmpl w:val="5C1E4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B6E4C"/>
    <w:multiLevelType w:val="hybridMultilevel"/>
    <w:tmpl w:val="A2B2230E"/>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7E2700"/>
    <w:multiLevelType w:val="multilevel"/>
    <w:tmpl w:val="FC641824"/>
    <w:lvl w:ilvl="0">
      <w:start w:val="1"/>
      <w:numFmt w:val="decimal"/>
      <w:lvlText w:val="B.%1."/>
      <w:lvlJc w:val="left"/>
      <w:pPr>
        <w:tabs>
          <w:tab w:val="num" w:pos="720"/>
        </w:tabs>
        <w:ind w:left="720" w:hanging="720"/>
      </w:pPr>
      <w:rPr>
        <w:rFonts w:hint="default"/>
      </w:rPr>
    </w:lvl>
    <w:lvl w:ilvl="1">
      <w:start w:val="1"/>
      <w:numFmt w:val="decimal"/>
      <w:pStyle w:val="Heading2"/>
      <w:lvlText w:val="B7.%2."/>
      <w:lvlJc w:val="left"/>
      <w:pPr>
        <w:tabs>
          <w:tab w:val="num" w:pos="720"/>
        </w:tabs>
        <w:ind w:left="720" w:hanging="720"/>
      </w:pPr>
      <w:rPr>
        <w:rFonts w:hint="default"/>
      </w:rPr>
    </w:lvl>
    <w:lvl w:ilvl="2">
      <w:start w:val="1"/>
      <w:numFmt w:val="decimal"/>
      <w:pStyle w:val="Heading3"/>
      <w:lvlText w:val="%1.%2.%3."/>
      <w:lvlJc w:val="left"/>
      <w:pPr>
        <w:tabs>
          <w:tab w:val="num" w:pos="1440"/>
        </w:tabs>
        <w:ind w:left="1440" w:hanging="720"/>
      </w:pPr>
      <w:rPr>
        <w:rFonts w:hint="default"/>
        <w:b w:val="0"/>
      </w:rPr>
    </w:lvl>
    <w:lvl w:ilvl="3">
      <w:start w:val="1"/>
      <w:numFmt w:val="lowerLetter"/>
      <w:pStyle w:val="Heading4"/>
      <w:lvlText w:val="%4."/>
      <w:lvlJc w:val="left"/>
      <w:pPr>
        <w:tabs>
          <w:tab w:val="num" w:pos="2126"/>
        </w:tabs>
        <w:ind w:left="2126" w:hanging="686"/>
      </w:pPr>
      <w:rPr>
        <w:rFonts w:hint="default"/>
      </w:rPr>
    </w:lvl>
    <w:lvl w:ilvl="4">
      <w:start w:val="1"/>
      <w:numFmt w:val="lowerRoman"/>
      <w:pStyle w:val="Heading5"/>
      <w:lvlText w:val="%5."/>
      <w:lvlJc w:val="left"/>
      <w:pPr>
        <w:tabs>
          <w:tab w:val="num" w:pos="2552"/>
        </w:tabs>
        <w:ind w:left="2552" w:hanging="426"/>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527745"/>
    <w:multiLevelType w:val="hybridMultilevel"/>
    <w:tmpl w:val="7DC8C460"/>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103D7"/>
    <w:multiLevelType w:val="hybridMultilevel"/>
    <w:tmpl w:val="A7F87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91A3B"/>
    <w:multiLevelType w:val="hybridMultilevel"/>
    <w:tmpl w:val="E42AA580"/>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D034F7"/>
    <w:multiLevelType w:val="hybridMultilevel"/>
    <w:tmpl w:val="5508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40178"/>
    <w:multiLevelType w:val="hybridMultilevel"/>
    <w:tmpl w:val="FE2C627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5E7E8F"/>
    <w:multiLevelType w:val="hybridMultilevel"/>
    <w:tmpl w:val="1EAA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D31E8"/>
    <w:multiLevelType w:val="hybridMultilevel"/>
    <w:tmpl w:val="98D4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C3FF2"/>
    <w:multiLevelType w:val="hybridMultilevel"/>
    <w:tmpl w:val="CA18B3D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1097E"/>
    <w:multiLevelType w:val="hybridMultilevel"/>
    <w:tmpl w:val="B024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60504"/>
    <w:multiLevelType w:val="hybridMultilevel"/>
    <w:tmpl w:val="576E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35C38"/>
    <w:multiLevelType w:val="hybridMultilevel"/>
    <w:tmpl w:val="45228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06D36"/>
    <w:multiLevelType w:val="hybridMultilevel"/>
    <w:tmpl w:val="F22C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810F4"/>
    <w:multiLevelType w:val="hybridMultilevel"/>
    <w:tmpl w:val="45D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869EF"/>
    <w:multiLevelType w:val="hybridMultilevel"/>
    <w:tmpl w:val="773A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0"/>
  </w:num>
  <w:num w:numId="4">
    <w:abstractNumId w:val="23"/>
  </w:num>
  <w:num w:numId="5">
    <w:abstractNumId w:val="1"/>
  </w:num>
  <w:num w:numId="6">
    <w:abstractNumId w:val="13"/>
  </w:num>
  <w:num w:numId="7">
    <w:abstractNumId w:val="30"/>
  </w:num>
  <w:num w:numId="8">
    <w:abstractNumId w:val="9"/>
  </w:num>
  <w:num w:numId="9">
    <w:abstractNumId w:val="27"/>
  </w:num>
  <w:num w:numId="10">
    <w:abstractNumId w:val="8"/>
  </w:num>
  <w:num w:numId="11">
    <w:abstractNumId w:val="7"/>
  </w:num>
  <w:num w:numId="12">
    <w:abstractNumId w:val="6"/>
  </w:num>
  <w:num w:numId="13">
    <w:abstractNumId w:val="16"/>
  </w:num>
  <w:num w:numId="14">
    <w:abstractNumId w:val="22"/>
  </w:num>
  <w:num w:numId="15">
    <w:abstractNumId w:val="2"/>
  </w:num>
  <w:num w:numId="16">
    <w:abstractNumId w:val="14"/>
  </w:num>
  <w:num w:numId="17">
    <w:abstractNumId w:val="3"/>
  </w:num>
  <w:num w:numId="18">
    <w:abstractNumId w:val="25"/>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5"/>
  </w:num>
  <w:num w:numId="24">
    <w:abstractNumId w:val="26"/>
  </w:num>
  <w:num w:numId="25">
    <w:abstractNumId w:val="11"/>
  </w:num>
  <w:num w:numId="26">
    <w:abstractNumId w:val="21"/>
  </w:num>
  <w:num w:numId="27">
    <w:abstractNumId w:val="15"/>
  </w:num>
  <w:num w:numId="28">
    <w:abstractNumId w:val="19"/>
  </w:num>
  <w:num w:numId="29">
    <w:abstractNumId w:val="24"/>
  </w:num>
  <w:num w:numId="30">
    <w:abstractNumId w:val="32"/>
  </w:num>
  <w:num w:numId="31">
    <w:abstractNumId w:val="12"/>
  </w:num>
  <w:num w:numId="32">
    <w:abstractNumId w:val="20"/>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2A"/>
    <w:rsid w:val="00093B07"/>
    <w:rsid w:val="000D062D"/>
    <w:rsid w:val="00127732"/>
    <w:rsid w:val="001A2DB0"/>
    <w:rsid w:val="001B533D"/>
    <w:rsid w:val="001B7207"/>
    <w:rsid w:val="001E462B"/>
    <w:rsid w:val="00240A10"/>
    <w:rsid w:val="0033049A"/>
    <w:rsid w:val="003434DA"/>
    <w:rsid w:val="00375092"/>
    <w:rsid w:val="003A533A"/>
    <w:rsid w:val="003C30A9"/>
    <w:rsid w:val="00410673"/>
    <w:rsid w:val="00414792"/>
    <w:rsid w:val="00471A2A"/>
    <w:rsid w:val="00487417"/>
    <w:rsid w:val="004F093C"/>
    <w:rsid w:val="00646C04"/>
    <w:rsid w:val="006F5D13"/>
    <w:rsid w:val="007372DA"/>
    <w:rsid w:val="007D0FC6"/>
    <w:rsid w:val="007D5A23"/>
    <w:rsid w:val="008273B8"/>
    <w:rsid w:val="00903A04"/>
    <w:rsid w:val="009729DD"/>
    <w:rsid w:val="009F06B8"/>
    <w:rsid w:val="009F0843"/>
    <w:rsid w:val="009F2D80"/>
    <w:rsid w:val="00A315D6"/>
    <w:rsid w:val="00A32B47"/>
    <w:rsid w:val="00A55AFF"/>
    <w:rsid w:val="00B46676"/>
    <w:rsid w:val="00BD5C51"/>
    <w:rsid w:val="00C02C76"/>
    <w:rsid w:val="00C165BB"/>
    <w:rsid w:val="00C41AFC"/>
    <w:rsid w:val="00C41B4A"/>
    <w:rsid w:val="00C93307"/>
    <w:rsid w:val="00CC2660"/>
    <w:rsid w:val="00CD49FD"/>
    <w:rsid w:val="00D14187"/>
    <w:rsid w:val="00E06940"/>
    <w:rsid w:val="00E15C8D"/>
    <w:rsid w:val="00E8587C"/>
    <w:rsid w:val="00F5192A"/>
    <w:rsid w:val="00F53E4A"/>
    <w:rsid w:val="00F901F4"/>
    <w:rsid w:val="00FB2134"/>
    <w:rsid w:val="00FD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28A75-5AF6-4591-987D-D1515524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92A"/>
  </w:style>
  <w:style w:type="paragraph" w:styleId="Heading2">
    <w:name w:val="heading 2"/>
    <w:basedOn w:val="Normal"/>
    <w:next w:val="Normal"/>
    <w:link w:val="Heading2Char"/>
    <w:uiPriority w:val="9"/>
    <w:unhideWhenUsed/>
    <w:qFormat/>
    <w:rsid w:val="00F5192A"/>
    <w:pPr>
      <w:numPr>
        <w:ilvl w:val="1"/>
        <w:numId w:val="19"/>
      </w:numPr>
      <w:autoSpaceDE w:val="0"/>
      <w:autoSpaceDN w:val="0"/>
      <w:adjustRightInd w:val="0"/>
      <w:spacing w:after="0" w:line="360" w:lineRule="auto"/>
      <w:outlineLvl w:val="1"/>
    </w:pPr>
    <w:rPr>
      <w:rFonts w:ascii="Arial" w:eastAsia="MS Mincho" w:hAnsi="Arial" w:cs="Arial"/>
      <w:color w:val="000000"/>
      <w:sz w:val="24"/>
      <w:szCs w:val="24"/>
      <w:lang w:eastAsia="ja-JP" w:bidi="ne-NP"/>
    </w:rPr>
  </w:style>
  <w:style w:type="paragraph" w:styleId="Heading3">
    <w:name w:val="heading 3"/>
    <w:basedOn w:val="Normal"/>
    <w:next w:val="Normal"/>
    <w:link w:val="Heading3Char"/>
    <w:uiPriority w:val="9"/>
    <w:unhideWhenUsed/>
    <w:qFormat/>
    <w:rsid w:val="00F5192A"/>
    <w:pPr>
      <w:numPr>
        <w:ilvl w:val="2"/>
        <w:numId w:val="19"/>
      </w:numPr>
      <w:autoSpaceDE w:val="0"/>
      <w:autoSpaceDN w:val="0"/>
      <w:adjustRightInd w:val="0"/>
      <w:spacing w:after="0" w:line="360" w:lineRule="auto"/>
      <w:outlineLvl w:val="2"/>
    </w:pPr>
    <w:rPr>
      <w:rFonts w:ascii="Arial" w:eastAsia="MS Mincho" w:hAnsi="Arial" w:cs="Arial"/>
      <w:color w:val="000000"/>
      <w:sz w:val="24"/>
      <w:szCs w:val="24"/>
      <w:lang w:eastAsia="ja-JP" w:bidi="ne-NP"/>
    </w:rPr>
  </w:style>
  <w:style w:type="paragraph" w:styleId="Heading4">
    <w:name w:val="heading 4"/>
    <w:basedOn w:val="Normal"/>
    <w:next w:val="Normal"/>
    <w:link w:val="Heading4Char"/>
    <w:uiPriority w:val="9"/>
    <w:unhideWhenUsed/>
    <w:qFormat/>
    <w:rsid w:val="00F5192A"/>
    <w:pPr>
      <w:numPr>
        <w:ilvl w:val="3"/>
        <w:numId w:val="19"/>
      </w:numPr>
      <w:autoSpaceDE w:val="0"/>
      <w:autoSpaceDN w:val="0"/>
      <w:adjustRightInd w:val="0"/>
      <w:spacing w:after="0" w:line="360" w:lineRule="auto"/>
      <w:outlineLvl w:val="3"/>
    </w:pPr>
    <w:rPr>
      <w:rFonts w:ascii="Arial" w:eastAsia="MS Mincho" w:hAnsi="Arial" w:cs="Arial"/>
      <w:color w:val="000000"/>
      <w:sz w:val="24"/>
      <w:szCs w:val="24"/>
      <w:lang w:eastAsia="ja-JP" w:bidi="ne-NP"/>
    </w:rPr>
  </w:style>
  <w:style w:type="paragraph" w:styleId="Heading5">
    <w:name w:val="heading 5"/>
    <w:basedOn w:val="Normal"/>
    <w:next w:val="Normal"/>
    <w:link w:val="Heading5Char"/>
    <w:uiPriority w:val="9"/>
    <w:unhideWhenUsed/>
    <w:qFormat/>
    <w:rsid w:val="00F5192A"/>
    <w:pPr>
      <w:numPr>
        <w:ilvl w:val="4"/>
        <w:numId w:val="19"/>
      </w:numPr>
      <w:autoSpaceDE w:val="0"/>
      <w:autoSpaceDN w:val="0"/>
      <w:adjustRightInd w:val="0"/>
      <w:spacing w:after="0" w:line="360" w:lineRule="auto"/>
      <w:outlineLvl w:val="4"/>
    </w:pPr>
    <w:rPr>
      <w:rFonts w:ascii="Arial" w:eastAsia="MS Mincho" w:hAnsi="Arial" w:cs="Arial"/>
      <w:color w:val="000000"/>
      <w:sz w:val="24"/>
      <w:szCs w:val="24"/>
      <w:lang w:eastAsia="ja-JP"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92A"/>
    <w:rPr>
      <w:rFonts w:ascii="Arial" w:eastAsia="MS Mincho" w:hAnsi="Arial" w:cs="Arial"/>
      <w:color w:val="000000"/>
      <w:sz w:val="24"/>
      <w:szCs w:val="24"/>
      <w:lang w:eastAsia="ja-JP" w:bidi="ne-NP"/>
    </w:rPr>
  </w:style>
  <w:style w:type="character" w:customStyle="1" w:styleId="Heading3Char">
    <w:name w:val="Heading 3 Char"/>
    <w:basedOn w:val="DefaultParagraphFont"/>
    <w:link w:val="Heading3"/>
    <w:uiPriority w:val="9"/>
    <w:rsid w:val="00F5192A"/>
    <w:rPr>
      <w:rFonts w:ascii="Arial" w:eastAsia="MS Mincho" w:hAnsi="Arial" w:cs="Arial"/>
      <w:color w:val="000000"/>
      <w:sz w:val="24"/>
      <w:szCs w:val="24"/>
      <w:lang w:eastAsia="ja-JP" w:bidi="ne-NP"/>
    </w:rPr>
  </w:style>
  <w:style w:type="character" w:customStyle="1" w:styleId="Heading4Char">
    <w:name w:val="Heading 4 Char"/>
    <w:basedOn w:val="DefaultParagraphFont"/>
    <w:link w:val="Heading4"/>
    <w:uiPriority w:val="9"/>
    <w:rsid w:val="00F5192A"/>
    <w:rPr>
      <w:rFonts w:ascii="Arial" w:eastAsia="MS Mincho" w:hAnsi="Arial" w:cs="Arial"/>
      <w:color w:val="000000"/>
      <w:sz w:val="24"/>
      <w:szCs w:val="24"/>
      <w:lang w:eastAsia="ja-JP" w:bidi="ne-NP"/>
    </w:rPr>
  </w:style>
  <w:style w:type="character" w:customStyle="1" w:styleId="Heading5Char">
    <w:name w:val="Heading 5 Char"/>
    <w:basedOn w:val="DefaultParagraphFont"/>
    <w:link w:val="Heading5"/>
    <w:uiPriority w:val="9"/>
    <w:rsid w:val="00F5192A"/>
    <w:rPr>
      <w:rFonts w:ascii="Arial" w:eastAsia="MS Mincho" w:hAnsi="Arial" w:cs="Arial"/>
      <w:color w:val="000000"/>
      <w:sz w:val="24"/>
      <w:szCs w:val="24"/>
      <w:lang w:eastAsia="ja-JP" w:bidi="ne-NP"/>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1"/>
    <w:qFormat/>
    <w:rsid w:val="00F5192A"/>
    <w:pPr>
      <w:ind w:left="720"/>
      <w:contextualSpacing/>
    </w:pPr>
  </w:style>
  <w:style w:type="character" w:styleId="CommentReference">
    <w:name w:val="annotation reference"/>
    <w:basedOn w:val="DefaultParagraphFont"/>
    <w:uiPriority w:val="99"/>
    <w:semiHidden/>
    <w:unhideWhenUsed/>
    <w:rsid w:val="00F5192A"/>
    <w:rPr>
      <w:sz w:val="16"/>
      <w:szCs w:val="16"/>
    </w:rPr>
  </w:style>
  <w:style w:type="paragraph" w:styleId="CommentText">
    <w:name w:val="annotation text"/>
    <w:basedOn w:val="Normal"/>
    <w:link w:val="CommentTextChar"/>
    <w:uiPriority w:val="99"/>
    <w:semiHidden/>
    <w:unhideWhenUsed/>
    <w:rsid w:val="00F5192A"/>
    <w:pPr>
      <w:spacing w:line="240" w:lineRule="auto"/>
    </w:pPr>
    <w:rPr>
      <w:sz w:val="20"/>
      <w:szCs w:val="20"/>
    </w:rPr>
  </w:style>
  <w:style w:type="character" w:customStyle="1" w:styleId="CommentTextChar">
    <w:name w:val="Comment Text Char"/>
    <w:basedOn w:val="DefaultParagraphFont"/>
    <w:link w:val="CommentText"/>
    <w:uiPriority w:val="99"/>
    <w:semiHidden/>
    <w:rsid w:val="00F5192A"/>
    <w:rPr>
      <w:sz w:val="20"/>
      <w:szCs w:val="20"/>
    </w:rPr>
  </w:style>
  <w:style w:type="character" w:styleId="Hyperlink">
    <w:name w:val="Hyperlink"/>
    <w:basedOn w:val="DefaultParagraphFont"/>
    <w:uiPriority w:val="99"/>
    <w:unhideWhenUsed/>
    <w:rsid w:val="00F5192A"/>
    <w:rPr>
      <w:color w:val="0563C1" w:themeColor="hyperlink"/>
      <w:u w:val="single"/>
    </w:rPr>
  </w:style>
  <w:style w:type="paragraph" w:styleId="Header">
    <w:name w:val="header"/>
    <w:basedOn w:val="Normal"/>
    <w:link w:val="HeaderChar"/>
    <w:uiPriority w:val="99"/>
    <w:unhideWhenUsed/>
    <w:rsid w:val="00F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2A"/>
  </w:style>
  <w:style w:type="paragraph" w:styleId="Footer">
    <w:name w:val="footer"/>
    <w:basedOn w:val="Normal"/>
    <w:link w:val="FooterChar"/>
    <w:uiPriority w:val="99"/>
    <w:unhideWhenUsed/>
    <w:rsid w:val="00F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2A"/>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F5192A"/>
  </w:style>
  <w:style w:type="paragraph" w:styleId="BalloonText">
    <w:name w:val="Balloon Text"/>
    <w:basedOn w:val="Normal"/>
    <w:link w:val="BalloonTextChar"/>
    <w:uiPriority w:val="99"/>
    <w:semiHidden/>
    <w:unhideWhenUsed/>
    <w:rsid w:val="00F51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3B8"/>
    <w:rPr>
      <w:b/>
      <w:bCs/>
    </w:rPr>
  </w:style>
  <w:style w:type="character" w:customStyle="1" w:styleId="CommentSubjectChar">
    <w:name w:val="Comment Subject Char"/>
    <w:basedOn w:val="CommentTextChar"/>
    <w:link w:val="CommentSubject"/>
    <w:uiPriority w:val="99"/>
    <w:semiHidden/>
    <w:rsid w:val="008273B8"/>
    <w:rPr>
      <w:b/>
      <w:bCs/>
      <w:sz w:val="20"/>
      <w:szCs w:val="20"/>
    </w:rPr>
  </w:style>
  <w:style w:type="table" w:styleId="TableGrid">
    <w:name w:val="Table Grid"/>
    <w:basedOn w:val="TableNormal"/>
    <w:uiPriority w:val="39"/>
    <w:rsid w:val="001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5C8D"/>
    <w:rPr>
      <w:color w:val="954F72" w:themeColor="followedHyperlink"/>
      <w:u w:val="single"/>
    </w:rPr>
  </w:style>
  <w:style w:type="character" w:styleId="UnresolvedMention">
    <w:name w:val="Unresolved Mention"/>
    <w:basedOn w:val="DefaultParagraphFont"/>
    <w:uiPriority w:val="99"/>
    <w:semiHidden/>
    <w:unhideWhenUsed/>
    <w:rsid w:val="00CC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3/network-contract-des-specification-pcn-requirements-entitlements-2020-21.pdf" TargetMode="External"/><Relationship Id="rId13" Type="http://schemas.openxmlformats.org/officeDocument/2006/relationships/hyperlink" Target="https://www.england.nhs.uk/wp-content/uploads/2020/03/network-contract-des-specification-pcn-requirements-entitlements-2020-2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gland.nhs.uk/wp-content/uploads/2020/03/network-contract-des-specification-pcn-requirements-entitlements-2020-2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e.nhs.uk/our-work/advanced-clinical-practice/multi-professional-framework" TargetMode="External"/><Relationship Id="rId5" Type="http://schemas.openxmlformats.org/officeDocument/2006/relationships/webSettings" Target="webSettings.xml"/><Relationship Id="rId15" Type="http://schemas.openxmlformats.org/officeDocument/2006/relationships/hyperlink" Target="https://www.hee.nhs.uk/our-work/advanced-clinical-practice/multi-professional-framework" TargetMode="External"/><Relationship Id="rId10" Type="http://schemas.openxmlformats.org/officeDocument/2006/relationships/hyperlink" Target="https://www.csp.org.uk/professional-clinical/improvement-innovation/first-contact-physiotherapy-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gland.nhs.uk/wp-content/uploads/2020/03/network-contract-des-specification-pcn-requirements-entitlements-2020-21.pdf" TargetMode="External"/><Relationship Id="rId14" Type="http://schemas.openxmlformats.org/officeDocument/2006/relationships/hyperlink" Target="https://www.csp.org.uk/professional-clinical/improvement-innovation/first-contact-physiothera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6A8B-3B5C-4D7B-9F2C-54855F93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30998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Chandni</dc:creator>
  <cp:keywords/>
  <dc:description/>
  <cp:lastModifiedBy>CHANDNI MAHER</cp:lastModifiedBy>
  <cp:revision>1</cp:revision>
  <dcterms:created xsi:type="dcterms:W3CDTF">2020-10-06T12:49:00Z</dcterms:created>
  <dcterms:modified xsi:type="dcterms:W3CDTF">2020-10-06T12:49:00Z</dcterms:modified>
</cp:coreProperties>
</file>