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2FB05" w14:textId="6D403D6A" w:rsidR="008625BC" w:rsidRPr="00971408" w:rsidRDefault="008625BC" w:rsidP="00971408">
      <w:pPr>
        <w:pStyle w:val="Heading1"/>
      </w:pPr>
      <w:r w:rsidRPr="00971408">
        <w:t>Data sharing agreement</w:t>
      </w:r>
      <w:r w:rsidR="00E963E5">
        <w:t xml:space="preserve"> |</w:t>
      </w:r>
      <w:r w:rsidR="00FC5382" w:rsidRPr="00971408">
        <w:t xml:space="preserve"> </w:t>
      </w:r>
      <w:r w:rsidR="00E963E5">
        <w:t>P</w:t>
      </w:r>
      <w:r w:rsidR="00FC5382" w:rsidRPr="00971408">
        <w:t>roxy access to GP online services</w:t>
      </w:r>
      <w:r w:rsidR="00971408">
        <w:t xml:space="preserve"> by care staff</w:t>
      </w:r>
    </w:p>
    <w:p w14:paraId="1D163205" w14:textId="338F9D11" w:rsidR="008625BC" w:rsidRDefault="008625BC" w:rsidP="008625BC">
      <w:r>
        <w:t>This data sharing agreement is between</w:t>
      </w:r>
      <w:r w:rsidR="00971408">
        <w:t>:</w:t>
      </w:r>
    </w:p>
    <w:tbl>
      <w:tblPr>
        <w:tblStyle w:val="TableGrid"/>
        <w:tblW w:w="0" w:type="auto"/>
        <w:tblLook w:val="04A0" w:firstRow="1" w:lastRow="0" w:firstColumn="1" w:lastColumn="0" w:noHBand="0" w:noVBand="1"/>
      </w:tblPr>
      <w:tblGrid>
        <w:gridCol w:w="2830"/>
        <w:gridCol w:w="7366"/>
      </w:tblGrid>
      <w:tr w:rsidR="008625BC" w14:paraId="55BED59D" w14:textId="77777777" w:rsidTr="008625BC">
        <w:trPr>
          <w:trHeight w:val="410"/>
        </w:trPr>
        <w:tc>
          <w:tcPr>
            <w:tcW w:w="2830" w:type="dxa"/>
            <w:vAlign w:val="center"/>
          </w:tcPr>
          <w:p w14:paraId="47DF1FE8" w14:textId="655FF20D" w:rsidR="008625BC" w:rsidRPr="00A03195" w:rsidRDefault="008625BC" w:rsidP="008625BC">
            <w:pPr>
              <w:rPr>
                <w:b/>
                <w:bCs/>
              </w:rPr>
            </w:pPr>
            <w:r w:rsidRPr="00A03195">
              <w:rPr>
                <w:b/>
                <w:bCs/>
              </w:rPr>
              <w:t>Name of GP practice</w:t>
            </w:r>
          </w:p>
        </w:tc>
        <w:tc>
          <w:tcPr>
            <w:tcW w:w="7366" w:type="dxa"/>
            <w:vAlign w:val="center"/>
          </w:tcPr>
          <w:p w14:paraId="55D7E025" w14:textId="77777777" w:rsidR="008625BC" w:rsidRDefault="008625BC" w:rsidP="008625BC"/>
        </w:tc>
      </w:tr>
      <w:tr w:rsidR="008625BC" w14:paraId="565BA235" w14:textId="77777777" w:rsidTr="008625BC">
        <w:trPr>
          <w:trHeight w:val="410"/>
        </w:trPr>
        <w:tc>
          <w:tcPr>
            <w:tcW w:w="2830" w:type="dxa"/>
            <w:vAlign w:val="center"/>
          </w:tcPr>
          <w:p w14:paraId="1515D0A3" w14:textId="423561E3" w:rsidR="008625BC" w:rsidRPr="00A03195" w:rsidRDefault="008625BC" w:rsidP="008625BC">
            <w:pPr>
              <w:rPr>
                <w:b/>
                <w:bCs/>
              </w:rPr>
            </w:pPr>
            <w:r w:rsidRPr="00A03195">
              <w:rPr>
                <w:b/>
                <w:bCs/>
              </w:rPr>
              <w:t>Name of care home</w:t>
            </w:r>
          </w:p>
        </w:tc>
        <w:tc>
          <w:tcPr>
            <w:tcW w:w="7366" w:type="dxa"/>
            <w:vAlign w:val="center"/>
          </w:tcPr>
          <w:p w14:paraId="00F1C693" w14:textId="77777777" w:rsidR="008625BC" w:rsidRDefault="008625BC" w:rsidP="008625BC"/>
        </w:tc>
      </w:tr>
    </w:tbl>
    <w:p w14:paraId="14243707" w14:textId="77777777" w:rsidR="008625BC" w:rsidRPr="003B7EDE" w:rsidRDefault="008625BC" w:rsidP="008625BC">
      <w:pPr>
        <w:pStyle w:val="Heading2"/>
      </w:pPr>
      <w:r w:rsidRPr="003B7EDE">
        <w:t xml:space="preserve">Introduction </w:t>
      </w:r>
    </w:p>
    <w:p w14:paraId="4C5FC74E" w14:textId="77777777" w:rsidR="008625BC" w:rsidRDefault="008625BC" w:rsidP="008625BC">
      <w:r w:rsidRPr="008F4715">
        <w:t xml:space="preserve">This Data Sharing Agreement facilitates the lawful, </w:t>
      </w:r>
      <w:proofErr w:type="gramStart"/>
      <w:r w:rsidRPr="008F4715">
        <w:t>safe</w:t>
      </w:r>
      <w:proofErr w:type="gramEnd"/>
      <w:r w:rsidRPr="008F4715">
        <w:t xml:space="preserve"> and secure sharing of information between the </w:t>
      </w:r>
      <w:r>
        <w:t xml:space="preserve">named </w:t>
      </w:r>
      <w:r w:rsidRPr="008F4715">
        <w:t xml:space="preserve">GP practice and the </w:t>
      </w:r>
      <w:r>
        <w:t>named c</w:t>
      </w:r>
      <w:r w:rsidRPr="008F4715">
        <w:t>are home on behalf of all residents registered at the home</w:t>
      </w:r>
      <w:r>
        <w:t xml:space="preserve">, </w:t>
      </w:r>
      <w:r w:rsidRPr="008F4715">
        <w:t xml:space="preserve">according to the General Data Protection Regulation (GDPR) 2018 and the Data Protection </w:t>
      </w:r>
      <w:r w:rsidRPr="004F6D1C">
        <w:t>Act 2</w:t>
      </w:r>
      <w:r w:rsidRPr="0000193B">
        <w:t>018.</w:t>
      </w:r>
    </w:p>
    <w:p w14:paraId="40E7EADE" w14:textId="5480F05C" w:rsidR="008625BC" w:rsidRDefault="008625BC" w:rsidP="008625BC">
      <w:r w:rsidRPr="0000193B">
        <w:t xml:space="preserve">This use of data is in connection </w:t>
      </w:r>
      <w:r w:rsidR="00971408">
        <w:t xml:space="preserve">with the </w:t>
      </w:r>
      <w:r w:rsidRPr="0000193B">
        <w:t>provision of direct care.</w:t>
      </w:r>
    </w:p>
    <w:p w14:paraId="43225A4E" w14:textId="044E34F4" w:rsidR="000631BE" w:rsidRDefault="008625BC" w:rsidP="000631BE">
      <w:r w:rsidRPr="008F4715">
        <w:t>For the purposes of this Agreement</w:t>
      </w:r>
      <w:r w:rsidR="00736A42">
        <w:t xml:space="preserve"> </w:t>
      </w:r>
      <w:r w:rsidR="00736A42">
        <w:rPr>
          <w:b/>
          <w:bCs/>
          <w:color w:val="0070C0"/>
        </w:rPr>
        <w:t>&lt;insert GP practice name&gt;</w:t>
      </w:r>
      <w:r>
        <w:t xml:space="preserve"> </w:t>
      </w:r>
      <w:r w:rsidRPr="008F4715">
        <w:t xml:space="preserve">shall own the data and will be Data Controller(s). The Data Controller is the organisation (or person) that </w:t>
      </w:r>
      <w:r>
        <w:t>‘</w:t>
      </w:r>
      <w:r w:rsidRPr="008F4715">
        <w:t>determines the purposes and means of the processor of personal [and special category] data, and has overall control of how, why, what, when</w:t>
      </w:r>
      <w:r w:rsidR="00263E92">
        <w:t>,</w:t>
      </w:r>
      <w:r w:rsidRPr="008F4715">
        <w:t xml:space="preserve"> where the data is processed and the duration of the processing</w:t>
      </w:r>
      <w:r w:rsidR="000631BE">
        <w:t>.</w:t>
      </w:r>
    </w:p>
    <w:p w14:paraId="68047510" w14:textId="3B9AF7D4" w:rsidR="008625BC" w:rsidRPr="003B7EDE" w:rsidRDefault="008625BC" w:rsidP="000631BE">
      <w:r w:rsidRPr="003B7EDE">
        <w:t xml:space="preserve">Purpose of the </w:t>
      </w:r>
      <w:r>
        <w:t>a</w:t>
      </w:r>
      <w:r w:rsidRPr="003B7EDE">
        <w:t xml:space="preserve">greement </w:t>
      </w:r>
    </w:p>
    <w:p w14:paraId="774BD169" w14:textId="7191E624" w:rsidR="008625BC" w:rsidRPr="008F4715" w:rsidRDefault="00971408" w:rsidP="008625BC">
      <w:r>
        <w:t>This</w:t>
      </w:r>
      <w:r w:rsidR="008625BC" w:rsidRPr="008F4715">
        <w:t xml:space="preserve"> agreement is necessary to: </w:t>
      </w:r>
    </w:p>
    <w:tbl>
      <w:tblPr>
        <w:tblW w:w="0" w:type="auto"/>
        <w:tblLayout w:type="fixed"/>
        <w:tblLook w:val="04A0" w:firstRow="1" w:lastRow="0" w:firstColumn="1" w:lastColumn="0" w:noHBand="0" w:noVBand="1"/>
      </w:tblPr>
      <w:tblGrid>
        <w:gridCol w:w="7865"/>
        <w:gridCol w:w="7865"/>
      </w:tblGrid>
      <w:tr w:rsidR="00E76D1C" w:rsidRPr="008F4715" w14:paraId="3B224938" w14:textId="7E23E081" w:rsidTr="00A03195">
        <w:trPr>
          <w:trHeight w:val="119"/>
        </w:trPr>
        <w:tc>
          <w:tcPr>
            <w:tcW w:w="7865" w:type="dxa"/>
            <w:tcBorders>
              <w:top w:val="nil"/>
              <w:left w:val="nil"/>
              <w:bottom w:val="nil"/>
              <w:right w:val="nil"/>
            </w:tcBorders>
            <w:hideMark/>
          </w:tcPr>
          <w:p w14:paraId="32AD9C16" w14:textId="77777777" w:rsidR="00E76D1C" w:rsidRPr="008F4715" w:rsidRDefault="00E76D1C" w:rsidP="008625BC">
            <w:pPr>
              <w:pStyle w:val="ListBullet"/>
            </w:pPr>
            <w:r w:rsidRPr="008F4715">
              <w:t xml:space="preserve">deliver preventative medicine </w:t>
            </w:r>
          </w:p>
          <w:p w14:paraId="4949C40B" w14:textId="77777777" w:rsidR="00E76D1C" w:rsidRPr="008F4715" w:rsidRDefault="00E76D1C" w:rsidP="008625BC">
            <w:pPr>
              <w:pStyle w:val="ListBullet"/>
            </w:pPr>
            <w:r w:rsidRPr="008F4715">
              <w:t>conduct medical diagnosis</w:t>
            </w:r>
          </w:p>
          <w:p w14:paraId="2DF2C1D9" w14:textId="77777777" w:rsidR="00E76D1C" w:rsidRPr="008F4715" w:rsidRDefault="00E76D1C" w:rsidP="008625BC">
            <w:pPr>
              <w:pStyle w:val="ListBullet"/>
            </w:pPr>
            <w:r w:rsidRPr="008F4715">
              <w:t xml:space="preserve">deliver health and social care or treatment </w:t>
            </w:r>
          </w:p>
          <w:p w14:paraId="5503723B" w14:textId="3922922B" w:rsidR="00E76D1C" w:rsidRPr="008F4715" w:rsidRDefault="00E76D1C" w:rsidP="008625BC">
            <w:pPr>
              <w:pStyle w:val="ListBullet"/>
            </w:pPr>
            <w:r w:rsidRPr="008F4715">
              <w:t xml:space="preserve">identify </w:t>
            </w:r>
            <w:r>
              <w:t>those</w:t>
            </w:r>
            <w:r w:rsidRPr="008F4715">
              <w:t xml:space="preserve"> at risk of an unplanned </w:t>
            </w:r>
            <w:r>
              <w:t xml:space="preserve">hospital </w:t>
            </w:r>
            <w:r w:rsidRPr="008F4715">
              <w:t>admission</w:t>
            </w:r>
          </w:p>
          <w:p w14:paraId="00421775" w14:textId="7E4E3AEF" w:rsidR="00E76D1C" w:rsidRPr="008F4715" w:rsidRDefault="00E76D1C" w:rsidP="008625BC">
            <w:pPr>
              <w:pStyle w:val="ListBullet"/>
            </w:pPr>
            <w:r w:rsidRPr="008F4715">
              <w:t>improve the life circumstances and outcomes of residents in care settings and their family members</w:t>
            </w:r>
          </w:p>
          <w:p w14:paraId="17118C6A" w14:textId="3A1C295A" w:rsidR="00E76D1C" w:rsidRPr="008F4715" w:rsidRDefault="00E76D1C" w:rsidP="008625BC">
            <w:pPr>
              <w:pStyle w:val="ListBullet"/>
            </w:pPr>
            <w:r w:rsidRPr="008F4715">
              <w:t xml:space="preserve">improve the life circumstances and outcomes </w:t>
            </w:r>
            <w:r>
              <w:t xml:space="preserve">for </w:t>
            </w:r>
            <w:r w:rsidRPr="008F4715">
              <w:t>older pe</w:t>
            </w:r>
            <w:r>
              <w:t>ople</w:t>
            </w:r>
            <w:r w:rsidRPr="008F4715">
              <w:t>, older pe</w:t>
            </w:r>
            <w:r>
              <w:t>ople</w:t>
            </w:r>
            <w:r w:rsidRPr="008F4715">
              <w:t xml:space="preserve"> living with dementia</w:t>
            </w:r>
            <w:r>
              <w:t xml:space="preserve"> </w:t>
            </w:r>
            <w:r w:rsidRPr="008F4715">
              <w:t>and their family members</w:t>
            </w:r>
          </w:p>
          <w:p w14:paraId="0BD81A78" w14:textId="11A2D0EF" w:rsidR="00E76D1C" w:rsidRPr="006242B9" w:rsidRDefault="00E76D1C" w:rsidP="008625BC">
            <w:pPr>
              <w:pStyle w:val="ListBullet"/>
              <w:rPr>
                <w:rFonts w:eastAsia="Times New Roman"/>
                <w:color w:val="000000"/>
              </w:rPr>
            </w:pPr>
            <w:r w:rsidRPr="008F4715">
              <w:t>reduce the number of older p</w:t>
            </w:r>
            <w:r>
              <w:t>eople</w:t>
            </w:r>
            <w:r w:rsidRPr="008F4715">
              <w:t xml:space="preserve"> whose life circumstances and experiences make them at risk </w:t>
            </w:r>
            <w:r w:rsidR="00AB5A8F">
              <w:t>of</w:t>
            </w:r>
            <w:r w:rsidRPr="008F4715">
              <w:t xml:space="preserve"> harm</w:t>
            </w:r>
          </w:p>
          <w:p w14:paraId="17448801" w14:textId="4CD433E8" w:rsidR="00E76D1C" w:rsidRPr="008F4715" w:rsidRDefault="00E76D1C" w:rsidP="008625BC">
            <w:pPr>
              <w:pStyle w:val="ListBullet"/>
              <w:rPr>
                <w:rFonts w:eastAsia="Times New Roman"/>
                <w:color w:val="000000"/>
              </w:rPr>
            </w:pPr>
            <w:r>
              <w:t>share information where relevant and agreed for direct care</w:t>
            </w:r>
          </w:p>
        </w:tc>
        <w:tc>
          <w:tcPr>
            <w:tcW w:w="7865" w:type="dxa"/>
            <w:tcBorders>
              <w:top w:val="nil"/>
              <w:left w:val="nil"/>
              <w:bottom w:val="nil"/>
              <w:right w:val="nil"/>
            </w:tcBorders>
          </w:tcPr>
          <w:p w14:paraId="41689F90" w14:textId="77777777" w:rsidR="00E76D1C" w:rsidRPr="008F4715" w:rsidRDefault="00E76D1C" w:rsidP="00A03195">
            <w:pPr>
              <w:pStyle w:val="ListBullet"/>
              <w:numPr>
                <w:ilvl w:val="0"/>
                <w:numId w:val="0"/>
              </w:numPr>
              <w:ind w:left="714"/>
            </w:pPr>
          </w:p>
        </w:tc>
      </w:tr>
    </w:tbl>
    <w:p w14:paraId="388DB36F" w14:textId="06B63AF3" w:rsidR="008625BC" w:rsidRPr="003B7EDE" w:rsidRDefault="008625BC" w:rsidP="008625BC">
      <w:pPr>
        <w:pStyle w:val="Heading2"/>
        <w:rPr>
          <w:iCs/>
        </w:rPr>
      </w:pPr>
      <w:r w:rsidRPr="003B7EDE">
        <w:lastRenderedPageBreak/>
        <w:t>Lawful basis for sharing</w:t>
      </w:r>
      <w:r w:rsidRPr="003B7EDE">
        <w:rPr>
          <w:i/>
        </w:rPr>
        <w:t xml:space="preserve"> </w:t>
      </w:r>
    </w:p>
    <w:p w14:paraId="664C176B" w14:textId="77777777" w:rsidR="008625BC" w:rsidRPr="00A03195" w:rsidRDefault="008625BC" w:rsidP="008625BC">
      <w:pPr>
        <w:rPr>
          <w:szCs w:val="24"/>
        </w:rPr>
      </w:pPr>
      <w:r w:rsidRPr="00A03195">
        <w:rPr>
          <w:szCs w:val="24"/>
        </w:rPr>
        <w:t>The data disclosed will be relevant to the stated purpose(s) of this agreement and the minimum necessary to achieve the purpose(s).</w:t>
      </w:r>
    </w:p>
    <w:p w14:paraId="30E02C6A" w14:textId="1F469E19" w:rsidR="008625BC" w:rsidRDefault="008625BC" w:rsidP="008625BC">
      <w:pPr>
        <w:rPr>
          <w:sz w:val="22"/>
        </w:rPr>
      </w:pPr>
      <w:r w:rsidRPr="00A03195">
        <w:rPr>
          <w:szCs w:val="24"/>
        </w:rPr>
        <w:t>The sharing of data is necessary for the exercise of statutory functions conferred on the parties as follows</w:t>
      </w:r>
      <w:r w:rsidRPr="008F4715">
        <w:rPr>
          <w:sz w:val="22"/>
        </w:rPr>
        <w:t xml:space="preserve">: </w:t>
      </w:r>
    </w:p>
    <w:tbl>
      <w:tblPr>
        <w:tblStyle w:val="TableGrid"/>
        <w:tblW w:w="0" w:type="auto"/>
        <w:tblInd w:w="846" w:type="dxa"/>
        <w:tblLook w:val="04A0" w:firstRow="1" w:lastRow="0" w:firstColumn="1" w:lastColumn="0" w:noHBand="0" w:noVBand="1"/>
      </w:tblPr>
      <w:tblGrid>
        <w:gridCol w:w="3969"/>
        <w:gridCol w:w="4111"/>
      </w:tblGrid>
      <w:tr w:rsidR="008625BC" w14:paraId="28C7C9DE" w14:textId="77777777" w:rsidTr="008625BC">
        <w:trPr>
          <w:trHeight w:val="448"/>
        </w:trPr>
        <w:tc>
          <w:tcPr>
            <w:tcW w:w="3969" w:type="dxa"/>
            <w:shd w:val="clear" w:color="auto" w:fill="E7E6E6" w:themeFill="background2"/>
            <w:vAlign w:val="center"/>
          </w:tcPr>
          <w:p w14:paraId="321AF09D" w14:textId="2A5ACF2D" w:rsidR="008625BC" w:rsidRPr="008625BC" w:rsidRDefault="008625BC" w:rsidP="008625BC">
            <w:pPr>
              <w:jc w:val="center"/>
              <w:rPr>
                <w:b/>
                <w:bCs/>
                <w:sz w:val="22"/>
              </w:rPr>
            </w:pPr>
            <w:r w:rsidRPr="008625BC">
              <w:rPr>
                <w:b/>
                <w:bCs/>
                <w:sz w:val="22"/>
              </w:rPr>
              <w:t>Party</w:t>
            </w:r>
          </w:p>
        </w:tc>
        <w:tc>
          <w:tcPr>
            <w:tcW w:w="4111" w:type="dxa"/>
            <w:shd w:val="clear" w:color="auto" w:fill="E7E6E6" w:themeFill="background2"/>
            <w:vAlign w:val="center"/>
          </w:tcPr>
          <w:p w14:paraId="4E8D9632" w14:textId="165E5FA6" w:rsidR="008625BC" w:rsidRPr="008625BC" w:rsidRDefault="008625BC" w:rsidP="008625BC">
            <w:pPr>
              <w:jc w:val="center"/>
              <w:rPr>
                <w:b/>
                <w:bCs/>
                <w:sz w:val="22"/>
              </w:rPr>
            </w:pPr>
            <w:r w:rsidRPr="008625BC">
              <w:rPr>
                <w:b/>
                <w:bCs/>
                <w:sz w:val="22"/>
              </w:rPr>
              <w:t>Statutory function</w:t>
            </w:r>
          </w:p>
        </w:tc>
      </w:tr>
      <w:tr w:rsidR="008625BC" w14:paraId="19CD70C6" w14:textId="77777777" w:rsidTr="008625BC">
        <w:trPr>
          <w:trHeight w:val="1120"/>
        </w:trPr>
        <w:tc>
          <w:tcPr>
            <w:tcW w:w="3969" w:type="dxa"/>
            <w:vAlign w:val="center"/>
          </w:tcPr>
          <w:p w14:paraId="3F61585B" w14:textId="77777777" w:rsidR="008625BC" w:rsidRPr="00A03195" w:rsidRDefault="008625BC" w:rsidP="008625BC">
            <w:pPr>
              <w:rPr>
                <w:szCs w:val="24"/>
              </w:rPr>
            </w:pPr>
            <w:r w:rsidRPr="00A03195">
              <w:rPr>
                <w:szCs w:val="24"/>
              </w:rPr>
              <w:t xml:space="preserve">GP Practices </w:t>
            </w:r>
          </w:p>
          <w:p w14:paraId="13980AFD" w14:textId="1487707B" w:rsidR="008625BC" w:rsidRPr="00A03195" w:rsidRDefault="008625BC" w:rsidP="008625BC">
            <w:pPr>
              <w:rPr>
                <w:szCs w:val="24"/>
              </w:rPr>
            </w:pPr>
            <w:r w:rsidRPr="00A03195">
              <w:rPr>
                <w:szCs w:val="24"/>
              </w:rPr>
              <w:t>National Health Services Act 2006 – Part 1</w:t>
            </w:r>
          </w:p>
        </w:tc>
        <w:tc>
          <w:tcPr>
            <w:tcW w:w="4111" w:type="dxa"/>
            <w:vAlign w:val="center"/>
          </w:tcPr>
          <w:p w14:paraId="4AEA4E5F" w14:textId="416F365E" w:rsidR="008625BC" w:rsidRPr="00A03195" w:rsidRDefault="008625BC" w:rsidP="008625BC">
            <w:pPr>
              <w:rPr>
                <w:szCs w:val="24"/>
              </w:rPr>
            </w:pPr>
            <w:r w:rsidRPr="00A03195">
              <w:rPr>
                <w:szCs w:val="24"/>
              </w:rPr>
              <w:t>Promotion and provision of the Health Service in England</w:t>
            </w:r>
          </w:p>
        </w:tc>
      </w:tr>
      <w:tr w:rsidR="008625BC" w14:paraId="1C9B2553" w14:textId="77777777" w:rsidTr="008625BC">
        <w:trPr>
          <w:trHeight w:val="2128"/>
        </w:trPr>
        <w:tc>
          <w:tcPr>
            <w:tcW w:w="3969" w:type="dxa"/>
            <w:vAlign w:val="center"/>
          </w:tcPr>
          <w:p w14:paraId="7BA1A5B2" w14:textId="77777777" w:rsidR="008625BC" w:rsidRPr="00A03195" w:rsidRDefault="008625BC" w:rsidP="008625BC">
            <w:pPr>
              <w:rPr>
                <w:szCs w:val="24"/>
              </w:rPr>
            </w:pPr>
            <w:r w:rsidRPr="00A03195">
              <w:rPr>
                <w:szCs w:val="24"/>
              </w:rPr>
              <w:t xml:space="preserve">GP Practices </w:t>
            </w:r>
          </w:p>
          <w:p w14:paraId="796C22BC" w14:textId="035EAA75" w:rsidR="008625BC" w:rsidRPr="00A03195" w:rsidRDefault="008625BC" w:rsidP="008625BC">
            <w:pPr>
              <w:rPr>
                <w:szCs w:val="24"/>
              </w:rPr>
            </w:pPr>
            <w:r w:rsidRPr="00A03195">
              <w:rPr>
                <w:szCs w:val="24"/>
              </w:rPr>
              <w:t>Health and Social Care Act 2012 – Sections 1 to 8</w:t>
            </w:r>
          </w:p>
        </w:tc>
        <w:tc>
          <w:tcPr>
            <w:tcW w:w="4111" w:type="dxa"/>
            <w:vAlign w:val="center"/>
          </w:tcPr>
          <w:p w14:paraId="447D7916" w14:textId="62858A17" w:rsidR="008625BC" w:rsidRPr="00A03195" w:rsidRDefault="008625BC" w:rsidP="008625BC">
            <w:pPr>
              <w:rPr>
                <w:szCs w:val="24"/>
              </w:rPr>
            </w:pPr>
            <w:r w:rsidRPr="00A03195">
              <w:rPr>
                <w:szCs w:val="24"/>
              </w:rPr>
              <w:t>Duty to promote comprehensive health services, improve quality of services, reduce inequalities, promote autonomy, conduct research, deliver education and training, observance of the NHS Constitution and report and review performance of providers</w:t>
            </w:r>
          </w:p>
        </w:tc>
      </w:tr>
    </w:tbl>
    <w:p w14:paraId="732BFB19" w14:textId="794CDC00" w:rsidR="008625BC" w:rsidRDefault="008625BC" w:rsidP="008625BC">
      <w:pPr>
        <w:rPr>
          <w:sz w:val="22"/>
        </w:rPr>
      </w:pPr>
    </w:p>
    <w:p w14:paraId="40A42294" w14:textId="77777777" w:rsidR="008625BC" w:rsidRPr="00042838" w:rsidRDefault="008625BC" w:rsidP="008625BC">
      <w:pPr>
        <w:pStyle w:val="Heading2"/>
      </w:pPr>
      <w:r w:rsidRPr="00042838">
        <w:t>GDPR conditions</w:t>
      </w:r>
    </w:p>
    <w:p w14:paraId="7384A423" w14:textId="00735155" w:rsidR="008625BC" w:rsidRPr="00A03195" w:rsidRDefault="008625BC" w:rsidP="008625BC">
      <w:pPr>
        <w:rPr>
          <w:szCs w:val="24"/>
        </w:rPr>
      </w:pPr>
      <w:r w:rsidRPr="00A03195">
        <w:rPr>
          <w:szCs w:val="24"/>
        </w:rPr>
        <w:t>This agreement and process</w:t>
      </w:r>
      <w:r w:rsidR="00E76D1C">
        <w:rPr>
          <w:szCs w:val="24"/>
        </w:rPr>
        <w:t>ing</w:t>
      </w:r>
      <w:r w:rsidRPr="00A03195">
        <w:rPr>
          <w:szCs w:val="24"/>
        </w:rPr>
        <w:t xml:space="preserve"> of data relies on the following basis:</w:t>
      </w:r>
    </w:p>
    <w:p w14:paraId="1FA27120" w14:textId="77777777" w:rsidR="008625BC" w:rsidRPr="00A03195" w:rsidRDefault="008625BC" w:rsidP="008625BC">
      <w:pPr>
        <w:pStyle w:val="ListParagraph"/>
        <w:numPr>
          <w:ilvl w:val="0"/>
          <w:numId w:val="39"/>
        </w:numPr>
        <w:spacing w:after="0" w:line="240" w:lineRule="auto"/>
        <w:rPr>
          <w:b/>
          <w:bCs/>
          <w:szCs w:val="24"/>
        </w:rPr>
      </w:pPr>
      <w:r w:rsidRPr="00A03195">
        <w:rPr>
          <w:b/>
          <w:bCs/>
          <w:szCs w:val="24"/>
        </w:rPr>
        <w:t>Article 6 1E</w:t>
      </w:r>
    </w:p>
    <w:p w14:paraId="35DA8FA0" w14:textId="51BD5EFF" w:rsidR="008625BC" w:rsidRPr="00A03195" w:rsidRDefault="008625BC" w:rsidP="008625BC">
      <w:pPr>
        <w:pStyle w:val="ListParagraph"/>
        <w:rPr>
          <w:szCs w:val="24"/>
        </w:rPr>
      </w:pPr>
      <w:r w:rsidRPr="00A03195">
        <w:rPr>
          <w:szCs w:val="24"/>
        </w:rPr>
        <w:t>The lawful basis we rely on to process personal data is article 6(1)(e) of the GDPR, which allows us to process personal data when this is necessary to perform our duty of care</w:t>
      </w:r>
    </w:p>
    <w:p w14:paraId="402F3026" w14:textId="77777777" w:rsidR="008625BC" w:rsidRPr="00A03195" w:rsidRDefault="008625BC" w:rsidP="008625BC">
      <w:pPr>
        <w:pStyle w:val="ListParagraph"/>
        <w:numPr>
          <w:ilvl w:val="0"/>
          <w:numId w:val="39"/>
        </w:numPr>
        <w:spacing w:after="0" w:line="240" w:lineRule="auto"/>
        <w:rPr>
          <w:b/>
          <w:bCs/>
          <w:szCs w:val="24"/>
        </w:rPr>
      </w:pPr>
      <w:r w:rsidRPr="00A03195">
        <w:rPr>
          <w:b/>
          <w:bCs/>
          <w:szCs w:val="24"/>
        </w:rPr>
        <w:t>Article 9 Paragraph 2H</w:t>
      </w:r>
    </w:p>
    <w:p w14:paraId="6D5701A3" w14:textId="2E756DEC" w:rsidR="008625BC" w:rsidRPr="00A03195" w:rsidRDefault="008625BC" w:rsidP="008625BC">
      <w:pPr>
        <w:pStyle w:val="ListParagraph"/>
        <w:rPr>
          <w:rFonts w:cs="Arial"/>
          <w:b/>
          <w:bCs/>
          <w:szCs w:val="24"/>
        </w:rPr>
      </w:pPr>
      <w:r w:rsidRPr="00A03195">
        <w:rPr>
          <w:szCs w:val="24"/>
        </w:rPr>
        <w:t xml:space="preserve">To lawfully process special category data, </w:t>
      </w:r>
      <w:r w:rsidR="00971408" w:rsidRPr="00A03195">
        <w:rPr>
          <w:szCs w:val="24"/>
        </w:rPr>
        <w:t>parties to this agreement</w:t>
      </w:r>
      <w:r w:rsidRPr="00A03195">
        <w:rPr>
          <w:szCs w:val="24"/>
        </w:rPr>
        <w:t xml:space="preserve"> must identify both a lawful basis under Article 6 of the GDPR and a separate condition for processing under Article 9. </w:t>
      </w:r>
      <w:r w:rsidR="00586ACD" w:rsidRPr="00A03195">
        <w:rPr>
          <w:rFonts w:cs="Arial"/>
          <w:color w:val="3C4043"/>
          <w:spacing w:val="3"/>
          <w:szCs w:val="24"/>
          <w:shd w:val="clear" w:color="auto" w:fill="FFFFFF"/>
        </w:rPr>
        <w:t>This covers the provision of health or social care treatment</w:t>
      </w:r>
    </w:p>
    <w:p w14:paraId="560509D4" w14:textId="6A06C628" w:rsidR="008625BC" w:rsidRPr="003B7EDE" w:rsidRDefault="008625BC" w:rsidP="008625BC">
      <w:pPr>
        <w:pStyle w:val="Heading2"/>
      </w:pPr>
      <w:r w:rsidRPr="003B7EDE">
        <w:t xml:space="preserve">Information to be </w:t>
      </w:r>
      <w:r w:rsidR="00E963E5">
        <w:t>s</w:t>
      </w:r>
      <w:r w:rsidRPr="003B7EDE">
        <w:t>hared</w:t>
      </w:r>
    </w:p>
    <w:p w14:paraId="118744B6" w14:textId="77777777" w:rsidR="008625BC" w:rsidRPr="00A03195" w:rsidRDefault="008625BC" w:rsidP="008625BC">
      <w:pPr>
        <w:rPr>
          <w:szCs w:val="24"/>
        </w:rPr>
      </w:pPr>
      <w:r w:rsidRPr="00A03195">
        <w:rPr>
          <w:szCs w:val="24"/>
        </w:rPr>
        <w:t>The personal and special category data to be shared may include name, address, date of birth, NHS number, and a full range of other confidential and sensitive information available to access in the GP record.</w:t>
      </w:r>
    </w:p>
    <w:p w14:paraId="423E6674" w14:textId="6CF2DF4C" w:rsidR="008625BC" w:rsidRPr="00A03195" w:rsidRDefault="008625BC" w:rsidP="008625BC">
      <w:pPr>
        <w:rPr>
          <w:szCs w:val="24"/>
        </w:rPr>
      </w:pPr>
      <w:r w:rsidRPr="00A03195">
        <w:rPr>
          <w:szCs w:val="24"/>
        </w:rPr>
        <w:t>When consent to proxy access is being obtained, it is important to make clear the purpose or purposes for which it will be used</w:t>
      </w:r>
      <w:r w:rsidR="006242B9" w:rsidRPr="00A03195">
        <w:rPr>
          <w:szCs w:val="24"/>
        </w:rPr>
        <w:t xml:space="preserve"> and agreed locally between the practice/s and care home/s</w:t>
      </w:r>
      <w:r w:rsidRPr="00A03195">
        <w:rPr>
          <w:szCs w:val="24"/>
        </w:rPr>
        <w:t xml:space="preserve">.  If the purpose or purposes change, a new consent should be obtained.  </w:t>
      </w:r>
    </w:p>
    <w:p w14:paraId="20A08F55" w14:textId="20ECDB0D" w:rsidR="008625BC" w:rsidRPr="003B7EDE" w:rsidRDefault="008625BC" w:rsidP="008625BC">
      <w:pPr>
        <w:pStyle w:val="Heading2"/>
      </w:pPr>
      <w:r w:rsidRPr="003B7EDE">
        <w:lastRenderedPageBreak/>
        <w:t xml:space="preserve">Information </w:t>
      </w:r>
      <w:r w:rsidR="00E963E5">
        <w:t>s</w:t>
      </w:r>
      <w:r w:rsidRPr="003B7EDE">
        <w:t xml:space="preserve">ecurity </w:t>
      </w:r>
    </w:p>
    <w:p w14:paraId="13EE9C79" w14:textId="399C587E" w:rsidR="008625BC" w:rsidRPr="00A03195" w:rsidRDefault="008625BC" w:rsidP="008625BC">
      <w:pPr>
        <w:rPr>
          <w:szCs w:val="24"/>
        </w:rPr>
      </w:pPr>
      <w:r w:rsidRPr="00A03195">
        <w:rPr>
          <w:szCs w:val="24"/>
        </w:rPr>
        <w:t>The information will be transferred securely by way of secure NHSmail or an accredited alternative form of secure electronic transfer</w:t>
      </w:r>
      <w:r w:rsidR="006242B9" w:rsidRPr="00A03195">
        <w:rPr>
          <w:szCs w:val="24"/>
        </w:rPr>
        <w:t>, co</w:t>
      </w:r>
      <w:r w:rsidRPr="00A03195">
        <w:rPr>
          <w:szCs w:val="24"/>
        </w:rPr>
        <w:t>mmonly email.  There must be controls in place to ensure that only the intended recipient can view it, either through role-based access controls or encryption technology. The recipient will mark the information as confidential and restricted and keep it securely.</w:t>
      </w:r>
      <w:r w:rsidRPr="00A03195">
        <w:rPr>
          <w:i/>
          <w:szCs w:val="24"/>
        </w:rPr>
        <w:t xml:space="preserve"> </w:t>
      </w:r>
    </w:p>
    <w:p w14:paraId="3E3F3C4E" w14:textId="77777777" w:rsidR="008625BC" w:rsidRPr="00A03195" w:rsidRDefault="008625BC" w:rsidP="008625BC">
      <w:pPr>
        <w:rPr>
          <w:szCs w:val="24"/>
        </w:rPr>
      </w:pPr>
      <w:r w:rsidRPr="00A03195">
        <w:rPr>
          <w:szCs w:val="24"/>
        </w:rPr>
        <w:t>Personal data will not be transferred to a country or territory outside the European Economic Area unless that country or territory ensures an adequate level of protection for the rights and freedoms of data subjects in relation to the processing of personal data, which is consistent with the UK’s data protection legislation.</w:t>
      </w:r>
    </w:p>
    <w:p w14:paraId="69469B35" w14:textId="77777777" w:rsidR="008625BC" w:rsidRPr="003B7EDE" w:rsidRDefault="008625BC" w:rsidP="008625BC">
      <w:pPr>
        <w:pStyle w:val="Heading2"/>
      </w:pPr>
      <w:r w:rsidRPr="003B7EDE">
        <w:t xml:space="preserve">Information accuracy, use, retention, and deletion </w:t>
      </w:r>
    </w:p>
    <w:p w14:paraId="26C90882" w14:textId="3DFB9A4A" w:rsidR="008625BC" w:rsidRPr="00A03195" w:rsidRDefault="008625BC" w:rsidP="008625BC">
      <w:pPr>
        <w:rPr>
          <w:szCs w:val="24"/>
        </w:rPr>
      </w:pPr>
      <w:r w:rsidRPr="00A03195">
        <w:rPr>
          <w:szCs w:val="24"/>
        </w:rPr>
        <w:t>The accuracy of data shared with the care home will be the responsibility of the GP practice</w:t>
      </w:r>
      <w:r w:rsidRPr="00A03195">
        <w:rPr>
          <w:i/>
          <w:szCs w:val="24"/>
        </w:rPr>
        <w:t>.</w:t>
      </w:r>
      <w:r w:rsidRPr="00A03195">
        <w:rPr>
          <w:szCs w:val="24"/>
        </w:rPr>
        <w:t xml:space="preserve"> The GP practice will, therefore, ensure that the data is accurate and up to date before the data is disclosed</w:t>
      </w:r>
      <w:r w:rsidRPr="00A03195">
        <w:rPr>
          <w:i/>
          <w:szCs w:val="24"/>
        </w:rPr>
        <w:t xml:space="preserve">. </w:t>
      </w:r>
      <w:r w:rsidRPr="00A03195">
        <w:rPr>
          <w:szCs w:val="24"/>
        </w:rPr>
        <w:t xml:space="preserve">If the GP practice becomes aware of any inaccuracies in data it has shared, the GP practice should inform the other party(ies) immediately and the data corrected or recalled. </w:t>
      </w:r>
    </w:p>
    <w:p w14:paraId="6799F4CC" w14:textId="1F7FB4CE" w:rsidR="008625BC" w:rsidRPr="00A03195" w:rsidRDefault="008625BC" w:rsidP="008625BC">
      <w:pPr>
        <w:rPr>
          <w:szCs w:val="24"/>
        </w:rPr>
      </w:pPr>
      <w:r w:rsidRPr="00A03195">
        <w:rPr>
          <w:szCs w:val="24"/>
        </w:rPr>
        <w:t>The care home</w:t>
      </w:r>
      <w:r w:rsidRPr="00A03195">
        <w:rPr>
          <w:i/>
          <w:szCs w:val="24"/>
        </w:rPr>
        <w:t xml:space="preserve"> </w:t>
      </w:r>
      <w:r w:rsidRPr="00A03195">
        <w:rPr>
          <w:szCs w:val="24"/>
        </w:rPr>
        <w:t>must not share the information with any third party without the written consent of</w:t>
      </w:r>
      <w:r w:rsidRPr="00A03195">
        <w:rPr>
          <w:i/>
          <w:szCs w:val="24"/>
        </w:rPr>
        <w:t xml:space="preserve"> </w:t>
      </w:r>
      <w:r w:rsidRPr="00A03195">
        <w:rPr>
          <w:szCs w:val="24"/>
        </w:rPr>
        <w:t>the</w:t>
      </w:r>
      <w:r w:rsidRPr="00A03195">
        <w:rPr>
          <w:i/>
          <w:szCs w:val="24"/>
        </w:rPr>
        <w:t xml:space="preserve"> </w:t>
      </w:r>
      <w:r w:rsidRPr="00A03195">
        <w:rPr>
          <w:szCs w:val="24"/>
        </w:rPr>
        <w:t xml:space="preserve">GP practice and </w:t>
      </w:r>
      <w:r w:rsidR="00E76D1C">
        <w:rPr>
          <w:szCs w:val="24"/>
        </w:rPr>
        <w:t xml:space="preserve">then it is </w:t>
      </w:r>
      <w:r w:rsidRPr="00A03195">
        <w:rPr>
          <w:szCs w:val="24"/>
        </w:rPr>
        <w:t xml:space="preserve">subject to entering into a separate Data Sharing Agreement, the terms of which must be approved by the GP practice. </w:t>
      </w:r>
    </w:p>
    <w:p w14:paraId="5383A5D5" w14:textId="4E3AAD19" w:rsidR="008625BC" w:rsidRDefault="008625BC" w:rsidP="00A8418E">
      <w:pPr>
        <w:pStyle w:val="Heading2"/>
      </w:pPr>
      <w:r w:rsidRPr="003B7EDE">
        <w:t xml:space="preserve">Signatories to </w:t>
      </w:r>
      <w:r w:rsidR="00BC2F60">
        <w:t>a</w:t>
      </w:r>
      <w:r w:rsidRPr="003B7EDE">
        <w:t xml:space="preserve">greement and </w:t>
      </w:r>
      <w:r w:rsidR="00BC2F60">
        <w:t>d</w:t>
      </w:r>
      <w:r w:rsidRPr="003B7EDE">
        <w:t>ate</w:t>
      </w:r>
    </w:p>
    <w:tbl>
      <w:tblPr>
        <w:tblStyle w:val="TableGrid"/>
        <w:tblW w:w="0" w:type="auto"/>
        <w:tblLook w:val="04A0" w:firstRow="1" w:lastRow="0" w:firstColumn="1" w:lastColumn="0" w:noHBand="0" w:noVBand="1"/>
      </w:tblPr>
      <w:tblGrid>
        <w:gridCol w:w="3813"/>
        <w:gridCol w:w="10"/>
        <w:gridCol w:w="6347"/>
        <w:gridCol w:w="26"/>
      </w:tblGrid>
      <w:tr w:rsidR="00A8418E" w14:paraId="41261496" w14:textId="77777777" w:rsidTr="006242B9">
        <w:trPr>
          <w:gridAfter w:val="1"/>
          <w:wAfter w:w="26" w:type="dxa"/>
          <w:trHeight w:val="404"/>
        </w:trPr>
        <w:tc>
          <w:tcPr>
            <w:tcW w:w="3813" w:type="dxa"/>
            <w:vAlign w:val="center"/>
          </w:tcPr>
          <w:p w14:paraId="57E74856" w14:textId="099597A4" w:rsidR="00A8418E" w:rsidRPr="00A8418E" w:rsidRDefault="00A8418E" w:rsidP="00A8418E">
            <w:pPr>
              <w:pStyle w:val="Heading4"/>
              <w:outlineLvl w:val="3"/>
            </w:pPr>
            <w:r w:rsidRPr="00A8418E">
              <w:t xml:space="preserve">Name of care home </w:t>
            </w:r>
            <w:r w:rsidRPr="00A8418E">
              <w:rPr>
                <w:b w:val="0"/>
                <w:bCs/>
              </w:rPr>
              <w:t>(block capitals)</w:t>
            </w:r>
          </w:p>
        </w:tc>
        <w:tc>
          <w:tcPr>
            <w:tcW w:w="6357" w:type="dxa"/>
            <w:gridSpan w:val="2"/>
            <w:vAlign w:val="center"/>
          </w:tcPr>
          <w:p w14:paraId="5ECEDDF6" w14:textId="77777777" w:rsidR="00A8418E" w:rsidRDefault="00A8418E" w:rsidP="00A8418E"/>
        </w:tc>
      </w:tr>
      <w:tr w:rsidR="00A8418E" w14:paraId="74D8DBDC" w14:textId="77777777" w:rsidTr="006242B9">
        <w:trPr>
          <w:gridAfter w:val="1"/>
          <w:wAfter w:w="26" w:type="dxa"/>
          <w:trHeight w:val="404"/>
        </w:trPr>
        <w:tc>
          <w:tcPr>
            <w:tcW w:w="3813" w:type="dxa"/>
            <w:vAlign w:val="center"/>
          </w:tcPr>
          <w:p w14:paraId="6CF09FBF" w14:textId="1B81EE2C" w:rsidR="00A8418E" w:rsidRPr="00A8418E" w:rsidRDefault="00A8418E" w:rsidP="00A8418E">
            <w:pPr>
              <w:pStyle w:val="Heading4"/>
              <w:outlineLvl w:val="3"/>
            </w:pPr>
            <w:r w:rsidRPr="00A8418E">
              <w:t xml:space="preserve">Name of care home manager/responsible person      </w:t>
            </w:r>
          </w:p>
        </w:tc>
        <w:tc>
          <w:tcPr>
            <w:tcW w:w="6357" w:type="dxa"/>
            <w:gridSpan w:val="2"/>
            <w:vAlign w:val="center"/>
          </w:tcPr>
          <w:p w14:paraId="662D59BF" w14:textId="77777777" w:rsidR="00A8418E" w:rsidRDefault="00A8418E" w:rsidP="00A8418E"/>
        </w:tc>
      </w:tr>
      <w:tr w:rsidR="00A8418E" w14:paraId="4793CA07" w14:textId="77777777" w:rsidTr="006242B9">
        <w:trPr>
          <w:gridAfter w:val="1"/>
          <w:wAfter w:w="26" w:type="dxa"/>
          <w:trHeight w:val="404"/>
        </w:trPr>
        <w:tc>
          <w:tcPr>
            <w:tcW w:w="3813" w:type="dxa"/>
            <w:vAlign w:val="center"/>
          </w:tcPr>
          <w:p w14:paraId="1E47886B" w14:textId="0BBA4A8F" w:rsidR="00A8418E" w:rsidRPr="00A8418E" w:rsidRDefault="00A8418E" w:rsidP="00A8418E">
            <w:pPr>
              <w:pStyle w:val="Heading4"/>
              <w:outlineLvl w:val="3"/>
            </w:pPr>
            <w:r w:rsidRPr="00A8418E">
              <w:t xml:space="preserve">Signature of care home manager/responsible person        </w:t>
            </w:r>
          </w:p>
        </w:tc>
        <w:tc>
          <w:tcPr>
            <w:tcW w:w="6357" w:type="dxa"/>
            <w:gridSpan w:val="2"/>
            <w:vAlign w:val="center"/>
          </w:tcPr>
          <w:p w14:paraId="39492EC3" w14:textId="77777777" w:rsidR="00A8418E" w:rsidRDefault="00A8418E" w:rsidP="00A8418E"/>
        </w:tc>
      </w:tr>
      <w:tr w:rsidR="00A8418E" w14:paraId="6377364A" w14:textId="77777777" w:rsidTr="006242B9">
        <w:trPr>
          <w:gridAfter w:val="1"/>
          <w:wAfter w:w="26" w:type="dxa"/>
          <w:trHeight w:val="404"/>
        </w:trPr>
        <w:tc>
          <w:tcPr>
            <w:tcW w:w="3813" w:type="dxa"/>
            <w:vAlign w:val="center"/>
          </w:tcPr>
          <w:p w14:paraId="7936E2E9" w14:textId="39C84B65" w:rsidR="00A8418E" w:rsidRPr="00A8418E" w:rsidRDefault="00A8418E" w:rsidP="00A8418E">
            <w:pPr>
              <w:pStyle w:val="Heading4"/>
              <w:outlineLvl w:val="3"/>
            </w:pPr>
            <w:r w:rsidRPr="00A8418E">
              <w:t>Date</w:t>
            </w:r>
          </w:p>
        </w:tc>
        <w:tc>
          <w:tcPr>
            <w:tcW w:w="6357" w:type="dxa"/>
            <w:gridSpan w:val="2"/>
            <w:vAlign w:val="center"/>
          </w:tcPr>
          <w:p w14:paraId="49ABEB85" w14:textId="77777777" w:rsidR="00A8418E" w:rsidRDefault="00A8418E" w:rsidP="00A8418E"/>
        </w:tc>
      </w:tr>
      <w:tr w:rsidR="00A8418E" w14:paraId="2F2A6261" w14:textId="77777777" w:rsidTr="00A8418E">
        <w:trPr>
          <w:trHeight w:val="706"/>
        </w:trPr>
        <w:tc>
          <w:tcPr>
            <w:tcW w:w="3823" w:type="dxa"/>
            <w:gridSpan w:val="2"/>
            <w:vAlign w:val="center"/>
          </w:tcPr>
          <w:p w14:paraId="1F0D5041" w14:textId="0C24D83B" w:rsidR="00A8418E" w:rsidRPr="00A8418E" w:rsidRDefault="00A8418E" w:rsidP="00A8418E">
            <w:pPr>
              <w:pStyle w:val="Heading4"/>
              <w:outlineLvl w:val="3"/>
            </w:pPr>
            <w:r w:rsidRPr="00A8418E">
              <w:t>Name of GP practice manager/responsible person</w:t>
            </w:r>
          </w:p>
        </w:tc>
        <w:tc>
          <w:tcPr>
            <w:tcW w:w="6373" w:type="dxa"/>
            <w:gridSpan w:val="2"/>
            <w:vAlign w:val="center"/>
          </w:tcPr>
          <w:p w14:paraId="5CCC92D8" w14:textId="77777777" w:rsidR="00A8418E" w:rsidRDefault="00A8418E" w:rsidP="00FB1F3C"/>
        </w:tc>
      </w:tr>
      <w:tr w:rsidR="00A8418E" w14:paraId="248155EE" w14:textId="77777777" w:rsidTr="00A8418E">
        <w:trPr>
          <w:trHeight w:val="706"/>
        </w:trPr>
        <w:tc>
          <w:tcPr>
            <w:tcW w:w="3823" w:type="dxa"/>
            <w:gridSpan w:val="2"/>
            <w:vAlign w:val="center"/>
          </w:tcPr>
          <w:p w14:paraId="080CEB06" w14:textId="620D3D33" w:rsidR="00A8418E" w:rsidRPr="00A8418E" w:rsidRDefault="00A8418E" w:rsidP="00A8418E">
            <w:pPr>
              <w:pStyle w:val="Heading4"/>
              <w:outlineLvl w:val="3"/>
            </w:pPr>
            <w:r w:rsidRPr="00A8418E">
              <w:t>Signature of GP practice manager/responsible person</w:t>
            </w:r>
          </w:p>
        </w:tc>
        <w:tc>
          <w:tcPr>
            <w:tcW w:w="6373" w:type="dxa"/>
            <w:gridSpan w:val="2"/>
            <w:vAlign w:val="center"/>
          </w:tcPr>
          <w:p w14:paraId="72A0F91A" w14:textId="77777777" w:rsidR="00A8418E" w:rsidRDefault="00A8418E" w:rsidP="00FB1F3C"/>
        </w:tc>
      </w:tr>
      <w:tr w:rsidR="00A8418E" w14:paraId="4A8FF411" w14:textId="77777777" w:rsidTr="00A8418E">
        <w:trPr>
          <w:trHeight w:val="706"/>
        </w:trPr>
        <w:tc>
          <w:tcPr>
            <w:tcW w:w="3823" w:type="dxa"/>
            <w:gridSpan w:val="2"/>
            <w:vAlign w:val="center"/>
          </w:tcPr>
          <w:p w14:paraId="10CA4C21" w14:textId="77777777" w:rsidR="00A8418E" w:rsidRPr="00A8418E" w:rsidRDefault="00A8418E" w:rsidP="00A8418E">
            <w:pPr>
              <w:pStyle w:val="Heading4"/>
              <w:outlineLvl w:val="3"/>
            </w:pPr>
            <w:r w:rsidRPr="00A8418E">
              <w:t>Date</w:t>
            </w:r>
          </w:p>
        </w:tc>
        <w:tc>
          <w:tcPr>
            <w:tcW w:w="6373" w:type="dxa"/>
            <w:gridSpan w:val="2"/>
            <w:vAlign w:val="center"/>
          </w:tcPr>
          <w:p w14:paraId="3BD73819" w14:textId="77777777" w:rsidR="00A8418E" w:rsidRDefault="00A8418E" w:rsidP="00FB1F3C"/>
        </w:tc>
      </w:tr>
    </w:tbl>
    <w:p w14:paraId="7B8D0FC8" w14:textId="77777777" w:rsidR="008625BC" w:rsidRDefault="008625BC" w:rsidP="008625BC">
      <w:pPr>
        <w:rPr>
          <w:sz w:val="22"/>
        </w:rPr>
      </w:pPr>
    </w:p>
    <w:sectPr w:rsidR="008625BC" w:rsidSect="008625BC">
      <w:headerReference w:type="default" r:id="rId9"/>
      <w:footerReference w:type="default" r:id="rId10"/>
      <w:pgSz w:w="12240" w:h="15840"/>
      <w:pgMar w:top="1773" w:right="900" w:bottom="1134" w:left="1134" w:header="720" w:footer="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CC1E0" w14:textId="77777777" w:rsidR="004D54B2" w:rsidRDefault="004D54B2">
      <w:pPr>
        <w:spacing w:after="0" w:line="240" w:lineRule="auto"/>
      </w:pPr>
      <w:r>
        <w:separator/>
      </w:r>
    </w:p>
  </w:endnote>
  <w:endnote w:type="continuationSeparator" w:id="0">
    <w:p w14:paraId="43A679B9" w14:textId="77777777" w:rsidR="004D54B2" w:rsidRDefault="004D54B2">
      <w:pPr>
        <w:spacing w:after="0" w:line="240" w:lineRule="auto"/>
      </w:pPr>
      <w:r>
        <w:continuationSeparator/>
      </w:r>
    </w:p>
  </w:endnote>
  <w:endnote w:type="continuationNotice" w:id="1">
    <w:p w14:paraId="48F8D96E" w14:textId="77777777" w:rsidR="004D54B2" w:rsidRDefault="004D5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99094"/>
      <w:docPartObj>
        <w:docPartGallery w:val="Page Numbers (Bottom of Page)"/>
        <w:docPartUnique/>
      </w:docPartObj>
    </w:sdtPr>
    <w:sdtEndPr/>
    <w:sdtContent>
      <w:p w14:paraId="0983F9E6" w14:textId="2ABC6CCC" w:rsidR="0059031A" w:rsidRDefault="0059031A" w:rsidP="0059031A">
        <w:pPr>
          <w:pStyle w:val="Footer"/>
          <w:pBdr>
            <w:top w:val="single" w:sz="4" w:space="1" w:color="auto"/>
          </w:pBdr>
          <w:tabs>
            <w:tab w:val="clear" w:pos="9026"/>
            <w:tab w:val="right" w:pos="10065"/>
          </w:tabs>
          <w:rPr>
            <w:noProof/>
          </w:rPr>
        </w:pPr>
        <w:r>
          <w:t>Version</w:t>
        </w:r>
        <w:r w:rsidR="002E6639">
          <w:t xml:space="preserve"> </w:t>
        </w:r>
        <w:r w:rsidR="00A03195">
          <w:t>1.0</w:t>
        </w:r>
        <w:r>
          <w:t xml:space="preserve"> | </w:t>
        </w:r>
        <w:r w:rsidR="00FE5666">
          <w:t>Dec</w:t>
        </w:r>
        <w:r w:rsidR="00BC2F60">
          <w:t>ember</w:t>
        </w:r>
        <w:r>
          <w:t xml:space="preserve"> 2020 | publications </w:t>
        </w:r>
        <w:proofErr w:type="gramStart"/>
        <w:r>
          <w:t>reference</w:t>
        </w:r>
        <w:r w:rsidR="006242B9">
          <w:t xml:space="preserve"> ???</w:t>
        </w:r>
        <w:proofErr w:type="gramEnd"/>
        <w:r>
          <w:tab/>
          <w:t xml:space="preserve"> </w:t>
        </w:r>
        <w:r>
          <w:fldChar w:fldCharType="begin"/>
        </w:r>
        <w:r>
          <w:instrText xml:space="preserve"> PAGE   \* MERGEFORMAT </w:instrText>
        </w:r>
        <w:r>
          <w:fldChar w:fldCharType="separate"/>
        </w:r>
        <w:r>
          <w:t>1</w:t>
        </w:r>
        <w:r>
          <w:rPr>
            <w:noProof/>
          </w:rPr>
          <w:fldChar w:fldCharType="end"/>
        </w:r>
      </w:p>
    </w:sdtContent>
  </w:sdt>
  <w:p w14:paraId="00000147" w14:textId="77777777" w:rsidR="004131E8" w:rsidRDefault="0041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70A1" w14:textId="77777777" w:rsidR="004D54B2" w:rsidRDefault="004D54B2">
      <w:pPr>
        <w:spacing w:after="0" w:line="240" w:lineRule="auto"/>
      </w:pPr>
      <w:r>
        <w:separator/>
      </w:r>
    </w:p>
  </w:footnote>
  <w:footnote w:type="continuationSeparator" w:id="0">
    <w:p w14:paraId="171B5F42" w14:textId="77777777" w:rsidR="004D54B2" w:rsidRDefault="004D54B2">
      <w:pPr>
        <w:spacing w:after="0" w:line="240" w:lineRule="auto"/>
      </w:pPr>
      <w:r>
        <w:continuationSeparator/>
      </w:r>
    </w:p>
  </w:footnote>
  <w:footnote w:type="continuationNotice" w:id="1">
    <w:p w14:paraId="06974EBD" w14:textId="77777777" w:rsidR="004D54B2" w:rsidRDefault="004D5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2" w14:textId="687564DB" w:rsidR="004131E8" w:rsidRDefault="00FF176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62750C" w:rsidRPr="00FF1761" w:rsidRDefault="0062750C"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6"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7"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3FAD1391"/>
    <w:multiLevelType w:val="hybridMultilevel"/>
    <w:tmpl w:val="A92CA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E8447B"/>
    <w:multiLevelType w:val="hybridMultilevel"/>
    <w:tmpl w:val="E16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6"/>
  </w:num>
  <w:num w:numId="5">
    <w:abstractNumId w:val="31"/>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2"/>
  </w:num>
  <w:num w:numId="11">
    <w:abstractNumId w:val="26"/>
  </w:num>
  <w:num w:numId="12">
    <w:abstractNumId w:val="12"/>
  </w:num>
  <w:num w:numId="13">
    <w:abstractNumId w:val="27"/>
  </w:num>
  <w:num w:numId="14">
    <w:abstractNumId w:val="13"/>
  </w:num>
  <w:num w:numId="15">
    <w:abstractNumId w:val="24"/>
  </w:num>
  <w:num w:numId="16">
    <w:abstractNumId w:val="33"/>
  </w:num>
  <w:num w:numId="17">
    <w:abstractNumId w:val="25"/>
  </w:num>
  <w:num w:numId="18">
    <w:abstractNumId w:val="30"/>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9"/>
  </w:num>
  <w:num w:numId="33">
    <w:abstractNumId w:val="35"/>
  </w:num>
  <w:num w:numId="34">
    <w:abstractNumId w:val="34"/>
  </w:num>
  <w:num w:numId="35">
    <w:abstractNumId w:val="17"/>
  </w:num>
  <w:num w:numId="36">
    <w:abstractNumId w:val="37"/>
  </w:num>
  <w:num w:numId="37">
    <w:abstractNumId w:val="15"/>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605B7"/>
    <w:rsid w:val="00060DCB"/>
    <w:rsid w:val="00063178"/>
    <w:rsid w:val="000631BE"/>
    <w:rsid w:val="00065E14"/>
    <w:rsid w:val="00066FEF"/>
    <w:rsid w:val="000A02AB"/>
    <w:rsid w:val="000E19C7"/>
    <w:rsid w:val="000E5704"/>
    <w:rsid w:val="000F7DF3"/>
    <w:rsid w:val="001123D0"/>
    <w:rsid w:val="001168AB"/>
    <w:rsid w:val="00137BD6"/>
    <w:rsid w:val="00144B1C"/>
    <w:rsid w:val="001637AC"/>
    <w:rsid w:val="0017720A"/>
    <w:rsid w:val="00181617"/>
    <w:rsid w:val="00184027"/>
    <w:rsid w:val="0019016F"/>
    <w:rsid w:val="00194796"/>
    <w:rsid w:val="002005AF"/>
    <w:rsid w:val="00207970"/>
    <w:rsid w:val="00224595"/>
    <w:rsid w:val="002254EA"/>
    <w:rsid w:val="00241ADF"/>
    <w:rsid w:val="002579C9"/>
    <w:rsid w:val="00262479"/>
    <w:rsid w:val="00263E92"/>
    <w:rsid w:val="00266C60"/>
    <w:rsid w:val="00267D54"/>
    <w:rsid w:val="0027445B"/>
    <w:rsid w:val="00292109"/>
    <w:rsid w:val="002A4986"/>
    <w:rsid w:val="002B58BE"/>
    <w:rsid w:val="002B6F37"/>
    <w:rsid w:val="002D0D1C"/>
    <w:rsid w:val="002D1FFF"/>
    <w:rsid w:val="002D72AA"/>
    <w:rsid w:val="002E6639"/>
    <w:rsid w:val="00335F8C"/>
    <w:rsid w:val="003439C6"/>
    <w:rsid w:val="00375397"/>
    <w:rsid w:val="003808A3"/>
    <w:rsid w:val="0039489D"/>
    <w:rsid w:val="003A2F3F"/>
    <w:rsid w:val="003B1432"/>
    <w:rsid w:val="003D25E9"/>
    <w:rsid w:val="003D63C3"/>
    <w:rsid w:val="003D6C28"/>
    <w:rsid w:val="00407CF8"/>
    <w:rsid w:val="004131E8"/>
    <w:rsid w:val="00420A57"/>
    <w:rsid w:val="00440E4F"/>
    <w:rsid w:val="00440E52"/>
    <w:rsid w:val="004705ED"/>
    <w:rsid w:val="00491871"/>
    <w:rsid w:val="004933E3"/>
    <w:rsid w:val="0049758A"/>
    <w:rsid w:val="004A6A92"/>
    <w:rsid w:val="004C1FF1"/>
    <w:rsid w:val="004D1161"/>
    <w:rsid w:val="004D54B2"/>
    <w:rsid w:val="004F459C"/>
    <w:rsid w:val="0051290F"/>
    <w:rsid w:val="0051609E"/>
    <w:rsid w:val="0052192C"/>
    <w:rsid w:val="00524314"/>
    <w:rsid w:val="0052617F"/>
    <w:rsid w:val="00527FAE"/>
    <w:rsid w:val="005302DC"/>
    <w:rsid w:val="00542F6B"/>
    <w:rsid w:val="00554268"/>
    <w:rsid w:val="00564910"/>
    <w:rsid w:val="00566985"/>
    <w:rsid w:val="00586ACD"/>
    <w:rsid w:val="0059031A"/>
    <w:rsid w:val="00596F42"/>
    <w:rsid w:val="005A18B5"/>
    <w:rsid w:val="005B4B29"/>
    <w:rsid w:val="005C100B"/>
    <w:rsid w:val="005C486B"/>
    <w:rsid w:val="005C7046"/>
    <w:rsid w:val="005D5D20"/>
    <w:rsid w:val="006039C8"/>
    <w:rsid w:val="00603B9B"/>
    <w:rsid w:val="00605E99"/>
    <w:rsid w:val="00622E05"/>
    <w:rsid w:val="006242B9"/>
    <w:rsid w:val="0062750C"/>
    <w:rsid w:val="0063134E"/>
    <w:rsid w:val="00633549"/>
    <w:rsid w:val="006447C4"/>
    <w:rsid w:val="0065494E"/>
    <w:rsid w:val="00657A97"/>
    <w:rsid w:val="0066154B"/>
    <w:rsid w:val="00664E54"/>
    <w:rsid w:val="00667610"/>
    <w:rsid w:val="00673A2B"/>
    <w:rsid w:val="00673C44"/>
    <w:rsid w:val="00677A0E"/>
    <w:rsid w:val="006B4EF7"/>
    <w:rsid w:val="006B5A59"/>
    <w:rsid w:val="006C71A3"/>
    <w:rsid w:val="006E5639"/>
    <w:rsid w:val="006F4D0D"/>
    <w:rsid w:val="00723A1B"/>
    <w:rsid w:val="00736A42"/>
    <w:rsid w:val="0076580D"/>
    <w:rsid w:val="0077216E"/>
    <w:rsid w:val="00772A7C"/>
    <w:rsid w:val="0078062F"/>
    <w:rsid w:val="0079234F"/>
    <w:rsid w:val="00792383"/>
    <w:rsid w:val="00795AE2"/>
    <w:rsid w:val="0079710E"/>
    <w:rsid w:val="007A67DA"/>
    <w:rsid w:val="007B3C10"/>
    <w:rsid w:val="007D1243"/>
    <w:rsid w:val="007D5109"/>
    <w:rsid w:val="007D606D"/>
    <w:rsid w:val="007E2316"/>
    <w:rsid w:val="00804400"/>
    <w:rsid w:val="00816161"/>
    <w:rsid w:val="00821A55"/>
    <w:rsid w:val="0083061C"/>
    <w:rsid w:val="00852B30"/>
    <w:rsid w:val="0085673D"/>
    <w:rsid w:val="008625BC"/>
    <w:rsid w:val="00897071"/>
    <w:rsid w:val="008C05E1"/>
    <w:rsid w:val="008C582E"/>
    <w:rsid w:val="008D628D"/>
    <w:rsid w:val="00930E15"/>
    <w:rsid w:val="009330BD"/>
    <w:rsid w:val="009452E7"/>
    <w:rsid w:val="00954531"/>
    <w:rsid w:val="009633A2"/>
    <w:rsid w:val="00963906"/>
    <w:rsid w:val="00971408"/>
    <w:rsid w:val="00972DB0"/>
    <w:rsid w:val="00977360"/>
    <w:rsid w:val="009A5CBA"/>
    <w:rsid w:val="009C15EF"/>
    <w:rsid w:val="009C2A5B"/>
    <w:rsid w:val="009C3AE6"/>
    <w:rsid w:val="009C6F3D"/>
    <w:rsid w:val="00A03195"/>
    <w:rsid w:val="00A0524E"/>
    <w:rsid w:val="00A06EFB"/>
    <w:rsid w:val="00A33920"/>
    <w:rsid w:val="00A42916"/>
    <w:rsid w:val="00A47169"/>
    <w:rsid w:val="00A62A9C"/>
    <w:rsid w:val="00A70050"/>
    <w:rsid w:val="00A8418E"/>
    <w:rsid w:val="00A841CA"/>
    <w:rsid w:val="00A9166C"/>
    <w:rsid w:val="00A96664"/>
    <w:rsid w:val="00AA7D4A"/>
    <w:rsid w:val="00AB2448"/>
    <w:rsid w:val="00AB5A8F"/>
    <w:rsid w:val="00AC1674"/>
    <w:rsid w:val="00B24427"/>
    <w:rsid w:val="00B33A56"/>
    <w:rsid w:val="00B35F93"/>
    <w:rsid w:val="00B35FC8"/>
    <w:rsid w:val="00B70A92"/>
    <w:rsid w:val="00B81135"/>
    <w:rsid w:val="00B8772C"/>
    <w:rsid w:val="00B93F00"/>
    <w:rsid w:val="00BA5142"/>
    <w:rsid w:val="00BB6933"/>
    <w:rsid w:val="00BC2F60"/>
    <w:rsid w:val="00BC4C79"/>
    <w:rsid w:val="00BE587B"/>
    <w:rsid w:val="00BF6C2D"/>
    <w:rsid w:val="00C03A83"/>
    <w:rsid w:val="00C0514C"/>
    <w:rsid w:val="00C141C6"/>
    <w:rsid w:val="00C32B22"/>
    <w:rsid w:val="00C33174"/>
    <w:rsid w:val="00C41D22"/>
    <w:rsid w:val="00C61967"/>
    <w:rsid w:val="00C7090F"/>
    <w:rsid w:val="00C8591F"/>
    <w:rsid w:val="00C9265A"/>
    <w:rsid w:val="00CC7D97"/>
    <w:rsid w:val="00CD31AF"/>
    <w:rsid w:val="00CD57FA"/>
    <w:rsid w:val="00CF61B9"/>
    <w:rsid w:val="00D2348A"/>
    <w:rsid w:val="00D35245"/>
    <w:rsid w:val="00D408AA"/>
    <w:rsid w:val="00D56A69"/>
    <w:rsid w:val="00D64BEE"/>
    <w:rsid w:val="00D72A18"/>
    <w:rsid w:val="00D73D3B"/>
    <w:rsid w:val="00D93B0F"/>
    <w:rsid w:val="00DB094E"/>
    <w:rsid w:val="00DB24C7"/>
    <w:rsid w:val="00DB3FB9"/>
    <w:rsid w:val="00DC1EEB"/>
    <w:rsid w:val="00DD1293"/>
    <w:rsid w:val="00DE6229"/>
    <w:rsid w:val="00DE6AEE"/>
    <w:rsid w:val="00DF0610"/>
    <w:rsid w:val="00DF332E"/>
    <w:rsid w:val="00E02B84"/>
    <w:rsid w:val="00E24FDE"/>
    <w:rsid w:val="00E25A4C"/>
    <w:rsid w:val="00E30920"/>
    <w:rsid w:val="00E32CAE"/>
    <w:rsid w:val="00E4483A"/>
    <w:rsid w:val="00E50615"/>
    <w:rsid w:val="00E51456"/>
    <w:rsid w:val="00E5720B"/>
    <w:rsid w:val="00E577D4"/>
    <w:rsid w:val="00E63327"/>
    <w:rsid w:val="00E742A1"/>
    <w:rsid w:val="00E752EA"/>
    <w:rsid w:val="00E76D1C"/>
    <w:rsid w:val="00E963E5"/>
    <w:rsid w:val="00EA28DA"/>
    <w:rsid w:val="00EA3B5E"/>
    <w:rsid w:val="00EB7369"/>
    <w:rsid w:val="00EC3B62"/>
    <w:rsid w:val="00EC4C70"/>
    <w:rsid w:val="00F02C1F"/>
    <w:rsid w:val="00F07E42"/>
    <w:rsid w:val="00F25DFE"/>
    <w:rsid w:val="00F34803"/>
    <w:rsid w:val="00F56264"/>
    <w:rsid w:val="00F875F0"/>
    <w:rsid w:val="00F90A4D"/>
    <w:rsid w:val="00FA5C89"/>
    <w:rsid w:val="00FA5D0A"/>
    <w:rsid w:val="00FB0739"/>
    <w:rsid w:val="00FC1EAE"/>
    <w:rsid w:val="00FC2C0A"/>
    <w:rsid w:val="00FC5382"/>
    <w:rsid w:val="00FD2213"/>
    <w:rsid w:val="00FD56A9"/>
    <w:rsid w:val="00FE529C"/>
    <w:rsid w:val="00FE5666"/>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8625BC"/>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rsid w:val="00A8418E"/>
    <w:pPr>
      <w:keepNext/>
      <w:keepLines/>
      <w:spacing w:after="0" w:line="240" w:lineRule="auto"/>
      <w:outlineLvl w:val="3"/>
    </w:pPr>
    <w:rPr>
      <w:rFonts w:eastAsiaTheme="minorHAnsi" w:cstheme="minorBidi"/>
      <w:b/>
      <w:szCs w:val="24"/>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8625BC"/>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8625BC"/>
    <w:pPr>
      <w:numPr>
        <w:numId w:val="20"/>
      </w:numPr>
      <w:spacing w:before="60" w:after="60"/>
      <w:ind w:left="714" w:hanging="357"/>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A8418E"/>
    <w:rPr>
      <w:rFonts w:ascii="Arial" w:eastAsiaTheme="minorHAnsi" w:hAnsi="Arial" w:cstheme="minorBidi"/>
      <w:b/>
      <w:sz w:val="24"/>
      <w:szCs w:val="24"/>
      <w:lang w:eastAsia="en-US"/>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36213567">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Props1.xml><?xml version="1.0" encoding="utf-8"?>
<ds:datastoreItem xmlns:ds="http://schemas.openxmlformats.org/officeDocument/2006/customXml" ds:itemID="{5486F236-BDE9-40C3-9CCC-044FE11729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Alison Taylor</cp:lastModifiedBy>
  <cp:revision>10</cp:revision>
  <dcterms:created xsi:type="dcterms:W3CDTF">2020-11-24T11:51:00Z</dcterms:created>
  <dcterms:modified xsi:type="dcterms:W3CDTF">2020-12-27T14:41:00Z</dcterms:modified>
</cp:coreProperties>
</file>