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4E46" w14:textId="28F50870" w:rsidR="00D13F77" w:rsidRDefault="009A745D" w:rsidP="00860857">
      <w:pPr>
        <w:pStyle w:val="Heading1"/>
        <w:spacing w:after="360"/>
        <w:rPr>
          <w:rFonts w:eastAsia="Times New Roman"/>
          <w:lang w:eastAsia="en-GB"/>
        </w:rPr>
      </w:pPr>
      <w:bookmarkStart w:id="0" w:name="_Toc18490762"/>
      <w:r>
        <w:rPr>
          <w:rFonts w:eastAsia="Times New Roman"/>
          <w:lang w:eastAsia="en-GB"/>
        </w:rPr>
        <w:t xml:space="preserve">Feedback: </w:t>
      </w:r>
      <w:bookmarkEnd w:id="0"/>
      <w:r w:rsidR="00104B2F">
        <w:t>Developing the payment system for 2021/22</w:t>
      </w:r>
    </w:p>
    <w:p w14:paraId="3BAB56B3" w14:textId="0DCFC2EC" w:rsidR="00EA3BCC" w:rsidRPr="009B146D" w:rsidRDefault="00EA3BCC" w:rsidP="00362D98">
      <w:pPr>
        <w:pStyle w:val="BodyText2"/>
        <w:rPr>
          <w:i/>
          <w:iCs/>
          <w:lang w:eastAsia="en-GB"/>
        </w:rPr>
      </w:pPr>
      <w:r>
        <w:rPr>
          <w:lang w:eastAsia="en-GB"/>
        </w:rPr>
        <w:t xml:space="preserve">This survey </w:t>
      </w:r>
      <w:r w:rsidR="009B146D">
        <w:rPr>
          <w:lang w:eastAsia="en-GB"/>
        </w:rPr>
        <w:t xml:space="preserve">accompanies the tariff engagement document, </w:t>
      </w:r>
      <w:r w:rsidR="009B146D">
        <w:rPr>
          <w:i/>
          <w:iCs/>
          <w:lang w:eastAsia="en-GB"/>
        </w:rPr>
        <w:t>Developing the payment system for 2021/22.</w:t>
      </w:r>
    </w:p>
    <w:p w14:paraId="24924CA9" w14:textId="7B020C32" w:rsidR="008A2E40" w:rsidRDefault="00860857" w:rsidP="009A745D">
      <w:pPr>
        <w:pStyle w:val="BodyText2"/>
        <w:rPr>
          <w:lang w:eastAsia="en-GB"/>
        </w:rPr>
      </w:pPr>
      <w:r w:rsidRPr="00104B2F">
        <w:rPr>
          <w:lang w:eastAsia="en-GB"/>
        </w:rPr>
        <w:t xml:space="preserve">The deadline for </w:t>
      </w:r>
      <w:r w:rsidR="00104B2F">
        <w:rPr>
          <w:lang w:eastAsia="en-GB"/>
        </w:rPr>
        <w:t>submitting the survey</w:t>
      </w:r>
      <w:r w:rsidRPr="00104B2F">
        <w:rPr>
          <w:lang w:eastAsia="en-GB"/>
        </w:rPr>
        <w:t xml:space="preserve"> is </w:t>
      </w:r>
      <w:r w:rsidR="002748C7">
        <w:rPr>
          <w:lang w:eastAsia="en-GB"/>
        </w:rPr>
        <w:t xml:space="preserve">the end of </w:t>
      </w:r>
      <w:r w:rsidR="00E734EE">
        <w:rPr>
          <w:b/>
          <w:highlight w:val="yellow"/>
          <w:lang w:eastAsia="en-GB"/>
        </w:rPr>
        <w:t>10</w:t>
      </w:r>
      <w:r w:rsidR="00104B2F" w:rsidRPr="009B146D">
        <w:rPr>
          <w:b/>
          <w:highlight w:val="yellow"/>
          <w:lang w:eastAsia="en-GB"/>
        </w:rPr>
        <w:t xml:space="preserve"> </w:t>
      </w:r>
      <w:r w:rsidR="00E734EE">
        <w:rPr>
          <w:b/>
          <w:highlight w:val="yellow"/>
          <w:lang w:eastAsia="en-GB"/>
        </w:rPr>
        <w:t>Dec</w:t>
      </w:r>
      <w:r w:rsidR="00104B2F" w:rsidRPr="009B146D">
        <w:rPr>
          <w:b/>
          <w:highlight w:val="yellow"/>
          <w:lang w:eastAsia="en-GB"/>
        </w:rPr>
        <w:t>ember</w:t>
      </w:r>
      <w:r w:rsidR="005D12FC" w:rsidRPr="009B146D">
        <w:rPr>
          <w:b/>
          <w:highlight w:val="yellow"/>
          <w:lang w:eastAsia="en-GB"/>
        </w:rPr>
        <w:t xml:space="preserve"> 2020</w:t>
      </w:r>
      <w:r w:rsidRPr="00104B2F">
        <w:rPr>
          <w:lang w:eastAsia="en-GB"/>
        </w:rPr>
        <w:t>.</w:t>
      </w:r>
    </w:p>
    <w:p w14:paraId="4B08CC74" w14:textId="347A62CF" w:rsidR="00104B2F" w:rsidRDefault="00104B2F" w:rsidP="009A745D">
      <w:pPr>
        <w:pStyle w:val="BodyText2"/>
        <w:rPr>
          <w:lang w:eastAsia="en-GB"/>
        </w:rPr>
      </w:pPr>
      <w:r>
        <w:rPr>
          <w:lang w:eastAsia="en-GB"/>
        </w:rPr>
        <w:t xml:space="preserve">Final survey responses should be submitted here: </w:t>
      </w:r>
      <w:hyperlink r:id="rId6" w:history="1">
        <w:r w:rsidRPr="002D304E">
          <w:rPr>
            <w:rStyle w:val="Hyperlink"/>
            <w:lang w:eastAsia="en-GB"/>
          </w:rPr>
          <w:t>https://www.engage.england.nhs.uk/pricing-and-costing/2021-22-tariff-engagement/</w:t>
        </w:r>
      </w:hyperlink>
      <w:r>
        <w:rPr>
          <w:lang w:eastAsia="en-GB"/>
        </w:rPr>
        <w:t xml:space="preserve"> </w:t>
      </w:r>
    </w:p>
    <w:p w14:paraId="05E5F543" w14:textId="77777777" w:rsidR="004837DC" w:rsidRDefault="004837DC" w:rsidP="004837DC">
      <w:pPr>
        <w:pStyle w:val="BodyText2NoSpacing"/>
      </w:pPr>
    </w:p>
    <w:p w14:paraId="20B7B249" w14:textId="61FEBD51" w:rsidR="004837DC" w:rsidRDefault="004837DC" w:rsidP="004837DC">
      <w:pPr>
        <w:pStyle w:val="Heading2"/>
      </w:pPr>
      <w:r>
        <w:t>About you</w:t>
      </w:r>
    </w:p>
    <w:tbl>
      <w:tblPr>
        <w:tblStyle w:val="TableGrid"/>
        <w:tblW w:w="9322" w:type="dxa"/>
        <w:tblCellMar>
          <w:top w:w="170" w:type="dxa"/>
          <w:bottom w:w="170" w:type="dxa"/>
        </w:tblCellMar>
        <w:tblLook w:val="0480" w:firstRow="0" w:lastRow="0" w:firstColumn="1" w:lastColumn="0" w:noHBand="0" w:noVBand="1"/>
      </w:tblPr>
      <w:tblGrid>
        <w:gridCol w:w="2235"/>
        <w:gridCol w:w="7087"/>
      </w:tblGrid>
      <w:tr w:rsidR="004837DC" w:rsidRPr="00F64478" w14:paraId="2503256B" w14:textId="77777777" w:rsidTr="003942FB">
        <w:tc>
          <w:tcPr>
            <w:tcW w:w="2235" w:type="dxa"/>
          </w:tcPr>
          <w:p w14:paraId="15D310F2" w14:textId="77777777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Name</w:t>
            </w:r>
          </w:p>
        </w:tc>
        <w:tc>
          <w:tcPr>
            <w:tcW w:w="7087" w:type="dxa"/>
          </w:tcPr>
          <w:p w14:paraId="5D3DC032" w14:textId="77777777" w:rsidR="004837DC" w:rsidRPr="00F64478" w:rsidRDefault="004837DC" w:rsidP="005B76CE">
            <w:pPr>
              <w:pStyle w:val="TableText"/>
            </w:pPr>
          </w:p>
        </w:tc>
      </w:tr>
      <w:tr w:rsidR="004837DC" w:rsidRPr="00F64478" w14:paraId="1D2C8FEB" w14:textId="77777777" w:rsidTr="003942FB">
        <w:tc>
          <w:tcPr>
            <w:tcW w:w="2235" w:type="dxa"/>
          </w:tcPr>
          <w:p w14:paraId="04BF38E4" w14:textId="77777777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Role</w:t>
            </w:r>
          </w:p>
        </w:tc>
        <w:tc>
          <w:tcPr>
            <w:tcW w:w="7087" w:type="dxa"/>
          </w:tcPr>
          <w:p w14:paraId="36F62D17" w14:textId="77777777" w:rsidR="004837DC" w:rsidRPr="00F64478" w:rsidRDefault="004837DC" w:rsidP="005B76CE">
            <w:pPr>
              <w:pStyle w:val="TableText"/>
            </w:pPr>
          </w:p>
        </w:tc>
      </w:tr>
      <w:tr w:rsidR="004837DC" w:rsidRPr="00F64478" w14:paraId="20A88BFE" w14:textId="77777777" w:rsidTr="003942FB">
        <w:tc>
          <w:tcPr>
            <w:tcW w:w="2235" w:type="dxa"/>
          </w:tcPr>
          <w:p w14:paraId="5199E590" w14:textId="77777777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Organisation</w:t>
            </w:r>
          </w:p>
        </w:tc>
        <w:tc>
          <w:tcPr>
            <w:tcW w:w="7087" w:type="dxa"/>
          </w:tcPr>
          <w:p w14:paraId="1808B230" w14:textId="77777777" w:rsidR="004837DC" w:rsidRPr="00F64478" w:rsidRDefault="004837DC" w:rsidP="005B76CE">
            <w:pPr>
              <w:pStyle w:val="TableText"/>
            </w:pPr>
          </w:p>
        </w:tc>
      </w:tr>
      <w:tr w:rsidR="004837DC" w:rsidRPr="00F64478" w14:paraId="2D12E46F" w14:textId="77777777" w:rsidTr="003942FB">
        <w:tc>
          <w:tcPr>
            <w:tcW w:w="2235" w:type="dxa"/>
          </w:tcPr>
          <w:p w14:paraId="67B50D87" w14:textId="1F13AEB8" w:rsidR="004837DC" w:rsidRPr="004837DC" w:rsidRDefault="004837DC" w:rsidP="005B76CE">
            <w:pPr>
              <w:pStyle w:val="TableText"/>
              <w:rPr>
                <w:b/>
              </w:rPr>
            </w:pPr>
            <w:r w:rsidRPr="004837DC">
              <w:rPr>
                <w:b/>
              </w:rPr>
              <w:t>Email</w:t>
            </w:r>
          </w:p>
        </w:tc>
        <w:tc>
          <w:tcPr>
            <w:tcW w:w="7087" w:type="dxa"/>
          </w:tcPr>
          <w:p w14:paraId="27D4E2F0" w14:textId="77777777" w:rsidR="004837DC" w:rsidRPr="00F64478" w:rsidRDefault="004837DC" w:rsidP="005B76CE">
            <w:pPr>
              <w:pStyle w:val="TableText"/>
            </w:pPr>
          </w:p>
        </w:tc>
      </w:tr>
    </w:tbl>
    <w:p w14:paraId="6A6AB666" w14:textId="77777777" w:rsidR="005B76CE" w:rsidRDefault="005B76CE" w:rsidP="00D13F77">
      <w:pPr>
        <w:pStyle w:val="Heading2"/>
        <w:rPr>
          <w:rFonts w:eastAsia="Times New Roman"/>
          <w:lang w:eastAsia="en-GB"/>
        </w:rPr>
      </w:pPr>
      <w:bookmarkStart w:id="1" w:name="_Toc18490763"/>
      <w:r>
        <w:rPr>
          <w:rFonts w:eastAsia="Times New Roman"/>
          <w:lang w:eastAsia="en-GB"/>
        </w:rPr>
        <w:br w:type="page"/>
      </w:r>
    </w:p>
    <w:p w14:paraId="28C2EF3B" w14:textId="0753E727" w:rsidR="00104B2F" w:rsidRDefault="00104B2F" w:rsidP="00D13F77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Potential 2021/22 financial framework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104B2F" w14:paraId="2B6E1335" w14:textId="77777777" w:rsidTr="001D2693">
        <w:tc>
          <w:tcPr>
            <w:tcW w:w="8926" w:type="dxa"/>
            <w:gridSpan w:val="6"/>
          </w:tcPr>
          <w:p w14:paraId="108DCFEB" w14:textId="339305E3" w:rsidR="00104B2F" w:rsidRPr="00104B2F" w:rsidRDefault="00104B2F" w:rsidP="001D2693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104B2F">
              <w:rPr>
                <w:b/>
                <w:bCs/>
              </w:rPr>
              <w:t>Were a financial framework based on the broad principles set out to be proposed, to what extent would you support such a move?</w:t>
            </w:r>
          </w:p>
        </w:tc>
      </w:tr>
      <w:tr w:rsidR="00104B2F" w14:paraId="6FFCAC20" w14:textId="77777777" w:rsidTr="001D2693">
        <w:tc>
          <w:tcPr>
            <w:tcW w:w="1487" w:type="dxa"/>
          </w:tcPr>
          <w:p w14:paraId="38E3B1DE" w14:textId="3CD7ACDB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488" w:type="dxa"/>
          </w:tcPr>
          <w:p w14:paraId="122B74C8" w14:textId="147BC994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488" w:type="dxa"/>
          </w:tcPr>
          <w:p w14:paraId="282BDC0C" w14:textId="18C1A0A2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487" w:type="dxa"/>
          </w:tcPr>
          <w:p w14:paraId="35A58576" w14:textId="52CEA275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488" w:type="dxa"/>
          </w:tcPr>
          <w:p w14:paraId="29FDD630" w14:textId="26AD4A09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8" w:type="dxa"/>
          </w:tcPr>
          <w:p w14:paraId="0A0EAC82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104B2F" w14:paraId="5CC35433" w14:textId="77777777" w:rsidTr="001D2693">
        <w:tc>
          <w:tcPr>
            <w:tcW w:w="8926" w:type="dxa"/>
            <w:gridSpan w:val="6"/>
          </w:tcPr>
          <w:p w14:paraId="4B642A9B" w14:textId="6EBE61C9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</w:t>
            </w:r>
          </w:p>
        </w:tc>
      </w:tr>
      <w:tr w:rsidR="00104B2F" w14:paraId="189F1217" w14:textId="77777777" w:rsidTr="001D2693">
        <w:tc>
          <w:tcPr>
            <w:tcW w:w="8926" w:type="dxa"/>
            <w:gridSpan w:val="6"/>
          </w:tcPr>
          <w:p w14:paraId="3F40162A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9FDECBE" w14:textId="2985C51D" w:rsidR="00104B2F" w:rsidRDefault="00104B2F" w:rsidP="00104B2F">
      <w:pPr>
        <w:pStyle w:val="BodyText2NoSpacing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4B2F" w14:paraId="632A625C" w14:textId="77777777" w:rsidTr="001D2693">
        <w:tc>
          <w:tcPr>
            <w:tcW w:w="8926" w:type="dxa"/>
          </w:tcPr>
          <w:p w14:paraId="3C63FE95" w14:textId="2E88E477" w:rsidR="00104B2F" w:rsidRPr="00104B2F" w:rsidRDefault="00104B2F" w:rsidP="00104B2F">
            <w:pPr>
              <w:pStyle w:val="BodyText2NoSpacing"/>
              <w:rPr>
                <w:b/>
                <w:bCs/>
              </w:rPr>
            </w:pPr>
            <w:r w:rsidRPr="00104B2F">
              <w:rPr>
                <w:b/>
                <w:bCs/>
              </w:rPr>
              <w:t>How do you think financial governance in your system would need to develop in order to support such a financial framework, were it to be implemented?</w:t>
            </w:r>
          </w:p>
        </w:tc>
      </w:tr>
      <w:tr w:rsidR="00104B2F" w14:paraId="144BB804" w14:textId="77777777" w:rsidTr="001D2693">
        <w:tc>
          <w:tcPr>
            <w:tcW w:w="8926" w:type="dxa"/>
          </w:tcPr>
          <w:p w14:paraId="1263A8B4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0BE7AB53" w14:textId="77777777" w:rsidR="00104B2F" w:rsidRDefault="00104B2F" w:rsidP="00104B2F">
      <w:pPr>
        <w:pStyle w:val="BodyText2NoSpacing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4B2F" w14:paraId="33187C03" w14:textId="77777777" w:rsidTr="001D2693">
        <w:tc>
          <w:tcPr>
            <w:tcW w:w="8926" w:type="dxa"/>
          </w:tcPr>
          <w:p w14:paraId="6EC91431" w14:textId="6CB4033C" w:rsidR="00104B2F" w:rsidRPr="00104B2F" w:rsidRDefault="00104B2F" w:rsidP="00104B2F">
            <w:pPr>
              <w:pStyle w:val="BodyText2NoSpacing"/>
              <w:rPr>
                <w:b/>
                <w:bCs/>
              </w:rPr>
            </w:pPr>
            <w:r w:rsidRPr="00104B2F">
              <w:rPr>
                <w:b/>
                <w:bCs/>
              </w:rPr>
              <w:t>Are there any areas in addition to the key considerations that you think we should be focusing on in developing a future financial framework?</w:t>
            </w:r>
          </w:p>
        </w:tc>
      </w:tr>
      <w:tr w:rsidR="00104B2F" w14:paraId="19A02759" w14:textId="77777777" w:rsidTr="001D2693">
        <w:tc>
          <w:tcPr>
            <w:tcW w:w="8926" w:type="dxa"/>
          </w:tcPr>
          <w:p w14:paraId="4D5A3B42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024D861" w14:textId="3012490A" w:rsidR="00104B2F" w:rsidRDefault="00104B2F" w:rsidP="00104B2F">
      <w:pPr>
        <w:pStyle w:val="BodyText2NoSpacing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04B2F" w14:paraId="34E39264" w14:textId="77777777" w:rsidTr="001D2693">
        <w:tc>
          <w:tcPr>
            <w:tcW w:w="8926" w:type="dxa"/>
          </w:tcPr>
          <w:p w14:paraId="44D184E1" w14:textId="7074F83E" w:rsidR="00104B2F" w:rsidRPr="00104B2F" w:rsidRDefault="00104B2F" w:rsidP="00104B2F">
            <w:pPr>
              <w:pStyle w:val="BodyText2NoSpacing"/>
              <w:rPr>
                <w:b/>
                <w:bCs/>
              </w:rPr>
            </w:pPr>
            <w:r w:rsidRPr="00104B2F">
              <w:rPr>
                <w:b/>
                <w:bCs/>
              </w:rPr>
              <w:t>Do you have any other comments on the potential 2021/22 financial framework?</w:t>
            </w:r>
          </w:p>
        </w:tc>
      </w:tr>
      <w:tr w:rsidR="00104B2F" w14:paraId="0C8B6D62" w14:textId="77777777" w:rsidTr="001D2693">
        <w:tc>
          <w:tcPr>
            <w:tcW w:w="8926" w:type="dxa"/>
          </w:tcPr>
          <w:p w14:paraId="1973DA53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888D7F4" w14:textId="77777777" w:rsidR="00104B2F" w:rsidRPr="00104B2F" w:rsidRDefault="00104B2F" w:rsidP="00104B2F">
      <w:pPr>
        <w:pStyle w:val="BodyText2NoSpacing"/>
      </w:pPr>
    </w:p>
    <w:p w14:paraId="22BA85DC" w14:textId="3E7372F4" w:rsidR="00D13F77" w:rsidRDefault="00D13F77" w:rsidP="00D13F77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Blended payment</w:t>
      </w:r>
      <w:bookmarkEnd w:id="1"/>
      <w:r w:rsidR="00C03FAE">
        <w:rPr>
          <w:rFonts w:eastAsia="Times New Roman"/>
          <w:lang w:eastAsia="en-GB"/>
        </w:rPr>
        <w:t xml:space="preserve"> </w:t>
      </w:r>
      <w:r w:rsidR="00104B2F">
        <w:rPr>
          <w:rFonts w:eastAsia="Times New Roman"/>
          <w:lang w:eastAsia="en-GB"/>
        </w:rPr>
        <w:t>for 2021/22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8E212E" w14:paraId="492C597D" w14:textId="77777777" w:rsidTr="00321AC1">
        <w:tc>
          <w:tcPr>
            <w:tcW w:w="8926" w:type="dxa"/>
            <w:gridSpan w:val="6"/>
          </w:tcPr>
          <w:p w14:paraId="79C65809" w14:textId="3A7BE36C" w:rsidR="008E212E" w:rsidRPr="004837DC" w:rsidRDefault="005A2187" w:rsidP="00386010">
            <w:pPr>
              <w:pStyle w:val="BodyText2"/>
              <w:spacing w:line="276" w:lineRule="auto"/>
              <w:rPr>
                <w:b/>
                <w:lang w:eastAsia="en-GB"/>
              </w:rPr>
            </w:pPr>
            <w:bookmarkStart w:id="2" w:name="_Hlk54199212"/>
            <w:r w:rsidRPr="004837DC">
              <w:rPr>
                <w:b/>
                <w:lang w:eastAsia="en-GB"/>
              </w:rPr>
              <w:t xml:space="preserve">To what extent do you agree that the blended payment approach </w:t>
            </w:r>
            <w:r w:rsidR="00321AC1">
              <w:rPr>
                <w:b/>
                <w:lang w:eastAsia="en-GB"/>
              </w:rPr>
              <w:t>would</w:t>
            </w:r>
            <w:r w:rsidRPr="004837DC">
              <w:rPr>
                <w:b/>
                <w:lang w:eastAsia="en-GB"/>
              </w:rPr>
              <w:t xml:space="preserve"> support the objectives of the NHS Long Term Plan?</w:t>
            </w:r>
          </w:p>
        </w:tc>
      </w:tr>
      <w:tr w:rsidR="005A2187" w14:paraId="16AC7FBD" w14:textId="77777777" w:rsidTr="00321AC1">
        <w:tc>
          <w:tcPr>
            <w:tcW w:w="1487" w:type="dxa"/>
          </w:tcPr>
          <w:p w14:paraId="4571F2F1" w14:textId="77777777" w:rsidR="00CD3B3A" w:rsidRDefault="005A2187" w:rsidP="00386010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agree</w:t>
            </w:r>
          </w:p>
        </w:tc>
        <w:tc>
          <w:tcPr>
            <w:tcW w:w="1488" w:type="dxa"/>
          </w:tcPr>
          <w:p w14:paraId="3F81DBEC" w14:textId="77777777" w:rsidR="005A2187" w:rsidRDefault="005A2187" w:rsidP="00386010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Agree</w:t>
            </w:r>
          </w:p>
        </w:tc>
        <w:tc>
          <w:tcPr>
            <w:tcW w:w="1488" w:type="dxa"/>
          </w:tcPr>
          <w:p w14:paraId="41BD265F" w14:textId="00B02D1F" w:rsidR="00CC1661" w:rsidRDefault="005A2187" w:rsidP="00B26538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agree nor disagree</w:t>
            </w:r>
          </w:p>
        </w:tc>
        <w:tc>
          <w:tcPr>
            <w:tcW w:w="1487" w:type="dxa"/>
          </w:tcPr>
          <w:p w14:paraId="1075E3C1" w14:textId="77777777" w:rsidR="005A2187" w:rsidRDefault="005A2187" w:rsidP="00386010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Disagree</w:t>
            </w:r>
          </w:p>
        </w:tc>
        <w:tc>
          <w:tcPr>
            <w:tcW w:w="1488" w:type="dxa"/>
          </w:tcPr>
          <w:p w14:paraId="15AF2368" w14:textId="77777777" w:rsidR="005A2187" w:rsidRDefault="005A2187" w:rsidP="00386010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disagree</w:t>
            </w:r>
          </w:p>
        </w:tc>
        <w:tc>
          <w:tcPr>
            <w:tcW w:w="1488" w:type="dxa"/>
          </w:tcPr>
          <w:p w14:paraId="7AEDFA69" w14:textId="77777777" w:rsidR="005A2187" w:rsidRDefault="005A2187" w:rsidP="00386010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5A2187" w14:paraId="23CDD64C" w14:textId="77777777" w:rsidTr="00321AC1">
        <w:tc>
          <w:tcPr>
            <w:tcW w:w="8926" w:type="dxa"/>
            <w:gridSpan w:val="6"/>
          </w:tcPr>
          <w:p w14:paraId="539C0738" w14:textId="55FEB321" w:rsidR="008A2E40" w:rsidRDefault="00104B2F" w:rsidP="00386010">
            <w:pPr>
              <w:pStyle w:val="BodyText2"/>
              <w:spacing w:line="276" w:lineRule="auto"/>
              <w:rPr>
                <w:lang w:eastAsia="en-GB"/>
              </w:rPr>
            </w:pPr>
            <w:bookmarkStart w:id="3" w:name="_Hlk15993707"/>
            <w:r>
              <w:rPr>
                <w:lang w:eastAsia="en-GB"/>
              </w:rPr>
              <w:t>Please explain the reasons for your answer</w:t>
            </w:r>
          </w:p>
        </w:tc>
      </w:tr>
      <w:tr w:rsidR="00E734EE" w14:paraId="2B4DCA87" w14:textId="77777777" w:rsidTr="00321AC1">
        <w:tc>
          <w:tcPr>
            <w:tcW w:w="8926" w:type="dxa"/>
            <w:gridSpan w:val="6"/>
          </w:tcPr>
          <w:p w14:paraId="06454AA8" w14:textId="77777777" w:rsidR="00E734EE" w:rsidRDefault="00E734EE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bookmarkEnd w:id="2"/>
    </w:tbl>
    <w:p w14:paraId="0007DCAA" w14:textId="77777777" w:rsidR="00B26538" w:rsidRDefault="00B26538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B26538" w14:paraId="3F60770F" w14:textId="77777777" w:rsidTr="00EF6122">
        <w:tc>
          <w:tcPr>
            <w:tcW w:w="9016" w:type="dxa"/>
            <w:gridSpan w:val="6"/>
          </w:tcPr>
          <w:p w14:paraId="4640CF60" w14:textId="272AE629" w:rsidR="00B26538" w:rsidRPr="004837DC" w:rsidRDefault="00B26538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lastRenderedPageBreak/>
              <w:t xml:space="preserve">To what extent would you support setting the </w:t>
            </w:r>
            <w:r>
              <w:rPr>
                <w:b/>
                <w:lang w:eastAsia="en-GB"/>
              </w:rPr>
              <w:t>scope of blended payment for almost all services covered by the national tariff</w:t>
            </w:r>
            <w:r w:rsidRPr="004837DC">
              <w:rPr>
                <w:b/>
                <w:lang w:eastAsia="en-GB"/>
              </w:rPr>
              <w:t>?</w:t>
            </w:r>
          </w:p>
        </w:tc>
      </w:tr>
      <w:tr w:rsidR="00B26538" w14:paraId="4A2980FA" w14:textId="77777777" w:rsidTr="00EF6122">
        <w:tc>
          <w:tcPr>
            <w:tcW w:w="1509" w:type="dxa"/>
          </w:tcPr>
          <w:p w14:paraId="72C4447A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6E83E7D7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2EF77635" w14:textId="048BC278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667EAC03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2499EA59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3FC02A74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B26538" w14:paraId="52B05193" w14:textId="77777777" w:rsidTr="00EF6122">
        <w:tc>
          <w:tcPr>
            <w:tcW w:w="9016" w:type="dxa"/>
            <w:gridSpan w:val="6"/>
          </w:tcPr>
          <w:p w14:paraId="3545D2AF" w14:textId="2ED14117" w:rsidR="00B26538" w:rsidRPr="004837DC" w:rsidRDefault="00104B2F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B26538" w14:paraId="29DE5EA3" w14:textId="77777777" w:rsidTr="00EF6122">
        <w:tc>
          <w:tcPr>
            <w:tcW w:w="9016" w:type="dxa"/>
            <w:gridSpan w:val="6"/>
          </w:tcPr>
          <w:p w14:paraId="2BE5CC61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76F5B98D" w14:textId="77777777" w:rsidR="00B26538" w:rsidRDefault="00B26538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B26538" w14:paraId="71B4AA7A" w14:textId="77777777" w:rsidTr="00EF6122">
        <w:tc>
          <w:tcPr>
            <w:tcW w:w="9242" w:type="dxa"/>
            <w:gridSpan w:val="6"/>
          </w:tcPr>
          <w:p w14:paraId="04134116" w14:textId="2F7AF193" w:rsidR="00B26538" w:rsidRPr="004837DC" w:rsidRDefault="00B26538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 xml:space="preserve">a simplified blended payment model, involving a fixed </w:t>
            </w:r>
            <w:r w:rsidRPr="00B26538">
              <w:rPr>
                <w:b/>
                <w:lang w:eastAsia="en-GB"/>
              </w:rPr>
              <w:t>payment</w:t>
            </w:r>
            <w:r w:rsidRPr="00B26538">
              <w:rPr>
                <w:b/>
              </w:rPr>
              <w:t xml:space="preserve"> based on the costs to deliver a level of activity which conforms to the ICS system plan</w:t>
            </w:r>
            <w:r w:rsidRPr="00B26538">
              <w:rPr>
                <w:b/>
                <w:lang w:eastAsia="en-GB"/>
              </w:rPr>
              <w:t>?</w:t>
            </w:r>
          </w:p>
        </w:tc>
      </w:tr>
      <w:tr w:rsidR="00B26538" w14:paraId="65DEBBE4" w14:textId="77777777" w:rsidTr="00EF6122">
        <w:tc>
          <w:tcPr>
            <w:tcW w:w="1540" w:type="dxa"/>
          </w:tcPr>
          <w:p w14:paraId="3AFD0115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40" w:type="dxa"/>
          </w:tcPr>
          <w:p w14:paraId="171F58B9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40" w:type="dxa"/>
          </w:tcPr>
          <w:p w14:paraId="7080108F" w14:textId="3D9B294A" w:rsidR="00B26538" w:rsidRDefault="00B26538" w:rsidP="00B26538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40" w:type="dxa"/>
          </w:tcPr>
          <w:p w14:paraId="7C081FCD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41" w:type="dxa"/>
          </w:tcPr>
          <w:p w14:paraId="5EB9045D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41" w:type="dxa"/>
          </w:tcPr>
          <w:p w14:paraId="7AE95E97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B26538" w14:paraId="6AF008AE" w14:textId="77777777" w:rsidTr="00EF6122">
        <w:tc>
          <w:tcPr>
            <w:tcW w:w="9242" w:type="dxa"/>
            <w:gridSpan w:val="6"/>
          </w:tcPr>
          <w:p w14:paraId="2CDB0F8B" w14:textId="13CA47A9" w:rsidR="00B26538" w:rsidRPr="004837DC" w:rsidRDefault="00104B2F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B26538" w14:paraId="4BBADF71" w14:textId="77777777" w:rsidTr="00EF6122">
        <w:tc>
          <w:tcPr>
            <w:tcW w:w="9242" w:type="dxa"/>
            <w:gridSpan w:val="6"/>
          </w:tcPr>
          <w:p w14:paraId="69A72171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B26538" w14:paraId="7280AD98" w14:textId="77777777" w:rsidTr="00EF6122">
        <w:tc>
          <w:tcPr>
            <w:tcW w:w="9242" w:type="dxa"/>
            <w:gridSpan w:val="6"/>
          </w:tcPr>
          <w:p w14:paraId="08F3228A" w14:textId="2DCC9A05" w:rsidR="00B26538" w:rsidRPr="00B26538" w:rsidRDefault="00B26538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B26538">
              <w:rPr>
                <w:b/>
                <w:bCs/>
                <w:lang w:eastAsia="en-GB"/>
              </w:rPr>
              <w:t xml:space="preserve">What guidance would you find most </w:t>
            </w:r>
            <w:r w:rsidR="00104B2F">
              <w:rPr>
                <w:b/>
                <w:bCs/>
                <w:lang w:eastAsia="en-GB"/>
              </w:rPr>
              <w:t xml:space="preserve">useful for </w:t>
            </w:r>
            <w:r>
              <w:rPr>
                <w:b/>
                <w:bCs/>
                <w:lang w:eastAsia="en-GB"/>
              </w:rPr>
              <w:t>agreeing the fixed payment locally</w:t>
            </w:r>
            <w:r w:rsidRPr="00B26538">
              <w:rPr>
                <w:b/>
                <w:bCs/>
                <w:lang w:eastAsia="en-GB"/>
              </w:rPr>
              <w:t>?</w:t>
            </w:r>
          </w:p>
        </w:tc>
      </w:tr>
      <w:tr w:rsidR="00B26538" w14:paraId="359C05E6" w14:textId="77777777" w:rsidTr="00EF6122">
        <w:tc>
          <w:tcPr>
            <w:tcW w:w="9242" w:type="dxa"/>
            <w:gridSpan w:val="6"/>
          </w:tcPr>
          <w:p w14:paraId="362B48FE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5BA90E4C" w14:textId="439431AF" w:rsidR="00B26538" w:rsidRDefault="00B26538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104B2F" w14:paraId="5B791A8A" w14:textId="77777777" w:rsidTr="00104B2F">
        <w:tc>
          <w:tcPr>
            <w:tcW w:w="9016" w:type="dxa"/>
            <w:gridSpan w:val="6"/>
          </w:tcPr>
          <w:p w14:paraId="547D06C2" w14:textId="454AF971" w:rsidR="00104B2F" w:rsidRPr="00104B2F" w:rsidRDefault="00104B2F" w:rsidP="00104B2F">
            <w:pPr>
              <w:pStyle w:val="BodyText2NoSpacing"/>
              <w:rPr>
                <w:b/>
                <w:bCs/>
              </w:rPr>
            </w:pPr>
            <w:r w:rsidRPr="00104B2F">
              <w:rPr>
                <w:b/>
                <w:bCs/>
              </w:rPr>
              <w:t>To what extent would you support the fixed payment including items currently excluded from the tariff, such as high cost drugs and devices and genomic tests?</w:t>
            </w:r>
          </w:p>
        </w:tc>
      </w:tr>
      <w:tr w:rsidR="00104B2F" w14:paraId="3CAD5BD2" w14:textId="77777777" w:rsidTr="00104B2F">
        <w:tc>
          <w:tcPr>
            <w:tcW w:w="1509" w:type="dxa"/>
          </w:tcPr>
          <w:p w14:paraId="4FFC06B6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129A4126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42C1F7CA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264BE7F0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490D96B6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295BAA9F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104B2F" w14:paraId="12AEABA8" w14:textId="77777777" w:rsidTr="00104B2F">
        <w:tc>
          <w:tcPr>
            <w:tcW w:w="9016" w:type="dxa"/>
            <w:gridSpan w:val="6"/>
          </w:tcPr>
          <w:p w14:paraId="61A85AC2" w14:textId="77777777" w:rsidR="00104B2F" w:rsidRPr="004837DC" w:rsidRDefault="00104B2F" w:rsidP="001D2693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104B2F" w14:paraId="4C354802" w14:textId="77777777" w:rsidTr="00104B2F">
        <w:tc>
          <w:tcPr>
            <w:tcW w:w="9016" w:type="dxa"/>
            <w:gridSpan w:val="6"/>
          </w:tcPr>
          <w:p w14:paraId="51FC0414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5D064474" w14:textId="77777777" w:rsidR="00104B2F" w:rsidRDefault="00104B2F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B26538" w14:paraId="50599628" w14:textId="77777777" w:rsidTr="00EF6122">
        <w:tc>
          <w:tcPr>
            <w:tcW w:w="9016" w:type="dxa"/>
            <w:gridSpan w:val="6"/>
          </w:tcPr>
          <w:p w14:paraId="7D416200" w14:textId="146373D6" w:rsidR="00B26538" w:rsidRPr="004837DC" w:rsidRDefault="00B26538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</w:t>
            </w:r>
            <w:r>
              <w:rPr>
                <w:b/>
                <w:lang w:eastAsia="en-GB"/>
              </w:rPr>
              <w:t>do you</w:t>
            </w:r>
            <w:r w:rsidRPr="004837DC">
              <w:rPr>
                <w:b/>
                <w:lang w:eastAsia="en-GB"/>
              </w:rPr>
              <w:t xml:space="preserve"> support </w:t>
            </w:r>
            <w:r>
              <w:rPr>
                <w:b/>
                <w:lang w:eastAsia="en-GB"/>
              </w:rPr>
              <w:t>including a variable element for some elective activity</w:t>
            </w:r>
            <w:r w:rsidR="00C03FAE">
              <w:rPr>
                <w:b/>
                <w:lang w:eastAsia="en-GB"/>
              </w:rPr>
              <w:t xml:space="preserve"> in the blended payment approach?</w:t>
            </w:r>
          </w:p>
        </w:tc>
      </w:tr>
      <w:tr w:rsidR="00B26538" w14:paraId="2BA625FB" w14:textId="77777777" w:rsidTr="00EF6122">
        <w:tc>
          <w:tcPr>
            <w:tcW w:w="1509" w:type="dxa"/>
          </w:tcPr>
          <w:p w14:paraId="17E255A0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60FB8D7A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2D6F5D8F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2465016E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51F4A191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30E711E4" w14:textId="77777777" w:rsidR="00B26538" w:rsidRDefault="00B26538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B26538" w14:paraId="00A94432" w14:textId="77777777" w:rsidTr="00EF6122">
        <w:tc>
          <w:tcPr>
            <w:tcW w:w="9016" w:type="dxa"/>
            <w:gridSpan w:val="6"/>
          </w:tcPr>
          <w:p w14:paraId="200BD2F8" w14:textId="794FE4C5" w:rsidR="00B26538" w:rsidRPr="004837DC" w:rsidRDefault="00C03FAE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 there were a variable element, would you prefer it to be:</w:t>
            </w:r>
          </w:p>
        </w:tc>
      </w:tr>
      <w:tr w:rsidR="009B146D" w14:paraId="29DB6ABE" w14:textId="77777777" w:rsidTr="00FE15A6">
        <w:tc>
          <w:tcPr>
            <w:tcW w:w="9016" w:type="dxa"/>
            <w:gridSpan w:val="6"/>
          </w:tcPr>
          <w:p w14:paraId="4A318047" w14:textId="4FCF63B7" w:rsidR="009B146D" w:rsidRDefault="009B146D" w:rsidP="009B146D">
            <w:pPr>
              <w:pStyle w:val="BodyText2NoSpacing"/>
              <w:numPr>
                <w:ilvl w:val="0"/>
                <w:numId w:val="22"/>
              </w:numPr>
              <w:rPr>
                <w:lang w:eastAsia="en-GB"/>
              </w:rPr>
            </w:pPr>
            <w:r>
              <w:rPr>
                <w:lang w:eastAsia="en-GB"/>
              </w:rPr>
              <w:t>Entirely locally agreed</w:t>
            </w:r>
          </w:p>
          <w:p w14:paraId="1456CB43" w14:textId="77777777" w:rsidR="009B146D" w:rsidRDefault="009B146D" w:rsidP="009B146D">
            <w:pPr>
              <w:pStyle w:val="BodyText2NoSpacing"/>
              <w:numPr>
                <w:ilvl w:val="0"/>
                <w:numId w:val="22"/>
              </w:numPr>
              <w:rPr>
                <w:lang w:eastAsia="en-GB"/>
              </w:rPr>
            </w:pPr>
            <w:r w:rsidRPr="009B146D">
              <w:t>Mandated for inclusion but up to local systems to agree highest priority specialties and rates</w:t>
            </w:r>
          </w:p>
          <w:p w14:paraId="3271D92A" w14:textId="77777777" w:rsidR="009B146D" w:rsidRDefault="009B146D" w:rsidP="009B146D">
            <w:pPr>
              <w:pStyle w:val="BodyText2NoSpacing"/>
              <w:numPr>
                <w:ilvl w:val="0"/>
                <w:numId w:val="22"/>
              </w:numPr>
              <w:rPr>
                <w:lang w:eastAsia="en-GB"/>
              </w:rPr>
            </w:pPr>
            <w:r>
              <w:t>100% paid for elective activity above and below the level agreed</w:t>
            </w:r>
          </w:p>
          <w:p w14:paraId="530524A2" w14:textId="77777777" w:rsidR="009B146D" w:rsidRDefault="009B146D" w:rsidP="009B146D">
            <w:pPr>
              <w:pStyle w:val="BodyText2NoSpacing"/>
              <w:numPr>
                <w:ilvl w:val="0"/>
                <w:numId w:val="22"/>
              </w:numPr>
              <w:rPr>
                <w:lang w:eastAsia="en-GB"/>
              </w:rPr>
            </w:pPr>
            <w:r>
              <w:rPr>
                <w:lang w:eastAsia="en-GB"/>
              </w:rPr>
              <w:t>75% paid for activity above plan and 25% for activity below plan</w:t>
            </w:r>
          </w:p>
          <w:p w14:paraId="78A9EC4E" w14:textId="0BE215EF" w:rsidR="009B146D" w:rsidRPr="009B146D" w:rsidRDefault="009B146D" w:rsidP="009B146D">
            <w:pPr>
              <w:pStyle w:val="BodyText2NoSpacing"/>
              <w:numPr>
                <w:ilvl w:val="0"/>
                <w:numId w:val="22"/>
              </w:numPr>
              <w:spacing w:after="120"/>
              <w:rPr>
                <w:lang w:eastAsia="en-GB"/>
              </w:rPr>
            </w:pPr>
            <w:r>
              <w:rPr>
                <w:lang w:eastAsia="en-GB"/>
              </w:rPr>
              <w:t>Nationally determined specialties have a 100% mandated variable payment</w:t>
            </w:r>
          </w:p>
        </w:tc>
      </w:tr>
      <w:tr w:rsidR="00C03FAE" w14:paraId="0AE6B504" w14:textId="77777777" w:rsidTr="00EF6122">
        <w:tc>
          <w:tcPr>
            <w:tcW w:w="9016" w:type="dxa"/>
            <w:gridSpan w:val="6"/>
          </w:tcPr>
          <w:p w14:paraId="2203E7F7" w14:textId="13B259C8" w:rsidR="00C03FAE" w:rsidRPr="00C03FAE" w:rsidRDefault="00104B2F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Please explain the reasons for your answers</w:t>
            </w:r>
          </w:p>
        </w:tc>
      </w:tr>
      <w:tr w:rsidR="00C03FAE" w14:paraId="4C32E76D" w14:textId="77777777" w:rsidTr="00EF6122">
        <w:tc>
          <w:tcPr>
            <w:tcW w:w="9016" w:type="dxa"/>
            <w:gridSpan w:val="6"/>
          </w:tcPr>
          <w:p w14:paraId="58263101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2E3A197" w14:textId="77777777" w:rsidR="00B26538" w:rsidRDefault="00B26538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745"/>
        <w:gridCol w:w="760"/>
        <w:gridCol w:w="1494"/>
        <w:gridCol w:w="8"/>
        <w:gridCol w:w="1505"/>
        <w:gridCol w:w="741"/>
        <w:gridCol w:w="768"/>
        <w:gridCol w:w="1486"/>
      </w:tblGrid>
      <w:tr w:rsidR="00C03FAE" w14:paraId="39097B77" w14:textId="77777777" w:rsidTr="00EF6122">
        <w:tc>
          <w:tcPr>
            <w:tcW w:w="9016" w:type="dxa"/>
            <w:gridSpan w:val="9"/>
          </w:tcPr>
          <w:p w14:paraId="27350B91" w14:textId="54D3D362" w:rsidR="00C03FAE" w:rsidRPr="004837DC" w:rsidRDefault="00C03FAE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>having a threshold provider/commissioner contract value below which the blended payment arrangements would not apply?</w:t>
            </w:r>
          </w:p>
        </w:tc>
      </w:tr>
      <w:tr w:rsidR="00C03FAE" w14:paraId="43972EEB" w14:textId="77777777" w:rsidTr="00EF6122">
        <w:tc>
          <w:tcPr>
            <w:tcW w:w="1509" w:type="dxa"/>
          </w:tcPr>
          <w:p w14:paraId="3BD24A24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  <w:gridSpan w:val="2"/>
          </w:tcPr>
          <w:p w14:paraId="0D730C9D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  <w:gridSpan w:val="2"/>
          </w:tcPr>
          <w:p w14:paraId="11B7AC18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4E51CC04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  <w:gridSpan w:val="2"/>
          </w:tcPr>
          <w:p w14:paraId="330C913E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042CBE8F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C03FAE" w14:paraId="1E725786" w14:textId="77777777" w:rsidTr="00EF6122">
        <w:tc>
          <w:tcPr>
            <w:tcW w:w="9016" w:type="dxa"/>
            <w:gridSpan w:val="9"/>
          </w:tcPr>
          <w:p w14:paraId="19EFC557" w14:textId="18BAB0F2" w:rsidR="00C03FAE" w:rsidRPr="004837DC" w:rsidRDefault="00104B2F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 there were to be a threshold, do you think £10 million would be</w:t>
            </w:r>
            <w:r w:rsidR="00C03FAE">
              <w:rPr>
                <w:b/>
                <w:lang w:eastAsia="en-GB"/>
              </w:rPr>
              <w:t>…</w:t>
            </w:r>
          </w:p>
        </w:tc>
      </w:tr>
      <w:tr w:rsidR="00C03FAE" w:rsidRPr="00C03FAE" w14:paraId="128C7A97" w14:textId="77777777" w:rsidTr="00376929">
        <w:tc>
          <w:tcPr>
            <w:tcW w:w="2254" w:type="dxa"/>
            <w:gridSpan w:val="2"/>
          </w:tcPr>
          <w:p w14:paraId="7A8990EC" w14:textId="70B8D1DE" w:rsidR="00C03FAE" w:rsidRPr="00C03FAE" w:rsidRDefault="00C03FAE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…t</w:t>
            </w:r>
            <w:r w:rsidRPr="00C03FAE">
              <w:rPr>
                <w:b/>
                <w:bCs/>
                <w:lang w:eastAsia="en-GB"/>
              </w:rPr>
              <w:t>oo high</w:t>
            </w:r>
            <w:r>
              <w:rPr>
                <w:b/>
                <w:bCs/>
                <w:lang w:eastAsia="en-GB"/>
              </w:rPr>
              <w:t>?</w:t>
            </w:r>
          </w:p>
        </w:tc>
        <w:tc>
          <w:tcPr>
            <w:tcW w:w="2254" w:type="dxa"/>
            <w:gridSpan w:val="2"/>
          </w:tcPr>
          <w:p w14:paraId="0A89AAB8" w14:textId="7D582ACE" w:rsidR="00C03FAE" w:rsidRPr="00C03FAE" w:rsidRDefault="00C03FAE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…a</w:t>
            </w:r>
            <w:r w:rsidRPr="00C03FAE">
              <w:rPr>
                <w:b/>
                <w:bCs/>
                <w:lang w:eastAsia="en-GB"/>
              </w:rPr>
              <w:t>bout right</w:t>
            </w:r>
            <w:r>
              <w:rPr>
                <w:b/>
                <w:bCs/>
                <w:lang w:eastAsia="en-GB"/>
              </w:rPr>
              <w:t>?</w:t>
            </w:r>
          </w:p>
        </w:tc>
        <w:tc>
          <w:tcPr>
            <w:tcW w:w="2254" w:type="dxa"/>
            <w:gridSpan w:val="3"/>
          </w:tcPr>
          <w:p w14:paraId="5E67076B" w14:textId="3A6F1619" w:rsidR="00C03FAE" w:rsidRPr="00C03FAE" w:rsidRDefault="00C03FAE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…t</w:t>
            </w:r>
            <w:r w:rsidRPr="00C03FAE">
              <w:rPr>
                <w:b/>
                <w:bCs/>
                <w:lang w:eastAsia="en-GB"/>
              </w:rPr>
              <w:t>oo low</w:t>
            </w:r>
            <w:r>
              <w:rPr>
                <w:b/>
                <w:bCs/>
                <w:lang w:eastAsia="en-GB"/>
              </w:rPr>
              <w:t>?</w:t>
            </w:r>
          </w:p>
        </w:tc>
        <w:tc>
          <w:tcPr>
            <w:tcW w:w="2254" w:type="dxa"/>
            <w:gridSpan w:val="2"/>
          </w:tcPr>
          <w:p w14:paraId="23947D02" w14:textId="7A885DD9" w:rsidR="00C03FAE" w:rsidRPr="00C03FAE" w:rsidRDefault="00C03FAE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C03FAE">
              <w:rPr>
                <w:b/>
                <w:bCs/>
                <w:lang w:eastAsia="en-GB"/>
              </w:rPr>
              <w:t>Not sure</w:t>
            </w:r>
          </w:p>
        </w:tc>
      </w:tr>
      <w:tr w:rsidR="00C03FAE" w:rsidRPr="00C03FAE" w14:paraId="5A2A8B88" w14:textId="77777777" w:rsidTr="00EF6122">
        <w:tc>
          <w:tcPr>
            <w:tcW w:w="9016" w:type="dxa"/>
            <w:gridSpan w:val="9"/>
          </w:tcPr>
          <w:p w14:paraId="21B28F27" w14:textId="13FDDFFC" w:rsidR="00C03FAE" w:rsidRPr="00C03FAE" w:rsidRDefault="00C03FAE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C03FAE">
              <w:rPr>
                <w:b/>
                <w:bCs/>
                <w:lang w:eastAsia="en-GB"/>
              </w:rPr>
              <w:t>Please explain the reasons for your answer</w:t>
            </w:r>
          </w:p>
        </w:tc>
      </w:tr>
      <w:tr w:rsidR="00C03FAE" w14:paraId="745D6669" w14:textId="77777777" w:rsidTr="00EF6122">
        <w:tc>
          <w:tcPr>
            <w:tcW w:w="9016" w:type="dxa"/>
            <w:gridSpan w:val="9"/>
          </w:tcPr>
          <w:p w14:paraId="000FAC9B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0B412A8" w14:textId="6CC0D40E" w:rsidR="00C03FAE" w:rsidRDefault="00C03FAE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104B2F" w14:paraId="2401E1AF" w14:textId="77777777" w:rsidTr="001D2693">
        <w:tc>
          <w:tcPr>
            <w:tcW w:w="9016" w:type="dxa"/>
            <w:gridSpan w:val="6"/>
          </w:tcPr>
          <w:p w14:paraId="16C1CDD3" w14:textId="33530BB9" w:rsidR="00104B2F" w:rsidRPr="00104B2F" w:rsidRDefault="00104B2F" w:rsidP="00104B2F">
            <w:pPr>
              <w:pStyle w:val="BodyText2NoSpacing"/>
              <w:rPr>
                <w:b/>
                <w:bCs/>
              </w:rPr>
            </w:pPr>
            <w:r w:rsidRPr="00104B2F">
              <w:rPr>
                <w:b/>
                <w:bCs/>
              </w:rPr>
              <w:t>To what extent would you support host CCGs paying for activity below £0.2m, with allocations adjusted to compensate?</w:t>
            </w:r>
          </w:p>
        </w:tc>
      </w:tr>
      <w:tr w:rsidR="00104B2F" w14:paraId="03F506B5" w14:textId="77777777" w:rsidTr="001D2693">
        <w:tc>
          <w:tcPr>
            <w:tcW w:w="1509" w:type="dxa"/>
          </w:tcPr>
          <w:p w14:paraId="773BBBBB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499DE7E0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49D5486D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16486573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7268BD2C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372E3D5E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104B2F" w14:paraId="5F5E0732" w14:textId="77777777" w:rsidTr="001D2693">
        <w:tc>
          <w:tcPr>
            <w:tcW w:w="9016" w:type="dxa"/>
            <w:gridSpan w:val="6"/>
          </w:tcPr>
          <w:p w14:paraId="6A0F1323" w14:textId="77777777" w:rsidR="00104B2F" w:rsidRPr="004837DC" w:rsidRDefault="00104B2F" w:rsidP="001D2693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104B2F" w14:paraId="7D4E3A36" w14:textId="77777777" w:rsidTr="001D2693">
        <w:tc>
          <w:tcPr>
            <w:tcW w:w="9016" w:type="dxa"/>
            <w:gridSpan w:val="6"/>
          </w:tcPr>
          <w:p w14:paraId="3546EF11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C940CF4" w14:textId="77777777" w:rsidR="00104B2F" w:rsidRDefault="00104B2F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03FAE" w14:paraId="795F5C01" w14:textId="77777777" w:rsidTr="00EF6122">
        <w:tc>
          <w:tcPr>
            <w:tcW w:w="9016" w:type="dxa"/>
            <w:gridSpan w:val="5"/>
          </w:tcPr>
          <w:p w14:paraId="29D8B332" w14:textId="49A211CD" w:rsidR="00C03FAE" w:rsidRPr="004837DC" w:rsidRDefault="00C03FAE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What would be your preferred default approach for contracts valued between £0.2m and £10m?</w:t>
            </w:r>
          </w:p>
        </w:tc>
      </w:tr>
      <w:tr w:rsidR="00C03FAE" w14:paraId="3CEDC861" w14:textId="77777777" w:rsidTr="00C03FAE">
        <w:tc>
          <w:tcPr>
            <w:tcW w:w="1803" w:type="dxa"/>
          </w:tcPr>
          <w:p w14:paraId="5A598035" w14:textId="6445F586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Block contract</w:t>
            </w:r>
          </w:p>
        </w:tc>
        <w:tc>
          <w:tcPr>
            <w:tcW w:w="1803" w:type="dxa"/>
          </w:tcPr>
          <w:p w14:paraId="3698562F" w14:textId="31191B4D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Activity-based payment</w:t>
            </w:r>
          </w:p>
        </w:tc>
        <w:tc>
          <w:tcPr>
            <w:tcW w:w="1803" w:type="dxa"/>
          </w:tcPr>
          <w:p w14:paraId="0D2F1641" w14:textId="6D942EAE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Blended payment arrangements</w:t>
            </w:r>
          </w:p>
        </w:tc>
        <w:tc>
          <w:tcPr>
            <w:tcW w:w="1803" w:type="dxa"/>
          </w:tcPr>
          <w:p w14:paraId="62757289" w14:textId="4A96B833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No default</w:t>
            </w:r>
          </w:p>
        </w:tc>
        <w:tc>
          <w:tcPr>
            <w:tcW w:w="1804" w:type="dxa"/>
          </w:tcPr>
          <w:p w14:paraId="7CDCC7E6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C03FAE" w14:paraId="1CB076BD" w14:textId="77777777" w:rsidTr="00EF6122">
        <w:tc>
          <w:tcPr>
            <w:tcW w:w="9016" w:type="dxa"/>
            <w:gridSpan w:val="5"/>
          </w:tcPr>
          <w:p w14:paraId="092CF49A" w14:textId="3B1C9F8B" w:rsidR="00C03FAE" w:rsidRPr="004837DC" w:rsidRDefault="00C03FAE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C03FAE" w14:paraId="68C41629" w14:textId="77777777" w:rsidTr="00EF6122">
        <w:tc>
          <w:tcPr>
            <w:tcW w:w="9016" w:type="dxa"/>
            <w:gridSpan w:val="5"/>
          </w:tcPr>
          <w:p w14:paraId="38C7EC61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923A31B" w14:textId="77777777" w:rsidR="00C03FAE" w:rsidRDefault="00C03FAE" w:rsidP="00C91E48">
      <w:pPr>
        <w:pStyle w:val="BodyText2"/>
        <w:spacing w:line="276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321AC1" w14:paraId="2E42A7E2" w14:textId="77777777" w:rsidTr="00B26538">
        <w:tc>
          <w:tcPr>
            <w:tcW w:w="9016" w:type="dxa"/>
            <w:gridSpan w:val="6"/>
          </w:tcPr>
          <w:p w14:paraId="2B3BC007" w14:textId="044B689D" w:rsidR="00321AC1" w:rsidRPr="004837DC" w:rsidRDefault="00321AC1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 w:rsidR="00494662">
              <w:rPr>
                <w:b/>
                <w:lang w:eastAsia="en-GB"/>
              </w:rPr>
              <w:t xml:space="preserve">retaining national prices for diagnostic </w:t>
            </w:r>
            <w:r w:rsidR="00104B2F">
              <w:rPr>
                <w:b/>
                <w:lang w:eastAsia="en-GB"/>
              </w:rPr>
              <w:t xml:space="preserve">imaging </w:t>
            </w:r>
            <w:r w:rsidR="00494662">
              <w:rPr>
                <w:b/>
                <w:lang w:eastAsia="en-GB"/>
              </w:rPr>
              <w:t>services?</w:t>
            </w:r>
          </w:p>
        </w:tc>
      </w:tr>
      <w:tr w:rsidR="00321AC1" w14:paraId="5FAC0C03" w14:textId="77777777" w:rsidTr="00B26538">
        <w:tc>
          <w:tcPr>
            <w:tcW w:w="1509" w:type="dxa"/>
          </w:tcPr>
          <w:p w14:paraId="4E2F4CB0" w14:textId="77777777" w:rsidR="00321AC1" w:rsidRDefault="00321AC1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079DCFA3" w14:textId="77777777" w:rsidR="00321AC1" w:rsidRDefault="00321AC1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67806615" w14:textId="663841ED" w:rsidR="00321AC1" w:rsidRDefault="00321AC1" w:rsidP="00B26538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</w:t>
            </w:r>
            <w:r w:rsidR="00B26538">
              <w:rPr>
                <w:lang w:eastAsia="en-GB"/>
              </w:rPr>
              <w:t>o</w:t>
            </w:r>
            <w:r>
              <w:rPr>
                <w:lang w:eastAsia="en-GB"/>
              </w:rPr>
              <w:t>se</w:t>
            </w:r>
          </w:p>
        </w:tc>
        <w:tc>
          <w:tcPr>
            <w:tcW w:w="1505" w:type="dxa"/>
          </w:tcPr>
          <w:p w14:paraId="43D92FDC" w14:textId="77777777" w:rsidR="00321AC1" w:rsidRDefault="00321AC1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7E0DEAE7" w14:textId="77777777" w:rsidR="00321AC1" w:rsidRDefault="00321AC1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76F993E7" w14:textId="77777777" w:rsidR="00321AC1" w:rsidRDefault="00321AC1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321AC1" w14:paraId="021E6308" w14:textId="77777777" w:rsidTr="00B26538">
        <w:tc>
          <w:tcPr>
            <w:tcW w:w="9016" w:type="dxa"/>
            <w:gridSpan w:val="6"/>
          </w:tcPr>
          <w:p w14:paraId="6655BC1C" w14:textId="5C7D4224" w:rsidR="00321AC1" w:rsidRPr="004837DC" w:rsidRDefault="00A0172D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321AC1" w14:paraId="28D27078" w14:textId="77777777" w:rsidTr="00B26538">
        <w:tc>
          <w:tcPr>
            <w:tcW w:w="9016" w:type="dxa"/>
            <w:gridSpan w:val="6"/>
          </w:tcPr>
          <w:p w14:paraId="724DAC28" w14:textId="77777777" w:rsidR="00321AC1" w:rsidRDefault="00321AC1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7D0FD42B" w14:textId="634B7B84" w:rsidR="00104B2F" w:rsidRDefault="00104B2F" w:rsidP="00104B2F">
      <w:pPr>
        <w:pStyle w:val="BodyText2NoSpacing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104B2F" w14:paraId="3122DF99" w14:textId="77777777" w:rsidTr="001D2693">
        <w:tc>
          <w:tcPr>
            <w:tcW w:w="9016" w:type="dxa"/>
            <w:gridSpan w:val="6"/>
          </w:tcPr>
          <w:p w14:paraId="56DB2B8F" w14:textId="6F61C787" w:rsidR="00104B2F" w:rsidRPr="00104B2F" w:rsidRDefault="00104B2F" w:rsidP="00104B2F">
            <w:pPr>
              <w:pStyle w:val="BodyText2NoSpacing"/>
              <w:rPr>
                <w:b/>
                <w:bCs/>
              </w:rPr>
            </w:pPr>
            <w:r w:rsidRPr="00104B2F">
              <w:rPr>
                <w:b/>
                <w:bCs/>
              </w:rPr>
              <w:t>To what extent would you support a Standard Contract requirement for a System Collaboration and Financial Management Agreement alongside a blended payment, to help share risk across a system?</w:t>
            </w:r>
          </w:p>
        </w:tc>
      </w:tr>
      <w:tr w:rsidR="00104B2F" w14:paraId="402A592D" w14:textId="77777777" w:rsidTr="001D2693">
        <w:tc>
          <w:tcPr>
            <w:tcW w:w="1509" w:type="dxa"/>
          </w:tcPr>
          <w:p w14:paraId="21E8B179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76ED2DF8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04097A15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7A9D3C2F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7D1ADEFE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0AE9A34C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104B2F" w14:paraId="63D151F7" w14:textId="77777777" w:rsidTr="001D2693">
        <w:tc>
          <w:tcPr>
            <w:tcW w:w="9016" w:type="dxa"/>
            <w:gridSpan w:val="6"/>
          </w:tcPr>
          <w:p w14:paraId="33ABE086" w14:textId="77777777" w:rsidR="00104B2F" w:rsidRPr="004837DC" w:rsidRDefault="00104B2F" w:rsidP="001D2693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104B2F" w14:paraId="3B056B45" w14:textId="77777777" w:rsidTr="001D2693">
        <w:tc>
          <w:tcPr>
            <w:tcW w:w="9016" w:type="dxa"/>
            <w:gridSpan w:val="6"/>
          </w:tcPr>
          <w:p w14:paraId="70425009" w14:textId="77777777" w:rsidR="00104B2F" w:rsidRDefault="00104B2F" w:rsidP="001D269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92FF3" w14:paraId="04AA8984" w14:textId="77777777" w:rsidTr="001D2693">
        <w:tc>
          <w:tcPr>
            <w:tcW w:w="9016" w:type="dxa"/>
            <w:gridSpan w:val="6"/>
          </w:tcPr>
          <w:p w14:paraId="54E23225" w14:textId="766E233B" w:rsidR="00992FF3" w:rsidRPr="00992FF3" w:rsidRDefault="00992FF3" w:rsidP="00992FF3">
            <w:pPr>
              <w:pStyle w:val="BodyText2NoSpacing"/>
              <w:rPr>
                <w:b/>
                <w:bCs/>
              </w:rPr>
            </w:pPr>
            <w:r w:rsidRPr="00992FF3">
              <w:rPr>
                <w:b/>
                <w:bCs/>
              </w:rPr>
              <w:t>Do you have any comments on the 2020/21 model SCFMA, suggestions for how it could be improved or views on whether its focus should be broadened beyond financial balance?</w:t>
            </w:r>
          </w:p>
        </w:tc>
      </w:tr>
      <w:tr w:rsidR="00992FF3" w14:paraId="6EF88A2C" w14:textId="77777777" w:rsidTr="001D2693">
        <w:tc>
          <w:tcPr>
            <w:tcW w:w="9016" w:type="dxa"/>
            <w:gridSpan w:val="6"/>
          </w:tcPr>
          <w:p w14:paraId="17749804" w14:textId="77777777" w:rsidR="00992FF3" w:rsidRPr="00992FF3" w:rsidRDefault="00992FF3" w:rsidP="00992FF3">
            <w:pPr>
              <w:pStyle w:val="BodyText2"/>
            </w:pPr>
          </w:p>
        </w:tc>
      </w:tr>
    </w:tbl>
    <w:p w14:paraId="61CE6792" w14:textId="77777777" w:rsidR="00104B2F" w:rsidRDefault="00104B2F" w:rsidP="00104B2F">
      <w:pPr>
        <w:pStyle w:val="BodyText2NoSpacing"/>
        <w:rPr>
          <w:lang w:eastAsia="en-GB"/>
        </w:rPr>
      </w:pPr>
    </w:p>
    <w:p w14:paraId="7A85A705" w14:textId="5BF9110C" w:rsidR="00321AC1" w:rsidRDefault="00C03FAE" w:rsidP="0067774A">
      <w:pPr>
        <w:pStyle w:val="Heading2"/>
        <w:rPr>
          <w:lang w:eastAsia="en-GB"/>
        </w:rPr>
      </w:pPr>
      <w:r>
        <w:rPr>
          <w:lang w:eastAsia="en-GB"/>
        </w:rPr>
        <w:t>Financial incentives</w:t>
      </w:r>
      <w:r w:rsidR="00D743BD">
        <w:rPr>
          <w:lang w:eastAsia="en-GB"/>
        </w:rPr>
        <w:t xml:space="preserve"> and best practice tariffs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C03FAE" w14:paraId="7367A5C9" w14:textId="77777777" w:rsidTr="00EF6122">
        <w:tc>
          <w:tcPr>
            <w:tcW w:w="9016" w:type="dxa"/>
            <w:gridSpan w:val="6"/>
          </w:tcPr>
          <w:p w14:paraId="1B144354" w14:textId="0472867A" w:rsidR="00C03FAE" w:rsidRPr="00992FF3" w:rsidRDefault="00992FF3" w:rsidP="00992FF3">
            <w:pPr>
              <w:pStyle w:val="BodyText2NoSpacing"/>
              <w:rPr>
                <w:b/>
                <w:bCs/>
              </w:rPr>
            </w:pPr>
            <w:r w:rsidRPr="00992FF3">
              <w:rPr>
                <w:b/>
                <w:bCs/>
              </w:rPr>
              <w:t>To what extent would you support a review of the financial sanctions for failure to achieve national performance standards in the NHS Standard Contract?</w:t>
            </w:r>
          </w:p>
        </w:tc>
      </w:tr>
      <w:tr w:rsidR="00C03FAE" w14:paraId="3C1FCEE5" w14:textId="77777777" w:rsidTr="00EF6122">
        <w:tc>
          <w:tcPr>
            <w:tcW w:w="1509" w:type="dxa"/>
          </w:tcPr>
          <w:p w14:paraId="6A4FF9AB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1929F375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796D9D47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7D379B75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5953E2A5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022AB9A0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C03FAE" w14:paraId="5DB8778C" w14:textId="77777777" w:rsidTr="00EF6122">
        <w:tc>
          <w:tcPr>
            <w:tcW w:w="9016" w:type="dxa"/>
            <w:gridSpan w:val="6"/>
          </w:tcPr>
          <w:p w14:paraId="2B5101A2" w14:textId="5C3E5F1D" w:rsidR="00C03FAE" w:rsidRPr="004837DC" w:rsidRDefault="00D743BD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C03FAE" w14:paraId="09FBFED1" w14:textId="77777777" w:rsidTr="00EF6122">
        <w:tc>
          <w:tcPr>
            <w:tcW w:w="9016" w:type="dxa"/>
            <w:gridSpan w:val="6"/>
          </w:tcPr>
          <w:p w14:paraId="08CF0B95" w14:textId="77777777" w:rsidR="00C03FAE" w:rsidRDefault="00C03FAE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526C40A" w14:textId="73B372E7" w:rsidR="00C03FAE" w:rsidRDefault="00C03FAE" w:rsidP="00C03FAE">
      <w:pPr>
        <w:pStyle w:val="BodyText2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D743BD" w14:paraId="6D0A2CD1" w14:textId="77777777" w:rsidTr="00EF6122">
        <w:tc>
          <w:tcPr>
            <w:tcW w:w="9016" w:type="dxa"/>
            <w:gridSpan w:val="6"/>
          </w:tcPr>
          <w:p w14:paraId="4A9263C4" w14:textId="6DFF642F" w:rsidR="00D743BD" w:rsidRPr="00992FF3" w:rsidRDefault="00992FF3" w:rsidP="00992FF3">
            <w:pPr>
              <w:pStyle w:val="BodyText2NoSpacing"/>
              <w:rPr>
                <w:b/>
                <w:bCs/>
              </w:rPr>
            </w:pPr>
            <w:r w:rsidRPr="00992FF3">
              <w:rPr>
                <w:b/>
                <w:bCs/>
              </w:rPr>
              <w:t>To what extent would you support the retirement of the day case and outpatient procedure BPTs if their financial incentives are replicated in a blended payment design?</w:t>
            </w:r>
          </w:p>
        </w:tc>
      </w:tr>
      <w:tr w:rsidR="00D743BD" w14:paraId="244EB6F5" w14:textId="77777777" w:rsidTr="00EF6122">
        <w:tc>
          <w:tcPr>
            <w:tcW w:w="1509" w:type="dxa"/>
          </w:tcPr>
          <w:p w14:paraId="3A664D3B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01AD9B4B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7C2B2AF7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1F1C31B5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17ABAD6B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3028B258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D743BD" w14:paraId="3C5DECCF" w14:textId="77777777" w:rsidTr="00EF6122">
        <w:tc>
          <w:tcPr>
            <w:tcW w:w="9016" w:type="dxa"/>
            <w:gridSpan w:val="6"/>
          </w:tcPr>
          <w:p w14:paraId="7ACD9870" w14:textId="77777777" w:rsidR="00D743BD" w:rsidRPr="004837DC" w:rsidRDefault="00D743BD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D743BD" w14:paraId="4EB39910" w14:textId="77777777" w:rsidTr="00EF6122">
        <w:tc>
          <w:tcPr>
            <w:tcW w:w="9016" w:type="dxa"/>
            <w:gridSpan w:val="6"/>
          </w:tcPr>
          <w:p w14:paraId="7A529F3B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64BF1DE" w14:textId="7C3329C7" w:rsidR="00D743BD" w:rsidRDefault="00D743BD" w:rsidP="00C03FAE">
      <w:pPr>
        <w:pStyle w:val="BodyText2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43BD" w14:paraId="4CCDE4A1" w14:textId="77777777" w:rsidTr="00EF6122">
        <w:tc>
          <w:tcPr>
            <w:tcW w:w="9016" w:type="dxa"/>
          </w:tcPr>
          <w:p w14:paraId="7B6E2D54" w14:textId="394D3CF8" w:rsidR="00D743BD" w:rsidRPr="00992FF3" w:rsidRDefault="00992FF3" w:rsidP="00992FF3">
            <w:pPr>
              <w:pStyle w:val="BodyText2NoSpacing"/>
              <w:rPr>
                <w:b/>
                <w:bCs/>
              </w:rPr>
            </w:pPr>
            <w:r w:rsidRPr="00992FF3">
              <w:rPr>
                <w:b/>
                <w:bCs/>
              </w:rPr>
              <w:t>To what extent would you support BPTs becoming non-mandatory with guidance on how to capture them within any blended payment agreements?</w:t>
            </w:r>
          </w:p>
        </w:tc>
      </w:tr>
      <w:tr w:rsidR="00D743BD" w14:paraId="407F39E7" w14:textId="77777777" w:rsidTr="00EF6122">
        <w:tc>
          <w:tcPr>
            <w:tcW w:w="9016" w:type="dxa"/>
          </w:tcPr>
          <w:p w14:paraId="35B3743E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92FF3" w14:paraId="1C4866EF" w14:textId="77777777" w:rsidTr="00EF6122">
        <w:tc>
          <w:tcPr>
            <w:tcW w:w="9016" w:type="dxa"/>
          </w:tcPr>
          <w:p w14:paraId="1C0238C4" w14:textId="00498B31" w:rsidR="00992FF3" w:rsidRDefault="00992FF3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</w:t>
            </w:r>
          </w:p>
        </w:tc>
      </w:tr>
      <w:tr w:rsidR="00992FF3" w14:paraId="6C69B07B" w14:textId="77777777" w:rsidTr="00EF6122">
        <w:tc>
          <w:tcPr>
            <w:tcW w:w="9016" w:type="dxa"/>
          </w:tcPr>
          <w:p w14:paraId="2378CD53" w14:textId="77777777" w:rsidR="00992FF3" w:rsidRDefault="00992FF3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92FF3" w14:paraId="054FF85A" w14:textId="77777777" w:rsidTr="00EF6122">
        <w:tc>
          <w:tcPr>
            <w:tcW w:w="9016" w:type="dxa"/>
          </w:tcPr>
          <w:p w14:paraId="15660163" w14:textId="1BCF0206" w:rsidR="00992FF3" w:rsidRPr="00992FF3" w:rsidRDefault="00992FF3" w:rsidP="00992FF3">
            <w:pPr>
              <w:pStyle w:val="BodyText2NoSpacing"/>
            </w:pPr>
            <w:r w:rsidRPr="00992FF3">
              <w:t>If this approach were taken, what guidance would you find most helpful to support use of existing BPTs within a blended payment arrangement?</w:t>
            </w:r>
          </w:p>
        </w:tc>
      </w:tr>
      <w:tr w:rsidR="00992FF3" w14:paraId="2C26E445" w14:textId="77777777" w:rsidTr="00EF6122">
        <w:tc>
          <w:tcPr>
            <w:tcW w:w="9016" w:type="dxa"/>
          </w:tcPr>
          <w:p w14:paraId="15BDC478" w14:textId="77777777" w:rsidR="00992FF3" w:rsidRDefault="00992FF3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51D6C13C" w14:textId="1C88F762" w:rsidR="00D743BD" w:rsidRDefault="00D743BD" w:rsidP="00C03FAE">
      <w:pPr>
        <w:pStyle w:val="BodyText2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D743BD" w14:paraId="3D69884D" w14:textId="77777777" w:rsidTr="00EF6122">
        <w:tc>
          <w:tcPr>
            <w:tcW w:w="9016" w:type="dxa"/>
            <w:gridSpan w:val="6"/>
          </w:tcPr>
          <w:p w14:paraId="449C5B5B" w14:textId="38157232" w:rsidR="00D743BD" w:rsidRPr="004837DC" w:rsidRDefault="00D743BD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>the further integration and streamlining of financial incentives in future years?</w:t>
            </w:r>
          </w:p>
        </w:tc>
      </w:tr>
      <w:tr w:rsidR="00D743BD" w14:paraId="1A1D7EBA" w14:textId="77777777" w:rsidTr="00EF6122">
        <w:tc>
          <w:tcPr>
            <w:tcW w:w="1509" w:type="dxa"/>
          </w:tcPr>
          <w:p w14:paraId="149ECE70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2B6257B6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76CB9D5B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7C60ADC2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23F6D581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4F696A3D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92FF3" w:rsidRPr="00992FF3" w14:paraId="597AF6EB" w14:textId="77777777" w:rsidTr="00710C1F">
        <w:tc>
          <w:tcPr>
            <w:tcW w:w="9016" w:type="dxa"/>
            <w:gridSpan w:val="6"/>
          </w:tcPr>
          <w:p w14:paraId="6982C98C" w14:textId="2D76422B" w:rsidR="00992FF3" w:rsidRPr="00992FF3" w:rsidRDefault="00992FF3" w:rsidP="00EF6122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992FF3">
              <w:rPr>
                <w:b/>
                <w:bCs/>
                <w:lang w:eastAsia="en-GB"/>
              </w:rPr>
              <w:t>Please explain the reasons for your answer</w:t>
            </w:r>
          </w:p>
        </w:tc>
      </w:tr>
      <w:tr w:rsidR="00992FF3" w14:paraId="63E0F561" w14:textId="77777777" w:rsidTr="009255BD">
        <w:tc>
          <w:tcPr>
            <w:tcW w:w="9016" w:type="dxa"/>
            <w:gridSpan w:val="6"/>
          </w:tcPr>
          <w:p w14:paraId="02ADE2C3" w14:textId="77777777" w:rsidR="00992FF3" w:rsidRDefault="00992FF3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D743BD" w14:paraId="4BD104BB" w14:textId="77777777" w:rsidTr="00EF6122">
        <w:tc>
          <w:tcPr>
            <w:tcW w:w="9016" w:type="dxa"/>
            <w:gridSpan w:val="6"/>
          </w:tcPr>
          <w:p w14:paraId="789373DE" w14:textId="01660E22" w:rsidR="00D743BD" w:rsidRPr="004837DC" w:rsidRDefault="00D743BD" w:rsidP="00EF612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What would be the key considerations for doing </w:t>
            </w:r>
            <w:r w:rsidR="00992FF3">
              <w:rPr>
                <w:b/>
                <w:lang w:eastAsia="en-GB"/>
              </w:rPr>
              <w:t>so</w:t>
            </w:r>
            <w:r>
              <w:rPr>
                <w:b/>
                <w:lang w:eastAsia="en-GB"/>
              </w:rPr>
              <w:t xml:space="preserve"> effectively?</w:t>
            </w:r>
          </w:p>
        </w:tc>
      </w:tr>
      <w:tr w:rsidR="00D743BD" w14:paraId="603B816C" w14:textId="77777777" w:rsidTr="00EF6122">
        <w:tc>
          <w:tcPr>
            <w:tcW w:w="9016" w:type="dxa"/>
            <w:gridSpan w:val="6"/>
          </w:tcPr>
          <w:p w14:paraId="2CAF6828" w14:textId="77777777" w:rsidR="00D743BD" w:rsidRDefault="00D743BD" w:rsidP="00EF612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D872D5D" w14:textId="77777777" w:rsidR="00D743BD" w:rsidRPr="00C03FAE" w:rsidRDefault="00D743BD" w:rsidP="00C03FAE">
      <w:pPr>
        <w:pStyle w:val="BodyText2"/>
        <w:rPr>
          <w:lang w:eastAsia="en-GB"/>
        </w:rPr>
      </w:pPr>
    </w:p>
    <w:p w14:paraId="017BD348" w14:textId="2788CEF2" w:rsidR="00023AEC" w:rsidRPr="00023AEC" w:rsidRDefault="00023AEC" w:rsidP="00023AEC">
      <w:pPr>
        <w:pStyle w:val="Heading2"/>
        <w:rPr>
          <w:lang w:eastAsia="en-GB"/>
        </w:rPr>
      </w:pPr>
      <w:bookmarkStart w:id="4" w:name="_Toc18490764"/>
      <w:bookmarkEnd w:id="3"/>
      <w:r w:rsidRPr="00023AEC">
        <w:rPr>
          <w:lang w:eastAsia="en-GB"/>
        </w:rPr>
        <w:t xml:space="preserve">Other </w:t>
      </w:r>
      <w:bookmarkEnd w:id="4"/>
      <w:r w:rsidR="00992FF3">
        <w:rPr>
          <w:lang w:eastAsia="en-GB"/>
        </w:rPr>
        <w:t>tariff policy areas</w:t>
      </w:r>
    </w:p>
    <w:p w14:paraId="70CA67B2" w14:textId="4AD9B1AE" w:rsidR="00BC50AA" w:rsidRPr="00D13F77" w:rsidRDefault="00BC50AA" w:rsidP="00BC50AA">
      <w:pPr>
        <w:pStyle w:val="Heading3"/>
        <w:spacing w:line="276" w:lineRule="auto"/>
        <w:rPr>
          <w:rFonts w:eastAsia="Times New Roman"/>
          <w:lang w:eastAsia="en-GB"/>
        </w:rPr>
      </w:pPr>
      <w:r w:rsidRPr="00D13F77">
        <w:rPr>
          <w:rFonts w:eastAsia="Times New Roman"/>
          <w:lang w:eastAsia="en-GB"/>
        </w:rPr>
        <w:t>Length of tariff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BC50AA" w14:paraId="30F03E96" w14:textId="77777777" w:rsidTr="00D33EAA">
        <w:tc>
          <w:tcPr>
            <w:tcW w:w="9242" w:type="dxa"/>
            <w:gridSpan w:val="6"/>
          </w:tcPr>
          <w:p w14:paraId="1FF9103A" w14:textId="7FAD82DF" w:rsidR="00BC50AA" w:rsidRPr="004837DC" w:rsidRDefault="00BC50AA" w:rsidP="00D33EAA">
            <w:pPr>
              <w:pStyle w:val="BodyText2"/>
              <w:spacing w:line="276" w:lineRule="auto"/>
              <w:rPr>
                <w:b/>
                <w:lang w:eastAsia="en-GB"/>
              </w:rPr>
            </w:pPr>
            <w:bookmarkStart w:id="5" w:name="_Hlk15977140"/>
            <w:r w:rsidRPr="004837DC">
              <w:rPr>
                <w:b/>
                <w:lang w:eastAsia="en-GB"/>
              </w:rPr>
              <w:t xml:space="preserve">To what extent would you support setting the </w:t>
            </w:r>
            <w:r>
              <w:rPr>
                <w:b/>
                <w:lang w:eastAsia="en-GB"/>
              </w:rPr>
              <w:t>202</w:t>
            </w:r>
            <w:r w:rsidR="00362D98">
              <w:rPr>
                <w:b/>
                <w:lang w:eastAsia="en-GB"/>
              </w:rPr>
              <w:t>1</w:t>
            </w:r>
            <w:r w:rsidRPr="004837DC">
              <w:rPr>
                <w:b/>
                <w:lang w:eastAsia="en-GB"/>
              </w:rPr>
              <w:t xml:space="preserve"> tariff for one year?</w:t>
            </w:r>
          </w:p>
        </w:tc>
      </w:tr>
      <w:tr w:rsidR="00BC50AA" w14:paraId="5ABE3961" w14:textId="77777777" w:rsidTr="00D33EAA">
        <w:tc>
          <w:tcPr>
            <w:tcW w:w="1540" w:type="dxa"/>
          </w:tcPr>
          <w:p w14:paraId="0B9DDF34" w14:textId="77777777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40" w:type="dxa"/>
          </w:tcPr>
          <w:p w14:paraId="42889825" w14:textId="77777777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40" w:type="dxa"/>
          </w:tcPr>
          <w:p w14:paraId="29444471" w14:textId="4D3B9CF3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40" w:type="dxa"/>
          </w:tcPr>
          <w:p w14:paraId="3B027014" w14:textId="77777777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41" w:type="dxa"/>
          </w:tcPr>
          <w:p w14:paraId="67927E9D" w14:textId="77777777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541" w:type="dxa"/>
          </w:tcPr>
          <w:p w14:paraId="7A103495" w14:textId="77777777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BC50AA" w14:paraId="3D0D32F4" w14:textId="77777777" w:rsidTr="00D33EAA">
        <w:tc>
          <w:tcPr>
            <w:tcW w:w="9242" w:type="dxa"/>
            <w:gridSpan w:val="6"/>
          </w:tcPr>
          <w:p w14:paraId="4EAC24D1" w14:textId="5CDAB3A3" w:rsidR="00BC50AA" w:rsidRPr="004837DC" w:rsidRDefault="00A0172D" w:rsidP="00D33EAA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BC50AA" w14:paraId="6BD307C1" w14:textId="77777777" w:rsidTr="00D33EAA">
        <w:tc>
          <w:tcPr>
            <w:tcW w:w="9242" w:type="dxa"/>
            <w:gridSpan w:val="6"/>
          </w:tcPr>
          <w:p w14:paraId="4B829676" w14:textId="77777777" w:rsidR="00BC50AA" w:rsidRDefault="00BC50AA" w:rsidP="00D33EA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bookmarkEnd w:id="5"/>
    </w:tbl>
    <w:p w14:paraId="19DD5D9E" w14:textId="77777777" w:rsidR="00BC50AA" w:rsidRDefault="00BC50AA" w:rsidP="00BC50AA">
      <w:pPr>
        <w:pStyle w:val="BodyText2"/>
        <w:rPr>
          <w:lang w:eastAsia="en-GB"/>
        </w:rPr>
      </w:pPr>
    </w:p>
    <w:p w14:paraId="4D835A76" w14:textId="77777777" w:rsidR="00992FF3" w:rsidRPr="00D13F77" w:rsidRDefault="00992FF3" w:rsidP="00992FF3">
      <w:pPr>
        <w:pStyle w:val="Heading3"/>
        <w:spacing w:line="276" w:lineRule="auto"/>
        <w:rPr>
          <w:rFonts w:eastAsia="Times New Roman"/>
          <w:lang w:eastAsia="en-GB"/>
        </w:rPr>
      </w:pPr>
      <w:r>
        <w:rPr>
          <w:lang w:eastAsia="en-GB"/>
        </w:rPr>
        <w:t>Adjustments to prices for Covid-19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494"/>
        <w:gridCol w:w="8"/>
        <w:gridCol w:w="1505"/>
        <w:gridCol w:w="1509"/>
        <w:gridCol w:w="1486"/>
      </w:tblGrid>
      <w:tr w:rsidR="00992FF3" w14:paraId="7753D6D2" w14:textId="77777777" w:rsidTr="00C36267">
        <w:tc>
          <w:tcPr>
            <w:tcW w:w="9016" w:type="dxa"/>
            <w:gridSpan w:val="7"/>
          </w:tcPr>
          <w:p w14:paraId="43322F78" w14:textId="77777777" w:rsidR="00992FF3" w:rsidRPr="00D743BD" w:rsidRDefault="00992FF3" w:rsidP="00C36267">
            <w:pPr>
              <w:pStyle w:val="BodyText2"/>
              <w:spacing w:line="276" w:lineRule="auto"/>
              <w:rPr>
                <w:b/>
                <w:lang w:eastAsia="en-GB"/>
              </w:rPr>
            </w:pPr>
            <w:bookmarkStart w:id="6" w:name="_Hlk51752088"/>
            <w:r w:rsidRPr="00D743BD">
              <w:rPr>
                <w:rStyle w:val="the-question"/>
                <w:b/>
                <w:lang w:val="en"/>
              </w:rPr>
              <w:t xml:space="preserve">To what extent would you support </w:t>
            </w:r>
            <w:r>
              <w:rPr>
                <w:rStyle w:val="the-question"/>
                <w:b/>
                <w:lang w:val="en"/>
              </w:rPr>
              <w:t xml:space="preserve">a </w:t>
            </w:r>
            <w:r w:rsidRPr="00D743BD">
              <w:rPr>
                <w:rStyle w:val="the-question"/>
                <w:b/>
                <w:lang w:val="en"/>
              </w:rPr>
              <w:t xml:space="preserve">local guidance </w:t>
            </w:r>
            <w:r>
              <w:rPr>
                <w:rStyle w:val="the-question"/>
                <w:b/>
                <w:lang w:val="en"/>
              </w:rPr>
              <w:t xml:space="preserve">framework </w:t>
            </w:r>
            <w:r w:rsidRPr="00D743BD">
              <w:rPr>
                <w:rStyle w:val="the-question"/>
                <w:b/>
                <w:lang w:val="en"/>
              </w:rPr>
              <w:t>for adjusting prices to account for costs arising from Covid-19?</w:t>
            </w:r>
          </w:p>
        </w:tc>
      </w:tr>
      <w:tr w:rsidR="00992FF3" w14:paraId="56556F61" w14:textId="77777777" w:rsidTr="00C36267">
        <w:tc>
          <w:tcPr>
            <w:tcW w:w="1509" w:type="dxa"/>
          </w:tcPr>
          <w:p w14:paraId="66653A63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547DCACB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  <w:gridSpan w:val="2"/>
          </w:tcPr>
          <w:p w14:paraId="78D9BDFC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545A707F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2C9A8D08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40213E07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92FF3" w14:paraId="32098B72" w14:textId="77777777" w:rsidTr="00C36267">
        <w:tc>
          <w:tcPr>
            <w:tcW w:w="9016" w:type="dxa"/>
            <w:gridSpan w:val="7"/>
          </w:tcPr>
          <w:p w14:paraId="269EB81A" w14:textId="77777777" w:rsidR="00992FF3" w:rsidRPr="004837DC" w:rsidRDefault="00992FF3" w:rsidP="00C36267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992FF3" w14:paraId="710EDF76" w14:textId="77777777" w:rsidTr="00C36267">
        <w:tc>
          <w:tcPr>
            <w:tcW w:w="9016" w:type="dxa"/>
            <w:gridSpan w:val="7"/>
          </w:tcPr>
          <w:p w14:paraId="333771A0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92FF3" w:rsidRPr="00D743BD" w14:paraId="24624425" w14:textId="77777777" w:rsidTr="00C36267">
        <w:tc>
          <w:tcPr>
            <w:tcW w:w="9016" w:type="dxa"/>
            <w:gridSpan w:val="7"/>
          </w:tcPr>
          <w:p w14:paraId="629FB7FD" w14:textId="77777777" w:rsidR="00992FF3" w:rsidRPr="00D743BD" w:rsidRDefault="00992FF3" w:rsidP="00C36267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D743BD">
              <w:rPr>
                <w:b/>
                <w:bCs/>
                <w:lang w:eastAsia="en-GB"/>
              </w:rPr>
              <w:t xml:space="preserve">What types of guidance </w:t>
            </w:r>
            <w:r>
              <w:rPr>
                <w:b/>
                <w:bCs/>
                <w:lang w:eastAsia="en-GB"/>
              </w:rPr>
              <w:t xml:space="preserve">framework </w:t>
            </w:r>
            <w:r w:rsidRPr="00D743BD">
              <w:rPr>
                <w:b/>
                <w:bCs/>
                <w:lang w:eastAsia="en-GB"/>
              </w:rPr>
              <w:t>would you find most useful?</w:t>
            </w:r>
          </w:p>
        </w:tc>
      </w:tr>
      <w:tr w:rsidR="00992FF3" w14:paraId="72D503F2" w14:textId="77777777" w:rsidTr="00C36267">
        <w:tc>
          <w:tcPr>
            <w:tcW w:w="4508" w:type="dxa"/>
            <w:gridSpan w:val="3"/>
          </w:tcPr>
          <w:p w14:paraId="68DD141C" w14:textId="77777777" w:rsidR="00992FF3" w:rsidRPr="008A3A26" w:rsidRDefault="00992FF3" w:rsidP="00C36267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8A3A26">
              <w:rPr>
                <w:b/>
                <w:bCs/>
                <w:lang w:eastAsia="en-GB"/>
              </w:rPr>
              <w:t xml:space="preserve">Robustly detailed with standardised </w:t>
            </w:r>
            <w:r>
              <w:rPr>
                <w:b/>
                <w:bCs/>
                <w:lang w:eastAsia="en-GB"/>
              </w:rPr>
              <w:t xml:space="preserve">national </w:t>
            </w:r>
            <w:r w:rsidRPr="008A3A26">
              <w:rPr>
                <w:b/>
                <w:bCs/>
                <w:lang w:eastAsia="en-GB"/>
              </w:rPr>
              <w:t>requirements</w:t>
            </w:r>
          </w:p>
        </w:tc>
        <w:tc>
          <w:tcPr>
            <w:tcW w:w="4508" w:type="dxa"/>
            <w:gridSpan w:val="4"/>
          </w:tcPr>
          <w:p w14:paraId="045959C1" w14:textId="77777777" w:rsidR="00992FF3" w:rsidRPr="008A3A26" w:rsidRDefault="00992FF3" w:rsidP="00C36267">
            <w:pPr>
              <w:pStyle w:val="BodyText2"/>
              <w:spacing w:line="276" w:lineRule="auto"/>
              <w:rPr>
                <w:b/>
                <w:bCs/>
                <w:lang w:eastAsia="en-GB"/>
              </w:rPr>
            </w:pPr>
            <w:r w:rsidRPr="008A3A26">
              <w:rPr>
                <w:b/>
                <w:bCs/>
                <w:lang w:eastAsia="en-GB"/>
              </w:rPr>
              <w:t xml:space="preserve">Looser framework that </w:t>
            </w:r>
            <w:r>
              <w:rPr>
                <w:b/>
                <w:bCs/>
                <w:lang w:eastAsia="en-GB"/>
              </w:rPr>
              <w:t>c</w:t>
            </w:r>
            <w:r w:rsidRPr="008A3A26">
              <w:rPr>
                <w:b/>
                <w:bCs/>
                <w:lang w:eastAsia="en-GB"/>
              </w:rPr>
              <w:t>ould be flexibl</w:t>
            </w:r>
            <w:r>
              <w:rPr>
                <w:b/>
                <w:bCs/>
                <w:lang w:eastAsia="en-GB"/>
              </w:rPr>
              <w:t>y applied</w:t>
            </w:r>
            <w:r w:rsidRPr="008A3A26">
              <w:rPr>
                <w:b/>
                <w:bCs/>
                <w:lang w:eastAsia="en-GB"/>
              </w:rPr>
              <w:t xml:space="preserve"> to local requirements</w:t>
            </w:r>
          </w:p>
        </w:tc>
      </w:tr>
      <w:tr w:rsidR="00992FF3" w14:paraId="75A7DE17" w14:textId="77777777" w:rsidTr="00C36267">
        <w:tc>
          <w:tcPr>
            <w:tcW w:w="9016" w:type="dxa"/>
            <w:gridSpan w:val="7"/>
          </w:tcPr>
          <w:p w14:paraId="71055C03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992FF3" w14:paraId="520E7F74" w14:textId="77777777" w:rsidTr="00C36267">
        <w:tc>
          <w:tcPr>
            <w:tcW w:w="9016" w:type="dxa"/>
            <w:gridSpan w:val="7"/>
          </w:tcPr>
          <w:p w14:paraId="44001410" w14:textId="77777777" w:rsidR="00992FF3" w:rsidRDefault="00992FF3" w:rsidP="00C36267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bookmarkEnd w:id="6"/>
    </w:tbl>
    <w:p w14:paraId="113C7696" w14:textId="77777777" w:rsidR="00992FF3" w:rsidRDefault="00992FF3" w:rsidP="00992FF3">
      <w:pPr>
        <w:pStyle w:val="BodyText2"/>
        <w:rPr>
          <w:lang w:eastAsia="en-GB"/>
        </w:rPr>
      </w:pPr>
    </w:p>
    <w:p w14:paraId="06651846" w14:textId="4A6D202F" w:rsidR="00904F11" w:rsidRPr="00D13F77" w:rsidRDefault="00904F11" w:rsidP="00904F11">
      <w:pPr>
        <w:pStyle w:val="Heading3"/>
        <w:spacing w:line="276" w:lineRule="auto"/>
        <w:rPr>
          <w:rFonts w:eastAsia="Times New Roman"/>
          <w:lang w:eastAsia="en-GB"/>
        </w:rPr>
      </w:pPr>
      <w:r w:rsidRPr="00D13F77">
        <w:rPr>
          <w:rFonts w:eastAsia="Times New Roman"/>
          <w:lang w:eastAsia="en-GB"/>
        </w:rPr>
        <w:t>Roll</w:t>
      </w:r>
      <w:r w:rsidR="00BC50AA">
        <w:rPr>
          <w:rFonts w:eastAsia="Times New Roman"/>
          <w:lang w:eastAsia="en-GB"/>
        </w:rPr>
        <w:t>ing</w:t>
      </w:r>
      <w:r w:rsidRPr="00D13F77">
        <w:rPr>
          <w:rFonts w:eastAsia="Times New Roman"/>
          <w:lang w:eastAsia="en-GB"/>
        </w:rPr>
        <w:t xml:space="preserve"> over price relativities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904F11" w14:paraId="72C5B59B" w14:textId="77777777" w:rsidTr="00904F11">
        <w:tc>
          <w:tcPr>
            <w:tcW w:w="9016" w:type="dxa"/>
            <w:gridSpan w:val="6"/>
          </w:tcPr>
          <w:p w14:paraId="6F60E1DC" w14:textId="25BEC447" w:rsidR="00904F11" w:rsidRPr="004837DC" w:rsidRDefault="00904F11" w:rsidP="007539D3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 w:rsidR="00992FF3">
              <w:rPr>
                <w:b/>
                <w:lang w:eastAsia="en-GB"/>
              </w:rPr>
              <w:t xml:space="preserve">setting prices for 2021/22 by </w:t>
            </w:r>
            <w:r w:rsidRPr="004837DC">
              <w:rPr>
                <w:b/>
                <w:lang w:eastAsia="en-GB"/>
              </w:rPr>
              <w:t>rolling over the price relativities</w:t>
            </w:r>
            <w:r w:rsidR="00992FF3">
              <w:rPr>
                <w:b/>
                <w:lang w:eastAsia="en-GB"/>
              </w:rPr>
              <w:t xml:space="preserve"> and currencies</w:t>
            </w:r>
            <w:r w:rsidRPr="004837DC">
              <w:rPr>
                <w:b/>
                <w:lang w:eastAsia="en-GB"/>
              </w:rPr>
              <w:t xml:space="preserve"> from 20</w:t>
            </w:r>
            <w:r w:rsidR="00362D98">
              <w:rPr>
                <w:b/>
                <w:lang w:eastAsia="en-GB"/>
              </w:rPr>
              <w:t>20/21</w:t>
            </w:r>
            <w:r w:rsidRPr="004837DC">
              <w:rPr>
                <w:b/>
                <w:lang w:eastAsia="en-GB"/>
              </w:rPr>
              <w:t>?</w:t>
            </w:r>
          </w:p>
        </w:tc>
      </w:tr>
      <w:tr w:rsidR="00904F11" w14:paraId="3CB47212" w14:textId="77777777" w:rsidTr="00904F11">
        <w:tc>
          <w:tcPr>
            <w:tcW w:w="1509" w:type="dxa"/>
          </w:tcPr>
          <w:p w14:paraId="25D4DF7D" w14:textId="77777777" w:rsidR="00904F11" w:rsidRDefault="00904F11" w:rsidP="007539D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728E92B4" w14:textId="77777777" w:rsidR="00904F11" w:rsidRDefault="00904F11" w:rsidP="007539D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0596BB38" w14:textId="0300F7D7" w:rsidR="00CC1661" w:rsidRDefault="00904F11" w:rsidP="007539D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029905D9" w14:textId="77777777" w:rsidR="00904F11" w:rsidRDefault="00904F11" w:rsidP="007539D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438219A4" w14:textId="77777777" w:rsidR="00904F11" w:rsidRDefault="00904F11" w:rsidP="007539D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711E912D" w14:textId="77777777" w:rsidR="00904F11" w:rsidRDefault="00904F11" w:rsidP="007539D3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04F11" w14:paraId="2C0AD3D0" w14:textId="77777777" w:rsidTr="00904F11">
        <w:tc>
          <w:tcPr>
            <w:tcW w:w="9016" w:type="dxa"/>
            <w:gridSpan w:val="6"/>
          </w:tcPr>
          <w:p w14:paraId="7188E6CA" w14:textId="45EAD42E" w:rsidR="00904F11" w:rsidRPr="004837DC" w:rsidRDefault="00A0172D" w:rsidP="007539D3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904F11" w14:paraId="7AC451EB" w14:textId="77777777" w:rsidTr="00904F11">
        <w:tc>
          <w:tcPr>
            <w:tcW w:w="9016" w:type="dxa"/>
            <w:gridSpan w:val="6"/>
          </w:tcPr>
          <w:p w14:paraId="7E4D690F" w14:textId="77777777" w:rsidR="008A2E40" w:rsidRDefault="008A2E40" w:rsidP="007539D3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40F33031" w14:textId="0080CFC6" w:rsidR="00D743BD" w:rsidRDefault="00D743BD" w:rsidP="00D743BD">
      <w:pPr>
        <w:pStyle w:val="BodyText2"/>
        <w:rPr>
          <w:lang w:eastAsia="en-GB"/>
        </w:rPr>
      </w:pPr>
    </w:p>
    <w:p w14:paraId="514BEBBB" w14:textId="77777777" w:rsidR="00992FF3" w:rsidRDefault="00992FF3" w:rsidP="00992FF3">
      <w:pPr>
        <w:pStyle w:val="Heading3"/>
        <w:spacing w:line="276" w:lineRule="auto"/>
        <w:rPr>
          <w:lang w:eastAsia="en-GB"/>
        </w:rPr>
      </w:pPr>
      <w:r>
        <w:rPr>
          <w:lang w:eastAsia="en-GB"/>
        </w:rPr>
        <w:t>Centralised procurement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01"/>
        <w:gridCol w:w="1500"/>
        <w:gridCol w:w="1501"/>
        <w:gridCol w:w="1503"/>
        <w:gridCol w:w="1486"/>
      </w:tblGrid>
      <w:tr w:rsidR="00992FF3" w:rsidRPr="00F967B4" w14:paraId="4411F73E" w14:textId="77777777" w:rsidTr="00244CF2">
        <w:tc>
          <w:tcPr>
            <w:tcW w:w="90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5879" w14:textId="6E06537B" w:rsidR="00992FF3" w:rsidRPr="00992FF3" w:rsidRDefault="00992FF3" w:rsidP="00992FF3">
            <w:pPr>
              <w:pStyle w:val="BodyText2NoSpacing"/>
              <w:rPr>
                <w:b/>
                <w:bCs/>
              </w:rPr>
            </w:pPr>
            <w:r w:rsidRPr="00992FF3">
              <w:rPr>
                <w:b/>
                <w:bCs/>
              </w:rPr>
              <w:t>To what extent would you support making no further adjustments to the tariff to reflect the arrangements for the central funding of overhead costs of Supply Chain Coordination Limited (SCCL)?</w:t>
            </w:r>
          </w:p>
        </w:tc>
      </w:tr>
      <w:tr w:rsidR="00992FF3" w:rsidRPr="00F967B4" w14:paraId="01B25A8A" w14:textId="77777777" w:rsidTr="00244CF2"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E4D6" w14:textId="77777777" w:rsidR="00992FF3" w:rsidRPr="00F85926" w:rsidRDefault="00992FF3" w:rsidP="00244CF2">
            <w:pPr>
              <w:spacing w:line="276" w:lineRule="auto"/>
            </w:pPr>
            <w:r w:rsidRPr="00F85926">
              <w:t>Strongly support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59B04" w14:textId="77777777" w:rsidR="00992FF3" w:rsidRPr="00F85926" w:rsidRDefault="00992FF3" w:rsidP="00244CF2">
            <w:pPr>
              <w:spacing w:line="276" w:lineRule="auto"/>
            </w:pPr>
            <w:r w:rsidRPr="00F85926">
              <w:t>Support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8C7EA" w14:textId="77777777" w:rsidR="00992FF3" w:rsidRPr="00F85926" w:rsidRDefault="00992FF3" w:rsidP="00244CF2">
            <w:pPr>
              <w:spacing w:line="276" w:lineRule="auto"/>
            </w:pPr>
            <w:r w:rsidRPr="00F85926">
              <w:t>Neither support nor oppose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A2D9B" w14:textId="77777777" w:rsidR="00992FF3" w:rsidRPr="00F85926" w:rsidRDefault="00992FF3" w:rsidP="00244CF2">
            <w:pPr>
              <w:spacing w:line="276" w:lineRule="auto"/>
            </w:pPr>
            <w:r w:rsidRPr="00F85926">
              <w:t>Oppose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465BC" w14:textId="77777777" w:rsidR="00992FF3" w:rsidRPr="00F85926" w:rsidRDefault="00992FF3" w:rsidP="00244CF2">
            <w:pPr>
              <w:spacing w:line="276" w:lineRule="auto"/>
            </w:pPr>
            <w:r w:rsidRPr="00F85926">
              <w:t>Strongly oppose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F8947" w14:textId="77777777" w:rsidR="00992FF3" w:rsidRDefault="00992FF3" w:rsidP="00244CF2">
            <w:pPr>
              <w:spacing w:line="276" w:lineRule="auto"/>
            </w:pPr>
            <w:r w:rsidRPr="00F85926">
              <w:t>Don’t know</w:t>
            </w:r>
          </w:p>
        </w:tc>
      </w:tr>
      <w:tr w:rsidR="00992FF3" w:rsidRPr="00F967B4" w14:paraId="109E2AF0" w14:textId="77777777" w:rsidTr="00244CF2">
        <w:tc>
          <w:tcPr>
            <w:tcW w:w="90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096B" w14:textId="77777777" w:rsidR="00992FF3" w:rsidRPr="004837DC" w:rsidRDefault="00992FF3" w:rsidP="00244CF2">
            <w:pPr>
              <w:pStyle w:val="BodyText"/>
              <w:numPr>
                <w:ilvl w:val="0"/>
                <w:numId w:val="0"/>
              </w:numPr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992FF3" w:rsidRPr="00F967B4" w14:paraId="5D635A5E" w14:textId="77777777" w:rsidTr="00244CF2">
        <w:tc>
          <w:tcPr>
            <w:tcW w:w="90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F43C" w14:textId="77777777" w:rsidR="00992FF3" w:rsidRPr="007F602C" w:rsidRDefault="00992FF3" w:rsidP="00244CF2">
            <w:pPr>
              <w:pStyle w:val="BodyText"/>
              <w:numPr>
                <w:ilvl w:val="0"/>
                <w:numId w:val="0"/>
              </w:numPr>
              <w:spacing w:line="276" w:lineRule="auto"/>
              <w:rPr>
                <w:lang w:eastAsia="en-GB"/>
              </w:rPr>
            </w:pPr>
          </w:p>
        </w:tc>
      </w:tr>
    </w:tbl>
    <w:p w14:paraId="478EA74F" w14:textId="77777777" w:rsidR="00992FF3" w:rsidRDefault="00992FF3" w:rsidP="00992FF3">
      <w:pPr>
        <w:pStyle w:val="BodyText2"/>
        <w:rPr>
          <w:lang w:eastAsia="en-GB"/>
        </w:rPr>
      </w:pPr>
    </w:p>
    <w:p w14:paraId="346E1A3E" w14:textId="77777777" w:rsidR="00992FF3" w:rsidRPr="00D13F77" w:rsidRDefault="00992FF3" w:rsidP="00992FF3">
      <w:pPr>
        <w:pStyle w:val="Heading3"/>
        <w:spacing w:line="276" w:lineRule="auto"/>
        <w:rPr>
          <w:rFonts w:eastAsia="Times New Roman"/>
          <w:lang w:eastAsia="en-GB"/>
        </w:rPr>
      </w:pPr>
      <w:bookmarkStart w:id="7" w:name="_Hlk15983231"/>
      <w:r>
        <w:rPr>
          <w:rFonts w:eastAsia="Times New Roman"/>
          <w:lang w:eastAsia="en-GB"/>
        </w:rPr>
        <w:t>Specialist t</w:t>
      </w:r>
      <w:r w:rsidRPr="00D13F77">
        <w:rPr>
          <w:rFonts w:eastAsia="Times New Roman"/>
          <w:lang w:eastAsia="en-GB"/>
        </w:rPr>
        <w:t>op-ups</w:t>
      </w:r>
      <w:r>
        <w:rPr>
          <w:rFonts w:eastAsia="Times New Roman"/>
          <w:lang w:eastAsia="en-GB"/>
        </w:rPr>
        <w:t xml:space="preserve"> and complexity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992FF3" w14:paraId="12B27B86" w14:textId="77777777" w:rsidTr="008D4C12">
        <w:tc>
          <w:tcPr>
            <w:tcW w:w="9016" w:type="dxa"/>
            <w:gridSpan w:val="6"/>
          </w:tcPr>
          <w:p w14:paraId="7EF18619" w14:textId="77777777" w:rsidR="00992FF3" w:rsidRPr="005D12FC" w:rsidRDefault="00992FF3" w:rsidP="008D4C12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5D12FC">
              <w:rPr>
                <w:b/>
                <w:lang w:eastAsia="en-GB"/>
              </w:rPr>
              <w:t>To what extent would you support continuing to pause the specialist top-ups transition path for 2021/22?</w:t>
            </w:r>
          </w:p>
        </w:tc>
      </w:tr>
      <w:tr w:rsidR="00992FF3" w14:paraId="551096B8" w14:textId="77777777" w:rsidTr="008D4C12">
        <w:tc>
          <w:tcPr>
            <w:tcW w:w="1509" w:type="dxa"/>
          </w:tcPr>
          <w:p w14:paraId="643982B1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0D57B74A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791F5670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42440E9C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47F13D54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0CCAA45F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92FF3" w14:paraId="6CC4602F" w14:textId="77777777" w:rsidTr="008D4C12">
        <w:tc>
          <w:tcPr>
            <w:tcW w:w="9016" w:type="dxa"/>
            <w:gridSpan w:val="6"/>
          </w:tcPr>
          <w:p w14:paraId="7872F23F" w14:textId="77777777" w:rsidR="00992FF3" w:rsidRPr="004837DC" w:rsidRDefault="00992FF3" w:rsidP="008D4C12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992FF3" w14:paraId="67200D71" w14:textId="77777777" w:rsidTr="008D4C12">
        <w:tc>
          <w:tcPr>
            <w:tcW w:w="9016" w:type="dxa"/>
            <w:gridSpan w:val="6"/>
          </w:tcPr>
          <w:p w14:paraId="44AACA4F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992FF3" w14:paraId="47C21A82" w14:textId="77777777" w:rsidTr="008D4C12">
        <w:tc>
          <w:tcPr>
            <w:tcW w:w="9016" w:type="dxa"/>
            <w:gridSpan w:val="6"/>
          </w:tcPr>
          <w:p w14:paraId="37F4DCA9" w14:textId="1B13A79D" w:rsidR="00992FF3" w:rsidRPr="00992FF3" w:rsidRDefault="00992FF3" w:rsidP="00992FF3">
            <w:pPr>
              <w:pStyle w:val="BodyText2NoSpacing"/>
              <w:rPr>
                <w:b/>
                <w:bCs/>
              </w:rPr>
            </w:pPr>
            <w:r w:rsidRPr="00992FF3">
              <w:rPr>
                <w:b/>
                <w:bCs/>
              </w:rPr>
              <w:t>Do you have any comments on the potential approach to specialist services top-ups for 2021/22?</w:t>
            </w:r>
          </w:p>
        </w:tc>
      </w:tr>
      <w:tr w:rsidR="00992FF3" w14:paraId="3533ED5F" w14:textId="77777777" w:rsidTr="008D4C12">
        <w:tc>
          <w:tcPr>
            <w:tcW w:w="9016" w:type="dxa"/>
            <w:gridSpan w:val="6"/>
          </w:tcPr>
          <w:p w14:paraId="4C4CB120" w14:textId="77777777" w:rsidR="00992FF3" w:rsidRDefault="00992FF3" w:rsidP="008D4C12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6D5139C3" w14:textId="77777777" w:rsidR="0067774A" w:rsidRDefault="0067774A" w:rsidP="0067774A">
      <w:pPr>
        <w:pStyle w:val="Heading3"/>
        <w:rPr>
          <w:lang w:eastAsia="en-GB"/>
        </w:rPr>
      </w:pPr>
      <w:bookmarkStart w:id="8" w:name="_Toc18490765"/>
      <w:bookmarkEnd w:id="7"/>
      <w:r>
        <w:rPr>
          <w:lang w:eastAsia="en-GB"/>
        </w:rPr>
        <w:t>High cost exclusions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67774A" w14:paraId="0F4BBE0B" w14:textId="77777777" w:rsidTr="001B02FF">
        <w:tc>
          <w:tcPr>
            <w:tcW w:w="9016" w:type="dxa"/>
            <w:gridSpan w:val="6"/>
          </w:tcPr>
          <w:p w14:paraId="6021E499" w14:textId="1DAC183E" w:rsidR="0067774A" w:rsidRPr="004837DC" w:rsidRDefault="0067774A" w:rsidP="001B02FF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4837DC">
              <w:rPr>
                <w:b/>
                <w:lang w:eastAsia="en-GB"/>
              </w:rPr>
              <w:t xml:space="preserve">To what extent would you support </w:t>
            </w:r>
            <w:r>
              <w:rPr>
                <w:b/>
                <w:lang w:eastAsia="en-GB"/>
              </w:rPr>
              <w:t xml:space="preserve">making no substantial </w:t>
            </w:r>
            <w:r w:rsidRPr="004837DC">
              <w:rPr>
                <w:b/>
                <w:lang w:eastAsia="en-GB"/>
              </w:rPr>
              <w:t xml:space="preserve">changes to the high cost drugs </w:t>
            </w:r>
            <w:r>
              <w:rPr>
                <w:b/>
                <w:lang w:eastAsia="en-GB"/>
              </w:rPr>
              <w:t xml:space="preserve">and devices </w:t>
            </w:r>
            <w:r w:rsidRPr="004837DC">
              <w:rPr>
                <w:b/>
                <w:lang w:eastAsia="en-GB"/>
              </w:rPr>
              <w:t>list</w:t>
            </w:r>
            <w:r>
              <w:rPr>
                <w:b/>
                <w:lang w:eastAsia="en-GB"/>
              </w:rPr>
              <w:t>s for 2021/22?</w:t>
            </w:r>
          </w:p>
        </w:tc>
      </w:tr>
      <w:tr w:rsidR="0067774A" w14:paraId="686453BD" w14:textId="77777777" w:rsidTr="001B02FF">
        <w:tc>
          <w:tcPr>
            <w:tcW w:w="1509" w:type="dxa"/>
          </w:tcPr>
          <w:p w14:paraId="67C65428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3E976A28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51D06263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425B5259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4472E6C4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070BBD28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67774A" w14:paraId="0BA05C0E" w14:textId="77777777" w:rsidTr="001B02FF">
        <w:tc>
          <w:tcPr>
            <w:tcW w:w="9016" w:type="dxa"/>
            <w:gridSpan w:val="6"/>
          </w:tcPr>
          <w:p w14:paraId="6BED59F1" w14:textId="77777777" w:rsidR="0067774A" w:rsidRPr="004837DC" w:rsidRDefault="0067774A" w:rsidP="001B02FF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reasons for your answer</w:t>
            </w:r>
          </w:p>
        </w:tc>
      </w:tr>
      <w:tr w:rsidR="0067774A" w14:paraId="492ECE8A" w14:textId="77777777" w:rsidTr="001B02FF">
        <w:tc>
          <w:tcPr>
            <w:tcW w:w="9016" w:type="dxa"/>
            <w:gridSpan w:val="6"/>
          </w:tcPr>
          <w:p w14:paraId="21F82EF9" w14:textId="77777777" w:rsidR="0067774A" w:rsidRDefault="0067774A" w:rsidP="001B02FF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34025041" w14:textId="77777777" w:rsidR="0067774A" w:rsidRDefault="0067774A" w:rsidP="0067774A">
      <w:pPr>
        <w:pStyle w:val="BodyText2"/>
        <w:rPr>
          <w:lang w:eastAsia="en-GB"/>
        </w:rPr>
      </w:pPr>
    </w:p>
    <w:p w14:paraId="41666211" w14:textId="77777777" w:rsidR="00D743BD" w:rsidRPr="00D13F77" w:rsidRDefault="00D743BD" w:rsidP="00D743BD">
      <w:pPr>
        <w:pStyle w:val="Heading3"/>
        <w:spacing w:line="276" w:lineRule="auto"/>
        <w:rPr>
          <w:rFonts w:eastAsia="Times New Roman"/>
          <w:lang w:eastAsia="en-GB"/>
        </w:rPr>
      </w:pPr>
      <w:r>
        <w:rPr>
          <w:lang w:eastAsia="en-GB"/>
        </w:rPr>
        <w:t>Market forces factor (MFF)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1505"/>
        <w:gridCol w:w="1502"/>
        <w:gridCol w:w="1505"/>
        <w:gridCol w:w="1509"/>
        <w:gridCol w:w="1486"/>
      </w:tblGrid>
      <w:tr w:rsidR="00D743BD" w14:paraId="446163D4" w14:textId="77777777" w:rsidTr="00AA03DE">
        <w:tc>
          <w:tcPr>
            <w:tcW w:w="9016" w:type="dxa"/>
            <w:gridSpan w:val="6"/>
          </w:tcPr>
          <w:p w14:paraId="0FCCF1B5" w14:textId="45B7207C" w:rsidR="00D743BD" w:rsidRPr="0067774A" w:rsidRDefault="00D743BD" w:rsidP="0067774A">
            <w:pPr>
              <w:pStyle w:val="BodyText2NoSpacing"/>
              <w:rPr>
                <w:b/>
                <w:bCs/>
              </w:rPr>
            </w:pPr>
            <w:bookmarkStart w:id="9" w:name="_Hlk15976500"/>
            <w:bookmarkStart w:id="10" w:name="_Hlk15978859"/>
            <w:r w:rsidRPr="0067774A">
              <w:rPr>
                <w:rStyle w:val="the-question"/>
                <w:b/>
                <w:bCs/>
              </w:rPr>
              <w:t>To what extent would you support moving to the next (third) step in the MFF glidepath</w:t>
            </w:r>
            <w:r w:rsidR="0067774A" w:rsidRPr="0067774A">
              <w:rPr>
                <w:b/>
                <w:bCs/>
              </w:rPr>
              <w:t> introduced following the 2019/20 data and method update</w:t>
            </w:r>
            <w:r w:rsidR="0067774A">
              <w:rPr>
                <w:b/>
                <w:bCs/>
              </w:rPr>
              <w:t>?</w:t>
            </w:r>
          </w:p>
        </w:tc>
      </w:tr>
      <w:tr w:rsidR="00D743BD" w14:paraId="46B47807" w14:textId="77777777" w:rsidTr="00AA03DE">
        <w:tc>
          <w:tcPr>
            <w:tcW w:w="1509" w:type="dxa"/>
          </w:tcPr>
          <w:p w14:paraId="673F82E5" w14:textId="77777777" w:rsidR="00D743BD" w:rsidRDefault="00D743BD" w:rsidP="00AA03DE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support</w:t>
            </w:r>
          </w:p>
        </w:tc>
        <w:tc>
          <w:tcPr>
            <w:tcW w:w="1505" w:type="dxa"/>
          </w:tcPr>
          <w:p w14:paraId="0A8D84F4" w14:textId="77777777" w:rsidR="00D743BD" w:rsidRDefault="00D743BD" w:rsidP="00AA03DE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</w:t>
            </w:r>
          </w:p>
        </w:tc>
        <w:tc>
          <w:tcPr>
            <w:tcW w:w="1502" w:type="dxa"/>
          </w:tcPr>
          <w:p w14:paraId="0C93FD95" w14:textId="3FE6482F" w:rsidR="00D743BD" w:rsidRDefault="00D743BD" w:rsidP="00D743B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Neither support nor oppose</w:t>
            </w:r>
          </w:p>
        </w:tc>
        <w:tc>
          <w:tcPr>
            <w:tcW w:w="1505" w:type="dxa"/>
          </w:tcPr>
          <w:p w14:paraId="2473EB36" w14:textId="77777777" w:rsidR="00D743BD" w:rsidRDefault="00D743BD" w:rsidP="00AA03DE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Oppose</w:t>
            </w:r>
          </w:p>
        </w:tc>
        <w:tc>
          <w:tcPr>
            <w:tcW w:w="1509" w:type="dxa"/>
          </w:tcPr>
          <w:p w14:paraId="0E13454C" w14:textId="77777777" w:rsidR="00D743BD" w:rsidRDefault="00D743BD" w:rsidP="00AA03DE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Strongly oppose</w:t>
            </w:r>
          </w:p>
        </w:tc>
        <w:tc>
          <w:tcPr>
            <w:tcW w:w="1486" w:type="dxa"/>
          </w:tcPr>
          <w:p w14:paraId="14561D73" w14:textId="77777777" w:rsidR="00D743BD" w:rsidRDefault="00D743BD" w:rsidP="00AA03DE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bookmarkEnd w:id="9"/>
      <w:tr w:rsidR="00D743BD" w14:paraId="48FAB73D" w14:textId="77777777" w:rsidTr="00AA03DE">
        <w:tc>
          <w:tcPr>
            <w:tcW w:w="9016" w:type="dxa"/>
            <w:gridSpan w:val="6"/>
          </w:tcPr>
          <w:p w14:paraId="146D87AD" w14:textId="7455D800" w:rsidR="00D743BD" w:rsidRPr="004837DC" w:rsidRDefault="00A0172D" w:rsidP="00AA03DE">
            <w:pPr>
              <w:pStyle w:val="BodyText2"/>
              <w:spacing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explain the reason for your answer</w:t>
            </w:r>
          </w:p>
        </w:tc>
      </w:tr>
      <w:tr w:rsidR="00D743BD" w14:paraId="3EBA3C76" w14:textId="77777777" w:rsidTr="00AA03DE">
        <w:tc>
          <w:tcPr>
            <w:tcW w:w="9016" w:type="dxa"/>
            <w:gridSpan w:val="6"/>
          </w:tcPr>
          <w:p w14:paraId="22CA1CA9" w14:textId="77777777" w:rsidR="00D743BD" w:rsidRDefault="00D743BD" w:rsidP="00AA03DE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6E8CB530" w14:textId="77777777" w:rsidR="0067774A" w:rsidRDefault="0067774A" w:rsidP="0067774A">
      <w:pPr>
        <w:pStyle w:val="BodyText2NoSpacing"/>
      </w:pPr>
      <w:bookmarkStart w:id="11" w:name="_Toc18490767"/>
      <w:bookmarkStart w:id="12" w:name="_Hlk50555912"/>
      <w:bookmarkEnd w:id="10"/>
    </w:p>
    <w:p w14:paraId="308A2EDF" w14:textId="3FF25B3A" w:rsidR="003121C6" w:rsidRDefault="008E212E" w:rsidP="00386010">
      <w:pPr>
        <w:pStyle w:val="Heading2"/>
        <w:spacing w:line="276" w:lineRule="auto"/>
      </w:pPr>
      <w:r>
        <w:t>Future</w:t>
      </w:r>
      <w:r w:rsidR="0067774A">
        <w:t xml:space="preserve"> payment system</w:t>
      </w:r>
      <w:r>
        <w:t xml:space="preserve"> development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212E" w14:paraId="4AA53915" w14:textId="77777777" w:rsidTr="005D12FC">
        <w:tc>
          <w:tcPr>
            <w:tcW w:w="9016" w:type="dxa"/>
          </w:tcPr>
          <w:p w14:paraId="4034F4EF" w14:textId="054CFD73" w:rsidR="008E212E" w:rsidRPr="003942FB" w:rsidRDefault="008E212E" w:rsidP="00386010">
            <w:pPr>
              <w:pStyle w:val="BodyText2"/>
              <w:spacing w:line="276" w:lineRule="auto"/>
              <w:rPr>
                <w:b/>
                <w:lang w:eastAsia="en-GB"/>
              </w:rPr>
            </w:pPr>
            <w:r w:rsidRPr="003942FB">
              <w:rPr>
                <w:b/>
                <w:lang w:eastAsia="en-GB"/>
              </w:rPr>
              <w:t xml:space="preserve">What would be your highest priority for any </w:t>
            </w:r>
            <w:r w:rsidR="00A17FB4" w:rsidRPr="003942FB">
              <w:rPr>
                <w:b/>
                <w:lang w:eastAsia="en-GB"/>
              </w:rPr>
              <w:t xml:space="preserve">future </w:t>
            </w:r>
            <w:r w:rsidRPr="003942FB">
              <w:rPr>
                <w:b/>
                <w:lang w:eastAsia="en-GB"/>
              </w:rPr>
              <w:t xml:space="preserve">payment </w:t>
            </w:r>
            <w:r w:rsidR="0067774A">
              <w:rPr>
                <w:b/>
                <w:lang w:eastAsia="en-GB"/>
              </w:rPr>
              <w:t>system</w:t>
            </w:r>
            <w:r w:rsidRPr="003942FB">
              <w:rPr>
                <w:b/>
                <w:lang w:eastAsia="en-GB"/>
              </w:rPr>
              <w:t>?</w:t>
            </w:r>
          </w:p>
        </w:tc>
      </w:tr>
      <w:tr w:rsidR="008E212E" w14:paraId="09205A87" w14:textId="77777777" w:rsidTr="005D12FC">
        <w:tc>
          <w:tcPr>
            <w:tcW w:w="9016" w:type="dxa"/>
          </w:tcPr>
          <w:p w14:paraId="60128646" w14:textId="381F1D25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Whole system approach to payments, contracting and incentives</w:t>
            </w:r>
          </w:p>
          <w:p w14:paraId="41B613A8" w14:textId="1CADD51B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Improving payment building blocks such as costing and currency data</w:t>
            </w:r>
          </w:p>
          <w:p w14:paraId="011CE0E9" w14:textId="53D53D48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Enhancing data infrastructure and making better use of existing data.</w:t>
            </w:r>
          </w:p>
          <w:p w14:paraId="4BED0C0E" w14:textId="369CD025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The role of clinicians in payment decisions.</w:t>
            </w:r>
          </w:p>
          <w:p w14:paraId="5FF464E1" w14:textId="38E9DEE1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Exploring other approaches to calculating a fixed payment.</w:t>
            </w:r>
          </w:p>
          <w:p w14:paraId="3DCEF157" w14:textId="7F18237E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Aligning incentives for primary care and social care with those of the wider system.</w:t>
            </w:r>
          </w:p>
          <w:p w14:paraId="470D7C22" w14:textId="5C169D18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Aligning quality incentives with system working and </w:t>
            </w:r>
            <w:proofErr w:type="gramStart"/>
            <w:r>
              <w:rPr>
                <w:lang w:eastAsia="en-GB"/>
              </w:rPr>
              <w:t>Long Term</w:t>
            </w:r>
            <w:proofErr w:type="gramEnd"/>
            <w:r>
              <w:rPr>
                <w:lang w:eastAsia="en-GB"/>
              </w:rPr>
              <w:t xml:space="preserve"> Plan objectives.</w:t>
            </w:r>
          </w:p>
          <w:p w14:paraId="6B6002E9" w14:textId="6A959987" w:rsidR="0067774A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Supporting innovative contractual models.</w:t>
            </w:r>
          </w:p>
          <w:p w14:paraId="7051B1D6" w14:textId="082FBAE5" w:rsidR="00CC1661" w:rsidRDefault="0067774A" w:rsidP="0067774A">
            <w:pPr>
              <w:pStyle w:val="BodyText2"/>
              <w:numPr>
                <w:ilvl w:val="0"/>
                <w:numId w:val="20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Other</w:t>
            </w:r>
          </w:p>
        </w:tc>
      </w:tr>
      <w:tr w:rsidR="0067774A" w14:paraId="6133B590" w14:textId="77777777" w:rsidTr="005D12FC">
        <w:tc>
          <w:tcPr>
            <w:tcW w:w="9016" w:type="dxa"/>
          </w:tcPr>
          <w:p w14:paraId="29D1659B" w14:textId="3A76E6F8" w:rsidR="0067774A" w:rsidRDefault="0067774A" w:rsidP="006777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If 'other', please specify:</w:t>
            </w:r>
          </w:p>
        </w:tc>
      </w:tr>
      <w:tr w:rsidR="0067774A" w14:paraId="79499384" w14:textId="77777777" w:rsidTr="005D12FC">
        <w:tc>
          <w:tcPr>
            <w:tcW w:w="9016" w:type="dxa"/>
          </w:tcPr>
          <w:p w14:paraId="6DF208D4" w14:textId="519E3277" w:rsidR="0067774A" w:rsidRDefault="0067774A" w:rsidP="0067774A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</w:t>
            </w:r>
          </w:p>
        </w:tc>
      </w:tr>
      <w:tr w:rsidR="0067774A" w14:paraId="45C53B0B" w14:textId="77777777" w:rsidTr="005D12FC">
        <w:tc>
          <w:tcPr>
            <w:tcW w:w="9016" w:type="dxa"/>
          </w:tcPr>
          <w:p w14:paraId="65BAAE7F" w14:textId="77777777" w:rsidR="0067774A" w:rsidRDefault="0067774A" w:rsidP="0067774A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4644AA" w14:paraId="0CAB5B56" w14:textId="77777777" w:rsidTr="005D12FC">
        <w:tc>
          <w:tcPr>
            <w:tcW w:w="9016" w:type="dxa"/>
          </w:tcPr>
          <w:p w14:paraId="393DA338" w14:textId="77777777" w:rsidR="004644AA" w:rsidRPr="003942FB" w:rsidRDefault="004644AA" w:rsidP="00386010">
            <w:pPr>
              <w:pStyle w:val="BodyText2"/>
              <w:spacing w:line="276" w:lineRule="auto"/>
              <w:rPr>
                <w:b/>
                <w:lang w:eastAsia="en-GB"/>
              </w:rPr>
            </w:pPr>
            <w:bookmarkStart w:id="13" w:name="_Hlk18394846"/>
            <w:r w:rsidRPr="003942FB">
              <w:rPr>
                <w:b/>
                <w:lang w:eastAsia="en-GB"/>
              </w:rPr>
              <w:t>What forward guidance and information on national payment policy would you find helpful to support local planning and</w:t>
            </w:r>
            <w:r w:rsidRPr="003942FB">
              <w:rPr>
                <w:b/>
              </w:rPr>
              <w:t xml:space="preserve"> </w:t>
            </w:r>
            <w:r w:rsidRPr="003942FB">
              <w:rPr>
                <w:b/>
                <w:lang w:eastAsia="en-GB"/>
              </w:rPr>
              <w:t>to successfully implement any new payment approach?</w:t>
            </w:r>
          </w:p>
        </w:tc>
      </w:tr>
      <w:bookmarkEnd w:id="13"/>
      <w:tr w:rsidR="008E212E" w14:paraId="60F82790" w14:textId="77777777" w:rsidTr="005D12FC">
        <w:tc>
          <w:tcPr>
            <w:tcW w:w="9016" w:type="dxa"/>
          </w:tcPr>
          <w:p w14:paraId="1A238D80" w14:textId="77777777" w:rsidR="00CC1661" w:rsidRDefault="00CC1661" w:rsidP="00386010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bookmarkEnd w:id="12"/>
    </w:tbl>
    <w:p w14:paraId="3B78E49C" w14:textId="2A5EED43" w:rsidR="008E212E" w:rsidRDefault="008E212E" w:rsidP="008E212E">
      <w:pPr>
        <w:pStyle w:val="BodyText2"/>
      </w:pPr>
    </w:p>
    <w:p w14:paraId="597F6CD5" w14:textId="307680D7" w:rsidR="00992FF3" w:rsidRPr="00D13F77" w:rsidRDefault="0067774A" w:rsidP="0067774A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Impact on e</w:t>
      </w:r>
      <w:r w:rsidR="00992FF3">
        <w:rPr>
          <w:rFonts w:eastAsia="Times New Roman"/>
          <w:lang w:eastAsia="en-GB"/>
        </w:rPr>
        <w:t>quality and health inequalities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8"/>
        <w:gridCol w:w="1511"/>
        <w:gridCol w:w="1509"/>
        <w:gridCol w:w="1483"/>
      </w:tblGrid>
      <w:tr w:rsidR="00992FF3" w14:paraId="0AF717AD" w14:textId="77777777" w:rsidTr="006851CD">
        <w:tc>
          <w:tcPr>
            <w:tcW w:w="9242" w:type="dxa"/>
            <w:gridSpan w:val="6"/>
          </w:tcPr>
          <w:p w14:paraId="087EFE86" w14:textId="3CD472EC" w:rsidR="00992FF3" w:rsidRPr="0067774A" w:rsidRDefault="0067774A" w:rsidP="0067774A">
            <w:pPr>
              <w:pStyle w:val="BodyText2NoSpacing"/>
              <w:rPr>
                <w:b/>
                <w:bCs/>
              </w:rPr>
            </w:pPr>
            <w:r w:rsidRPr="0067774A">
              <w:rPr>
                <w:b/>
                <w:bCs/>
              </w:rPr>
              <w:t>If they were implemented, what impact do you feel the policies outlined are likely to have on equality and addressing health inequalities?</w:t>
            </w:r>
          </w:p>
        </w:tc>
      </w:tr>
      <w:tr w:rsidR="00992FF3" w14:paraId="365977EC" w14:textId="77777777" w:rsidTr="006851CD">
        <w:tc>
          <w:tcPr>
            <w:tcW w:w="1540" w:type="dxa"/>
          </w:tcPr>
          <w:p w14:paraId="4453F5C7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 positive impact</w:t>
            </w:r>
          </w:p>
        </w:tc>
        <w:tc>
          <w:tcPr>
            <w:tcW w:w="1540" w:type="dxa"/>
          </w:tcPr>
          <w:p w14:paraId="6408BA64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Positive impact</w:t>
            </w:r>
          </w:p>
        </w:tc>
        <w:tc>
          <w:tcPr>
            <w:tcW w:w="1540" w:type="dxa"/>
          </w:tcPr>
          <w:p w14:paraId="3DE38C22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Neither positive </w:t>
            </w:r>
            <w:proofErr w:type="gramStart"/>
            <w:r>
              <w:rPr>
                <w:lang w:eastAsia="en-GB"/>
              </w:rPr>
              <w:t>or</w:t>
            </w:r>
            <w:proofErr w:type="gramEnd"/>
            <w:r>
              <w:rPr>
                <w:lang w:eastAsia="en-GB"/>
              </w:rPr>
              <w:t xml:space="preserve"> negative impact</w:t>
            </w:r>
          </w:p>
        </w:tc>
        <w:tc>
          <w:tcPr>
            <w:tcW w:w="1540" w:type="dxa"/>
          </w:tcPr>
          <w:p w14:paraId="5D83CD37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Negative impact</w:t>
            </w:r>
          </w:p>
        </w:tc>
        <w:tc>
          <w:tcPr>
            <w:tcW w:w="1541" w:type="dxa"/>
          </w:tcPr>
          <w:p w14:paraId="2464A128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Strong negative impact</w:t>
            </w:r>
          </w:p>
        </w:tc>
        <w:tc>
          <w:tcPr>
            <w:tcW w:w="1541" w:type="dxa"/>
          </w:tcPr>
          <w:p w14:paraId="43873DC5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Don’t know</w:t>
            </w:r>
          </w:p>
        </w:tc>
      </w:tr>
      <w:tr w:rsidR="00992FF3" w14:paraId="24EA6E96" w14:textId="77777777" w:rsidTr="006851CD">
        <w:tc>
          <w:tcPr>
            <w:tcW w:w="9242" w:type="dxa"/>
            <w:gridSpan w:val="6"/>
          </w:tcPr>
          <w:p w14:paraId="215A6BE8" w14:textId="5D9817A8" w:rsidR="00992FF3" w:rsidRPr="0067774A" w:rsidRDefault="0067774A" w:rsidP="0067774A">
            <w:pPr>
              <w:pStyle w:val="BodyText2NoSpacing"/>
              <w:rPr>
                <w:b/>
                <w:bCs/>
              </w:rPr>
            </w:pPr>
            <w:r w:rsidRPr="0067774A">
              <w:rPr>
                <w:b/>
                <w:bCs/>
              </w:rPr>
              <w:t>Do you have concerns that there are distinct groups with protected characteristics that our policies may impact negatively?</w:t>
            </w:r>
          </w:p>
        </w:tc>
      </w:tr>
      <w:tr w:rsidR="00992FF3" w14:paraId="54156E6D" w14:textId="77777777" w:rsidTr="006851CD">
        <w:tc>
          <w:tcPr>
            <w:tcW w:w="9242" w:type="dxa"/>
            <w:gridSpan w:val="6"/>
          </w:tcPr>
          <w:p w14:paraId="50A13906" w14:textId="77777777" w:rsidR="00992FF3" w:rsidRDefault="00992FF3" w:rsidP="006851CD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  <w:tr w:rsidR="0067774A" w14:paraId="20019AF3" w14:textId="77777777" w:rsidTr="006851CD">
        <w:tc>
          <w:tcPr>
            <w:tcW w:w="9242" w:type="dxa"/>
            <w:gridSpan w:val="6"/>
          </w:tcPr>
          <w:p w14:paraId="5C400B62" w14:textId="15D4F929" w:rsidR="0067774A" w:rsidRDefault="0067774A" w:rsidP="006851CD">
            <w:pPr>
              <w:pStyle w:val="BodyText2"/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Please explain the reasons for your answers</w:t>
            </w:r>
          </w:p>
        </w:tc>
      </w:tr>
      <w:tr w:rsidR="0067774A" w14:paraId="465BF7A2" w14:textId="77777777" w:rsidTr="006851CD">
        <w:tc>
          <w:tcPr>
            <w:tcW w:w="9242" w:type="dxa"/>
            <w:gridSpan w:val="6"/>
          </w:tcPr>
          <w:p w14:paraId="6304B336" w14:textId="77777777" w:rsidR="0067774A" w:rsidRDefault="0067774A" w:rsidP="006851CD">
            <w:pPr>
              <w:pStyle w:val="BodyText2"/>
              <w:spacing w:line="276" w:lineRule="auto"/>
              <w:rPr>
                <w:lang w:eastAsia="en-GB"/>
              </w:rPr>
            </w:pPr>
          </w:p>
        </w:tc>
      </w:tr>
    </w:tbl>
    <w:p w14:paraId="553A1DDE" w14:textId="77777777" w:rsidR="00992FF3" w:rsidRPr="005D12FC" w:rsidRDefault="00992FF3" w:rsidP="00992FF3">
      <w:pPr>
        <w:pStyle w:val="BodyText2"/>
        <w:rPr>
          <w:lang w:eastAsia="en-GB"/>
        </w:rPr>
      </w:pPr>
    </w:p>
    <w:p w14:paraId="1A28C268" w14:textId="68FCA9B2" w:rsidR="003058B5" w:rsidRDefault="003058B5" w:rsidP="0067774A">
      <w:pPr>
        <w:pStyle w:val="Heading2"/>
      </w:pPr>
      <w:r>
        <w:t>Mental health currency developments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58B5" w14:paraId="256D7222" w14:textId="77777777" w:rsidTr="002F5D60">
        <w:tc>
          <w:tcPr>
            <w:tcW w:w="9016" w:type="dxa"/>
          </w:tcPr>
          <w:p w14:paraId="4D328036" w14:textId="1BF1E2DE" w:rsidR="003058B5" w:rsidRPr="0067774A" w:rsidRDefault="003058B5" w:rsidP="002F5D60">
            <w:pPr>
              <w:pStyle w:val="BodyText2NoSpacing"/>
              <w:rPr>
                <w:b/>
                <w:bCs/>
              </w:rPr>
            </w:pPr>
            <w:r>
              <w:rPr>
                <w:b/>
                <w:bCs/>
              </w:rPr>
              <w:t>Having read the document on the Mental Health currency review that accompanied Developing the payment system for 2021/22, are you able to give us your views on the questions raised:</w:t>
            </w:r>
          </w:p>
        </w:tc>
      </w:tr>
      <w:tr w:rsidR="003058B5" w14:paraId="554ABBC1" w14:textId="77777777" w:rsidTr="002F5D60">
        <w:tc>
          <w:tcPr>
            <w:tcW w:w="9016" w:type="dxa"/>
          </w:tcPr>
          <w:p w14:paraId="72C04602" w14:textId="17D4FE12" w:rsidR="003058B5" w:rsidRPr="0067774A" w:rsidRDefault="003058B5" w:rsidP="003058B5">
            <w:pPr>
              <w:pStyle w:val="BodyText2"/>
            </w:pPr>
            <w:r w:rsidRPr="00B65325">
              <w:t xml:space="preserve">Are </w:t>
            </w:r>
            <w:r>
              <w:t>the proposed groups clinically meaningful, structured by disorder group and severity level?</w:t>
            </w:r>
          </w:p>
        </w:tc>
      </w:tr>
      <w:tr w:rsidR="003058B5" w14:paraId="4996A46B" w14:textId="77777777" w:rsidTr="002F5D60">
        <w:tc>
          <w:tcPr>
            <w:tcW w:w="9016" w:type="dxa"/>
          </w:tcPr>
          <w:p w14:paraId="3433FDA6" w14:textId="77777777" w:rsidR="003058B5" w:rsidRPr="00B65325" w:rsidRDefault="003058B5" w:rsidP="003058B5">
            <w:pPr>
              <w:pStyle w:val="BodyText2"/>
            </w:pPr>
          </w:p>
        </w:tc>
      </w:tr>
      <w:tr w:rsidR="003058B5" w14:paraId="4BA0FDBC" w14:textId="77777777" w:rsidTr="002F5D60">
        <w:tc>
          <w:tcPr>
            <w:tcW w:w="9016" w:type="dxa"/>
          </w:tcPr>
          <w:p w14:paraId="16B22779" w14:textId="6123A6C5" w:rsidR="003058B5" w:rsidRPr="00B65325" w:rsidRDefault="003058B5" w:rsidP="003058B5">
            <w:pPr>
              <w:pStyle w:val="BodyText2"/>
            </w:pPr>
            <w:r>
              <w:t>Are the proposed groups administratively meaningful to support counting activity and payment?</w:t>
            </w:r>
          </w:p>
        </w:tc>
      </w:tr>
      <w:tr w:rsidR="003058B5" w14:paraId="316AAE8B" w14:textId="77777777" w:rsidTr="002F5D60">
        <w:tc>
          <w:tcPr>
            <w:tcW w:w="9016" w:type="dxa"/>
          </w:tcPr>
          <w:p w14:paraId="1079F2F7" w14:textId="77777777" w:rsidR="003058B5" w:rsidRPr="00B65325" w:rsidRDefault="003058B5" w:rsidP="003058B5">
            <w:pPr>
              <w:pStyle w:val="BodyText2"/>
            </w:pPr>
          </w:p>
        </w:tc>
      </w:tr>
      <w:tr w:rsidR="003058B5" w14:paraId="1DE127D2" w14:textId="77777777" w:rsidTr="002F5D60">
        <w:tc>
          <w:tcPr>
            <w:tcW w:w="9016" w:type="dxa"/>
          </w:tcPr>
          <w:p w14:paraId="79D28FBC" w14:textId="2FC1B02E" w:rsidR="003058B5" w:rsidRPr="00B65325" w:rsidRDefault="003058B5" w:rsidP="003058B5">
            <w:pPr>
              <w:pStyle w:val="BodyText2"/>
            </w:pPr>
            <w:r>
              <w:t>With consideration to use by local systems and any additional burden or workload, should MHRGs be determined locally and flowed to</w:t>
            </w:r>
            <w:r w:rsidRPr="007C0091">
              <w:t xml:space="preserve"> the MHSDS</w:t>
            </w:r>
            <w:r>
              <w:t>,</w:t>
            </w:r>
            <w:r w:rsidRPr="007C0091">
              <w:t xml:space="preserve"> or </w:t>
            </w:r>
            <w:r>
              <w:t xml:space="preserve">should the </w:t>
            </w:r>
            <w:r w:rsidRPr="007C0091">
              <w:t>individual items</w:t>
            </w:r>
            <w:r>
              <w:t xml:space="preserve"> needed to determine the MHRG</w:t>
            </w:r>
            <w:r w:rsidRPr="007C0091">
              <w:t xml:space="preserve"> </w:t>
            </w:r>
            <w:r>
              <w:t>be flowed to the MHSDS i.e. disorder group, severity and setting, and MHRGs determined at a national level?</w:t>
            </w:r>
          </w:p>
        </w:tc>
      </w:tr>
      <w:tr w:rsidR="003058B5" w14:paraId="5B2E7622" w14:textId="77777777" w:rsidTr="002F5D60">
        <w:tc>
          <w:tcPr>
            <w:tcW w:w="9016" w:type="dxa"/>
          </w:tcPr>
          <w:p w14:paraId="2AB0C97C" w14:textId="77777777" w:rsidR="003058B5" w:rsidRDefault="003058B5" w:rsidP="003058B5">
            <w:pPr>
              <w:pStyle w:val="BodyText2"/>
            </w:pPr>
          </w:p>
        </w:tc>
      </w:tr>
      <w:tr w:rsidR="003058B5" w14:paraId="6DDB9514" w14:textId="77777777" w:rsidTr="002F5D60">
        <w:tc>
          <w:tcPr>
            <w:tcW w:w="9016" w:type="dxa"/>
          </w:tcPr>
          <w:p w14:paraId="49DAE6F8" w14:textId="2076D942" w:rsidR="003058B5" w:rsidRDefault="003058B5" w:rsidP="003058B5">
            <w:pPr>
              <w:pStyle w:val="BodyText2"/>
            </w:pPr>
            <w:r w:rsidRPr="002614E8">
              <w:t xml:space="preserve">Should there be one review group for the whole model, or </w:t>
            </w:r>
            <w:proofErr w:type="gramStart"/>
            <w:r w:rsidRPr="002614E8">
              <w:t>a number</w:t>
            </w:r>
            <w:r>
              <w:t xml:space="preserve"> of</w:t>
            </w:r>
            <w:proofErr w:type="gramEnd"/>
            <w:r>
              <w:t xml:space="preserve"> different review groups providing input on each of the A. to G. disorder groups specifically?</w:t>
            </w:r>
          </w:p>
        </w:tc>
      </w:tr>
      <w:tr w:rsidR="003058B5" w14:paraId="3E9A7D18" w14:textId="77777777" w:rsidTr="002F5D60">
        <w:tc>
          <w:tcPr>
            <w:tcW w:w="9016" w:type="dxa"/>
          </w:tcPr>
          <w:p w14:paraId="73A93D1D" w14:textId="77777777" w:rsidR="003058B5" w:rsidRPr="002614E8" w:rsidRDefault="003058B5" w:rsidP="003058B5">
            <w:pPr>
              <w:pStyle w:val="BodyText2"/>
            </w:pPr>
            <w:bookmarkStart w:id="14" w:name="_GoBack"/>
          </w:p>
        </w:tc>
      </w:tr>
      <w:bookmarkEnd w:id="14"/>
    </w:tbl>
    <w:p w14:paraId="40070E58" w14:textId="77777777" w:rsidR="003058B5" w:rsidRPr="003058B5" w:rsidRDefault="003058B5" w:rsidP="003058B5">
      <w:pPr>
        <w:pStyle w:val="BodyText2"/>
      </w:pPr>
    </w:p>
    <w:p w14:paraId="4677D0E9" w14:textId="1054A41E" w:rsidR="00992FF3" w:rsidRDefault="0067774A" w:rsidP="0067774A">
      <w:pPr>
        <w:pStyle w:val="Heading2"/>
      </w:pPr>
      <w:r>
        <w:t>Any other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74A" w14:paraId="1A6BD5D5" w14:textId="77777777" w:rsidTr="0067774A">
        <w:tc>
          <w:tcPr>
            <w:tcW w:w="9016" w:type="dxa"/>
          </w:tcPr>
          <w:p w14:paraId="290E0894" w14:textId="42C0A6FC" w:rsidR="0067774A" w:rsidRPr="0067774A" w:rsidRDefault="0067774A" w:rsidP="0067774A">
            <w:pPr>
              <w:pStyle w:val="BodyText2NoSpacing"/>
              <w:rPr>
                <w:b/>
                <w:bCs/>
              </w:rPr>
            </w:pPr>
            <w:r w:rsidRPr="0067774A">
              <w:rPr>
                <w:b/>
                <w:bCs/>
              </w:rPr>
              <w:t>Do you have any other comments about the tariff or any other aspect of the payment system and wider NHS financial architecture?</w:t>
            </w:r>
          </w:p>
        </w:tc>
      </w:tr>
      <w:tr w:rsidR="0067774A" w14:paraId="17EBE8B0" w14:textId="77777777" w:rsidTr="004B488E">
        <w:tc>
          <w:tcPr>
            <w:tcW w:w="9016" w:type="dxa"/>
          </w:tcPr>
          <w:p w14:paraId="0763BA3A" w14:textId="73D2DC66" w:rsidR="0067774A" w:rsidRPr="0067774A" w:rsidRDefault="0067774A" w:rsidP="0067774A">
            <w:pPr>
              <w:pStyle w:val="BodyText2"/>
            </w:pPr>
          </w:p>
        </w:tc>
      </w:tr>
    </w:tbl>
    <w:p w14:paraId="75021C24" w14:textId="6025FF36" w:rsidR="0067774A" w:rsidRDefault="0067774A" w:rsidP="0067774A">
      <w:pPr>
        <w:pStyle w:val="BodyText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774A" w14:paraId="275037D1" w14:textId="77777777" w:rsidTr="001D2693">
        <w:tc>
          <w:tcPr>
            <w:tcW w:w="9016" w:type="dxa"/>
          </w:tcPr>
          <w:p w14:paraId="5E4F67DB" w14:textId="5F5BD041" w:rsidR="0067774A" w:rsidRPr="0067774A" w:rsidRDefault="0067774A" w:rsidP="0067774A">
            <w:pPr>
              <w:pStyle w:val="BodyText2NoSpacing"/>
              <w:rPr>
                <w:b/>
                <w:bCs/>
              </w:rPr>
            </w:pPr>
            <w:r w:rsidRPr="0067774A">
              <w:rPr>
                <w:b/>
                <w:bCs/>
              </w:rPr>
              <w:t>Do you have any comments or suggestions on how we could improve how we engage with you on our proposals?</w:t>
            </w:r>
          </w:p>
        </w:tc>
      </w:tr>
      <w:tr w:rsidR="0067774A" w14:paraId="2705EC33" w14:textId="77777777" w:rsidTr="001D2693">
        <w:tc>
          <w:tcPr>
            <w:tcW w:w="9016" w:type="dxa"/>
          </w:tcPr>
          <w:p w14:paraId="4B7A1F0C" w14:textId="77777777" w:rsidR="0067774A" w:rsidRPr="0067774A" w:rsidRDefault="0067774A" w:rsidP="001D2693">
            <w:pPr>
              <w:pStyle w:val="BodyText2"/>
            </w:pPr>
          </w:p>
        </w:tc>
      </w:tr>
    </w:tbl>
    <w:p w14:paraId="2CBCB3ED" w14:textId="5FF56771" w:rsidR="0067774A" w:rsidRPr="0067774A" w:rsidRDefault="0067774A" w:rsidP="009B146D">
      <w:pPr>
        <w:pStyle w:val="BodyText2"/>
      </w:pPr>
    </w:p>
    <w:sectPr w:rsidR="0067774A" w:rsidRPr="00677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02C1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E4EB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63658"/>
    <w:multiLevelType w:val="hybridMultilevel"/>
    <w:tmpl w:val="1610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5A6"/>
    <w:multiLevelType w:val="hybridMultilevel"/>
    <w:tmpl w:val="695A2A40"/>
    <w:lvl w:ilvl="0" w:tplc="4F7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AA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63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AC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08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4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E5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CC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C2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C09FF"/>
    <w:multiLevelType w:val="hybridMultilevel"/>
    <w:tmpl w:val="7BB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5577"/>
    <w:multiLevelType w:val="multilevel"/>
    <w:tmpl w:val="35EAC5C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20699D"/>
    <w:multiLevelType w:val="multilevel"/>
    <w:tmpl w:val="262002FE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5F50FC"/>
    <w:multiLevelType w:val="hybridMultilevel"/>
    <w:tmpl w:val="28DC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C25"/>
    <w:multiLevelType w:val="multilevel"/>
    <w:tmpl w:val="CE424934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B8789F"/>
    <w:multiLevelType w:val="multilevel"/>
    <w:tmpl w:val="9DB6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y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2301999"/>
    <w:multiLevelType w:val="hybridMultilevel"/>
    <w:tmpl w:val="6042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09A1"/>
    <w:multiLevelType w:val="multilevel"/>
    <w:tmpl w:val="DCEAAB9E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pStyle w:val="NumBullet2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8"/>
  </w:num>
  <w:num w:numId="7">
    <w:abstractNumId w:val="5"/>
  </w:num>
  <w:num w:numId="8">
    <w:abstractNumId w:val="6"/>
  </w:num>
  <w:num w:numId="9">
    <w:abstractNumId w:val="5"/>
  </w:num>
  <w:num w:numId="10">
    <w:abstractNumId w:val="8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11"/>
    <w:lvlOverride w:ilvl="0">
      <w:lvl w:ilvl="0">
        <w:start w:val="1"/>
        <w:numFmt w:val="decimal"/>
        <w:pStyle w:val="NumBullet1"/>
        <w:lvlText w:val="%1."/>
        <w:lvlJc w:val="left"/>
        <w:pPr>
          <w:tabs>
            <w:tab w:val="num" w:pos="1020"/>
          </w:tabs>
          <w:ind w:left="1020" w:hanging="510"/>
        </w:pPr>
        <w:rPr>
          <w:rFonts w:hint="default"/>
          <w:i w:val="0"/>
        </w:rPr>
      </w:lvl>
    </w:lvlOverride>
    <w:lvlOverride w:ilvl="1">
      <w:lvl w:ilvl="1">
        <w:start w:val="1"/>
        <w:numFmt w:val="bullet"/>
        <w:pStyle w:val="NumBullet2"/>
        <w:lvlText w:val=""/>
        <w:lvlJc w:val="left"/>
        <w:pPr>
          <w:tabs>
            <w:tab w:val="num" w:pos="1560"/>
          </w:tabs>
          <w:ind w:left="1560" w:hanging="341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pStyle w:val="NumBullet3"/>
        <w:lvlText w:val="%3."/>
        <w:lvlJc w:val="left"/>
        <w:pPr>
          <w:tabs>
            <w:tab w:val="num" w:pos="1701"/>
          </w:tabs>
          <w:ind w:left="170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10"/>
          </w:tabs>
          <w:ind w:left="223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10"/>
          </w:tabs>
          <w:ind w:left="274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10"/>
          </w:tabs>
          <w:ind w:left="324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10"/>
          </w:tabs>
          <w:ind w:left="375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0"/>
          </w:tabs>
          <w:ind w:left="425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0"/>
          </w:tabs>
          <w:ind w:left="4830" w:hanging="1440"/>
        </w:pPr>
        <w:rPr>
          <w:rFonts w:hint="default"/>
        </w:rPr>
      </w:lvl>
    </w:lvlOverride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NumBullet1"/>
        <w:lvlText w:val="%1."/>
        <w:lvlJc w:val="left"/>
        <w:pPr>
          <w:tabs>
            <w:tab w:val="num" w:pos="1928"/>
          </w:tabs>
          <w:ind w:left="1928" w:hanging="510"/>
        </w:pPr>
        <w:rPr>
          <w:rFonts w:hint="default"/>
          <w:i w:val="0"/>
        </w:rPr>
      </w:lvl>
    </w:lvlOverride>
    <w:lvlOverride w:ilvl="1">
      <w:lvl w:ilvl="1">
        <w:start w:val="1"/>
        <w:numFmt w:val="bullet"/>
        <w:pStyle w:val="NumBullet2"/>
        <w:lvlText w:val=""/>
        <w:lvlJc w:val="left"/>
        <w:pPr>
          <w:tabs>
            <w:tab w:val="num" w:pos="1560"/>
          </w:tabs>
          <w:ind w:left="1560" w:hanging="341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pStyle w:val="NumBullet3"/>
        <w:lvlText w:val="%3."/>
        <w:lvlJc w:val="left"/>
        <w:pPr>
          <w:tabs>
            <w:tab w:val="num" w:pos="1701"/>
          </w:tabs>
          <w:ind w:left="170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10"/>
          </w:tabs>
          <w:ind w:left="223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10"/>
          </w:tabs>
          <w:ind w:left="274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10"/>
          </w:tabs>
          <w:ind w:left="324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10"/>
          </w:tabs>
          <w:ind w:left="375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0"/>
          </w:tabs>
          <w:ind w:left="425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0"/>
          </w:tabs>
          <w:ind w:left="4830" w:hanging="1440"/>
        </w:pPr>
        <w:rPr>
          <w:rFonts w:hint="default"/>
        </w:rPr>
      </w:lvl>
    </w:lvlOverride>
  </w:num>
  <w:num w:numId="18">
    <w:abstractNumId w:val="3"/>
  </w:num>
  <w:num w:numId="19">
    <w:abstractNumId w:val="7"/>
  </w:num>
  <w:num w:numId="20">
    <w:abstractNumId w:val="4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7"/>
    <w:rsid w:val="00023AEC"/>
    <w:rsid w:val="000740AB"/>
    <w:rsid w:val="00087278"/>
    <w:rsid w:val="000958CB"/>
    <w:rsid w:val="000C2523"/>
    <w:rsid w:val="00104B2F"/>
    <w:rsid w:val="00166BD5"/>
    <w:rsid w:val="00167F36"/>
    <w:rsid w:val="001F2430"/>
    <w:rsid w:val="00227FEA"/>
    <w:rsid w:val="00270F6D"/>
    <w:rsid w:val="002748C7"/>
    <w:rsid w:val="002D255D"/>
    <w:rsid w:val="00301B05"/>
    <w:rsid w:val="003058B5"/>
    <w:rsid w:val="003121C6"/>
    <w:rsid w:val="00321AC1"/>
    <w:rsid w:val="00362D98"/>
    <w:rsid w:val="003638F8"/>
    <w:rsid w:val="00386010"/>
    <w:rsid w:val="003942FB"/>
    <w:rsid w:val="004644AA"/>
    <w:rsid w:val="004837DC"/>
    <w:rsid w:val="00494662"/>
    <w:rsid w:val="00535865"/>
    <w:rsid w:val="0058625E"/>
    <w:rsid w:val="00595EB9"/>
    <w:rsid w:val="005A2187"/>
    <w:rsid w:val="005B76CE"/>
    <w:rsid w:val="005D12FC"/>
    <w:rsid w:val="005D667C"/>
    <w:rsid w:val="00606A98"/>
    <w:rsid w:val="0065393F"/>
    <w:rsid w:val="0067774A"/>
    <w:rsid w:val="00696F3B"/>
    <w:rsid w:val="006C7EAF"/>
    <w:rsid w:val="006F352A"/>
    <w:rsid w:val="007539D3"/>
    <w:rsid w:val="00794B7E"/>
    <w:rsid w:val="007A5456"/>
    <w:rsid w:val="007F602C"/>
    <w:rsid w:val="00805D8E"/>
    <w:rsid w:val="00860857"/>
    <w:rsid w:val="008A2E40"/>
    <w:rsid w:val="008A3A26"/>
    <w:rsid w:val="008E212E"/>
    <w:rsid w:val="00904F11"/>
    <w:rsid w:val="0093021A"/>
    <w:rsid w:val="00992FF3"/>
    <w:rsid w:val="00997415"/>
    <w:rsid w:val="009A745D"/>
    <w:rsid w:val="009B146D"/>
    <w:rsid w:val="009C0BA4"/>
    <w:rsid w:val="009D010C"/>
    <w:rsid w:val="009F5715"/>
    <w:rsid w:val="00A0172D"/>
    <w:rsid w:val="00A036E5"/>
    <w:rsid w:val="00A17FB4"/>
    <w:rsid w:val="00A575ED"/>
    <w:rsid w:val="00AA2259"/>
    <w:rsid w:val="00AA3232"/>
    <w:rsid w:val="00AA4790"/>
    <w:rsid w:val="00AD61F7"/>
    <w:rsid w:val="00B24A8B"/>
    <w:rsid w:val="00B26538"/>
    <w:rsid w:val="00B500DA"/>
    <w:rsid w:val="00B70E05"/>
    <w:rsid w:val="00B94D7A"/>
    <w:rsid w:val="00BC50AA"/>
    <w:rsid w:val="00C00E32"/>
    <w:rsid w:val="00C03FAE"/>
    <w:rsid w:val="00C347FF"/>
    <w:rsid w:val="00C74D4C"/>
    <w:rsid w:val="00C91E48"/>
    <w:rsid w:val="00CB1519"/>
    <w:rsid w:val="00CC1661"/>
    <w:rsid w:val="00CD3B3A"/>
    <w:rsid w:val="00D13F77"/>
    <w:rsid w:val="00D33EAA"/>
    <w:rsid w:val="00D47218"/>
    <w:rsid w:val="00D743BD"/>
    <w:rsid w:val="00E734EE"/>
    <w:rsid w:val="00EA3BCC"/>
    <w:rsid w:val="00EA6EF0"/>
    <w:rsid w:val="00F967B4"/>
    <w:rsid w:val="00FC5EA8"/>
    <w:rsid w:val="00FE7B74"/>
    <w:rsid w:val="00FF515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979A"/>
  <w15:chartTrackingRefBased/>
  <w15:docId w15:val="{0B627E8A-7931-4C7A-8DD6-8DFBAA3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77"/>
    <w:pPr>
      <w:spacing w:line="240" w:lineRule="auto"/>
    </w:pPr>
    <w:rPr>
      <w:rFonts w:ascii="Arial" w:hAnsi="Arial"/>
      <w:color w:val="231F20"/>
    </w:rPr>
  </w:style>
  <w:style w:type="paragraph" w:styleId="Heading1">
    <w:name w:val="heading 1"/>
    <w:basedOn w:val="Normal"/>
    <w:next w:val="BodyText"/>
    <w:link w:val="Heading1Char"/>
    <w:qFormat/>
    <w:rsid w:val="00D13F77"/>
    <w:pPr>
      <w:keepNext/>
      <w:keepLines/>
      <w:pageBreakBefore/>
      <w:numPr>
        <w:numId w:val="12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qFormat/>
    <w:rsid w:val="00D13F77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D13F77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D13F77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D13F77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qFormat/>
    <w:rsid w:val="00D13F77"/>
    <w:pPr>
      <w:keepNext/>
      <w:keepLines/>
      <w:spacing w:before="200" w:after="100"/>
      <w:outlineLvl w:val="5"/>
    </w:pPr>
    <w:rPr>
      <w:rFonts w:asciiTheme="majorHAnsi" w:eastAsiaTheme="majorEastAsia" w:hAnsiTheme="majorHAnsi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bered">
    <w:name w:val="Heading 1 Numbered"/>
    <w:basedOn w:val="Heading1"/>
    <w:next w:val="BodyText"/>
    <w:qFormat/>
    <w:rsid w:val="00D13F77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rsid w:val="00D13F77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qFormat/>
    <w:rsid w:val="00D13F77"/>
    <w:pPr>
      <w:numPr>
        <w:ilvl w:val="1"/>
        <w:numId w:val="14"/>
      </w:numPr>
      <w:tabs>
        <w:tab w:val="num" w:pos="567"/>
      </w:tabs>
      <w:spacing w:after="280" w:line="360" w:lineRule="atLeast"/>
      <w:ind w:left="567" w:hanging="567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D13F77"/>
    <w:rPr>
      <w:rFonts w:ascii="Arial" w:hAnsi="Arial"/>
    </w:rPr>
  </w:style>
  <w:style w:type="paragraph" w:customStyle="1" w:styleId="BodyText2NoSpacing">
    <w:name w:val="Body Text 2 No Spacing"/>
    <w:basedOn w:val="BodyText2"/>
    <w:qFormat/>
    <w:rsid w:val="00D13F77"/>
    <w:pPr>
      <w:spacing w:after="0"/>
    </w:pPr>
  </w:style>
  <w:style w:type="paragraph" w:styleId="BodyText2">
    <w:name w:val="Body Text 2"/>
    <w:basedOn w:val="BodyText"/>
    <w:link w:val="BodyText2Char"/>
    <w:qFormat/>
    <w:rsid w:val="00D13F77"/>
    <w:pPr>
      <w:numPr>
        <w:ilvl w:val="0"/>
        <w:numId w:val="0"/>
      </w:numPr>
    </w:pPr>
    <w:rPr>
      <w:color w:val="231F20"/>
    </w:rPr>
  </w:style>
  <w:style w:type="character" w:customStyle="1" w:styleId="BodyText2Char">
    <w:name w:val="Body Text 2 Char"/>
    <w:basedOn w:val="DefaultParagraphFont"/>
    <w:link w:val="BodyText2"/>
    <w:rsid w:val="00D13F77"/>
    <w:rPr>
      <w:rFonts w:ascii="Arial" w:hAnsi="Arial"/>
      <w:color w:val="231F20"/>
    </w:rPr>
  </w:style>
  <w:style w:type="paragraph" w:customStyle="1" w:styleId="IntroText">
    <w:name w:val="Intro Text"/>
    <w:basedOn w:val="Normal"/>
    <w:qFormat/>
    <w:rsid w:val="00D13F77"/>
    <w:pPr>
      <w:spacing w:line="400" w:lineRule="exact"/>
    </w:pPr>
    <w:rPr>
      <w:color w:val="005EB8"/>
      <w:sz w:val="28"/>
    </w:rPr>
  </w:style>
  <w:style w:type="paragraph" w:customStyle="1" w:styleId="LastBullet">
    <w:name w:val="Last Bullet"/>
    <w:basedOn w:val="ListBullet"/>
    <w:next w:val="BodyText"/>
    <w:qFormat/>
    <w:rsid w:val="00D13F77"/>
    <w:pPr>
      <w:numPr>
        <w:numId w:val="0"/>
      </w:numPr>
      <w:spacing w:after="280"/>
    </w:pPr>
    <w:rPr>
      <w:color w:val="231F20"/>
    </w:rPr>
  </w:style>
  <w:style w:type="paragraph" w:styleId="ListBullet">
    <w:name w:val="List Bullet"/>
    <w:basedOn w:val="BodyText"/>
    <w:qFormat/>
    <w:rsid w:val="00D13F77"/>
    <w:pPr>
      <w:numPr>
        <w:ilvl w:val="0"/>
        <w:numId w:val="11"/>
      </w:numPr>
      <w:spacing w:after="50"/>
    </w:pPr>
  </w:style>
  <w:style w:type="character" w:customStyle="1" w:styleId="Highlight">
    <w:name w:val="Highlight"/>
    <w:basedOn w:val="DefaultParagraphFont"/>
    <w:qFormat/>
    <w:rsid w:val="00D13F77"/>
    <w:rPr>
      <w:color w:val="41B6E6"/>
    </w:rPr>
  </w:style>
  <w:style w:type="paragraph" w:customStyle="1" w:styleId="TableText">
    <w:name w:val="Table Text"/>
    <w:basedOn w:val="Normal"/>
    <w:qFormat/>
    <w:rsid w:val="00D13F77"/>
  </w:style>
  <w:style w:type="paragraph" w:customStyle="1" w:styleId="TableTitle">
    <w:name w:val="Table Title"/>
    <w:basedOn w:val="TableText"/>
    <w:qFormat/>
    <w:rsid w:val="00D13F77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D13F77"/>
    <w:pPr>
      <w:numPr>
        <w:ilvl w:val="0"/>
        <w:numId w:val="0"/>
      </w:numPr>
      <w:spacing w:after="280"/>
    </w:pPr>
    <w:rPr>
      <w:color w:val="231F20"/>
    </w:rPr>
  </w:style>
  <w:style w:type="paragraph" w:styleId="ListBullet2">
    <w:name w:val="List Bullet 2"/>
    <w:basedOn w:val="BodyText"/>
    <w:qFormat/>
    <w:rsid w:val="00D13F77"/>
    <w:pPr>
      <w:numPr>
        <w:numId w:val="11"/>
      </w:numPr>
      <w:tabs>
        <w:tab w:val="num" w:pos="1440"/>
      </w:tabs>
      <w:spacing w:after="50"/>
    </w:pPr>
  </w:style>
  <w:style w:type="paragraph" w:customStyle="1" w:styleId="InsideCover">
    <w:name w:val="Inside Cover"/>
    <w:basedOn w:val="Normal"/>
    <w:qFormat/>
    <w:rsid w:val="00D13F77"/>
    <w:pPr>
      <w:spacing w:line="800" w:lineRule="exact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D13F77"/>
    <w:rPr>
      <w:b/>
      <w:color w:val="768692"/>
      <w:sz w:val="44"/>
      <w:u w:val="single" w:color="00A9CE"/>
    </w:rPr>
  </w:style>
  <w:style w:type="paragraph" w:styleId="Header">
    <w:name w:val="header"/>
    <w:basedOn w:val="Normal"/>
    <w:link w:val="HeaderChar"/>
    <w:unhideWhenUsed/>
    <w:rsid w:val="00D13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3F77"/>
  </w:style>
  <w:style w:type="character" w:customStyle="1" w:styleId="Heading2Char">
    <w:name w:val="Heading 2 Char"/>
    <w:basedOn w:val="DefaultParagraphFont"/>
    <w:link w:val="Heading2"/>
    <w:rsid w:val="00D13F77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D13F77"/>
    <w:rPr>
      <w:rFonts w:ascii="Arial" w:eastAsiaTheme="majorEastAsia" w:hAnsi="Arial" w:cstheme="majorBidi"/>
      <w:b/>
      <w:color w:val="231F20"/>
      <w:sz w:val="28"/>
    </w:rPr>
  </w:style>
  <w:style w:type="character" w:customStyle="1" w:styleId="Heading4Char">
    <w:name w:val="Heading 4 Char"/>
    <w:basedOn w:val="DefaultParagraphFont"/>
    <w:link w:val="Heading4"/>
    <w:rsid w:val="00D13F77"/>
    <w:rPr>
      <w:rFonts w:ascii="Arial" w:eastAsiaTheme="majorEastAsia" w:hAnsi="Arial" w:cstheme="majorBidi"/>
      <w:b/>
      <w:iCs/>
      <w:color w:val="231F20"/>
    </w:rPr>
  </w:style>
  <w:style w:type="character" w:customStyle="1" w:styleId="Heading5Char">
    <w:name w:val="Heading 5 Char"/>
    <w:basedOn w:val="DefaultParagraphFont"/>
    <w:link w:val="Heading5"/>
    <w:semiHidden/>
    <w:rsid w:val="00D13F77"/>
    <w:rPr>
      <w:rFonts w:asciiTheme="majorHAnsi" w:eastAsiaTheme="majorEastAsia" w:hAnsiTheme="majorHAnsi" w:cstheme="majorBidi"/>
      <w:i/>
      <w:color w:val="231F20"/>
    </w:rPr>
  </w:style>
  <w:style w:type="character" w:customStyle="1" w:styleId="Heading6Char">
    <w:name w:val="Heading 6 Char"/>
    <w:basedOn w:val="DefaultParagraphFont"/>
    <w:link w:val="Heading6"/>
    <w:semiHidden/>
    <w:rsid w:val="00D13F77"/>
    <w:rPr>
      <w:rFonts w:asciiTheme="majorHAnsi" w:eastAsiaTheme="majorEastAsia" w:hAnsiTheme="majorHAnsi" w:cstheme="majorBidi"/>
      <w:b/>
    </w:rPr>
  </w:style>
  <w:style w:type="paragraph" w:styleId="Caption">
    <w:name w:val="caption"/>
    <w:basedOn w:val="Normal"/>
    <w:next w:val="TableText"/>
    <w:semiHidden/>
    <w:unhideWhenUsed/>
    <w:qFormat/>
    <w:rsid w:val="00D13F77"/>
    <w:pPr>
      <w:spacing w:after="200"/>
    </w:pPr>
    <w:rPr>
      <w:iCs/>
      <w:color w:val="1F497D" w:themeColor="text2"/>
      <w:szCs w:val="18"/>
    </w:rPr>
  </w:style>
  <w:style w:type="paragraph" w:styleId="Title">
    <w:name w:val="Title"/>
    <w:basedOn w:val="Normal"/>
    <w:next w:val="Normal"/>
    <w:link w:val="TitleChar"/>
    <w:qFormat/>
    <w:rsid w:val="00D13F77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13F77"/>
    <w:rPr>
      <w:rFonts w:ascii="Arial" w:eastAsiaTheme="majorEastAsia" w:hAnsi="Arial" w:cstheme="majorBidi"/>
      <w:color w:val="005EB8"/>
      <w:spacing w:val="-10"/>
      <w:kern w:val="28"/>
      <w:sz w:val="72"/>
      <w:szCs w:val="56"/>
    </w:rPr>
  </w:style>
  <w:style w:type="paragraph" w:styleId="ListContinue">
    <w:name w:val="List Continue"/>
    <w:basedOn w:val="BodyText"/>
    <w:qFormat/>
    <w:rsid w:val="00D13F77"/>
    <w:pPr>
      <w:numPr>
        <w:ilvl w:val="0"/>
        <w:numId w:val="0"/>
      </w:numPr>
      <w:spacing w:after="50"/>
      <w:ind w:left="851"/>
    </w:pPr>
    <w:rPr>
      <w:color w:val="231F20"/>
    </w:rPr>
  </w:style>
  <w:style w:type="paragraph" w:styleId="ListContinue2">
    <w:name w:val="List Continue 2"/>
    <w:basedOn w:val="BodyText"/>
    <w:qFormat/>
    <w:rsid w:val="00D13F77"/>
    <w:pPr>
      <w:numPr>
        <w:ilvl w:val="0"/>
        <w:numId w:val="0"/>
      </w:numPr>
      <w:spacing w:after="50"/>
      <w:ind w:left="1134"/>
    </w:pPr>
    <w:rPr>
      <w:color w:val="231F20"/>
    </w:rPr>
  </w:style>
  <w:style w:type="paragraph" w:styleId="Subtitle">
    <w:name w:val="Subtitle"/>
    <w:basedOn w:val="Normal"/>
    <w:next w:val="Normal"/>
    <w:link w:val="SubtitleChar"/>
    <w:qFormat/>
    <w:rsid w:val="00D13F77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D13F77"/>
    <w:rPr>
      <w:rFonts w:ascii="Arial" w:eastAsiaTheme="minorEastAsia" w:hAnsi="Arial"/>
      <w:color w:val="231F20"/>
      <w:sz w:val="28"/>
    </w:rPr>
  </w:style>
  <w:style w:type="table" w:styleId="TableGrid">
    <w:name w:val="Table Grid"/>
    <w:basedOn w:val="TableNormal"/>
    <w:uiPriority w:val="59"/>
    <w:rsid w:val="00D13F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HSOutlineLevels">
    <w:name w:val="NHS Outline Levels"/>
    <w:basedOn w:val="NoList"/>
    <w:uiPriority w:val="99"/>
    <w:rsid w:val="00D13F77"/>
  </w:style>
  <w:style w:type="paragraph" w:styleId="PlainText">
    <w:name w:val="Plain Text"/>
    <w:basedOn w:val="Normal"/>
    <w:link w:val="PlainTextChar"/>
    <w:uiPriority w:val="99"/>
    <w:semiHidden/>
    <w:unhideWhenUsed/>
    <w:rsid w:val="008E212E"/>
    <w:rPr>
      <w:rFonts w:ascii="Calibr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12E"/>
    <w:rPr>
      <w:rFonts w:ascii="Calibri" w:hAnsi="Calibri"/>
      <w:sz w:val="22"/>
      <w:szCs w:val="21"/>
    </w:rPr>
  </w:style>
  <w:style w:type="paragraph" w:customStyle="1" w:styleId="NumBullet1">
    <w:name w:val="~NumBullet1"/>
    <w:basedOn w:val="Normal"/>
    <w:uiPriority w:val="9"/>
    <w:qFormat/>
    <w:rsid w:val="005A2187"/>
    <w:pPr>
      <w:numPr>
        <w:numId w:val="15"/>
      </w:numPr>
      <w:tabs>
        <w:tab w:val="clear" w:pos="1020"/>
        <w:tab w:val="num" w:pos="510"/>
      </w:tabs>
      <w:spacing w:after="200" w:line="276" w:lineRule="auto"/>
      <w:ind w:left="510"/>
    </w:pPr>
    <w:rPr>
      <w:rFonts w:eastAsia="Calibri" w:cs="Times New Roman"/>
      <w:color w:val="auto"/>
      <w:szCs w:val="22"/>
      <w:lang w:bidi="en-US"/>
    </w:rPr>
  </w:style>
  <w:style w:type="paragraph" w:customStyle="1" w:styleId="NumBullet2">
    <w:name w:val="~NumBullet2"/>
    <w:basedOn w:val="NumBullet1"/>
    <w:uiPriority w:val="9"/>
    <w:qFormat/>
    <w:rsid w:val="005A2187"/>
    <w:pPr>
      <w:numPr>
        <w:ilvl w:val="1"/>
      </w:numPr>
      <w:tabs>
        <w:tab w:val="clear" w:pos="1560"/>
        <w:tab w:val="num" w:pos="851"/>
      </w:tabs>
      <w:ind w:left="851"/>
    </w:pPr>
  </w:style>
  <w:style w:type="paragraph" w:customStyle="1" w:styleId="NumBullet3">
    <w:name w:val="~NumBullet3"/>
    <w:basedOn w:val="NumBullet2"/>
    <w:uiPriority w:val="9"/>
    <w:qFormat/>
    <w:rsid w:val="005A2187"/>
    <w:pPr>
      <w:numPr>
        <w:ilvl w:val="2"/>
      </w:numPr>
      <w:tabs>
        <w:tab w:val="clear" w:pos="1701"/>
        <w:tab w:val="num" w:pos="1191"/>
      </w:tabs>
      <w:ind w:left="1191"/>
    </w:pPr>
  </w:style>
  <w:style w:type="numbering" w:customStyle="1" w:styleId="MonitorNumberBullets">
    <w:name w:val="~MonitorNumberBullets"/>
    <w:uiPriority w:val="99"/>
    <w:rsid w:val="005A2187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10"/>
    <w:rPr>
      <w:rFonts w:ascii="Segoe UI" w:hAnsi="Segoe UI" w:cs="Segoe UI"/>
      <w:color w:val="231F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E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E4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A2E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42FB"/>
    <w:pPr>
      <w:tabs>
        <w:tab w:val="right" w:leader="dot" w:pos="9016"/>
      </w:tabs>
      <w:spacing w:after="120"/>
    </w:pPr>
  </w:style>
  <w:style w:type="paragraph" w:styleId="TOC3">
    <w:name w:val="toc 3"/>
    <w:basedOn w:val="Normal"/>
    <w:next w:val="Normal"/>
    <w:autoRedefine/>
    <w:uiPriority w:val="39"/>
    <w:unhideWhenUsed/>
    <w:rsid w:val="008A2E40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B7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6CE"/>
    <w:rPr>
      <w:rFonts w:ascii="Arial" w:hAnsi="Arial"/>
      <w:color w:val="231F20"/>
      <w:sz w:val="20"/>
      <w:szCs w:val="20"/>
    </w:rPr>
  </w:style>
  <w:style w:type="paragraph" w:styleId="Revision">
    <w:name w:val="Revision"/>
    <w:hidden/>
    <w:uiPriority w:val="99"/>
    <w:semiHidden/>
    <w:rsid w:val="00AA4790"/>
    <w:pPr>
      <w:spacing w:line="240" w:lineRule="auto"/>
    </w:pPr>
    <w:rPr>
      <w:rFonts w:ascii="Arial" w:hAnsi="Arial"/>
      <w:color w:val="231F20"/>
    </w:rPr>
  </w:style>
  <w:style w:type="character" w:customStyle="1" w:styleId="the-question">
    <w:name w:val="the-question"/>
    <w:basedOn w:val="DefaultParagraphFont"/>
    <w:rsid w:val="0036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5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7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4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age.england.nhs.uk/pricing-and-costing/2021-22-tariff-engagem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E023-80C9-47D0-82C7-F54B4157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England;NHS Improvement</dc:creator>
  <cp:keywords/>
  <dc:description/>
  <cp:lastModifiedBy>Alastair Brett</cp:lastModifiedBy>
  <cp:revision>3</cp:revision>
  <cp:lastPrinted>2019-09-04T13:12:00Z</cp:lastPrinted>
  <dcterms:created xsi:type="dcterms:W3CDTF">2020-11-25T16:20:00Z</dcterms:created>
  <dcterms:modified xsi:type="dcterms:W3CDTF">2020-11-25T16:43:00Z</dcterms:modified>
</cp:coreProperties>
</file>