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DCD9" w14:textId="77777777" w:rsidR="00940477" w:rsidRPr="00940477" w:rsidRDefault="00940477" w:rsidP="00940477">
      <w:pPr>
        <w:pStyle w:val="Heading1"/>
        <w:spacing w:after="240"/>
        <w:ind w:right="-329"/>
        <w:contextualSpacing w:val="0"/>
        <w:rPr>
          <w:rFonts w:cs="Arial"/>
        </w:rPr>
      </w:pPr>
      <w:bookmarkStart w:id="0" w:name="_Toc34639530"/>
      <w:r w:rsidRPr="00940477">
        <w:rPr>
          <w:rFonts w:cs="Arial"/>
        </w:rPr>
        <w:t>Appendix 2: Checklist for PSP involvement</w:t>
      </w:r>
      <w:bookmarkEnd w:id="0"/>
    </w:p>
    <w:p w14:paraId="286018D8" w14:textId="77777777" w:rsidR="00940477" w:rsidRPr="00940477" w:rsidRDefault="00940477" w:rsidP="00940477">
      <w:pPr>
        <w:pStyle w:val="BodyText2"/>
        <w:spacing w:after="240"/>
        <w:ind w:left="-426" w:right="-329"/>
        <w:rPr>
          <w:rFonts w:cs="Arial"/>
        </w:rPr>
      </w:pPr>
      <w:r w:rsidRPr="00940477">
        <w:rPr>
          <w:rFonts w:cs="Arial"/>
        </w:rPr>
        <w:t>Any organisation that is serious about involving PSPs in patient safety should carry out some basic planning and preparation before recruiting PSPs. This is a checklist of the policies and documents you should have in place.</w:t>
      </w:r>
    </w:p>
    <w:tbl>
      <w:tblPr>
        <w:tblStyle w:val="NHSTable"/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072"/>
        <w:gridCol w:w="1418"/>
      </w:tblGrid>
      <w:tr w:rsidR="00940477" w:rsidRPr="00940477" w14:paraId="64ECBA1E" w14:textId="77777777" w:rsidTr="009C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72" w:type="dxa"/>
          </w:tcPr>
          <w:p w14:paraId="09A5F029" w14:textId="77777777" w:rsidR="00940477" w:rsidRPr="00940477" w:rsidRDefault="00940477" w:rsidP="009C6B14">
            <w:pPr>
              <w:tabs>
                <w:tab w:val="left" w:pos="1992"/>
              </w:tabs>
              <w:spacing w:line="300" w:lineRule="atLeast"/>
              <w:ind w:left="35" w:right="-1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404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Policy/procedure/document</w:t>
            </w:r>
          </w:p>
        </w:tc>
        <w:tc>
          <w:tcPr>
            <w:tcW w:w="1418" w:type="dxa"/>
          </w:tcPr>
          <w:p w14:paraId="3DFB18A1" w14:textId="77777777" w:rsidR="00940477" w:rsidRPr="00940477" w:rsidRDefault="00940477" w:rsidP="009C6B14">
            <w:pPr>
              <w:pStyle w:val="TableText"/>
              <w:spacing w:line="300" w:lineRule="atLeas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40477">
              <w:rPr>
                <w:rFonts w:cs="Arial"/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940477" w:rsidRPr="00940477" w14:paraId="7C5AEC53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68AD04BC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PSP policy</w:t>
            </w:r>
          </w:p>
        </w:tc>
        <w:tc>
          <w:tcPr>
            <w:tcW w:w="1418" w:type="dxa"/>
          </w:tcPr>
          <w:p w14:paraId="509B9975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6DE9A261" w14:textId="77777777" w:rsidTr="009C6B14">
        <w:tc>
          <w:tcPr>
            <w:tcW w:w="9072" w:type="dxa"/>
          </w:tcPr>
          <w:p w14:paraId="47292FA7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PSP role description</w:t>
            </w:r>
          </w:p>
        </w:tc>
        <w:tc>
          <w:tcPr>
            <w:tcW w:w="1418" w:type="dxa"/>
          </w:tcPr>
          <w:p w14:paraId="1215EB1E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341E1060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37076431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PSP expenses policy</w:t>
            </w:r>
          </w:p>
        </w:tc>
        <w:tc>
          <w:tcPr>
            <w:tcW w:w="1418" w:type="dxa"/>
          </w:tcPr>
          <w:p w14:paraId="319B7681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5EA7750D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006700BB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Equality and diversity statement (including recruitment of ex-offenders)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0A93AED9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6C96D736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5942611B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Confidentiality policy</w:t>
            </w:r>
          </w:p>
        </w:tc>
        <w:tc>
          <w:tcPr>
            <w:tcW w:w="1418" w:type="dxa"/>
          </w:tcPr>
          <w:p w14:paraId="62944137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7D4F80B7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71CB1299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Data protection statement (ensure this covers data collected on PSPs)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16956BA6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3AB0FF4C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6E09DC45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Health and safety (PSPs will need information and training on health and safety)</w:t>
            </w:r>
          </w:p>
        </w:tc>
        <w:tc>
          <w:tcPr>
            <w:tcW w:w="1418" w:type="dxa"/>
          </w:tcPr>
          <w:p w14:paraId="0B544392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681FAAB5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333ED67C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sz w:val="22"/>
                <w:szCs w:val="22"/>
              </w:rPr>
              <w:t>Safeguarding policy (safeguarding is everyone’s business. PSPs need to know about your policy. It should cover activities undertaken by PSPs to protect patients and the PSPs)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0CB71EA7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1F6F70EA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21E4CAE1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Insurance provision for PSPs (check with your provider that PSPs are covered)</w:t>
            </w:r>
          </w:p>
        </w:tc>
        <w:tc>
          <w:tcPr>
            <w:tcW w:w="1418" w:type="dxa"/>
          </w:tcPr>
          <w:p w14:paraId="6147ED82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02AE91A4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114B8EF0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Problem-solving procedure for PSPs (any grievance process written for staff will not be suitable)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1AB73D12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2C154531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90" w:type="dxa"/>
            <w:gridSpan w:val="2"/>
          </w:tcPr>
          <w:p w14:paraId="7E15F998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b/>
                <w:sz w:val="22"/>
                <w:szCs w:val="22"/>
              </w:rPr>
            </w:pPr>
            <w:r w:rsidRPr="00940477">
              <w:rPr>
                <w:rFonts w:cs="Arial"/>
                <w:b/>
                <w:sz w:val="22"/>
                <w:szCs w:val="22"/>
              </w:rPr>
              <w:t>When organisations have more time to develop their PSP policy and/or handbook, they should add the following:</w:t>
            </w:r>
          </w:p>
        </w:tc>
      </w:tr>
      <w:tr w:rsidR="00940477" w:rsidRPr="00940477" w14:paraId="5567D7C2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470C34DA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Recruitment and selection procedure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3A54770C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0A9E000D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0BCD037F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Patient safety partner agreement (if appropriate)</w:t>
            </w:r>
          </w:p>
        </w:tc>
        <w:tc>
          <w:tcPr>
            <w:tcW w:w="1418" w:type="dxa"/>
          </w:tcPr>
          <w:p w14:paraId="530BE6B1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7939E2C3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p w14:paraId="6A74ADD7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Induction and training checklist and content</w:t>
            </w: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193DF703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57D5AE6B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p w14:paraId="3CBD4747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  <w:r w:rsidRPr="00940477">
              <w:rPr>
                <w:rFonts w:cs="Arial"/>
                <w:color w:val="auto"/>
                <w:sz w:val="22"/>
                <w:szCs w:val="22"/>
              </w:rPr>
              <w:t>Support and supervision information</w:t>
            </w:r>
          </w:p>
        </w:tc>
        <w:tc>
          <w:tcPr>
            <w:tcW w:w="1418" w:type="dxa"/>
          </w:tcPr>
          <w:p w14:paraId="4464531F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3826B201" w14:textId="77777777" w:rsidTr="009C6B14">
        <w:tc>
          <w:tcPr>
            <w:tcW w:w="9072" w:type="dxa"/>
            <w:tcBorders>
              <w:top w:val="single" w:sz="4" w:space="0" w:color="005EB8"/>
              <w:left w:val="nil"/>
              <w:bottom w:val="single" w:sz="4" w:space="0" w:color="005EB8"/>
            </w:tcBorders>
          </w:tcPr>
          <w:tbl>
            <w:tblPr>
              <w:tblStyle w:val="TableGrid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1904"/>
            </w:tblGrid>
            <w:tr w:rsidR="00940477" w:rsidRPr="00940477" w14:paraId="04A2909E" w14:textId="77777777" w:rsidTr="009C6B14">
              <w:trPr>
                <w:trHeight w:val="358"/>
              </w:trPr>
              <w:tc>
                <w:tcPr>
                  <w:tcW w:w="7338" w:type="dxa"/>
                </w:tcPr>
                <w:p w14:paraId="3B9116C3" w14:textId="77777777" w:rsidR="00940477" w:rsidRPr="00940477" w:rsidRDefault="00940477" w:rsidP="009C6B14">
                  <w:pPr>
                    <w:autoSpaceDE w:val="0"/>
                    <w:autoSpaceDN w:val="0"/>
                    <w:adjustRightInd w:val="0"/>
                    <w:spacing w:line="300" w:lineRule="atLeast"/>
                    <w:rPr>
                      <w:rFonts w:ascii="Arial" w:hAnsi="Arial" w:cs="Arial"/>
                      <w:szCs w:val="22"/>
                    </w:rPr>
                  </w:pPr>
                  <w:r w:rsidRPr="00940477">
                    <w:rPr>
                      <w:rFonts w:ascii="Arial" w:hAnsi="Arial" w:cs="Arial"/>
                      <w:szCs w:val="22"/>
                    </w:rPr>
                    <w:t>Monitoring and evaluation information</w:t>
                  </w:r>
                </w:p>
              </w:tc>
              <w:tc>
                <w:tcPr>
                  <w:tcW w:w="1904" w:type="dxa"/>
                </w:tcPr>
                <w:p w14:paraId="48231327" w14:textId="77777777" w:rsidR="00940477" w:rsidRPr="00940477" w:rsidRDefault="00940477" w:rsidP="009C6B14">
                  <w:pPr>
                    <w:autoSpaceDE w:val="0"/>
                    <w:autoSpaceDN w:val="0"/>
                    <w:adjustRightInd w:val="0"/>
                    <w:spacing w:line="300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B92C1E1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5EB8"/>
              <w:bottom w:val="single" w:sz="4" w:space="0" w:color="005EB8"/>
            </w:tcBorders>
          </w:tcPr>
          <w:p w14:paraId="7824D5B0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940477" w:rsidRPr="00940477" w14:paraId="5643C88B" w14:textId="77777777" w:rsidTr="009C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72" w:type="dxa"/>
          </w:tcPr>
          <w:tbl>
            <w:tblPr>
              <w:tblStyle w:val="TableGrid"/>
              <w:tblW w:w="9242" w:type="dxa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1904"/>
            </w:tblGrid>
            <w:tr w:rsidR="00940477" w:rsidRPr="00940477" w14:paraId="6A8E423C" w14:textId="77777777" w:rsidTr="009C6B14">
              <w:tc>
                <w:tcPr>
                  <w:tcW w:w="7338" w:type="dxa"/>
                </w:tcPr>
                <w:p w14:paraId="3F87ADF3" w14:textId="77777777" w:rsidR="00940477" w:rsidRPr="00940477" w:rsidRDefault="00940477" w:rsidP="009C6B14">
                  <w:pPr>
                    <w:autoSpaceDE w:val="0"/>
                    <w:autoSpaceDN w:val="0"/>
                    <w:adjustRightInd w:val="0"/>
                    <w:spacing w:line="300" w:lineRule="atLeast"/>
                    <w:rPr>
                      <w:rFonts w:ascii="Arial" w:hAnsi="Arial" w:cs="Arial"/>
                      <w:szCs w:val="22"/>
                    </w:rPr>
                  </w:pPr>
                  <w:r w:rsidRPr="00940477">
                    <w:rPr>
                      <w:rFonts w:ascii="Arial" w:hAnsi="Arial" w:cs="Arial"/>
                      <w:szCs w:val="22"/>
                    </w:rPr>
                    <w:t xml:space="preserve">Procedure for recognition of patient safety partners </w:t>
                  </w:r>
                </w:p>
              </w:tc>
              <w:tc>
                <w:tcPr>
                  <w:tcW w:w="1904" w:type="dxa"/>
                </w:tcPr>
                <w:p w14:paraId="53291818" w14:textId="77777777" w:rsidR="00940477" w:rsidRPr="00940477" w:rsidRDefault="00940477" w:rsidP="009C6B14">
                  <w:pPr>
                    <w:autoSpaceDE w:val="0"/>
                    <w:autoSpaceDN w:val="0"/>
                    <w:adjustRightInd w:val="0"/>
                    <w:spacing w:line="300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E8FD8C0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B3F9A" w14:textId="77777777" w:rsidR="00940477" w:rsidRPr="00940477" w:rsidRDefault="00940477" w:rsidP="009C6B14">
            <w:pPr>
              <w:pStyle w:val="BodyText2"/>
              <w:spacing w:after="0" w:line="30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01714EEC" w14:textId="77777777" w:rsidR="00940477" w:rsidRPr="00940477" w:rsidRDefault="00940477" w:rsidP="00940477">
      <w:pPr>
        <w:tabs>
          <w:tab w:val="left" w:pos="2210"/>
        </w:tabs>
        <w:rPr>
          <w:rFonts w:ascii="Arial" w:hAnsi="Arial" w:cs="Arial"/>
        </w:rPr>
        <w:sectPr w:rsidR="00940477" w:rsidRPr="00940477" w:rsidSect="00041B14">
          <w:footnotePr>
            <w:numStart w:val="7"/>
          </w:footnotePr>
          <w:pgSz w:w="11907" w:h="16840" w:code="9"/>
          <w:pgMar w:top="1440" w:right="1440" w:bottom="1440" w:left="1440" w:header="720" w:footer="720" w:gutter="0"/>
          <w:cols w:space="708"/>
          <w:noEndnote/>
          <w:docGrid w:linePitch="326"/>
        </w:sectPr>
      </w:pPr>
    </w:p>
    <w:p w14:paraId="24718B18" w14:textId="4863E9F9" w:rsidR="00940477" w:rsidRPr="00940477" w:rsidRDefault="00940477">
      <w:pPr>
        <w:rPr>
          <w:rFonts w:ascii="Arial" w:hAnsi="Arial" w:cs="Arial"/>
        </w:rPr>
      </w:pPr>
    </w:p>
    <w:sectPr w:rsidR="00940477" w:rsidRPr="0094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sDel="0"/>
  <w:defaultTabStop w:val="720"/>
  <w:characterSpacingControl w:val="doNotCompress"/>
  <w:footnotePr>
    <w:numStart w:val="7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7"/>
    <w:rsid w:val="009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80F9"/>
  <w15:chartTrackingRefBased/>
  <w15:docId w15:val="{B37A5FC5-05EC-4534-8F1F-6FE24BA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BodyText"/>
    <w:link w:val="Heading1Char"/>
    <w:uiPriority w:val="9"/>
    <w:qFormat/>
    <w:rsid w:val="00940477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ascii="Arial" w:eastAsiaTheme="majorEastAsia" w:hAnsi="Arial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40477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uiPriority w:val="99"/>
    <w:qFormat/>
    <w:rsid w:val="00940477"/>
    <w:pPr>
      <w:numPr>
        <w:ilvl w:val="1"/>
        <w:numId w:val="1"/>
      </w:num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477"/>
    <w:rPr>
      <w:rFonts w:ascii="Arial" w:hAnsi="Arial"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940477"/>
    <w:pPr>
      <w:spacing w:after="0" w:line="240" w:lineRule="auto"/>
    </w:pPr>
    <w:rPr>
      <w:szCs w:val="24"/>
    </w:rPr>
    <w:tblPr>
      <w:tblCellMar>
        <w:left w:w="0" w:type="dxa"/>
        <w:right w:w="0" w:type="dxa"/>
      </w:tblCellMar>
    </w:tblPr>
  </w:style>
  <w:style w:type="numbering" w:customStyle="1" w:styleId="NHSOutlineLevels">
    <w:name w:val="NHS Outline Levels"/>
    <w:basedOn w:val="NoList"/>
    <w:uiPriority w:val="99"/>
    <w:rsid w:val="00940477"/>
    <w:pPr>
      <w:numPr>
        <w:numId w:val="1"/>
      </w:numPr>
    </w:pPr>
  </w:style>
  <w:style w:type="table" w:customStyle="1" w:styleId="NHSTable">
    <w:name w:val="NHS Table"/>
    <w:basedOn w:val="TableNormal"/>
    <w:uiPriority w:val="99"/>
    <w:rsid w:val="00940477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940477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940477"/>
    <w:rPr>
      <w:rFonts w:ascii="Arial" w:hAnsi="Arial"/>
      <w:color w:val="231F20"/>
      <w:sz w:val="24"/>
      <w:szCs w:val="24"/>
    </w:rPr>
  </w:style>
  <w:style w:type="paragraph" w:customStyle="1" w:styleId="TableText">
    <w:name w:val="Table Text"/>
    <w:basedOn w:val="Normal"/>
    <w:qFormat/>
    <w:rsid w:val="00940477"/>
    <w:pPr>
      <w:spacing w:after="0" w:line="240" w:lineRule="auto"/>
    </w:pPr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James Nicholls</cp:lastModifiedBy>
  <cp:revision>1</cp:revision>
  <dcterms:created xsi:type="dcterms:W3CDTF">2021-06-24T13:57:00Z</dcterms:created>
  <dcterms:modified xsi:type="dcterms:W3CDTF">2021-06-24T14:00:00Z</dcterms:modified>
</cp:coreProperties>
</file>