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159E3" w14:textId="77777777" w:rsidR="008E6AE9" w:rsidRPr="009611BE" w:rsidRDefault="008E6AE9" w:rsidP="007542A0"/>
    <w:tbl>
      <w:tblPr>
        <w:tblStyle w:val="TableGrid"/>
        <w:tblpPr w:vertAnchor="page" w:horzAnchor="margin" w:tblpY="625"/>
        <w:tblOverlap w:val="never"/>
        <w:tblW w:w="6804" w:type="dxa"/>
        <w:tblLook w:val="04A0" w:firstRow="1" w:lastRow="0" w:firstColumn="1" w:lastColumn="0" w:noHBand="0" w:noVBand="1"/>
      </w:tblPr>
      <w:tblGrid>
        <w:gridCol w:w="6804"/>
      </w:tblGrid>
      <w:tr w:rsidR="00C94874" w:rsidRPr="009611BE" w14:paraId="2F14338B" w14:textId="77777777" w:rsidTr="00994709">
        <w:trPr>
          <w:trHeight w:val="642"/>
        </w:trPr>
        <w:tc>
          <w:tcPr>
            <w:tcW w:w="8901" w:type="dxa"/>
          </w:tcPr>
          <w:p w14:paraId="09922514" w14:textId="77777777" w:rsidR="00A11341" w:rsidRPr="009611BE" w:rsidRDefault="00A11341" w:rsidP="00E01307">
            <w:pPr>
              <w:pStyle w:val="Classification"/>
            </w:pPr>
          </w:p>
          <w:sdt>
            <w:sdtPr>
              <w:alias w:val="Protective Marking"/>
              <w:tag w:val="Protective Marking"/>
              <w:id w:val="-1097942897"/>
              <w:placeholder>
                <w:docPart w:val="F275438A7A3A485C983EDD7EED37BEFA"/>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p w14:paraId="58C23FBE" w14:textId="59A3328D" w:rsidR="00C94874" w:rsidRPr="009611BE" w:rsidRDefault="00A11341" w:rsidP="00E01307">
                <w:pPr>
                  <w:pStyle w:val="Classification"/>
                </w:pPr>
                <w:r w:rsidRPr="009611BE">
                  <w:t>Classification: Official</w:t>
                </w:r>
              </w:p>
            </w:sdtContent>
          </w:sdt>
        </w:tc>
      </w:tr>
      <w:tr w:rsidR="00C94874" w:rsidRPr="009611BE" w14:paraId="5ED32DC8" w14:textId="77777777" w:rsidTr="00994709">
        <w:tc>
          <w:tcPr>
            <w:tcW w:w="8901" w:type="dxa"/>
          </w:tcPr>
          <w:p w14:paraId="47B24932" w14:textId="77777777" w:rsidR="00A11341" w:rsidRPr="009611BE" w:rsidRDefault="00A11341" w:rsidP="00E01307">
            <w:pPr>
              <w:pStyle w:val="Classification"/>
            </w:pPr>
          </w:p>
          <w:p w14:paraId="350A14F8" w14:textId="61548417" w:rsidR="00C94874" w:rsidRPr="009611BE" w:rsidRDefault="00C94874" w:rsidP="00E01307">
            <w:pPr>
              <w:pStyle w:val="Classification"/>
            </w:pPr>
            <w:r w:rsidRPr="009611BE">
              <w:t xml:space="preserve">Publication approval reference: </w:t>
            </w:r>
            <w:r w:rsidR="00186EDE">
              <w:t>PAR</w:t>
            </w:r>
            <w:r w:rsidR="00F8634A" w:rsidRPr="009611BE">
              <w:t>709</w:t>
            </w:r>
          </w:p>
        </w:tc>
      </w:tr>
    </w:tbl>
    <w:p w14:paraId="66903AA1" w14:textId="77777777" w:rsidR="001241F4" w:rsidRPr="009611BE" w:rsidRDefault="001241F4" w:rsidP="00991A82">
      <w:pPr>
        <w:sectPr w:rsidR="001241F4" w:rsidRPr="009611BE" w:rsidSect="001C3440">
          <w:headerReference w:type="default" r:id="rId11"/>
          <w:pgSz w:w="11906" w:h="16838" w:code="9"/>
          <w:pgMar w:top="1191" w:right="1021" w:bottom="1247" w:left="1021" w:header="709" w:footer="709" w:gutter="0"/>
          <w:cols w:space="708"/>
          <w:docGrid w:linePitch="360"/>
        </w:sectPr>
      </w:pPr>
    </w:p>
    <w:p w14:paraId="46261EAF" w14:textId="2F95BF7E" w:rsidR="00F86A73" w:rsidRPr="009611BE" w:rsidRDefault="00F8634A" w:rsidP="005D41AF">
      <w:pPr>
        <w:pStyle w:val="Title"/>
      </w:pPr>
      <w:r w:rsidRPr="009611BE">
        <w:t>Maternal medicine network service specification</w:t>
      </w:r>
    </w:p>
    <w:p w14:paraId="3F740481" w14:textId="1A7D4708" w:rsidR="00F86A73" w:rsidRPr="009611BE" w:rsidRDefault="00D14E67" w:rsidP="004B04BF">
      <w:pPr>
        <w:pStyle w:val="Subtitle"/>
      </w:pPr>
      <w:sdt>
        <w:sdtPr>
          <w:alias w:val="Date"/>
          <w:tag w:val="Date"/>
          <w:id w:val="-1379391513"/>
          <w:placeholder>
            <w:docPart w:val="348EACFE42EA46A1A007A7951995AC1C"/>
          </w:placeholder>
          <w:date w:fullDate="2021-10-13T00:00:00Z">
            <w:dateFormat w:val="d MMMM yyyy"/>
            <w:lid w:val="en-GB"/>
            <w:storeMappedDataAs w:val="dateTime"/>
            <w:calendar w:val="gregorian"/>
          </w:date>
        </w:sdtPr>
        <w:sdtEndPr/>
        <w:sdtContent>
          <w:r w:rsidR="00E02DFB">
            <w:t>13 October 2021</w:t>
          </w:r>
        </w:sdtContent>
      </w:sdt>
      <w:r w:rsidR="00034F35" w:rsidRPr="009611BE">
        <w:t>,</w:t>
      </w:r>
      <w:r w:rsidR="004B04BF" w:rsidRPr="009611BE">
        <w:t xml:space="preserve"> Version </w:t>
      </w:r>
      <w:r w:rsidR="00F8634A" w:rsidRPr="009611BE">
        <w:t>1</w:t>
      </w:r>
    </w:p>
    <w:p w14:paraId="60DD960A" w14:textId="1D78AAAA" w:rsidR="004B04BF" w:rsidRPr="009611BE" w:rsidRDefault="00F8634A" w:rsidP="00F8634A">
      <w:pPr>
        <w:pStyle w:val="Heading1Numbered"/>
      </w:pPr>
      <w:r w:rsidRPr="009611BE">
        <w:t>Scope</w:t>
      </w:r>
    </w:p>
    <w:p w14:paraId="593E996E" w14:textId="606A6AE8" w:rsidR="00034F35" w:rsidRPr="009611BE" w:rsidRDefault="00F8634A" w:rsidP="00103E71">
      <w:pPr>
        <w:pStyle w:val="Heading2Numbered"/>
      </w:pPr>
      <w:r w:rsidRPr="009611BE">
        <w:t>Service</w:t>
      </w:r>
    </w:p>
    <w:p w14:paraId="6E3D6FEA" w14:textId="500B7C38" w:rsidR="00034F35" w:rsidRPr="009611BE" w:rsidRDefault="00F8634A" w:rsidP="00F8634A">
      <w:pPr>
        <w:pStyle w:val="BodyText"/>
      </w:pPr>
      <w:r w:rsidRPr="009611BE">
        <w:t xml:space="preserve">This model service specification covers the provision of </w:t>
      </w:r>
      <w:r w:rsidR="00103E71" w:rsidRPr="009611BE">
        <w:t>m</w:t>
      </w:r>
      <w:r w:rsidRPr="009611BE">
        <w:t xml:space="preserve">aternal </w:t>
      </w:r>
      <w:r w:rsidR="00103E71" w:rsidRPr="009611BE">
        <w:t>m</w:t>
      </w:r>
      <w:r w:rsidRPr="009611BE">
        <w:t xml:space="preserve">edicine </w:t>
      </w:r>
      <w:r w:rsidR="00103E71" w:rsidRPr="009611BE">
        <w:t>n</w:t>
      </w:r>
      <w:r w:rsidRPr="009611BE">
        <w:t>etworks (MMNs). The definitions and dependencies set out below should be used as a guide to establish a service that is tailored to local expertise, needs and opportunities.</w:t>
      </w:r>
    </w:p>
    <w:p w14:paraId="55B0DAD9" w14:textId="63430178" w:rsidR="00034F35" w:rsidRPr="009611BE" w:rsidRDefault="00F8634A" w:rsidP="00103E71">
      <w:pPr>
        <w:pStyle w:val="Heading2Numbered"/>
      </w:pPr>
      <w:r w:rsidRPr="009611BE">
        <w:t>Description</w:t>
      </w:r>
    </w:p>
    <w:p w14:paraId="39315C51" w14:textId="632436F4" w:rsidR="00034F35" w:rsidRPr="009611BE" w:rsidRDefault="00103E71" w:rsidP="00F8634A">
      <w:pPr>
        <w:pStyle w:val="BodyText"/>
      </w:pPr>
      <w:r w:rsidRPr="009611BE">
        <w:t>MMNs</w:t>
      </w:r>
      <w:r w:rsidR="00F8634A" w:rsidRPr="009611BE">
        <w:t xml:space="preserve"> include pre-pregnancy, antenatal and postnatal care for women who have significant medical problems that pre-date or arise in pregnancy or the puerperium.</w:t>
      </w:r>
    </w:p>
    <w:p w14:paraId="0BEC3828" w14:textId="5C4D8ABB" w:rsidR="00034F35" w:rsidRPr="009611BE" w:rsidRDefault="00F8634A" w:rsidP="00F8634A">
      <w:pPr>
        <w:pStyle w:val="BodyText"/>
      </w:pPr>
      <w:r w:rsidRPr="009611BE">
        <w:t xml:space="preserve">Maternal morbidity and mortality are increased by diseases that pre-date pregnancy, and by complications that arise during pregnancy. Pregnancy induces significant changes in all aspects of physiology and so in treatment, optimal outcomes are achieved where care for pregnant women is guided by consultants with specific pregnancy expertise, with input from relevant physicians, rather than the other way round. As many of these conditions are uncommon, advice </w:t>
      </w:r>
      <w:r w:rsidR="001F3D53" w:rsidRPr="009611BE">
        <w:t>–</w:t>
      </w:r>
      <w:r w:rsidRPr="009611BE">
        <w:t xml:space="preserve"> and for some women, care </w:t>
      </w:r>
      <w:r w:rsidR="001F3D53" w:rsidRPr="009611BE">
        <w:t>–</w:t>
      </w:r>
      <w:r w:rsidRPr="009611BE">
        <w:t xml:space="preserve"> should be provided in a small number of designated specialist centres </w:t>
      </w:r>
      <w:r w:rsidR="001F3D53" w:rsidRPr="009611BE">
        <w:t>to</w:t>
      </w:r>
      <w:r w:rsidRPr="009611BE">
        <w:t xml:space="preserve"> concentrate expertise and improve outcomes.</w:t>
      </w:r>
    </w:p>
    <w:p w14:paraId="57BD1BB4" w14:textId="77777777" w:rsidR="00172B13" w:rsidRPr="009611BE" w:rsidRDefault="00F8634A" w:rsidP="00F8634A">
      <w:pPr>
        <w:pStyle w:val="BodyText"/>
        <w:sectPr w:rsidR="00172B13" w:rsidRPr="009611BE" w:rsidSect="001C3440">
          <w:headerReference w:type="default" r:id="rId12"/>
          <w:footerReference w:type="default" r:id="rId13"/>
          <w:type w:val="continuous"/>
          <w:pgSz w:w="11906" w:h="16838" w:code="9"/>
          <w:pgMar w:top="1191" w:right="1021" w:bottom="1247" w:left="1021" w:header="624" w:footer="510" w:gutter="0"/>
          <w:cols w:space="708"/>
          <w:docGrid w:linePitch="360"/>
        </w:sectPr>
      </w:pPr>
      <w:r w:rsidRPr="009611BE">
        <w:t>Medical disease relevant to a maternal medicine service includes but is not limited to:</w:t>
      </w:r>
    </w:p>
    <w:p w14:paraId="3D5D5439" w14:textId="58F32A15" w:rsidR="00F8634A" w:rsidRPr="009611BE" w:rsidRDefault="00F8634A" w:rsidP="001F3D53">
      <w:pPr>
        <w:pStyle w:val="ListBullet"/>
      </w:pPr>
      <w:r w:rsidRPr="009611BE">
        <w:t>Cardiac disease</w:t>
      </w:r>
    </w:p>
    <w:p w14:paraId="4074D0F2" w14:textId="6BEA4984" w:rsidR="00F8634A" w:rsidRPr="009611BE" w:rsidRDefault="00F8634A" w:rsidP="001F3D53">
      <w:pPr>
        <w:pStyle w:val="ListBullet"/>
      </w:pPr>
      <w:r w:rsidRPr="009611BE">
        <w:t>Respiratory disease</w:t>
      </w:r>
    </w:p>
    <w:p w14:paraId="5C809D44" w14:textId="7964D8AA" w:rsidR="00F8634A" w:rsidRPr="009611BE" w:rsidRDefault="00F8634A" w:rsidP="001F3D53">
      <w:pPr>
        <w:pStyle w:val="ListBullet"/>
      </w:pPr>
      <w:r w:rsidRPr="009611BE">
        <w:t>Renal disease</w:t>
      </w:r>
    </w:p>
    <w:p w14:paraId="4D1E333D" w14:textId="1666031E" w:rsidR="00F8634A" w:rsidRPr="009611BE" w:rsidRDefault="00F8634A" w:rsidP="001F3D53">
      <w:pPr>
        <w:pStyle w:val="ListBullet"/>
      </w:pPr>
      <w:r w:rsidRPr="009611BE">
        <w:t>Haematology</w:t>
      </w:r>
    </w:p>
    <w:p w14:paraId="1AA07677" w14:textId="2506AC28" w:rsidR="00F8634A" w:rsidRPr="009611BE" w:rsidRDefault="00F8634A" w:rsidP="001F3D53">
      <w:pPr>
        <w:pStyle w:val="ListBullet"/>
      </w:pPr>
      <w:r w:rsidRPr="009611BE">
        <w:t>Rheumatological disease</w:t>
      </w:r>
    </w:p>
    <w:p w14:paraId="18ED7BC4" w14:textId="0C1DA1A6" w:rsidR="00F8634A" w:rsidRPr="009611BE" w:rsidRDefault="00F8634A" w:rsidP="001F3D53">
      <w:pPr>
        <w:pStyle w:val="ListBullet"/>
      </w:pPr>
      <w:r w:rsidRPr="009611BE">
        <w:t>Endocrine disease</w:t>
      </w:r>
    </w:p>
    <w:p w14:paraId="69B1BB15" w14:textId="10221F0B" w:rsidR="00F8634A" w:rsidRPr="009611BE" w:rsidRDefault="00F8634A" w:rsidP="001F3D53">
      <w:pPr>
        <w:pStyle w:val="ListBullet"/>
      </w:pPr>
      <w:r w:rsidRPr="009611BE">
        <w:t>Gastrointestinal and liver disease</w:t>
      </w:r>
    </w:p>
    <w:p w14:paraId="62630D43" w14:textId="0B253F93" w:rsidR="00F8634A" w:rsidRPr="009611BE" w:rsidRDefault="00F8634A" w:rsidP="001F3D53">
      <w:pPr>
        <w:pStyle w:val="ListBullet"/>
      </w:pPr>
      <w:r w:rsidRPr="009611BE">
        <w:t>Neurological disease</w:t>
      </w:r>
    </w:p>
    <w:p w14:paraId="0D00AE1E" w14:textId="23B0ABB0" w:rsidR="00F8634A" w:rsidRPr="009611BE" w:rsidRDefault="00F8634A" w:rsidP="001F3D53">
      <w:pPr>
        <w:pStyle w:val="ListBullet"/>
      </w:pPr>
      <w:r w:rsidRPr="009611BE">
        <w:t>Skin disease</w:t>
      </w:r>
    </w:p>
    <w:p w14:paraId="6A3293CB" w14:textId="77777777" w:rsidR="00172B13" w:rsidRPr="009611BE" w:rsidRDefault="00F8634A" w:rsidP="001F3D53">
      <w:pPr>
        <w:pStyle w:val="LastBullet"/>
        <w:sectPr w:rsidR="00172B13" w:rsidRPr="009611BE" w:rsidSect="00172B13">
          <w:type w:val="continuous"/>
          <w:pgSz w:w="11906" w:h="16838" w:code="9"/>
          <w:pgMar w:top="1191" w:right="1021" w:bottom="1247" w:left="1021" w:header="624" w:footer="510" w:gutter="0"/>
          <w:cols w:num="2" w:space="708"/>
          <w:docGrid w:linePitch="360"/>
        </w:sectPr>
      </w:pPr>
      <w:r w:rsidRPr="009611BE">
        <w:t>Cancer</w:t>
      </w:r>
      <w:r w:rsidR="001F3D53" w:rsidRPr="009611BE">
        <w:t>.</w:t>
      </w:r>
    </w:p>
    <w:p w14:paraId="30450B66" w14:textId="35AF58EE" w:rsidR="00F8634A" w:rsidRPr="009611BE" w:rsidRDefault="00F8634A" w:rsidP="00172B13">
      <w:pPr>
        <w:pStyle w:val="BodyText"/>
        <w:keepNext/>
      </w:pPr>
      <w:r w:rsidRPr="009611BE">
        <w:lastRenderedPageBreak/>
        <w:t>It also includes acute illness where the underlying condition is not clear, such as:</w:t>
      </w:r>
    </w:p>
    <w:p w14:paraId="63D32484" w14:textId="7B67F54E" w:rsidR="00F8634A" w:rsidRPr="009611BE" w:rsidRDefault="00F8634A" w:rsidP="001F3D53">
      <w:pPr>
        <w:pStyle w:val="ListBullet"/>
      </w:pPr>
      <w:r w:rsidRPr="009611BE">
        <w:t>Headache</w:t>
      </w:r>
    </w:p>
    <w:p w14:paraId="362CBB56" w14:textId="47CC6F2D" w:rsidR="00F8634A" w:rsidRPr="009611BE" w:rsidRDefault="00F8634A" w:rsidP="001F3D53">
      <w:pPr>
        <w:pStyle w:val="ListBullet"/>
      </w:pPr>
      <w:r w:rsidRPr="009611BE">
        <w:t>Breathlessness</w:t>
      </w:r>
    </w:p>
    <w:p w14:paraId="6D1BB4D8" w14:textId="611B4549" w:rsidR="00F8634A" w:rsidRPr="009611BE" w:rsidRDefault="00F8634A" w:rsidP="001F3D53">
      <w:pPr>
        <w:pStyle w:val="ListBullet"/>
      </w:pPr>
      <w:r w:rsidRPr="009611BE">
        <w:t>Chest pain</w:t>
      </w:r>
    </w:p>
    <w:p w14:paraId="5AF5C42B" w14:textId="04393D25" w:rsidR="00F8634A" w:rsidRPr="009611BE" w:rsidRDefault="00F8634A" w:rsidP="001F3D53">
      <w:pPr>
        <w:pStyle w:val="ListBullet"/>
      </w:pPr>
      <w:r w:rsidRPr="009611BE">
        <w:t>Abdominal pain</w:t>
      </w:r>
    </w:p>
    <w:p w14:paraId="0BF7F3BC" w14:textId="2F379AC2" w:rsidR="00034F35" w:rsidRPr="009611BE" w:rsidRDefault="00F8634A" w:rsidP="001F3D53">
      <w:pPr>
        <w:pStyle w:val="LastBullet"/>
      </w:pPr>
      <w:r w:rsidRPr="009611BE">
        <w:t>Fever/sepsis</w:t>
      </w:r>
      <w:r w:rsidR="001F3D53" w:rsidRPr="009611BE">
        <w:t>.</w:t>
      </w:r>
    </w:p>
    <w:p w14:paraId="10E71DBA" w14:textId="36745C4E" w:rsidR="00034F35" w:rsidRPr="009611BE" w:rsidRDefault="00D14E67" w:rsidP="00F8634A">
      <w:pPr>
        <w:pStyle w:val="BodyText"/>
      </w:pPr>
      <w:hyperlink r:id="rId14" w:history="1">
        <w:r w:rsidR="00F8634A" w:rsidRPr="009611BE">
          <w:rPr>
            <w:rStyle w:val="Hyperlink"/>
          </w:rPr>
          <w:t>Recent MBRRACE reports</w:t>
        </w:r>
      </w:hyperlink>
      <w:r w:rsidR="00F8634A" w:rsidRPr="009611BE">
        <w:t xml:space="preserve"> show that progress to reduce the triennial rate of maternal death nationally has stalled since 2011-13. For 2016-18, ‘Indirect’ causes of maternal death </w:t>
      </w:r>
      <w:r w:rsidR="001F3D53" w:rsidRPr="009611BE">
        <w:t>–</w:t>
      </w:r>
      <w:r w:rsidR="00F8634A" w:rsidRPr="009611BE">
        <w:t xml:space="preserve"> such as cardiac and neurological disease, and sepsis </w:t>
      </w:r>
      <w:r w:rsidR="001F3D53" w:rsidRPr="009611BE">
        <w:t>–</w:t>
      </w:r>
      <w:r w:rsidR="00F8634A" w:rsidRPr="009611BE">
        <w:t xml:space="preserve"> continue to outweigh ‘direct’ causes. More than two thirds of women who died had pre-existing physical or mental health problems. In 2016-18, 23% of deaths were attributed to cardiac disease alone, and 13% occurred in women with epilepsy. Many of these deaths could potentially be avoided by early referral to a </w:t>
      </w:r>
      <w:r w:rsidR="00DC7CBB" w:rsidRPr="009611BE">
        <w:t>multidisciplinary team</w:t>
      </w:r>
      <w:r w:rsidR="00172B13" w:rsidRPr="009611BE">
        <w:t xml:space="preserve"> (MDT)</w:t>
      </w:r>
      <w:r w:rsidR="00F8634A" w:rsidRPr="009611BE">
        <w:t xml:space="preserve"> of physicians, obstetricians, midwives, nurses, psychiatrists and other specialists with specific training and experience in the care of medical diseases in pregnancy.</w:t>
      </w:r>
    </w:p>
    <w:p w14:paraId="0E2BCF80" w14:textId="124308AB" w:rsidR="00034F35" w:rsidRPr="009611BE" w:rsidRDefault="00F8634A" w:rsidP="00F8634A">
      <w:pPr>
        <w:pStyle w:val="BodyText"/>
      </w:pPr>
      <w:r w:rsidRPr="009611BE">
        <w:t>MBRRACE reports and experience during the COVID-19 pandemic have highlighted that some women, particularly those from Black, Asian or some ethnic minority backgrounds, as well as those in the most socially deprived groups, are more likely to die during or after pregnancy. Tackling these inequalities needs focussed multidisciplinary leadership, to ensure that women receive the best, most suitable care in healthcare settings that are accessible and where care is explicitly designed to meet their needs.</w:t>
      </w:r>
      <w:r w:rsidR="00034F35" w:rsidRPr="009611BE">
        <w:t xml:space="preserve"> </w:t>
      </w:r>
      <w:r w:rsidRPr="009611BE">
        <w:t>Our vision is to ensure exceptional quality care for all through equitable access, excellent experience and optimal outcomes.</w:t>
      </w:r>
    </w:p>
    <w:p w14:paraId="2FD1DAEB" w14:textId="324B4F3E" w:rsidR="007B7DC2" w:rsidRPr="009611BE" w:rsidRDefault="00F8634A" w:rsidP="00F8634A">
      <w:pPr>
        <w:pStyle w:val="BodyText"/>
      </w:pPr>
      <w:r w:rsidRPr="009611BE">
        <w:t>MBRRACE reviews have also identified maternal suicide as the leading cause of direct deaths within a year after pregnancy. While this specification focuses on the identification and management of physical health issues, effective collaboration between physical and mental health services is vital. Evidence shows that services designed in an integrated way reduce stigma of mental health, improve patient experience and outcomes by providing more coordinated and collaborative care.</w:t>
      </w:r>
    </w:p>
    <w:p w14:paraId="7FA9A738" w14:textId="0653AFF9" w:rsidR="00F8634A" w:rsidRPr="009611BE" w:rsidRDefault="00F8634A" w:rsidP="00F8634A">
      <w:pPr>
        <w:pStyle w:val="Heading1Numbered"/>
      </w:pPr>
      <w:r w:rsidRPr="009611BE">
        <w:lastRenderedPageBreak/>
        <w:t>Care pathway and clinical dependencies</w:t>
      </w:r>
    </w:p>
    <w:p w14:paraId="0B371F19" w14:textId="1019BE3F" w:rsidR="00034F35" w:rsidRPr="009611BE" w:rsidRDefault="00F8634A" w:rsidP="003B3612">
      <w:pPr>
        <w:pStyle w:val="Heading2Numbered"/>
      </w:pPr>
      <w:r w:rsidRPr="009611BE">
        <w:t xml:space="preserve">Care </w:t>
      </w:r>
      <w:r w:rsidR="003B3612" w:rsidRPr="009611BE">
        <w:t>p</w:t>
      </w:r>
      <w:r w:rsidRPr="009611BE">
        <w:t>athway</w:t>
      </w:r>
    </w:p>
    <w:p w14:paraId="6FED36E0" w14:textId="53BC8283" w:rsidR="00034F35" w:rsidRPr="009611BE" w:rsidRDefault="003B3612" w:rsidP="003B3612">
      <w:pPr>
        <w:pStyle w:val="Heading3"/>
      </w:pPr>
      <w:r w:rsidRPr="009611BE">
        <w:t>MMNs</w:t>
      </w:r>
      <w:r w:rsidR="00F8634A" w:rsidRPr="009611BE">
        <w:t xml:space="preserve"> and </w:t>
      </w:r>
      <w:r w:rsidRPr="009611BE">
        <w:t>m</w:t>
      </w:r>
      <w:r w:rsidR="00F8634A" w:rsidRPr="009611BE">
        <w:t xml:space="preserve">aternal </w:t>
      </w:r>
      <w:r w:rsidRPr="009611BE">
        <w:t>m</w:t>
      </w:r>
      <w:r w:rsidR="00F8634A" w:rsidRPr="009611BE">
        <w:t xml:space="preserve">edicine </w:t>
      </w:r>
      <w:r w:rsidRPr="009611BE">
        <w:t>c</w:t>
      </w:r>
      <w:r w:rsidR="00F8634A" w:rsidRPr="009611BE">
        <w:t>entres (MMCs)</w:t>
      </w:r>
    </w:p>
    <w:p w14:paraId="30E4D030" w14:textId="6103FD74" w:rsidR="00034F35" w:rsidRPr="009611BE" w:rsidRDefault="00F8634A" w:rsidP="00F8634A">
      <w:pPr>
        <w:pStyle w:val="BodyText"/>
      </w:pPr>
      <w:r w:rsidRPr="009611BE">
        <w:t xml:space="preserve">The MMN is responsible for ensuring that all women in the network’s footprint with significant medical problems will receive timely specialist care and advice before, during, and after pregnancy. All constituent providers within the </w:t>
      </w:r>
      <w:r w:rsidR="003B3612" w:rsidRPr="009611BE">
        <w:t>n</w:t>
      </w:r>
      <w:r w:rsidRPr="009611BE">
        <w:t>etwork will be responsible for agreeing and upholding shared protocols on the management and referral of women with medical conditions, including reviewing guidelines and referral pathways.</w:t>
      </w:r>
    </w:p>
    <w:p w14:paraId="67D7B6E6" w14:textId="4151FE2E" w:rsidR="00034F35" w:rsidRPr="009611BE" w:rsidRDefault="00F8634A" w:rsidP="00F8634A">
      <w:pPr>
        <w:pStyle w:val="BodyText"/>
      </w:pPr>
      <w:r w:rsidRPr="009611BE">
        <w:t xml:space="preserve">This model of care will ensure that – where agreed appropriate – investigation and management is carried out by an experienced </w:t>
      </w:r>
      <w:r w:rsidR="00DC7CBB" w:rsidRPr="009611BE">
        <w:t>MDT</w:t>
      </w:r>
      <w:r w:rsidRPr="009611BE">
        <w:t xml:space="preserve"> that includes an appropriately trained obstetrician </w:t>
      </w:r>
      <w:r w:rsidR="00034F35" w:rsidRPr="009611BE">
        <w:t>eg</w:t>
      </w:r>
      <w:r w:rsidRPr="009611BE">
        <w:t xml:space="preserve"> with sub-specialty training in </w:t>
      </w:r>
      <w:r w:rsidR="003B3612" w:rsidRPr="009611BE">
        <w:t>m</w:t>
      </w:r>
      <w:r w:rsidRPr="009611BE">
        <w:t xml:space="preserve">aternal </w:t>
      </w:r>
      <w:r w:rsidR="003B3612" w:rsidRPr="009611BE">
        <w:t>f</w:t>
      </w:r>
      <w:r w:rsidRPr="009611BE">
        <w:t xml:space="preserve">etal </w:t>
      </w:r>
      <w:r w:rsidR="003B3612" w:rsidRPr="009611BE">
        <w:t>m</w:t>
      </w:r>
      <w:r w:rsidRPr="009611BE">
        <w:t xml:space="preserve">edicine or equivalent; an </w:t>
      </w:r>
      <w:r w:rsidR="003B3612" w:rsidRPr="009611BE">
        <w:t>o</w:t>
      </w:r>
      <w:r w:rsidRPr="009611BE">
        <w:t xml:space="preserve">bstetric </w:t>
      </w:r>
      <w:r w:rsidR="003B3612" w:rsidRPr="009611BE">
        <w:t>p</w:t>
      </w:r>
      <w:r w:rsidRPr="009611BE">
        <w:t>hysician or equivalent physician with appropriate training; and an appropriately trained midwife or team of midwives (see 4.2 for further details on staffing).</w:t>
      </w:r>
    </w:p>
    <w:p w14:paraId="040F2B28" w14:textId="04F2CC95" w:rsidR="00034F35" w:rsidRPr="009611BE" w:rsidRDefault="00F8634A" w:rsidP="00F8634A">
      <w:pPr>
        <w:pStyle w:val="BodyText"/>
      </w:pPr>
      <w:r w:rsidRPr="009611BE">
        <w:t xml:space="preserve">Critically, </w:t>
      </w:r>
      <w:r w:rsidR="003B3612" w:rsidRPr="009611BE">
        <w:t>to</w:t>
      </w:r>
      <w:r w:rsidRPr="009611BE">
        <w:t xml:space="preserve"> address inequalities in maternal outcome, the MMN will need to ensure that pathways are in place to ensure equal access to specialised care for all women, and that referral criteria reflect the increased vulnerability of women from ethnic minorities and those who are socially deprived. To help identify and address socio-cultural barriers to accessing quality care, the MMN should engage at an early stage with public health doctors and consultant level (</w:t>
      </w:r>
      <w:r w:rsidR="007230EF" w:rsidRPr="009611BE">
        <w:t>B</w:t>
      </w:r>
      <w:r w:rsidRPr="009611BE">
        <w:t>and 8) midwives with explicit public health expertise.</w:t>
      </w:r>
    </w:p>
    <w:p w14:paraId="4C02EC39" w14:textId="46BD204B" w:rsidR="00034F35" w:rsidRPr="009611BE" w:rsidRDefault="003B3612" w:rsidP="00F8634A">
      <w:pPr>
        <w:pStyle w:val="BodyText"/>
      </w:pPr>
      <w:r w:rsidRPr="009611BE">
        <w:t>An MMC</w:t>
      </w:r>
      <w:r w:rsidR="00F8634A" w:rsidRPr="009611BE">
        <w:t xml:space="preserve">, hosted by a lead provider, will provide regional clinical leadership – on the identification, referral and management of women with medical conditions, including co-developing guidelines and referral pathways. In addition the MMC will ensure that appropriate education is in place across the </w:t>
      </w:r>
      <w:r w:rsidRPr="009611BE">
        <w:t>n</w:t>
      </w:r>
      <w:r w:rsidR="00F8634A" w:rsidRPr="009611BE">
        <w:t xml:space="preserve">etwork for all clinicians – ie midwives, obstetricians, GPs and </w:t>
      </w:r>
      <w:r w:rsidRPr="009611BE">
        <w:t>e</w:t>
      </w:r>
      <w:r w:rsidR="00F8634A" w:rsidRPr="009611BE">
        <w:t xml:space="preserve">mergency </w:t>
      </w:r>
      <w:r w:rsidRPr="009611BE">
        <w:t>d</w:t>
      </w:r>
      <w:r w:rsidR="00F8634A" w:rsidRPr="009611BE">
        <w:t>epartment</w:t>
      </w:r>
      <w:r w:rsidR="00172B13" w:rsidRPr="009611BE">
        <w:t xml:space="preserve"> (ED)</w:t>
      </w:r>
      <w:r w:rsidR="00F8634A" w:rsidRPr="009611BE">
        <w:t xml:space="preserve"> staff – to improve local identification and referral of acute issues that have particular significance in women who are or have recently been pregnant. The MMN will need to work with other relevant networks including clinical networks for maternity services, perinatal mental health networks, neonatal </w:t>
      </w:r>
      <w:r w:rsidRPr="009611BE">
        <w:t>operational delivery networks (</w:t>
      </w:r>
      <w:r w:rsidR="00F8634A" w:rsidRPr="009611BE">
        <w:t>ODNs</w:t>
      </w:r>
      <w:r w:rsidRPr="009611BE">
        <w:t>)</w:t>
      </w:r>
      <w:r w:rsidR="00F8634A" w:rsidRPr="009611BE">
        <w:t xml:space="preserve"> and fetal medicine services to ensure the health needs of mother and baby are met.</w:t>
      </w:r>
    </w:p>
    <w:p w14:paraId="0A156339" w14:textId="307468E9" w:rsidR="00034F35" w:rsidRPr="009611BE" w:rsidRDefault="00F8634A" w:rsidP="00F8634A">
      <w:pPr>
        <w:pStyle w:val="BodyText"/>
      </w:pPr>
      <w:r w:rsidRPr="009611BE">
        <w:t xml:space="preserve">The MMC will also host the specialist </w:t>
      </w:r>
      <w:r w:rsidR="00DC7CBB" w:rsidRPr="009611BE">
        <w:t>MDT</w:t>
      </w:r>
      <w:r w:rsidRPr="009611BE">
        <w:t xml:space="preserve"> described above, which will provide advice and care for the most complex/highest risk women, along with system</w:t>
      </w:r>
      <w:r w:rsidR="003B3612" w:rsidRPr="009611BE">
        <w:t>-</w:t>
      </w:r>
      <w:r w:rsidRPr="009611BE">
        <w:t xml:space="preserve">wide leadership and education. The </w:t>
      </w:r>
      <w:r w:rsidR="003B3612" w:rsidRPr="009611BE">
        <w:t>c</w:t>
      </w:r>
      <w:r w:rsidRPr="009611BE">
        <w:t xml:space="preserve">entre will be hosted by a designated lead provider. MMNs may contain more than one MMC, depending on the </w:t>
      </w:r>
      <w:r w:rsidR="007230EF" w:rsidRPr="009611BE">
        <w:t>n</w:t>
      </w:r>
      <w:r w:rsidRPr="009611BE">
        <w:t>etwork’s footprint and availability of suitable host providers with appropriate expertise (as set out in 2.2).</w:t>
      </w:r>
    </w:p>
    <w:p w14:paraId="2FD1810E" w14:textId="77777777" w:rsidR="00034F35" w:rsidRPr="009611BE" w:rsidRDefault="00F8634A" w:rsidP="00F8634A">
      <w:pPr>
        <w:pStyle w:val="BodyText"/>
      </w:pPr>
      <w:proofErr w:type="gramStart"/>
      <w:r w:rsidRPr="009611BE">
        <w:lastRenderedPageBreak/>
        <w:t>The majority of</w:t>
      </w:r>
      <w:proofErr w:type="gramEnd"/>
      <w:r w:rsidRPr="009611BE">
        <w:t xml:space="preserve"> women with complications during pregnancy will continue to be managed by local maternity services. The proportion of a woman’s care delivered by a MMC will vary according to individual need. For some women, a single visit to the MMC or communication with the MMC by the local unit will suffice. For the highest risk and most complex women, it may be that all care will be recommended to be delivered within the MMC.</w:t>
      </w:r>
    </w:p>
    <w:p w14:paraId="1ACA70DD" w14:textId="7742755E" w:rsidR="00034F35" w:rsidRPr="009611BE" w:rsidRDefault="00F8634A" w:rsidP="00F8634A">
      <w:pPr>
        <w:pStyle w:val="BodyText"/>
      </w:pPr>
      <w:r w:rsidRPr="009611BE">
        <w:t xml:space="preserve">There is no definitive list of the complex co-morbidities requiring specialist maternal medicine services – this is for local agreement – but an example of indications for referral for opinion or transfer of care as adopted in the London </w:t>
      </w:r>
      <w:r w:rsidR="007230EF" w:rsidRPr="009611BE">
        <w:t>MMNs</w:t>
      </w:r>
      <w:r w:rsidRPr="009611BE">
        <w:t xml:space="preserve"> is provided in Appendix 1. It is envisaged that only a very small number of women would be indicated to receive all care at the MMC. Effective models of maternal medicine should integrate with local, regional and national models of care to minimise inappropriate referrals into the specialist centre, and support local units to provide the right care at the right time, in the right place.</w:t>
      </w:r>
    </w:p>
    <w:p w14:paraId="5720545F" w14:textId="4D2E620C" w:rsidR="00034F35" w:rsidRPr="009611BE" w:rsidRDefault="00F8634A" w:rsidP="00F8634A">
      <w:pPr>
        <w:pStyle w:val="BodyText"/>
      </w:pPr>
      <w:r w:rsidRPr="009611BE">
        <w:t>The provider(s) hosting the MMC will provide appropriate managerial and administrative support for the effective operation of the network. The provider(s) will also take responsibility for ensuring the quality service provided by the MMC and the wider MMN.</w:t>
      </w:r>
    </w:p>
    <w:p w14:paraId="2B4FDB44" w14:textId="6091460F" w:rsidR="00034F35" w:rsidRPr="009611BE" w:rsidRDefault="00F8634A" w:rsidP="00F8634A">
      <w:pPr>
        <w:pStyle w:val="BodyText"/>
      </w:pPr>
      <w:r w:rsidRPr="009611BE">
        <w:t xml:space="preserve">Local </w:t>
      </w:r>
      <w:r w:rsidR="007230EF" w:rsidRPr="009611BE">
        <w:t>m</w:t>
      </w:r>
      <w:r w:rsidRPr="009611BE">
        <w:t xml:space="preserve">aternity </w:t>
      </w:r>
      <w:r w:rsidR="007230EF" w:rsidRPr="009611BE">
        <w:t>s</w:t>
      </w:r>
      <w:r w:rsidRPr="009611BE">
        <w:t xml:space="preserve">ystems and their host </w:t>
      </w:r>
      <w:r w:rsidR="007230EF" w:rsidRPr="009611BE">
        <w:t>i</w:t>
      </w:r>
      <w:r w:rsidRPr="009611BE">
        <w:t xml:space="preserve">ntegrated </w:t>
      </w:r>
      <w:r w:rsidR="007230EF" w:rsidRPr="009611BE">
        <w:t>c</w:t>
      </w:r>
      <w:r w:rsidRPr="009611BE">
        <w:t xml:space="preserve">are </w:t>
      </w:r>
      <w:r w:rsidR="007230EF" w:rsidRPr="009611BE">
        <w:t>s</w:t>
      </w:r>
      <w:r w:rsidRPr="009611BE">
        <w:t>ystems</w:t>
      </w:r>
      <w:r w:rsidR="007230EF" w:rsidRPr="009611BE">
        <w:t xml:space="preserve"> (ICSs)</w:t>
      </w:r>
      <w:r w:rsidRPr="009611BE">
        <w:t xml:space="preserve"> are responsible for agreeing MMN footprints and their respective MMCs with oversight from NHS England and NHS Improvement </w:t>
      </w:r>
      <w:r w:rsidR="007230EF" w:rsidRPr="009611BE">
        <w:t>r</w:t>
      </w:r>
      <w:r w:rsidRPr="009611BE">
        <w:t xml:space="preserve">egional </w:t>
      </w:r>
      <w:r w:rsidR="007230EF" w:rsidRPr="009611BE">
        <w:t>b</w:t>
      </w:r>
      <w:r w:rsidRPr="009611BE">
        <w:t xml:space="preserve">oards and maternity </w:t>
      </w:r>
      <w:r w:rsidR="007230EF" w:rsidRPr="009611BE">
        <w:t>s</w:t>
      </w:r>
      <w:r w:rsidRPr="009611BE">
        <w:t xml:space="preserve">trategic </w:t>
      </w:r>
      <w:r w:rsidR="007230EF" w:rsidRPr="009611BE">
        <w:t>c</w:t>
      </w:r>
      <w:r w:rsidRPr="009611BE">
        <w:t xml:space="preserve">linical </w:t>
      </w:r>
      <w:r w:rsidR="007230EF" w:rsidRPr="009611BE">
        <w:t>n</w:t>
      </w:r>
      <w:r w:rsidRPr="009611BE">
        <w:t>etworks.</w:t>
      </w:r>
    </w:p>
    <w:p w14:paraId="380B0A6E" w14:textId="313E1D19" w:rsidR="00034F35" w:rsidRPr="009611BE" w:rsidRDefault="00F8634A" w:rsidP="006B11BB">
      <w:pPr>
        <w:pStyle w:val="Heading3"/>
      </w:pPr>
      <w:r w:rsidRPr="009611BE">
        <w:t xml:space="preserve">Chronic </w:t>
      </w:r>
      <w:r w:rsidR="006B11BB" w:rsidRPr="009611BE">
        <w:t>m</w:t>
      </w:r>
      <w:r w:rsidRPr="009611BE">
        <w:t xml:space="preserve">edical </w:t>
      </w:r>
      <w:r w:rsidR="006B11BB" w:rsidRPr="009611BE">
        <w:t>p</w:t>
      </w:r>
      <w:r w:rsidRPr="009611BE">
        <w:t xml:space="preserve">roblems </w:t>
      </w:r>
      <w:r w:rsidR="006B11BB" w:rsidRPr="009611BE">
        <w:t>d</w:t>
      </w:r>
      <w:r w:rsidRPr="009611BE">
        <w:t xml:space="preserve">iagnosed </w:t>
      </w:r>
      <w:r w:rsidR="006B11BB" w:rsidRPr="009611BE">
        <w:t>p</w:t>
      </w:r>
      <w:r w:rsidRPr="009611BE">
        <w:t>re-</w:t>
      </w:r>
      <w:r w:rsidR="006B11BB" w:rsidRPr="009611BE">
        <w:t>p</w:t>
      </w:r>
      <w:r w:rsidRPr="009611BE">
        <w:t>regnancy</w:t>
      </w:r>
    </w:p>
    <w:p w14:paraId="6A8FDB63" w14:textId="77777777" w:rsidR="00034F35" w:rsidRPr="009611BE" w:rsidRDefault="00F8634A" w:rsidP="00F8634A">
      <w:pPr>
        <w:pStyle w:val="BodyText"/>
      </w:pPr>
      <w:r w:rsidRPr="009611BE">
        <w:t>Women with chronic medical conditions should receive personalised care as described below.</w:t>
      </w:r>
    </w:p>
    <w:p w14:paraId="578257BA" w14:textId="0E40ABA5" w:rsidR="00034F35" w:rsidRPr="009611BE" w:rsidRDefault="00F8634A" w:rsidP="006B11BB">
      <w:pPr>
        <w:pStyle w:val="Heading3"/>
      </w:pPr>
      <w:r w:rsidRPr="009611BE">
        <w:t>Pre</w:t>
      </w:r>
      <w:r w:rsidR="006B11BB" w:rsidRPr="009611BE">
        <w:t>-p</w:t>
      </w:r>
      <w:r w:rsidRPr="009611BE">
        <w:t>regnancy</w:t>
      </w:r>
    </w:p>
    <w:p w14:paraId="6C1F7A6A" w14:textId="77777777" w:rsidR="00034F35" w:rsidRPr="009611BE" w:rsidRDefault="00F8634A" w:rsidP="00F8634A">
      <w:pPr>
        <w:pStyle w:val="BodyText"/>
      </w:pPr>
      <w:r w:rsidRPr="009611BE">
        <w:t>Women might:</w:t>
      </w:r>
    </w:p>
    <w:p w14:paraId="60E763FF" w14:textId="0296C1F2" w:rsidR="00F8634A" w:rsidRPr="009611BE" w:rsidRDefault="00F8634A" w:rsidP="006B11BB">
      <w:pPr>
        <w:pStyle w:val="ListBullet"/>
      </w:pPr>
      <w:r w:rsidRPr="009611BE">
        <w:t>Attend their GP or specialist physician and mention a desire for pregnancy. For certain conditions, all women of child-bearing age should be routinely offered pre-pregnancy care (PPC).</w:t>
      </w:r>
    </w:p>
    <w:p w14:paraId="663FF8C2" w14:textId="7AF04D21" w:rsidR="00034F35" w:rsidRPr="009611BE" w:rsidRDefault="00F8634A" w:rsidP="006B11BB">
      <w:pPr>
        <w:pStyle w:val="LastBullet"/>
      </w:pPr>
      <w:r w:rsidRPr="009611BE">
        <w:t xml:space="preserve">Be referred to secondary care or </w:t>
      </w:r>
      <w:r w:rsidR="00EF7B67" w:rsidRPr="009611BE">
        <w:t>MMC</w:t>
      </w:r>
      <w:r w:rsidRPr="009611BE">
        <w:t xml:space="preserve"> for PPC by their GP or specialist physician.</w:t>
      </w:r>
    </w:p>
    <w:p w14:paraId="772B9572" w14:textId="629AB930" w:rsidR="00034F35" w:rsidRPr="009611BE" w:rsidRDefault="00F8634A" w:rsidP="00F8634A">
      <w:pPr>
        <w:pStyle w:val="BodyText"/>
      </w:pPr>
      <w:r w:rsidRPr="009611BE">
        <w:t>Referral pathways will need to be co-produced between primary care</w:t>
      </w:r>
      <w:r w:rsidR="00EF7B67" w:rsidRPr="009611BE">
        <w:t xml:space="preserve"> </w:t>
      </w:r>
      <w:r w:rsidRPr="009611BE">
        <w:t>and the MMN with input from users to ensure equitable access to PPC. Whether the woman is referred to an MMC will depend on the complexity of the medical problem (see Appendix A), and the level of expertise at her local unit. For example, it might be agreed a woman with a renal transplant or complex connective tissue disease will be seen for PPC in the MMC, whereas a woman with inflammatory bowel disease</w:t>
      </w:r>
      <w:r w:rsidR="00EF7B67" w:rsidRPr="009611BE">
        <w:t xml:space="preserve"> (IBD)</w:t>
      </w:r>
      <w:r w:rsidRPr="009611BE">
        <w:t xml:space="preserve"> could be seen by her usual gastroenterologist.</w:t>
      </w:r>
    </w:p>
    <w:p w14:paraId="5449AA14" w14:textId="77777777" w:rsidR="00034F35" w:rsidRPr="009611BE" w:rsidRDefault="00F8634A" w:rsidP="00EF7B67">
      <w:pPr>
        <w:pStyle w:val="Heading3"/>
      </w:pPr>
      <w:r w:rsidRPr="009611BE">
        <w:lastRenderedPageBreak/>
        <w:t>Antenatal and Intrapartum</w:t>
      </w:r>
    </w:p>
    <w:p w14:paraId="60D597FB" w14:textId="5E112F1F" w:rsidR="00F8634A" w:rsidRPr="009611BE" w:rsidRDefault="00F8634A" w:rsidP="00F8634A">
      <w:pPr>
        <w:pStyle w:val="BodyText"/>
      </w:pPr>
      <w:r w:rsidRPr="009611BE">
        <w:t>Women might:</w:t>
      </w:r>
    </w:p>
    <w:p w14:paraId="7D34741D" w14:textId="27E410A7" w:rsidR="00F8634A" w:rsidRPr="009611BE" w:rsidRDefault="00F8634A" w:rsidP="00EF7B67">
      <w:pPr>
        <w:pStyle w:val="ListBullet"/>
      </w:pPr>
      <w:r w:rsidRPr="009611BE">
        <w:t>Declare a history of medical problems at midwifery booking</w:t>
      </w:r>
    </w:p>
    <w:p w14:paraId="2FDFD24D" w14:textId="6F98808E" w:rsidR="00034F35" w:rsidRPr="009611BE" w:rsidRDefault="00F8634A" w:rsidP="00EF7B67">
      <w:pPr>
        <w:pStyle w:val="LastBullet"/>
      </w:pPr>
      <w:r w:rsidRPr="009611BE">
        <w:t>Be referred to local consultant obstetrician or MMC by GP, midwife or specialist physician</w:t>
      </w:r>
      <w:r w:rsidR="00EF7B67" w:rsidRPr="009611BE">
        <w:t>.</w:t>
      </w:r>
    </w:p>
    <w:p w14:paraId="137A4202" w14:textId="77777777" w:rsidR="00034F35" w:rsidRPr="009611BE" w:rsidRDefault="00F8634A" w:rsidP="00F8634A">
      <w:pPr>
        <w:pStyle w:val="BodyText"/>
      </w:pPr>
      <w:r w:rsidRPr="009611BE">
        <w:t>Whether the woman is seen locally or at an MMC will depend on the complexity of the medical problem and the level of expertise at her local unit.</w:t>
      </w:r>
    </w:p>
    <w:p w14:paraId="2A298732" w14:textId="3893A6FE" w:rsidR="00F8634A" w:rsidRPr="009611BE" w:rsidRDefault="00F8634A" w:rsidP="00F8634A">
      <w:pPr>
        <w:pStyle w:val="BodyText"/>
      </w:pPr>
      <w:r w:rsidRPr="009611BE">
        <w:t xml:space="preserve">When a woman is seen in the MMC, </w:t>
      </w:r>
      <w:proofErr w:type="gramStart"/>
      <w:r w:rsidRPr="009611BE">
        <w:t>a number of</w:t>
      </w:r>
      <w:proofErr w:type="gramEnd"/>
      <w:r w:rsidRPr="009611BE">
        <w:t xml:space="preserve"> options are available:</w:t>
      </w:r>
    </w:p>
    <w:p w14:paraId="163448A2" w14:textId="6DA42F2C" w:rsidR="00F8634A" w:rsidRPr="009611BE" w:rsidRDefault="00F8634A" w:rsidP="00EF7B67">
      <w:pPr>
        <w:pStyle w:val="ListBullet"/>
      </w:pPr>
      <w:r w:rsidRPr="009611BE">
        <w:t>Offer advice regarding pregnancy care and delivery and then referral back to local unit</w:t>
      </w:r>
    </w:p>
    <w:p w14:paraId="6ED31C8E" w14:textId="2D620DDC" w:rsidR="00F8634A" w:rsidRPr="009611BE" w:rsidRDefault="00F8634A" w:rsidP="00EF7B67">
      <w:pPr>
        <w:pStyle w:val="ListBullet"/>
      </w:pPr>
      <w:r w:rsidRPr="009611BE">
        <w:t>Share care with local unit and MMC (may recommend delivery in local unit or MMC)</w:t>
      </w:r>
    </w:p>
    <w:p w14:paraId="33FB6C26" w14:textId="247FAD12" w:rsidR="00F8634A" w:rsidRPr="009611BE" w:rsidRDefault="00F8634A" w:rsidP="00EF7B67">
      <w:pPr>
        <w:pStyle w:val="LastBullet"/>
      </w:pPr>
      <w:r w:rsidRPr="009611BE">
        <w:t>MMC to take over obstetric care (delivery recommended at MMC)</w:t>
      </w:r>
      <w:r w:rsidR="00DC30ED" w:rsidRPr="009611BE">
        <w:t>.</w:t>
      </w:r>
    </w:p>
    <w:p w14:paraId="27299E36" w14:textId="22612088" w:rsidR="00034F35" w:rsidRPr="009611BE" w:rsidRDefault="00F8634A" w:rsidP="00F8634A">
      <w:pPr>
        <w:pStyle w:val="BodyText"/>
      </w:pPr>
      <w:r w:rsidRPr="009611BE">
        <w:t>Whatever the decided place of delivery, intrapartum care will be guided wherever possible by a care</w:t>
      </w:r>
      <w:r w:rsidR="00DC30ED" w:rsidRPr="009611BE">
        <w:t xml:space="preserve"> </w:t>
      </w:r>
      <w:r w:rsidRPr="009611BE">
        <w:t xml:space="preserve">plan co-produced by the mother and the </w:t>
      </w:r>
      <w:r w:rsidR="00DC7CBB" w:rsidRPr="009611BE">
        <w:t>MDT</w:t>
      </w:r>
      <w:r w:rsidRPr="009611BE">
        <w:t xml:space="preserve"> advising her.</w:t>
      </w:r>
    </w:p>
    <w:p w14:paraId="68BED614" w14:textId="77777777" w:rsidR="00034F35" w:rsidRPr="009611BE" w:rsidRDefault="00F8634A" w:rsidP="00DC30ED">
      <w:pPr>
        <w:pStyle w:val="Heading3"/>
      </w:pPr>
      <w:r w:rsidRPr="009611BE">
        <w:t>Postnatal</w:t>
      </w:r>
    </w:p>
    <w:p w14:paraId="515CADEC" w14:textId="02A756F0" w:rsidR="00F8634A" w:rsidRPr="009611BE" w:rsidRDefault="00F8634A" w:rsidP="00F8634A">
      <w:pPr>
        <w:pStyle w:val="BodyText"/>
      </w:pPr>
      <w:r w:rsidRPr="009611BE">
        <w:t>Where delivery has taken place at MMC, a woman will be discharged with one of the following discharge plans:</w:t>
      </w:r>
    </w:p>
    <w:p w14:paraId="6B892A1F" w14:textId="14DF40F7" w:rsidR="00F8634A" w:rsidRPr="009611BE" w:rsidRDefault="00F8634A" w:rsidP="00DC30ED">
      <w:pPr>
        <w:pStyle w:val="ListBullet"/>
      </w:pPr>
      <w:r w:rsidRPr="009611BE">
        <w:t>follow up by local hospital physician or GP as appropriate</w:t>
      </w:r>
    </w:p>
    <w:p w14:paraId="1A1E3E79" w14:textId="346B2321" w:rsidR="00034F35" w:rsidRPr="009611BE" w:rsidRDefault="00F8634A" w:rsidP="00DC30ED">
      <w:pPr>
        <w:pStyle w:val="LastBullet"/>
      </w:pPr>
      <w:r w:rsidRPr="009611BE">
        <w:t>follow up at MMC (this will only be for very complex medical conditions –</w:t>
      </w:r>
      <w:r w:rsidR="00DC30ED" w:rsidRPr="009611BE">
        <w:t xml:space="preserve"> </w:t>
      </w:r>
      <w:r w:rsidRPr="009611BE">
        <w:t>or if intercurrent problems have developed)</w:t>
      </w:r>
      <w:r w:rsidR="00DC30ED" w:rsidRPr="009611BE">
        <w:t>.</w:t>
      </w:r>
    </w:p>
    <w:p w14:paraId="20AD0069" w14:textId="0CA766CE" w:rsidR="00034F35" w:rsidRPr="009611BE" w:rsidRDefault="00F8634A" w:rsidP="00DC30ED">
      <w:pPr>
        <w:pStyle w:val="Heading3"/>
      </w:pPr>
      <w:r w:rsidRPr="009611BE">
        <w:t xml:space="preserve">Acute </w:t>
      </w:r>
      <w:r w:rsidR="00DC30ED" w:rsidRPr="009611BE">
        <w:t>m</w:t>
      </w:r>
      <w:r w:rsidRPr="009611BE">
        <w:t xml:space="preserve">edical </w:t>
      </w:r>
      <w:r w:rsidR="00DC30ED" w:rsidRPr="009611BE">
        <w:t>p</w:t>
      </w:r>
      <w:r w:rsidRPr="009611BE">
        <w:t xml:space="preserve">roblem </w:t>
      </w:r>
      <w:r w:rsidR="00DC30ED" w:rsidRPr="009611BE">
        <w:t>d</w:t>
      </w:r>
      <w:r w:rsidRPr="009611BE">
        <w:t xml:space="preserve">iagnosed in </w:t>
      </w:r>
      <w:r w:rsidR="00DC30ED" w:rsidRPr="009611BE">
        <w:t>p</w:t>
      </w:r>
      <w:r w:rsidRPr="009611BE">
        <w:t xml:space="preserve">regnancy and </w:t>
      </w:r>
      <w:r w:rsidR="00DC30ED" w:rsidRPr="009611BE">
        <w:t>p</w:t>
      </w:r>
      <w:r w:rsidRPr="009611BE">
        <w:t>uerperium</w:t>
      </w:r>
    </w:p>
    <w:p w14:paraId="129C00D4" w14:textId="77777777" w:rsidR="00034F35" w:rsidRPr="009611BE" w:rsidRDefault="00F8634A" w:rsidP="00F8634A">
      <w:pPr>
        <w:pStyle w:val="BodyText"/>
      </w:pPr>
      <w:r w:rsidRPr="009611BE">
        <w:t>Women might present with an acute medical problem via primary care, emergency department, acute medicine, community midwifery, gynaecology or obstetric services. Maternity services are to be informed at the earliest opportunity after presentation, and are to be involved in the woman’s care where required from that point.</w:t>
      </w:r>
    </w:p>
    <w:p w14:paraId="401461EA" w14:textId="10E63CCB" w:rsidR="00034F35" w:rsidRPr="009611BE" w:rsidRDefault="00F8634A" w:rsidP="00F8634A">
      <w:pPr>
        <w:pStyle w:val="BodyText"/>
      </w:pPr>
      <w:r w:rsidRPr="009611BE">
        <w:t xml:space="preserve">Clear protocols should be developed and agreed across all providers in the Network on the referral of acute issues that have particular significance in women who are or have recently been pregnant, and who to call within the </w:t>
      </w:r>
      <w:r w:rsidR="00172B13" w:rsidRPr="009611BE">
        <w:t>MMC</w:t>
      </w:r>
      <w:r w:rsidRPr="009611BE">
        <w:t xml:space="preserve"> for advice if there is clinical concern or uncertainty.</w:t>
      </w:r>
    </w:p>
    <w:p w14:paraId="53928E64" w14:textId="3F371B05" w:rsidR="00F8634A" w:rsidRPr="009611BE" w:rsidRDefault="00F8634A" w:rsidP="00F8634A">
      <w:pPr>
        <w:pStyle w:val="BodyText"/>
      </w:pPr>
      <w:r w:rsidRPr="009611BE">
        <w:lastRenderedPageBreak/>
        <w:t xml:space="preserve">There should be an appropriate mechanism for arranging timely </w:t>
      </w:r>
      <w:r w:rsidRPr="009611BE">
        <w:rPr>
          <w:b/>
          <w:bCs/>
        </w:rPr>
        <w:t>transfer to MMC</w:t>
      </w:r>
      <w:r w:rsidRPr="009611BE">
        <w:t xml:space="preserve"> and repatriation when women need more specialist care. This should be agreed ‘consultant to consultant’ and by both relevant physicians and obstetricians.</w:t>
      </w:r>
    </w:p>
    <w:p w14:paraId="610D9436" w14:textId="1FBCD99A" w:rsidR="00F8634A" w:rsidRPr="009611BE" w:rsidRDefault="00F8634A" w:rsidP="00F8634A">
      <w:pPr>
        <w:pStyle w:val="Caption"/>
        <w:keepNext/>
      </w:pPr>
      <w:r w:rsidRPr="009611BE">
        <w:t xml:space="preserve">Figure </w:t>
      </w:r>
      <w:r w:rsidR="00D14E67">
        <w:fldChar w:fldCharType="begin"/>
      </w:r>
      <w:r w:rsidR="00D14E67">
        <w:instrText xml:space="preserve"> SEQ Figure \* ARABIC </w:instrText>
      </w:r>
      <w:r w:rsidR="00D14E67">
        <w:fldChar w:fldCharType="separate"/>
      </w:r>
      <w:r w:rsidR="00C96BBA">
        <w:rPr>
          <w:noProof/>
        </w:rPr>
        <w:t>1</w:t>
      </w:r>
      <w:r w:rsidR="00D14E67">
        <w:rPr>
          <w:noProof/>
        </w:rPr>
        <w:fldChar w:fldCharType="end"/>
      </w:r>
      <w:r w:rsidRPr="009611BE">
        <w:t>: MMC networking with other services</w:t>
      </w:r>
    </w:p>
    <w:p w14:paraId="19066270" w14:textId="486E995D" w:rsidR="00F8634A" w:rsidRPr="009611BE" w:rsidRDefault="00F8634A" w:rsidP="00F8634A">
      <w:pPr>
        <w:pStyle w:val="BodyText"/>
      </w:pPr>
      <w:r w:rsidRPr="009611BE">
        <w:object w:dxaOrig="8252" w:dyaOrig="4712" w14:anchorId="747FF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235.5pt" o:ole="">
            <v:imagedata r:id="rId15" o:title=""/>
          </v:shape>
          <o:OLEObject Type="Embed" ProgID="Visio.Drawing.15" ShapeID="_x0000_i1025" DrawAspect="Content" ObjectID="_1696054159" r:id="rId16"/>
        </w:object>
      </w:r>
    </w:p>
    <w:p w14:paraId="0818524B" w14:textId="77777777" w:rsidR="00172B13" w:rsidRPr="009611BE" w:rsidRDefault="00F8634A" w:rsidP="00F8634A">
      <w:pPr>
        <w:pStyle w:val="BodyText"/>
      </w:pPr>
      <w:r w:rsidRPr="009611BE">
        <w:t>All the services identified above will contribute to a maternal medicine network. However, the MMN will also need to engage with all those who might provide part of the care pathway</w:t>
      </w:r>
      <w:r w:rsidR="00172B13" w:rsidRPr="009611BE">
        <w:t>,</w:t>
      </w:r>
      <w:r w:rsidRPr="009611BE">
        <w:t xml:space="preserve"> </w:t>
      </w:r>
      <w:r w:rsidR="00034F35" w:rsidRPr="009611BE">
        <w:t>eg</w:t>
      </w:r>
      <w:r w:rsidRPr="009611BE">
        <w:t xml:space="preserve"> health visitors, social work, ambulance trusts, mental health, and the voluntary sector. The MMN will ensure that referral pathways and responsibilities for supervision are clarified in agreed protocols that cover all parts of the possible pathway</w:t>
      </w:r>
      <w:r w:rsidR="00172B13" w:rsidRPr="009611BE">
        <w:t xml:space="preserve"> –</w:t>
      </w:r>
      <w:r w:rsidRPr="009611BE">
        <w:t xml:space="preserve"> </w:t>
      </w:r>
      <w:r w:rsidR="00034F35" w:rsidRPr="009611BE">
        <w:t>eg</w:t>
      </w:r>
      <w:r w:rsidRPr="009611BE">
        <w:t xml:space="preserve"> referrals from ED to obstetric services as well as from local obstetric units (spokes) to the MMC.</w:t>
      </w:r>
    </w:p>
    <w:p w14:paraId="4FB5869F" w14:textId="68C27BE8" w:rsidR="00034F35" w:rsidRPr="009611BE" w:rsidRDefault="00F8634A" w:rsidP="00F8634A">
      <w:pPr>
        <w:pStyle w:val="BodyText"/>
      </w:pPr>
      <w:r w:rsidRPr="009611BE">
        <w:t>An overarching principle of the MMN, and one supported by the MMC, is that care will always remain as local as is compatible with the need for timely access to the MDT (see below) or specialised facilities. Consistent with this approach is that although the MMC will provide specific maternal clinical leadership and expertise in the form of an obstetric physician (or equivalent – see 4.2) this is not intended to replace input of physicians across the MMN, but rather to co-ordinate, standardise and improve pregnancy specific care.</w:t>
      </w:r>
    </w:p>
    <w:p w14:paraId="3958DB75" w14:textId="31A8FE18" w:rsidR="00034F35" w:rsidRPr="009611BE" w:rsidRDefault="00F8634A" w:rsidP="00F8634A">
      <w:pPr>
        <w:pStyle w:val="BodyText"/>
      </w:pPr>
      <w:r w:rsidRPr="009611BE">
        <w:t xml:space="preserve">The overriding aim of these services must be to ensure equitable access, excellent experience, and optimal outcomes for women from all communities. The service should use the </w:t>
      </w:r>
      <w:r w:rsidR="00172B13" w:rsidRPr="009611BE">
        <w:t>h</w:t>
      </w:r>
      <w:r w:rsidRPr="009611BE">
        <w:t xml:space="preserve">ealth </w:t>
      </w:r>
      <w:r w:rsidR="00172B13" w:rsidRPr="009611BE">
        <w:t>i</w:t>
      </w:r>
      <w:r w:rsidRPr="009611BE">
        <w:t xml:space="preserve">nequalities programme </w:t>
      </w:r>
      <w:r w:rsidR="00172B13" w:rsidRPr="009611BE">
        <w:t>m</w:t>
      </w:r>
      <w:r w:rsidRPr="009611BE">
        <w:t>atrix (see Appendix 2) to assess the extent to which the service design, deployment and evaluation are addressing health inequalities</w:t>
      </w:r>
      <w:r w:rsidR="00172B13" w:rsidRPr="009611BE">
        <w:t>.</w:t>
      </w:r>
    </w:p>
    <w:p w14:paraId="7B8DA0A4" w14:textId="36227D35" w:rsidR="00034F35" w:rsidRPr="009611BE" w:rsidRDefault="00F8634A" w:rsidP="00172B13">
      <w:pPr>
        <w:pStyle w:val="Heading2Numbered"/>
      </w:pPr>
      <w:r w:rsidRPr="009611BE">
        <w:lastRenderedPageBreak/>
        <w:t xml:space="preserve">Co-dependencies with other </w:t>
      </w:r>
      <w:r w:rsidR="00172B13" w:rsidRPr="009611BE">
        <w:t>s</w:t>
      </w:r>
      <w:r w:rsidRPr="009611BE">
        <w:t>ervices</w:t>
      </w:r>
    </w:p>
    <w:p w14:paraId="7CD649D3" w14:textId="1D2FD7FE" w:rsidR="00034F35" w:rsidRPr="009611BE" w:rsidRDefault="00F8634A" w:rsidP="00F8634A">
      <w:pPr>
        <w:pStyle w:val="BodyText"/>
      </w:pPr>
      <w:r w:rsidRPr="009611BE">
        <w:t xml:space="preserve">The following specialties or facilities should be co-located on the same hospital site as the maternal medicine centre. They should function as part of the </w:t>
      </w:r>
      <w:r w:rsidR="00172B13" w:rsidRPr="009611BE">
        <w:t>MDT</w:t>
      </w:r>
      <w:r w:rsidRPr="009611BE">
        <w:t>. Consultants from the following services should be able to provide emergency bedside care (call to bedside within 60 minutes).</w:t>
      </w:r>
    </w:p>
    <w:p w14:paraId="5CBEF05D" w14:textId="502ED619" w:rsidR="00F8634A" w:rsidRPr="009611BE" w:rsidRDefault="00F8634A" w:rsidP="00172B13">
      <w:pPr>
        <w:pStyle w:val="ListBullet"/>
      </w:pPr>
      <w:r w:rsidRPr="009611BE">
        <w:t>Obstetrics</w:t>
      </w:r>
    </w:p>
    <w:p w14:paraId="49A4F2C0" w14:textId="2D72D444" w:rsidR="00034F35" w:rsidRPr="009611BE" w:rsidRDefault="00F8634A" w:rsidP="00172B13">
      <w:pPr>
        <w:pStyle w:val="ListBullet"/>
      </w:pPr>
      <w:r w:rsidRPr="009611BE">
        <w:t>Gynaecology</w:t>
      </w:r>
    </w:p>
    <w:p w14:paraId="4873EDEA" w14:textId="229C8363" w:rsidR="00F8634A" w:rsidRPr="009611BE" w:rsidRDefault="00F8634A" w:rsidP="00172B13">
      <w:pPr>
        <w:pStyle w:val="ListBullet"/>
      </w:pPr>
      <w:r w:rsidRPr="009611BE">
        <w:t xml:space="preserve">Neonatal intensive care: </w:t>
      </w:r>
      <w:r w:rsidR="00172B13" w:rsidRPr="009611BE">
        <w:t>L</w:t>
      </w:r>
      <w:r w:rsidRPr="009611BE">
        <w:t>evel 3</w:t>
      </w:r>
    </w:p>
    <w:p w14:paraId="4E1C569F" w14:textId="5547EC5B" w:rsidR="00034F35" w:rsidRPr="009611BE" w:rsidRDefault="00F8634A" w:rsidP="00172B13">
      <w:pPr>
        <w:pStyle w:val="ListBullet"/>
      </w:pPr>
      <w:r w:rsidRPr="009611BE">
        <w:t>Adult intensive care: Level 3, capable of multi-organ failure support.</w:t>
      </w:r>
    </w:p>
    <w:p w14:paraId="543E14F8" w14:textId="74CB9BDE" w:rsidR="00034F35" w:rsidRPr="009611BE" w:rsidRDefault="00F8634A" w:rsidP="00172B13">
      <w:pPr>
        <w:pStyle w:val="ListBullet"/>
      </w:pPr>
      <w:r w:rsidRPr="009611BE">
        <w:t xml:space="preserve">High </w:t>
      </w:r>
      <w:r w:rsidR="002E112F" w:rsidRPr="009611BE">
        <w:t>d</w:t>
      </w:r>
      <w:r w:rsidRPr="009611BE">
        <w:t>ependency beds: Level 2, staffed by medical and nursing teams experienced in managing pregnant women.</w:t>
      </w:r>
    </w:p>
    <w:p w14:paraId="09114E33" w14:textId="5F35ED85" w:rsidR="00F8634A" w:rsidRPr="009611BE" w:rsidRDefault="00F8634A" w:rsidP="00172B13">
      <w:pPr>
        <w:pStyle w:val="ListBullet"/>
      </w:pPr>
      <w:r w:rsidRPr="009611BE">
        <w:t>Obstetric anaesthesia</w:t>
      </w:r>
    </w:p>
    <w:p w14:paraId="77F1B678" w14:textId="488A2653" w:rsidR="00F8634A" w:rsidRPr="009611BE" w:rsidRDefault="00F8634A" w:rsidP="00172B13">
      <w:pPr>
        <w:pStyle w:val="ListBullet"/>
      </w:pPr>
      <w:r w:rsidRPr="009611BE">
        <w:t>General surgery</w:t>
      </w:r>
    </w:p>
    <w:p w14:paraId="0EF1FF6D" w14:textId="2D5CFFC6" w:rsidR="00F8634A" w:rsidRPr="009611BE" w:rsidRDefault="00F8634A" w:rsidP="00172B13">
      <w:pPr>
        <w:pStyle w:val="ListBullet"/>
      </w:pPr>
      <w:r w:rsidRPr="009611BE">
        <w:t xml:space="preserve">Acute </w:t>
      </w:r>
      <w:r w:rsidR="00172B13" w:rsidRPr="009611BE">
        <w:t>m</w:t>
      </w:r>
      <w:r w:rsidRPr="009611BE">
        <w:t>edicine</w:t>
      </w:r>
    </w:p>
    <w:p w14:paraId="74E0A660" w14:textId="65D4A71C" w:rsidR="00F8634A" w:rsidRPr="009611BE" w:rsidRDefault="00F8634A" w:rsidP="00172B13">
      <w:pPr>
        <w:pStyle w:val="ListBullet"/>
      </w:pPr>
      <w:r w:rsidRPr="009611BE">
        <w:t>Acute stroke services</w:t>
      </w:r>
    </w:p>
    <w:p w14:paraId="4E410E24" w14:textId="2F40C72E" w:rsidR="00034F35" w:rsidRPr="009611BE" w:rsidRDefault="00F8634A" w:rsidP="00172B13">
      <w:pPr>
        <w:pStyle w:val="ListBullet"/>
      </w:pPr>
      <w:r w:rsidRPr="009611BE">
        <w:t xml:space="preserve">Cardiology </w:t>
      </w:r>
      <w:r w:rsidR="00172B13" w:rsidRPr="009611BE">
        <w:t>g</w:t>
      </w:r>
      <w:r w:rsidRPr="009611BE">
        <w:t>eneral adult cardiology services, including acute cardiac care unit.</w:t>
      </w:r>
    </w:p>
    <w:p w14:paraId="7D8B3F3F" w14:textId="6296BC5B" w:rsidR="00F8634A" w:rsidRPr="009611BE" w:rsidRDefault="00F8634A" w:rsidP="00172B13">
      <w:pPr>
        <w:pStyle w:val="ListBullet"/>
      </w:pPr>
      <w:r w:rsidRPr="009611BE">
        <w:t>Haematology and appropriate support services including blood transfusion and coagulation support</w:t>
      </w:r>
    </w:p>
    <w:p w14:paraId="548AFB63" w14:textId="130052A6" w:rsidR="00034F35" w:rsidRPr="009611BE" w:rsidRDefault="00F8634A" w:rsidP="00172B13">
      <w:pPr>
        <w:pStyle w:val="LastBullet"/>
      </w:pPr>
      <w:r w:rsidRPr="009611BE">
        <w:t>Radiology with imaging</w:t>
      </w:r>
      <w:r w:rsidR="00172B13" w:rsidRPr="009611BE">
        <w:t>.</w:t>
      </w:r>
    </w:p>
    <w:p w14:paraId="6D5DE341" w14:textId="77777777" w:rsidR="002E112F" w:rsidRPr="009611BE" w:rsidRDefault="00F8634A" w:rsidP="00F8634A">
      <w:pPr>
        <w:pStyle w:val="BodyText"/>
        <w:sectPr w:rsidR="002E112F" w:rsidRPr="009611BE" w:rsidSect="001C3440">
          <w:type w:val="continuous"/>
          <w:pgSz w:w="11906" w:h="16838" w:code="9"/>
          <w:pgMar w:top="1191" w:right="1021" w:bottom="1247" w:left="1021" w:header="624" w:footer="510" w:gutter="0"/>
          <w:cols w:space="708"/>
          <w:docGrid w:linePitch="360"/>
        </w:sectPr>
      </w:pPr>
      <w:r w:rsidRPr="009611BE">
        <w:t>The following should be available to consult with a clinical assessment or telephone advice as appropriate within 12 hours:</w:t>
      </w:r>
    </w:p>
    <w:p w14:paraId="67F8FAC9" w14:textId="413B659E" w:rsidR="00F8634A" w:rsidRPr="009611BE" w:rsidRDefault="00F8634A" w:rsidP="00172B13">
      <w:pPr>
        <w:pStyle w:val="ListBullet"/>
      </w:pPr>
      <w:r w:rsidRPr="009611BE">
        <w:t xml:space="preserve">Diabetes and </w:t>
      </w:r>
      <w:r w:rsidR="00172B13" w:rsidRPr="009611BE">
        <w:t>e</w:t>
      </w:r>
      <w:r w:rsidRPr="009611BE">
        <w:t>ndocrinology</w:t>
      </w:r>
    </w:p>
    <w:p w14:paraId="55B9CD7B" w14:textId="709C2C9B" w:rsidR="00F8634A" w:rsidRPr="009611BE" w:rsidRDefault="00F8634A" w:rsidP="00172B13">
      <w:pPr>
        <w:pStyle w:val="ListBullet"/>
      </w:pPr>
      <w:r w:rsidRPr="009611BE">
        <w:t>Nephrology/</w:t>
      </w:r>
      <w:r w:rsidR="00172B13" w:rsidRPr="009611BE">
        <w:t>r</w:t>
      </w:r>
      <w:r w:rsidRPr="009611BE">
        <w:t>enal replacement therapy</w:t>
      </w:r>
    </w:p>
    <w:p w14:paraId="540CC711" w14:textId="1139705F" w:rsidR="00F8634A" w:rsidRPr="009611BE" w:rsidRDefault="00F8634A" w:rsidP="00172B13">
      <w:pPr>
        <w:pStyle w:val="ListBullet"/>
      </w:pPr>
      <w:r w:rsidRPr="009611BE">
        <w:t>Respiratory</w:t>
      </w:r>
    </w:p>
    <w:p w14:paraId="093DB9C9" w14:textId="74ED5850" w:rsidR="00F8634A" w:rsidRPr="009611BE" w:rsidRDefault="00F8634A" w:rsidP="00172B13">
      <w:pPr>
        <w:pStyle w:val="ListBullet"/>
      </w:pPr>
      <w:r w:rsidRPr="009611BE">
        <w:t>Rheumatology</w:t>
      </w:r>
    </w:p>
    <w:p w14:paraId="200D08FF" w14:textId="54C40D15" w:rsidR="00F8634A" w:rsidRPr="009611BE" w:rsidRDefault="00F8634A" w:rsidP="00172B13">
      <w:pPr>
        <w:pStyle w:val="ListBullet"/>
      </w:pPr>
      <w:r w:rsidRPr="009611BE">
        <w:t>Gastroenterology</w:t>
      </w:r>
    </w:p>
    <w:p w14:paraId="2F1EE239" w14:textId="49ABC05C" w:rsidR="00F8634A" w:rsidRPr="009611BE" w:rsidRDefault="00F8634A" w:rsidP="00172B13">
      <w:pPr>
        <w:pStyle w:val="ListBullet"/>
      </w:pPr>
      <w:r w:rsidRPr="009611BE">
        <w:t>Hepatology</w:t>
      </w:r>
    </w:p>
    <w:p w14:paraId="4ED97867" w14:textId="7B95F66B" w:rsidR="00F8634A" w:rsidRPr="009611BE" w:rsidRDefault="00F8634A" w:rsidP="00172B13">
      <w:pPr>
        <w:pStyle w:val="ListBullet"/>
      </w:pPr>
      <w:r w:rsidRPr="009611BE">
        <w:t>Neurology</w:t>
      </w:r>
    </w:p>
    <w:p w14:paraId="07ECDD24" w14:textId="6020E299" w:rsidR="00F8634A" w:rsidRPr="009611BE" w:rsidRDefault="00F8634A" w:rsidP="00172B13">
      <w:pPr>
        <w:pStyle w:val="ListBullet"/>
      </w:pPr>
      <w:r w:rsidRPr="009611BE">
        <w:t>Vascular surgery</w:t>
      </w:r>
    </w:p>
    <w:p w14:paraId="24EC59C3" w14:textId="5C3076EC" w:rsidR="00F8634A" w:rsidRPr="009611BE" w:rsidRDefault="00F8634A" w:rsidP="00172B13">
      <w:pPr>
        <w:pStyle w:val="ListBullet"/>
      </w:pPr>
      <w:r w:rsidRPr="009611BE">
        <w:t>Urology</w:t>
      </w:r>
    </w:p>
    <w:p w14:paraId="1A3C63B6" w14:textId="2D4867AD" w:rsidR="00F8634A" w:rsidRPr="009611BE" w:rsidRDefault="00F8634A" w:rsidP="00172B13">
      <w:pPr>
        <w:pStyle w:val="ListBullet"/>
      </w:pPr>
      <w:r w:rsidRPr="009611BE">
        <w:t>ENT</w:t>
      </w:r>
    </w:p>
    <w:p w14:paraId="19C9F6BD" w14:textId="227E71F7" w:rsidR="00F8634A" w:rsidRPr="009611BE" w:rsidRDefault="00F8634A" w:rsidP="00172B13">
      <w:pPr>
        <w:pStyle w:val="ListBullet"/>
      </w:pPr>
      <w:r w:rsidRPr="009611BE">
        <w:t>Oncology</w:t>
      </w:r>
    </w:p>
    <w:p w14:paraId="1376AA21" w14:textId="6BF085C9" w:rsidR="00034F35" w:rsidRPr="009611BE" w:rsidRDefault="00F8634A" w:rsidP="00172B13">
      <w:pPr>
        <w:pStyle w:val="ListBullet"/>
      </w:pPr>
      <w:r w:rsidRPr="009611BE">
        <w:t>Dermatology</w:t>
      </w:r>
    </w:p>
    <w:p w14:paraId="77F89740" w14:textId="3C2CFC7D" w:rsidR="00F8634A" w:rsidRPr="009611BE" w:rsidRDefault="00F8634A" w:rsidP="00172B13">
      <w:pPr>
        <w:pStyle w:val="ListBullet"/>
      </w:pPr>
      <w:r w:rsidRPr="009611BE">
        <w:t>TOP</w:t>
      </w:r>
    </w:p>
    <w:p w14:paraId="0560A062" w14:textId="77777777" w:rsidR="002E112F" w:rsidRPr="009611BE" w:rsidRDefault="00F8634A" w:rsidP="00172B13">
      <w:pPr>
        <w:pStyle w:val="LastBullet"/>
        <w:sectPr w:rsidR="002E112F" w:rsidRPr="009611BE" w:rsidSect="002E112F">
          <w:type w:val="continuous"/>
          <w:pgSz w:w="11906" w:h="16838" w:code="9"/>
          <w:pgMar w:top="1191" w:right="1021" w:bottom="1247" w:left="1021" w:header="624" w:footer="510" w:gutter="0"/>
          <w:cols w:num="2" w:space="57" w:equalWidth="0">
            <w:col w:w="5103" w:space="57"/>
            <w:col w:w="4704"/>
          </w:cols>
          <w:docGrid w:linePitch="360"/>
        </w:sectPr>
      </w:pPr>
      <w:r w:rsidRPr="009611BE">
        <w:t>Fetal medicine</w:t>
      </w:r>
      <w:r w:rsidR="00172B13" w:rsidRPr="009611BE">
        <w:t>.</w:t>
      </w:r>
    </w:p>
    <w:p w14:paraId="489C12F0" w14:textId="25BD6E15" w:rsidR="00034F35" w:rsidRPr="009611BE" w:rsidRDefault="00F8634A" w:rsidP="002E112F">
      <w:pPr>
        <w:pStyle w:val="Heading2Numbered"/>
      </w:pPr>
      <w:r w:rsidRPr="009611BE">
        <w:t xml:space="preserve">Funding and </w:t>
      </w:r>
      <w:r w:rsidR="002E112F" w:rsidRPr="009611BE">
        <w:t>c</w:t>
      </w:r>
      <w:r w:rsidRPr="009611BE">
        <w:t xml:space="preserve">ommissioning </w:t>
      </w:r>
      <w:r w:rsidR="002E112F" w:rsidRPr="009611BE">
        <w:t>MMNs</w:t>
      </w:r>
    </w:p>
    <w:p w14:paraId="1E8509B5" w14:textId="77777777" w:rsidR="00034F35" w:rsidRPr="009611BE" w:rsidRDefault="00F8634A" w:rsidP="00F8634A">
      <w:pPr>
        <w:pStyle w:val="BodyText"/>
      </w:pPr>
      <w:r w:rsidRPr="009611BE">
        <w:t>In general, physician-led appointments and medical diagnostics – including care required for women with the most complex problems – is funded through the same relevant specialty budgets used for non-pregnant patients. Maternal medicine services provide the expertise to manage the additional complexity related to pregnancy.</w:t>
      </w:r>
    </w:p>
    <w:p w14:paraId="63C3B74D" w14:textId="0C5A5DF8" w:rsidR="00034F35" w:rsidRPr="009611BE" w:rsidRDefault="00F8634A" w:rsidP="00F8634A">
      <w:pPr>
        <w:pStyle w:val="BodyText"/>
      </w:pPr>
      <w:r w:rsidRPr="009611BE">
        <w:lastRenderedPageBreak/>
        <w:t xml:space="preserve">Maternal </w:t>
      </w:r>
      <w:r w:rsidR="00F77DDF" w:rsidRPr="009611BE">
        <w:t>m</w:t>
      </w:r>
      <w:r w:rsidRPr="009611BE">
        <w:t xml:space="preserve">edicine activity is funded locally through maternity tariff. Under </w:t>
      </w:r>
      <w:r w:rsidR="00F77DDF" w:rsidRPr="009611BE">
        <w:t>m</w:t>
      </w:r>
      <w:r w:rsidRPr="009611BE">
        <w:t xml:space="preserve">aternity </w:t>
      </w:r>
      <w:r w:rsidR="00F77DDF" w:rsidRPr="009611BE">
        <w:t>p</w:t>
      </w:r>
      <w:r w:rsidRPr="009611BE">
        <w:t xml:space="preserve">athway </w:t>
      </w:r>
      <w:r w:rsidR="00F77DDF" w:rsidRPr="009611BE">
        <w:t>p</w:t>
      </w:r>
      <w:r w:rsidRPr="009611BE">
        <w:t>ayment arrangements, referrals between providers for opinion/advice, or transfers of care in the antenatal period</w:t>
      </w:r>
      <w:r w:rsidR="00F77DDF" w:rsidRPr="009611BE">
        <w:rPr>
          <w:rStyle w:val="FootnoteReference"/>
        </w:rPr>
        <w:footnoteReference w:id="1"/>
      </w:r>
      <w:r w:rsidR="00034F35" w:rsidRPr="009611BE">
        <w:t xml:space="preserve"> </w:t>
      </w:r>
      <w:r w:rsidRPr="009611BE">
        <w:t>have been funded inconsistently through provider to provider payments – also known as cross-charging. These arrangements are associated with payment disputes and are administratively burdensome.</w:t>
      </w:r>
    </w:p>
    <w:p w14:paraId="6F9C0AEB" w14:textId="47A252A7" w:rsidR="00034F35" w:rsidRPr="009611BE" w:rsidRDefault="00F8634A" w:rsidP="00F8634A">
      <w:pPr>
        <w:pStyle w:val="BodyText"/>
      </w:pPr>
      <w:r w:rsidRPr="009611BE">
        <w:t xml:space="preserve">To avoid the financial uncertainty and administrative burden of cross-charging and ensure sustainable and equitable funding in line with system-led </w:t>
      </w:r>
      <w:r w:rsidR="00F77DDF" w:rsidRPr="009611BE">
        <w:t>a</w:t>
      </w:r>
      <w:r w:rsidRPr="009611BE">
        <w:t xml:space="preserve">ligned </w:t>
      </w:r>
      <w:r w:rsidR="00F77DDF" w:rsidRPr="009611BE">
        <w:t>p</w:t>
      </w:r>
      <w:r w:rsidRPr="009611BE">
        <w:t xml:space="preserve">ayment and </w:t>
      </w:r>
      <w:r w:rsidR="00F77DDF" w:rsidRPr="009611BE">
        <w:t>i</w:t>
      </w:r>
      <w:r w:rsidRPr="009611BE">
        <w:t xml:space="preserve">ncentives, </w:t>
      </w:r>
      <w:r w:rsidR="00F77DDF" w:rsidRPr="009611BE">
        <w:rPr>
          <w:b/>
          <w:bCs/>
        </w:rPr>
        <w:t>MMNs</w:t>
      </w:r>
      <w:r w:rsidRPr="009611BE">
        <w:rPr>
          <w:b/>
          <w:bCs/>
        </w:rPr>
        <w:t xml:space="preserve"> should be funded locally through a lead commissioner model</w:t>
      </w:r>
      <w:r w:rsidRPr="009611BE">
        <w:t xml:space="preserve">. In practice, this means the </w:t>
      </w:r>
      <w:r w:rsidR="00F77DDF" w:rsidRPr="009611BE">
        <w:t>MMC</w:t>
      </w:r>
      <w:r w:rsidRPr="009611BE">
        <w:t xml:space="preserve"> host organisations will receive an annual allocation from a lead commissioner, with all other constituent commissioners in a network footprint contributing a fair share of funding.</w:t>
      </w:r>
    </w:p>
    <w:p w14:paraId="6D85FBDB" w14:textId="59F402AD" w:rsidR="00034F35" w:rsidRPr="009611BE" w:rsidRDefault="00F8634A" w:rsidP="00F8634A">
      <w:pPr>
        <w:pStyle w:val="BodyText"/>
      </w:pPr>
      <w:r w:rsidRPr="009611BE">
        <w:t xml:space="preserve">At a minimum, </w:t>
      </w:r>
      <w:r w:rsidRPr="009611BE">
        <w:rPr>
          <w:b/>
          <w:bCs/>
        </w:rPr>
        <w:t xml:space="preserve">funding must be modelled to cover the staffing capacity required for referrals into the </w:t>
      </w:r>
      <w:r w:rsidR="00F77DDF" w:rsidRPr="009611BE">
        <w:rPr>
          <w:b/>
          <w:bCs/>
        </w:rPr>
        <w:t>MMC</w:t>
      </w:r>
      <w:r w:rsidRPr="009611BE">
        <w:rPr>
          <w:b/>
          <w:bCs/>
        </w:rPr>
        <w:t xml:space="preserve"> for advice or care, and provide system-wide leadership and education as part of running the network, as set out in 4.2 below</w:t>
      </w:r>
      <w:r w:rsidRPr="009611BE">
        <w:t xml:space="preserve">. Funding could also be used to support specialist </w:t>
      </w:r>
      <w:r w:rsidR="00F77DDF" w:rsidRPr="009611BE">
        <w:t>m</w:t>
      </w:r>
      <w:r w:rsidRPr="009611BE">
        <w:t xml:space="preserve">aternal </w:t>
      </w:r>
      <w:r w:rsidR="00F77DDF" w:rsidRPr="009611BE">
        <w:t>m</w:t>
      </w:r>
      <w:r w:rsidRPr="009611BE">
        <w:t xml:space="preserve">edicine staffing and activity in spokes, in accordance with the agreed clinical model for the </w:t>
      </w:r>
      <w:r w:rsidR="00F77DDF" w:rsidRPr="009611BE">
        <w:t>n</w:t>
      </w:r>
      <w:r w:rsidRPr="009611BE">
        <w:t xml:space="preserve">etwork. </w:t>
      </w:r>
    </w:p>
    <w:p w14:paraId="72C987DE" w14:textId="6C2C0680" w:rsidR="00034F35" w:rsidRPr="009611BE" w:rsidRDefault="00F8634A" w:rsidP="00F8634A">
      <w:pPr>
        <w:pStyle w:val="BodyText"/>
      </w:pPr>
      <w:r w:rsidRPr="009611BE">
        <w:t xml:space="preserve">In meeting the required staffing capacity, some consultant-level staff might work part-time for the </w:t>
      </w:r>
      <w:r w:rsidR="00F77DDF" w:rsidRPr="009611BE">
        <w:t>MMN</w:t>
      </w:r>
      <w:r w:rsidRPr="009611BE">
        <w:t>. PAs spent at the network and their relevant department should be clearly defined, and agreements for funding these PAs to be shared between the network and department in accordance.</w:t>
      </w:r>
    </w:p>
    <w:p w14:paraId="7766C54F" w14:textId="481BEFC1" w:rsidR="00034F35" w:rsidRPr="009611BE" w:rsidRDefault="00F8634A" w:rsidP="00F8634A">
      <w:pPr>
        <w:pStyle w:val="BodyText"/>
      </w:pPr>
      <w:r w:rsidRPr="009611BE">
        <w:t>To ensure optimal funding for best practice care, local commissioners should ensure that revised funding arrangements are appropriate and use the following funding sources:</w:t>
      </w:r>
    </w:p>
    <w:p w14:paraId="3AB3B657" w14:textId="11F7062A" w:rsidR="00034F35" w:rsidRPr="009611BE" w:rsidRDefault="00F8634A" w:rsidP="00F77DDF">
      <w:pPr>
        <w:pStyle w:val="BodyText2"/>
        <w:spacing w:after="120"/>
      </w:pPr>
      <w:r w:rsidRPr="009611BE">
        <w:t>Existing spending relating to maternal medicine referrals</w:t>
      </w:r>
    </w:p>
    <w:p w14:paraId="775F7987" w14:textId="5CAC72E1" w:rsidR="00034F35" w:rsidRPr="009611BE" w:rsidRDefault="00F8634A" w:rsidP="00F77DDF">
      <w:pPr>
        <w:pStyle w:val="BodyText2"/>
        <w:numPr>
          <w:ilvl w:val="0"/>
          <w:numId w:val="0"/>
        </w:numPr>
        <w:ind w:left="567"/>
      </w:pPr>
      <w:r w:rsidRPr="009611BE">
        <w:t xml:space="preserve">Local audits have demonstrated that significant maternal medicine referral activity is already funded through maternity tariff, as set out above. Modelling based on audits undertaken in Thames Valley valued this at £4.2m nationally. Using </w:t>
      </w:r>
      <w:r w:rsidR="00F77DDF" w:rsidRPr="009611BE">
        <w:t>the Personal Social Services Research Unit (</w:t>
      </w:r>
      <w:r w:rsidRPr="009611BE">
        <w:t>PSSRU</w:t>
      </w:r>
      <w:r w:rsidR="00F77DDF" w:rsidRPr="009611BE">
        <w:t>)</w:t>
      </w:r>
      <w:r w:rsidRPr="009611BE">
        <w:t xml:space="preserve"> costing methodology, for every 36,200 births, a </w:t>
      </w:r>
      <w:r w:rsidR="00F77DDF" w:rsidRPr="009611BE">
        <w:t>n</w:t>
      </w:r>
      <w:r w:rsidRPr="009611BE">
        <w:t>etwork at the minimum staffing level set out in section 4.2 would be affordable with historic funding. Note the funding detailed in point 2 below is in addition to these historical funds.</w:t>
      </w:r>
    </w:p>
    <w:p w14:paraId="6C6CB340" w14:textId="716687D8" w:rsidR="00034F35" w:rsidRPr="009611BE" w:rsidRDefault="00F8634A" w:rsidP="00F77DDF">
      <w:pPr>
        <w:pStyle w:val="BodyText2"/>
        <w:keepNext/>
        <w:spacing w:after="120"/>
      </w:pPr>
      <w:r w:rsidRPr="009611BE">
        <w:lastRenderedPageBreak/>
        <w:t xml:space="preserve">Additional </w:t>
      </w:r>
      <w:r w:rsidR="00F77DDF" w:rsidRPr="009611BE">
        <w:t>clinical commissioning group (</w:t>
      </w:r>
      <w:r w:rsidRPr="009611BE">
        <w:t>CCG</w:t>
      </w:r>
      <w:r w:rsidR="00F77DDF" w:rsidRPr="009611BE">
        <w:t>)</w:t>
      </w:r>
      <w:r w:rsidRPr="009611BE">
        <w:t xml:space="preserve"> baseline funding for </w:t>
      </w:r>
      <w:r w:rsidR="00F77DDF" w:rsidRPr="009611BE">
        <w:t>MMNs</w:t>
      </w:r>
      <w:r w:rsidRPr="009611BE">
        <w:t xml:space="preserve"> from </w:t>
      </w:r>
      <w:r w:rsidR="00F77DDF" w:rsidRPr="009611BE">
        <w:t>20</w:t>
      </w:r>
      <w:r w:rsidRPr="009611BE">
        <w:t>21/22</w:t>
      </w:r>
    </w:p>
    <w:p w14:paraId="61415DB3" w14:textId="49006AA5" w:rsidR="00034F35" w:rsidRPr="009611BE" w:rsidRDefault="00F8634A" w:rsidP="00F77DDF">
      <w:pPr>
        <w:pStyle w:val="BodyText2"/>
        <w:numPr>
          <w:ilvl w:val="0"/>
          <w:numId w:val="0"/>
        </w:numPr>
        <w:ind w:left="567"/>
      </w:pPr>
      <w:r w:rsidRPr="009611BE">
        <w:t xml:space="preserve">From 21/22, an additional £9.8m will be allocated to CCG baselines to support the provision of </w:t>
      </w:r>
      <w:r w:rsidR="00F77DDF" w:rsidRPr="009611BE">
        <w:t>MMNs</w:t>
      </w:r>
      <w:r w:rsidRPr="009611BE">
        <w:t xml:space="preserve">, and </w:t>
      </w:r>
      <w:r w:rsidR="00F77DDF" w:rsidRPr="009611BE">
        <w:t>p</w:t>
      </w:r>
      <w:r w:rsidRPr="009611BE">
        <w:t>re-term birth clinics.</w:t>
      </w:r>
      <w:r w:rsidR="00D928A4" w:rsidRPr="009611BE">
        <w:rPr>
          <w:rStyle w:val="FootnoteReference"/>
        </w:rPr>
        <w:footnoteReference w:id="2"/>
      </w:r>
      <w:r w:rsidR="00034F35" w:rsidRPr="009611BE">
        <w:t xml:space="preserve"> </w:t>
      </w:r>
      <w:r w:rsidRPr="009611BE">
        <w:t>This should be used to supplement existing funding, and secure sufficient additional capacity for network-level activities including leadership, training, education and outreach, and more generally to provide an optimal staffing level for best practice care as set out in 4.2.</w:t>
      </w:r>
    </w:p>
    <w:p w14:paraId="5FE09760" w14:textId="77777777" w:rsidR="00034F35" w:rsidRPr="009611BE" w:rsidRDefault="00F8634A" w:rsidP="00F8634A">
      <w:pPr>
        <w:pStyle w:val="BodyText"/>
      </w:pPr>
      <w:r w:rsidRPr="009611BE">
        <w:t xml:space="preserve">In summary, the lead commissioner model presents an opportunity to streamline, formalise and supplement existing funding flows, and ensure sustainable best practice care. </w:t>
      </w:r>
    </w:p>
    <w:p w14:paraId="41645B05" w14:textId="77777777" w:rsidR="00034F35" w:rsidRPr="009611BE" w:rsidRDefault="00F8634A" w:rsidP="00F8634A">
      <w:pPr>
        <w:pStyle w:val="BodyText"/>
      </w:pPr>
      <w:r w:rsidRPr="009611BE">
        <w:t xml:space="preserve">It is for local commissioners to agree the basis of fair shares to fund the Network. The establishment of the MMN presents an important opportunity to audit the rate and complexity of referrals following the agreement of local pathways, to ensure that funding flows are appropriate, equitable and sustainable. In the meantime, commissioners should agree a bridging measure for calculating these fair shares – such as rates of delivery – for revision in future </w:t>
      </w:r>
      <w:proofErr w:type="gramStart"/>
      <w:r w:rsidRPr="009611BE">
        <w:t>years, once</w:t>
      </w:r>
      <w:proofErr w:type="gramEnd"/>
      <w:r w:rsidRPr="009611BE">
        <w:t xml:space="preserve"> this data has been collected.</w:t>
      </w:r>
    </w:p>
    <w:p w14:paraId="2205326F" w14:textId="61DFDA9E" w:rsidR="00F8634A" w:rsidRPr="009611BE" w:rsidRDefault="00F8634A" w:rsidP="00F8634A">
      <w:pPr>
        <w:pStyle w:val="BodyText"/>
      </w:pPr>
      <w:r w:rsidRPr="009611BE">
        <w:t>To support these discussions,</w:t>
      </w:r>
      <w:r w:rsidR="00034F35" w:rsidRPr="009611BE">
        <w:t xml:space="preserve"> </w:t>
      </w:r>
      <w:r w:rsidRPr="009611BE">
        <w:t xml:space="preserve">a tool, which can be found </w:t>
      </w:r>
      <w:hyperlink r:id="rId17" w:history="1">
        <w:r w:rsidRPr="009611BE">
          <w:rPr>
            <w:rStyle w:val="Hyperlink"/>
          </w:rPr>
          <w:t>here</w:t>
        </w:r>
      </w:hyperlink>
      <w:r w:rsidRPr="009611BE">
        <w:t>, has been created to support calculating:</w:t>
      </w:r>
    </w:p>
    <w:p w14:paraId="3C6C9A1A" w14:textId="5E7781CD" w:rsidR="00F8634A" w:rsidRPr="009611BE" w:rsidRDefault="00DC7CBB" w:rsidP="00DC7CBB">
      <w:pPr>
        <w:pStyle w:val="ListBullet"/>
      </w:pPr>
      <w:r w:rsidRPr="009611BE">
        <w:t>e</w:t>
      </w:r>
      <w:r w:rsidR="00F8634A" w:rsidRPr="009611BE">
        <w:t>stimated costs for MMC and wider network staffing</w:t>
      </w:r>
    </w:p>
    <w:p w14:paraId="2D609FC1" w14:textId="3AC6F55C" w:rsidR="00F8634A" w:rsidRPr="009611BE" w:rsidRDefault="00F8634A" w:rsidP="00DC7CBB">
      <w:pPr>
        <w:pStyle w:val="ListBullet"/>
      </w:pPr>
      <w:r w:rsidRPr="009611BE">
        <w:t>respective CCG shares of this cost based on deliveries</w:t>
      </w:r>
    </w:p>
    <w:p w14:paraId="6EDD6D73" w14:textId="11627A57" w:rsidR="00F8634A" w:rsidRPr="009611BE" w:rsidRDefault="00F8634A" w:rsidP="00DC7CBB">
      <w:pPr>
        <w:pStyle w:val="ListBullet"/>
      </w:pPr>
      <w:r w:rsidRPr="009611BE">
        <w:t>existing spend on maternal medicine referrals by CCG, based on national modelling</w:t>
      </w:r>
    </w:p>
    <w:p w14:paraId="79C15986" w14:textId="65B58DF2" w:rsidR="00034F35" w:rsidRPr="009611BE" w:rsidRDefault="00F8634A" w:rsidP="00DC7CBB">
      <w:pPr>
        <w:pStyle w:val="LastBullet"/>
      </w:pPr>
      <w:r w:rsidRPr="009611BE">
        <w:t>the estimated value of additional CCG baseline funding.</w:t>
      </w:r>
    </w:p>
    <w:p w14:paraId="478AA96B" w14:textId="30999CEF" w:rsidR="00034F35" w:rsidRPr="009611BE" w:rsidRDefault="00F8634A" w:rsidP="00F8634A">
      <w:pPr>
        <w:pStyle w:val="BodyText"/>
      </w:pPr>
      <w:r w:rsidRPr="009611BE">
        <w:t>With this locally commissioned model there is also a need for regional oversight and co-ordination to ensure consistent network coverage across the country, and to ensure that services are commissioned in line with this specification.</w:t>
      </w:r>
    </w:p>
    <w:p w14:paraId="55FE4DFD" w14:textId="4204A715" w:rsidR="00F8634A" w:rsidRPr="009611BE" w:rsidRDefault="00F8634A" w:rsidP="00F8634A">
      <w:pPr>
        <w:pStyle w:val="BodyText"/>
      </w:pPr>
      <w:r w:rsidRPr="009611BE">
        <w:t>Appointments for pre-pregnancy counselling will be funded through local commissioning arrangements with the CCG.</w:t>
      </w:r>
    </w:p>
    <w:p w14:paraId="5578DD4E" w14:textId="747F1EB8" w:rsidR="00F8634A" w:rsidRPr="009611BE" w:rsidRDefault="00F8634A" w:rsidP="00F8634A">
      <w:pPr>
        <w:pStyle w:val="Heading1Numbered"/>
      </w:pPr>
      <w:r w:rsidRPr="009611BE">
        <w:lastRenderedPageBreak/>
        <w:t>Population covered and population needs</w:t>
      </w:r>
    </w:p>
    <w:p w14:paraId="613D329F" w14:textId="798B1C4C" w:rsidR="00034F35" w:rsidRPr="009611BE" w:rsidRDefault="00F8634A" w:rsidP="00DC7CBB">
      <w:pPr>
        <w:pStyle w:val="Heading2Numbered"/>
      </w:pPr>
      <w:r w:rsidRPr="009611BE">
        <w:t xml:space="preserve">Population </w:t>
      </w:r>
      <w:r w:rsidR="00DC7CBB" w:rsidRPr="009611BE">
        <w:t>c</w:t>
      </w:r>
      <w:r w:rsidRPr="009611BE">
        <w:t xml:space="preserve">overed by this </w:t>
      </w:r>
      <w:r w:rsidR="00DC7CBB" w:rsidRPr="009611BE">
        <w:t>s</w:t>
      </w:r>
      <w:r w:rsidRPr="009611BE">
        <w:t>pecification</w:t>
      </w:r>
    </w:p>
    <w:p w14:paraId="4153FB80" w14:textId="77777777" w:rsidR="00034F35" w:rsidRPr="009611BE" w:rsidRDefault="00F8634A" w:rsidP="00F8634A">
      <w:pPr>
        <w:pStyle w:val="BodyText"/>
      </w:pPr>
      <w:r w:rsidRPr="009611BE">
        <w:t>This service is for all women in England who wish to become pregnant, are in antenatal or postnatal care and who have medical problems that pre-date or arise in pregnancy.</w:t>
      </w:r>
    </w:p>
    <w:p w14:paraId="4814ABCD" w14:textId="33BD44E2" w:rsidR="00034F35" w:rsidRPr="009611BE" w:rsidRDefault="00F8634A" w:rsidP="00DC7CBB">
      <w:pPr>
        <w:pStyle w:val="Heading2Numbered"/>
      </w:pPr>
      <w:r w:rsidRPr="009611BE">
        <w:t xml:space="preserve">Population </w:t>
      </w:r>
      <w:r w:rsidR="00DC7CBB" w:rsidRPr="009611BE">
        <w:t>n</w:t>
      </w:r>
      <w:r w:rsidRPr="009611BE">
        <w:t>eeds</w:t>
      </w:r>
    </w:p>
    <w:p w14:paraId="0C8712B7" w14:textId="4DE43D68" w:rsidR="00034F35" w:rsidRPr="009611BE" w:rsidRDefault="00F8634A" w:rsidP="00F8634A">
      <w:pPr>
        <w:pStyle w:val="BodyText"/>
      </w:pPr>
      <w:r w:rsidRPr="009611BE">
        <w:t>In 2015 there were an estimated 876,934 conceptions to women of all ages, compared with 871,038 in 2014, an increase of 0.7%. Despite the rise and fall in actual numbers the rate of conception per 1000 women has remained quite steady over the past two decades.</w:t>
      </w:r>
    </w:p>
    <w:p w14:paraId="4BCA6736" w14:textId="79B67413" w:rsidR="00F8634A" w:rsidRPr="009611BE" w:rsidRDefault="00F8634A" w:rsidP="00F8634A">
      <w:pPr>
        <w:pStyle w:val="BodyText"/>
      </w:pPr>
      <w:r w:rsidRPr="009611BE">
        <w:t xml:space="preserve">Local </w:t>
      </w:r>
      <w:r w:rsidR="00DC7CBB" w:rsidRPr="009611BE">
        <w:t>m</w:t>
      </w:r>
      <w:r w:rsidRPr="009611BE">
        <w:t xml:space="preserve">aternity </w:t>
      </w:r>
      <w:r w:rsidR="00DC7CBB" w:rsidRPr="009611BE">
        <w:t>s</w:t>
      </w:r>
      <w:r w:rsidRPr="009611BE">
        <w:t>ystems will need to ensure suitable capacity within the MMC’s multi-disciplinary team, based on analysis of local case mix.</w:t>
      </w:r>
    </w:p>
    <w:p w14:paraId="5269EBFE" w14:textId="0FB16D0D" w:rsidR="00F8634A" w:rsidRPr="009611BE" w:rsidRDefault="00F8634A" w:rsidP="00F8634A">
      <w:pPr>
        <w:pStyle w:val="Caption"/>
        <w:keepNext/>
      </w:pPr>
      <w:r w:rsidRPr="009611BE">
        <w:t xml:space="preserve">Figure </w:t>
      </w:r>
      <w:r w:rsidR="00D14E67">
        <w:fldChar w:fldCharType="begin"/>
      </w:r>
      <w:r w:rsidR="00D14E67">
        <w:instrText xml:space="preserve"> SEQ Figure \* ARABIC </w:instrText>
      </w:r>
      <w:r w:rsidR="00D14E67">
        <w:fldChar w:fldCharType="separate"/>
      </w:r>
      <w:r w:rsidR="00C96BBA">
        <w:rPr>
          <w:noProof/>
        </w:rPr>
        <w:t>2</w:t>
      </w:r>
      <w:r w:rsidR="00D14E67">
        <w:rPr>
          <w:noProof/>
        </w:rPr>
        <w:fldChar w:fldCharType="end"/>
      </w:r>
      <w:r w:rsidRPr="009611BE">
        <w:t>: The number of conceptions and the conception rate for all women, 1969 to 2015 (England and Wales)</w:t>
      </w:r>
    </w:p>
    <w:p w14:paraId="31A018A8" w14:textId="65C0B315" w:rsidR="00F8634A" w:rsidRPr="009611BE" w:rsidRDefault="00F8634A" w:rsidP="00F8634A">
      <w:pPr>
        <w:pStyle w:val="BodyText"/>
      </w:pPr>
      <w:r w:rsidRPr="009611BE">
        <w:rPr>
          <w:noProof/>
          <w:lang w:eastAsia="en-GB"/>
        </w:rPr>
        <w:drawing>
          <wp:inline distT="0" distB="0" distL="0" distR="0" wp14:anchorId="2CA30E90" wp14:editId="7274142B">
            <wp:extent cx="4984750" cy="3519447"/>
            <wp:effectExtent l="0" t="0" r="635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t="14729"/>
                    <a:stretch/>
                  </pic:blipFill>
                  <pic:spPr bwMode="auto">
                    <a:xfrm>
                      <a:off x="0" y="0"/>
                      <a:ext cx="4993298" cy="3525482"/>
                    </a:xfrm>
                    <a:prstGeom prst="rect">
                      <a:avLst/>
                    </a:prstGeom>
                    <a:ln>
                      <a:noFill/>
                    </a:ln>
                    <a:extLst>
                      <a:ext uri="{53640926-AAD7-44D8-BBD7-CCE9431645EC}">
                        <a14:shadowObscured xmlns:a14="http://schemas.microsoft.com/office/drawing/2010/main"/>
                      </a:ext>
                    </a:extLst>
                  </pic:spPr>
                </pic:pic>
              </a:graphicData>
            </a:graphic>
          </wp:inline>
        </w:drawing>
      </w:r>
    </w:p>
    <w:p w14:paraId="62B8A8B9" w14:textId="106201A0" w:rsidR="00034F35" w:rsidRPr="009611BE" w:rsidRDefault="00F8634A" w:rsidP="00DC7CBB">
      <w:pPr>
        <w:pStyle w:val="Heading2Numbered"/>
      </w:pPr>
      <w:r w:rsidRPr="009611BE">
        <w:t xml:space="preserve">Evidence </w:t>
      </w:r>
      <w:r w:rsidR="00DC7CBB" w:rsidRPr="009611BE">
        <w:t>b</w:t>
      </w:r>
      <w:r w:rsidRPr="009611BE">
        <w:t>ase</w:t>
      </w:r>
    </w:p>
    <w:p w14:paraId="1CCA90A7" w14:textId="77B0E3C3" w:rsidR="00F8634A" w:rsidRPr="009611BE" w:rsidRDefault="00F8634A" w:rsidP="00DC7CBB">
      <w:pPr>
        <w:pStyle w:val="ListBullet"/>
      </w:pPr>
      <w:r w:rsidRPr="009611BE">
        <w:t>Maternity Matters: Choice, access and continuity of care in a safe service, Department of Health, 2007 sets out the Government’s commitment for modern NHS maternity services and provides a national framework for local delivery.</w:t>
      </w:r>
    </w:p>
    <w:p w14:paraId="221C1888" w14:textId="6008BCCE" w:rsidR="00F8634A" w:rsidRPr="009611BE" w:rsidRDefault="00F8634A" w:rsidP="00DC7CBB">
      <w:pPr>
        <w:pStyle w:val="ListBullet"/>
      </w:pPr>
      <w:r w:rsidRPr="009611BE">
        <w:t>BETTER BIRTHS: Improving outcomes of maternity services in England, A Five Year Forward View for maternity care, 2016</w:t>
      </w:r>
    </w:p>
    <w:p w14:paraId="2EC43FF8" w14:textId="5CEBF65F" w:rsidR="00034F35" w:rsidRPr="009611BE" w:rsidRDefault="00F8634A" w:rsidP="00DC7CBB">
      <w:pPr>
        <w:pStyle w:val="ListBullet"/>
      </w:pPr>
      <w:r w:rsidRPr="009611BE">
        <w:lastRenderedPageBreak/>
        <w:t>MBRRACE-UK Confidential Enquiry into Maternal Death 2020 (and numerous previous CEMACH and MBRRACE publications on maternal death).</w:t>
      </w:r>
    </w:p>
    <w:p w14:paraId="50C03FEE" w14:textId="42FB5B8D" w:rsidR="00F8634A" w:rsidRPr="009611BE" w:rsidRDefault="00F8634A" w:rsidP="00DC7CBB">
      <w:pPr>
        <w:pStyle w:val="ListBullet"/>
      </w:pPr>
      <w:r w:rsidRPr="009611BE">
        <w:t>Patterns of maternity care in English NHS trusts 2013/14, 2016</w:t>
      </w:r>
    </w:p>
    <w:p w14:paraId="7A617D40" w14:textId="33B4309A" w:rsidR="00F8634A" w:rsidRPr="009611BE" w:rsidRDefault="00F8634A" w:rsidP="00DC7CBB">
      <w:pPr>
        <w:pStyle w:val="ListBullet"/>
      </w:pPr>
      <w:r w:rsidRPr="009611BE">
        <w:t>Trends in Maternal Mortality: 1990 to 2015 Estimates by WHO, UNICEF, UNFPA, World Bank Group and the United Nations Population Division</w:t>
      </w:r>
    </w:p>
    <w:p w14:paraId="090F00C1" w14:textId="1BCA653F" w:rsidR="00F8634A" w:rsidRPr="009611BE" w:rsidRDefault="00F8634A" w:rsidP="00DC7CBB">
      <w:pPr>
        <w:pStyle w:val="LastBullet"/>
      </w:pPr>
      <w:r w:rsidRPr="009611BE">
        <w:t>Ockenden review of maternity services at Shrewsbury and Telford Hospital NHS Trust: Emerging findings and recommendations from the independent review of maternity services at the Shrewsbury and Telford Hospital NHS Trust. Dec 2020</w:t>
      </w:r>
    </w:p>
    <w:p w14:paraId="3E64DF80" w14:textId="61534D3C" w:rsidR="00F8634A" w:rsidRPr="009611BE" w:rsidRDefault="00F8634A" w:rsidP="00F8634A">
      <w:pPr>
        <w:pStyle w:val="Heading1Numbered"/>
      </w:pPr>
      <w:r w:rsidRPr="009611BE">
        <w:t>Outcomes and applicable quality standards</w:t>
      </w:r>
    </w:p>
    <w:p w14:paraId="230E3220" w14:textId="5758155D" w:rsidR="00034F35" w:rsidRPr="009611BE" w:rsidRDefault="00F8634A" w:rsidP="00DC7CBB">
      <w:pPr>
        <w:pStyle w:val="Heading2Numbered"/>
      </w:pPr>
      <w:r w:rsidRPr="009611BE">
        <w:t xml:space="preserve">Quality </w:t>
      </w:r>
      <w:r w:rsidR="00DC7CBB" w:rsidRPr="009611BE">
        <w:t>s</w:t>
      </w:r>
      <w:r w:rsidRPr="009611BE">
        <w:t xml:space="preserve">tatement – </w:t>
      </w:r>
      <w:r w:rsidR="00DC7CBB" w:rsidRPr="009611BE">
        <w:t>a</w:t>
      </w:r>
      <w:r w:rsidRPr="009611BE">
        <w:t xml:space="preserve">im of </w:t>
      </w:r>
      <w:r w:rsidR="00DC7CBB" w:rsidRPr="009611BE">
        <w:t>s</w:t>
      </w:r>
      <w:r w:rsidRPr="009611BE">
        <w:t>ervice</w:t>
      </w:r>
    </w:p>
    <w:p w14:paraId="00F7DC4A" w14:textId="764ECDF8" w:rsidR="00F8634A" w:rsidRPr="009611BE" w:rsidRDefault="00F8634A" w:rsidP="00DC7CBB">
      <w:pPr>
        <w:pStyle w:val="ListBullet"/>
      </w:pPr>
      <w:r w:rsidRPr="009611BE">
        <w:t>To provide advice and planned care for women with pre-existing medical conditions, before, during and after pregnancy – ensuring equitable access, excellent experience and optimal outcomes for all communities served by the service.</w:t>
      </w:r>
    </w:p>
    <w:p w14:paraId="3FCAABA5" w14:textId="1148B28A" w:rsidR="00F8634A" w:rsidRPr="009611BE" w:rsidRDefault="00F8634A" w:rsidP="00DC7CBB">
      <w:pPr>
        <w:pStyle w:val="ListBullet"/>
      </w:pPr>
      <w:r w:rsidRPr="009611BE">
        <w:t>To provide advice and planned intrapartum and postpartum care for women with medical conditions that arise during pregnancy</w:t>
      </w:r>
    </w:p>
    <w:p w14:paraId="5D27AB96" w14:textId="1449EFAE" w:rsidR="00F8634A" w:rsidRPr="009611BE" w:rsidRDefault="00F8634A" w:rsidP="00DC7CBB">
      <w:pPr>
        <w:pStyle w:val="ListBullet"/>
      </w:pPr>
      <w:r w:rsidRPr="009611BE">
        <w:t>To provide local clinical leadership on the identification, referral and management of women with medical conditions, including reviewing training, clinical guidelines and referral pathways for all staff in contact with pregnant women across the footprint.</w:t>
      </w:r>
    </w:p>
    <w:p w14:paraId="05324751" w14:textId="1C846BC7" w:rsidR="00034F35" w:rsidRPr="009611BE" w:rsidRDefault="00F8634A" w:rsidP="00DC7CBB">
      <w:pPr>
        <w:pStyle w:val="LastBullet"/>
      </w:pPr>
      <w:r w:rsidRPr="009611BE">
        <w:t xml:space="preserve">To reduce inequities in pregnancy outcomes relating to medical complexity across all demographics </w:t>
      </w:r>
    </w:p>
    <w:p w14:paraId="10D76038" w14:textId="1EE1F219" w:rsidR="00F8634A" w:rsidRPr="009611BE" w:rsidRDefault="00F8634A" w:rsidP="00F8634A">
      <w:pPr>
        <w:pStyle w:val="Caption"/>
        <w:keepNext/>
      </w:pPr>
      <w:r w:rsidRPr="009611BE">
        <w:t xml:space="preserve">Table </w:t>
      </w:r>
      <w:r w:rsidR="00D14E67">
        <w:fldChar w:fldCharType="begin"/>
      </w:r>
      <w:r w:rsidR="00D14E67">
        <w:instrText xml:space="preserve"> SEQ Table \* ARABIC </w:instrText>
      </w:r>
      <w:r w:rsidR="00D14E67">
        <w:fldChar w:fldCharType="separate"/>
      </w:r>
      <w:r w:rsidR="00C96BBA">
        <w:rPr>
          <w:noProof/>
        </w:rPr>
        <w:t>1</w:t>
      </w:r>
      <w:r w:rsidR="00D14E67">
        <w:rPr>
          <w:noProof/>
        </w:rPr>
        <w:fldChar w:fldCharType="end"/>
      </w:r>
      <w:r w:rsidRPr="009611BE">
        <w:t>: NHS outcomes framework domains</w:t>
      </w:r>
    </w:p>
    <w:tbl>
      <w:tblPr>
        <w:tblStyle w:val="NHSTableBlue"/>
        <w:tblW w:w="0" w:type="auto"/>
        <w:tblCellMar>
          <w:left w:w="113" w:type="dxa"/>
          <w:bottom w:w="0" w:type="dxa"/>
          <w:right w:w="113" w:type="dxa"/>
        </w:tblCellMar>
        <w:tblLook w:val="0480" w:firstRow="0" w:lastRow="0" w:firstColumn="1" w:lastColumn="0" w:noHBand="0" w:noVBand="1"/>
      </w:tblPr>
      <w:tblGrid>
        <w:gridCol w:w="1413"/>
        <w:gridCol w:w="5528"/>
        <w:gridCol w:w="641"/>
      </w:tblGrid>
      <w:tr w:rsidR="00F8634A" w:rsidRPr="009611BE" w14:paraId="1B947AAC" w14:textId="77777777" w:rsidTr="000D1710">
        <w:trPr>
          <w:cnfStyle w:val="000000100000" w:firstRow="0" w:lastRow="0" w:firstColumn="0" w:lastColumn="0" w:oddVBand="0" w:evenVBand="0" w:oddHBand="1" w:evenHBand="0" w:firstRowFirstColumn="0" w:firstRowLastColumn="0" w:lastRowFirstColumn="0" w:lastRowLastColumn="0"/>
        </w:trPr>
        <w:tc>
          <w:tcPr>
            <w:tcW w:w="1413" w:type="dxa"/>
          </w:tcPr>
          <w:p w14:paraId="15FBBE68" w14:textId="77777777" w:rsidR="00F8634A" w:rsidRPr="009611BE" w:rsidRDefault="00F8634A" w:rsidP="000D1710">
            <w:pPr>
              <w:pStyle w:val="BodyText"/>
              <w:rPr>
                <w:sz w:val="22"/>
                <w:szCs w:val="22"/>
              </w:rPr>
            </w:pPr>
            <w:r w:rsidRPr="009611BE">
              <w:rPr>
                <w:sz w:val="22"/>
                <w:szCs w:val="22"/>
              </w:rPr>
              <w:t>Domain 1</w:t>
            </w:r>
          </w:p>
        </w:tc>
        <w:tc>
          <w:tcPr>
            <w:tcW w:w="5528" w:type="dxa"/>
          </w:tcPr>
          <w:p w14:paraId="75C45C4B" w14:textId="77777777" w:rsidR="00F8634A" w:rsidRPr="009611BE" w:rsidRDefault="00F8634A" w:rsidP="000D1710">
            <w:pPr>
              <w:pStyle w:val="BodyText"/>
              <w:rPr>
                <w:sz w:val="22"/>
                <w:szCs w:val="22"/>
              </w:rPr>
            </w:pPr>
            <w:r w:rsidRPr="009611BE">
              <w:rPr>
                <w:sz w:val="22"/>
                <w:szCs w:val="22"/>
              </w:rPr>
              <w:t>Preventing people from dying prematurely</w:t>
            </w:r>
          </w:p>
        </w:tc>
        <w:tc>
          <w:tcPr>
            <w:tcW w:w="641" w:type="dxa"/>
          </w:tcPr>
          <w:p w14:paraId="09159226" w14:textId="77777777" w:rsidR="00F8634A" w:rsidRPr="009611BE" w:rsidRDefault="00F8634A" w:rsidP="000D1710">
            <w:pPr>
              <w:pStyle w:val="BodyText"/>
              <w:rPr>
                <w:sz w:val="22"/>
                <w:szCs w:val="22"/>
              </w:rPr>
            </w:pPr>
            <w:r w:rsidRPr="009611BE">
              <w:rPr>
                <w:sz w:val="22"/>
                <w:szCs w:val="22"/>
              </w:rPr>
              <w:t>X</w:t>
            </w:r>
          </w:p>
        </w:tc>
      </w:tr>
      <w:tr w:rsidR="00F8634A" w:rsidRPr="009611BE" w14:paraId="19C90092" w14:textId="77777777" w:rsidTr="000D1710">
        <w:tc>
          <w:tcPr>
            <w:tcW w:w="1413" w:type="dxa"/>
          </w:tcPr>
          <w:p w14:paraId="2A32DB2C" w14:textId="77777777" w:rsidR="00F8634A" w:rsidRPr="009611BE" w:rsidRDefault="00F8634A" w:rsidP="000D1710">
            <w:pPr>
              <w:pStyle w:val="BodyText"/>
              <w:rPr>
                <w:sz w:val="22"/>
                <w:szCs w:val="22"/>
              </w:rPr>
            </w:pPr>
            <w:r w:rsidRPr="009611BE">
              <w:rPr>
                <w:sz w:val="22"/>
                <w:szCs w:val="22"/>
              </w:rPr>
              <w:t>Domain 2</w:t>
            </w:r>
          </w:p>
        </w:tc>
        <w:tc>
          <w:tcPr>
            <w:tcW w:w="5528" w:type="dxa"/>
          </w:tcPr>
          <w:p w14:paraId="7C0EF3C8" w14:textId="77777777" w:rsidR="00F8634A" w:rsidRPr="009611BE" w:rsidRDefault="00F8634A" w:rsidP="000D1710">
            <w:pPr>
              <w:pStyle w:val="BodyText"/>
              <w:rPr>
                <w:sz w:val="22"/>
                <w:szCs w:val="22"/>
              </w:rPr>
            </w:pPr>
            <w:r w:rsidRPr="009611BE">
              <w:rPr>
                <w:sz w:val="22"/>
                <w:szCs w:val="22"/>
              </w:rPr>
              <w:t>Enhancing quality of life for people with long-term conditions</w:t>
            </w:r>
          </w:p>
        </w:tc>
        <w:tc>
          <w:tcPr>
            <w:tcW w:w="641" w:type="dxa"/>
          </w:tcPr>
          <w:p w14:paraId="64AB46D3" w14:textId="77777777" w:rsidR="00F8634A" w:rsidRPr="009611BE" w:rsidRDefault="00F8634A" w:rsidP="000D1710">
            <w:pPr>
              <w:pStyle w:val="BodyText"/>
              <w:rPr>
                <w:sz w:val="22"/>
                <w:szCs w:val="22"/>
              </w:rPr>
            </w:pPr>
            <w:r w:rsidRPr="009611BE">
              <w:rPr>
                <w:sz w:val="22"/>
                <w:szCs w:val="22"/>
              </w:rPr>
              <w:t>X</w:t>
            </w:r>
          </w:p>
        </w:tc>
      </w:tr>
      <w:tr w:rsidR="00F8634A" w:rsidRPr="009611BE" w14:paraId="6379F1F9" w14:textId="77777777" w:rsidTr="000D1710">
        <w:trPr>
          <w:cnfStyle w:val="000000100000" w:firstRow="0" w:lastRow="0" w:firstColumn="0" w:lastColumn="0" w:oddVBand="0" w:evenVBand="0" w:oddHBand="1" w:evenHBand="0" w:firstRowFirstColumn="0" w:firstRowLastColumn="0" w:lastRowFirstColumn="0" w:lastRowLastColumn="0"/>
        </w:trPr>
        <w:tc>
          <w:tcPr>
            <w:tcW w:w="1413" w:type="dxa"/>
          </w:tcPr>
          <w:p w14:paraId="4F279470" w14:textId="77777777" w:rsidR="00F8634A" w:rsidRPr="009611BE" w:rsidRDefault="00F8634A" w:rsidP="000D1710">
            <w:pPr>
              <w:pStyle w:val="BodyText"/>
              <w:rPr>
                <w:sz w:val="22"/>
                <w:szCs w:val="22"/>
              </w:rPr>
            </w:pPr>
            <w:r w:rsidRPr="009611BE">
              <w:rPr>
                <w:sz w:val="22"/>
                <w:szCs w:val="22"/>
              </w:rPr>
              <w:t>Domain 3</w:t>
            </w:r>
          </w:p>
        </w:tc>
        <w:tc>
          <w:tcPr>
            <w:tcW w:w="5528" w:type="dxa"/>
          </w:tcPr>
          <w:p w14:paraId="3C767DC1" w14:textId="77777777" w:rsidR="00F8634A" w:rsidRPr="009611BE" w:rsidRDefault="00F8634A" w:rsidP="000D1710">
            <w:pPr>
              <w:pStyle w:val="BodyText"/>
              <w:rPr>
                <w:sz w:val="22"/>
                <w:szCs w:val="22"/>
              </w:rPr>
            </w:pPr>
            <w:r w:rsidRPr="009611BE">
              <w:rPr>
                <w:sz w:val="22"/>
                <w:szCs w:val="22"/>
              </w:rPr>
              <w:t>Helping people to recover from episodes of ill-health or following injury</w:t>
            </w:r>
          </w:p>
        </w:tc>
        <w:tc>
          <w:tcPr>
            <w:tcW w:w="641" w:type="dxa"/>
          </w:tcPr>
          <w:p w14:paraId="28C332A0" w14:textId="77777777" w:rsidR="00F8634A" w:rsidRPr="009611BE" w:rsidRDefault="00F8634A" w:rsidP="000D1710">
            <w:pPr>
              <w:pStyle w:val="BodyText"/>
              <w:rPr>
                <w:sz w:val="22"/>
                <w:szCs w:val="22"/>
              </w:rPr>
            </w:pPr>
            <w:r w:rsidRPr="009611BE">
              <w:rPr>
                <w:sz w:val="22"/>
                <w:szCs w:val="22"/>
              </w:rPr>
              <w:t>X</w:t>
            </w:r>
          </w:p>
        </w:tc>
      </w:tr>
      <w:tr w:rsidR="00F8634A" w:rsidRPr="009611BE" w14:paraId="29F46B50" w14:textId="77777777" w:rsidTr="000D1710">
        <w:tc>
          <w:tcPr>
            <w:tcW w:w="1413" w:type="dxa"/>
          </w:tcPr>
          <w:p w14:paraId="5844D318" w14:textId="77777777" w:rsidR="00F8634A" w:rsidRPr="009611BE" w:rsidRDefault="00F8634A" w:rsidP="000D1710">
            <w:pPr>
              <w:pStyle w:val="BodyText"/>
              <w:rPr>
                <w:sz w:val="22"/>
                <w:szCs w:val="22"/>
              </w:rPr>
            </w:pPr>
            <w:r w:rsidRPr="009611BE">
              <w:rPr>
                <w:sz w:val="22"/>
                <w:szCs w:val="22"/>
              </w:rPr>
              <w:t>Domain 4</w:t>
            </w:r>
          </w:p>
        </w:tc>
        <w:tc>
          <w:tcPr>
            <w:tcW w:w="5528" w:type="dxa"/>
          </w:tcPr>
          <w:p w14:paraId="6363204D" w14:textId="77777777" w:rsidR="00F8634A" w:rsidRPr="009611BE" w:rsidRDefault="00F8634A" w:rsidP="000D1710">
            <w:pPr>
              <w:pStyle w:val="BodyText"/>
              <w:rPr>
                <w:sz w:val="22"/>
                <w:szCs w:val="22"/>
              </w:rPr>
            </w:pPr>
            <w:r w:rsidRPr="009611BE">
              <w:rPr>
                <w:sz w:val="22"/>
                <w:szCs w:val="22"/>
              </w:rPr>
              <w:t>Ensuring people have a positive experience of care</w:t>
            </w:r>
          </w:p>
        </w:tc>
        <w:tc>
          <w:tcPr>
            <w:tcW w:w="641" w:type="dxa"/>
          </w:tcPr>
          <w:p w14:paraId="6CDB08FB" w14:textId="77777777" w:rsidR="00F8634A" w:rsidRPr="009611BE" w:rsidRDefault="00F8634A" w:rsidP="000D1710">
            <w:pPr>
              <w:pStyle w:val="BodyText"/>
              <w:rPr>
                <w:sz w:val="22"/>
                <w:szCs w:val="22"/>
              </w:rPr>
            </w:pPr>
            <w:r w:rsidRPr="009611BE">
              <w:rPr>
                <w:sz w:val="22"/>
                <w:szCs w:val="22"/>
              </w:rPr>
              <w:t>X</w:t>
            </w:r>
          </w:p>
        </w:tc>
      </w:tr>
      <w:tr w:rsidR="00F8634A" w:rsidRPr="009611BE" w14:paraId="69279550" w14:textId="77777777" w:rsidTr="000D1710">
        <w:trPr>
          <w:cnfStyle w:val="000000100000" w:firstRow="0" w:lastRow="0" w:firstColumn="0" w:lastColumn="0" w:oddVBand="0" w:evenVBand="0" w:oddHBand="1" w:evenHBand="0" w:firstRowFirstColumn="0" w:firstRowLastColumn="0" w:lastRowFirstColumn="0" w:lastRowLastColumn="0"/>
        </w:trPr>
        <w:tc>
          <w:tcPr>
            <w:tcW w:w="1413" w:type="dxa"/>
          </w:tcPr>
          <w:p w14:paraId="20C5A5B8" w14:textId="77777777" w:rsidR="00F8634A" w:rsidRPr="009611BE" w:rsidRDefault="00F8634A" w:rsidP="000D1710">
            <w:pPr>
              <w:pStyle w:val="BodyText"/>
              <w:rPr>
                <w:sz w:val="22"/>
                <w:szCs w:val="22"/>
              </w:rPr>
            </w:pPr>
            <w:r w:rsidRPr="009611BE">
              <w:rPr>
                <w:sz w:val="22"/>
                <w:szCs w:val="22"/>
              </w:rPr>
              <w:t>Domain 5</w:t>
            </w:r>
          </w:p>
        </w:tc>
        <w:tc>
          <w:tcPr>
            <w:tcW w:w="5528" w:type="dxa"/>
          </w:tcPr>
          <w:p w14:paraId="59734C86" w14:textId="77777777" w:rsidR="00F8634A" w:rsidRPr="009611BE" w:rsidRDefault="00F8634A" w:rsidP="000D1710">
            <w:pPr>
              <w:pStyle w:val="BodyText"/>
              <w:rPr>
                <w:sz w:val="22"/>
                <w:szCs w:val="22"/>
              </w:rPr>
            </w:pPr>
            <w:r w:rsidRPr="009611BE">
              <w:rPr>
                <w:sz w:val="22"/>
                <w:szCs w:val="22"/>
              </w:rPr>
              <w:t>Treating and caring for people in safe environment and protecting them from avoidable harm</w:t>
            </w:r>
          </w:p>
        </w:tc>
        <w:tc>
          <w:tcPr>
            <w:tcW w:w="641" w:type="dxa"/>
          </w:tcPr>
          <w:p w14:paraId="374B91DD" w14:textId="77777777" w:rsidR="00F8634A" w:rsidRPr="009611BE" w:rsidRDefault="00F8634A" w:rsidP="000D1710">
            <w:pPr>
              <w:pStyle w:val="BodyText"/>
              <w:rPr>
                <w:sz w:val="22"/>
                <w:szCs w:val="22"/>
              </w:rPr>
            </w:pPr>
            <w:r w:rsidRPr="009611BE">
              <w:rPr>
                <w:sz w:val="22"/>
                <w:szCs w:val="22"/>
              </w:rPr>
              <w:t>X</w:t>
            </w:r>
          </w:p>
        </w:tc>
      </w:tr>
    </w:tbl>
    <w:p w14:paraId="50F1B4AA" w14:textId="437F2BB6" w:rsidR="00034F35" w:rsidRPr="009611BE" w:rsidRDefault="000D1710" w:rsidP="00DC7CBB">
      <w:pPr>
        <w:pStyle w:val="Heading2Numbered"/>
      </w:pPr>
      <w:r w:rsidRPr="009611BE">
        <w:lastRenderedPageBreak/>
        <w:t xml:space="preserve">Indicators </w:t>
      </w:r>
      <w:r w:rsidR="00DC7CBB" w:rsidRPr="009611BE">
        <w:t>i</w:t>
      </w:r>
      <w:r w:rsidRPr="009611BE">
        <w:t>nclude:</w:t>
      </w:r>
    </w:p>
    <w:p w14:paraId="6B151545" w14:textId="74E6AFC3" w:rsidR="000D1710" w:rsidRPr="009611BE" w:rsidRDefault="000D1710" w:rsidP="00DC7CBB">
      <w:pPr>
        <w:pStyle w:val="Heading3"/>
      </w:pPr>
      <w:r w:rsidRPr="009611BE">
        <w:t>Staffing</w:t>
      </w:r>
    </w:p>
    <w:p w14:paraId="74B8B27E" w14:textId="72F8C92A" w:rsidR="00034F35" w:rsidRPr="009611BE" w:rsidRDefault="000D1710" w:rsidP="000D1710">
      <w:pPr>
        <w:pStyle w:val="BodyText"/>
      </w:pPr>
      <w:r w:rsidRPr="009611BE">
        <w:t xml:space="preserve">The </w:t>
      </w:r>
      <w:r w:rsidR="00DC7CBB" w:rsidRPr="009611BE">
        <w:t>MMN</w:t>
      </w:r>
      <w:r w:rsidRPr="009611BE">
        <w:t xml:space="preserve"> must ensure there is suitable capacity within the MMC’s </w:t>
      </w:r>
      <w:r w:rsidR="00DC7CBB" w:rsidRPr="009611BE">
        <w:t>MDT</w:t>
      </w:r>
      <w:r w:rsidRPr="009611BE">
        <w:t>, based on analysis of local case mix, and the distribution of local clinical expertise. However, at a minimum, capacity will be achieved for each MMC by funding the following staff:</w:t>
      </w:r>
    </w:p>
    <w:p w14:paraId="7CFA25D3" w14:textId="7FD94893" w:rsidR="00034F35" w:rsidRPr="009611BE" w:rsidRDefault="000D1710" w:rsidP="00DC7CBB">
      <w:pPr>
        <w:pStyle w:val="ListBullet"/>
      </w:pPr>
      <w:r w:rsidRPr="009611BE">
        <w:t xml:space="preserve">5PAs/0.5 WTE Obstetrician (sub-specialist in </w:t>
      </w:r>
      <w:r w:rsidR="00DC7CBB" w:rsidRPr="009611BE">
        <w:t>m</w:t>
      </w:r>
      <w:r w:rsidRPr="009611BE">
        <w:t xml:space="preserve">aternal </w:t>
      </w:r>
      <w:r w:rsidR="00DC7CBB" w:rsidRPr="009611BE">
        <w:t>f</w:t>
      </w:r>
      <w:r w:rsidRPr="009611BE">
        <w:t xml:space="preserve">etal </w:t>
      </w:r>
      <w:r w:rsidR="00DC7CBB" w:rsidRPr="009611BE">
        <w:t>m</w:t>
      </w:r>
      <w:r w:rsidRPr="009611BE">
        <w:t>edicine or equivalent)</w:t>
      </w:r>
    </w:p>
    <w:p w14:paraId="045541E0" w14:textId="77C694ED" w:rsidR="00034F35" w:rsidRPr="009611BE" w:rsidRDefault="000D1710" w:rsidP="00DC7CBB">
      <w:pPr>
        <w:pStyle w:val="ListBullet"/>
      </w:pPr>
      <w:r w:rsidRPr="009611BE">
        <w:t>10PAs/1 WTE Obstetric Physician</w:t>
      </w:r>
    </w:p>
    <w:p w14:paraId="662E386B" w14:textId="59954932" w:rsidR="00034F35" w:rsidRPr="009611BE" w:rsidRDefault="000D1710" w:rsidP="00DC7CBB">
      <w:pPr>
        <w:pStyle w:val="LastBullet"/>
      </w:pPr>
      <w:r w:rsidRPr="009611BE">
        <w:t>1 WTE Specialist Midwife (B8 or in line with local requirements)</w:t>
      </w:r>
      <w:r w:rsidR="00DC7CBB" w:rsidRPr="009611BE">
        <w:t>.</w:t>
      </w:r>
    </w:p>
    <w:p w14:paraId="6078026A" w14:textId="505894E8" w:rsidR="00034F35" w:rsidRPr="009611BE" w:rsidRDefault="000D1710" w:rsidP="000D1710">
      <w:pPr>
        <w:pStyle w:val="BodyText"/>
      </w:pPr>
      <w:r w:rsidRPr="009611BE">
        <w:t xml:space="preserve">The funding proposed for the </w:t>
      </w:r>
      <w:r w:rsidR="00DC7CBB" w:rsidRPr="009611BE">
        <w:t>o</w:t>
      </w:r>
      <w:r w:rsidRPr="009611BE">
        <w:t xml:space="preserve">bstetric consultant and </w:t>
      </w:r>
      <w:r w:rsidR="00DC7CBB" w:rsidRPr="009611BE">
        <w:t>o</w:t>
      </w:r>
      <w:r w:rsidRPr="009611BE">
        <w:t>bstetric physician posts will cover their activities for the MMN and MMC; the remaining 0.5 WTE of their time may be spent on other, non</w:t>
      </w:r>
      <w:r w:rsidR="00DC7CBB" w:rsidRPr="009611BE">
        <w:t>-</w:t>
      </w:r>
      <w:r w:rsidRPr="009611BE">
        <w:t xml:space="preserve">MMN related activities </w:t>
      </w:r>
      <w:r w:rsidR="00034F35" w:rsidRPr="009611BE">
        <w:t>eg</w:t>
      </w:r>
      <w:r w:rsidRPr="009611BE">
        <w:t xml:space="preserve"> labour ward cover, or duties as an acute physician. Requirements for these posts and the staffing of the MMC is set out in greater detail below.</w:t>
      </w:r>
    </w:p>
    <w:p w14:paraId="31238CCE" w14:textId="38061BA5" w:rsidR="00034F35" w:rsidRPr="009611BE" w:rsidRDefault="000D1710" w:rsidP="000D1710">
      <w:pPr>
        <w:pStyle w:val="BodyText"/>
      </w:pPr>
      <w:r w:rsidRPr="009611BE">
        <w:t xml:space="preserve">Each MMC will have a dedicated specialist </w:t>
      </w:r>
      <w:r w:rsidR="00DC7CBB" w:rsidRPr="009611BE">
        <w:t>MDT</w:t>
      </w:r>
      <w:r w:rsidRPr="009611BE">
        <w:t xml:space="preserve"> that meets weekly to consider case management and to review outcomes of pregnancies cared for in the service. There should be arrangements for appropriate cover within the centre out of hours, with a longer-term aspiration to ensure that maternal medicine advice is available 24/7.</w:t>
      </w:r>
    </w:p>
    <w:p w14:paraId="3F699956" w14:textId="2C305D91" w:rsidR="00034F35" w:rsidRPr="009611BE" w:rsidRDefault="000D1710" w:rsidP="000D1710">
      <w:pPr>
        <w:pStyle w:val="BodyText"/>
      </w:pPr>
      <w:r w:rsidRPr="009611BE">
        <w:t xml:space="preserve">The precise WTE split of the MMC MDT – and funding maternal medicine staffing across the wider network </w:t>
      </w:r>
      <w:r w:rsidR="00DC7CBB" w:rsidRPr="009611BE">
        <w:t>–</w:t>
      </w:r>
      <w:r w:rsidRPr="009611BE">
        <w:t xml:space="preserve"> is to be agreed locally and with regional NHS leadership, in view of the specific requirements of the </w:t>
      </w:r>
      <w:r w:rsidR="00DC7CBB" w:rsidRPr="009611BE">
        <w:t>n</w:t>
      </w:r>
      <w:r w:rsidRPr="009611BE">
        <w:t>etwork, the levels of existing referrals and anticipated levels of activity. However, at a minimum, the MDT should include</w:t>
      </w:r>
      <w:r w:rsidR="00DC7CBB" w:rsidRPr="009611BE">
        <w:t>:</w:t>
      </w:r>
    </w:p>
    <w:p w14:paraId="2E698960" w14:textId="77376694" w:rsidR="00034F35" w:rsidRPr="009611BE" w:rsidRDefault="000D1710" w:rsidP="00DC7CBB">
      <w:pPr>
        <w:pStyle w:val="LastBullet"/>
      </w:pPr>
      <w:r w:rsidRPr="009611BE">
        <w:t>0.5 WTE / 5PAs lead specialist obstetrician or obstetricians with evidenced clinical expertise and appropriate competency</w:t>
      </w:r>
      <w:r w:rsidR="00D84C95" w:rsidRPr="009611BE">
        <w:rPr>
          <w:rStyle w:val="FootnoteReference"/>
        </w:rPr>
        <w:footnoteReference w:id="3"/>
      </w:r>
      <w:r w:rsidR="00034F35" w:rsidRPr="009611BE">
        <w:t xml:space="preserve"> </w:t>
      </w:r>
      <w:r w:rsidRPr="009611BE">
        <w:t xml:space="preserve">in maternal medicine. </w:t>
      </w:r>
    </w:p>
    <w:p w14:paraId="32063603" w14:textId="6EC50911" w:rsidR="000D1710" w:rsidRPr="009611BE" w:rsidRDefault="000D1710" w:rsidP="00DC7CBB">
      <w:pPr>
        <w:pStyle w:val="LastBullet"/>
      </w:pPr>
      <w:r w:rsidRPr="009611BE">
        <w:t>1 WTE / 10 PAs lead obstetric physician with evidenced clinical expertise and appropriate competency in obstetric medicine. As an interim measure, before the MMN has an appropriately trained obstetric physician, this could be a team of physicians</w:t>
      </w:r>
      <w:r w:rsidR="00D84C95" w:rsidRPr="009611BE">
        <w:rPr>
          <w:rStyle w:val="FootnoteReference"/>
        </w:rPr>
        <w:footnoteReference w:id="4"/>
      </w:r>
      <w:r w:rsidR="00034F35" w:rsidRPr="009611BE">
        <w:t xml:space="preserve"> </w:t>
      </w:r>
      <w:r w:rsidRPr="009611BE">
        <w:t xml:space="preserve">with experience of running a joint obstetric clinic dedicated to medical problems in pregnancy, such as an acute physician, and a diabetologist / endocrinologist / rheumatologist / haematologist / neurologist / nephrologist. At least </w:t>
      </w:r>
      <w:r w:rsidRPr="009611BE">
        <w:lastRenderedPageBreak/>
        <w:t>one member of this physician team should be on the acute medical rota to ensure that the team has the experience to advise on the management of acute medical complications in pregnant women.</w:t>
      </w:r>
    </w:p>
    <w:p w14:paraId="11A03386" w14:textId="536C0FDC" w:rsidR="00034F35" w:rsidRPr="009611BE" w:rsidRDefault="000D1710" w:rsidP="00D84C95">
      <w:pPr>
        <w:pStyle w:val="LastBullet"/>
      </w:pPr>
      <w:r w:rsidRPr="009611BE">
        <w:t>1 WTE lead specialist midwife (B8) with expertise in antenatal, intrapartum and post-partum management of women with medical problems.</w:t>
      </w:r>
    </w:p>
    <w:p w14:paraId="00D7B824" w14:textId="13A9BAFE" w:rsidR="00034F35" w:rsidRPr="009611BE" w:rsidRDefault="000D1710" w:rsidP="000D1710">
      <w:pPr>
        <w:pStyle w:val="BodyText"/>
      </w:pPr>
      <w:r w:rsidRPr="009611BE">
        <w:t xml:space="preserve">Midwifery is a key component of the multidisciplinary service. The lead midwife should have the experience and leadership to co-ordinate midwifery models of care so that they contribute to the successful operation of the </w:t>
      </w:r>
      <w:r w:rsidR="00DC7CBB" w:rsidRPr="009611BE">
        <w:t>n</w:t>
      </w:r>
      <w:r w:rsidRPr="009611BE">
        <w:t xml:space="preserve">etwork, and the </w:t>
      </w:r>
      <w:r w:rsidR="00DC7CBB" w:rsidRPr="009611BE">
        <w:t>n</w:t>
      </w:r>
      <w:r w:rsidRPr="009611BE">
        <w:t xml:space="preserve">etwork supports midwife-led models of care and continuity of carer. This could be achieved across the </w:t>
      </w:r>
      <w:r w:rsidR="00DC7CBB" w:rsidRPr="009611BE">
        <w:t>n</w:t>
      </w:r>
      <w:r w:rsidRPr="009611BE">
        <w:t>etwork through the establishment of continuity of carer teams with specific expertise of providing care for women with medical complexity.</w:t>
      </w:r>
      <w:r w:rsidR="00034F35" w:rsidRPr="009611BE">
        <w:t xml:space="preserve"> </w:t>
      </w:r>
    </w:p>
    <w:p w14:paraId="185DE38E" w14:textId="1DDDF610" w:rsidR="00034F35" w:rsidRPr="009611BE" w:rsidRDefault="000D1710" w:rsidP="000D1710">
      <w:pPr>
        <w:pStyle w:val="BodyText"/>
      </w:pPr>
      <w:r w:rsidRPr="009611BE">
        <w:t xml:space="preserve">This MDT should also receive input and support from obstetric anaesthetists. In addition, the MMC will provide obstetric anaesthetic leadership across the MMN to ensure that, where appropriate, obstetric anaesthetists in </w:t>
      </w:r>
      <w:r w:rsidR="00DC7CBB" w:rsidRPr="009611BE">
        <w:t>‘</w:t>
      </w:r>
      <w:r w:rsidRPr="009611BE">
        <w:t>spoke</w:t>
      </w:r>
      <w:r w:rsidR="00DC7CBB" w:rsidRPr="009611BE">
        <w:t>’</w:t>
      </w:r>
      <w:r w:rsidRPr="009611BE">
        <w:t xml:space="preserve"> units are enabled, through training and professional support to care for most women locally.</w:t>
      </w:r>
    </w:p>
    <w:p w14:paraId="54DD149B" w14:textId="1D7F222B" w:rsidR="00034F35" w:rsidRPr="009611BE" w:rsidRDefault="000D1710" w:rsidP="000D1710">
      <w:pPr>
        <w:pStyle w:val="BodyText"/>
      </w:pPr>
      <w:r w:rsidRPr="009611BE">
        <w:t xml:space="preserve">The lead obstetrician, physician and midwife will provide clinical leadership </w:t>
      </w:r>
      <w:r w:rsidR="00DC7CBB" w:rsidRPr="009611BE">
        <w:t>to</w:t>
      </w:r>
      <w:r w:rsidRPr="009611BE">
        <w:t xml:space="preserve"> improve the care of women who are pregnant and have acute or chronic medical conditions, Importantly, the leadership will need to extend to all parts of the network footprint (see Figure 1). Typically, this will involve coordinating:</w:t>
      </w:r>
    </w:p>
    <w:p w14:paraId="6989EB10" w14:textId="6BA030ED" w:rsidR="000D1710" w:rsidRPr="009611BE" w:rsidRDefault="000D1710" w:rsidP="00DC7CBB">
      <w:pPr>
        <w:pStyle w:val="ListBullet"/>
      </w:pPr>
      <w:r w:rsidRPr="009611BE">
        <w:t>Clinical care pathways</w:t>
      </w:r>
    </w:p>
    <w:p w14:paraId="6B0BBD38" w14:textId="0F8A52E7" w:rsidR="000D1710" w:rsidRPr="009611BE" w:rsidRDefault="000D1710" w:rsidP="00DC7CBB">
      <w:pPr>
        <w:pStyle w:val="ListBullet"/>
      </w:pPr>
      <w:r w:rsidRPr="009611BE">
        <w:t>Communication within MMNs</w:t>
      </w:r>
    </w:p>
    <w:p w14:paraId="3C670993" w14:textId="2A1B92CF" w:rsidR="000D1710" w:rsidRPr="009611BE" w:rsidRDefault="000D1710" w:rsidP="00DC7CBB">
      <w:pPr>
        <w:pStyle w:val="ListBullet"/>
      </w:pPr>
      <w:r w:rsidRPr="009611BE">
        <w:t>Protocols for management/</w:t>
      </w:r>
      <w:r w:rsidR="00DC7CBB" w:rsidRPr="009611BE">
        <w:t>s</w:t>
      </w:r>
      <w:r w:rsidRPr="009611BE">
        <w:t>tandards</w:t>
      </w:r>
    </w:p>
    <w:p w14:paraId="57E72C89" w14:textId="37F2D473" w:rsidR="000D1710" w:rsidRPr="009611BE" w:rsidRDefault="000D1710" w:rsidP="00DC7CBB">
      <w:pPr>
        <w:pStyle w:val="ListBullet"/>
      </w:pPr>
      <w:r w:rsidRPr="009611BE">
        <w:t>Indications for transfer for delivery at the MMC</w:t>
      </w:r>
    </w:p>
    <w:p w14:paraId="5AA45F55" w14:textId="055AEA63" w:rsidR="000D1710" w:rsidRPr="009611BE" w:rsidRDefault="000D1710" w:rsidP="00DC7CBB">
      <w:pPr>
        <w:pStyle w:val="ListBullet"/>
      </w:pPr>
      <w:r w:rsidRPr="009611BE">
        <w:t>Training of physicians, obstetricians and midwives in maternal medicine</w:t>
      </w:r>
    </w:p>
    <w:p w14:paraId="55BB5AE7" w14:textId="189CEF35" w:rsidR="00034F35" w:rsidRPr="009611BE" w:rsidRDefault="000D1710" w:rsidP="00DC7CBB">
      <w:pPr>
        <w:pStyle w:val="LastBullet"/>
      </w:pPr>
      <w:r w:rsidRPr="009611BE">
        <w:t>Sharing of expertise across the MMN through satellite MDTs and clinics (eg the obstetric physician providing outpatient care in different sites (in person or virtually) within the MMN), clinical teleconferences; facilitating easy access to a clinical opinion</w:t>
      </w:r>
      <w:r w:rsidR="00DC7CBB" w:rsidRPr="009611BE">
        <w:t>.</w:t>
      </w:r>
    </w:p>
    <w:p w14:paraId="50BA30D6" w14:textId="655DE602" w:rsidR="00034F35" w:rsidRPr="009611BE" w:rsidRDefault="000D1710" w:rsidP="000D1710">
      <w:pPr>
        <w:pStyle w:val="BodyText"/>
      </w:pPr>
      <w:r w:rsidRPr="009611BE">
        <w:t xml:space="preserve">It is recognised that these leadership roles will be complex, operating across disciplinary, institutional and geographic boundaries to meet network aims. The MMC will therefore need to ensure that they have sufficient time defined in job descriptions for leadership activity, that they have administrative support and that are encouraged to develop leadership, as well as clinical skills. Funding could also be used to support specialist </w:t>
      </w:r>
      <w:r w:rsidR="00DC7CBB" w:rsidRPr="009611BE">
        <w:t>m</w:t>
      </w:r>
      <w:r w:rsidRPr="009611BE">
        <w:t xml:space="preserve">aternal </w:t>
      </w:r>
      <w:r w:rsidR="00DC7CBB" w:rsidRPr="009611BE">
        <w:t>m</w:t>
      </w:r>
      <w:r w:rsidRPr="009611BE">
        <w:t>edicine staffing and activity in spokes, to support this network approach.</w:t>
      </w:r>
    </w:p>
    <w:p w14:paraId="5C06DD09" w14:textId="12C34D8F" w:rsidR="00034F35" w:rsidRPr="009611BE" w:rsidRDefault="000D1710" w:rsidP="00DC7CBB">
      <w:pPr>
        <w:pStyle w:val="Heading3"/>
      </w:pPr>
      <w:r w:rsidRPr="009611BE">
        <w:lastRenderedPageBreak/>
        <w:t xml:space="preserve">Operational </w:t>
      </w:r>
      <w:r w:rsidR="00DC7CBB" w:rsidRPr="009611BE">
        <w:t>r</w:t>
      </w:r>
      <w:r w:rsidRPr="009611BE">
        <w:t xml:space="preserve">esilience and </w:t>
      </w:r>
      <w:r w:rsidR="00DC7CBB" w:rsidRPr="009611BE">
        <w:t>s</w:t>
      </w:r>
      <w:r w:rsidRPr="009611BE">
        <w:t xml:space="preserve">uccession </w:t>
      </w:r>
      <w:r w:rsidR="00DC7CBB" w:rsidRPr="009611BE">
        <w:t>p</w:t>
      </w:r>
      <w:r w:rsidRPr="009611BE">
        <w:t>lanning</w:t>
      </w:r>
    </w:p>
    <w:p w14:paraId="4BC58282" w14:textId="77777777" w:rsidR="00034F35" w:rsidRPr="009611BE" w:rsidRDefault="000D1710" w:rsidP="000D1710">
      <w:pPr>
        <w:pStyle w:val="BodyText"/>
      </w:pPr>
      <w:r w:rsidRPr="009611BE">
        <w:t>The MMC should have an operational resilience plan to maintain service delivery through periods of planned and unplanned absence.</w:t>
      </w:r>
    </w:p>
    <w:p w14:paraId="3AB458FC" w14:textId="11F053A4" w:rsidR="000D1710" w:rsidRPr="009611BE" w:rsidRDefault="000D1710" w:rsidP="000D1710">
      <w:pPr>
        <w:pStyle w:val="BodyText"/>
      </w:pPr>
      <w:r w:rsidRPr="009611BE">
        <w:t>As part of this, the MMC should address current and future staffing needs through succession planning against critical posts and ensure that development opportunities are in place for those with the potential to fill these posts.</w:t>
      </w:r>
    </w:p>
    <w:p w14:paraId="772CC8F4" w14:textId="6FEF233A" w:rsidR="00034F35" w:rsidRPr="009611BE" w:rsidRDefault="000D1710" w:rsidP="00DC7CBB">
      <w:pPr>
        <w:pStyle w:val="Heading3"/>
      </w:pPr>
      <w:r w:rsidRPr="009611BE">
        <w:t xml:space="preserve">Training and </w:t>
      </w:r>
      <w:r w:rsidR="00DC7CBB" w:rsidRPr="009611BE">
        <w:t>e</w:t>
      </w:r>
      <w:r w:rsidRPr="009611BE">
        <w:t>ducation</w:t>
      </w:r>
    </w:p>
    <w:p w14:paraId="32E676A1" w14:textId="77777777" w:rsidR="00034F35" w:rsidRPr="009611BE" w:rsidRDefault="000D1710" w:rsidP="000D1710">
      <w:pPr>
        <w:pStyle w:val="BodyText"/>
      </w:pPr>
      <w:r w:rsidRPr="009611BE">
        <w:t>Each MMC should have responsibility for ensuring continuing professional development for all staff delivering maternal medicine care. The competency-based programme should focus on the acquisition of knowledge and skills such as clinical examination, assessment, diagnostic reasoning, treatment, facilitating and evaluating care, evidence-based practice and communication. Skills in teaching, research, audit, guideline development and management will also be part of the programme. The educational programme should include modules on addressing health inequalities in relation to maternal health.</w:t>
      </w:r>
    </w:p>
    <w:p w14:paraId="182E1D4A" w14:textId="77777777" w:rsidR="00034F35" w:rsidRPr="009611BE" w:rsidRDefault="000D1710" w:rsidP="000D1710">
      <w:pPr>
        <w:pStyle w:val="BodyText"/>
      </w:pPr>
      <w:r w:rsidRPr="009611BE">
        <w:t>The MMC should also deliver standardised training and competency-based education programmes across the MMN footprint to identify key red flags and indications for referral.</w:t>
      </w:r>
    </w:p>
    <w:p w14:paraId="2641979F" w14:textId="77777777" w:rsidR="00034F35" w:rsidRPr="009611BE" w:rsidRDefault="000D1710" w:rsidP="00DC7CBB">
      <w:pPr>
        <w:pStyle w:val="Heading3"/>
      </w:pPr>
      <w:r w:rsidRPr="009611BE">
        <w:t>Organisation, governance and audit</w:t>
      </w:r>
    </w:p>
    <w:p w14:paraId="255E4C5C" w14:textId="7FBD32CC" w:rsidR="000D1710" w:rsidRPr="009611BE" w:rsidRDefault="000D1710" w:rsidP="000D1710">
      <w:pPr>
        <w:pStyle w:val="BodyText"/>
      </w:pPr>
      <w:r w:rsidRPr="009611BE">
        <w:t xml:space="preserve">Each MMC should demonstrate a robust policy for collaboration with each other and with NHS commissioners for audit, including formal inter-unit peer review at least every five years. As set out in 2.3, this audit should include, for each MMC, rates and complexity of referrals from other providers in the </w:t>
      </w:r>
      <w:r w:rsidR="00D84C95" w:rsidRPr="009611BE">
        <w:t>n</w:t>
      </w:r>
      <w:r w:rsidRPr="009611BE">
        <w:t xml:space="preserve">etwork, </w:t>
      </w:r>
      <w:r w:rsidR="00D84C95" w:rsidRPr="009611BE">
        <w:t>to</w:t>
      </w:r>
      <w:r w:rsidRPr="009611BE">
        <w:t xml:space="preserve"> inform a sustainable and equitable funding model between local commissioners.</w:t>
      </w:r>
    </w:p>
    <w:p w14:paraId="3FA8B8D1" w14:textId="1152E3B2" w:rsidR="00034F35" w:rsidRPr="009611BE" w:rsidRDefault="000D1710" w:rsidP="000D1710">
      <w:pPr>
        <w:pStyle w:val="BodyText"/>
      </w:pPr>
      <w:r w:rsidRPr="009611BE">
        <w:t>Each MMC should have a dedicated management group for the internal management and coordination of service delivery. The group should comprise the different departments and disciplines delivering the service.</w:t>
      </w:r>
    </w:p>
    <w:p w14:paraId="5B21F0CC" w14:textId="77777777" w:rsidR="00034F35" w:rsidRPr="009611BE" w:rsidRDefault="000D1710" w:rsidP="00D84C95">
      <w:pPr>
        <w:pStyle w:val="Heading3"/>
      </w:pPr>
      <w:r w:rsidRPr="009611BE">
        <w:t>Communication with women</w:t>
      </w:r>
    </w:p>
    <w:p w14:paraId="38581EAF" w14:textId="4A343999" w:rsidR="000D1710" w:rsidRPr="009611BE" w:rsidRDefault="000D1710" w:rsidP="000D1710">
      <w:pPr>
        <w:pStyle w:val="BodyText"/>
      </w:pPr>
      <w:r w:rsidRPr="009611BE">
        <w:t>All information and guidance produced by the network should be culturally competent</w:t>
      </w:r>
      <w:r w:rsidR="00034F35" w:rsidRPr="009611BE">
        <w:t xml:space="preserve"> </w:t>
      </w:r>
      <w:r w:rsidRPr="009611BE">
        <w:t xml:space="preserve">and delivered through accessible channels This means </w:t>
      </w:r>
      <w:r w:rsidR="00D84C95" w:rsidRPr="009611BE">
        <w:t>c</w:t>
      </w:r>
      <w:r w:rsidRPr="009611BE">
        <w:t>o-production with service users that are culturally diverse to ensure that the plan is reflective of the needs of women from all communities especially those impacted by health inequalities</w:t>
      </w:r>
      <w:r w:rsidR="00D84C95" w:rsidRPr="009611BE">
        <w:t>,</w:t>
      </w:r>
      <w:r w:rsidRPr="009611BE">
        <w:t xml:space="preserve"> namely</w:t>
      </w:r>
      <w:r w:rsidR="00D84C95" w:rsidRPr="009611BE">
        <w:t>:</w:t>
      </w:r>
    </w:p>
    <w:p w14:paraId="1616359C" w14:textId="50E3BB20" w:rsidR="00034F35" w:rsidRPr="009611BE" w:rsidRDefault="000D1710" w:rsidP="00D84C95">
      <w:pPr>
        <w:pStyle w:val="ListBullet"/>
      </w:pPr>
      <w:r w:rsidRPr="009611BE">
        <w:t>ethnic minority communities</w:t>
      </w:r>
    </w:p>
    <w:p w14:paraId="188B71EE" w14:textId="24857806" w:rsidR="00034F35" w:rsidRPr="009611BE" w:rsidRDefault="000D1710" w:rsidP="00D84C95">
      <w:pPr>
        <w:pStyle w:val="ListBullet"/>
      </w:pPr>
      <w:r w:rsidRPr="009611BE">
        <w:t>those from the most deprived quintile by Index of Multiple Deprivation (IMD)</w:t>
      </w:r>
    </w:p>
    <w:p w14:paraId="316ABFFF" w14:textId="6CBFCCD3" w:rsidR="00034F35" w:rsidRPr="009611BE" w:rsidRDefault="000D1710" w:rsidP="00D84C95">
      <w:pPr>
        <w:pStyle w:val="ListBullet"/>
      </w:pPr>
      <w:r w:rsidRPr="009611BE">
        <w:t>learning disability/autism and severe mental illness</w:t>
      </w:r>
    </w:p>
    <w:p w14:paraId="19FBD071" w14:textId="0960356E" w:rsidR="00034F35" w:rsidRPr="009611BE" w:rsidRDefault="000D1710" w:rsidP="00D84C95">
      <w:pPr>
        <w:pStyle w:val="LastBullet"/>
      </w:pPr>
      <w:r w:rsidRPr="009611BE">
        <w:lastRenderedPageBreak/>
        <w:t>inclusion health groups (homeless, Traveller, Gypsy, Roma communities and other protected characteristics).</w:t>
      </w:r>
    </w:p>
    <w:p w14:paraId="2DAB2352" w14:textId="189E3B4D" w:rsidR="00034F35" w:rsidRPr="009611BE" w:rsidRDefault="000D1710" w:rsidP="000D1710">
      <w:pPr>
        <w:pStyle w:val="BodyText"/>
      </w:pPr>
      <w:r w:rsidRPr="009611BE">
        <w:t xml:space="preserve">MMNs should demonstrate that arrangements are in place that allow women to participate in decision-making at every stage in their care and that their personalised care plans are informed by the </w:t>
      </w:r>
      <w:r w:rsidR="00D84C95" w:rsidRPr="009611BE">
        <w:t>maternal medicine</w:t>
      </w:r>
      <w:r w:rsidRPr="009611BE">
        <w:t xml:space="preserve"> MDT.</w:t>
      </w:r>
    </w:p>
    <w:p w14:paraId="1D363CAA" w14:textId="67547220" w:rsidR="00034F35" w:rsidRPr="009611BE" w:rsidRDefault="000D1710" w:rsidP="000D1710">
      <w:pPr>
        <w:pStyle w:val="BodyText"/>
      </w:pPr>
      <w:r w:rsidRPr="009611BE">
        <w:t>In addition, women should be given a detailed written care plan forming a patient care record in plain language identifying follow up arrangements. The plan should be copied (with consent) to all involved clinicians and the woman’s GP.</w:t>
      </w:r>
    </w:p>
    <w:p w14:paraId="6101BEC7" w14:textId="77777777" w:rsidR="00034F35" w:rsidRPr="009611BE" w:rsidRDefault="000D1710" w:rsidP="000D1710">
      <w:pPr>
        <w:pStyle w:val="BodyText"/>
      </w:pPr>
      <w:r w:rsidRPr="009611BE">
        <w:t>Referral pathways within the MMN should be designed to minimise travel where possible, tailoring care provision to each woman’s needs and using innovative solutions to providing care as close to home as possible. All MMNs will need to monitor women’s experience of receiving care; in particular, data collection around women’s experience should ensure appropriate representation from those groups impacted by health inequalities (see list above).</w:t>
      </w:r>
    </w:p>
    <w:p w14:paraId="063FC2B3" w14:textId="7E3996D4" w:rsidR="00034F35" w:rsidRPr="009611BE" w:rsidRDefault="000D1710" w:rsidP="00D84C95">
      <w:pPr>
        <w:pStyle w:val="Heading3"/>
      </w:pPr>
      <w:r w:rsidRPr="009611BE">
        <w:t>Data recording and submission</w:t>
      </w:r>
    </w:p>
    <w:p w14:paraId="260F5B6A" w14:textId="0E10AA9B" w:rsidR="000D1710" w:rsidRPr="009611BE" w:rsidRDefault="000D1710" w:rsidP="000D1710">
      <w:pPr>
        <w:pStyle w:val="BodyText"/>
      </w:pPr>
      <w:r w:rsidRPr="009611BE">
        <w:t xml:space="preserve">Care should be recorded in an electronic patient record (maternity information system) and relevant data including diagnosis codes should be submitted monthly as part of the </w:t>
      </w:r>
      <w:r w:rsidR="00D84C95" w:rsidRPr="009611BE">
        <w:t>t</w:t>
      </w:r>
      <w:r w:rsidRPr="009611BE">
        <w:t>rust</w:t>
      </w:r>
      <w:r w:rsidR="00D84C95" w:rsidRPr="009611BE">
        <w:t>’s m</w:t>
      </w:r>
      <w:r w:rsidRPr="009611BE">
        <w:t xml:space="preserve">aternity </w:t>
      </w:r>
      <w:r w:rsidR="00D84C95" w:rsidRPr="009611BE">
        <w:t>s</w:t>
      </w:r>
      <w:r w:rsidRPr="009611BE">
        <w:t xml:space="preserve">ervices </w:t>
      </w:r>
      <w:r w:rsidR="00D84C95" w:rsidRPr="009611BE">
        <w:t>d</w:t>
      </w:r>
      <w:r w:rsidRPr="009611BE">
        <w:t xml:space="preserve">ata </w:t>
      </w:r>
      <w:r w:rsidR="00D84C95" w:rsidRPr="009611BE">
        <w:t>s</w:t>
      </w:r>
      <w:r w:rsidRPr="009611BE">
        <w:t xml:space="preserve">et (MSDS) submission. Data describing ethnicity and </w:t>
      </w:r>
      <w:r w:rsidR="00D84C95" w:rsidRPr="009611BE">
        <w:t>IMD</w:t>
      </w:r>
      <w:r w:rsidRPr="009611BE">
        <w:t xml:space="preserve"> should be collected for all women.</w:t>
      </w:r>
    </w:p>
    <w:p w14:paraId="63539339" w14:textId="52365206" w:rsidR="000D1710" w:rsidRPr="009611BE" w:rsidRDefault="000D1710" w:rsidP="000D1710">
      <w:pPr>
        <w:pStyle w:val="Heading1Numbered"/>
      </w:pPr>
      <w:r w:rsidRPr="009611BE">
        <w:t>Applicable service standards</w:t>
      </w:r>
    </w:p>
    <w:p w14:paraId="0C534170" w14:textId="77777777" w:rsidR="00034F35" w:rsidRPr="009611BE" w:rsidRDefault="000D1710" w:rsidP="000D1710">
      <w:pPr>
        <w:pStyle w:val="BodyText"/>
      </w:pPr>
      <w:r w:rsidRPr="009611BE">
        <w:t>In addition to the co-dependencies set out in 2.2, MMCs should be designated according to the following criteria:</w:t>
      </w:r>
    </w:p>
    <w:p w14:paraId="7A74DBF1" w14:textId="77777777" w:rsidR="00034F35" w:rsidRPr="009611BE" w:rsidRDefault="000D1710" w:rsidP="000D1710">
      <w:pPr>
        <w:pStyle w:val="BodyText"/>
      </w:pPr>
      <w:r w:rsidRPr="009611BE">
        <w:t>The provider should:</w:t>
      </w:r>
    </w:p>
    <w:p w14:paraId="28846A26" w14:textId="0C8BAD9C" w:rsidR="000D1710" w:rsidRPr="009611BE" w:rsidRDefault="000D1710" w:rsidP="00D84C95">
      <w:pPr>
        <w:pStyle w:val="LastBullet"/>
      </w:pPr>
      <w:r w:rsidRPr="009611BE">
        <w:t>Have a sufficient case load to justify a regular clinic staffed jointly by a specialist consultant obstetrician and physician, who provide a defined service to which referrals can be made, and advice sought</w:t>
      </w:r>
      <w:r w:rsidR="00D84C95" w:rsidRPr="009611BE">
        <w:t>.</w:t>
      </w:r>
    </w:p>
    <w:p w14:paraId="7AE8F0F1" w14:textId="11E53FA5" w:rsidR="000D1710" w:rsidRPr="009611BE" w:rsidRDefault="000D1710" w:rsidP="00D84C95">
      <w:pPr>
        <w:pStyle w:val="LastBullet"/>
      </w:pPr>
      <w:r w:rsidRPr="009611BE">
        <w:t xml:space="preserve">Demonstrate that care is centred around women, </w:t>
      </w:r>
      <w:proofErr w:type="gramStart"/>
      <w:r w:rsidRPr="009611BE">
        <w:t>taking into account</w:t>
      </w:r>
      <w:proofErr w:type="gramEnd"/>
      <w:r w:rsidRPr="009611BE">
        <w:t xml:space="preserve"> cultural needs and offering reasonable adjustments to address these, with multi-disciplinary joint consultations and appropriate support from specialist nurses, midwives and anaesthetists.</w:t>
      </w:r>
    </w:p>
    <w:p w14:paraId="55705625" w14:textId="77995C61" w:rsidR="000D1710" w:rsidRPr="009611BE" w:rsidRDefault="000D1710" w:rsidP="00D84C95">
      <w:pPr>
        <w:pStyle w:val="LastBullet"/>
      </w:pPr>
      <w:r w:rsidRPr="009611BE">
        <w:lastRenderedPageBreak/>
        <w:t xml:space="preserve">Have access to other medical, surgical, fetal medicine, clinical genetics and level 3 </w:t>
      </w:r>
      <w:r w:rsidR="00D84C95" w:rsidRPr="009611BE">
        <w:t>n</w:t>
      </w:r>
      <w:r w:rsidRPr="009611BE">
        <w:t xml:space="preserve">eonatal </w:t>
      </w:r>
      <w:r w:rsidR="00D84C95" w:rsidRPr="009611BE">
        <w:t>i</w:t>
      </w:r>
      <w:r w:rsidRPr="009611BE">
        <w:t xml:space="preserve">ntensive </w:t>
      </w:r>
      <w:r w:rsidR="00D84C95" w:rsidRPr="009611BE">
        <w:t>c</w:t>
      </w:r>
      <w:r w:rsidRPr="009611BE">
        <w:t>are services where needed</w:t>
      </w:r>
      <w:r w:rsidR="00D84C95" w:rsidRPr="009611BE">
        <w:t>.</w:t>
      </w:r>
    </w:p>
    <w:p w14:paraId="51A5A860" w14:textId="1DFD48A5" w:rsidR="000D1710" w:rsidRPr="009611BE" w:rsidRDefault="000D1710" w:rsidP="00D84C95">
      <w:pPr>
        <w:pStyle w:val="LastBullet"/>
      </w:pPr>
      <w:r w:rsidRPr="009611BE">
        <w:t>Have a pre-pregnancy counselling service to generate a personalised care plan that covers antenatal, intrapartum and postnatal periods. This will include clear instructions for shared care with secondary services where appropriate, including escalation and transfer protocols.</w:t>
      </w:r>
    </w:p>
    <w:p w14:paraId="5B394A08" w14:textId="78484E47" w:rsidR="000D1710" w:rsidRPr="009611BE" w:rsidRDefault="000D1710" w:rsidP="00D84C95">
      <w:pPr>
        <w:pStyle w:val="LastBullet"/>
      </w:pPr>
      <w:r w:rsidRPr="009611BE">
        <w:t>Have clear guidelines for planned and emergency delivery</w:t>
      </w:r>
      <w:r w:rsidR="00D84C95" w:rsidRPr="009611BE">
        <w:t>.</w:t>
      </w:r>
    </w:p>
    <w:p w14:paraId="3FDA08F8" w14:textId="5F3E7258" w:rsidR="000D1710" w:rsidRPr="009611BE" w:rsidRDefault="000D1710" w:rsidP="00D84C95">
      <w:pPr>
        <w:pStyle w:val="LastBullet"/>
      </w:pPr>
      <w:r w:rsidRPr="009611BE">
        <w:t>Be part of a network with distinct pathways to facilitate timely and easy access to specialist advice</w:t>
      </w:r>
      <w:r w:rsidR="00D84C95" w:rsidRPr="009611BE">
        <w:t>.</w:t>
      </w:r>
    </w:p>
    <w:p w14:paraId="2A96F9CC" w14:textId="68B2084C" w:rsidR="000D1710" w:rsidRPr="009611BE" w:rsidRDefault="000D1710" w:rsidP="00D84C95">
      <w:pPr>
        <w:pStyle w:val="LastBullet"/>
      </w:pPr>
      <w:r w:rsidRPr="009611BE">
        <w:t>Have the necessary resources and multidisciplinary expertise to support, if needed, all stages of the care pathway within an appropriate timescale including termination of pregnancy where requested</w:t>
      </w:r>
      <w:r w:rsidR="00D84C95" w:rsidRPr="009611BE">
        <w:t>,</w:t>
      </w:r>
      <w:r w:rsidRPr="009611BE">
        <w:t xml:space="preserve"> as well as labour and delivery</w:t>
      </w:r>
      <w:r w:rsidR="00D84C95" w:rsidRPr="009611BE">
        <w:t>.</w:t>
      </w:r>
    </w:p>
    <w:p w14:paraId="7CF9C991" w14:textId="716F6C3F" w:rsidR="000D1710" w:rsidRPr="009611BE" w:rsidRDefault="000D1710" w:rsidP="00D84C95">
      <w:pPr>
        <w:pStyle w:val="LastBullet"/>
      </w:pPr>
      <w:r w:rsidRPr="009611BE">
        <w:t xml:space="preserve">For </w:t>
      </w:r>
      <w:r w:rsidR="00D84C95" w:rsidRPr="009611BE">
        <w:t>p</w:t>
      </w:r>
      <w:r w:rsidRPr="009611BE">
        <w:t>ostnatal care – provide a written discharge summary and include detailed plans for follow up, return to physician care and contraception, with a plan for future pregnancy if appropriate</w:t>
      </w:r>
      <w:r w:rsidR="00D84C95" w:rsidRPr="009611BE">
        <w:t>.</w:t>
      </w:r>
    </w:p>
    <w:p w14:paraId="15B6C44D" w14:textId="15931EA6" w:rsidR="000D1710" w:rsidRPr="009611BE" w:rsidRDefault="000D1710" w:rsidP="00D84C95">
      <w:pPr>
        <w:pStyle w:val="LastBullet"/>
      </w:pPr>
      <w:r w:rsidRPr="009611BE">
        <w:t>Take part in regular robust audit which should also include measures of user experience.</w:t>
      </w:r>
    </w:p>
    <w:p w14:paraId="152BCBF8" w14:textId="33EBD215" w:rsidR="00034F35" w:rsidRPr="009611BE" w:rsidRDefault="000D1710" w:rsidP="00D84C95">
      <w:pPr>
        <w:pStyle w:val="LastBullet"/>
      </w:pPr>
      <w:r w:rsidRPr="009611BE">
        <w:t xml:space="preserve">Record care data for all women seen by the service in an electronic patient record (maternity information system including diagnosis codes, which should be submitted monthly as part of the </w:t>
      </w:r>
      <w:r w:rsidR="00D84C95" w:rsidRPr="009611BE">
        <w:t>trust’s</w:t>
      </w:r>
      <w:r w:rsidRPr="009611BE">
        <w:t xml:space="preserve"> MSDS submission.</w:t>
      </w:r>
    </w:p>
    <w:p w14:paraId="270A2914" w14:textId="1C9952DC" w:rsidR="00D84C95" w:rsidRPr="009611BE" w:rsidRDefault="000D1710" w:rsidP="00D84C95">
      <w:pPr>
        <w:pStyle w:val="Heading2Numbered"/>
      </w:pPr>
      <w:r w:rsidRPr="009611BE">
        <w:t xml:space="preserve">Applicable </w:t>
      </w:r>
      <w:r w:rsidR="00D84C95" w:rsidRPr="009611BE">
        <w:t>o</w:t>
      </w:r>
      <w:r w:rsidRPr="009611BE">
        <w:t xml:space="preserve">bligatory </w:t>
      </w:r>
      <w:r w:rsidR="00D84C95" w:rsidRPr="009611BE">
        <w:t>n</w:t>
      </w:r>
      <w:r w:rsidRPr="009611BE">
        <w:t xml:space="preserve">ational </w:t>
      </w:r>
      <w:r w:rsidR="00D84C95" w:rsidRPr="009611BE">
        <w:t>s</w:t>
      </w:r>
      <w:r w:rsidRPr="009611BE">
        <w:t>tandards</w:t>
      </w:r>
    </w:p>
    <w:p w14:paraId="4D85D0BE" w14:textId="7A139538" w:rsidR="00034F35" w:rsidRPr="009611BE" w:rsidRDefault="00034F35" w:rsidP="00D84C95">
      <w:pPr>
        <w:pStyle w:val="BodyText"/>
      </w:pPr>
      <w:r w:rsidRPr="009611BE">
        <w:t>eg</w:t>
      </w:r>
      <w:r w:rsidR="000D1710" w:rsidRPr="009611BE">
        <w:t xml:space="preserve"> NICE Technical Appraisal Guidance, mandatory accreditation requirements</w:t>
      </w:r>
      <w:r w:rsidR="00D84C95" w:rsidRPr="009611BE">
        <w:t>.</w:t>
      </w:r>
    </w:p>
    <w:p w14:paraId="7F3B2954" w14:textId="05DB6CB9" w:rsidR="00034F35" w:rsidRPr="009611BE" w:rsidRDefault="000D1710" w:rsidP="00D84C95">
      <w:pPr>
        <w:pStyle w:val="Heading2Numbered"/>
      </w:pPr>
      <w:r w:rsidRPr="009611BE">
        <w:t xml:space="preserve">Other </w:t>
      </w:r>
      <w:r w:rsidR="00D84C95" w:rsidRPr="009611BE">
        <w:t>a</w:t>
      </w:r>
      <w:r w:rsidRPr="009611BE">
        <w:t xml:space="preserve">pplicable </w:t>
      </w:r>
      <w:r w:rsidR="00D84C95" w:rsidRPr="009611BE">
        <w:t>n</w:t>
      </w:r>
      <w:r w:rsidRPr="009611BE">
        <w:t xml:space="preserve">ational </w:t>
      </w:r>
      <w:r w:rsidR="00D84C95" w:rsidRPr="009611BE">
        <w:t>s</w:t>
      </w:r>
      <w:r w:rsidRPr="009611BE">
        <w:t xml:space="preserve">tandards to be met by </w:t>
      </w:r>
      <w:r w:rsidR="00D84C95" w:rsidRPr="009611BE">
        <w:t>c</w:t>
      </w:r>
      <w:r w:rsidRPr="009611BE">
        <w:t xml:space="preserve">ommissioned </w:t>
      </w:r>
      <w:r w:rsidR="00D84C95" w:rsidRPr="009611BE">
        <w:t>p</w:t>
      </w:r>
      <w:r w:rsidRPr="009611BE">
        <w:t>roviders</w:t>
      </w:r>
    </w:p>
    <w:p w14:paraId="436D9495" w14:textId="30A935CB" w:rsidR="000D1710" w:rsidRPr="009611BE" w:rsidRDefault="00D84C95" w:rsidP="00D84C95">
      <w:pPr>
        <w:pStyle w:val="Heading3"/>
      </w:pPr>
      <w:r w:rsidRPr="009611BE">
        <w:t>NICE</w:t>
      </w:r>
      <w:r w:rsidR="000D1710" w:rsidRPr="009611BE">
        <w:t xml:space="preserve"> Clinical Guidance and Quality Standards</w:t>
      </w:r>
    </w:p>
    <w:p w14:paraId="5DE9E29B" w14:textId="24EA8B4D" w:rsidR="000D1710" w:rsidRPr="009611BE" w:rsidRDefault="000D1710" w:rsidP="00D84C95">
      <w:pPr>
        <w:pStyle w:val="ListBullet"/>
      </w:pPr>
      <w:r w:rsidRPr="009611BE">
        <w:t>Antenatal Care Quality Standard, NICE, 2012</w:t>
      </w:r>
    </w:p>
    <w:p w14:paraId="70A74346" w14:textId="1AD15814" w:rsidR="000D1710" w:rsidRPr="009611BE" w:rsidRDefault="000D1710" w:rsidP="00D84C95">
      <w:pPr>
        <w:pStyle w:val="ListBullet"/>
      </w:pPr>
      <w:r w:rsidRPr="009611BE">
        <w:t>Antenatal and postnatal mental health, NICE Guidance, 2016</w:t>
      </w:r>
    </w:p>
    <w:p w14:paraId="5BCCD501" w14:textId="27D1EC9F" w:rsidR="000D1710" w:rsidRPr="009611BE" w:rsidRDefault="000D1710" w:rsidP="00D84C95">
      <w:pPr>
        <w:pStyle w:val="ListBullet"/>
      </w:pPr>
      <w:r w:rsidRPr="009611BE">
        <w:t>Caesarean section Quality Standard, NICE, 2013</w:t>
      </w:r>
    </w:p>
    <w:p w14:paraId="5C147BE0" w14:textId="7BEF36DB" w:rsidR="000D1710" w:rsidRPr="009611BE" w:rsidRDefault="000D1710" w:rsidP="00D84C95">
      <w:pPr>
        <w:pStyle w:val="ListBullet"/>
      </w:pPr>
      <w:r w:rsidRPr="009611BE">
        <w:t>Diabetes in pregnancy Quality Standard, NICE, 2016</w:t>
      </w:r>
    </w:p>
    <w:p w14:paraId="18E12B86" w14:textId="44807DF8" w:rsidR="000D1710" w:rsidRPr="009611BE" w:rsidRDefault="000D1710" w:rsidP="00D84C95">
      <w:pPr>
        <w:pStyle w:val="ListBullet"/>
      </w:pPr>
      <w:r w:rsidRPr="009611BE">
        <w:t>Diabetes in pregnancy: management from preconception to the postnatal period NICE Guidance, 2015</w:t>
      </w:r>
    </w:p>
    <w:p w14:paraId="114F83C8" w14:textId="0157CC9B" w:rsidR="000D1710" w:rsidRPr="009611BE" w:rsidRDefault="000D1710" w:rsidP="00D84C95">
      <w:pPr>
        <w:pStyle w:val="ListBullet"/>
      </w:pPr>
      <w:r w:rsidRPr="009611BE">
        <w:lastRenderedPageBreak/>
        <w:t>Hypertension in pregnancy Quality Standard, NICE, 2013</w:t>
      </w:r>
    </w:p>
    <w:p w14:paraId="327F49CD" w14:textId="0C6B0E6D" w:rsidR="000D1710" w:rsidRPr="009611BE" w:rsidRDefault="000D1710" w:rsidP="00D84C95">
      <w:pPr>
        <w:pStyle w:val="ListBullet"/>
      </w:pPr>
      <w:r w:rsidRPr="009611BE">
        <w:t>Hypertension in pregnancy: diagnosis and management, NICE Guidance, 2010</w:t>
      </w:r>
    </w:p>
    <w:p w14:paraId="583F1583" w14:textId="0995696C" w:rsidR="000D1710" w:rsidRPr="009611BE" w:rsidRDefault="000D1710" w:rsidP="00D84C95">
      <w:pPr>
        <w:pStyle w:val="ListBullet"/>
      </w:pPr>
      <w:r w:rsidRPr="009611BE">
        <w:t>Intrapartum care for women with existing medical conditions or obstetric complications and their babies, NICE Guidance, 2019</w:t>
      </w:r>
    </w:p>
    <w:p w14:paraId="07292CD8" w14:textId="739804D5" w:rsidR="000D1710" w:rsidRPr="009611BE" w:rsidRDefault="000D1710" w:rsidP="00D84C95">
      <w:pPr>
        <w:pStyle w:val="ListBullet"/>
      </w:pPr>
      <w:r w:rsidRPr="009611BE">
        <w:t>Weight management before, during and after pregnancy, NICE Guidance, 2010</w:t>
      </w:r>
    </w:p>
    <w:p w14:paraId="51A9FD4F" w14:textId="449624F8" w:rsidR="000D1710" w:rsidRPr="009611BE" w:rsidRDefault="000D1710" w:rsidP="00D84C95">
      <w:pPr>
        <w:pStyle w:val="ListBullet"/>
      </w:pPr>
      <w:r w:rsidRPr="009611BE">
        <w:t xml:space="preserve">Standards for the provision of antenatal care for patients with IBD (BSG + BMFMS), </w:t>
      </w:r>
      <w:hyperlink r:id="rId19" w:history="1">
        <w:r w:rsidR="00D84C95" w:rsidRPr="009611BE">
          <w:rPr>
            <w:rStyle w:val="Hyperlink"/>
          </w:rPr>
          <w:t>https://www.bsg.org.uk/clinical-resource/standards-for-the-provision-of-antenatal-care-for-patients-with-inflammatory-bowel-disease/</w:t>
        </w:r>
      </w:hyperlink>
      <w:r w:rsidRPr="009611BE">
        <w:t>;</w:t>
      </w:r>
      <w:r w:rsidR="00D84C95" w:rsidRPr="009611BE">
        <w:t xml:space="preserve"> </w:t>
      </w:r>
      <w:r w:rsidRPr="009611BE">
        <w:t xml:space="preserve">Selinger C, Carey N, </w:t>
      </w:r>
      <w:proofErr w:type="spellStart"/>
      <w:r w:rsidRPr="009611BE">
        <w:t>Cassere</w:t>
      </w:r>
      <w:proofErr w:type="spellEnd"/>
      <w:r w:rsidRPr="009611BE">
        <w:t xml:space="preserve"> S, et al. Frontline Gastroenterology </w:t>
      </w:r>
      <w:proofErr w:type="spellStart"/>
      <w:r w:rsidRPr="009611BE">
        <w:t>Epub</w:t>
      </w:r>
      <w:proofErr w:type="spellEnd"/>
      <w:r w:rsidRPr="009611BE">
        <w:t xml:space="preserve"> ahead of print:. doi:10.1136/ flgastro-2020-101459</w:t>
      </w:r>
    </w:p>
    <w:p w14:paraId="6B13C0B5" w14:textId="637B7E92" w:rsidR="00034F35" w:rsidRPr="009611BE" w:rsidRDefault="000D1710" w:rsidP="00D84C95">
      <w:pPr>
        <w:pStyle w:val="ListBullet"/>
      </w:pPr>
      <w:r w:rsidRPr="009611BE">
        <w:t xml:space="preserve">Pregnancy and Renal Disease: </w:t>
      </w:r>
      <w:hyperlink r:id="rId20" w:history="1">
        <w:r w:rsidR="00D84C95" w:rsidRPr="009611BE">
          <w:rPr>
            <w:rStyle w:val="Hyperlink"/>
          </w:rPr>
          <w:t>https://renal.org/sites/renal.org/files/FINAL-Pregnancy-Guideline-September-2019.pdf</w:t>
        </w:r>
      </w:hyperlink>
      <w:r w:rsidRPr="009611BE">
        <w:t>.</w:t>
      </w:r>
      <w:r w:rsidR="00D84C95" w:rsidRPr="009611BE">
        <w:t xml:space="preserve"> </w:t>
      </w:r>
      <w:r w:rsidRPr="009611BE">
        <w:t xml:space="preserve">Publication Date:1 </w:t>
      </w:r>
      <w:proofErr w:type="gramStart"/>
      <w:r w:rsidRPr="009611BE">
        <w:t>September,</w:t>
      </w:r>
      <w:proofErr w:type="gramEnd"/>
      <w:r w:rsidRPr="009611BE">
        <w:t xml:space="preserve"> 2019 Authors:</w:t>
      </w:r>
    </w:p>
    <w:p w14:paraId="01235629" w14:textId="664D74B1" w:rsidR="000D1710" w:rsidRPr="009611BE" w:rsidRDefault="000D1710" w:rsidP="00D84C95">
      <w:pPr>
        <w:pStyle w:val="ListBullet"/>
      </w:pPr>
      <w:r w:rsidRPr="009611BE">
        <w:t xml:space="preserve">Kate Wiles, Lucy Chappell, Katherine Clark, Louise Elman, Matt Hall, Liz Lightstone, </w:t>
      </w:r>
      <w:proofErr w:type="spellStart"/>
      <w:r w:rsidRPr="009611BE">
        <w:t>Germin</w:t>
      </w:r>
      <w:proofErr w:type="spellEnd"/>
      <w:r w:rsidRPr="009611BE">
        <w:t xml:space="preserve"> Mohamed, </w:t>
      </w:r>
      <w:proofErr w:type="spellStart"/>
      <w:r w:rsidRPr="009611BE">
        <w:t>Durba</w:t>
      </w:r>
      <w:proofErr w:type="spellEnd"/>
      <w:r w:rsidRPr="009611BE">
        <w:t xml:space="preserve"> Mukherjee, Catherine Nelson-Piercy, Philip Webster, Rebecca Whybrow &amp; Kate Bramham</w:t>
      </w:r>
    </w:p>
    <w:p w14:paraId="43AD0450" w14:textId="043F04E2" w:rsidR="000D1710" w:rsidRPr="009611BE" w:rsidRDefault="000D1710" w:rsidP="00D84C95">
      <w:pPr>
        <w:pStyle w:val="ListBullet"/>
      </w:pPr>
      <w:r w:rsidRPr="009611BE">
        <w:t xml:space="preserve">ACHD: </w:t>
      </w:r>
      <w:hyperlink r:id="rId21" w:history="1">
        <w:r w:rsidR="00D84C95" w:rsidRPr="009611BE">
          <w:rPr>
            <w:rStyle w:val="Hyperlink"/>
          </w:rPr>
          <w:t>https://www.england.nhs.uk/wp-content/uploads/2018/08/Congenital-Heart-Disease-Standards-Level-1-Specialist-Surgical-Centres-Adult.pdf</w:t>
        </w:r>
      </w:hyperlink>
      <w:r w:rsidRPr="009611BE">
        <w:t>.</w:t>
      </w:r>
      <w:r w:rsidR="00D84C95" w:rsidRPr="009611BE">
        <w:t xml:space="preserve"> </w:t>
      </w:r>
      <w:r w:rsidRPr="009611BE">
        <w:t>See section J on pregnancy</w:t>
      </w:r>
    </w:p>
    <w:p w14:paraId="5F8B56D9" w14:textId="77777777" w:rsidR="000D1710" w:rsidRPr="009611BE" w:rsidRDefault="000D1710" w:rsidP="00D84C95">
      <w:pPr>
        <w:pStyle w:val="ListBullet"/>
      </w:pPr>
      <w:r w:rsidRPr="009611BE">
        <w:t xml:space="preserve">Myasthenia in pregnancy: best practice guidelines from a U.K. multispecialty working group. Norwood F, </w:t>
      </w:r>
      <w:proofErr w:type="spellStart"/>
      <w:r w:rsidRPr="009611BE">
        <w:t>Dhanjal</w:t>
      </w:r>
      <w:proofErr w:type="spellEnd"/>
      <w:r w:rsidRPr="009611BE">
        <w:t xml:space="preserve"> M, Hill M, James N, </w:t>
      </w:r>
      <w:proofErr w:type="spellStart"/>
      <w:r w:rsidRPr="009611BE">
        <w:t>Jungbluth</w:t>
      </w:r>
      <w:proofErr w:type="spellEnd"/>
      <w:r w:rsidRPr="009611BE">
        <w:t xml:space="preserve"> H, Kyle P, O'Sullivan G, Palace J, Robb S, Williamson C, Hilton-Jones D, Nelson-Piercy C J </w:t>
      </w:r>
      <w:proofErr w:type="spellStart"/>
      <w:r w:rsidRPr="009611BE">
        <w:t>Neurol</w:t>
      </w:r>
      <w:proofErr w:type="spellEnd"/>
      <w:r w:rsidRPr="009611BE">
        <w:t xml:space="preserve"> </w:t>
      </w:r>
      <w:proofErr w:type="spellStart"/>
      <w:r w:rsidRPr="009611BE">
        <w:t>Neurosurg</w:t>
      </w:r>
      <w:proofErr w:type="spellEnd"/>
      <w:r w:rsidRPr="009611BE">
        <w:t xml:space="preserve"> Psychiatry. 2014 May;85(5):538-43. </w:t>
      </w:r>
      <w:proofErr w:type="spellStart"/>
      <w:r w:rsidRPr="009611BE">
        <w:t>doi</w:t>
      </w:r>
      <w:proofErr w:type="spellEnd"/>
      <w:r w:rsidRPr="009611BE">
        <w:t xml:space="preserve">: 10.1136/jnnp-2013-305572. </w:t>
      </w:r>
      <w:proofErr w:type="spellStart"/>
      <w:r w:rsidRPr="009611BE">
        <w:t>Epub</w:t>
      </w:r>
      <w:proofErr w:type="spellEnd"/>
      <w:r w:rsidRPr="009611BE">
        <w:t xml:space="preserve"> 2013 Jun 11.</w:t>
      </w:r>
    </w:p>
    <w:p w14:paraId="7F8FB5FE" w14:textId="4A59E847" w:rsidR="000D1710" w:rsidRPr="009611BE" w:rsidRDefault="000D1710" w:rsidP="00D84C95">
      <w:pPr>
        <w:pStyle w:val="ListBullet"/>
      </w:pPr>
      <w:r w:rsidRPr="009611BE">
        <w:t xml:space="preserve">Dobson R, </w:t>
      </w:r>
      <w:proofErr w:type="spellStart"/>
      <w:r w:rsidRPr="009611BE">
        <w:t>Dassan</w:t>
      </w:r>
      <w:proofErr w:type="spellEnd"/>
      <w:r w:rsidRPr="009611BE">
        <w:t xml:space="preserve"> P, Roberts M, </w:t>
      </w:r>
      <w:proofErr w:type="spellStart"/>
      <w:r w:rsidRPr="009611BE">
        <w:t>Giovannoni</w:t>
      </w:r>
      <w:proofErr w:type="spellEnd"/>
      <w:r w:rsidRPr="009611BE">
        <w:t xml:space="preserve"> G, Nelson-Piercy C, </w:t>
      </w:r>
      <w:proofErr w:type="spellStart"/>
      <w:r w:rsidRPr="009611BE">
        <w:t>Brex</w:t>
      </w:r>
      <w:proofErr w:type="spellEnd"/>
      <w:r w:rsidRPr="009611BE">
        <w:t xml:space="preserve"> PA. UK consensus on pregnancy in multiple sclerosis: 'Association of British Neurologists' guidelines. </w:t>
      </w:r>
      <w:proofErr w:type="spellStart"/>
      <w:r w:rsidRPr="009611BE">
        <w:t>Pract</w:t>
      </w:r>
      <w:proofErr w:type="spellEnd"/>
      <w:r w:rsidRPr="009611BE">
        <w:t xml:space="preserve"> Neurol. 2019 Apr;19(2):106-114. </w:t>
      </w:r>
      <w:proofErr w:type="spellStart"/>
      <w:r w:rsidRPr="009611BE">
        <w:t>doi</w:t>
      </w:r>
      <w:proofErr w:type="spellEnd"/>
      <w:r w:rsidRPr="009611BE">
        <w:t xml:space="preserve">: 10.1136/practneurol-2018-002060. </w:t>
      </w:r>
      <w:proofErr w:type="spellStart"/>
      <w:r w:rsidRPr="009611BE">
        <w:t>Epub</w:t>
      </w:r>
      <w:proofErr w:type="spellEnd"/>
      <w:r w:rsidRPr="009611BE">
        <w:t xml:space="preserve"> 2019 Jan 5. PMID: 30612100.</w:t>
      </w:r>
    </w:p>
    <w:p w14:paraId="7CD45A23" w14:textId="4DBBF16A" w:rsidR="00034F35" w:rsidRPr="009611BE" w:rsidRDefault="000D1710" w:rsidP="00D84C95">
      <w:pPr>
        <w:pStyle w:val="LastBullet"/>
      </w:pPr>
      <w:r w:rsidRPr="009611BE">
        <w:t>British Society of Haematology guidelines on sickle cell disease, thrombophilia and AML in pregnancy.</w:t>
      </w:r>
      <w:r w:rsidR="00034F35" w:rsidRPr="009611BE">
        <w:t xml:space="preserve"> </w:t>
      </w:r>
      <w:hyperlink r:id="rId22" w:history="1">
        <w:r w:rsidR="00D84C95" w:rsidRPr="009611BE">
          <w:rPr>
            <w:rStyle w:val="Hyperlink"/>
          </w:rPr>
          <w:t>https://b-s-h.org.uk/guidelines/?search=pregnancy</w:t>
        </w:r>
      </w:hyperlink>
      <w:r w:rsidR="00D84C95" w:rsidRPr="009611BE">
        <w:t>.</w:t>
      </w:r>
    </w:p>
    <w:p w14:paraId="51AC8DB0" w14:textId="0859DD58" w:rsidR="00034F35" w:rsidRPr="009611BE" w:rsidRDefault="000D1710" w:rsidP="000D1710">
      <w:pPr>
        <w:pStyle w:val="BodyText"/>
      </w:pPr>
      <w:r w:rsidRPr="009611BE">
        <w:t>Available from the Royal College of Obstetricians and Gynaecologists</w:t>
      </w:r>
      <w:r w:rsidR="00D84C95" w:rsidRPr="009611BE">
        <w:t xml:space="preserve"> (RCOG)</w:t>
      </w:r>
      <w:r w:rsidRPr="009611BE">
        <w:t>:</w:t>
      </w:r>
    </w:p>
    <w:p w14:paraId="125E4655" w14:textId="4B6C2601" w:rsidR="00034F35" w:rsidRPr="009611BE" w:rsidRDefault="000D1710" w:rsidP="00D84C95">
      <w:pPr>
        <w:pStyle w:val="LastBullet"/>
      </w:pPr>
      <w:r w:rsidRPr="009611BE">
        <w:t>Termination of Pregnancy for Fetal Abnormality in England, Scotland and Wales, RCOG, 2010</w:t>
      </w:r>
    </w:p>
    <w:p w14:paraId="7CB8F78D" w14:textId="134B3C95" w:rsidR="00034F35" w:rsidRPr="009611BE" w:rsidRDefault="000D1710" w:rsidP="00D84C95">
      <w:pPr>
        <w:pStyle w:val="Heading2Numbered"/>
      </w:pPr>
      <w:r w:rsidRPr="009611BE">
        <w:lastRenderedPageBreak/>
        <w:t>Key performance indicators</w:t>
      </w:r>
    </w:p>
    <w:p w14:paraId="4AAAE29B" w14:textId="478AE34F" w:rsidR="00034F35" w:rsidRPr="009611BE" w:rsidRDefault="000D1710" w:rsidP="00D84C95">
      <w:pPr>
        <w:pStyle w:val="Heading3"/>
      </w:pPr>
      <w:r w:rsidRPr="009611BE">
        <w:t xml:space="preserve">Outcomes </w:t>
      </w:r>
      <w:r w:rsidR="00D84C95" w:rsidRPr="009611BE">
        <w:t>and e</w:t>
      </w:r>
      <w:r w:rsidRPr="009611BE">
        <w:t>qualities</w:t>
      </w:r>
    </w:p>
    <w:p w14:paraId="1D58527E" w14:textId="4935CB90" w:rsidR="000D1710" w:rsidRPr="009611BE" w:rsidRDefault="000D1710" w:rsidP="00D84C95">
      <w:pPr>
        <w:pStyle w:val="ListBullet"/>
      </w:pPr>
      <w:r w:rsidRPr="009611BE">
        <w:t>Rate of maternal mortality and unscheduled admission to ICU with pulmonary oedema due to fluid overload, unrecognised heart disease, acute kidney injury secondary to</w:t>
      </w:r>
      <w:r w:rsidR="002A4889" w:rsidRPr="009611BE">
        <w:t xml:space="preserve"> HELLP (</w:t>
      </w:r>
      <w:r w:rsidR="00D84C95" w:rsidRPr="009611BE">
        <w:t>haemolysis, elevated liver enzymes and low platelet count</w:t>
      </w:r>
      <w:r w:rsidR="002A4889" w:rsidRPr="009611BE">
        <w:t xml:space="preserve">) </w:t>
      </w:r>
      <w:r w:rsidRPr="009611BE">
        <w:t>or acute fatty liver of pregnancy.</w:t>
      </w:r>
    </w:p>
    <w:p w14:paraId="60616AB6" w14:textId="2A1596CC" w:rsidR="000D1710" w:rsidRPr="009611BE" w:rsidRDefault="000D1710" w:rsidP="00D84C95">
      <w:pPr>
        <w:pStyle w:val="ListBullet"/>
      </w:pPr>
      <w:r w:rsidRPr="009611BE">
        <w:t>Stillbirths, early neonatal deaths and neonatal unit admissions in women with maternal conditions of sufficient severity to trigger referral for advice or delivery to the MMC.</w:t>
      </w:r>
    </w:p>
    <w:p w14:paraId="1447B823" w14:textId="466EC1A3" w:rsidR="000D1710" w:rsidRPr="009611BE" w:rsidRDefault="000D1710" w:rsidP="00D84C95">
      <w:pPr>
        <w:pStyle w:val="ListBullet"/>
      </w:pPr>
      <w:r w:rsidRPr="009611BE">
        <w:t>All outcome and process indicators analysed and presented according to ethnicity and deprivation defined by IMD</w:t>
      </w:r>
      <w:r w:rsidR="002A4889" w:rsidRPr="009611BE">
        <w:t>.</w:t>
      </w:r>
    </w:p>
    <w:p w14:paraId="384823B2" w14:textId="4C119DB3" w:rsidR="00034F35" w:rsidRPr="009611BE" w:rsidRDefault="000D1710" w:rsidP="00D84C95">
      <w:pPr>
        <w:pStyle w:val="LastBullet"/>
      </w:pPr>
      <w:r w:rsidRPr="009611BE">
        <w:t xml:space="preserve">Equality of access </w:t>
      </w:r>
      <w:r w:rsidR="00D84C95" w:rsidRPr="009611BE">
        <w:t xml:space="preserve">– </w:t>
      </w:r>
      <w:r w:rsidRPr="009611BE">
        <w:t>ie are women across ethnicities referred to/seen by MMC at an equitable rate?</w:t>
      </w:r>
    </w:p>
    <w:p w14:paraId="03D87DEF" w14:textId="77777777" w:rsidR="00034F35" w:rsidRPr="009611BE" w:rsidRDefault="000D1710" w:rsidP="002A4889">
      <w:pPr>
        <w:pStyle w:val="Heading3"/>
      </w:pPr>
      <w:r w:rsidRPr="009611BE">
        <w:t>Process indicators</w:t>
      </w:r>
    </w:p>
    <w:p w14:paraId="5C121FF0" w14:textId="07FCBCB8" w:rsidR="000D1710" w:rsidRPr="009611BE" w:rsidRDefault="000D1710" w:rsidP="002A4889">
      <w:pPr>
        <w:pStyle w:val="ListBullet"/>
      </w:pPr>
      <w:r w:rsidRPr="009611BE">
        <w:t>Standardised care pathways for all common conditions implemented across MMN footprint.</w:t>
      </w:r>
    </w:p>
    <w:p w14:paraId="3E602D34" w14:textId="3D763177" w:rsidR="000D1710" w:rsidRPr="009611BE" w:rsidRDefault="000D1710" w:rsidP="002A4889">
      <w:pPr>
        <w:pStyle w:val="ListBullet"/>
      </w:pPr>
      <w:r w:rsidRPr="009611BE">
        <w:t>Percentage of women in high risk group who are referred for (</w:t>
      </w:r>
      <w:proofErr w:type="spellStart"/>
      <w:r w:rsidRPr="009611BE">
        <w:t>i</w:t>
      </w:r>
      <w:proofErr w:type="spellEnd"/>
      <w:r w:rsidRPr="009611BE">
        <w:t>) care (ii) opinion to an MMC who have an MDT-produced plan for (as appropriate) antenatal, intrapartum, postpartum contraception care in their notes.</w:t>
      </w:r>
    </w:p>
    <w:p w14:paraId="62D51252" w14:textId="4733A7DF" w:rsidR="00034F35" w:rsidRPr="009611BE" w:rsidRDefault="000D1710" w:rsidP="002A4889">
      <w:pPr>
        <w:pStyle w:val="LastBullet"/>
      </w:pPr>
      <w:r w:rsidRPr="009611BE">
        <w:t>Are guidelines/</w:t>
      </w:r>
      <w:r w:rsidR="009611BE">
        <w:t>standard operating procedures (SOPs)</w:t>
      </w:r>
      <w:r w:rsidRPr="009611BE">
        <w:t xml:space="preserve"> in place across all EDs for identification/referral of red-flag symptoms and who to contact?</w:t>
      </w:r>
    </w:p>
    <w:p w14:paraId="47A15BDE" w14:textId="428E2959" w:rsidR="000D1710" w:rsidRPr="009611BE" w:rsidRDefault="000D1710" w:rsidP="002A4889">
      <w:pPr>
        <w:pStyle w:val="Heading3"/>
      </w:pPr>
      <w:r w:rsidRPr="009611BE">
        <w:t>Pre-conception</w:t>
      </w:r>
    </w:p>
    <w:p w14:paraId="0923F094" w14:textId="7666B9BF" w:rsidR="00034F35" w:rsidRPr="009611BE" w:rsidRDefault="000D1710" w:rsidP="002A4889">
      <w:pPr>
        <w:pStyle w:val="LastBullet"/>
      </w:pPr>
      <w:r w:rsidRPr="009611BE">
        <w:t>Access to pre-pregnancy advice in place for all women with chronic conditions?</w:t>
      </w:r>
    </w:p>
    <w:p w14:paraId="5A59E0D3" w14:textId="232CCF93" w:rsidR="000D1710" w:rsidRPr="009611BE" w:rsidRDefault="000D1710" w:rsidP="002A4889">
      <w:pPr>
        <w:pStyle w:val="Heading3"/>
      </w:pPr>
      <w:r w:rsidRPr="009611BE">
        <w:t>Acute management</w:t>
      </w:r>
    </w:p>
    <w:p w14:paraId="4512F125" w14:textId="3BEC890A" w:rsidR="000D1710" w:rsidRPr="009611BE" w:rsidRDefault="000D1710" w:rsidP="002A4889">
      <w:pPr>
        <w:pStyle w:val="ListBullet"/>
      </w:pPr>
      <w:r w:rsidRPr="009611BE">
        <w:t>In all units to demonstrate effective communication between named link physician for maternity and link obstetrician for acute medicine:</w:t>
      </w:r>
    </w:p>
    <w:p w14:paraId="49AACAA1" w14:textId="6043D31A" w:rsidR="00034F35" w:rsidRPr="009611BE" w:rsidRDefault="000D1710" w:rsidP="002A4889">
      <w:pPr>
        <w:pStyle w:val="ListBullet2"/>
      </w:pPr>
      <w:r w:rsidRPr="009611BE">
        <w:t>1</w:t>
      </w:r>
      <w:r w:rsidR="002A4889" w:rsidRPr="009611BE">
        <w:t>.</w:t>
      </w:r>
      <w:r w:rsidR="002A4889" w:rsidRPr="009611BE">
        <w:tab/>
        <w:t>P</w:t>
      </w:r>
      <w:r w:rsidRPr="009611BE">
        <w:t>roportion of women who are pregnant or &lt;6</w:t>
      </w:r>
      <w:r w:rsidR="002A4889" w:rsidRPr="009611BE">
        <w:t xml:space="preserve"> </w:t>
      </w:r>
      <w:r w:rsidRPr="009611BE">
        <w:t>weeks postpartum admitted through ED where admission discussed with obstetrician/obstetric physician (from case notes)</w:t>
      </w:r>
    </w:p>
    <w:p w14:paraId="6B6F5398" w14:textId="22796DC6" w:rsidR="00034F35" w:rsidRPr="009611BE" w:rsidRDefault="002A4889" w:rsidP="002A4889">
      <w:pPr>
        <w:pStyle w:val="LastBullet2"/>
      </w:pPr>
      <w:r w:rsidRPr="009611BE">
        <w:t>2.</w:t>
      </w:r>
      <w:r w:rsidRPr="009611BE">
        <w:tab/>
        <w:t>P</w:t>
      </w:r>
      <w:r w:rsidR="000D1710" w:rsidRPr="009611BE">
        <w:t>roportion of women who are pregnant or &lt;6 weeks postpartum and who have a CT pulmonary angiogram who have evidence of discussion with consultant obstetrician or obstetric physician.</w:t>
      </w:r>
    </w:p>
    <w:p w14:paraId="1A4EC3A3" w14:textId="77777777" w:rsidR="00034F35" w:rsidRPr="009611BE" w:rsidRDefault="000D1710" w:rsidP="002A4889">
      <w:pPr>
        <w:pStyle w:val="Heading3"/>
      </w:pPr>
      <w:r w:rsidRPr="009611BE">
        <w:lastRenderedPageBreak/>
        <w:t>Learning</w:t>
      </w:r>
    </w:p>
    <w:p w14:paraId="594D5E3E" w14:textId="29944FBF" w:rsidR="000D1710" w:rsidRPr="009611BE" w:rsidRDefault="000D1710" w:rsidP="002A4889">
      <w:pPr>
        <w:pStyle w:val="ListBullet"/>
        <w:keepNext/>
      </w:pPr>
      <w:r w:rsidRPr="009611BE">
        <w:t>The MMN can provide evidence of regular MDT meetings to share learning across the network, to include at least:</w:t>
      </w:r>
    </w:p>
    <w:p w14:paraId="08255BAD" w14:textId="05767581" w:rsidR="000D1710" w:rsidRPr="009611BE" w:rsidRDefault="002A4889" w:rsidP="002A4889">
      <w:pPr>
        <w:pStyle w:val="ListBullet2"/>
      </w:pPr>
      <w:r w:rsidRPr="009611BE">
        <w:t>m</w:t>
      </w:r>
      <w:r w:rsidR="000D1710" w:rsidRPr="009611BE">
        <w:t>aternal deaths</w:t>
      </w:r>
    </w:p>
    <w:p w14:paraId="1C3AA596" w14:textId="2EA71A0B" w:rsidR="000D1710" w:rsidRPr="009611BE" w:rsidRDefault="002A4889" w:rsidP="002A4889">
      <w:pPr>
        <w:pStyle w:val="ListBullet2"/>
      </w:pPr>
      <w:r w:rsidRPr="009611BE">
        <w:t>a</w:t>
      </w:r>
      <w:r w:rsidR="000D1710" w:rsidRPr="009611BE">
        <w:t>dverse/serious incidents</w:t>
      </w:r>
    </w:p>
    <w:p w14:paraId="3E9D53AC" w14:textId="6D8E67C6" w:rsidR="00034F35" w:rsidRPr="009611BE" w:rsidRDefault="002A4889" w:rsidP="002A4889">
      <w:pPr>
        <w:pStyle w:val="LastBullet2"/>
      </w:pPr>
      <w:r w:rsidRPr="009611BE">
        <w:t>s</w:t>
      </w:r>
      <w:r w:rsidR="000D1710" w:rsidRPr="009611BE">
        <w:t>ervice-level recommendations in annual MBRRACE reports on maternal mortality.</w:t>
      </w:r>
    </w:p>
    <w:p w14:paraId="726C18C7" w14:textId="77777777" w:rsidR="00034F35" w:rsidRPr="009611BE" w:rsidRDefault="000D1710" w:rsidP="002A4889">
      <w:pPr>
        <w:pStyle w:val="Heading3"/>
      </w:pPr>
      <w:r w:rsidRPr="009611BE">
        <w:t>Service user experience</w:t>
      </w:r>
    </w:p>
    <w:p w14:paraId="08F587A0" w14:textId="4D5A3A9C" w:rsidR="000D1710" w:rsidRPr="009611BE" w:rsidRDefault="000D1710" w:rsidP="002A4889">
      <w:pPr>
        <w:pStyle w:val="LastBullet"/>
      </w:pPr>
      <w:r w:rsidRPr="009611BE">
        <w:t>The MMN can demonstrate service user co-production of all aspects of MMN function, including a user group that can provide feedback on experience of quality of care, choice, and accessibility?</w:t>
      </w:r>
    </w:p>
    <w:p w14:paraId="5DA287A6" w14:textId="1C0A3209" w:rsidR="00034F35" w:rsidRPr="009611BE" w:rsidRDefault="000D1710" w:rsidP="000D1710">
      <w:pPr>
        <w:pStyle w:val="Heading1Numbered"/>
      </w:pPr>
      <w:r w:rsidRPr="009611BE">
        <w:t>Design</w:t>
      </w:r>
      <w:r w:rsidR="009611BE">
        <w:t>at</w:t>
      </w:r>
      <w:r w:rsidRPr="009611BE">
        <w:t>ed providers (if applicable)</w:t>
      </w:r>
    </w:p>
    <w:p w14:paraId="6DF77BFE" w14:textId="77777777" w:rsidR="002A4889" w:rsidRPr="009611BE" w:rsidRDefault="002A4889" w:rsidP="002A4889">
      <w:pPr>
        <w:pStyle w:val="BodyText"/>
      </w:pPr>
    </w:p>
    <w:p w14:paraId="2B245EDA" w14:textId="37FF7118" w:rsidR="000D1710" w:rsidRPr="009611BE" w:rsidRDefault="000D1710" w:rsidP="000D1710">
      <w:pPr>
        <w:pStyle w:val="Heading1Numbered"/>
      </w:pPr>
      <w:r w:rsidRPr="009611BE">
        <w:t>Abbreviations and acronyms explained</w:t>
      </w:r>
    </w:p>
    <w:p w14:paraId="4EFCF358" w14:textId="77777777" w:rsidR="00034F35" w:rsidRPr="009611BE" w:rsidRDefault="000D1710" w:rsidP="000D1710">
      <w:pPr>
        <w:pStyle w:val="BodyText"/>
      </w:pPr>
      <w:r w:rsidRPr="009611BE">
        <w:t>The following abbreviations and acronyms have been used in this document:</w:t>
      </w:r>
    </w:p>
    <w:p w14:paraId="4EC11AC6" w14:textId="619BDE1D" w:rsidR="000D1710" w:rsidRPr="009611BE" w:rsidRDefault="000D1710" w:rsidP="002A4889">
      <w:pPr>
        <w:pStyle w:val="ListBullet"/>
      </w:pPr>
      <w:r w:rsidRPr="009611BE">
        <w:t xml:space="preserve">CCG – </w:t>
      </w:r>
      <w:r w:rsidR="002A4889" w:rsidRPr="009611BE">
        <w:t>c</w:t>
      </w:r>
      <w:r w:rsidRPr="009611BE">
        <w:t xml:space="preserve">linical </w:t>
      </w:r>
      <w:r w:rsidR="002A4889" w:rsidRPr="009611BE">
        <w:t>c</w:t>
      </w:r>
      <w:r w:rsidRPr="009611BE">
        <w:t xml:space="preserve">ommissioning </w:t>
      </w:r>
      <w:r w:rsidR="002A4889" w:rsidRPr="009611BE">
        <w:t>g</w:t>
      </w:r>
      <w:r w:rsidRPr="009611BE">
        <w:t>roup</w:t>
      </w:r>
    </w:p>
    <w:p w14:paraId="612CFF69" w14:textId="50AC2839" w:rsidR="000D1710" w:rsidRPr="009611BE" w:rsidRDefault="000D1710" w:rsidP="002A4889">
      <w:pPr>
        <w:pStyle w:val="ListBullet"/>
      </w:pPr>
      <w:r w:rsidRPr="009611BE">
        <w:t xml:space="preserve">ENT – </w:t>
      </w:r>
      <w:r w:rsidR="002A4889" w:rsidRPr="009611BE">
        <w:t>e</w:t>
      </w:r>
      <w:r w:rsidRPr="009611BE">
        <w:t xml:space="preserve">ars, </w:t>
      </w:r>
      <w:r w:rsidR="002A4889" w:rsidRPr="009611BE">
        <w:t>n</w:t>
      </w:r>
      <w:r w:rsidRPr="009611BE">
        <w:t xml:space="preserve">ose and </w:t>
      </w:r>
      <w:r w:rsidR="002A4889" w:rsidRPr="009611BE">
        <w:t>t</w:t>
      </w:r>
      <w:r w:rsidRPr="009611BE">
        <w:t>hroat</w:t>
      </w:r>
    </w:p>
    <w:p w14:paraId="164F450D" w14:textId="56540ADA" w:rsidR="000D1710" w:rsidRPr="009611BE" w:rsidRDefault="000D1710" w:rsidP="002A4889">
      <w:pPr>
        <w:pStyle w:val="ListBullet"/>
      </w:pPr>
      <w:r w:rsidRPr="009611BE">
        <w:t xml:space="preserve">LMS – </w:t>
      </w:r>
      <w:r w:rsidR="002A4889" w:rsidRPr="009611BE">
        <w:t>l</w:t>
      </w:r>
      <w:r w:rsidRPr="009611BE">
        <w:t xml:space="preserve">ocal </w:t>
      </w:r>
      <w:r w:rsidR="002A4889" w:rsidRPr="009611BE">
        <w:t>m</w:t>
      </w:r>
      <w:r w:rsidRPr="009611BE">
        <w:t xml:space="preserve">aternity </w:t>
      </w:r>
      <w:r w:rsidR="002A4889" w:rsidRPr="009611BE">
        <w:t>s</w:t>
      </w:r>
      <w:r w:rsidRPr="009611BE">
        <w:t>ystem</w:t>
      </w:r>
    </w:p>
    <w:p w14:paraId="7A18B865" w14:textId="43E670AA" w:rsidR="000D1710" w:rsidRPr="009611BE" w:rsidRDefault="000D1710" w:rsidP="002A4889">
      <w:pPr>
        <w:pStyle w:val="ListBullet"/>
      </w:pPr>
      <w:r w:rsidRPr="009611BE">
        <w:t xml:space="preserve">MMC – </w:t>
      </w:r>
      <w:r w:rsidR="002A4889" w:rsidRPr="009611BE">
        <w:t>m</w:t>
      </w:r>
      <w:r w:rsidRPr="009611BE">
        <w:t xml:space="preserve">aternal </w:t>
      </w:r>
      <w:r w:rsidR="002A4889" w:rsidRPr="009611BE">
        <w:t>m</w:t>
      </w:r>
      <w:r w:rsidRPr="009611BE">
        <w:t xml:space="preserve">edicine </w:t>
      </w:r>
      <w:r w:rsidR="002A4889" w:rsidRPr="009611BE">
        <w:t>c</w:t>
      </w:r>
      <w:r w:rsidRPr="009611BE">
        <w:t>entre</w:t>
      </w:r>
    </w:p>
    <w:p w14:paraId="2166EF22" w14:textId="6ED87A7B" w:rsidR="000D1710" w:rsidRPr="009611BE" w:rsidRDefault="000D1710" w:rsidP="002A4889">
      <w:pPr>
        <w:pStyle w:val="ListBullet"/>
      </w:pPr>
      <w:r w:rsidRPr="009611BE">
        <w:t xml:space="preserve">MMN – </w:t>
      </w:r>
      <w:r w:rsidR="002A4889" w:rsidRPr="009611BE">
        <w:t>m</w:t>
      </w:r>
      <w:r w:rsidRPr="009611BE">
        <w:t xml:space="preserve">aternal </w:t>
      </w:r>
      <w:r w:rsidR="002A4889" w:rsidRPr="009611BE">
        <w:t>m</w:t>
      </w:r>
      <w:r w:rsidRPr="009611BE">
        <w:t xml:space="preserve">edicine </w:t>
      </w:r>
      <w:r w:rsidR="002A4889" w:rsidRPr="009611BE">
        <w:t>n</w:t>
      </w:r>
      <w:r w:rsidRPr="009611BE">
        <w:t>etwork</w:t>
      </w:r>
    </w:p>
    <w:p w14:paraId="04F0A952" w14:textId="471B5DD2" w:rsidR="000D1710" w:rsidRPr="009611BE" w:rsidRDefault="000D1710" w:rsidP="002A4889">
      <w:pPr>
        <w:pStyle w:val="ListBullet"/>
      </w:pPr>
      <w:r w:rsidRPr="009611BE">
        <w:t xml:space="preserve">ODN – </w:t>
      </w:r>
      <w:r w:rsidR="002A4889" w:rsidRPr="009611BE">
        <w:t>o</w:t>
      </w:r>
      <w:r w:rsidRPr="009611BE">
        <w:t xml:space="preserve">perational </w:t>
      </w:r>
      <w:r w:rsidR="002A4889" w:rsidRPr="009611BE">
        <w:t>d</w:t>
      </w:r>
      <w:r w:rsidRPr="009611BE">
        <w:t xml:space="preserve">elivery </w:t>
      </w:r>
      <w:r w:rsidR="002A4889" w:rsidRPr="009611BE">
        <w:t>n</w:t>
      </w:r>
      <w:r w:rsidRPr="009611BE">
        <w:t>etwork</w:t>
      </w:r>
    </w:p>
    <w:p w14:paraId="1F9C6A96" w14:textId="0B24016F" w:rsidR="000D1710" w:rsidRPr="009611BE" w:rsidRDefault="000D1710" w:rsidP="002A4889">
      <w:pPr>
        <w:pStyle w:val="ListBullet"/>
      </w:pPr>
      <w:r w:rsidRPr="009611BE">
        <w:t xml:space="preserve">PPC – </w:t>
      </w:r>
      <w:r w:rsidR="002A4889" w:rsidRPr="009611BE">
        <w:t>p</w:t>
      </w:r>
      <w:r w:rsidRPr="009611BE">
        <w:t>re-</w:t>
      </w:r>
      <w:r w:rsidR="002A4889" w:rsidRPr="009611BE">
        <w:t>p</w:t>
      </w:r>
      <w:r w:rsidRPr="009611BE">
        <w:t xml:space="preserve">regnancy </w:t>
      </w:r>
      <w:r w:rsidR="002A4889" w:rsidRPr="009611BE">
        <w:t>c</w:t>
      </w:r>
      <w:r w:rsidRPr="009611BE">
        <w:t>are</w:t>
      </w:r>
    </w:p>
    <w:p w14:paraId="4EB1AE05" w14:textId="5C7F9DD8" w:rsidR="000D1710" w:rsidRPr="009611BE" w:rsidRDefault="000D1710" w:rsidP="002A4889">
      <w:pPr>
        <w:pStyle w:val="ListBullet"/>
      </w:pPr>
      <w:r w:rsidRPr="009611BE">
        <w:t xml:space="preserve">STP – </w:t>
      </w:r>
      <w:r w:rsidR="002A4889" w:rsidRPr="009611BE">
        <w:t>s</w:t>
      </w:r>
      <w:r w:rsidRPr="009611BE">
        <w:t xml:space="preserve">ustainability and </w:t>
      </w:r>
      <w:r w:rsidR="002A4889" w:rsidRPr="009611BE">
        <w:t>t</w:t>
      </w:r>
      <w:r w:rsidRPr="009611BE">
        <w:t xml:space="preserve">ransformation </w:t>
      </w:r>
      <w:r w:rsidR="002A4889" w:rsidRPr="009611BE">
        <w:t>p</w:t>
      </w:r>
      <w:r w:rsidRPr="009611BE">
        <w:t>artnership</w:t>
      </w:r>
    </w:p>
    <w:p w14:paraId="19E4BF39" w14:textId="0B5B8A88" w:rsidR="000D1710" w:rsidRPr="009611BE" w:rsidRDefault="000D1710" w:rsidP="002A4889">
      <w:pPr>
        <w:pStyle w:val="ListBullet"/>
      </w:pPr>
      <w:r w:rsidRPr="009611BE">
        <w:t xml:space="preserve">TOP – </w:t>
      </w:r>
      <w:r w:rsidR="002A4889" w:rsidRPr="009611BE">
        <w:t>t</w:t>
      </w:r>
      <w:r w:rsidRPr="009611BE">
        <w:t xml:space="preserve">ermination of </w:t>
      </w:r>
      <w:r w:rsidR="002A4889" w:rsidRPr="009611BE">
        <w:t>p</w:t>
      </w:r>
      <w:r w:rsidRPr="009611BE">
        <w:t>regnancy</w:t>
      </w:r>
      <w:r w:rsidR="002A4889" w:rsidRPr="009611BE">
        <w:t>.</w:t>
      </w:r>
    </w:p>
    <w:p w14:paraId="37397FE2" w14:textId="77777777" w:rsidR="000D1710" w:rsidRPr="009611BE" w:rsidRDefault="000D1710" w:rsidP="000D1710">
      <w:pPr>
        <w:pStyle w:val="Heading1"/>
      </w:pPr>
      <w:r w:rsidRPr="009611BE">
        <w:lastRenderedPageBreak/>
        <w:t>Appendix 1</w:t>
      </w:r>
    </w:p>
    <w:p w14:paraId="307FFAA2" w14:textId="3CB4A01E" w:rsidR="000D1710" w:rsidRPr="009611BE" w:rsidRDefault="000D1710" w:rsidP="000D1710">
      <w:pPr>
        <w:pStyle w:val="Heading2"/>
      </w:pPr>
      <w:r w:rsidRPr="009611BE">
        <w:t xml:space="preserve">Example of indications for referral to maternal medicine centre for opinion or transfer of care, as adopted by the London </w:t>
      </w:r>
      <w:r w:rsidR="002A4889" w:rsidRPr="009611BE">
        <w:t xml:space="preserve">MMNs </w:t>
      </w:r>
      <w:r w:rsidRPr="009611BE">
        <w:t>(as agreed in May 2021)</w:t>
      </w:r>
    </w:p>
    <w:p w14:paraId="4770884C" w14:textId="413585C8" w:rsidR="000D1710" w:rsidRPr="009611BE" w:rsidRDefault="000D1710" w:rsidP="000D1710">
      <w:pPr>
        <w:pStyle w:val="BodyText"/>
      </w:pPr>
      <w:r w:rsidRPr="009611BE">
        <w:rPr>
          <w:rFonts w:cs="Arial"/>
          <w:noProof/>
        </w:rPr>
        <w:drawing>
          <wp:anchor distT="0" distB="0" distL="114300" distR="114300" simplePos="0" relativeHeight="251659264" behindDoc="1" locked="0" layoutInCell="1" allowOverlap="1" wp14:anchorId="3D5A1243" wp14:editId="7633B8A0">
            <wp:simplePos x="0" y="0"/>
            <wp:positionH relativeFrom="column">
              <wp:posOffset>-635</wp:posOffset>
            </wp:positionH>
            <wp:positionV relativeFrom="paragraph">
              <wp:posOffset>408305</wp:posOffset>
            </wp:positionV>
            <wp:extent cx="5731510" cy="3474085"/>
            <wp:effectExtent l="0" t="0" r="2540" b="0"/>
            <wp:wrapTopAndBottom/>
            <wp:docPr id="10" name="Picture 9">
              <a:extLst xmlns:a="http://schemas.openxmlformats.org/drawingml/2006/main">
                <a:ext uri="{FF2B5EF4-FFF2-40B4-BE49-F238E27FC236}">
                  <a16:creationId xmlns:a16="http://schemas.microsoft.com/office/drawing/2014/main" id="{08EFCEB8-0BCC-4DB4-94EE-654E22432A38}"/>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08EFCEB8-0BCC-4DB4-94EE-654E22432A38}"/>
                        </a:ext>
                      </a:extLst>
                    </pic:cNvPr>
                    <pic:cNvPicPr/>
                  </pic:nvPicPr>
                  <pic:blipFill rotWithShape="1">
                    <a:blip r:embed="rId23"/>
                    <a:srcRect l="3810" r="2633" b="1825"/>
                    <a:stretch/>
                  </pic:blipFill>
                  <pic:spPr>
                    <a:xfrm>
                      <a:off x="0" y="0"/>
                      <a:ext cx="5731510" cy="3474085"/>
                    </a:xfrm>
                    <a:prstGeom prst="rect">
                      <a:avLst/>
                    </a:prstGeom>
                  </pic:spPr>
                </pic:pic>
              </a:graphicData>
            </a:graphic>
          </wp:anchor>
        </w:drawing>
      </w:r>
    </w:p>
    <w:p w14:paraId="63DEDB22" w14:textId="77777777" w:rsidR="002A4889" w:rsidRPr="009611BE" w:rsidRDefault="000D1710" w:rsidP="000D1710">
      <w:pPr>
        <w:pStyle w:val="BodyText"/>
      </w:pPr>
      <w:r w:rsidRPr="009611BE">
        <w:t>These categories are a guide only. They can be modified according to local expertise and experience. Where local expertise is sufficient, a condition may move from category C to B, or B to A. An example would be epilepsy, where there may be a local joint obstetric epilepsy clinic including a neurologist with expertise in epilepsy in pregnancy, in which case care could remain local.</w:t>
      </w:r>
    </w:p>
    <w:p w14:paraId="7DF38CEF" w14:textId="7E8D4B65" w:rsidR="002A4889" w:rsidRPr="009611BE" w:rsidRDefault="000D1710" w:rsidP="000D1710">
      <w:pPr>
        <w:pStyle w:val="BodyText"/>
      </w:pPr>
      <w:r w:rsidRPr="009611BE">
        <w:t>Where local expertise is insufficient, when a condition progresses or increases in severity during pregnancy, or when there is clinical concern, a condition should move from category A to B, or B to C:</w:t>
      </w:r>
    </w:p>
    <w:p w14:paraId="0D926A4A" w14:textId="77777777" w:rsidR="002A4889" w:rsidRPr="009611BE" w:rsidRDefault="002A4889">
      <w:r w:rsidRPr="009611BE">
        <w:br w:type="page"/>
      </w:r>
    </w:p>
    <w:tbl>
      <w:tblPr>
        <w:tblStyle w:val="NHSTableBlue"/>
        <w:tblW w:w="10351" w:type="dxa"/>
        <w:tblInd w:w="-284" w:type="dxa"/>
        <w:tblCellMar>
          <w:top w:w="85" w:type="dxa"/>
          <w:left w:w="85" w:type="dxa"/>
          <w:bottom w:w="85" w:type="dxa"/>
          <w:right w:w="85" w:type="dxa"/>
        </w:tblCellMar>
        <w:tblLook w:val="04A0" w:firstRow="1" w:lastRow="0" w:firstColumn="1" w:lastColumn="0" w:noHBand="0" w:noVBand="1"/>
      </w:tblPr>
      <w:tblGrid>
        <w:gridCol w:w="3119"/>
        <w:gridCol w:w="4111"/>
        <w:gridCol w:w="3121"/>
      </w:tblGrid>
      <w:tr w:rsidR="000D1710" w:rsidRPr="009C7327" w14:paraId="0051EB3B" w14:textId="77777777" w:rsidTr="009C7327">
        <w:trPr>
          <w:cnfStyle w:val="100000000000" w:firstRow="1" w:lastRow="0" w:firstColumn="0" w:lastColumn="0" w:oddVBand="0" w:evenVBand="0" w:oddHBand="0" w:evenHBand="0" w:firstRowFirstColumn="0" w:firstRowLastColumn="0" w:lastRowFirstColumn="0" w:lastRowLastColumn="0"/>
          <w:cantSplit/>
          <w:trHeight w:val="905"/>
          <w:tblHeader/>
        </w:trPr>
        <w:tc>
          <w:tcPr>
            <w:tcW w:w="3119" w:type="dxa"/>
          </w:tcPr>
          <w:p w14:paraId="545AEC57" w14:textId="599E4883" w:rsidR="009611BE" w:rsidRPr="009C7327" w:rsidRDefault="000D1710" w:rsidP="002A4889">
            <w:pPr>
              <w:pStyle w:val="BodyText"/>
              <w:spacing w:after="0" w:line="240" w:lineRule="auto"/>
              <w:jc w:val="center"/>
              <w:rPr>
                <w:sz w:val="20"/>
                <w:szCs w:val="20"/>
              </w:rPr>
            </w:pPr>
            <w:r w:rsidRPr="009C7327">
              <w:rPr>
                <w:sz w:val="20"/>
                <w:szCs w:val="20"/>
              </w:rPr>
              <w:lastRenderedPageBreak/>
              <w:t>Category A</w:t>
            </w:r>
            <w:r w:rsidR="009611BE" w:rsidRPr="009C7327">
              <w:rPr>
                <w:sz w:val="20"/>
                <w:szCs w:val="20"/>
              </w:rPr>
              <w:t>:</w:t>
            </w:r>
          </w:p>
          <w:p w14:paraId="4EECE47D" w14:textId="77777777" w:rsidR="000D1710" w:rsidRPr="009C7327" w:rsidRDefault="000D1710" w:rsidP="002A4889">
            <w:pPr>
              <w:pStyle w:val="BodyText"/>
              <w:spacing w:after="0" w:line="240" w:lineRule="auto"/>
              <w:jc w:val="center"/>
              <w:rPr>
                <w:sz w:val="20"/>
                <w:szCs w:val="20"/>
              </w:rPr>
            </w:pPr>
            <w:r w:rsidRPr="009C7327">
              <w:rPr>
                <w:sz w:val="20"/>
                <w:szCs w:val="20"/>
              </w:rPr>
              <w:t>Local expertise</w:t>
            </w:r>
          </w:p>
        </w:tc>
        <w:tc>
          <w:tcPr>
            <w:tcW w:w="4111" w:type="dxa"/>
          </w:tcPr>
          <w:p w14:paraId="776E3EED" w14:textId="027720EB" w:rsidR="009611BE" w:rsidRPr="009C7327" w:rsidRDefault="000D1710" w:rsidP="002A4889">
            <w:pPr>
              <w:pStyle w:val="BodyText"/>
              <w:spacing w:after="0" w:line="240" w:lineRule="auto"/>
              <w:jc w:val="center"/>
              <w:rPr>
                <w:sz w:val="20"/>
                <w:szCs w:val="20"/>
              </w:rPr>
            </w:pPr>
            <w:r w:rsidRPr="009C7327">
              <w:rPr>
                <w:sz w:val="20"/>
                <w:szCs w:val="20"/>
              </w:rPr>
              <w:t>Category B</w:t>
            </w:r>
            <w:r w:rsidR="009611BE" w:rsidRPr="009C7327">
              <w:rPr>
                <w:sz w:val="20"/>
                <w:szCs w:val="20"/>
              </w:rPr>
              <w:t>:</w:t>
            </w:r>
          </w:p>
          <w:p w14:paraId="4690C332" w14:textId="77777777" w:rsidR="00034F35" w:rsidRPr="009C7327" w:rsidRDefault="000D1710" w:rsidP="002A4889">
            <w:pPr>
              <w:pStyle w:val="BodyText"/>
              <w:spacing w:after="0" w:line="240" w:lineRule="auto"/>
              <w:jc w:val="center"/>
              <w:rPr>
                <w:sz w:val="20"/>
                <w:szCs w:val="20"/>
              </w:rPr>
            </w:pPr>
            <w:r w:rsidRPr="009C7327">
              <w:rPr>
                <w:sz w:val="20"/>
                <w:szCs w:val="20"/>
              </w:rPr>
              <w:t>Review, advice and</w:t>
            </w:r>
          </w:p>
          <w:p w14:paraId="3A7492CC" w14:textId="77777777" w:rsidR="00034F35" w:rsidRPr="009C7327" w:rsidRDefault="000D1710" w:rsidP="002A4889">
            <w:pPr>
              <w:pStyle w:val="BodyText"/>
              <w:spacing w:after="0" w:line="240" w:lineRule="auto"/>
              <w:jc w:val="center"/>
              <w:rPr>
                <w:sz w:val="20"/>
                <w:szCs w:val="20"/>
              </w:rPr>
            </w:pPr>
            <w:r w:rsidRPr="009C7327">
              <w:rPr>
                <w:sz w:val="20"/>
                <w:szCs w:val="20"/>
              </w:rPr>
              <w:t>guidance from</w:t>
            </w:r>
          </w:p>
          <w:p w14:paraId="3CA1600B" w14:textId="35E10956" w:rsidR="000D1710" w:rsidRPr="009C7327" w:rsidRDefault="009611BE" w:rsidP="002A4889">
            <w:pPr>
              <w:pStyle w:val="BodyText"/>
              <w:spacing w:after="0" w:line="240" w:lineRule="auto"/>
              <w:jc w:val="center"/>
              <w:rPr>
                <w:sz w:val="20"/>
                <w:szCs w:val="20"/>
              </w:rPr>
            </w:pPr>
            <w:r w:rsidRPr="009C7327">
              <w:rPr>
                <w:sz w:val="20"/>
                <w:szCs w:val="20"/>
              </w:rPr>
              <w:t>m</w:t>
            </w:r>
            <w:r w:rsidR="000D1710" w:rsidRPr="009C7327">
              <w:rPr>
                <w:sz w:val="20"/>
                <w:szCs w:val="20"/>
              </w:rPr>
              <w:t xml:space="preserve">aternal </w:t>
            </w:r>
            <w:r w:rsidRPr="009C7327">
              <w:rPr>
                <w:sz w:val="20"/>
                <w:szCs w:val="20"/>
              </w:rPr>
              <w:t>m</w:t>
            </w:r>
            <w:r w:rsidR="000D1710" w:rsidRPr="009C7327">
              <w:rPr>
                <w:sz w:val="20"/>
                <w:szCs w:val="20"/>
              </w:rPr>
              <w:t xml:space="preserve">edicine </w:t>
            </w:r>
            <w:r w:rsidRPr="009C7327">
              <w:rPr>
                <w:sz w:val="20"/>
                <w:szCs w:val="20"/>
              </w:rPr>
              <w:t>c</w:t>
            </w:r>
            <w:r w:rsidR="000D1710" w:rsidRPr="009C7327">
              <w:rPr>
                <w:sz w:val="20"/>
                <w:szCs w:val="20"/>
              </w:rPr>
              <w:t>entre</w:t>
            </w:r>
          </w:p>
        </w:tc>
        <w:tc>
          <w:tcPr>
            <w:tcW w:w="3119" w:type="dxa"/>
          </w:tcPr>
          <w:p w14:paraId="0A6413B5" w14:textId="682915C4" w:rsidR="009611BE" w:rsidRPr="009C7327" w:rsidRDefault="000D1710" w:rsidP="002A4889">
            <w:pPr>
              <w:pStyle w:val="BodyText"/>
              <w:spacing w:after="0" w:line="240" w:lineRule="auto"/>
              <w:jc w:val="center"/>
              <w:rPr>
                <w:sz w:val="20"/>
                <w:szCs w:val="20"/>
              </w:rPr>
            </w:pPr>
            <w:r w:rsidRPr="009C7327">
              <w:rPr>
                <w:sz w:val="20"/>
                <w:szCs w:val="20"/>
              </w:rPr>
              <w:t>Category C</w:t>
            </w:r>
            <w:r w:rsidR="009611BE" w:rsidRPr="009C7327">
              <w:rPr>
                <w:sz w:val="20"/>
                <w:szCs w:val="20"/>
              </w:rPr>
              <w:t>:</w:t>
            </w:r>
          </w:p>
          <w:p w14:paraId="75E22928" w14:textId="1CFF4A7D" w:rsidR="000D1710" w:rsidRPr="009C7327" w:rsidRDefault="000D1710" w:rsidP="002A4889">
            <w:pPr>
              <w:pStyle w:val="BodyText"/>
              <w:spacing w:after="0" w:line="240" w:lineRule="auto"/>
              <w:jc w:val="center"/>
              <w:rPr>
                <w:sz w:val="20"/>
                <w:szCs w:val="20"/>
              </w:rPr>
            </w:pPr>
            <w:r w:rsidRPr="009C7327">
              <w:rPr>
                <w:sz w:val="20"/>
                <w:szCs w:val="20"/>
              </w:rPr>
              <w:t xml:space="preserve">Care led by </w:t>
            </w:r>
            <w:r w:rsidR="009611BE" w:rsidRPr="009C7327">
              <w:rPr>
                <w:sz w:val="20"/>
                <w:szCs w:val="20"/>
              </w:rPr>
              <w:t>m</w:t>
            </w:r>
            <w:r w:rsidRPr="009C7327">
              <w:rPr>
                <w:sz w:val="20"/>
                <w:szCs w:val="20"/>
              </w:rPr>
              <w:t xml:space="preserve">aternal </w:t>
            </w:r>
            <w:r w:rsidR="009611BE" w:rsidRPr="009C7327">
              <w:rPr>
                <w:sz w:val="20"/>
                <w:szCs w:val="20"/>
              </w:rPr>
              <w:t>m</w:t>
            </w:r>
            <w:r w:rsidRPr="009C7327">
              <w:rPr>
                <w:sz w:val="20"/>
                <w:szCs w:val="20"/>
              </w:rPr>
              <w:t xml:space="preserve">edicine </w:t>
            </w:r>
            <w:r w:rsidR="009611BE" w:rsidRPr="009C7327">
              <w:rPr>
                <w:sz w:val="20"/>
                <w:szCs w:val="20"/>
              </w:rPr>
              <w:t>c</w:t>
            </w:r>
            <w:r w:rsidRPr="009C7327">
              <w:rPr>
                <w:sz w:val="20"/>
                <w:szCs w:val="20"/>
              </w:rPr>
              <w:t>entre</w:t>
            </w:r>
          </w:p>
        </w:tc>
      </w:tr>
      <w:tr w:rsidR="003C52CD" w:rsidRPr="009C7327" w14:paraId="67983774" w14:textId="77777777" w:rsidTr="009C7327">
        <w:trPr>
          <w:cnfStyle w:val="000000100000" w:firstRow="0" w:lastRow="0" w:firstColumn="0" w:lastColumn="0" w:oddVBand="0" w:evenVBand="0" w:oddHBand="1" w:evenHBand="0" w:firstRowFirstColumn="0" w:firstRowLastColumn="0" w:lastRowFirstColumn="0" w:lastRowLastColumn="0"/>
          <w:cantSplit/>
          <w:trHeight w:val="280"/>
        </w:trPr>
        <w:tc>
          <w:tcPr>
            <w:tcW w:w="10351" w:type="dxa"/>
            <w:gridSpan w:val="3"/>
            <w:shd w:val="clear" w:color="auto" w:fill="D9D9D9" w:themeFill="background1" w:themeFillShade="D9"/>
          </w:tcPr>
          <w:p w14:paraId="0DBB5AD4" w14:textId="5B4CF29B" w:rsidR="003C52CD" w:rsidRPr="009C7327" w:rsidRDefault="003C52CD" w:rsidP="002A4889">
            <w:pPr>
              <w:pStyle w:val="BodyText"/>
              <w:spacing w:after="0" w:line="240" w:lineRule="auto"/>
              <w:jc w:val="center"/>
              <w:rPr>
                <w:sz w:val="20"/>
                <w:szCs w:val="20"/>
              </w:rPr>
            </w:pPr>
            <w:r w:rsidRPr="009C7327">
              <w:rPr>
                <w:b/>
                <w:sz w:val="20"/>
                <w:szCs w:val="20"/>
              </w:rPr>
              <w:t>Heart disease</w:t>
            </w:r>
          </w:p>
        </w:tc>
      </w:tr>
      <w:tr w:rsidR="000D1710" w:rsidRPr="009C7327" w14:paraId="46193C67" w14:textId="77777777" w:rsidTr="009C7327">
        <w:trPr>
          <w:cantSplit/>
          <w:trHeight w:val="753"/>
        </w:trPr>
        <w:tc>
          <w:tcPr>
            <w:tcW w:w="3119" w:type="dxa"/>
            <w:shd w:val="clear" w:color="auto" w:fill="CCD6E7"/>
            <w:vAlign w:val="center"/>
            <w:hideMark/>
          </w:tcPr>
          <w:p w14:paraId="55943F12" w14:textId="77777777" w:rsidR="000D1710" w:rsidRPr="009C7327" w:rsidRDefault="000D1710" w:rsidP="009611BE">
            <w:pPr>
              <w:pStyle w:val="BodyText"/>
              <w:spacing w:after="0" w:line="240" w:lineRule="auto"/>
              <w:rPr>
                <w:sz w:val="20"/>
                <w:szCs w:val="20"/>
              </w:rPr>
            </w:pPr>
            <w:r w:rsidRPr="009C7327">
              <w:rPr>
                <w:sz w:val="20"/>
                <w:szCs w:val="20"/>
              </w:rPr>
              <w:t>Mild pulmonary stenosis</w:t>
            </w:r>
          </w:p>
        </w:tc>
        <w:tc>
          <w:tcPr>
            <w:tcW w:w="4111" w:type="dxa"/>
            <w:shd w:val="clear" w:color="auto" w:fill="CCD6E7"/>
            <w:vAlign w:val="center"/>
            <w:hideMark/>
          </w:tcPr>
          <w:p w14:paraId="33447EE4" w14:textId="77777777" w:rsidR="000D1710" w:rsidRPr="009C7327" w:rsidRDefault="000D1710" w:rsidP="009611BE">
            <w:pPr>
              <w:pStyle w:val="BodyText"/>
              <w:spacing w:after="0" w:line="240" w:lineRule="auto"/>
              <w:rPr>
                <w:sz w:val="20"/>
                <w:szCs w:val="20"/>
              </w:rPr>
            </w:pPr>
            <w:r w:rsidRPr="009C7327">
              <w:rPr>
                <w:sz w:val="20"/>
                <w:szCs w:val="20"/>
              </w:rPr>
              <w:t>Mild reduced left ventricular ejection fraction (&gt;45%)</w:t>
            </w:r>
          </w:p>
        </w:tc>
        <w:tc>
          <w:tcPr>
            <w:tcW w:w="3119" w:type="dxa"/>
            <w:shd w:val="clear" w:color="auto" w:fill="CCD6E7"/>
            <w:vAlign w:val="center"/>
            <w:hideMark/>
          </w:tcPr>
          <w:p w14:paraId="65C4B323" w14:textId="77777777" w:rsidR="000D1710" w:rsidRPr="009C7327" w:rsidRDefault="000D1710" w:rsidP="009611BE">
            <w:pPr>
              <w:pStyle w:val="BodyText"/>
              <w:spacing w:after="0" w:line="240" w:lineRule="auto"/>
              <w:rPr>
                <w:sz w:val="20"/>
                <w:szCs w:val="20"/>
              </w:rPr>
            </w:pPr>
            <w:r w:rsidRPr="009C7327">
              <w:rPr>
                <w:sz w:val="20"/>
                <w:szCs w:val="20"/>
              </w:rPr>
              <w:t>Pulmonary hypertension</w:t>
            </w:r>
          </w:p>
        </w:tc>
      </w:tr>
      <w:tr w:rsidR="000D1710" w:rsidRPr="009C7327" w14:paraId="772D18B0" w14:textId="77777777" w:rsidTr="009C7327">
        <w:trPr>
          <w:cnfStyle w:val="000000100000" w:firstRow="0" w:lastRow="0" w:firstColumn="0" w:lastColumn="0" w:oddVBand="0" w:evenVBand="0" w:oddHBand="1" w:evenHBand="0" w:firstRowFirstColumn="0" w:firstRowLastColumn="0" w:lastRowFirstColumn="0" w:lastRowLastColumn="0"/>
          <w:cantSplit/>
          <w:trHeight w:val="753"/>
        </w:trPr>
        <w:tc>
          <w:tcPr>
            <w:tcW w:w="3119" w:type="dxa"/>
            <w:vAlign w:val="center"/>
            <w:hideMark/>
          </w:tcPr>
          <w:p w14:paraId="512F0A77" w14:textId="77777777" w:rsidR="000D1710" w:rsidRPr="009C7327" w:rsidRDefault="000D1710" w:rsidP="009611BE">
            <w:pPr>
              <w:pStyle w:val="BodyText"/>
              <w:spacing w:after="0" w:line="240" w:lineRule="auto"/>
              <w:rPr>
                <w:sz w:val="20"/>
                <w:szCs w:val="20"/>
              </w:rPr>
            </w:pPr>
            <w:r w:rsidRPr="009C7327">
              <w:rPr>
                <w:sz w:val="20"/>
                <w:szCs w:val="20"/>
              </w:rPr>
              <w:t>Small/repaired patent ductus arteriosus</w:t>
            </w:r>
          </w:p>
        </w:tc>
        <w:tc>
          <w:tcPr>
            <w:tcW w:w="4111" w:type="dxa"/>
            <w:vAlign w:val="center"/>
            <w:hideMark/>
          </w:tcPr>
          <w:p w14:paraId="14B16946" w14:textId="77777777" w:rsidR="000D1710" w:rsidRPr="009C7327" w:rsidRDefault="000D1710" w:rsidP="009611BE">
            <w:pPr>
              <w:pStyle w:val="BodyText"/>
              <w:spacing w:after="0" w:line="240" w:lineRule="auto"/>
              <w:rPr>
                <w:sz w:val="20"/>
                <w:szCs w:val="20"/>
              </w:rPr>
            </w:pPr>
            <w:r w:rsidRPr="009C7327">
              <w:rPr>
                <w:sz w:val="20"/>
                <w:szCs w:val="20"/>
              </w:rPr>
              <w:t>Hypertrophic cardiomyopathy with no high-risk features</w:t>
            </w:r>
          </w:p>
        </w:tc>
        <w:tc>
          <w:tcPr>
            <w:tcW w:w="3119" w:type="dxa"/>
            <w:vAlign w:val="center"/>
            <w:hideMark/>
          </w:tcPr>
          <w:p w14:paraId="75206770" w14:textId="77777777" w:rsidR="000D1710" w:rsidRPr="009C7327" w:rsidRDefault="000D1710" w:rsidP="009611BE">
            <w:pPr>
              <w:pStyle w:val="BodyText"/>
              <w:spacing w:after="0" w:line="240" w:lineRule="auto"/>
              <w:rPr>
                <w:sz w:val="20"/>
                <w:szCs w:val="20"/>
              </w:rPr>
            </w:pPr>
            <w:r w:rsidRPr="009C7327">
              <w:rPr>
                <w:sz w:val="20"/>
                <w:szCs w:val="20"/>
              </w:rPr>
              <w:t>Left ventricular ejection fraction &lt;45%</w:t>
            </w:r>
          </w:p>
        </w:tc>
      </w:tr>
      <w:tr w:rsidR="000D1710" w:rsidRPr="009C7327" w14:paraId="72D16EC8" w14:textId="77777777" w:rsidTr="009C7327">
        <w:trPr>
          <w:cantSplit/>
          <w:trHeight w:val="376"/>
        </w:trPr>
        <w:tc>
          <w:tcPr>
            <w:tcW w:w="3119" w:type="dxa"/>
            <w:shd w:val="clear" w:color="auto" w:fill="CCD6E7"/>
            <w:vAlign w:val="center"/>
            <w:hideMark/>
          </w:tcPr>
          <w:p w14:paraId="18191273" w14:textId="77777777" w:rsidR="000D1710" w:rsidRPr="009C7327" w:rsidRDefault="000D1710" w:rsidP="009611BE">
            <w:pPr>
              <w:pStyle w:val="BodyText"/>
              <w:spacing w:after="0" w:line="240" w:lineRule="auto"/>
              <w:rPr>
                <w:sz w:val="20"/>
                <w:szCs w:val="20"/>
              </w:rPr>
            </w:pPr>
            <w:r w:rsidRPr="009C7327">
              <w:rPr>
                <w:sz w:val="20"/>
                <w:szCs w:val="20"/>
              </w:rPr>
              <w:t xml:space="preserve">Mitral valve </w:t>
            </w:r>
            <w:proofErr w:type="gramStart"/>
            <w:r w:rsidRPr="009C7327">
              <w:rPr>
                <w:sz w:val="20"/>
                <w:szCs w:val="20"/>
              </w:rPr>
              <w:t>prolapse</w:t>
            </w:r>
            <w:proofErr w:type="gramEnd"/>
          </w:p>
        </w:tc>
        <w:tc>
          <w:tcPr>
            <w:tcW w:w="4111" w:type="dxa"/>
            <w:shd w:val="clear" w:color="auto" w:fill="CCD6E7"/>
            <w:vAlign w:val="center"/>
            <w:hideMark/>
          </w:tcPr>
          <w:p w14:paraId="14E578A8" w14:textId="13236508" w:rsidR="000D1710" w:rsidRPr="009C7327" w:rsidRDefault="000D1710" w:rsidP="009611BE">
            <w:pPr>
              <w:pStyle w:val="BodyText"/>
              <w:spacing w:after="0" w:line="240" w:lineRule="auto"/>
              <w:rPr>
                <w:sz w:val="20"/>
                <w:szCs w:val="20"/>
              </w:rPr>
            </w:pPr>
            <w:r w:rsidRPr="009C7327">
              <w:rPr>
                <w:sz w:val="20"/>
                <w:szCs w:val="20"/>
              </w:rPr>
              <w:t>Repaired aortic coarctation</w:t>
            </w:r>
          </w:p>
        </w:tc>
        <w:tc>
          <w:tcPr>
            <w:tcW w:w="3119" w:type="dxa"/>
            <w:shd w:val="clear" w:color="auto" w:fill="CCD6E7"/>
            <w:vAlign w:val="center"/>
            <w:hideMark/>
          </w:tcPr>
          <w:p w14:paraId="42528552" w14:textId="77777777" w:rsidR="000D1710" w:rsidRPr="009C7327" w:rsidRDefault="000D1710" w:rsidP="009611BE">
            <w:pPr>
              <w:pStyle w:val="BodyText"/>
              <w:spacing w:after="0" w:line="240" w:lineRule="auto"/>
              <w:rPr>
                <w:sz w:val="20"/>
                <w:szCs w:val="20"/>
              </w:rPr>
            </w:pPr>
            <w:r w:rsidRPr="009C7327">
              <w:rPr>
                <w:sz w:val="20"/>
                <w:szCs w:val="20"/>
              </w:rPr>
              <w:t>Severe aortic stenosis</w:t>
            </w:r>
          </w:p>
        </w:tc>
      </w:tr>
      <w:tr w:rsidR="000D1710" w:rsidRPr="009C7327" w14:paraId="1ADFAE5C"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vAlign w:val="center"/>
            <w:hideMark/>
          </w:tcPr>
          <w:p w14:paraId="6793E03F" w14:textId="77777777" w:rsidR="000D1710" w:rsidRPr="009C7327" w:rsidRDefault="000D1710" w:rsidP="009611BE">
            <w:pPr>
              <w:pStyle w:val="BodyText"/>
              <w:spacing w:after="0" w:line="240" w:lineRule="auto"/>
              <w:rPr>
                <w:sz w:val="20"/>
                <w:szCs w:val="20"/>
              </w:rPr>
            </w:pPr>
            <w:r w:rsidRPr="009C7327">
              <w:rPr>
                <w:sz w:val="20"/>
                <w:szCs w:val="20"/>
              </w:rPr>
              <w:t>Repaired atrial septal defect</w:t>
            </w:r>
          </w:p>
        </w:tc>
        <w:tc>
          <w:tcPr>
            <w:tcW w:w="4111" w:type="dxa"/>
            <w:vAlign w:val="center"/>
            <w:hideMark/>
          </w:tcPr>
          <w:p w14:paraId="2F0EB8D0" w14:textId="77777777" w:rsidR="000D1710" w:rsidRPr="009C7327" w:rsidRDefault="000D1710" w:rsidP="009611BE">
            <w:pPr>
              <w:pStyle w:val="BodyText"/>
              <w:spacing w:after="0" w:line="240" w:lineRule="auto"/>
              <w:rPr>
                <w:sz w:val="20"/>
                <w:szCs w:val="20"/>
              </w:rPr>
            </w:pPr>
            <w:r w:rsidRPr="009C7327">
              <w:rPr>
                <w:sz w:val="20"/>
                <w:szCs w:val="20"/>
              </w:rPr>
              <w:t>Mild mitral stenosis</w:t>
            </w:r>
          </w:p>
        </w:tc>
        <w:tc>
          <w:tcPr>
            <w:tcW w:w="3119" w:type="dxa"/>
            <w:vAlign w:val="center"/>
            <w:hideMark/>
          </w:tcPr>
          <w:p w14:paraId="62D4DAED" w14:textId="77777777" w:rsidR="000D1710" w:rsidRPr="009C7327" w:rsidRDefault="000D1710" w:rsidP="009611BE">
            <w:pPr>
              <w:pStyle w:val="BodyText"/>
              <w:spacing w:after="0" w:line="240" w:lineRule="auto"/>
              <w:rPr>
                <w:sz w:val="20"/>
                <w:szCs w:val="20"/>
              </w:rPr>
            </w:pPr>
            <w:r w:rsidRPr="009C7327">
              <w:rPr>
                <w:sz w:val="20"/>
                <w:szCs w:val="20"/>
              </w:rPr>
              <w:t>Systemic right ventricle</w:t>
            </w:r>
          </w:p>
        </w:tc>
      </w:tr>
      <w:tr w:rsidR="000D1710" w:rsidRPr="009C7327" w14:paraId="7CD7F198" w14:textId="77777777" w:rsidTr="009C7327">
        <w:trPr>
          <w:cantSplit/>
          <w:trHeight w:val="376"/>
        </w:trPr>
        <w:tc>
          <w:tcPr>
            <w:tcW w:w="3119" w:type="dxa"/>
            <w:shd w:val="clear" w:color="auto" w:fill="CCD6E7"/>
            <w:vAlign w:val="center"/>
            <w:hideMark/>
          </w:tcPr>
          <w:p w14:paraId="1230C75B" w14:textId="77777777" w:rsidR="000D1710" w:rsidRPr="009C7327" w:rsidRDefault="000D1710" w:rsidP="009611BE">
            <w:pPr>
              <w:pStyle w:val="BodyText"/>
              <w:spacing w:after="0" w:line="240" w:lineRule="auto"/>
              <w:rPr>
                <w:sz w:val="20"/>
                <w:szCs w:val="20"/>
              </w:rPr>
            </w:pPr>
            <w:r w:rsidRPr="009C7327">
              <w:rPr>
                <w:sz w:val="20"/>
                <w:szCs w:val="20"/>
              </w:rPr>
              <w:t>Repaired ventricular septal defect</w:t>
            </w:r>
          </w:p>
        </w:tc>
        <w:tc>
          <w:tcPr>
            <w:tcW w:w="4111" w:type="dxa"/>
            <w:shd w:val="clear" w:color="auto" w:fill="CCD6E7"/>
            <w:vAlign w:val="center"/>
            <w:hideMark/>
          </w:tcPr>
          <w:p w14:paraId="745CAFEB" w14:textId="77777777" w:rsidR="000D1710" w:rsidRPr="009C7327" w:rsidRDefault="000D1710" w:rsidP="009611BE">
            <w:pPr>
              <w:pStyle w:val="BodyText"/>
              <w:spacing w:after="0" w:line="240" w:lineRule="auto"/>
              <w:rPr>
                <w:sz w:val="20"/>
                <w:szCs w:val="20"/>
              </w:rPr>
            </w:pPr>
            <w:r w:rsidRPr="009C7327">
              <w:rPr>
                <w:sz w:val="20"/>
                <w:szCs w:val="20"/>
              </w:rPr>
              <w:t>Mild-moderate aortic stenosis</w:t>
            </w:r>
          </w:p>
        </w:tc>
        <w:tc>
          <w:tcPr>
            <w:tcW w:w="3119" w:type="dxa"/>
            <w:shd w:val="clear" w:color="auto" w:fill="CCD6E7"/>
            <w:vAlign w:val="center"/>
            <w:hideMark/>
          </w:tcPr>
          <w:p w14:paraId="22D5BD9D" w14:textId="77777777" w:rsidR="000D1710" w:rsidRPr="009C7327" w:rsidRDefault="000D1710" w:rsidP="009611BE">
            <w:pPr>
              <w:pStyle w:val="BodyText"/>
              <w:spacing w:after="0" w:line="240" w:lineRule="auto"/>
              <w:rPr>
                <w:sz w:val="20"/>
                <w:szCs w:val="20"/>
              </w:rPr>
            </w:pPr>
            <w:r w:rsidRPr="009C7327">
              <w:rPr>
                <w:sz w:val="20"/>
                <w:szCs w:val="20"/>
              </w:rPr>
              <w:t>Fontan</w:t>
            </w:r>
          </w:p>
        </w:tc>
      </w:tr>
      <w:tr w:rsidR="000D1710" w:rsidRPr="009C7327" w14:paraId="1DA9BECD" w14:textId="77777777" w:rsidTr="009C7327">
        <w:trPr>
          <w:cnfStyle w:val="000000100000" w:firstRow="0" w:lastRow="0" w:firstColumn="0" w:lastColumn="0" w:oddVBand="0" w:evenVBand="0" w:oddHBand="1" w:evenHBand="0" w:firstRowFirstColumn="0" w:firstRowLastColumn="0" w:lastRowFirstColumn="0" w:lastRowLastColumn="0"/>
          <w:cantSplit/>
          <w:trHeight w:val="753"/>
        </w:trPr>
        <w:tc>
          <w:tcPr>
            <w:tcW w:w="3119" w:type="dxa"/>
            <w:vAlign w:val="center"/>
            <w:hideMark/>
          </w:tcPr>
          <w:p w14:paraId="035C51F4" w14:textId="42E72019" w:rsidR="000D1710" w:rsidRPr="009C7327" w:rsidRDefault="000D1710" w:rsidP="009611BE">
            <w:pPr>
              <w:pStyle w:val="BodyText"/>
              <w:spacing w:after="0" w:line="240" w:lineRule="auto"/>
              <w:rPr>
                <w:sz w:val="20"/>
                <w:szCs w:val="20"/>
              </w:rPr>
            </w:pPr>
            <w:r w:rsidRPr="009C7327">
              <w:rPr>
                <w:sz w:val="20"/>
                <w:szCs w:val="20"/>
              </w:rPr>
              <w:t>Isolated atrial or ventricular ectopic</w:t>
            </w:r>
            <w:r w:rsidR="00034F35" w:rsidRPr="009C7327">
              <w:rPr>
                <w:sz w:val="20"/>
                <w:szCs w:val="20"/>
              </w:rPr>
              <w:t xml:space="preserve"> </w:t>
            </w:r>
            <w:r w:rsidRPr="009C7327">
              <w:rPr>
                <w:sz w:val="20"/>
                <w:szCs w:val="20"/>
              </w:rPr>
              <w:t>beats</w:t>
            </w:r>
          </w:p>
        </w:tc>
        <w:tc>
          <w:tcPr>
            <w:tcW w:w="4111" w:type="dxa"/>
            <w:vAlign w:val="center"/>
            <w:hideMark/>
          </w:tcPr>
          <w:p w14:paraId="07C0A954" w14:textId="77777777" w:rsidR="000D1710" w:rsidRPr="009C7327" w:rsidRDefault="000D1710" w:rsidP="009611BE">
            <w:pPr>
              <w:pStyle w:val="BodyText"/>
              <w:spacing w:after="0" w:line="240" w:lineRule="auto"/>
              <w:rPr>
                <w:sz w:val="20"/>
                <w:szCs w:val="20"/>
              </w:rPr>
            </w:pPr>
            <w:r w:rsidRPr="009C7327">
              <w:rPr>
                <w:sz w:val="20"/>
                <w:szCs w:val="20"/>
              </w:rPr>
              <w:t>Other valve lesions not listed in A or C</w:t>
            </w:r>
          </w:p>
        </w:tc>
        <w:tc>
          <w:tcPr>
            <w:tcW w:w="3119" w:type="dxa"/>
            <w:vAlign w:val="center"/>
            <w:hideMark/>
          </w:tcPr>
          <w:p w14:paraId="052CAB06" w14:textId="77777777" w:rsidR="000D1710" w:rsidRPr="009C7327" w:rsidRDefault="000D1710" w:rsidP="009611BE">
            <w:pPr>
              <w:pStyle w:val="BodyText"/>
              <w:spacing w:after="0" w:line="240" w:lineRule="auto"/>
              <w:rPr>
                <w:sz w:val="20"/>
                <w:szCs w:val="20"/>
              </w:rPr>
            </w:pPr>
            <w:r w:rsidRPr="009C7327">
              <w:rPr>
                <w:sz w:val="20"/>
                <w:szCs w:val="20"/>
              </w:rPr>
              <w:t>Previous peripartum cardiomyopathy</w:t>
            </w:r>
          </w:p>
        </w:tc>
      </w:tr>
      <w:tr w:rsidR="000D1710" w:rsidRPr="009C7327" w14:paraId="69B4A41C" w14:textId="77777777" w:rsidTr="009C7327">
        <w:trPr>
          <w:cantSplit/>
          <w:trHeight w:val="376"/>
        </w:trPr>
        <w:tc>
          <w:tcPr>
            <w:tcW w:w="3119" w:type="dxa"/>
            <w:shd w:val="clear" w:color="auto" w:fill="CCD6E7"/>
            <w:vAlign w:val="center"/>
            <w:hideMark/>
          </w:tcPr>
          <w:p w14:paraId="14098C1A" w14:textId="77777777" w:rsidR="000D1710" w:rsidRPr="009C7327" w:rsidRDefault="000D1710" w:rsidP="009611BE">
            <w:pPr>
              <w:pStyle w:val="BodyText"/>
              <w:spacing w:after="0" w:line="240" w:lineRule="auto"/>
              <w:rPr>
                <w:sz w:val="20"/>
                <w:szCs w:val="20"/>
              </w:rPr>
            </w:pPr>
            <w:r w:rsidRPr="009C7327">
              <w:rPr>
                <w:sz w:val="20"/>
                <w:szCs w:val="20"/>
              </w:rPr>
              <w:t>Postural tachycardia syndrome (</w:t>
            </w:r>
            <w:proofErr w:type="spellStart"/>
            <w:r w:rsidRPr="009C7327">
              <w:rPr>
                <w:sz w:val="20"/>
                <w:szCs w:val="20"/>
              </w:rPr>
              <w:t>PoTS</w:t>
            </w:r>
            <w:proofErr w:type="spellEnd"/>
            <w:r w:rsidRPr="009C7327">
              <w:rPr>
                <w:sz w:val="20"/>
                <w:szCs w:val="20"/>
              </w:rPr>
              <w:t>)</w:t>
            </w:r>
          </w:p>
        </w:tc>
        <w:tc>
          <w:tcPr>
            <w:tcW w:w="4111" w:type="dxa"/>
            <w:shd w:val="clear" w:color="auto" w:fill="CCD6E7"/>
            <w:vAlign w:val="center"/>
            <w:hideMark/>
          </w:tcPr>
          <w:p w14:paraId="4D507BD0" w14:textId="77777777" w:rsidR="000D1710" w:rsidRPr="009C7327" w:rsidRDefault="000D1710" w:rsidP="009611BE">
            <w:pPr>
              <w:pStyle w:val="BodyText"/>
              <w:spacing w:after="0" w:line="240" w:lineRule="auto"/>
              <w:rPr>
                <w:sz w:val="20"/>
                <w:szCs w:val="20"/>
              </w:rPr>
            </w:pPr>
            <w:r w:rsidRPr="009C7327">
              <w:rPr>
                <w:sz w:val="20"/>
                <w:szCs w:val="20"/>
              </w:rPr>
              <w:t>Atrioventricular septal defect</w:t>
            </w:r>
          </w:p>
        </w:tc>
        <w:tc>
          <w:tcPr>
            <w:tcW w:w="3119" w:type="dxa"/>
            <w:shd w:val="clear" w:color="auto" w:fill="CCD6E7"/>
            <w:vAlign w:val="center"/>
            <w:hideMark/>
          </w:tcPr>
          <w:p w14:paraId="23AAC783" w14:textId="77777777" w:rsidR="000D1710" w:rsidRPr="009C7327" w:rsidRDefault="000D1710" w:rsidP="009611BE">
            <w:pPr>
              <w:pStyle w:val="BodyText"/>
              <w:spacing w:after="0" w:line="240" w:lineRule="auto"/>
              <w:rPr>
                <w:sz w:val="20"/>
                <w:szCs w:val="20"/>
              </w:rPr>
            </w:pPr>
            <w:r w:rsidRPr="009C7327">
              <w:rPr>
                <w:sz w:val="20"/>
                <w:szCs w:val="20"/>
              </w:rPr>
              <w:t>Ventricular arrhythmia</w:t>
            </w:r>
          </w:p>
        </w:tc>
      </w:tr>
      <w:tr w:rsidR="000D1710" w:rsidRPr="009C7327" w14:paraId="21BF4181"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vAlign w:val="center"/>
            <w:hideMark/>
          </w:tcPr>
          <w:p w14:paraId="5208B6DD" w14:textId="4FE7ABC3" w:rsidR="000D1710" w:rsidRPr="009C7327" w:rsidRDefault="000D1710" w:rsidP="009611BE">
            <w:pPr>
              <w:pStyle w:val="BodyText"/>
              <w:spacing w:after="0" w:line="240" w:lineRule="auto"/>
              <w:rPr>
                <w:sz w:val="20"/>
                <w:szCs w:val="20"/>
              </w:rPr>
            </w:pPr>
          </w:p>
        </w:tc>
        <w:tc>
          <w:tcPr>
            <w:tcW w:w="4111" w:type="dxa"/>
            <w:vAlign w:val="center"/>
            <w:hideMark/>
          </w:tcPr>
          <w:p w14:paraId="335C1D52" w14:textId="77777777" w:rsidR="000D1710" w:rsidRPr="009C7327" w:rsidRDefault="000D1710" w:rsidP="009611BE">
            <w:pPr>
              <w:pStyle w:val="BodyText"/>
              <w:spacing w:after="0" w:line="240" w:lineRule="auto"/>
              <w:rPr>
                <w:sz w:val="20"/>
                <w:szCs w:val="20"/>
              </w:rPr>
            </w:pPr>
            <w:r w:rsidRPr="009C7327">
              <w:rPr>
                <w:sz w:val="20"/>
                <w:szCs w:val="20"/>
              </w:rPr>
              <w:t>Repaired tetralogy of Fallot</w:t>
            </w:r>
          </w:p>
        </w:tc>
        <w:tc>
          <w:tcPr>
            <w:tcW w:w="3119" w:type="dxa"/>
            <w:vAlign w:val="center"/>
            <w:hideMark/>
          </w:tcPr>
          <w:p w14:paraId="6FDD8EE1" w14:textId="05B5391A" w:rsidR="000D1710" w:rsidRPr="009C7327" w:rsidRDefault="000D1710" w:rsidP="009611BE">
            <w:pPr>
              <w:pStyle w:val="BodyText"/>
              <w:spacing w:after="0" w:line="240" w:lineRule="auto"/>
              <w:rPr>
                <w:sz w:val="20"/>
                <w:szCs w:val="20"/>
              </w:rPr>
            </w:pPr>
            <w:r w:rsidRPr="009C7327">
              <w:rPr>
                <w:sz w:val="20"/>
                <w:szCs w:val="20"/>
              </w:rPr>
              <w:t>Mechanical valve</w:t>
            </w:r>
          </w:p>
        </w:tc>
      </w:tr>
      <w:tr w:rsidR="000D1710" w:rsidRPr="009C7327" w14:paraId="2B7F907A" w14:textId="77777777" w:rsidTr="009C7327">
        <w:trPr>
          <w:cantSplit/>
          <w:trHeight w:val="376"/>
        </w:trPr>
        <w:tc>
          <w:tcPr>
            <w:tcW w:w="3119" w:type="dxa"/>
            <w:shd w:val="clear" w:color="auto" w:fill="CCD6E7"/>
            <w:vAlign w:val="center"/>
            <w:hideMark/>
          </w:tcPr>
          <w:p w14:paraId="4140BDC4" w14:textId="145C4515" w:rsidR="000D1710" w:rsidRPr="009C7327" w:rsidRDefault="000D1710" w:rsidP="009611BE">
            <w:pPr>
              <w:pStyle w:val="BodyText"/>
              <w:spacing w:after="0" w:line="240" w:lineRule="auto"/>
              <w:rPr>
                <w:sz w:val="20"/>
                <w:szCs w:val="20"/>
              </w:rPr>
            </w:pPr>
          </w:p>
        </w:tc>
        <w:tc>
          <w:tcPr>
            <w:tcW w:w="4111" w:type="dxa"/>
            <w:shd w:val="clear" w:color="auto" w:fill="CCD6E7"/>
            <w:vAlign w:val="center"/>
            <w:hideMark/>
          </w:tcPr>
          <w:p w14:paraId="6BBCE21D" w14:textId="77777777" w:rsidR="000D1710" w:rsidRPr="009C7327" w:rsidRDefault="000D1710" w:rsidP="009611BE">
            <w:pPr>
              <w:pStyle w:val="BodyText"/>
              <w:spacing w:after="0" w:line="240" w:lineRule="auto"/>
              <w:rPr>
                <w:sz w:val="20"/>
                <w:szCs w:val="20"/>
              </w:rPr>
            </w:pPr>
            <w:r w:rsidRPr="009C7327">
              <w:rPr>
                <w:sz w:val="20"/>
                <w:szCs w:val="20"/>
              </w:rPr>
              <w:t>Supraventricular arrhythmias</w:t>
            </w:r>
          </w:p>
        </w:tc>
        <w:tc>
          <w:tcPr>
            <w:tcW w:w="3119" w:type="dxa"/>
            <w:shd w:val="clear" w:color="auto" w:fill="CCD6E7"/>
            <w:vAlign w:val="center"/>
            <w:hideMark/>
          </w:tcPr>
          <w:p w14:paraId="483B718A" w14:textId="32D2F7AB" w:rsidR="000D1710" w:rsidRPr="009C7327" w:rsidRDefault="000D1710" w:rsidP="009611BE">
            <w:pPr>
              <w:pStyle w:val="BodyText"/>
              <w:spacing w:after="0" w:line="240" w:lineRule="auto"/>
              <w:rPr>
                <w:sz w:val="20"/>
                <w:szCs w:val="20"/>
              </w:rPr>
            </w:pPr>
            <w:r w:rsidRPr="009C7327">
              <w:rPr>
                <w:sz w:val="20"/>
                <w:szCs w:val="20"/>
              </w:rPr>
              <w:t>Moderate-severe mitral stenosis</w:t>
            </w:r>
          </w:p>
        </w:tc>
      </w:tr>
      <w:tr w:rsidR="000D1710" w:rsidRPr="009C7327" w14:paraId="5E5AA2D7" w14:textId="77777777" w:rsidTr="009C7327">
        <w:trPr>
          <w:cnfStyle w:val="000000100000" w:firstRow="0" w:lastRow="0" w:firstColumn="0" w:lastColumn="0" w:oddVBand="0" w:evenVBand="0" w:oddHBand="1" w:evenHBand="0" w:firstRowFirstColumn="0" w:firstRowLastColumn="0" w:lastRowFirstColumn="0" w:lastRowLastColumn="0"/>
          <w:cantSplit/>
          <w:trHeight w:val="753"/>
        </w:trPr>
        <w:tc>
          <w:tcPr>
            <w:tcW w:w="3119" w:type="dxa"/>
            <w:vAlign w:val="center"/>
            <w:hideMark/>
          </w:tcPr>
          <w:p w14:paraId="57D66DE3" w14:textId="62742812" w:rsidR="000D1710" w:rsidRPr="009C7327" w:rsidRDefault="000D1710" w:rsidP="009611BE">
            <w:pPr>
              <w:pStyle w:val="BodyText"/>
              <w:spacing w:after="0" w:line="240" w:lineRule="auto"/>
              <w:rPr>
                <w:sz w:val="20"/>
                <w:szCs w:val="20"/>
              </w:rPr>
            </w:pPr>
          </w:p>
        </w:tc>
        <w:tc>
          <w:tcPr>
            <w:tcW w:w="4111" w:type="dxa"/>
            <w:vAlign w:val="center"/>
            <w:hideMark/>
          </w:tcPr>
          <w:p w14:paraId="584287F0" w14:textId="77777777" w:rsidR="000D1710" w:rsidRPr="009C7327" w:rsidRDefault="000D1710" w:rsidP="009611BE">
            <w:pPr>
              <w:pStyle w:val="BodyText"/>
              <w:spacing w:after="0" w:line="240" w:lineRule="auto"/>
              <w:rPr>
                <w:sz w:val="20"/>
                <w:szCs w:val="20"/>
              </w:rPr>
            </w:pPr>
            <w:r w:rsidRPr="009C7327">
              <w:rPr>
                <w:sz w:val="20"/>
                <w:szCs w:val="20"/>
              </w:rPr>
              <w:t>Turner syndrome without aortic dilatation</w:t>
            </w:r>
          </w:p>
        </w:tc>
        <w:tc>
          <w:tcPr>
            <w:tcW w:w="3119" w:type="dxa"/>
            <w:vAlign w:val="center"/>
            <w:hideMark/>
          </w:tcPr>
          <w:p w14:paraId="0B65E04D" w14:textId="77777777" w:rsidR="000D1710" w:rsidRPr="009C7327" w:rsidRDefault="000D1710" w:rsidP="009611BE">
            <w:pPr>
              <w:pStyle w:val="BodyText"/>
              <w:spacing w:after="0" w:line="240" w:lineRule="auto"/>
              <w:rPr>
                <w:sz w:val="20"/>
                <w:szCs w:val="20"/>
              </w:rPr>
            </w:pPr>
            <w:r w:rsidRPr="009C7327">
              <w:rPr>
                <w:sz w:val="20"/>
                <w:szCs w:val="20"/>
              </w:rPr>
              <w:t>Aortic dilatation</w:t>
            </w:r>
          </w:p>
        </w:tc>
      </w:tr>
      <w:tr w:rsidR="000D1710" w:rsidRPr="009C7327" w14:paraId="2AC4B127" w14:textId="77777777" w:rsidTr="009C7327">
        <w:trPr>
          <w:cantSplit/>
          <w:trHeight w:val="376"/>
        </w:trPr>
        <w:tc>
          <w:tcPr>
            <w:tcW w:w="3119" w:type="dxa"/>
            <w:shd w:val="clear" w:color="auto" w:fill="CCD6E7"/>
            <w:vAlign w:val="center"/>
            <w:hideMark/>
          </w:tcPr>
          <w:p w14:paraId="56260D23" w14:textId="1D322949" w:rsidR="000D1710" w:rsidRPr="009C7327" w:rsidRDefault="000D1710" w:rsidP="009611BE">
            <w:pPr>
              <w:pStyle w:val="BodyText"/>
              <w:spacing w:after="0" w:line="240" w:lineRule="auto"/>
              <w:rPr>
                <w:sz w:val="20"/>
                <w:szCs w:val="20"/>
              </w:rPr>
            </w:pPr>
          </w:p>
        </w:tc>
        <w:tc>
          <w:tcPr>
            <w:tcW w:w="4111" w:type="dxa"/>
            <w:shd w:val="clear" w:color="auto" w:fill="CCD6E7"/>
            <w:vAlign w:val="center"/>
            <w:hideMark/>
          </w:tcPr>
          <w:p w14:paraId="0CD2DB4C" w14:textId="77777777" w:rsidR="000D1710" w:rsidRPr="009C7327" w:rsidRDefault="000D1710" w:rsidP="009611BE">
            <w:pPr>
              <w:pStyle w:val="BodyText"/>
              <w:spacing w:after="0" w:line="240" w:lineRule="auto"/>
              <w:rPr>
                <w:sz w:val="20"/>
                <w:szCs w:val="20"/>
              </w:rPr>
            </w:pPr>
            <w:r w:rsidRPr="009C7327">
              <w:rPr>
                <w:sz w:val="20"/>
                <w:szCs w:val="20"/>
              </w:rPr>
              <w:t>Treated ischaemic heart disease</w:t>
            </w:r>
          </w:p>
        </w:tc>
        <w:tc>
          <w:tcPr>
            <w:tcW w:w="3119" w:type="dxa"/>
            <w:shd w:val="clear" w:color="auto" w:fill="CCD6E7"/>
            <w:vAlign w:val="center"/>
            <w:hideMark/>
          </w:tcPr>
          <w:p w14:paraId="1033B573" w14:textId="28669AD4" w:rsidR="000D1710" w:rsidRPr="009C7327" w:rsidRDefault="000D1710" w:rsidP="009611BE">
            <w:pPr>
              <w:pStyle w:val="BodyText"/>
              <w:spacing w:after="0" w:line="240" w:lineRule="auto"/>
              <w:rPr>
                <w:sz w:val="20"/>
                <w:szCs w:val="20"/>
              </w:rPr>
            </w:pPr>
            <w:r w:rsidRPr="009C7327">
              <w:rPr>
                <w:sz w:val="20"/>
                <w:szCs w:val="20"/>
              </w:rPr>
              <w:t>Heart transplant</w:t>
            </w:r>
          </w:p>
        </w:tc>
      </w:tr>
      <w:tr w:rsidR="000D1710" w:rsidRPr="009C7327" w14:paraId="3DFC7331"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vAlign w:val="center"/>
            <w:hideMark/>
          </w:tcPr>
          <w:p w14:paraId="56CCFDBB" w14:textId="034E9188" w:rsidR="000D1710" w:rsidRPr="009C7327" w:rsidRDefault="000D1710" w:rsidP="009611BE">
            <w:pPr>
              <w:pStyle w:val="BodyText"/>
              <w:spacing w:after="0" w:line="240" w:lineRule="auto"/>
              <w:rPr>
                <w:sz w:val="20"/>
                <w:szCs w:val="20"/>
              </w:rPr>
            </w:pPr>
          </w:p>
        </w:tc>
        <w:tc>
          <w:tcPr>
            <w:tcW w:w="4111" w:type="dxa"/>
            <w:vAlign w:val="center"/>
            <w:hideMark/>
          </w:tcPr>
          <w:p w14:paraId="112EE39A" w14:textId="77777777" w:rsidR="000D1710" w:rsidRPr="009C7327" w:rsidRDefault="000D1710" w:rsidP="009611BE">
            <w:pPr>
              <w:pStyle w:val="BodyText"/>
              <w:spacing w:after="0" w:line="240" w:lineRule="auto"/>
              <w:rPr>
                <w:sz w:val="20"/>
                <w:szCs w:val="20"/>
              </w:rPr>
            </w:pPr>
            <w:r w:rsidRPr="009C7327">
              <w:rPr>
                <w:sz w:val="20"/>
                <w:szCs w:val="20"/>
              </w:rPr>
              <w:t>Myocarditis</w:t>
            </w:r>
          </w:p>
        </w:tc>
        <w:tc>
          <w:tcPr>
            <w:tcW w:w="3119" w:type="dxa"/>
            <w:vAlign w:val="center"/>
            <w:hideMark/>
          </w:tcPr>
          <w:p w14:paraId="4EDE374D" w14:textId="77777777" w:rsidR="000D1710" w:rsidRPr="009C7327" w:rsidRDefault="000D1710" w:rsidP="009611BE">
            <w:pPr>
              <w:pStyle w:val="BodyText"/>
              <w:spacing w:after="0" w:line="240" w:lineRule="auto"/>
              <w:rPr>
                <w:sz w:val="20"/>
                <w:szCs w:val="20"/>
              </w:rPr>
            </w:pPr>
            <w:r w:rsidRPr="009C7327">
              <w:rPr>
                <w:sz w:val="20"/>
                <w:szCs w:val="20"/>
              </w:rPr>
              <w:t>New ischaemic heart disease</w:t>
            </w:r>
          </w:p>
        </w:tc>
      </w:tr>
      <w:tr w:rsidR="003C52CD" w:rsidRPr="009C7327" w14:paraId="12683AE1" w14:textId="77777777" w:rsidTr="009C7327">
        <w:trPr>
          <w:cantSplit/>
          <w:trHeight w:val="376"/>
        </w:trPr>
        <w:tc>
          <w:tcPr>
            <w:tcW w:w="10351" w:type="dxa"/>
            <w:gridSpan w:val="3"/>
            <w:shd w:val="clear" w:color="auto" w:fill="D9D9D9" w:themeFill="background1" w:themeFillShade="D9"/>
            <w:vAlign w:val="center"/>
          </w:tcPr>
          <w:p w14:paraId="1CB2CCD1" w14:textId="41F49DC1" w:rsidR="003C52CD" w:rsidRPr="009C7327" w:rsidRDefault="003C52CD" w:rsidP="009C7327">
            <w:pPr>
              <w:pStyle w:val="BodyText"/>
              <w:keepNext/>
              <w:spacing w:after="0" w:line="240" w:lineRule="auto"/>
              <w:jc w:val="center"/>
              <w:rPr>
                <w:sz w:val="20"/>
                <w:szCs w:val="20"/>
              </w:rPr>
            </w:pPr>
            <w:r w:rsidRPr="009C7327">
              <w:rPr>
                <w:b/>
                <w:sz w:val="20"/>
                <w:szCs w:val="20"/>
              </w:rPr>
              <w:t>Lung disease</w:t>
            </w:r>
          </w:p>
        </w:tc>
      </w:tr>
      <w:tr w:rsidR="000D1710" w:rsidRPr="009C7327" w14:paraId="621B5DB5"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shd w:val="clear" w:color="auto" w:fill="auto"/>
            <w:vAlign w:val="center"/>
          </w:tcPr>
          <w:p w14:paraId="43A7921E" w14:textId="77777777" w:rsidR="000D1710" w:rsidRPr="009C7327" w:rsidRDefault="000D1710" w:rsidP="009C7327">
            <w:pPr>
              <w:pStyle w:val="BodyText"/>
              <w:keepNext/>
              <w:spacing w:after="0" w:line="240" w:lineRule="auto"/>
              <w:rPr>
                <w:sz w:val="20"/>
                <w:szCs w:val="20"/>
              </w:rPr>
            </w:pPr>
            <w:r w:rsidRPr="009C7327">
              <w:rPr>
                <w:color w:val="231F20" w:themeColor="text1"/>
                <w:kern w:val="24"/>
                <w:sz w:val="20"/>
                <w:szCs w:val="20"/>
              </w:rPr>
              <w:t>Uncomplicated Asthma</w:t>
            </w:r>
          </w:p>
        </w:tc>
        <w:tc>
          <w:tcPr>
            <w:tcW w:w="4111" w:type="dxa"/>
            <w:shd w:val="clear" w:color="auto" w:fill="auto"/>
            <w:vAlign w:val="center"/>
          </w:tcPr>
          <w:p w14:paraId="4BE82274" w14:textId="77777777" w:rsidR="00034F35" w:rsidRPr="009C7327" w:rsidRDefault="000D1710" w:rsidP="009C7327">
            <w:pPr>
              <w:pStyle w:val="BodyText"/>
              <w:keepNext/>
              <w:spacing w:after="0" w:line="240" w:lineRule="auto"/>
              <w:rPr>
                <w:color w:val="231F20" w:themeColor="text1"/>
                <w:kern w:val="24"/>
                <w:sz w:val="20"/>
                <w:szCs w:val="20"/>
              </w:rPr>
            </w:pPr>
            <w:r w:rsidRPr="009C7327">
              <w:rPr>
                <w:color w:val="231F20" w:themeColor="text1"/>
                <w:kern w:val="24"/>
                <w:sz w:val="20"/>
                <w:szCs w:val="20"/>
              </w:rPr>
              <w:t>Complicated asthma:</w:t>
            </w:r>
          </w:p>
          <w:p w14:paraId="498DDF8D" w14:textId="25306039" w:rsidR="000D1710" w:rsidRPr="009C7327" w:rsidRDefault="000D1710" w:rsidP="009C7327">
            <w:pPr>
              <w:pStyle w:val="BodyText"/>
              <w:keepNext/>
              <w:numPr>
                <w:ilvl w:val="0"/>
                <w:numId w:val="34"/>
              </w:numPr>
              <w:spacing w:after="0" w:line="240" w:lineRule="auto"/>
              <w:ind w:left="247" w:hanging="218"/>
              <w:rPr>
                <w:sz w:val="20"/>
                <w:szCs w:val="20"/>
              </w:rPr>
            </w:pPr>
            <w:r w:rsidRPr="009C7327">
              <w:rPr>
                <w:color w:val="231F20" w:themeColor="text1"/>
                <w:kern w:val="24"/>
                <w:sz w:val="20"/>
                <w:szCs w:val="20"/>
              </w:rPr>
              <w:t>Repeated presentations of asthma (≥3) in pregnancy</w:t>
            </w:r>
          </w:p>
          <w:p w14:paraId="62C60E3F" w14:textId="77777777" w:rsidR="000D1710" w:rsidRPr="009C7327" w:rsidRDefault="000D1710" w:rsidP="009C7327">
            <w:pPr>
              <w:pStyle w:val="BodyText"/>
              <w:keepNext/>
              <w:numPr>
                <w:ilvl w:val="0"/>
                <w:numId w:val="34"/>
              </w:numPr>
              <w:spacing w:after="0" w:line="240" w:lineRule="auto"/>
              <w:ind w:left="247" w:hanging="218"/>
              <w:rPr>
                <w:sz w:val="20"/>
                <w:szCs w:val="20"/>
              </w:rPr>
            </w:pPr>
            <w:r w:rsidRPr="009C7327">
              <w:rPr>
                <w:color w:val="231F20" w:themeColor="text1"/>
                <w:kern w:val="24"/>
                <w:sz w:val="20"/>
                <w:szCs w:val="20"/>
              </w:rPr>
              <w:t>Asthma receiving biologics</w:t>
            </w:r>
          </w:p>
          <w:p w14:paraId="631D618C" w14:textId="7831D210" w:rsidR="000D1710" w:rsidRPr="009C7327" w:rsidRDefault="000D1710" w:rsidP="009C7327">
            <w:pPr>
              <w:pStyle w:val="BodyText"/>
              <w:keepNext/>
              <w:numPr>
                <w:ilvl w:val="0"/>
                <w:numId w:val="34"/>
              </w:numPr>
              <w:spacing w:after="0" w:line="240" w:lineRule="auto"/>
              <w:ind w:left="247" w:hanging="218"/>
              <w:rPr>
                <w:sz w:val="20"/>
                <w:szCs w:val="20"/>
              </w:rPr>
            </w:pPr>
            <w:r w:rsidRPr="009C7327">
              <w:rPr>
                <w:color w:val="231F20" w:themeColor="text1"/>
                <w:kern w:val="24"/>
                <w:sz w:val="20"/>
                <w:szCs w:val="20"/>
              </w:rPr>
              <w:t>Long-term corticosteroids</w:t>
            </w:r>
          </w:p>
        </w:tc>
        <w:tc>
          <w:tcPr>
            <w:tcW w:w="3119" w:type="dxa"/>
            <w:shd w:val="clear" w:color="auto" w:fill="auto"/>
            <w:vAlign w:val="center"/>
          </w:tcPr>
          <w:p w14:paraId="79342FD1" w14:textId="77777777" w:rsidR="000D1710" w:rsidRPr="009C7327" w:rsidRDefault="000D1710" w:rsidP="009C7327">
            <w:pPr>
              <w:pStyle w:val="BodyText"/>
              <w:keepNext/>
              <w:spacing w:after="0" w:line="240" w:lineRule="auto"/>
              <w:rPr>
                <w:sz w:val="20"/>
                <w:szCs w:val="20"/>
              </w:rPr>
            </w:pPr>
            <w:r w:rsidRPr="009C7327">
              <w:rPr>
                <w:color w:val="231F20" w:themeColor="text1"/>
                <w:kern w:val="24"/>
                <w:sz w:val="20"/>
                <w:szCs w:val="20"/>
              </w:rPr>
              <w:t>Sickle chest crisis (see Haematology pathway)</w:t>
            </w:r>
          </w:p>
        </w:tc>
      </w:tr>
      <w:tr w:rsidR="000D1710" w:rsidRPr="009C7327" w14:paraId="7ACEDC1B" w14:textId="77777777" w:rsidTr="009C7327">
        <w:trPr>
          <w:cantSplit/>
          <w:trHeight w:val="376"/>
        </w:trPr>
        <w:tc>
          <w:tcPr>
            <w:tcW w:w="3119" w:type="dxa"/>
            <w:shd w:val="clear" w:color="auto" w:fill="auto"/>
            <w:vAlign w:val="center"/>
          </w:tcPr>
          <w:p w14:paraId="4EE6E176" w14:textId="77777777" w:rsidR="000D1710" w:rsidRPr="009C7327" w:rsidRDefault="000D1710" w:rsidP="009C7327">
            <w:pPr>
              <w:pStyle w:val="BodyText"/>
              <w:keepNext/>
              <w:spacing w:after="0" w:line="240" w:lineRule="auto"/>
              <w:rPr>
                <w:sz w:val="20"/>
                <w:szCs w:val="20"/>
              </w:rPr>
            </w:pPr>
            <w:r w:rsidRPr="009C7327">
              <w:rPr>
                <w:color w:val="231F20" w:themeColor="text1"/>
                <w:kern w:val="24"/>
                <w:sz w:val="20"/>
                <w:szCs w:val="20"/>
              </w:rPr>
              <w:t>Pneumonia</w:t>
            </w:r>
          </w:p>
        </w:tc>
        <w:tc>
          <w:tcPr>
            <w:tcW w:w="4111" w:type="dxa"/>
            <w:shd w:val="clear" w:color="auto" w:fill="auto"/>
            <w:vAlign w:val="center"/>
          </w:tcPr>
          <w:p w14:paraId="0A645D9D" w14:textId="512925E4" w:rsidR="000D1710" w:rsidRPr="009C7327" w:rsidRDefault="000D1710" w:rsidP="009C7327">
            <w:pPr>
              <w:pStyle w:val="BodyText"/>
              <w:keepNext/>
              <w:spacing w:after="0" w:line="240" w:lineRule="auto"/>
              <w:rPr>
                <w:sz w:val="20"/>
                <w:szCs w:val="20"/>
              </w:rPr>
            </w:pPr>
            <w:r w:rsidRPr="009C7327">
              <w:rPr>
                <w:color w:val="231F20" w:themeColor="text1"/>
                <w:kern w:val="24"/>
                <w:sz w:val="20"/>
                <w:szCs w:val="20"/>
              </w:rPr>
              <w:t>Restrictive lung disease (</w:t>
            </w:r>
            <w:r w:rsidR="00034F35" w:rsidRPr="009C7327">
              <w:rPr>
                <w:color w:val="231F20" w:themeColor="text1"/>
                <w:kern w:val="24"/>
                <w:sz w:val="20"/>
                <w:szCs w:val="20"/>
              </w:rPr>
              <w:t>eg</w:t>
            </w:r>
            <w:r w:rsidRPr="009C7327">
              <w:rPr>
                <w:color w:val="231F20" w:themeColor="text1"/>
                <w:kern w:val="24"/>
                <w:sz w:val="20"/>
                <w:szCs w:val="20"/>
              </w:rPr>
              <w:t xml:space="preserve"> ILD, kyphoscoliosis) with FVC</w:t>
            </w:r>
            <w:r w:rsidR="00034F35" w:rsidRPr="009C7327">
              <w:rPr>
                <w:color w:val="231F20" w:themeColor="text1"/>
                <w:kern w:val="24"/>
                <w:sz w:val="20"/>
                <w:szCs w:val="20"/>
              </w:rPr>
              <w:t xml:space="preserve"> </w:t>
            </w:r>
            <w:r w:rsidRPr="009C7327">
              <w:rPr>
                <w:color w:val="231F20" w:themeColor="text1"/>
                <w:kern w:val="24"/>
                <w:sz w:val="20"/>
                <w:szCs w:val="20"/>
              </w:rPr>
              <w:t>&gt;50%</w:t>
            </w:r>
          </w:p>
        </w:tc>
        <w:tc>
          <w:tcPr>
            <w:tcW w:w="3119" w:type="dxa"/>
            <w:shd w:val="clear" w:color="auto" w:fill="auto"/>
            <w:vAlign w:val="center"/>
          </w:tcPr>
          <w:p w14:paraId="4767F92C" w14:textId="4AAB93AD" w:rsidR="000D1710" w:rsidRPr="009C7327" w:rsidRDefault="000D1710" w:rsidP="009C7327">
            <w:pPr>
              <w:pStyle w:val="BodyText"/>
              <w:keepNext/>
              <w:spacing w:after="0" w:line="240" w:lineRule="auto"/>
              <w:rPr>
                <w:sz w:val="20"/>
                <w:szCs w:val="20"/>
              </w:rPr>
            </w:pPr>
            <w:r w:rsidRPr="009C7327">
              <w:rPr>
                <w:color w:val="231F20" w:themeColor="text1"/>
                <w:kern w:val="24"/>
                <w:sz w:val="20"/>
                <w:szCs w:val="20"/>
              </w:rPr>
              <w:t>Restrictive lung disease (</w:t>
            </w:r>
            <w:r w:rsidR="00034F35" w:rsidRPr="009C7327">
              <w:rPr>
                <w:color w:val="231F20" w:themeColor="text1"/>
                <w:kern w:val="24"/>
                <w:sz w:val="20"/>
                <w:szCs w:val="20"/>
              </w:rPr>
              <w:t>eg</w:t>
            </w:r>
            <w:r w:rsidRPr="009C7327">
              <w:rPr>
                <w:color w:val="231F20" w:themeColor="text1"/>
                <w:kern w:val="24"/>
                <w:sz w:val="20"/>
                <w:szCs w:val="20"/>
              </w:rPr>
              <w:t xml:space="preserve"> ILD, kyphoscoliosis) with FVC</w:t>
            </w:r>
            <w:r w:rsidR="00034F35" w:rsidRPr="009C7327">
              <w:rPr>
                <w:color w:val="231F20" w:themeColor="text1"/>
                <w:kern w:val="24"/>
                <w:sz w:val="20"/>
                <w:szCs w:val="20"/>
              </w:rPr>
              <w:t xml:space="preserve"> </w:t>
            </w:r>
            <w:r w:rsidRPr="009C7327">
              <w:rPr>
                <w:color w:val="231F20" w:themeColor="text1"/>
                <w:kern w:val="24"/>
                <w:sz w:val="20"/>
                <w:szCs w:val="20"/>
              </w:rPr>
              <w:t>&lt;50%</w:t>
            </w:r>
          </w:p>
        </w:tc>
      </w:tr>
      <w:tr w:rsidR="000D1710" w:rsidRPr="009C7327" w14:paraId="1E87D456"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shd w:val="clear" w:color="auto" w:fill="auto"/>
            <w:vAlign w:val="center"/>
          </w:tcPr>
          <w:p w14:paraId="6CDEF0D1" w14:textId="77777777" w:rsidR="000D1710" w:rsidRPr="009C7327" w:rsidRDefault="000D1710" w:rsidP="009611BE">
            <w:pPr>
              <w:pStyle w:val="BodyText"/>
              <w:spacing w:after="0" w:line="240" w:lineRule="auto"/>
              <w:rPr>
                <w:sz w:val="20"/>
                <w:szCs w:val="20"/>
              </w:rPr>
            </w:pPr>
            <w:r w:rsidRPr="009C7327">
              <w:rPr>
                <w:color w:val="231F20" w:themeColor="text1"/>
                <w:kern w:val="24"/>
                <w:sz w:val="20"/>
                <w:szCs w:val="20"/>
              </w:rPr>
              <w:t>TB</w:t>
            </w:r>
          </w:p>
        </w:tc>
        <w:tc>
          <w:tcPr>
            <w:tcW w:w="4111" w:type="dxa"/>
            <w:shd w:val="clear" w:color="auto" w:fill="auto"/>
            <w:vAlign w:val="center"/>
          </w:tcPr>
          <w:p w14:paraId="3FC96941" w14:textId="77777777" w:rsidR="000D1710" w:rsidRPr="009C7327" w:rsidRDefault="000D1710" w:rsidP="009611BE">
            <w:pPr>
              <w:pStyle w:val="BodyText"/>
              <w:spacing w:after="0" w:line="240" w:lineRule="auto"/>
              <w:rPr>
                <w:sz w:val="20"/>
                <w:szCs w:val="20"/>
              </w:rPr>
            </w:pPr>
            <w:r w:rsidRPr="009C7327">
              <w:rPr>
                <w:color w:val="231F20" w:themeColor="text1"/>
                <w:kern w:val="24"/>
                <w:sz w:val="20"/>
                <w:szCs w:val="20"/>
              </w:rPr>
              <w:t>Any respiratory condition receiving</w:t>
            </w:r>
          </w:p>
          <w:p w14:paraId="2CD7A8AC" w14:textId="77777777" w:rsidR="000D1710" w:rsidRPr="009C7327" w:rsidRDefault="000D1710" w:rsidP="009611BE">
            <w:pPr>
              <w:pStyle w:val="BodyText"/>
              <w:spacing w:after="0" w:line="240" w:lineRule="auto"/>
              <w:rPr>
                <w:b/>
                <w:bCs/>
                <w:sz w:val="20"/>
                <w:szCs w:val="20"/>
              </w:rPr>
            </w:pPr>
            <w:r w:rsidRPr="009C7327">
              <w:rPr>
                <w:color w:val="231F20" w:themeColor="text1"/>
                <w:kern w:val="24"/>
                <w:sz w:val="20"/>
                <w:szCs w:val="20"/>
              </w:rPr>
              <w:t>immunotherapy / biologics</w:t>
            </w:r>
          </w:p>
        </w:tc>
        <w:tc>
          <w:tcPr>
            <w:tcW w:w="3119" w:type="dxa"/>
            <w:shd w:val="clear" w:color="auto" w:fill="auto"/>
            <w:vAlign w:val="center"/>
          </w:tcPr>
          <w:p w14:paraId="686EA1F4" w14:textId="77777777" w:rsidR="000D1710" w:rsidRPr="009C7327" w:rsidRDefault="000D1710" w:rsidP="009611BE">
            <w:pPr>
              <w:pStyle w:val="BodyText"/>
              <w:spacing w:after="0" w:line="240" w:lineRule="auto"/>
              <w:rPr>
                <w:sz w:val="20"/>
                <w:szCs w:val="20"/>
              </w:rPr>
            </w:pPr>
            <w:r w:rsidRPr="009C7327">
              <w:rPr>
                <w:color w:val="231F20" w:themeColor="text1"/>
                <w:kern w:val="24"/>
                <w:sz w:val="20"/>
                <w:szCs w:val="20"/>
              </w:rPr>
              <w:t>Neuromuscular disorders with respiratory muscle involvement</w:t>
            </w:r>
          </w:p>
          <w:p w14:paraId="7747F4D0" w14:textId="48E03B78" w:rsidR="000D1710" w:rsidRPr="009C7327" w:rsidRDefault="00034F35" w:rsidP="009611BE">
            <w:pPr>
              <w:pStyle w:val="BodyText"/>
              <w:spacing w:after="0" w:line="240" w:lineRule="auto"/>
              <w:rPr>
                <w:sz w:val="20"/>
                <w:szCs w:val="20"/>
              </w:rPr>
            </w:pPr>
            <w:r w:rsidRPr="009C7327">
              <w:rPr>
                <w:color w:val="231F20" w:themeColor="text1"/>
                <w:kern w:val="24"/>
                <w:sz w:val="20"/>
                <w:szCs w:val="20"/>
              </w:rPr>
              <w:t>eg</w:t>
            </w:r>
            <w:r w:rsidR="000D1710" w:rsidRPr="009C7327">
              <w:rPr>
                <w:color w:val="231F20" w:themeColor="text1"/>
                <w:kern w:val="24"/>
                <w:sz w:val="20"/>
                <w:szCs w:val="20"/>
              </w:rPr>
              <w:t xml:space="preserve"> myasthenia gravis, Guillain-Barré syndrome</w:t>
            </w:r>
          </w:p>
        </w:tc>
      </w:tr>
      <w:tr w:rsidR="000D1710" w:rsidRPr="009C7327" w14:paraId="00A01B3A" w14:textId="77777777" w:rsidTr="009C7327">
        <w:trPr>
          <w:cantSplit/>
          <w:trHeight w:val="376"/>
        </w:trPr>
        <w:tc>
          <w:tcPr>
            <w:tcW w:w="3119" w:type="dxa"/>
            <w:shd w:val="clear" w:color="auto" w:fill="auto"/>
            <w:vAlign w:val="center"/>
          </w:tcPr>
          <w:p w14:paraId="5BE9BBFC" w14:textId="77777777" w:rsidR="000D1710" w:rsidRPr="009C7327" w:rsidRDefault="000D1710" w:rsidP="009611BE">
            <w:pPr>
              <w:pStyle w:val="BodyText"/>
              <w:spacing w:after="0" w:line="240" w:lineRule="auto"/>
              <w:rPr>
                <w:sz w:val="20"/>
                <w:szCs w:val="20"/>
              </w:rPr>
            </w:pPr>
            <w:r w:rsidRPr="009C7327">
              <w:rPr>
                <w:color w:val="231F20" w:themeColor="text1"/>
                <w:kern w:val="24"/>
                <w:sz w:val="20"/>
                <w:szCs w:val="20"/>
              </w:rPr>
              <w:t>Chronic Obstructive Airways Disease</w:t>
            </w:r>
          </w:p>
        </w:tc>
        <w:tc>
          <w:tcPr>
            <w:tcW w:w="4111" w:type="dxa"/>
            <w:shd w:val="clear" w:color="auto" w:fill="auto"/>
            <w:vAlign w:val="center"/>
          </w:tcPr>
          <w:p w14:paraId="30DD9D19" w14:textId="77777777" w:rsidR="000D1710" w:rsidRPr="009C7327" w:rsidRDefault="000D1710" w:rsidP="009611BE">
            <w:pPr>
              <w:pStyle w:val="BodyText"/>
              <w:spacing w:after="0" w:line="240" w:lineRule="auto"/>
              <w:rPr>
                <w:b/>
                <w:bCs/>
                <w:sz w:val="20"/>
                <w:szCs w:val="20"/>
              </w:rPr>
            </w:pPr>
            <w:r w:rsidRPr="009C7327">
              <w:rPr>
                <w:color w:val="231F20" w:themeColor="text1"/>
                <w:kern w:val="24"/>
                <w:sz w:val="20"/>
                <w:szCs w:val="20"/>
              </w:rPr>
              <w:t>Bronchiectasis</w:t>
            </w:r>
          </w:p>
        </w:tc>
        <w:tc>
          <w:tcPr>
            <w:tcW w:w="3119" w:type="dxa"/>
            <w:shd w:val="clear" w:color="auto" w:fill="auto"/>
            <w:vAlign w:val="center"/>
          </w:tcPr>
          <w:p w14:paraId="40E086CC" w14:textId="2A54B0D8" w:rsidR="000D1710" w:rsidRPr="009C7327" w:rsidRDefault="000D1710" w:rsidP="009611BE">
            <w:pPr>
              <w:pStyle w:val="BodyText"/>
              <w:spacing w:after="0" w:line="240" w:lineRule="auto"/>
              <w:rPr>
                <w:sz w:val="20"/>
                <w:szCs w:val="20"/>
              </w:rPr>
            </w:pPr>
            <w:r w:rsidRPr="009C7327">
              <w:rPr>
                <w:color w:val="231F20" w:themeColor="text1"/>
                <w:kern w:val="24"/>
                <w:sz w:val="20"/>
                <w:szCs w:val="20"/>
              </w:rPr>
              <w:t>Cystic fibrosis</w:t>
            </w:r>
          </w:p>
        </w:tc>
      </w:tr>
      <w:tr w:rsidR="000D1710" w:rsidRPr="009C7327" w14:paraId="7FC1CC9D"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shd w:val="clear" w:color="auto" w:fill="auto"/>
            <w:vAlign w:val="center"/>
          </w:tcPr>
          <w:p w14:paraId="19412EC1" w14:textId="77777777" w:rsidR="000D1710" w:rsidRPr="009C7327" w:rsidRDefault="000D1710" w:rsidP="009611BE">
            <w:pPr>
              <w:pStyle w:val="BodyText"/>
              <w:spacing w:after="0" w:line="240" w:lineRule="auto"/>
              <w:rPr>
                <w:sz w:val="20"/>
                <w:szCs w:val="20"/>
              </w:rPr>
            </w:pPr>
            <w:r w:rsidRPr="009C7327">
              <w:rPr>
                <w:color w:val="231F20" w:themeColor="text1"/>
                <w:kern w:val="24"/>
                <w:sz w:val="20"/>
                <w:szCs w:val="20"/>
              </w:rPr>
              <w:lastRenderedPageBreak/>
              <w:t>Pneumothorax</w:t>
            </w:r>
          </w:p>
        </w:tc>
        <w:tc>
          <w:tcPr>
            <w:tcW w:w="4111" w:type="dxa"/>
            <w:shd w:val="clear" w:color="auto" w:fill="auto"/>
            <w:vAlign w:val="center"/>
          </w:tcPr>
          <w:p w14:paraId="74AB5BCE" w14:textId="2CA0B079" w:rsidR="000D1710" w:rsidRPr="009C7327" w:rsidRDefault="000D1710" w:rsidP="009611BE">
            <w:pPr>
              <w:pStyle w:val="BodyText"/>
              <w:spacing w:after="0" w:line="240" w:lineRule="auto"/>
              <w:rPr>
                <w:b/>
                <w:bCs/>
                <w:sz w:val="20"/>
                <w:szCs w:val="20"/>
              </w:rPr>
            </w:pPr>
            <w:r w:rsidRPr="009C7327">
              <w:rPr>
                <w:color w:val="231F20" w:themeColor="text1"/>
                <w:kern w:val="24"/>
                <w:sz w:val="20"/>
                <w:szCs w:val="20"/>
              </w:rPr>
              <w:t>New diagnosis of obstructive sleep apnoea/obesity hypoventilation in</w:t>
            </w:r>
            <w:r w:rsidR="00034F35" w:rsidRPr="009C7327">
              <w:rPr>
                <w:color w:val="231F20" w:themeColor="text1"/>
                <w:kern w:val="24"/>
                <w:sz w:val="20"/>
                <w:szCs w:val="20"/>
              </w:rPr>
              <w:t xml:space="preserve"> </w:t>
            </w:r>
            <w:r w:rsidRPr="009C7327">
              <w:rPr>
                <w:color w:val="231F20" w:themeColor="text1"/>
                <w:kern w:val="24"/>
                <w:sz w:val="20"/>
                <w:szCs w:val="20"/>
              </w:rPr>
              <w:t>pregnancy</w:t>
            </w:r>
          </w:p>
        </w:tc>
        <w:tc>
          <w:tcPr>
            <w:tcW w:w="3119" w:type="dxa"/>
            <w:shd w:val="clear" w:color="auto" w:fill="auto"/>
            <w:vAlign w:val="center"/>
          </w:tcPr>
          <w:p w14:paraId="6CEDF44B" w14:textId="77777777" w:rsidR="000D1710" w:rsidRPr="009C7327" w:rsidRDefault="000D1710" w:rsidP="009611BE">
            <w:pPr>
              <w:pStyle w:val="BodyText"/>
              <w:spacing w:after="0" w:line="240" w:lineRule="auto"/>
              <w:rPr>
                <w:sz w:val="20"/>
                <w:szCs w:val="20"/>
              </w:rPr>
            </w:pPr>
            <w:r w:rsidRPr="009C7327">
              <w:rPr>
                <w:color w:val="231F20" w:themeColor="text1"/>
                <w:kern w:val="24"/>
                <w:sz w:val="20"/>
                <w:szCs w:val="20"/>
              </w:rPr>
              <w:t>Lung transplant</w:t>
            </w:r>
          </w:p>
        </w:tc>
      </w:tr>
      <w:tr w:rsidR="000D1710" w:rsidRPr="009C7327" w14:paraId="5E1B7C18" w14:textId="77777777" w:rsidTr="009C7327">
        <w:trPr>
          <w:cantSplit/>
          <w:trHeight w:val="376"/>
        </w:trPr>
        <w:tc>
          <w:tcPr>
            <w:tcW w:w="3119" w:type="dxa"/>
            <w:shd w:val="clear" w:color="auto" w:fill="auto"/>
            <w:vAlign w:val="center"/>
          </w:tcPr>
          <w:p w14:paraId="48D3AE7A" w14:textId="77777777" w:rsidR="000D1710" w:rsidRPr="009C7327" w:rsidRDefault="000D1710" w:rsidP="009611BE">
            <w:pPr>
              <w:pStyle w:val="BodyText"/>
              <w:spacing w:after="0" w:line="240" w:lineRule="auto"/>
              <w:rPr>
                <w:sz w:val="20"/>
                <w:szCs w:val="20"/>
              </w:rPr>
            </w:pPr>
            <w:r w:rsidRPr="009C7327">
              <w:rPr>
                <w:color w:val="231F20" w:themeColor="text1"/>
                <w:kern w:val="24"/>
                <w:sz w:val="20"/>
                <w:szCs w:val="20"/>
              </w:rPr>
              <w:t>Sarcoidosis without restrictive lung disease, no renal involvement</w:t>
            </w:r>
          </w:p>
        </w:tc>
        <w:tc>
          <w:tcPr>
            <w:tcW w:w="4111" w:type="dxa"/>
            <w:shd w:val="clear" w:color="auto" w:fill="auto"/>
            <w:vAlign w:val="center"/>
          </w:tcPr>
          <w:p w14:paraId="7BD95981" w14:textId="77777777" w:rsidR="000D1710" w:rsidRPr="009C7327" w:rsidRDefault="000D1710" w:rsidP="009611BE">
            <w:pPr>
              <w:pStyle w:val="BodyText"/>
              <w:spacing w:after="0" w:line="240" w:lineRule="auto"/>
              <w:rPr>
                <w:b/>
                <w:bCs/>
                <w:sz w:val="20"/>
                <w:szCs w:val="20"/>
              </w:rPr>
            </w:pPr>
            <w:r w:rsidRPr="009C7327">
              <w:rPr>
                <w:color w:val="231F20" w:themeColor="text1"/>
                <w:kern w:val="24"/>
                <w:sz w:val="20"/>
                <w:szCs w:val="20"/>
              </w:rPr>
              <w:t>COVID pneumonitis</w:t>
            </w:r>
          </w:p>
        </w:tc>
        <w:tc>
          <w:tcPr>
            <w:tcW w:w="3119" w:type="dxa"/>
            <w:shd w:val="clear" w:color="auto" w:fill="auto"/>
            <w:vAlign w:val="center"/>
          </w:tcPr>
          <w:p w14:paraId="5C4BAC3D" w14:textId="77777777" w:rsidR="000D1710" w:rsidRPr="009C7327" w:rsidRDefault="000D1710" w:rsidP="009611BE">
            <w:pPr>
              <w:pStyle w:val="BodyText"/>
              <w:spacing w:after="0" w:line="240" w:lineRule="auto"/>
              <w:rPr>
                <w:sz w:val="20"/>
                <w:szCs w:val="20"/>
              </w:rPr>
            </w:pPr>
            <w:r w:rsidRPr="009C7327">
              <w:rPr>
                <w:color w:val="231F20" w:themeColor="text1"/>
                <w:kern w:val="24"/>
                <w:sz w:val="20"/>
                <w:szCs w:val="20"/>
              </w:rPr>
              <w:t>Pulmonary vasculitis</w:t>
            </w:r>
          </w:p>
        </w:tc>
      </w:tr>
      <w:tr w:rsidR="000D1710" w:rsidRPr="009C7327" w14:paraId="7C707707"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shd w:val="clear" w:color="auto" w:fill="auto"/>
            <w:vAlign w:val="center"/>
          </w:tcPr>
          <w:p w14:paraId="5F74A00D" w14:textId="77777777" w:rsidR="000D1710" w:rsidRPr="009C7327" w:rsidRDefault="000D1710" w:rsidP="009611BE">
            <w:pPr>
              <w:pStyle w:val="BodyText"/>
              <w:spacing w:after="0" w:line="240" w:lineRule="auto"/>
              <w:rPr>
                <w:sz w:val="20"/>
                <w:szCs w:val="20"/>
              </w:rPr>
            </w:pPr>
            <w:r w:rsidRPr="009C7327">
              <w:rPr>
                <w:color w:val="231F20" w:themeColor="text1"/>
                <w:kern w:val="24"/>
                <w:sz w:val="20"/>
                <w:szCs w:val="20"/>
              </w:rPr>
              <w:t>Managed obstructive sleep apnoea/obesity hypoventilation</w:t>
            </w:r>
          </w:p>
        </w:tc>
        <w:tc>
          <w:tcPr>
            <w:tcW w:w="4111" w:type="dxa"/>
            <w:shd w:val="clear" w:color="auto" w:fill="auto"/>
            <w:vAlign w:val="center"/>
          </w:tcPr>
          <w:p w14:paraId="182CEBD1" w14:textId="77777777" w:rsidR="000D1710" w:rsidRPr="009C7327" w:rsidRDefault="000D1710" w:rsidP="009611BE">
            <w:pPr>
              <w:pStyle w:val="BodyText"/>
              <w:spacing w:after="0" w:line="240" w:lineRule="auto"/>
              <w:rPr>
                <w:b/>
                <w:bCs/>
                <w:sz w:val="20"/>
                <w:szCs w:val="20"/>
              </w:rPr>
            </w:pPr>
            <w:r w:rsidRPr="009C7327">
              <w:rPr>
                <w:color w:val="231F20" w:themeColor="text1"/>
                <w:kern w:val="24"/>
                <w:sz w:val="20"/>
                <w:szCs w:val="20"/>
              </w:rPr>
              <w:t>Lung cancer</w:t>
            </w:r>
          </w:p>
        </w:tc>
        <w:tc>
          <w:tcPr>
            <w:tcW w:w="3119" w:type="dxa"/>
            <w:shd w:val="clear" w:color="auto" w:fill="auto"/>
            <w:vAlign w:val="center"/>
          </w:tcPr>
          <w:p w14:paraId="0E5F6348" w14:textId="0E1110C9" w:rsidR="000D1710" w:rsidRPr="009C7327" w:rsidRDefault="000D1710" w:rsidP="009611BE">
            <w:pPr>
              <w:pStyle w:val="BodyText"/>
              <w:spacing w:after="0" w:line="240" w:lineRule="auto"/>
              <w:rPr>
                <w:sz w:val="20"/>
                <w:szCs w:val="20"/>
              </w:rPr>
            </w:pPr>
          </w:p>
        </w:tc>
      </w:tr>
      <w:tr w:rsidR="000D1710" w:rsidRPr="009C7327" w14:paraId="3CF8800C" w14:textId="77777777" w:rsidTr="009C7327">
        <w:trPr>
          <w:cantSplit/>
          <w:trHeight w:val="376"/>
        </w:trPr>
        <w:tc>
          <w:tcPr>
            <w:tcW w:w="3119" w:type="dxa"/>
            <w:shd w:val="clear" w:color="auto" w:fill="auto"/>
            <w:vAlign w:val="center"/>
          </w:tcPr>
          <w:p w14:paraId="01933864" w14:textId="77777777" w:rsidR="000D1710" w:rsidRPr="009C7327" w:rsidRDefault="000D1710" w:rsidP="009611BE">
            <w:pPr>
              <w:pStyle w:val="BodyText"/>
              <w:spacing w:after="0" w:line="240" w:lineRule="auto"/>
              <w:rPr>
                <w:sz w:val="20"/>
                <w:szCs w:val="20"/>
              </w:rPr>
            </w:pPr>
            <w:r w:rsidRPr="009C7327">
              <w:rPr>
                <w:color w:val="231F20" w:themeColor="text1"/>
                <w:kern w:val="24"/>
                <w:sz w:val="20"/>
                <w:szCs w:val="20"/>
              </w:rPr>
              <w:t>Pulmonary embolus (see Haematology pathway)</w:t>
            </w:r>
          </w:p>
        </w:tc>
        <w:tc>
          <w:tcPr>
            <w:tcW w:w="4111" w:type="dxa"/>
            <w:shd w:val="clear" w:color="auto" w:fill="auto"/>
            <w:vAlign w:val="center"/>
          </w:tcPr>
          <w:p w14:paraId="07E6F6B9" w14:textId="3FBD98FB" w:rsidR="000D1710" w:rsidRPr="009C7327" w:rsidRDefault="000D1710" w:rsidP="009611BE">
            <w:pPr>
              <w:pStyle w:val="BodyText"/>
              <w:spacing w:after="0" w:line="240" w:lineRule="auto"/>
              <w:rPr>
                <w:b/>
                <w:bCs/>
                <w:sz w:val="20"/>
                <w:szCs w:val="20"/>
              </w:rPr>
            </w:pPr>
          </w:p>
        </w:tc>
        <w:tc>
          <w:tcPr>
            <w:tcW w:w="3119" w:type="dxa"/>
            <w:shd w:val="clear" w:color="auto" w:fill="auto"/>
            <w:vAlign w:val="center"/>
          </w:tcPr>
          <w:p w14:paraId="4293D8FF" w14:textId="67A2A43B" w:rsidR="000D1710" w:rsidRPr="009C7327" w:rsidRDefault="000D1710" w:rsidP="009611BE">
            <w:pPr>
              <w:pStyle w:val="BodyText"/>
              <w:spacing w:after="0" w:line="240" w:lineRule="auto"/>
              <w:rPr>
                <w:sz w:val="20"/>
                <w:szCs w:val="20"/>
              </w:rPr>
            </w:pPr>
          </w:p>
        </w:tc>
      </w:tr>
      <w:tr w:rsidR="003C52CD" w:rsidRPr="009C7327" w14:paraId="7A5C5389"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10351" w:type="dxa"/>
            <w:gridSpan w:val="3"/>
            <w:shd w:val="clear" w:color="auto" w:fill="D9D9D9" w:themeFill="background1" w:themeFillShade="D9"/>
            <w:vAlign w:val="center"/>
          </w:tcPr>
          <w:p w14:paraId="6A4F2C1D" w14:textId="40AA692E" w:rsidR="003C52CD" w:rsidRPr="009C7327" w:rsidRDefault="003C52CD" w:rsidP="009C7327">
            <w:pPr>
              <w:pStyle w:val="BodyText"/>
              <w:keepNext/>
              <w:spacing w:after="0" w:line="240" w:lineRule="auto"/>
              <w:jc w:val="center"/>
              <w:rPr>
                <w:sz w:val="20"/>
                <w:szCs w:val="20"/>
              </w:rPr>
            </w:pPr>
            <w:r w:rsidRPr="009C7327">
              <w:rPr>
                <w:b/>
                <w:sz w:val="20"/>
                <w:szCs w:val="20"/>
              </w:rPr>
              <w:t>Gastrointestinal and liver disease</w:t>
            </w:r>
          </w:p>
        </w:tc>
      </w:tr>
      <w:tr w:rsidR="000D1710" w:rsidRPr="009C7327" w14:paraId="5EC57F33" w14:textId="77777777" w:rsidTr="009C7327">
        <w:trPr>
          <w:cantSplit/>
          <w:trHeight w:val="376"/>
        </w:trPr>
        <w:tc>
          <w:tcPr>
            <w:tcW w:w="3119" w:type="dxa"/>
            <w:shd w:val="clear" w:color="auto" w:fill="CCD6E7"/>
            <w:vAlign w:val="center"/>
          </w:tcPr>
          <w:p w14:paraId="42FDAA67" w14:textId="77777777" w:rsidR="000D1710" w:rsidRPr="009C7327" w:rsidRDefault="000D1710" w:rsidP="009C7327">
            <w:pPr>
              <w:pStyle w:val="BodyText"/>
              <w:keepNext/>
              <w:spacing w:after="0" w:line="240" w:lineRule="auto"/>
              <w:rPr>
                <w:sz w:val="20"/>
                <w:szCs w:val="20"/>
              </w:rPr>
            </w:pPr>
            <w:r w:rsidRPr="009C7327">
              <w:rPr>
                <w:rFonts w:eastAsia="Calibri"/>
                <w:color w:val="231F20" w:themeColor="text1"/>
                <w:kern w:val="24"/>
                <w:sz w:val="20"/>
                <w:szCs w:val="20"/>
              </w:rPr>
              <w:t>Hyperemesis gravidarum</w:t>
            </w:r>
          </w:p>
        </w:tc>
        <w:tc>
          <w:tcPr>
            <w:tcW w:w="4111" w:type="dxa"/>
            <w:shd w:val="clear" w:color="auto" w:fill="CCD6E7"/>
            <w:vAlign w:val="center"/>
          </w:tcPr>
          <w:p w14:paraId="187F002C" w14:textId="77777777" w:rsidR="000D1710" w:rsidRPr="009C7327" w:rsidRDefault="000D1710" w:rsidP="009C7327">
            <w:pPr>
              <w:pStyle w:val="BodyText"/>
              <w:keepNext/>
              <w:spacing w:after="0" w:line="240" w:lineRule="auto"/>
              <w:rPr>
                <w:sz w:val="20"/>
                <w:szCs w:val="20"/>
              </w:rPr>
            </w:pPr>
            <w:r w:rsidRPr="009C7327">
              <w:rPr>
                <w:rFonts w:eastAsia="Calibri"/>
                <w:color w:val="000000"/>
                <w:kern w:val="24"/>
                <w:sz w:val="20"/>
                <w:szCs w:val="20"/>
              </w:rPr>
              <w:t>Complex inflammatory bowel disease:</w:t>
            </w:r>
          </w:p>
          <w:p w14:paraId="4B1B868B" w14:textId="77777777" w:rsidR="00034F35" w:rsidRPr="009C7327" w:rsidRDefault="000D1710" w:rsidP="009C7327">
            <w:pPr>
              <w:pStyle w:val="BodyText"/>
              <w:keepNext/>
              <w:numPr>
                <w:ilvl w:val="0"/>
                <w:numId w:val="35"/>
              </w:numPr>
              <w:spacing w:after="0" w:line="240" w:lineRule="auto"/>
              <w:ind w:left="247" w:hanging="218"/>
              <w:rPr>
                <w:rFonts w:eastAsia="Calibri"/>
                <w:color w:val="000000"/>
                <w:kern w:val="24"/>
                <w:sz w:val="20"/>
                <w:szCs w:val="20"/>
              </w:rPr>
            </w:pPr>
            <w:r w:rsidRPr="009C7327">
              <w:rPr>
                <w:rFonts w:eastAsia="Calibri"/>
                <w:color w:val="000000"/>
                <w:kern w:val="24"/>
                <w:sz w:val="20"/>
                <w:szCs w:val="20"/>
              </w:rPr>
              <w:t>Active disease despite treatment</w:t>
            </w:r>
          </w:p>
          <w:p w14:paraId="4C6CE5E0" w14:textId="237E9B60" w:rsidR="000D1710" w:rsidRPr="009C7327" w:rsidRDefault="000D1710" w:rsidP="009C7327">
            <w:pPr>
              <w:pStyle w:val="BodyText"/>
              <w:keepNext/>
              <w:numPr>
                <w:ilvl w:val="0"/>
                <w:numId w:val="35"/>
              </w:numPr>
              <w:spacing w:after="0" w:line="240" w:lineRule="auto"/>
              <w:ind w:left="247" w:hanging="218"/>
              <w:rPr>
                <w:sz w:val="20"/>
                <w:szCs w:val="20"/>
              </w:rPr>
            </w:pPr>
            <w:r w:rsidRPr="009C7327">
              <w:rPr>
                <w:rFonts w:eastAsia="Calibri"/>
                <w:color w:val="000000"/>
                <w:kern w:val="24"/>
                <w:sz w:val="20"/>
                <w:szCs w:val="20"/>
              </w:rPr>
              <w:t>Biologics</w:t>
            </w:r>
          </w:p>
          <w:p w14:paraId="08BBA5E2" w14:textId="77777777" w:rsidR="000D1710" w:rsidRPr="009C7327" w:rsidRDefault="000D1710" w:rsidP="009C7327">
            <w:pPr>
              <w:pStyle w:val="BodyText"/>
              <w:keepNext/>
              <w:numPr>
                <w:ilvl w:val="0"/>
                <w:numId w:val="35"/>
              </w:numPr>
              <w:spacing w:after="0" w:line="240" w:lineRule="auto"/>
              <w:ind w:left="247" w:hanging="218"/>
              <w:rPr>
                <w:sz w:val="20"/>
                <w:szCs w:val="20"/>
              </w:rPr>
            </w:pPr>
            <w:r w:rsidRPr="009C7327">
              <w:rPr>
                <w:rFonts w:eastAsia="Calibri"/>
                <w:color w:val="000000"/>
                <w:kern w:val="24"/>
                <w:sz w:val="20"/>
                <w:szCs w:val="20"/>
              </w:rPr>
              <w:t>Corticosteroids</w:t>
            </w:r>
          </w:p>
          <w:p w14:paraId="21D78AF9" w14:textId="77777777" w:rsidR="000D1710" w:rsidRPr="009C7327" w:rsidRDefault="000D1710" w:rsidP="009C7327">
            <w:pPr>
              <w:pStyle w:val="BodyText"/>
              <w:keepNext/>
              <w:numPr>
                <w:ilvl w:val="0"/>
                <w:numId w:val="35"/>
              </w:numPr>
              <w:spacing w:after="0" w:line="240" w:lineRule="auto"/>
              <w:ind w:left="247" w:hanging="218"/>
              <w:rPr>
                <w:sz w:val="20"/>
                <w:szCs w:val="20"/>
              </w:rPr>
            </w:pPr>
            <w:r w:rsidRPr="009C7327">
              <w:rPr>
                <w:rFonts w:eastAsia="Calibri"/>
                <w:color w:val="000000"/>
                <w:kern w:val="24"/>
                <w:sz w:val="20"/>
                <w:szCs w:val="20"/>
              </w:rPr>
              <w:t>Peri-anal disease</w:t>
            </w:r>
          </w:p>
          <w:p w14:paraId="64FB2AF3" w14:textId="77777777" w:rsidR="000D1710" w:rsidRPr="009C7327" w:rsidRDefault="000D1710" w:rsidP="009C7327">
            <w:pPr>
              <w:pStyle w:val="BodyText"/>
              <w:keepNext/>
              <w:numPr>
                <w:ilvl w:val="0"/>
                <w:numId w:val="35"/>
              </w:numPr>
              <w:spacing w:after="0" w:line="240" w:lineRule="auto"/>
              <w:ind w:left="247" w:hanging="218"/>
              <w:rPr>
                <w:sz w:val="20"/>
                <w:szCs w:val="20"/>
              </w:rPr>
            </w:pPr>
            <w:r w:rsidRPr="009C7327">
              <w:rPr>
                <w:rFonts w:eastAsia="Calibri"/>
                <w:color w:val="000000"/>
                <w:kern w:val="24"/>
                <w:sz w:val="20"/>
                <w:szCs w:val="20"/>
              </w:rPr>
              <w:t>Pouch/stoma</w:t>
            </w:r>
          </w:p>
        </w:tc>
        <w:tc>
          <w:tcPr>
            <w:tcW w:w="3119" w:type="dxa"/>
            <w:shd w:val="clear" w:color="auto" w:fill="CCD6E7"/>
            <w:vAlign w:val="center"/>
          </w:tcPr>
          <w:p w14:paraId="12ABAAD6" w14:textId="77777777" w:rsidR="000D1710" w:rsidRPr="009C7327" w:rsidRDefault="000D1710" w:rsidP="009C7327">
            <w:pPr>
              <w:pStyle w:val="BodyText"/>
              <w:keepNext/>
              <w:spacing w:after="0" w:line="240" w:lineRule="auto"/>
              <w:rPr>
                <w:sz w:val="20"/>
                <w:szCs w:val="20"/>
              </w:rPr>
            </w:pPr>
            <w:r w:rsidRPr="009C7327">
              <w:rPr>
                <w:rFonts w:eastAsia="Calibri"/>
                <w:color w:val="000000"/>
                <w:kern w:val="24"/>
                <w:sz w:val="20"/>
                <w:szCs w:val="20"/>
              </w:rPr>
              <w:t>Portal hypertension</w:t>
            </w:r>
          </w:p>
        </w:tc>
      </w:tr>
      <w:tr w:rsidR="000D1710" w:rsidRPr="009C7327" w14:paraId="54A0D9A5"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vAlign w:val="center"/>
          </w:tcPr>
          <w:p w14:paraId="59ADAEDA" w14:textId="77777777" w:rsidR="000D1710" w:rsidRPr="009C7327" w:rsidRDefault="000D1710" w:rsidP="009C7327">
            <w:pPr>
              <w:pStyle w:val="BodyText"/>
              <w:keepNext/>
              <w:spacing w:after="0" w:line="240" w:lineRule="auto"/>
              <w:rPr>
                <w:sz w:val="20"/>
                <w:szCs w:val="20"/>
              </w:rPr>
            </w:pPr>
            <w:r w:rsidRPr="009C7327">
              <w:rPr>
                <w:rFonts w:eastAsia="Calibri"/>
                <w:color w:val="231F20" w:themeColor="text1"/>
                <w:kern w:val="24"/>
                <w:sz w:val="20"/>
                <w:szCs w:val="20"/>
              </w:rPr>
              <w:t>Constipation</w:t>
            </w:r>
          </w:p>
        </w:tc>
        <w:tc>
          <w:tcPr>
            <w:tcW w:w="4111" w:type="dxa"/>
            <w:vAlign w:val="center"/>
          </w:tcPr>
          <w:p w14:paraId="7719CD8A" w14:textId="77777777" w:rsidR="000D1710" w:rsidRPr="009C7327" w:rsidRDefault="000D1710" w:rsidP="009C7327">
            <w:pPr>
              <w:pStyle w:val="BodyText"/>
              <w:keepNext/>
              <w:spacing w:after="0" w:line="240" w:lineRule="auto"/>
              <w:rPr>
                <w:b/>
                <w:bCs/>
                <w:sz w:val="20"/>
                <w:szCs w:val="20"/>
              </w:rPr>
            </w:pPr>
            <w:r w:rsidRPr="009C7327">
              <w:rPr>
                <w:rFonts w:eastAsia="Calibri"/>
                <w:color w:val="000000"/>
                <w:kern w:val="24"/>
                <w:sz w:val="20"/>
                <w:szCs w:val="20"/>
              </w:rPr>
              <w:t>Acute and chronic pancreatitis</w:t>
            </w:r>
          </w:p>
        </w:tc>
        <w:tc>
          <w:tcPr>
            <w:tcW w:w="3119" w:type="dxa"/>
            <w:vAlign w:val="center"/>
          </w:tcPr>
          <w:p w14:paraId="33EF1A00" w14:textId="77777777" w:rsidR="000D1710" w:rsidRPr="009C7327" w:rsidRDefault="000D1710" w:rsidP="009C7327">
            <w:pPr>
              <w:pStyle w:val="BodyText"/>
              <w:keepNext/>
              <w:spacing w:after="0" w:line="240" w:lineRule="auto"/>
              <w:rPr>
                <w:sz w:val="20"/>
                <w:szCs w:val="20"/>
              </w:rPr>
            </w:pPr>
            <w:r w:rsidRPr="009C7327">
              <w:rPr>
                <w:rFonts w:eastAsia="Calibri"/>
                <w:color w:val="000000"/>
                <w:kern w:val="24"/>
                <w:sz w:val="20"/>
                <w:szCs w:val="20"/>
              </w:rPr>
              <w:t>Complex pancreatitis</w:t>
            </w:r>
          </w:p>
          <w:p w14:paraId="76C53702" w14:textId="77777777" w:rsidR="000D1710" w:rsidRPr="009C7327" w:rsidRDefault="000D1710" w:rsidP="009C7327">
            <w:pPr>
              <w:pStyle w:val="BodyText"/>
              <w:keepNext/>
              <w:numPr>
                <w:ilvl w:val="0"/>
                <w:numId w:val="35"/>
              </w:numPr>
              <w:spacing w:after="0" w:line="240" w:lineRule="auto"/>
              <w:ind w:left="247" w:hanging="218"/>
              <w:rPr>
                <w:rFonts w:eastAsia="Calibri"/>
                <w:color w:val="000000"/>
                <w:kern w:val="24"/>
                <w:sz w:val="20"/>
                <w:szCs w:val="20"/>
              </w:rPr>
            </w:pPr>
            <w:r w:rsidRPr="009C7327">
              <w:rPr>
                <w:rFonts w:eastAsia="Calibri"/>
                <w:color w:val="000000"/>
                <w:kern w:val="24"/>
                <w:sz w:val="20"/>
                <w:szCs w:val="20"/>
              </w:rPr>
              <w:t>Not responding to treatment</w:t>
            </w:r>
          </w:p>
          <w:p w14:paraId="06DC2CBC" w14:textId="77777777" w:rsidR="000D1710" w:rsidRPr="009C7327" w:rsidRDefault="000D1710" w:rsidP="009C7327">
            <w:pPr>
              <w:pStyle w:val="BodyText"/>
              <w:keepNext/>
              <w:numPr>
                <w:ilvl w:val="0"/>
                <w:numId w:val="35"/>
              </w:numPr>
              <w:spacing w:after="0" w:line="240" w:lineRule="auto"/>
              <w:ind w:left="247" w:hanging="218"/>
              <w:rPr>
                <w:rFonts w:eastAsia="Calibri"/>
                <w:color w:val="000000"/>
                <w:kern w:val="24"/>
                <w:sz w:val="20"/>
                <w:szCs w:val="20"/>
              </w:rPr>
            </w:pPr>
            <w:r w:rsidRPr="009C7327">
              <w:rPr>
                <w:rFonts w:eastAsia="Calibri"/>
                <w:color w:val="000000"/>
                <w:kern w:val="24"/>
                <w:sz w:val="20"/>
                <w:szCs w:val="20"/>
              </w:rPr>
              <w:t>Recurrent disease</w:t>
            </w:r>
          </w:p>
          <w:p w14:paraId="47ACD614" w14:textId="77777777" w:rsidR="000D1710" w:rsidRPr="009C7327" w:rsidRDefault="000D1710" w:rsidP="009C7327">
            <w:pPr>
              <w:pStyle w:val="BodyText"/>
              <w:keepNext/>
              <w:numPr>
                <w:ilvl w:val="0"/>
                <w:numId w:val="35"/>
              </w:numPr>
              <w:spacing w:after="0" w:line="240" w:lineRule="auto"/>
              <w:ind w:left="247" w:hanging="218"/>
              <w:rPr>
                <w:rFonts w:eastAsia="Calibri"/>
                <w:color w:val="000000"/>
                <w:kern w:val="24"/>
                <w:sz w:val="20"/>
                <w:szCs w:val="20"/>
              </w:rPr>
            </w:pPr>
            <w:proofErr w:type="spellStart"/>
            <w:r w:rsidRPr="009C7327">
              <w:rPr>
                <w:rFonts w:eastAsia="Calibri"/>
                <w:color w:val="000000"/>
                <w:kern w:val="24"/>
                <w:sz w:val="20"/>
                <w:szCs w:val="20"/>
              </w:rPr>
              <w:t>Hypertriglyceridaemia</w:t>
            </w:r>
            <w:proofErr w:type="spellEnd"/>
          </w:p>
          <w:p w14:paraId="4C9D966E" w14:textId="77777777" w:rsidR="000D1710" w:rsidRPr="009C7327" w:rsidRDefault="000D1710" w:rsidP="009C7327">
            <w:pPr>
              <w:pStyle w:val="BodyText"/>
              <w:keepNext/>
              <w:numPr>
                <w:ilvl w:val="0"/>
                <w:numId w:val="35"/>
              </w:numPr>
              <w:spacing w:after="0" w:line="240" w:lineRule="auto"/>
              <w:ind w:left="247" w:hanging="218"/>
              <w:rPr>
                <w:sz w:val="20"/>
                <w:szCs w:val="20"/>
              </w:rPr>
            </w:pPr>
            <w:r w:rsidRPr="009C7327">
              <w:rPr>
                <w:rFonts w:eastAsia="Calibri"/>
                <w:color w:val="000000"/>
                <w:kern w:val="24"/>
                <w:sz w:val="20"/>
                <w:szCs w:val="20"/>
              </w:rPr>
              <w:t>IR/surgical intervention</w:t>
            </w:r>
          </w:p>
        </w:tc>
      </w:tr>
      <w:tr w:rsidR="000D1710" w:rsidRPr="009C7327" w14:paraId="09FA52D9" w14:textId="77777777" w:rsidTr="009C7327">
        <w:trPr>
          <w:cantSplit/>
          <w:trHeight w:val="376"/>
        </w:trPr>
        <w:tc>
          <w:tcPr>
            <w:tcW w:w="3119" w:type="dxa"/>
            <w:shd w:val="clear" w:color="auto" w:fill="CCD6E7"/>
            <w:vAlign w:val="center"/>
          </w:tcPr>
          <w:p w14:paraId="39CA670F" w14:textId="77777777" w:rsidR="000D1710" w:rsidRPr="009C7327" w:rsidRDefault="000D1710" w:rsidP="009611BE">
            <w:pPr>
              <w:pStyle w:val="BodyText"/>
              <w:spacing w:after="0" w:line="240" w:lineRule="auto"/>
              <w:rPr>
                <w:sz w:val="20"/>
                <w:szCs w:val="20"/>
              </w:rPr>
            </w:pPr>
            <w:r w:rsidRPr="009C7327">
              <w:rPr>
                <w:rFonts w:eastAsia="Calibri"/>
                <w:color w:val="231F20" w:themeColor="text1"/>
                <w:kern w:val="24"/>
                <w:sz w:val="20"/>
                <w:szCs w:val="20"/>
              </w:rPr>
              <w:t>Gallstones</w:t>
            </w:r>
          </w:p>
        </w:tc>
        <w:tc>
          <w:tcPr>
            <w:tcW w:w="4111" w:type="dxa"/>
            <w:shd w:val="clear" w:color="auto" w:fill="CCD6E7"/>
            <w:vAlign w:val="center"/>
          </w:tcPr>
          <w:p w14:paraId="24E0754E" w14:textId="77777777" w:rsidR="000D1710" w:rsidRPr="009C7327" w:rsidRDefault="000D1710" w:rsidP="009611BE">
            <w:pPr>
              <w:pStyle w:val="BodyText"/>
              <w:spacing w:after="0" w:line="240" w:lineRule="auto"/>
              <w:rPr>
                <w:b/>
                <w:bCs/>
                <w:sz w:val="20"/>
                <w:szCs w:val="20"/>
              </w:rPr>
            </w:pPr>
            <w:r w:rsidRPr="009C7327">
              <w:rPr>
                <w:rFonts w:eastAsia="Calibri"/>
                <w:color w:val="000000"/>
                <w:kern w:val="24"/>
                <w:sz w:val="20"/>
                <w:szCs w:val="20"/>
              </w:rPr>
              <w:t>Treated GI malignancy</w:t>
            </w:r>
          </w:p>
        </w:tc>
        <w:tc>
          <w:tcPr>
            <w:tcW w:w="3119" w:type="dxa"/>
            <w:shd w:val="clear" w:color="auto" w:fill="CCD6E7"/>
            <w:vAlign w:val="center"/>
          </w:tcPr>
          <w:p w14:paraId="5200F66B" w14:textId="77777777" w:rsidR="000D1710" w:rsidRPr="009C7327" w:rsidRDefault="000D1710" w:rsidP="009611BE">
            <w:pPr>
              <w:pStyle w:val="BodyText"/>
              <w:spacing w:after="0" w:line="240" w:lineRule="auto"/>
              <w:rPr>
                <w:sz w:val="20"/>
                <w:szCs w:val="20"/>
              </w:rPr>
            </w:pPr>
            <w:r w:rsidRPr="009C7327">
              <w:rPr>
                <w:rFonts w:eastAsia="Calibri"/>
                <w:color w:val="000000"/>
                <w:kern w:val="24"/>
                <w:sz w:val="20"/>
                <w:szCs w:val="20"/>
              </w:rPr>
              <w:t>Active malignancy</w:t>
            </w:r>
          </w:p>
        </w:tc>
      </w:tr>
      <w:tr w:rsidR="000D1710" w:rsidRPr="009C7327" w14:paraId="3B77F495"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vAlign w:val="center"/>
          </w:tcPr>
          <w:p w14:paraId="6348F87E" w14:textId="77777777" w:rsidR="000D1710" w:rsidRPr="009C7327" w:rsidRDefault="000D1710" w:rsidP="009611BE">
            <w:pPr>
              <w:pStyle w:val="BodyText"/>
              <w:spacing w:after="0" w:line="240" w:lineRule="auto"/>
              <w:rPr>
                <w:sz w:val="20"/>
                <w:szCs w:val="20"/>
              </w:rPr>
            </w:pPr>
            <w:r w:rsidRPr="009C7327">
              <w:rPr>
                <w:rFonts w:eastAsia="Calibri"/>
                <w:color w:val="231F20" w:themeColor="text1"/>
                <w:kern w:val="24"/>
                <w:sz w:val="20"/>
                <w:szCs w:val="20"/>
              </w:rPr>
              <w:t>Gastro-oesophageal reflux disease</w:t>
            </w:r>
          </w:p>
        </w:tc>
        <w:tc>
          <w:tcPr>
            <w:tcW w:w="4111" w:type="dxa"/>
            <w:vAlign w:val="center"/>
          </w:tcPr>
          <w:p w14:paraId="0171D351" w14:textId="77777777" w:rsidR="000D1710" w:rsidRPr="009C7327" w:rsidRDefault="000D1710" w:rsidP="009611BE">
            <w:pPr>
              <w:pStyle w:val="BodyText"/>
              <w:spacing w:after="0" w:line="240" w:lineRule="auto"/>
              <w:rPr>
                <w:b/>
                <w:bCs/>
                <w:sz w:val="20"/>
                <w:szCs w:val="20"/>
              </w:rPr>
            </w:pPr>
            <w:r w:rsidRPr="009C7327">
              <w:rPr>
                <w:rFonts w:eastAsia="Calibri"/>
                <w:color w:val="000000"/>
                <w:kern w:val="24"/>
                <w:sz w:val="20"/>
                <w:szCs w:val="20"/>
              </w:rPr>
              <w:t>Unexplained jaundice</w:t>
            </w:r>
          </w:p>
        </w:tc>
        <w:tc>
          <w:tcPr>
            <w:tcW w:w="3119" w:type="dxa"/>
            <w:vAlign w:val="center"/>
          </w:tcPr>
          <w:p w14:paraId="06C4803A" w14:textId="65835D79" w:rsidR="000D1710" w:rsidRPr="009C7327" w:rsidRDefault="000D1710" w:rsidP="009611BE">
            <w:pPr>
              <w:pStyle w:val="BodyText"/>
              <w:spacing w:after="0" w:line="240" w:lineRule="auto"/>
              <w:rPr>
                <w:sz w:val="20"/>
                <w:szCs w:val="20"/>
              </w:rPr>
            </w:pPr>
            <w:r w:rsidRPr="009C7327">
              <w:rPr>
                <w:rFonts w:eastAsia="Calibri"/>
                <w:color w:val="000000"/>
                <w:kern w:val="24"/>
                <w:sz w:val="20"/>
                <w:szCs w:val="20"/>
              </w:rPr>
              <w:t>Cirrhosis</w:t>
            </w:r>
          </w:p>
        </w:tc>
      </w:tr>
      <w:tr w:rsidR="000D1710" w:rsidRPr="009C7327" w14:paraId="6F3D2436" w14:textId="77777777" w:rsidTr="009C7327">
        <w:trPr>
          <w:cantSplit/>
          <w:trHeight w:val="376"/>
        </w:trPr>
        <w:tc>
          <w:tcPr>
            <w:tcW w:w="3119" w:type="dxa"/>
            <w:shd w:val="clear" w:color="auto" w:fill="CCD6E7"/>
            <w:vAlign w:val="center"/>
          </w:tcPr>
          <w:p w14:paraId="03EED05C" w14:textId="77777777" w:rsidR="000D1710" w:rsidRPr="009C7327" w:rsidRDefault="000D1710" w:rsidP="009611BE">
            <w:pPr>
              <w:pStyle w:val="BodyText"/>
              <w:spacing w:after="0" w:line="240" w:lineRule="auto"/>
              <w:rPr>
                <w:sz w:val="20"/>
                <w:szCs w:val="20"/>
              </w:rPr>
            </w:pPr>
            <w:r w:rsidRPr="009C7327">
              <w:rPr>
                <w:rFonts w:eastAsia="Calibri"/>
                <w:color w:val="231F20" w:themeColor="text1"/>
                <w:kern w:val="24"/>
                <w:sz w:val="20"/>
                <w:szCs w:val="20"/>
              </w:rPr>
              <w:t>Coeliac disease</w:t>
            </w:r>
          </w:p>
        </w:tc>
        <w:tc>
          <w:tcPr>
            <w:tcW w:w="4111" w:type="dxa"/>
            <w:shd w:val="clear" w:color="auto" w:fill="CCD6E7"/>
            <w:vAlign w:val="center"/>
          </w:tcPr>
          <w:p w14:paraId="7BBC1B81" w14:textId="77777777" w:rsidR="000D1710" w:rsidRPr="009C7327" w:rsidRDefault="000D1710" w:rsidP="009611BE">
            <w:pPr>
              <w:pStyle w:val="BodyText"/>
              <w:spacing w:after="0" w:line="240" w:lineRule="auto"/>
              <w:rPr>
                <w:b/>
                <w:bCs/>
                <w:sz w:val="20"/>
                <w:szCs w:val="20"/>
              </w:rPr>
            </w:pPr>
            <w:r w:rsidRPr="009C7327">
              <w:rPr>
                <w:rFonts w:eastAsia="Calibri"/>
                <w:color w:val="000000"/>
                <w:kern w:val="24"/>
                <w:sz w:val="20"/>
                <w:szCs w:val="20"/>
              </w:rPr>
              <w:t>Acute fatty liver of pregnancy</w:t>
            </w:r>
          </w:p>
        </w:tc>
        <w:tc>
          <w:tcPr>
            <w:tcW w:w="3119" w:type="dxa"/>
            <w:shd w:val="clear" w:color="auto" w:fill="CCD6E7"/>
            <w:vAlign w:val="center"/>
          </w:tcPr>
          <w:p w14:paraId="7A782C01" w14:textId="77777777" w:rsidR="000D1710" w:rsidRPr="009C7327" w:rsidRDefault="000D1710" w:rsidP="009611BE">
            <w:pPr>
              <w:pStyle w:val="BodyText"/>
              <w:spacing w:after="0" w:line="240" w:lineRule="auto"/>
              <w:rPr>
                <w:sz w:val="20"/>
                <w:szCs w:val="20"/>
              </w:rPr>
            </w:pPr>
            <w:r w:rsidRPr="009C7327">
              <w:rPr>
                <w:rFonts w:eastAsia="Calibri"/>
                <w:color w:val="000000"/>
                <w:kern w:val="24"/>
                <w:sz w:val="20"/>
                <w:szCs w:val="20"/>
              </w:rPr>
              <w:t>Decompensated liver disease/liver failure*</w:t>
            </w:r>
          </w:p>
        </w:tc>
      </w:tr>
      <w:tr w:rsidR="000D1710" w:rsidRPr="009C7327" w14:paraId="402B1A4A"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vAlign w:val="center"/>
          </w:tcPr>
          <w:p w14:paraId="17A32395" w14:textId="77777777" w:rsidR="000D1710" w:rsidRPr="009C7327" w:rsidRDefault="000D1710" w:rsidP="009611BE">
            <w:pPr>
              <w:pStyle w:val="BodyText"/>
              <w:spacing w:after="0" w:line="240" w:lineRule="auto"/>
              <w:rPr>
                <w:sz w:val="20"/>
                <w:szCs w:val="20"/>
              </w:rPr>
            </w:pPr>
            <w:r w:rsidRPr="009C7327">
              <w:rPr>
                <w:rFonts w:eastAsia="Calibri"/>
                <w:color w:val="231F20" w:themeColor="text1"/>
                <w:kern w:val="24"/>
                <w:sz w:val="20"/>
                <w:szCs w:val="20"/>
              </w:rPr>
              <w:t>Viral hepatitis</w:t>
            </w:r>
          </w:p>
        </w:tc>
        <w:tc>
          <w:tcPr>
            <w:tcW w:w="4111" w:type="dxa"/>
            <w:vAlign w:val="center"/>
          </w:tcPr>
          <w:p w14:paraId="6898B742" w14:textId="77777777" w:rsidR="000D1710" w:rsidRPr="009C7327" w:rsidRDefault="000D1710" w:rsidP="009611BE">
            <w:pPr>
              <w:pStyle w:val="BodyText"/>
              <w:spacing w:after="0" w:line="240" w:lineRule="auto"/>
              <w:rPr>
                <w:b/>
                <w:bCs/>
                <w:sz w:val="20"/>
                <w:szCs w:val="20"/>
              </w:rPr>
            </w:pPr>
            <w:r w:rsidRPr="009C7327">
              <w:rPr>
                <w:rFonts w:eastAsia="Calibri"/>
                <w:color w:val="000000"/>
                <w:kern w:val="24"/>
                <w:sz w:val="20"/>
                <w:szCs w:val="20"/>
              </w:rPr>
              <w:t>Achalasia</w:t>
            </w:r>
          </w:p>
        </w:tc>
        <w:tc>
          <w:tcPr>
            <w:tcW w:w="3119" w:type="dxa"/>
            <w:vAlign w:val="center"/>
          </w:tcPr>
          <w:p w14:paraId="45BB5EA8" w14:textId="7BA5D653" w:rsidR="000D1710" w:rsidRPr="009C7327" w:rsidRDefault="000D1710" w:rsidP="009611BE">
            <w:pPr>
              <w:pStyle w:val="BodyText"/>
              <w:spacing w:after="0" w:line="240" w:lineRule="auto"/>
              <w:rPr>
                <w:sz w:val="20"/>
                <w:szCs w:val="20"/>
              </w:rPr>
            </w:pPr>
            <w:r w:rsidRPr="009C7327">
              <w:rPr>
                <w:rFonts w:eastAsia="Calibri"/>
                <w:color w:val="000000"/>
                <w:kern w:val="24"/>
                <w:sz w:val="20"/>
                <w:szCs w:val="20"/>
              </w:rPr>
              <w:t>Liver transplant</w:t>
            </w:r>
          </w:p>
        </w:tc>
      </w:tr>
      <w:tr w:rsidR="000D1710" w:rsidRPr="009C7327" w14:paraId="6A31063E" w14:textId="77777777" w:rsidTr="009C7327">
        <w:trPr>
          <w:cantSplit/>
          <w:trHeight w:val="376"/>
        </w:trPr>
        <w:tc>
          <w:tcPr>
            <w:tcW w:w="3119" w:type="dxa"/>
            <w:shd w:val="clear" w:color="auto" w:fill="CCD6E7"/>
            <w:vAlign w:val="center"/>
          </w:tcPr>
          <w:p w14:paraId="509C58C1" w14:textId="77777777" w:rsidR="000D1710" w:rsidRPr="009C7327" w:rsidRDefault="000D1710" w:rsidP="009611BE">
            <w:pPr>
              <w:pStyle w:val="BodyText"/>
              <w:spacing w:after="0" w:line="240" w:lineRule="auto"/>
              <w:rPr>
                <w:sz w:val="20"/>
                <w:szCs w:val="20"/>
              </w:rPr>
            </w:pPr>
            <w:r w:rsidRPr="009C7327">
              <w:rPr>
                <w:rFonts w:eastAsia="Calibri"/>
                <w:color w:val="231F20" w:themeColor="text1"/>
                <w:kern w:val="24"/>
                <w:sz w:val="20"/>
                <w:szCs w:val="20"/>
              </w:rPr>
              <w:t>Intrahepatic cholestasis (bile acids &lt;100)</w:t>
            </w:r>
          </w:p>
        </w:tc>
        <w:tc>
          <w:tcPr>
            <w:tcW w:w="4111" w:type="dxa"/>
            <w:shd w:val="clear" w:color="auto" w:fill="CCD6E7"/>
            <w:vAlign w:val="center"/>
          </w:tcPr>
          <w:p w14:paraId="1905D615" w14:textId="77777777" w:rsidR="000D1710" w:rsidRPr="009C7327" w:rsidRDefault="000D1710" w:rsidP="009611BE">
            <w:pPr>
              <w:pStyle w:val="BodyText"/>
              <w:spacing w:after="0" w:line="240" w:lineRule="auto"/>
              <w:rPr>
                <w:b/>
                <w:bCs/>
                <w:sz w:val="20"/>
                <w:szCs w:val="20"/>
              </w:rPr>
            </w:pPr>
            <w:r w:rsidRPr="009C7327">
              <w:rPr>
                <w:rFonts w:eastAsia="Calibri"/>
                <w:color w:val="000000"/>
                <w:kern w:val="24"/>
                <w:sz w:val="20"/>
                <w:szCs w:val="20"/>
              </w:rPr>
              <w:t>Intrahepatic cholestasis (bile acids ≥100)</w:t>
            </w:r>
          </w:p>
        </w:tc>
        <w:tc>
          <w:tcPr>
            <w:tcW w:w="3119" w:type="dxa"/>
            <w:shd w:val="clear" w:color="auto" w:fill="CCD6E7"/>
            <w:vAlign w:val="center"/>
          </w:tcPr>
          <w:p w14:paraId="0FF2A1AC" w14:textId="241C3985" w:rsidR="000D1710" w:rsidRPr="009C7327" w:rsidRDefault="000D1710" w:rsidP="009611BE">
            <w:pPr>
              <w:pStyle w:val="BodyText"/>
              <w:spacing w:after="0" w:line="240" w:lineRule="auto"/>
              <w:rPr>
                <w:sz w:val="20"/>
                <w:szCs w:val="20"/>
              </w:rPr>
            </w:pPr>
          </w:p>
        </w:tc>
      </w:tr>
      <w:tr w:rsidR="000D1710" w:rsidRPr="009C7327" w14:paraId="379966AE"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vAlign w:val="center"/>
          </w:tcPr>
          <w:p w14:paraId="75C972A7" w14:textId="69D77775" w:rsidR="000D1710" w:rsidRPr="009C7327" w:rsidRDefault="000D1710" w:rsidP="009611BE">
            <w:pPr>
              <w:pStyle w:val="BodyText"/>
              <w:spacing w:after="0" w:line="240" w:lineRule="auto"/>
              <w:rPr>
                <w:sz w:val="20"/>
                <w:szCs w:val="20"/>
              </w:rPr>
            </w:pPr>
            <w:r w:rsidRPr="009C7327">
              <w:rPr>
                <w:rFonts w:eastAsia="Calibri"/>
                <w:color w:val="231F20" w:themeColor="text1"/>
                <w:kern w:val="24"/>
                <w:sz w:val="20"/>
                <w:szCs w:val="20"/>
              </w:rPr>
              <w:t>Uncomplicated inflammatory bowel disease in remission</w:t>
            </w:r>
          </w:p>
        </w:tc>
        <w:tc>
          <w:tcPr>
            <w:tcW w:w="4111" w:type="dxa"/>
            <w:vAlign w:val="center"/>
          </w:tcPr>
          <w:p w14:paraId="4C4073B8" w14:textId="0A0EC309" w:rsidR="000D1710" w:rsidRPr="009C7327" w:rsidRDefault="000D1710" w:rsidP="009611BE">
            <w:pPr>
              <w:pStyle w:val="BodyText"/>
              <w:spacing w:after="0" w:line="240" w:lineRule="auto"/>
              <w:rPr>
                <w:b/>
                <w:bCs/>
                <w:sz w:val="20"/>
                <w:szCs w:val="20"/>
              </w:rPr>
            </w:pPr>
            <w:r w:rsidRPr="009C7327">
              <w:rPr>
                <w:rFonts w:eastAsia="Calibri"/>
                <w:color w:val="000000"/>
                <w:kern w:val="24"/>
                <w:sz w:val="20"/>
                <w:szCs w:val="20"/>
              </w:rPr>
              <w:t>Liver infarction/haematoma</w:t>
            </w:r>
          </w:p>
        </w:tc>
        <w:tc>
          <w:tcPr>
            <w:tcW w:w="3119" w:type="dxa"/>
            <w:vAlign w:val="center"/>
          </w:tcPr>
          <w:p w14:paraId="5FA427D8" w14:textId="735CE996" w:rsidR="000D1710" w:rsidRPr="009C7327" w:rsidRDefault="000D1710" w:rsidP="009611BE">
            <w:pPr>
              <w:pStyle w:val="BodyText"/>
              <w:spacing w:after="0" w:line="240" w:lineRule="auto"/>
              <w:rPr>
                <w:sz w:val="20"/>
                <w:szCs w:val="20"/>
              </w:rPr>
            </w:pPr>
          </w:p>
        </w:tc>
      </w:tr>
      <w:tr w:rsidR="000D1710" w:rsidRPr="009C7327" w14:paraId="5F2906CC" w14:textId="77777777" w:rsidTr="009C7327">
        <w:trPr>
          <w:cantSplit/>
          <w:trHeight w:val="376"/>
        </w:trPr>
        <w:tc>
          <w:tcPr>
            <w:tcW w:w="3119" w:type="dxa"/>
            <w:shd w:val="clear" w:color="auto" w:fill="CCD6E7"/>
            <w:vAlign w:val="center"/>
          </w:tcPr>
          <w:p w14:paraId="1304F98E" w14:textId="77777777" w:rsidR="000D1710" w:rsidRPr="009C7327" w:rsidRDefault="000D1710" w:rsidP="009611BE">
            <w:pPr>
              <w:pStyle w:val="BodyText"/>
              <w:spacing w:after="0" w:line="240" w:lineRule="auto"/>
              <w:rPr>
                <w:sz w:val="20"/>
                <w:szCs w:val="20"/>
              </w:rPr>
            </w:pPr>
            <w:r w:rsidRPr="009C7327">
              <w:rPr>
                <w:rFonts w:eastAsia="Calibri"/>
                <w:color w:val="231F20" w:themeColor="text1"/>
                <w:kern w:val="24"/>
                <w:sz w:val="20"/>
                <w:szCs w:val="20"/>
              </w:rPr>
              <w:t>Cholecystitis</w:t>
            </w:r>
          </w:p>
        </w:tc>
        <w:tc>
          <w:tcPr>
            <w:tcW w:w="4111" w:type="dxa"/>
            <w:shd w:val="clear" w:color="auto" w:fill="CCD6E7"/>
            <w:vAlign w:val="center"/>
          </w:tcPr>
          <w:p w14:paraId="40E675FB" w14:textId="77777777" w:rsidR="000D1710" w:rsidRPr="009C7327" w:rsidRDefault="000D1710" w:rsidP="009611BE">
            <w:pPr>
              <w:pStyle w:val="BodyText"/>
              <w:spacing w:after="0" w:line="240" w:lineRule="auto"/>
              <w:rPr>
                <w:b/>
                <w:bCs/>
                <w:sz w:val="20"/>
                <w:szCs w:val="20"/>
              </w:rPr>
            </w:pPr>
            <w:r w:rsidRPr="009C7327">
              <w:rPr>
                <w:rFonts w:eastAsia="Calibri"/>
                <w:color w:val="000000"/>
                <w:kern w:val="24"/>
                <w:sz w:val="20"/>
                <w:szCs w:val="20"/>
              </w:rPr>
              <w:t>Autoimmune hepatitis</w:t>
            </w:r>
          </w:p>
        </w:tc>
        <w:tc>
          <w:tcPr>
            <w:tcW w:w="3119" w:type="dxa"/>
            <w:shd w:val="clear" w:color="auto" w:fill="CCD6E7"/>
            <w:vAlign w:val="center"/>
          </w:tcPr>
          <w:p w14:paraId="6448FD44" w14:textId="4E7A1DF8" w:rsidR="000D1710" w:rsidRPr="009C7327" w:rsidRDefault="000D1710" w:rsidP="009611BE">
            <w:pPr>
              <w:pStyle w:val="BodyText"/>
              <w:spacing w:after="0" w:line="240" w:lineRule="auto"/>
              <w:rPr>
                <w:sz w:val="20"/>
                <w:szCs w:val="20"/>
              </w:rPr>
            </w:pPr>
          </w:p>
        </w:tc>
      </w:tr>
      <w:tr w:rsidR="000D1710" w:rsidRPr="009C7327" w14:paraId="31184603"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vAlign w:val="center"/>
          </w:tcPr>
          <w:p w14:paraId="43F6ABEE" w14:textId="3DDCA450" w:rsidR="000D1710" w:rsidRPr="009C7327" w:rsidRDefault="000D1710" w:rsidP="009611BE">
            <w:pPr>
              <w:pStyle w:val="BodyText"/>
              <w:spacing w:after="0" w:line="240" w:lineRule="auto"/>
              <w:rPr>
                <w:sz w:val="20"/>
                <w:szCs w:val="20"/>
              </w:rPr>
            </w:pPr>
            <w:r w:rsidRPr="009C7327">
              <w:rPr>
                <w:rFonts w:eastAsia="Calibri"/>
                <w:color w:val="231F20" w:themeColor="text1"/>
                <w:kern w:val="24"/>
                <w:sz w:val="20"/>
                <w:szCs w:val="20"/>
              </w:rPr>
              <w:t>Viral hepatitis</w:t>
            </w:r>
          </w:p>
        </w:tc>
        <w:tc>
          <w:tcPr>
            <w:tcW w:w="4111" w:type="dxa"/>
            <w:vAlign w:val="center"/>
          </w:tcPr>
          <w:p w14:paraId="692EB1E9" w14:textId="77777777" w:rsidR="000D1710" w:rsidRPr="009C7327" w:rsidRDefault="000D1710" w:rsidP="009611BE">
            <w:pPr>
              <w:pStyle w:val="BodyText"/>
              <w:spacing w:after="0" w:line="240" w:lineRule="auto"/>
              <w:rPr>
                <w:b/>
                <w:bCs/>
                <w:sz w:val="20"/>
                <w:szCs w:val="20"/>
              </w:rPr>
            </w:pPr>
            <w:r w:rsidRPr="009C7327">
              <w:rPr>
                <w:rFonts w:eastAsia="Calibri"/>
                <w:color w:val="000000"/>
                <w:kern w:val="24"/>
                <w:sz w:val="20"/>
                <w:szCs w:val="20"/>
              </w:rPr>
              <w:t>Wilson’s disease</w:t>
            </w:r>
          </w:p>
        </w:tc>
        <w:tc>
          <w:tcPr>
            <w:tcW w:w="3119" w:type="dxa"/>
            <w:vAlign w:val="center"/>
          </w:tcPr>
          <w:p w14:paraId="3F6C196D" w14:textId="54985625" w:rsidR="000D1710" w:rsidRPr="009C7327" w:rsidRDefault="000D1710" w:rsidP="009611BE">
            <w:pPr>
              <w:pStyle w:val="BodyText"/>
              <w:spacing w:after="0" w:line="240" w:lineRule="auto"/>
              <w:rPr>
                <w:sz w:val="20"/>
                <w:szCs w:val="20"/>
              </w:rPr>
            </w:pPr>
          </w:p>
        </w:tc>
      </w:tr>
      <w:tr w:rsidR="000D1710" w:rsidRPr="009C7327" w14:paraId="49DEE8E2" w14:textId="77777777" w:rsidTr="009C7327">
        <w:trPr>
          <w:cantSplit/>
          <w:trHeight w:val="376"/>
        </w:trPr>
        <w:tc>
          <w:tcPr>
            <w:tcW w:w="3119" w:type="dxa"/>
            <w:shd w:val="clear" w:color="auto" w:fill="CCD6E7"/>
            <w:vAlign w:val="center"/>
          </w:tcPr>
          <w:p w14:paraId="0B42ABA6" w14:textId="77777777" w:rsidR="000D1710" w:rsidRPr="009C7327" w:rsidRDefault="000D1710" w:rsidP="009611BE">
            <w:pPr>
              <w:pStyle w:val="BodyText"/>
              <w:spacing w:after="0" w:line="240" w:lineRule="auto"/>
              <w:rPr>
                <w:sz w:val="20"/>
                <w:szCs w:val="20"/>
              </w:rPr>
            </w:pPr>
            <w:r w:rsidRPr="009C7327">
              <w:rPr>
                <w:rFonts w:eastAsia="Calibri"/>
                <w:color w:val="231F20" w:themeColor="text1"/>
                <w:kern w:val="24"/>
                <w:sz w:val="20"/>
                <w:szCs w:val="20"/>
              </w:rPr>
              <w:t>HELLP</w:t>
            </w:r>
          </w:p>
        </w:tc>
        <w:tc>
          <w:tcPr>
            <w:tcW w:w="4111" w:type="dxa"/>
            <w:shd w:val="clear" w:color="auto" w:fill="CCD6E7"/>
            <w:vAlign w:val="center"/>
          </w:tcPr>
          <w:p w14:paraId="17BFA885" w14:textId="732DB569" w:rsidR="000D1710" w:rsidRPr="009C7327" w:rsidRDefault="000D1710" w:rsidP="009611BE">
            <w:pPr>
              <w:pStyle w:val="BodyText"/>
              <w:spacing w:after="0" w:line="240" w:lineRule="auto"/>
              <w:rPr>
                <w:b/>
                <w:bCs/>
                <w:sz w:val="20"/>
                <w:szCs w:val="20"/>
              </w:rPr>
            </w:pPr>
            <w:proofErr w:type="spellStart"/>
            <w:r w:rsidRPr="009C7327">
              <w:rPr>
                <w:rFonts w:eastAsia="Calibri"/>
                <w:color w:val="000000"/>
                <w:kern w:val="24"/>
                <w:sz w:val="20"/>
                <w:szCs w:val="20"/>
              </w:rPr>
              <w:t>Crigler</w:t>
            </w:r>
            <w:proofErr w:type="spellEnd"/>
            <w:r w:rsidRPr="009C7327">
              <w:rPr>
                <w:rFonts w:eastAsia="Calibri"/>
                <w:color w:val="000000"/>
                <w:kern w:val="24"/>
                <w:sz w:val="20"/>
                <w:szCs w:val="20"/>
              </w:rPr>
              <w:t xml:space="preserve"> Najjar syndrome</w:t>
            </w:r>
          </w:p>
        </w:tc>
        <w:tc>
          <w:tcPr>
            <w:tcW w:w="3119" w:type="dxa"/>
            <w:shd w:val="clear" w:color="auto" w:fill="CCD6E7"/>
            <w:vAlign w:val="center"/>
          </w:tcPr>
          <w:p w14:paraId="2EB0A60C" w14:textId="3B957388" w:rsidR="000D1710" w:rsidRPr="009C7327" w:rsidRDefault="000D1710" w:rsidP="009611BE">
            <w:pPr>
              <w:pStyle w:val="BodyText"/>
              <w:spacing w:after="0" w:line="240" w:lineRule="auto"/>
              <w:rPr>
                <w:sz w:val="20"/>
                <w:szCs w:val="20"/>
              </w:rPr>
            </w:pPr>
          </w:p>
        </w:tc>
      </w:tr>
      <w:tr w:rsidR="000D1710" w:rsidRPr="009C7327" w14:paraId="229B289E"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vAlign w:val="center"/>
          </w:tcPr>
          <w:p w14:paraId="07990DBB" w14:textId="6F7E01F1" w:rsidR="000D1710" w:rsidRPr="009C7327" w:rsidRDefault="000D1710" w:rsidP="009611BE">
            <w:pPr>
              <w:pStyle w:val="BodyText"/>
              <w:spacing w:after="0" w:line="240" w:lineRule="auto"/>
              <w:rPr>
                <w:sz w:val="20"/>
                <w:szCs w:val="20"/>
              </w:rPr>
            </w:pPr>
          </w:p>
        </w:tc>
        <w:tc>
          <w:tcPr>
            <w:tcW w:w="4111" w:type="dxa"/>
            <w:vAlign w:val="center"/>
          </w:tcPr>
          <w:p w14:paraId="15B07A6E" w14:textId="501D7D13" w:rsidR="000D1710" w:rsidRPr="009C7327" w:rsidRDefault="000D1710" w:rsidP="009611BE">
            <w:pPr>
              <w:pStyle w:val="BodyText"/>
              <w:spacing w:after="0" w:line="240" w:lineRule="auto"/>
              <w:rPr>
                <w:b/>
                <w:bCs/>
                <w:sz w:val="20"/>
                <w:szCs w:val="20"/>
              </w:rPr>
            </w:pPr>
            <w:r w:rsidRPr="009C7327">
              <w:rPr>
                <w:rFonts w:eastAsia="Calibri"/>
                <w:color w:val="000000"/>
                <w:kern w:val="24"/>
                <w:sz w:val="20"/>
                <w:szCs w:val="20"/>
              </w:rPr>
              <w:t>Primary biliary cirrhosis</w:t>
            </w:r>
          </w:p>
        </w:tc>
        <w:tc>
          <w:tcPr>
            <w:tcW w:w="3119" w:type="dxa"/>
            <w:vAlign w:val="center"/>
          </w:tcPr>
          <w:p w14:paraId="2E5589FB" w14:textId="16542BEE" w:rsidR="000D1710" w:rsidRPr="009C7327" w:rsidRDefault="000D1710" w:rsidP="009611BE">
            <w:pPr>
              <w:pStyle w:val="BodyText"/>
              <w:spacing w:after="0" w:line="240" w:lineRule="auto"/>
              <w:rPr>
                <w:sz w:val="20"/>
                <w:szCs w:val="20"/>
              </w:rPr>
            </w:pPr>
          </w:p>
        </w:tc>
      </w:tr>
      <w:tr w:rsidR="000D1710" w:rsidRPr="009C7327" w14:paraId="353CD51A" w14:textId="77777777" w:rsidTr="009C7327">
        <w:trPr>
          <w:cantSplit/>
          <w:trHeight w:val="376"/>
        </w:trPr>
        <w:tc>
          <w:tcPr>
            <w:tcW w:w="3119" w:type="dxa"/>
            <w:shd w:val="clear" w:color="auto" w:fill="CCD6E7"/>
            <w:vAlign w:val="center"/>
          </w:tcPr>
          <w:p w14:paraId="35720559" w14:textId="3625FDC3" w:rsidR="000D1710" w:rsidRPr="009C7327" w:rsidRDefault="000D1710" w:rsidP="009611BE">
            <w:pPr>
              <w:pStyle w:val="BodyText"/>
              <w:spacing w:after="0" w:line="240" w:lineRule="auto"/>
              <w:rPr>
                <w:sz w:val="20"/>
                <w:szCs w:val="20"/>
              </w:rPr>
            </w:pPr>
          </w:p>
        </w:tc>
        <w:tc>
          <w:tcPr>
            <w:tcW w:w="4111" w:type="dxa"/>
            <w:shd w:val="clear" w:color="auto" w:fill="CCD6E7"/>
            <w:vAlign w:val="center"/>
          </w:tcPr>
          <w:p w14:paraId="7243F9E6" w14:textId="77777777" w:rsidR="000D1710" w:rsidRPr="009C7327" w:rsidRDefault="000D1710" w:rsidP="009611BE">
            <w:pPr>
              <w:pStyle w:val="BodyText"/>
              <w:spacing w:after="0" w:line="240" w:lineRule="auto"/>
              <w:rPr>
                <w:b/>
                <w:bCs/>
                <w:sz w:val="20"/>
                <w:szCs w:val="20"/>
              </w:rPr>
            </w:pPr>
            <w:r w:rsidRPr="009C7327">
              <w:rPr>
                <w:rFonts w:eastAsia="Calibri"/>
                <w:color w:val="000000"/>
                <w:kern w:val="24"/>
                <w:sz w:val="20"/>
                <w:szCs w:val="20"/>
              </w:rPr>
              <w:t>Primary sclerosing cholangitis</w:t>
            </w:r>
          </w:p>
        </w:tc>
        <w:tc>
          <w:tcPr>
            <w:tcW w:w="3119" w:type="dxa"/>
            <w:shd w:val="clear" w:color="auto" w:fill="CCD6E7"/>
            <w:vAlign w:val="center"/>
          </w:tcPr>
          <w:p w14:paraId="34D6F334" w14:textId="6A84F36F" w:rsidR="000D1710" w:rsidRPr="009C7327" w:rsidRDefault="000D1710" w:rsidP="009611BE">
            <w:pPr>
              <w:pStyle w:val="BodyText"/>
              <w:spacing w:after="0" w:line="240" w:lineRule="auto"/>
              <w:rPr>
                <w:sz w:val="20"/>
                <w:szCs w:val="20"/>
              </w:rPr>
            </w:pPr>
          </w:p>
        </w:tc>
      </w:tr>
      <w:tr w:rsidR="003C52CD" w:rsidRPr="009C7327" w14:paraId="250DCDCD"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10351" w:type="dxa"/>
            <w:gridSpan w:val="3"/>
            <w:shd w:val="clear" w:color="auto" w:fill="D9D9D9" w:themeFill="background1" w:themeFillShade="D9"/>
            <w:vAlign w:val="center"/>
          </w:tcPr>
          <w:p w14:paraId="23A25118" w14:textId="4F1DD0C9" w:rsidR="003C52CD" w:rsidRPr="009C7327" w:rsidRDefault="003C52CD" w:rsidP="009C7327">
            <w:pPr>
              <w:pStyle w:val="BodyText"/>
              <w:keepNext/>
              <w:spacing w:after="0" w:line="240" w:lineRule="auto"/>
              <w:jc w:val="center"/>
              <w:rPr>
                <w:sz w:val="20"/>
                <w:szCs w:val="20"/>
              </w:rPr>
            </w:pPr>
            <w:r w:rsidRPr="009C7327">
              <w:rPr>
                <w:b/>
                <w:sz w:val="20"/>
                <w:szCs w:val="20"/>
              </w:rPr>
              <w:lastRenderedPageBreak/>
              <w:t>Diabetes and endocrine disease</w:t>
            </w:r>
          </w:p>
        </w:tc>
      </w:tr>
      <w:tr w:rsidR="000D1710" w:rsidRPr="009C7327" w14:paraId="36E728AE" w14:textId="77777777" w:rsidTr="009C7327">
        <w:trPr>
          <w:cantSplit/>
          <w:trHeight w:val="376"/>
        </w:trPr>
        <w:tc>
          <w:tcPr>
            <w:tcW w:w="3119" w:type="dxa"/>
            <w:shd w:val="clear" w:color="auto" w:fill="auto"/>
            <w:vAlign w:val="center"/>
          </w:tcPr>
          <w:p w14:paraId="1D9D0146" w14:textId="77777777" w:rsidR="000D1710" w:rsidRPr="009C7327" w:rsidRDefault="000D1710" w:rsidP="009611BE">
            <w:pPr>
              <w:pStyle w:val="BodyText"/>
              <w:spacing w:after="0" w:line="240" w:lineRule="auto"/>
              <w:rPr>
                <w:sz w:val="20"/>
                <w:szCs w:val="20"/>
              </w:rPr>
            </w:pPr>
            <w:r w:rsidRPr="009C7327">
              <w:rPr>
                <w:rFonts w:eastAsia="Calibri"/>
                <w:color w:val="231F20" w:themeColor="text1"/>
                <w:kern w:val="24"/>
                <w:sz w:val="20"/>
                <w:szCs w:val="20"/>
              </w:rPr>
              <w:t>Gestational diabetes mellitus</w:t>
            </w:r>
          </w:p>
        </w:tc>
        <w:tc>
          <w:tcPr>
            <w:tcW w:w="4111" w:type="dxa"/>
            <w:shd w:val="clear" w:color="auto" w:fill="auto"/>
            <w:vAlign w:val="center"/>
          </w:tcPr>
          <w:p w14:paraId="2B469F11" w14:textId="77777777" w:rsidR="000D1710" w:rsidRPr="009C7327" w:rsidRDefault="000D1710" w:rsidP="009611BE">
            <w:pPr>
              <w:pStyle w:val="BodyText"/>
              <w:spacing w:after="0" w:line="240" w:lineRule="auto"/>
              <w:rPr>
                <w:sz w:val="20"/>
                <w:szCs w:val="20"/>
              </w:rPr>
            </w:pPr>
            <w:r w:rsidRPr="009C7327">
              <w:rPr>
                <w:rFonts w:eastAsia="Calibri"/>
                <w:color w:val="000000"/>
                <w:kern w:val="24"/>
                <w:sz w:val="20"/>
                <w:szCs w:val="20"/>
              </w:rPr>
              <w:t>Type I and II diabetes mellitus with:</w:t>
            </w:r>
          </w:p>
          <w:p w14:paraId="4F511156" w14:textId="202E0F1D" w:rsidR="000D1710" w:rsidRPr="009C7327" w:rsidRDefault="000D1710" w:rsidP="003C52CD">
            <w:pPr>
              <w:pStyle w:val="BodyText"/>
              <w:numPr>
                <w:ilvl w:val="0"/>
                <w:numId w:val="35"/>
              </w:numPr>
              <w:spacing w:after="0" w:line="240" w:lineRule="auto"/>
              <w:ind w:left="247" w:hanging="218"/>
              <w:rPr>
                <w:rFonts w:eastAsia="Calibri"/>
                <w:color w:val="000000"/>
                <w:kern w:val="24"/>
                <w:sz w:val="20"/>
                <w:szCs w:val="20"/>
              </w:rPr>
            </w:pPr>
            <w:r w:rsidRPr="009C7327">
              <w:rPr>
                <w:rFonts w:eastAsia="Calibri"/>
                <w:color w:val="000000"/>
                <w:kern w:val="24"/>
                <w:sz w:val="20"/>
                <w:szCs w:val="20"/>
              </w:rPr>
              <w:t xml:space="preserve">Nephropathy (see </w:t>
            </w:r>
            <w:r w:rsidR="003C52CD" w:rsidRPr="009C7327">
              <w:rPr>
                <w:rFonts w:eastAsia="Calibri"/>
                <w:color w:val="000000"/>
                <w:kern w:val="24"/>
                <w:sz w:val="20"/>
                <w:szCs w:val="20"/>
              </w:rPr>
              <w:t>k</w:t>
            </w:r>
            <w:r w:rsidRPr="009C7327">
              <w:rPr>
                <w:rFonts w:eastAsia="Calibri"/>
                <w:color w:val="000000"/>
                <w:kern w:val="24"/>
                <w:sz w:val="20"/>
                <w:szCs w:val="20"/>
              </w:rPr>
              <w:t xml:space="preserve">idney </w:t>
            </w:r>
            <w:r w:rsidR="003C52CD" w:rsidRPr="009C7327">
              <w:rPr>
                <w:rFonts w:eastAsia="Calibri"/>
                <w:color w:val="000000"/>
                <w:kern w:val="24"/>
                <w:sz w:val="20"/>
                <w:szCs w:val="20"/>
              </w:rPr>
              <w:t>p</w:t>
            </w:r>
            <w:r w:rsidRPr="009C7327">
              <w:rPr>
                <w:rFonts w:eastAsia="Calibri"/>
                <w:color w:val="000000"/>
                <w:kern w:val="24"/>
                <w:sz w:val="20"/>
                <w:szCs w:val="20"/>
              </w:rPr>
              <w:t>athway)</w:t>
            </w:r>
          </w:p>
          <w:p w14:paraId="7412F8FD" w14:textId="1783C991" w:rsidR="000D1710" w:rsidRPr="009C7327" w:rsidRDefault="000D1710" w:rsidP="003C52CD">
            <w:pPr>
              <w:pStyle w:val="BodyText"/>
              <w:numPr>
                <w:ilvl w:val="0"/>
                <w:numId w:val="35"/>
              </w:numPr>
              <w:spacing w:after="0" w:line="240" w:lineRule="auto"/>
              <w:ind w:left="247" w:hanging="218"/>
              <w:rPr>
                <w:sz w:val="20"/>
                <w:szCs w:val="20"/>
              </w:rPr>
            </w:pPr>
            <w:r w:rsidRPr="009C7327">
              <w:rPr>
                <w:rFonts w:eastAsia="Calibri"/>
                <w:color w:val="000000"/>
                <w:kern w:val="24"/>
                <w:sz w:val="20"/>
                <w:szCs w:val="20"/>
              </w:rPr>
              <w:t xml:space="preserve">Cardiovascular disease (see </w:t>
            </w:r>
            <w:r w:rsidR="003C52CD" w:rsidRPr="009C7327">
              <w:rPr>
                <w:rFonts w:eastAsia="Calibri"/>
                <w:color w:val="000000"/>
                <w:kern w:val="24"/>
                <w:sz w:val="20"/>
                <w:szCs w:val="20"/>
              </w:rPr>
              <w:t>h</w:t>
            </w:r>
            <w:r w:rsidRPr="009C7327">
              <w:rPr>
                <w:rFonts w:eastAsia="Calibri"/>
                <w:color w:val="000000"/>
                <w:kern w:val="24"/>
                <w:sz w:val="20"/>
                <w:szCs w:val="20"/>
              </w:rPr>
              <w:t xml:space="preserve">eart </w:t>
            </w:r>
            <w:r w:rsidR="003C52CD" w:rsidRPr="009C7327">
              <w:rPr>
                <w:rFonts w:eastAsia="Calibri"/>
                <w:color w:val="000000"/>
                <w:kern w:val="24"/>
                <w:sz w:val="20"/>
                <w:szCs w:val="20"/>
              </w:rPr>
              <w:t>p</w:t>
            </w:r>
            <w:r w:rsidRPr="009C7327">
              <w:rPr>
                <w:rFonts w:eastAsia="Calibri"/>
                <w:color w:val="000000"/>
                <w:kern w:val="24"/>
                <w:sz w:val="20"/>
                <w:szCs w:val="20"/>
              </w:rPr>
              <w:t>athway)</w:t>
            </w:r>
          </w:p>
        </w:tc>
        <w:tc>
          <w:tcPr>
            <w:tcW w:w="3119" w:type="dxa"/>
            <w:shd w:val="clear" w:color="auto" w:fill="auto"/>
            <w:vAlign w:val="center"/>
          </w:tcPr>
          <w:p w14:paraId="16E6FF91" w14:textId="77777777" w:rsidR="000D1710" w:rsidRPr="009C7327" w:rsidRDefault="000D1710" w:rsidP="009611BE">
            <w:pPr>
              <w:pStyle w:val="BodyText"/>
              <w:spacing w:after="0" w:line="240" w:lineRule="auto"/>
              <w:rPr>
                <w:sz w:val="20"/>
                <w:szCs w:val="20"/>
              </w:rPr>
            </w:pPr>
            <w:r w:rsidRPr="009C7327">
              <w:rPr>
                <w:rFonts w:eastAsia="Calibri"/>
                <w:color w:val="000000"/>
                <w:kern w:val="24"/>
                <w:sz w:val="20"/>
                <w:szCs w:val="20"/>
              </w:rPr>
              <w:t>Primary and secondary hyperaldosteronism</w:t>
            </w:r>
          </w:p>
        </w:tc>
      </w:tr>
      <w:tr w:rsidR="000D1710" w:rsidRPr="009C7327" w14:paraId="6C882A66"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shd w:val="clear" w:color="auto" w:fill="auto"/>
            <w:vAlign w:val="center"/>
          </w:tcPr>
          <w:p w14:paraId="5D106E3B" w14:textId="77777777" w:rsidR="000D1710" w:rsidRPr="009C7327" w:rsidRDefault="000D1710" w:rsidP="009611BE">
            <w:pPr>
              <w:pStyle w:val="BodyText"/>
              <w:spacing w:after="0" w:line="240" w:lineRule="auto"/>
              <w:rPr>
                <w:sz w:val="20"/>
                <w:szCs w:val="20"/>
              </w:rPr>
            </w:pPr>
            <w:r w:rsidRPr="009C7327">
              <w:rPr>
                <w:rFonts w:eastAsia="Calibri"/>
                <w:color w:val="231F20" w:themeColor="text1"/>
                <w:kern w:val="24"/>
                <w:sz w:val="20"/>
                <w:szCs w:val="20"/>
              </w:rPr>
              <w:t>Type I and II diabetes mellitus including diabetic retinopathy</w:t>
            </w:r>
          </w:p>
        </w:tc>
        <w:tc>
          <w:tcPr>
            <w:tcW w:w="4111" w:type="dxa"/>
            <w:shd w:val="clear" w:color="auto" w:fill="auto"/>
            <w:vAlign w:val="center"/>
          </w:tcPr>
          <w:p w14:paraId="5A61B129" w14:textId="77777777" w:rsidR="000D1710" w:rsidRPr="009C7327" w:rsidRDefault="000D1710" w:rsidP="009611BE">
            <w:pPr>
              <w:pStyle w:val="BodyText"/>
              <w:spacing w:after="0" w:line="240" w:lineRule="auto"/>
              <w:rPr>
                <w:b/>
                <w:bCs/>
                <w:sz w:val="20"/>
                <w:szCs w:val="20"/>
              </w:rPr>
            </w:pPr>
            <w:r w:rsidRPr="009C7327">
              <w:rPr>
                <w:rFonts w:eastAsia="Calibri"/>
                <w:color w:val="000000"/>
                <w:kern w:val="24"/>
                <w:sz w:val="20"/>
                <w:szCs w:val="20"/>
              </w:rPr>
              <w:t>Monogenic diabetes</w:t>
            </w:r>
          </w:p>
        </w:tc>
        <w:tc>
          <w:tcPr>
            <w:tcW w:w="3119" w:type="dxa"/>
            <w:shd w:val="clear" w:color="auto" w:fill="auto"/>
            <w:vAlign w:val="center"/>
          </w:tcPr>
          <w:p w14:paraId="70D66907" w14:textId="77777777" w:rsidR="000D1710" w:rsidRPr="009C7327" w:rsidRDefault="000D1710" w:rsidP="009611BE">
            <w:pPr>
              <w:pStyle w:val="BodyText"/>
              <w:spacing w:after="0" w:line="240" w:lineRule="auto"/>
              <w:rPr>
                <w:sz w:val="20"/>
                <w:szCs w:val="20"/>
              </w:rPr>
            </w:pPr>
            <w:r w:rsidRPr="009C7327">
              <w:rPr>
                <w:rFonts w:eastAsia="Calibri"/>
                <w:color w:val="000000"/>
                <w:kern w:val="24"/>
                <w:sz w:val="20"/>
                <w:szCs w:val="20"/>
              </w:rPr>
              <w:t>Phaeochromocytoma or paraganglioma</w:t>
            </w:r>
          </w:p>
        </w:tc>
      </w:tr>
      <w:tr w:rsidR="000D1710" w:rsidRPr="009C7327" w14:paraId="6EE90C90" w14:textId="77777777" w:rsidTr="009C7327">
        <w:trPr>
          <w:cantSplit/>
          <w:trHeight w:val="376"/>
        </w:trPr>
        <w:tc>
          <w:tcPr>
            <w:tcW w:w="3119" w:type="dxa"/>
            <w:shd w:val="clear" w:color="auto" w:fill="auto"/>
            <w:vAlign w:val="center"/>
          </w:tcPr>
          <w:p w14:paraId="3ECF8ACF" w14:textId="77777777" w:rsidR="000D1710" w:rsidRPr="009C7327" w:rsidRDefault="000D1710" w:rsidP="009611BE">
            <w:pPr>
              <w:pStyle w:val="BodyText"/>
              <w:spacing w:after="0" w:line="240" w:lineRule="auto"/>
              <w:rPr>
                <w:sz w:val="20"/>
                <w:szCs w:val="20"/>
              </w:rPr>
            </w:pPr>
            <w:r w:rsidRPr="009C7327">
              <w:rPr>
                <w:rFonts w:eastAsia="Calibri"/>
                <w:color w:val="231F20" w:themeColor="text1"/>
                <w:kern w:val="24"/>
                <w:sz w:val="20"/>
                <w:szCs w:val="20"/>
              </w:rPr>
              <w:t>Hypothyroidism</w:t>
            </w:r>
          </w:p>
        </w:tc>
        <w:tc>
          <w:tcPr>
            <w:tcW w:w="4111" w:type="dxa"/>
            <w:shd w:val="clear" w:color="auto" w:fill="auto"/>
            <w:vAlign w:val="center"/>
          </w:tcPr>
          <w:p w14:paraId="3B0CF580" w14:textId="77777777" w:rsidR="000D1710" w:rsidRPr="009C7327" w:rsidRDefault="000D1710" w:rsidP="009611BE">
            <w:pPr>
              <w:pStyle w:val="BodyText"/>
              <w:spacing w:after="0" w:line="240" w:lineRule="auto"/>
              <w:rPr>
                <w:b/>
                <w:bCs/>
                <w:sz w:val="20"/>
                <w:szCs w:val="20"/>
              </w:rPr>
            </w:pPr>
            <w:r w:rsidRPr="009C7327">
              <w:rPr>
                <w:rFonts w:eastAsia="Calibri"/>
                <w:color w:val="000000"/>
                <w:kern w:val="24"/>
                <w:sz w:val="20"/>
                <w:szCs w:val="20"/>
              </w:rPr>
              <w:t>Thyroid hormone resistance</w:t>
            </w:r>
          </w:p>
        </w:tc>
        <w:tc>
          <w:tcPr>
            <w:tcW w:w="3119" w:type="dxa"/>
            <w:shd w:val="clear" w:color="auto" w:fill="auto"/>
            <w:vAlign w:val="center"/>
          </w:tcPr>
          <w:p w14:paraId="7B330238" w14:textId="77777777" w:rsidR="000D1710" w:rsidRPr="009C7327" w:rsidRDefault="000D1710" w:rsidP="009611BE">
            <w:pPr>
              <w:pStyle w:val="BodyText"/>
              <w:spacing w:after="0" w:line="240" w:lineRule="auto"/>
              <w:rPr>
                <w:sz w:val="20"/>
                <w:szCs w:val="20"/>
              </w:rPr>
            </w:pPr>
            <w:r w:rsidRPr="009C7327">
              <w:rPr>
                <w:rFonts w:eastAsia="Calibri"/>
                <w:color w:val="000000"/>
                <w:kern w:val="24"/>
                <w:sz w:val="20"/>
                <w:szCs w:val="20"/>
              </w:rPr>
              <w:t>Cushing’s syndrome</w:t>
            </w:r>
          </w:p>
        </w:tc>
      </w:tr>
      <w:tr w:rsidR="000D1710" w:rsidRPr="009C7327" w14:paraId="6A3C4466"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shd w:val="clear" w:color="auto" w:fill="auto"/>
            <w:vAlign w:val="center"/>
          </w:tcPr>
          <w:p w14:paraId="7D93D1A4" w14:textId="77777777" w:rsidR="000D1710" w:rsidRPr="009C7327" w:rsidRDefault="000D1710" w:rsidP="009611BE">
            <w:pPr>
              <w:pStyle w:val="BodyText"/>
              <w:spacing w:after="0" w:line="240" w:lineRule="auto"/>
              <w:rPr>
                <w:sz w:val="20"/>
                <w:szCs w:val="20"/>
              </w:rPr>
            </w:pPr>
            <w:r w:rsidRPr="009C7327">
              <w:rPr>
                <w:rFonts w:eastAsia="Calibri"/>
                <w:color w:val="231F20" w:themeColor="text1"/>
                <w:kern w:val="24"/>
                <w:sz w:val="20"/>
                <w:szCs w:val="20"/>
              </w:rPr>
              <w:t>Hyperthyroidism and gestational hyperthyroidism</w:t>
            </w:r>
          </w:p>
        </w:tc>
        <w:tc>
          <w:tcPr>
            <w:tcW w:w="4111" w:type="dxa"/>
            <w:shd w:val="clear" w:color="auto" w:fill="auto"/>
            <w:vAlign w:val="center"/>
          </w:tcPr>
          <w:p w14:paraId="2ADE7EFC" w14:textId="77777777" w:rsidR="000D1710" w:rsidRPr="009C7327" w:rsidRDefault="000D1710" w:rsidP="009611BE">
            <w:pPr>
              <w:pStyle w:val="BodyText"/>
              <w:spacing w:after="0" w:line="240" w:lineRule="auto"/>
              <w:rPr>
                <w:b/>
                <w:bCs/>
                <w:sz w:val="20"/>
                <w:szCs w:val="20"/>
              </w:rPr>
            </w:pPr>
            <w:r w:rsidRPr="009C7327">
              <w:rPr>
                <w:rFonts w:eastAsia="Calibri"/>
                <w:color w:val="000000"/>
                <w:kern w:val="24"/>
                <w:sz w:val="20"/>
                <w:szCs w:val="20"/>
              </w:rPr>
              <w:t>Thyroid cancer</w:t>
            </w:r>
          </w:p>
        </w:tc>
        <w:tc>
          <w:tcPr>
            <w:tcW w:w="3119" w:type="dxa"/>
            <w:shd w:val="clear" w:color="auto" w:fill="auto"/>
            <w:vAlign w:val="center"/>
          </w:tcPr>
          <w:p w14:paraId="34BA4D82" w14:textId="77777777" w:rsidR="000D1710" w:rsidRPr="009C7327" w:rsidRDefault="000D1710" w:rsidP="009611BE">
            <w:pPr>
              <w:pStyle w:val="BodyText"/>
              <w:spacing w:after="0" w:line="240" w:lineRule="auto"/>
              <w:rPr>
                <w:sz w:val="20"/>
                <w:szCs w:val="20"/>
              </w:rPr>
            </w:pPr>
            <w:r w:rsidRPr="009C7327">
              <w:rPr>
                <w:rFonts w:eastAsia="Calibri"/>
                <w:color w:val="000000"/>
                <w:kern w:val="24"/>
                <w:sz w:val="20"/>
                <w:szCs w:val="20"/>
              </w:rPr>
              <w:t>Acromegaly</w:t>
            </w:r>
          </w:p>
        </w:tc>
      </w:tr>
      <w:tr w:rsidR="000D1710" w:rsidRPr="009C7327" w14:paraId="2A8C5AFA" w14:textId="77777777" w:rsidTr="009C7327">
        <w:trPr>
          <w:cantSplit/>
          <w:trHeight w:val="376"/>
        </w:trPr>
        <w:tc>
          <w:tcPr>
            <w:tcW w:w="3119" w:type="dxa"/>
            <w:shd w:val="clear" w:color="auto" w:fill="auto"/>
            <w:vAlign w:val="center"/>
          </w:tcPr>
          <w:p w14:paraId="2518E488" w14:textId="77777777" w:rsidR="000D1710" w:rsidRPr="009C7327" w:rsidRDefault="000D1710" w:rsidP="009611BE">
            <w:pPr>
              <w:pStyle w:val="BodyText"/>
              <w:spacing w:after="0" w:line="240" w:lineRule="auto"/>
              <w:rPr>
                <w:sz w:val="20"/>
                <w:szCs w:val="20"/>
              </w:rPr>
            </w:pPr>
            <w:r w:rsidRPr="009C7327">
              <w:rPr>
                <w:rFonts w:eastAsia="Calibri"/>
                <w:color w:val="231F20" w:themeColor="text1"/>
                <w:kern w:val="24"/>
                <w:sz w:val="20"/>
                <w:szCs w:val="20"/>
              </w:rPr>
              <w:t>Thyroid nodules</w:t>
            </w:r>
          </w:p>
        </w:tc>
        <w:tc>
          <w:tcPr>
            <w:tcW w:w="4111" w:type="dxa"/>
            <w:shd w:val="clear" w:color="auto" w:fill="auto"/>
            <w:vAlign w:val="center"/>
          </w:tcPr>
          <w:p w14:paraId="47040953" w14:textId="77777777" w:rsidR="000D1710" w:rsidRPr="009C7327" w:rsidRDefault="000D1710" w:rsidP="009611BE">
            <w:pPr>
              <w:pStyle w:val="BodyText"/>
              <w:spacing w:after="0" w:line="240" w:lineRule="auto"/>
              <w:rPr>
                <w:b/>
                <w:bCs/>
                <w:sz w:val="20"/>
                <w:szCs w:val="20"/>
              </w:rPr>
            </w:pPr>
            <w:r w:rsidRPr="009C7327">
              <w:rPr>
                <w:rFonts w:eastAsia="Calibri"/>
                <w:color w:val="000000"/>
                <w:kern w:val="24"/>
                <w:sz w:val="20"/>
                <w:szCs w:val="20"/>
              </w:rPr>
              <w:t>Macroprolactinoma</w:t>
            </w:r>
          </w:p>
        </w:tc>
        <w:tc>
          <w:tcPr>
            <w:tcW w:w="3119" w:type="dxa"/>
            <w:shd w:val="clear" w:color="auto" w:fill="auto"/>
            <w:vAlign w:val="center"/>
          </w:tcPr>
          <w:p w14:paraId="00E69FC8" w14:textId="77777777" w:rsidR="000D1710" w:rsidRPr="009C7327" w:rsidRDefault="000D1710" w:rsidP="009611BE">
            <w:pPr>
              <w:pStyle w:val="BodyText"/>
              <w:spacing w:after="0" w:line="240" w:lineRule="auto"/>
              <w:rPr>
                <w:sz w:val="20"/>
                <w:szCs w:val="20"/>
              </w:rPr>
            </w:pPr>
            <w:r w:rsidRPr="009C7327">
              <w:rPr>
                <w:rFonts w:eastAsia="Calibri"/>
                <w:color w:val="000000"/>
                <w:kern w:val="24"/>
                <w:sz w:val="20"/>
                <w:szCs w:val="20"/>
              </w:rPr>
              <w:t>Metabolic disorders such as Glycogen storage disorder</w:t>
            </w:r>
          </w:p>
        </w:tc>
      </w:tr>
      <w:tr w:rsidR="000D1710" w:rsidRPr="009C7327" w14:paraId="2B26777B"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shd w:val="clear" w:color="auto" w:fill="auto"/>
            <w:vAlign w:val="center"/>
          </w:tcPr>
          <w:p w14:paraId="658AFFD0" w14:textId="77777777" w:rsidR="000D1710" w:rsidRPr="009C7327" w:rsidRDefault="000D1710" w:rsidP="009611BE">
            <w:pPr>
              <w:pStyle w:val="BodyText"/>
              <w:spacing w:after="0" w:line="240" w:lineRule="auto"/>
              <w:rPr>
                <w:sz w:val="20"/>
                <w:szCs w:val="20"/>
              </w:rPr>
            </w:pPr>
            <w:proofErr w:type="spellStart"/>
            <w:r w:rsidRPr="009C7327">
              <w:rPr>
                <w:rFonts w:eastAsia="Calibri"/>
                <w:color w:val="231F20" w:themeColor="text1"/>
                <w:kern w:val="24"/>
                <w:sz w:val="20"/>
                <w:szCs w:val="20"/>
              </w:rPr>
              <w:t>Microprolactinoma</w:t>
            </w:r>
            <w:proofErr w:type="spellEnd"/>
          </w:p>
        </w:tc>
        <w:tc>
          <w:tcPr>
            <w:tcW w:w="4111" w:type="dxa"/>
            <w:shd w:val="clear" w:color="auto" w:fill="auto"/>
            <w:vAlign w:val="center"/>
          </w:tcPr>
          <w:p w14:paraId="2084AF7C" w14:textId="097BE21D" w:rsidR="000D1710" w:rsidRPr="009C7327" w:rsidRDefault="000D1710" w:rsidP="009611BE">
            <w:pPr>
              <w:pStyle w:val="BodyText"/>
              <w:spacing w:after="0" w:line="240" w:lineRule="auto"/>
              <w:rPr>
                <w:b/>
                <w:bCs/>
                <w:sz w:val="20"/>
                <w:szCs w:val="20"/>
              </w:rPr>
            </w:pPr>
            <w:r w:rsidRPr="009C7327">
              <w:rPr>
                <w:rFonts w:eastAsia="Calibri"/>
                <w:color w:val="000000"/>
                <w:kern w:val="24"/>
                <w:sz w:val="20"/>
                <w:szCs w:val="20"/>
              </w:rPr>
              <w:t>Pituitary disease on hormone replacement therapy</w:t>
            </w:r>
          </w:p>
        </w:tc>
        <w:tc>
          <w:tcPr>
            <w:tcW w:w="3119" w:type="dxa"/>
            <w:shd w:val="clear" w:color="auto" w:fill="auto"/>
            <w:vAlign w:val="center"/>
          </w:tcPr>
          <w:p w14:paraId="1D4CECD5" w14:textId="77777777" w:rsidR="000D1710" w:rsidRPr="009C7327" w:rsidRDefault="000D1710" w:rsidP="009611BE">
            <w:pPr>
              <w:pStyle w:val="BodyText"/>
              <w:spacing w:after="0" w:line="240" w:lineRule="auto"/>
              <w:rPr>
                <w:sz w:val="20"/>
                <w:szCs w:val="20"/>
              </w:rPr>
            </w:pPr>
            <w:proofErr w:type="spellStart"/>
            <w:r w:rsidRPr="009C7327">
              <w:rPr>
                <w:rFonts w:eastAsia="Calibri"/>
                <w:color w:val="000000"/>
                <w:kern w:val="24"/>
                <w:sz w:val="20"/>
                <w:szCs w:val="20"/>
              </w:rPr>
              <w:t>Hyperparathyroidsm</w:t>
            </w:r>
            <w:proofErr w:type="spellEnd"/>
          </w:p>
        </w:tc>
      </w:tr>
      <w:tr w:rsidR="000D1710" w:rsidRPr="009C7327" w14:paraId="7E16D750" w14:textId="77777777" w:rsidTr="009C7327">
        <w:trPr>
          <w:cantSplit/>
          <w:trHeight w:val="376"/>
        </w:trPr>
        <w:tc>
          <w:tcPr>
            <w:tcW w:w="3119" w:type="dxa"/>
            <w:shd w:val="clear" w:color="auto" w:fill="auto"/>
            <w:vAlign w:val="center"/>
          </w:tcPr>
          <w:p w14:paraId="7DC263D3" w14:textId="709E1E84" w:rsidR="000D1710" w:rsidRPr="009C7327" w:rsidRDefault="000D1710" w:rsidP="009611BE">
            <w:pPr>
              <w:pStyle w:val="BodyText"/>
              <w:spacing w:after="0" w:line="240" w:lineRule="auto"/>
              <w:rPr>
                <w:sz w:val="20"/>
                <w:szCs w:val="20"/>
              </w:rPr>
            </w:pPr>
            <w:r w:rsidRPr="009C7327">
              <w:rPr>
                <w:rFonts w:eastAsia="Calibri"/>
                <w:color w:val="231F20" w:themeColor="text1"/>
                <w:kern w:val="24"/>
                <w:sz w:val="20"/>
                <w:szCs w:val="20"/>
              </w:rPr>
              <w:t>PCOS</w:t>
            </w:r>
          </w:p>
        </w:tc>
        <w:tc>
          <w:tcPr>
            <w:tcW w:w="4111" w:type="dxa"/>
            <w:shd w:val="clear" w:color="auto" w:fill="auto"/>
            <w:vAlign w:val="center"/>
          </w:tcPr>
          <w:p w14:paraId="257C940F" w14:textId="77777777" w:rsidR="000D1710" w:rsidRPr="009C7327" w:rsidRDefault="000D1710" w:rsidP="009611BE">
            <w:pPr>
              <w:pStyle w:val="BodyText"/>
              <w:spacing w:after="0" w:line="240" w:lineRule="auto"/>
              <w:rPr>
                <w:b/>
                <w:bCs/>
                <w:sz w:val="20"/>
                <w:szCs w:val="20"/>
              </w:rPr>
            </w:pPr>
            <w:r w:rsidRPr="009C7327">
              <w:rPr>
                <w:rFonts w:eastAsia="Calibri"/>
                <w:color w:val="000000"/>
                <w:kern w:val="24"/>
                <w:sz w:val="20"/>
                <w:szCs w:val="20"/>
              </w:rPr>
              <w:t>Congenital adrenal hyperplasia</w:t>
            </w:r>
          </w:p>
        </w:tc>
        <w:tc>
          <w:tcPr>
            <w:tcW w:w="3119" w:type="dxa"/>
            <w:shd w:val="clear" w:color="auto" w:fill="auto"/>
            <w:vAlign w:val="center"/>
          </w:tcPr>
          <w:p w14:paraId="3748C769" w14:textId="77777777" w:rsidR="000D1710" w:rsidRPr="009C7327" w:rsidRDefault="000D1710" w:rsidP="009611BE">
            <w:pPr>
              <w:pStyle w:val="BodyText"/>
              <w:spacing w:after="0" w:line="240" w:lineRule="auto"/>
              <w:rPr>
                <w:sz w:val="20"/>
                <w:szCs w:val="20"/>
              </w:rPr>
            </w:pPr>
            <w:r w:rsidRPr="009C7327">
              <w:rPr>
                <w:rFonts w:eastAsia="Calibri"/>
                <w:color w:val="000000"/>
                <w:kern w:val="24"/>
                <w:sz w:val="20"/>
                <w:szCs w:val="20"/>
              </w:rPr>
              <w:t>Hypoparathyroidism</w:t>
            </w:r>
          </w:p>
        </w:tc>
      </w:tr>
      <w:tr w:rsidR="000D1710" w:rsidRPr="009C7327" w14:paraId="1A4143BA"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shd w:val="clear" w:color="auto" w:fill="auto"/>
            <w:vAlign w:val="center"/>
          </w:tcPr>
          <w:p w14:paraId="4D4F25E7" w14:textId="77777777" w:rsidR="000D1710" w:rsidRPr="009C7327" w:rsidRDefault="000D1710" w:rsidP="009611BE">
            <w:pPr>
              <w:pStyle w:val="BodyText"/>
              <w:spacing w:after="0" w:line="240" w:lineRule="auto"/>
              <w:rPr>
                <w:sz w:val="20"/>
                <w:szCs w:val="20"/>
              </w:rPr>
            </w:pPr>
            <w:r w:rsidRPr="009C7327">
              <w:rPr>
                <w:rFonts w:eastAsia="Calibri"/>
                <w:color w:val="231F20" w:themeColor="text1"/>
                <w:kern w:val="24"/>
                <w:sz w:val="20"/>
                <w:szCs w:val="20"/>
              </w:rPr>
              <w:t>Vitamin D deficiency</w:t>
            </w:r>
          </w:p>
        </w:tc>
        <w:tc>
          <w:tcPr>
            <w:tcW w:w="4111" w:type="dxa"/>
            <w:shd w:val="clear" w:color="auto" w:fill="auto"/>
            <w:vAlign w:val="center"/>
          </w:tcPr>
          <w:p w14:paraId="706DE2E9" w14:textId="77777777" w:rsidR="000D1710" w:rsidRPr="009C7327" w:rsidRDefault="000D1710" w:rsidP="009611BE">
            <w:pPr>
              <w:pStyle w:val="BodyText"/>
              <w:spacing w:after="0" w:line="240" w:lineRule="auto"/>
              <w:rPr>
                <w:b/>
                <w:bCs/>
                <w:sz w:val="20"/>
                <w:szCs w:val="20"/>
              </w:rPr>
            </w:pPr>
            <w:r w:rsidRPr="009C7327">
              <w:rPr>
                <w:rFonts w:eastAsia="Calibri"/>
                <w:color w:val="000000"/>
                <w:kern w:val="24"/>
                <w:sz w:val="20"/>
                <w:szCs w:val="20"/>
              </w:rPr>
              <w:t>Dumping syndrome post bariatric surgery</w:t>
            </w:r>
          </w:p>
        </w:tc>
        <w:tc>
          <w:tcPr>
            <w:tcW w:w="3119" w:type="dxa"/>
            <w:shd w:val="clear" w:color="auto" w:fill="auto"/>
            <w:vAlign w:val="center"/>
          </w:tcPr>
          <w:p w14:paraId="42A6F63C" w14:textId="7D059FB1" w:rsidR="000D1710" w:rsidRPr="009C7327" w:rsidRDefault="000D1710" w:rsidP="009611BE">
            <w:pPr>
              <w:pStyle w:val="BodyText"/>
              <w:spacing w:after="0" w:line="240" w:lineRule="auto"/>
              <w:rPr>
                <w:sz w:val="20"/>
                <w:szCs w:val="20"/>
              </w:rPr>
            </w:pPr>
          </w:p>
        </w:tc>
      </w:tr>
      <w:tr w:rsidR="000D1710" w:rsidRPr="009C7327" w14:paraId="7823D724" w14:textId="77777777" w:rsidTr="009C7327">
        <w:trPr>
          <w:cantSplit/>
          <w:trHeight w:val="376"/>
        </w:trPr>
        <w:tc>
          <w:tcPr>
            <w:tcW w:w="3119" w:type="dxa"/>
            <w:shd w:val="clear" w:color="auto" w:fill="auto"/>
            <w:vAlign w:val="center"/>
          </w:tcPr>
          <w:p w14:paraId="54CFE793" w14:textId="5BCC3F50" w:rsidR="000D1710" w:rsidRPr="009C7327" w:rsidRDefault="000D1710" w:rsidP="009611BE">
            <w:pPr>
              <w:pStyle w:val="BodyText"/>
              <w:spacing w:after="0" w:line="240" w:lineRule="auto"/>
              <w:rPr>
                <w:sz w:val="20"/>
                <w:szCs w:val="20"/>
              </w:rPr>
            </w:pPr>
          </w:p>
        </w:tc>
        <w:tc>
          <w:tcPr>
            <w:tcW w:w="4111" w:type="dxa"/>
            <w:shd w:val="clear" w:color="auto" w:fill="auto"/>
            <w:vAlign w:val="center"/>
          </w:tcPr>
          <w:p w14:paraId="46F3C44D" w14:textId="77777777" w:rsidR="000D1710" w:rsidRPr="009C7327" w:rsidRDefault="000D1710" w:rsidP="009611BE">
            <w:pPr>
              <w:pStyle w:val="BodyText"/>
              <w:spacing w:after="0" w:line="240" w:lineRule="auto"/>
              <w:rPr>
                <w:b/>
                <w:bCs/>
                <w:sz w:val="20"/>
                <w:szCs w:val="20"/>
              </w:rPr>
            </w:pPr>
            <w:r w:rsidRPr="009C7327">
              <w:rPr>
                <w:rFonts w:eastAsia="Calibri"/>
                <w:color w:val="000000"/>
                <w:kern w:val="24"/>
                <w:sz w:val="20"/>
                <w:szCs w:val="20"/>
              </w:rPr>
              <w:t>Addison’s disease</w:t>
            </w:r>
          </w:p>
        </w:tc>
        <w:tc>
          <w:tcPr>
            <w:tcW w:w="3119" w:type="dxa"/>
            <w:shd w:val="clear" w:color="auto" w:fill="auto"/>
            <w:vAlign w:val="center"/>
          </w:tcPr>
          <w:p w14:paraId="10BE85E8" w14:textId="45A5BD33" w:rsidR="000D1710" w:rsidRPr="009C7327" w:rsidRDefault="000D1710" w:rsidP="009611BE">
            <w:pPr>
              <w:pStyle w:val="BodyText"/>
              <w:spacing w:after="0" w:line="240" w:lineRule="auto"/>
              <w:rPr>
                <w:sz w:val="20"/>
                <w:szCs w:val="20"/>
              </w:rPr>
            </w:pPr>
          </w:p>
        </w:tc>
      </w:tr>
      <w:tr w:rsidR="009C7327" w:rsidRPr="009C7327" w14:paraId="19BF9DB6"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10351" w:type="dxa"/>
            <w:gridSpan w:val="3"/>
            <w:shd w:val="clear" w:color="auto" w:fill="D9D9D9" w:themeFill="background1" w:themeFillShade="D9"/>
            <w:vAlign w:val="center"/>
          </w:tcPr>
          <w:p w14:paraId="2CDF9E10" w14:textId="64B7323F" w:rsidR="009C7327" w:rsidRPr="009C7327" w:rsidRDefault="009C7327" w:rsidP="009C7327">
            <w:pPr>
              <w:pStyle w:val="BodyText"/>
              <w:keepNext/>
              <w:spacing w:after="0" w:line="240" w:lineRule="auto"/>
              <w:jc w:val="center"/>
              <w:rPr>
                <w:sz w:val="20"/>
                <w:szCs w:val="20"/>
              </w:rPr>
            </w:pPr>
            <w:r w:rsidRPr="009C7327">
              <w:rPr>
                <w:b/>
                <w:sz w:val="20"/>
                <w:szCs w:val="20"/>
              </w:rPr>
              <w:t>Kidney disease</w:t>
            </w:r>
          </w:p>
        </w:tc>
      </w:tr>
      <w:tr w:rsidR="000D1710" w:rsidRPr="009C7327" w14:paraId="33378FED" w14:textId="77777777" w:rsidTr="009C7327">
        <w:trPr>
          <w:cantSplit/>
          <w:trHeight w:val="376"/>
        </w:trPr>
        <w:tc>
          <w:tcPr>
            <w:tcW w:w="3119" w:type="dxa"/>
            <w:shd w:val="clear" w:color="auto" w:fill="CCD6E7"/>
            <w:vAlign w:val="center"/>
          </w:tcPr>
          <w:p w14:paraId="6712170C" w14:textId="77777777" w:rsidR="000D1710" w:rsidRPr="009C7327" w:rsidRDefault="000D1710" w:rsidP="009C7327">
            <w:pPr>
              <w:pStyle w:val="BodyText"/>
              <w:keepNext/>
              <w:spacing w:after="0" w:line="240" w:lineRule="auto"/>
              <w:rPr>
                <w:sz w:val="20"/>
                <w:szCs w:val="20"/>
              </w:rPr>
            </w:pPr>
            <w:r w:rsidRPr="009C7327">
              <w:rPr>
                <w:rFonts w:eastAsia="Calibri"/>
                <w:color w:val="231F20" w:themeColor="text1"/>
                <w:kern w:val="24"/>
                <w:sz w:val="20"/>
                <w:szCs w:val="20"/>
              </w:rPr>
              <w:t>Single kidney</w:t>
            </w:r>
          </w:p>
        </w:tc>
        <w:tc>
          <w:tcPr>
            <w:tcW w:w="4111" w:type="dxa"/>
            <w:shd w:val="clear" w:color="auto" w:fill="CCD6E7"/>
            <w:vAlign w:val="center"/>
          </w:tcPr>
          <w:p w14:paraId="3C0B0F96" w14:textId="09A64170" w:rsidR="000D1710" w:rsidRPr="009C7327" w:rsidRDefault="000D1710" w:rsidP="009C7327">
            <w:pPr>
              <w:pStyle w:val="BodyText"/>
              <w:keepNext/>
              <w:spacing w:after="0" w:line="240" w:lineRule="auto"/>
              <w:rPr>
                <w:b/>
                <w:bCs/>
                <w:sz w:val="20"/>
                <w:szCs w:val="20"/>
              </w:rPr>
            </w:pPr>
            <w:r w:rsidRPr="009C7327">
              <w:rPr>
                <w:rFonts w:eastAsia="Calibri"/>
                <w:color w:val="000000"/>
                <w:kern w:val="24"/>
                <w:sz w:val="20"/>
                <w:szCs w:val="20"/>
              </w:rPr>
              <w:t>Lupus nephritis in remission or on treatment</w:t>
            </w:r>
          </w:p>
        </w:tc>
        <w:tc>
          <w:tcPr>
            <w:tcW w:w="3119" w:type="dxa"/>
            <w:shd w:val="clear" w:color="auto" w:fill="CCD6E7"/>
            <w:vAlign w:val="center"/>
          </w:tcPr>
          <w:p w14:paraId="0F61BA5F" w14:textId="4A291E09" w:rsidR="000D1710" w:rsidRPr="009C7327" w:rsidRDefault="000D1710" w:rsidP="009C7327">
            <w:pPr>
              <w:pStyle w:val="BodyText"/>
              <w:keepNext/>
              <w:spacing w:after="0" w:line="240" w:lineRule="auto"/>
              <w:rPr>
                <w:sz w:val="20"/>
                <w:szCs w:val="20"/>
              </w:rPr>
            </w:pPr>
            <w:r w:rsidRPr="009C7327">
              <w:rPr>
                <w:rFonts w:eastAsia="Calibri"/>
                <w:color w:val="000000"/>
                <w:kern w:val="24"/>
                <w:sz w:val="20"/>
                <w:szCs w:val="20"/>
              </w:rPr>
              <w:t>Active lupus nephritis</w:t>
            </w:r>
          </w:p>
        </w:tc>
      </w:tr>
      <w:tr w:rsidR="000D1710" w:rsidRPr="009C7327" w14:paraId="63C6D208"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vAlign w:val="center"/>
          </w:tcPr>
          <w:p w14:paraId="75994086" w14:textId="77777777" w:rsidR="000D1710" w:rsidRPr="009C7327" w:rsidRDefault="000D1710" w:rsidP="009C7327">
            <w:pPr>
              <w:pStyle w:val="BodyText"/>
              <w:keepNext/>
              <w:spacing w:after="0" w:line="240" w:lineRule="auto"/>
              <w:rPr>
                <w:sz w:val="20"/>
                <w:szCs w:val="20"/>
              </w:rPr>
            </w:pPr>
            <w:r w:rsidRPr="009C7327">
              <w:rPr>
                <w:rFonts w:eastAsia="Calibri"/>
                <w:color w:val="231F20" w:themeColor="text1"/>
                <w:kern w:val="24"/>
                <w:sz w:val="20"/>
                <w:szCs w:val="20"/>
              </w:rPr>
              <w:t>Non-lupus glomerulonephritis/ tubulointerstitial nephritis:</w:t>
            </w:r>
          </w:p>
          <w:p w14:paraId="134D552F" w14:textId="77777777" w:rsidR="000D1710" w:rsidRPr="009C7327" w:rsidRDefault="000D1710" w:rsidP="009C7327">
            <w:pPr>
              <w:pStyle w:val="BodyText"/>
              <w:keepNext/>
              <w:numPr>
                <w:ilvl w:val="0"/>
                <w:numId w:val="35"/>
              </w:numPr>
              <w:spacing w:after="0" w:line="240" w:lineRule="auto"/>
              <w:ind w:left="247" w:hanging="218"/>
              <w:rPr>
                <w:rFonts w:eastAsia="Calibri"/>
                <w:color w:val="000000"/>
                <w:kern w:val="24"/>
                <w:sz w:val="20"/>
                <w:szCs w:val="20"/>
              </w:rPr>
            </w:pPr>
            <w:r w:rsidRPr="009C7327">
              <w:rPr>
                <w:rFonts w:eastAsia="Calibri"/>
                <w:color w:val="000000"/>
                <w:kern w:val="24"/>
                <w:sz w:val="20"/>
                <w:szCs w:val="20"/>
              </w:rPr>
              <w:t>No immunosuppression AND</w:t>
            </w:r>
          </w:p>
          <w:p w14:paraId="18C9B355" w14:textId="77777777" w:rsidR="000D1710" w:rsidRPr="009C7327" w:rsidRDefault="000D1710" w:rsidP="009C7327">
            <w:pPr>
              <w:pStyle w:val="BodyText"/>
              <w:keepNext/>
              <w:numPr>
                <w:ilvl w:val="0"/>
                <w:numId w:val="35"/>
              </w:numPr>
              <w:spacing w:after="0" w:line="240" w:lineRule="auto"/>
              <w:ind w:left="247" w:hanging="218"/>
              <w:rPr>
                <w:rFonts w:eastAsia="Calibri"/>
                <w:color w:val="000000"/>
                <w:kern w:val="24"/>
                <w:sz w:val="20"/>
                <w:szCs w:val="20"/>
              </w:rPr>
            </w:pPr>
            <w:r w:rsidRPr="009C7327">
              <w:rPr>
                <w:rFonts w:eastAsia="Calibri"/>
                <w:color w:val="000000"/>
                <w:kern w:val="24"/>
                <w:sz w:val="20"/>
                <w:szCs w:val="20"/>
              </w:rPr>
              <w:t>Stable pre-pregnancy CKD stage 1-2 AND</w:t>
            </w:r>
          </w:p>
          <w:p w14:paraId="0CF193C2" w14:textId="77777777" w:rsidR="000D1710" w:rsidRPr="009C7327" w:rsidRDefault="000D1710" w:rsidP="009C7327">
            <w:pPr>
              <w:pStyle w:val="BodyText"/>
              <w:keepNext/>
              <w:numPr>
                <w:ilvl w:val="0"/>
                <w:numId w:val="35"/>
              </w:numPr>
              <w:spacing w:after="0" w:line="240" w:lineRule="auto"/>
              <w:ind w:left="247" w:hanging="218"/>
              <w:rPr>
                <w:rFonts w:eastAsia="Calibri"/>
                <w:color w:val="000000"/>
                <w:kern w:val="24"/>
                <w:sz w:val="20"/>
                <w:szCs w:val="20"/>
              </w:rPr>
            </w:pPr>
            <w:proofErr w:type="spellStart"/>
            <w:r w:rsidRPr="009C7327">
              <w:rPr>
                <w:rFonts w:eastAsia="Calibri"/>
                <w:color w:val="000000"/>
                <w:kern w:val="24"/>
                <w:sz w:val="20"/>
                <w:szCs w:val="20"/>
              </w:rPr>
              <w:t>uPCR</w:t>
            </w:r>
            <w:proofErr w:type="spellEnd"/>
            <w:r w:rsidRPr="009C7327">
              <w:rPr>
                <w:rFonts w:eastAsia="Calibri"/>
                <w:color w:val="000000"/>
                <w:kern w:val="24"/>
                <w:sz w:val="20"/>
                <w:szCs w:val="20"/>
              </w:rPr>
              <w:t xml:space="preserve"> &lt;100 or </w:t>
            </w:r>
            <w:proofErr w:type="spellStart"/>
            <w:r w:rsidRPr="009C7327">
              <w:rPr>
                <w:rFonts w:eastAsia="Calibri"/>
                <w:color w:val="000000"/>
                <w:kern w:val="24"/>
                <w:sz w:val="20"/>
                <w:szCs w:val="20"/>
              </w:rPr>
              <w:t>uACR</w:t>
            </w:r>
            <w:proofErr w:type="spellEnd"/>
            <w:r w:rsidRPr="009C7327">
              <w:rPr>
                <w:rFonts w:eastAsia="Calibri"/>
                <w:color w:val="000000"/>
                <w:kern w:val="24"/>
                <w:sz w:val="20"/>
                <w:szCs w:val="20"/>
              </w:rPr>
              <w:t xml:space="preserve"> &lt;30 AND</w:t>
            </w:r>
          </w:p>
          <w:p w14:paraId="2ABE1EB8" w14:textId="77777777" w:rsidR="000D1710" w:rsidRPr="009C7327" w:rsidRDefault="000D1710" w:rsidP="009C7327">
            <w:pPr>
              <w:pStyle w:val="BodyText"/>
              <w:keepNext/>
              <w:numPr>
                <w:ilvl w:val="0"/>
                <w:numId w:val="35"/>
              </w:numPr>
              <w:spacing w:after="0" w:line="240" w:lineRule="auto"/>
              <w:ind w:left="247" w:hanging="218"/>
              <w:rPr>
                <w:sz w:val="20"/>
                <w:szCs w:val="20"/>
              </w:rPr>
            </w:pPr>
            <w:r w:rsidRPr="009C7327">
              <w:rPr>
                <w:rFonts w:eastAsia="Calibri"/>
                <w:color w:val="000000"/>
                <w:kern w:val="24"/>
                <w:sz w:val="20"/>
                <w:szCs w:val="20"/>
              </w:rPr>
              <w:t>BP &lt;140/90</w:t>
            </w:r>
          </w:p>
        </w:tc>
        <w:tc>
          <w:tcPr>
            <w:tcW w:w="4111" w:type="dxa"/>
            <w:vAlign w:val="center"/>
          </w:tcPr>
          <w:p w14:paraId="5AAD36E2" w14:textId="77777777" w:rsidR="000D1710" w:rsidRPr="009C7327" w:rsidRDefault="000D1710" w:rsidP="009C7327">
            <w:pPr>
              <w:pStyle w:val="BodyText"/>
              <w:keepNext/>
              <w:spacing w:after="0" w:line="240" w:lineRule="auto"/>
              <w:rPr>
                <w:sz w:val="20"/>
                <w:szCs w:val="20"/>
              </w:rPr>
            </w:pPr>
            <w:r w:rsidRPr="009C7327">
              <w:rPr>
                <w:rFonts w:eastAsia="Calibri"/>
                <w:color w:val="000000"/>
                <w:kern w:val="24"/>
                <w:sz w:val="20"/>
                <w:szCs w:val="20"/>
              </w:rPr>
              <w:t>Non-lupus glomerulonephritis/ tubulointerstitial nephritis:</w:t>
            </w:r>
          </w:p>
          <w:p w14:paraId="421F653A" w14:textId="77777777" w:rsidR="000D1710" w:rsidRPr="009C7327" w:rsidRDefault="000D1710" w:rsidP="009C7327">
            <w:pPr>
              <w:pStyle w:val="BodyText"/>
              <w:keepNext/>
              <w:numPr>
                <w:ilvl w:val="0"/>
                <w:numId w:val="35"/>
              </w:numPr>
              <w:spacing w:after="0" w:line="240" w:lineRule="auto"/>
              <w:ind w:left="247" w:hanging="218"/>
              <w:rPr>
                <w:rFonts w:eastAsia="Calibri"/>
                <w:color w:val="000000"/>
                <w:kern w:val="24"/>
                <w:sz w:val="20"/>
                <w:szCs w:val="20"/>
              </w:rPr>
            </w:pPr>
            <w:r w:rsidRPr="009C7327">
              <w:rPr>
                <w:rFonts w:eastAsia="Calibri"/>
                <w:color w:val="000000"/>
                <w:kern w:val="24"/>
                <w:sz w:val="20"/>
                <w:szCs w:val="20"/>
              </w:rPr>
              <w:t>On immunosuppression OR</w:t>
            </w:r>
          </w:p>
          <w:p w14:paraId="497B35D7" w14:textId="77777777" w:rsidR="000D1710" w:rsidRPr="009C7327" w:rsidRDefault="000D1710" w:rsidP="009C7327">
            <w:pPr>
              <w:pStyle w:val="BodyText"/>
              <w:keepNext/>
              <w:numPr>
                <w:ilvl w:val="0"/>
                <w:numId w:val="35"/>
              </w:numPr>
              <w:spacing w:after="0" w:line="240" w:lineRule="auto"/>
              <w:ind w:left="247" w:hanging="218"/>
              <w:rPr>
                <w:rFonts w:eastAsia="Calibri"/>
                <w:color w:val="000000"/>
                <w:kern w:val="24"/>
                <w:sz w:val="20"/>
                <w:szCs w:val="20"/>
              </w:rPr>
            </w:pPr>
            <w:r w:rsidRPr="009C7327">
              <w:rPr>
                <w:rFonts w:eastAsia="Calibri"/>
                <w:color w:val="000000"/>
                <w:kern w:val="24"/>
                <w:sz w:val="20"/>
                <w:szCs w:val="20"/>
              </w:rPr>
              <w:t>Pre-pregnancy CKD stage 3 OR</w:t>
            </w:r>
          </w:p>
          <w:p w14:paraId="16CD55CB" w14:textId="77777777" w:rsidR="000D1710" w:rsidRPr="009C7327" w:rsidRDefault="000D1710" w:rsidP="009C7327">
            <w:pPr>
              <w:pStyle w:val="BodyText"/>
              <w:keepNext/>
              <w:numPr>
                <w:ilvl w:val="0"/>
                <w:numId w:val="35"/>
              </w:numPr>
              <w:spacing w:after="0" w:line="240" w:lineRule="auto"/>
              <w:ind w:left="247" w:hanging="218"/>
              <w:rPr>
                <w:rFonts w:eastAsia="Calibri"/>
                <w:color w:val="000000"/>
                <w:kern w:val="24"/>
                <w:sz w:val="20"/>
                <w:szCs w:val="20"/>
              </w:rPr>
            </w:pPr>
            <w:proofErr w:type="spellStart"/>
            <w:r w:rsidRPr="009C7327">
              <w:rPr>
                <w:rFonts w:eastAsia="Calibri"/>
                <w:color w:val="000000"/>
                <w:kern w:val="24"/>
                <w:sz w:val="20"/>
                <w:szCs w:val="20"/>
              </w:rPr>
              <w:t>uPCR</w:t>
            </w:r>
            <w:proofErr w:type="spellEnd"/>
            <w:r w:rsidRPr="009C7327">
              <w:rPr>
                <w:rFonts w:eastAsia="Calibri"/>
                <w:color w:val="000000"/>
                <w:kern w:val="24"/>
                <w:sz w:val="20"/>
                <w:szCs w:val="20"/>
              </w:rPr>
              <w:t xml:space="preserve"> ≥100 or </w:t>
            </w:r>
            <w:proofErr w:type="spellStart"/>
            <w:r w:rsidRPr="009C7327">
              <w:rPr>
                <w:rFonts w:eastAsia="Calibri"/>
                <w:color w:val="000000"/>
                <w:kern w:val="24"/>
                <w:sz w:val="20"/>
                <w:szCs w:val="20"/>
              </w:rPr>
              <w:t>uACR</w:t>
            </w:r>
            <w:proofErr w:type="spellEnd"/>
            <w:r w:rsidRPr="009C7327">
              <w:rPr>
                <w:rFonts w:eastAsia="Calibri"/>
                <w:color w:val="000000"/>
                <w:kern w:val="24"/>
                <w:sz w:val="20"/>
                <w:szCs w:val="20"/>
              </w:rPr>
              <w:t xml:space="preserve"> ≥ 30 OR</w:t>
            </w:r>
          </w:p>
          <w:p w14:paraId="5E611AAC" w14:textId="77777777" w:rsidR="000D1710" w:rsidRPr="009C7327" w:rsidRDefault="000D1710" w:rsidP="009C7327">
            <w:pPr>
              <w:pStyle w:val="BodyText"/>
              <w:keepNext/>
              <w:numPr>
                <w:ilvl w:val="0"/>
                <w:numId w:val="35"/>
              </w:numPr>
              <w:spacing w:after="0" w:line="240" w:lineRule="auto"/>
              <w:ind w:left="247" w:hanging="218"/>
              <w:rPr>
                <w:sz w:val="20"/>
                <w:szCs w:val="20"/>
              </w:rPr>
            </w:pPr>
            <w:r w:rsidRPr="009C7327">
              <w:rPr>
                <w:rFonts w:eastAsia="Calibri"/>
                <w:color w:val="000000"/>
                <w:kern w:val="24"/>
                <w:sz w:val="20"/>
                <w:szCs w:val="20"/>
              </w:rPr>
              <w:t>BP &gt;140/90</w:t>
            </w:r>
          </w:p>
        </w:tc>
        <w:tc>
          <w:tcPr>
            <w:tcW w:w="3119" w:type="dxa"/>
            <w:vAlign w:val="center"/>
          </w:tcPr>
          <w:p w14:paraId="4E490EBA" w14:textId="77777777" w:rsidR="000D1710" w:rsidRPr="009C7327" w:rsidRDefault="000D1710" w:rsidP="009C7327">
            <w:pPr>
              <w:pStyle w:val="BodyText"/>
              <w:keepNext/>
              <w:spacing w:after="0" w:line="240" w:lineRule="auto"/>
              <w:rPr>
                <w:sz w:val="20"/>
                <w:szCs w:val="20"/>
              </w:rPr>
            </w:pPr>
            <w:r w:rsidRPr="009C7327">
              <w:rPr>
                <w:rFonts w:eastAsia="Calibri"/>
                <w:color w:val="000000"/>
                <w:kern w:val="24"/>
                <w:sz w:val="20"/>
                <w:szCs w:val="20"/>
              </w:rPr>
              <w:t>Pre-pregnancy CKD stages 4 and 5</w:t>
            </w:r>
          </w:p>
        </w:tc>
      </w:tr>
      <w:tr w:rsidR="000D1710" w:rsidRPr="009C7327" w14:paraId="74B45455" w14:textId="77777777" w:rsidTr="009C7327">
        <w:trPr>
          <w:cantSplit/>
          <w:trHeight w:val="376"/>
        </w:trPr>
        <w:tc>
          <w:tcPr>
            <w:tcW w:w="3119" w:type="dxa"/>
            <w:shd w:val="clear" w:color="auto" w:fill="CCD6E7"/>
            <w:vAlign w:val="center"/>
          </w:tcPr>
          <w:p w14:paraId="5D745C4A" w14:textId="77777777" w:rsidR="000D1710" w:rsidRPr="009C7327" w:rsidRDefault="000D1710" w:rsidP="009C7327">
            <w:pPr>
              <w:pStyle w:val="BodyText"/>
              <w:keepNext/>
              <w:spacing w:after="0" w:line="240" w:lineRule="auto"/>
              <w:rPr>
                <w:sz w:val="20"/>
                <w:szCs w:val="20"/>
              </w:rPr>
            </w:pPr>
            <w:r w:rsidRPr="009C7327">
              <w:rPr>
                <w:rFonts w:eastAsia="Calibri"/>
                <w:color w:val="231F20" w:themeColor="text1"/>
                <w:kern w:val="24"/>
                <w:sz w:val="20"/>
                <w:szCs w:val="20"/>
              </w:rPr>
              <w:t>Kidney stones</w:t>
            </w:r>
          </w:p>
        </w:tc>
        <w:tc>
          <w:tcPr>
            <w:tcW w:w="4111" w:type="dxa"/>
            <w:shd w:val="clear" w:color="auto" w:fill="CCD6E7"/>
            <w:vAlign w:val="center"/>
          </w:tcPr>
          <w:p w14:paraId="5405657D" w14:textId="77777777" w:rsidR="000D1710" w:rsidRPr="009C7327" w:rsidRDefault="000D1710" w:rsidP="009C7327">
            <w:pPr>
              <w:pStyle w:val="BodyText"/>
              <w:keepNext/>
              <w:spacing w:after="0" w:line="240" w:lineRule="auto"/>
              <w:rPr>
                <w:b/>
                <w:bCs/>
                <w:sz w:val="20"/>
                <w:szCs w:val="20"/>
              </w:rPr>
            </w:pPr>
            <w:r w:rsidRPr="009C7327">
              <w:rPr>
                <w:rFonts w:eastAsia="Calibri"/>
                <w:color w:val="000000"/>
                <w:kern w:val="24"/>
                <w:sz w:val="20"/>
                <w:szCs w:val="20"/>
              </w:rPr>
              <w:t>Kidney transplant</w:t>
            </w:r>
          </w:p>
        </w:tc>
        <w:tc>
          <w:tcPr>
            <w:tcW w:w="3119" w:type="dxa"/>
            <w:shd w:val="clear" w:color="auto" w:fill="CCD6E7"/>
            <w:vAlign w:val="center"/>
          </w:tcPr>
          <w:p w14:paraId="6E1347BF" w14:textId="77777777" w:rsidR="000D1710" w:rsidRPr="009C7327" w:rsidRDefault="000D1710" w:rsidP="009C7327">
            <w:pPr>
              <w:pStyle w:val="BodyText"/>
              <w:keepNext/>
              <w:spacing w:after="0" w:line="240" w:lineRule="auto"/>
              <w:rPr>
                <w:sz w:val="20"/>
                <w:szCs w:val="20"/>
              </w:rPr>
            </w:pPr>
            <w:r w:rsidRPr="009C7327">
              <w:rPr>
                <w:rFonts w:eastAsia="Calibri"/>
                <w:color w:val="000000"/>
                <w:kern w:val="24"/>
                <w:sz w:val="20"/>
                <w:szCs w:val="20"/>
              </w:rPr>
              <w:t>Combined kidney-pancreas transplant</w:t>
            </w:r>
          </w:p>
        </w:tc>
      </w:tr>
      <w:tr w:rsidR="000D1710" w:rsidRPr="009C7327" w14:paraId="092742AF"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vAlign w:val="center"/>
          </w:tcPr>
          <w:p w14:paraId="45143B16" w14:textId="77777777" w:rsidR="000D1710" w:rsidRPr="009C7327" w:rsidRDefault="000D1710" w:rsidP="009611BE">
            <w:pPr>
              <w:pStyle w:val="BodyText"/>
              <w:spacing w:after="0" w:line="240" w:lineRule="auto"/>
              <w:rPr>
                <w:sz w:val="20"/>
                <w:szCs w:val="20"/>
              </w:rPr>
            </w:pPr>
            <w:r w:rsidRPr="009C7327">
              <w:rPr>
                <w:rFonts w:eastAsia="Calibri"/>
                <w:color w:val="231F20" w:themeColor="text1"/>
                <w:kern w:val="24"/>
                <w:sz w:val="20"/>
                <w:szCs w:val="20"/>
              </w:rPr>
              <w:t>Recurrent UTI (no immunosuppression)</w:t>
            </w:r>
          </w:p>
        </w:tc>
        <w:tc>
          <w:tcPr>
            <w:tcW w:w="4111" w:type="dxa"/>
            <w:vAlign w:val="center"/>
          </w:tcPr>
          <w:p w14:paraId="342B9EB9" w14:textId="77777777" w:rsidR="000D1710" w:rsidRPr="009C7327" w:rsidRDefault="000D1710" w:rsidP="009611BE">
            <w:pPr>
              <w:pStyle w:val="BodyText"/>
              <w:spacing w:after="0" w:line="240" w:lineRule="auto"/>
              <w:rPr>
                <w:b/>
                <w:bCs/>
                <w:sz w:val="20"/>
                <w:szCs w:val="20"/>
              </w:rPr>
            </w:pPr>
            <w:r w:rsidRPr="009C7327">
              <w:rPr>
                <w:rFonts w:eastAsia="Calibri"/>
                <w:color w:val="000000"/>
                <w:kern w:val="24"/>
                <w:sz w:val="20"/>
                <w:szCs w:val="20"/>
              </w:rPr>
              <w:t>Recurrent UTI on immunosuppression</w:t>
            </w:r>
          </w:p>
        </w:tc>
        <w:tc>
          <w:tcPr>
            <w:tcW w:w="3119" w:type="dxa"/>
            <w:vAlign w:val="center"/>
          </w:tcPr>
          <w:p w14:paraId="0874EFFC" w14:textId="77777777" w:rsidR="000D1710" w:rsidRPr="009C7327" w:rsidRDefault="000D1710" w:rsidP="009611BE">
            <w:pPr>
              <w:pStyle w:val="BodyText"/>
              <w:spacing w:after="0" w:line="240" w:lineRule="auto"/>
              <w:rPr>
                <w:sz w:val="20"/>
                <w:szCs w:val="20"/>
              </w:rPr>
            </w:pPr>
            <w:r w:rsidRPr="009C7327">
              <w:rPr>
                <w:rFonts w:eastAsia="Calibri"/>
                <w:color w:val="000000"/>
                <w:kern w:val="24"/>
                <w:sz w:val="20"/>
                <w:szCs w:val="20"/>
              </w:rPr>
              <w:t>Dialysis</w:t>
            </w:r>
          </w:p>
        </w:tc>
      </w:tr>
      <w:tr w:rsidR="000D1710" w:rsidRPr="009C7327" w14:paraId="325DB570" w14:textId="77777777" w:rsidTr="009C7327">
        <w:trPr>
          <w:cantSplit/>
          <w:trHeight w:val="376"/>
        </w:trPr>
        <w:tc>
          <w:tcPr>
            <w:tcW w:w="3119" w:type="dxa"/>
            <w:shd w:val="clear" w:color="auto" w:fill="CCD6E7"/>
            <w:vAlign w:val="center"/>
          </w:tcPr>
          <w:p w14:paraId="4235E687" w14:textId="26722085" w:rsidR="000D1710" w:rsidRPr="009C7327" w:rsidRDefault="000D1710" w:rsidP="009611BE">
            <w:pPr>
              <w:pStyle w:val="BodyText"/>
              <w:spacing w:after="0" w:line="240" w:lineRule="auto"/>
              <w:rPr>
                <w:sz w:val="20"/>
                <w:szCs w:val="20"/>
              </w:rPr>
            </w:pPr>
            <w:r w:rsidRPr="009C7327">
              <w:rPr>
                <w:rFonts w:eastAsia="Calibri"/>
                <w:color w:val="231F20" w:themeColor="text1"/>
                <w:kern w:val="24"/>
                <w:sz w:val="20"/>
                <w:szCs w:val="20"/>
              </w:rPr>
              <w:t>Reflux nephropathy with normal kidney function</w:t>
            </w:r>
          </w:p>
        </w:tc>
        <w:tc>
          <w:tcPr>
            <w:tcW w:w="4111" w:type="dxa"/>
            <w:shd w:val="clear" w:color="auto" w:fill="CCD6E7"/>
            <w:vAlign w:val="center"/>
          </w:tcPr>
          <w:p w14:paraId="28D9904D" w14:textId="77777777" w:rsidR="000D1710" w:rsidRPr="009C7327" w:rsidRDefault="000D1710" w:rsidP="009611BE">
            <w:pPr>
              <w:pStyle w:val="BodyText"/>
              <w:spacing w:after="0" w:line="240" w:lineRule="auto"/>
              <w:rPr>
                <w:b/>
                <w:bCs/>
                <w:sz w:val="20"/>
                <w:szCs w:val="20"/>
              </w:rPr>
            </w:pPr>
            <w:r w:rsidRPr="009C7327">
              <w:rPr>
                <w:rFonts w:eastAsia="Calibri"/>
                <w:color w:val="000000"/>
                <w:kern w:val="24"/>
                <w:sz w:val="20"/>
                <w:szCs w:val="20"/>
              </w:rPr>
              <w:t>Reflux nephropathy with abnormal kidney function</w:t>
            </w:r>
          </w:p>
        </w:tc>
        <w:tc>
          <w:tcPr>
            <w:tcW w:w="3119" w:type="dxa"/>
            <w:shd w:val="clear" w:color="auto" w:fill="CCD6E7"/>
            <w:vAlign w:val="center"/>
          </w:tcPr>
          <w:p w14:paraId="3D81A9D9" w14:textId="03565008" w:rsidR="000D1710" w:rsidRPr="009C7327" w:rsidRDefault="000D1710" w:rsidP="009611BE">
            <w:pPr>
              <w:pStyle w:val="BodyText"/>
              <w:spacing w:after="0" w:line="240" w:lineRule="auto"/>
              <w:rPr>
                <w:sz w:val="20"/>
                <w:szCs w:val="20"/>
              </w:rPr>
            </w:pPr>
            <w:r w:rsidRPr="009C7327">
              <w:rPr>
                <w:rFonts w:eastAsia="Calibri"/>
                <w:color w:val="000000"/>
                <w:kern w:val="24"/>
                <w:sz w:val="20"/>
                <w:szCs w:val="20"/>
              </w:rPr>
              <w:t>New renal vasculitis in pregnancy and vasculitis on immunosuppression</w:t>
            </w:r>
          </w:p>
        </w:tc>
      </w:tr>
      <w:tr w:rsidR="000D1710" w:rsidRPr="009C7327" w14:paraId="78BB6A02"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vAlign w:val="center"/>
          </w:tcPr>
          <w:p w14:paraId="500647BA" w14:textId="77777777" w:rsidR="000D1710" w:rsidRPr="009C7327" w:rsidRDefault="000D1710" w:rsidP="009611BE">
            <w:pPr>
              <w:pStyle w:val="BodyText"/>
              <w:spacing w:after="0" w:line="240" w:lineRule="auto"/>
              <w:rPr>
                <w:sz w:val="20"/>
                <w:szCs w:val="20"/>
              </w:rPr>
            </w:pPr>
            <w:r w:rsidRPr="009C7327">
              <w:rPr>
                <w:rFonts w:eastAsia="Calibri"/>
                <w:color w:val="231F20" w:themeColor="text1"/>
                <w:kern w:val="24"/>
                <w:sz w:val="20"/>
                <w:szCs w:val="20"/>
              </w:rPr>
              <w:t>Autosomal dominant polycystic kidney disease with normal kidney function.</w:t>
            </w:r>
          </w:p>
        </w:tc>
        <w:tc>
          <w:tcPr>
            <w:tcW w:w="4111" w:type="dxa"/>
            <w:vAlign w:val="center"/>
          </w:tcPr>
          <w:p w14:paraId="1BFA93B2" w14:textId="77777777" w:rsidR="000D1710" w:rsidRPr="009C7327" w:rsidRDefault="000D1710" w:rsidP="009611BE">
            <w:pPr>
              <w:pStyle w:val="BodyText"/>
              <w:spacing w:after="0" w:line="240" w:lineRule="auto"/>
              <w:rPr>
                <w:b/>
                <w:bCs/>
                <w:sz w:val="20"/>
                <w:szCs w:val="20"/>
              </w:rPr>
            </w:pPr>
            <w:r w:rsidRPr="009C7327">
              <w:rPr>
                <w:rFonts w:eastAsia="Calibri"/>
                <w:color w:val="000000"/>
                <w:kern w:val="24"/>
                <w:sz w:val="20"/>
                <w:szCs w:val="20"/>
              </w:rPr>
              <w:t>Autosomal dominant polycystic kidney disease with abnormal kidney function</w:t>
            </w:r>
          </w:p>
        </w:tc>
        <w:tc>
          <w:tcPr>
            <w:tcW w:w="3119" w:type="dxa"/>
            <w:vAlign w:val="center"/>
          </w:tcPr>
          <w:p w14:paraId="7700E76E" w14:textId="77777777" w:rsidR="000D1710" w:rsidRPr="009C7327" w:rsidRDefault="000D1710" w:rsidP="009611BE">
            <w:pPr>
              <w:pStyle w:val="BodyText"/>
              <w:spacing w:after="0" w:line="240" w:lineRule="auto"/>
              <w:rPr>
                <w:sz w:val="20"/>
                <w:szCs w:val="20"/>
              </w:rPr>
            </w:pPr>
            <w:r w:rsidRPr="009C7327">
              <w:rPr>
                <w:rFonts w:eastAsia="Calibri"/>
                <w:color w:val="000000"/>
                <w:kern w:val="24"/>
                <w:sz w:val="20"/>
                <w:szCs w:val="20"/>
              </w:rPr>
              <w:t>Scleroderma renal crisis</w:t>
            </w:r>
          </w:p>
        </w:tc>
      </w:tr>
      <w:tr w:rsidR="000D1710" w:rsidRPr="009C7327" w14:paraId="6F882019" w14:textId="77777777" w:rsidTr="009C7327">
        <w:trPr>
          <w:cantSplit/>
          <w:trHeight w:val="376"/>
        </w:trPr>
        <w:tc>
          <w:tcPr>
            <w:tcW w:w="3119" w:type="dxa"/>
            <w:shd w:val="clear" w:color="auto" w:fill="CCD6E7"/>
            <w:vAlign w:val="center"/>
          </w:tcPr>
          <w:p w14:paraId="48DEC317" w14:textId="214901D9" w:rsidR="000D1710" w:rsidRPr="009C7327" w:rsidRDefault="000D1710" w:rsidP="009611BE">
            <w:pPr>
              <w:pStyle w:val="BodyText"/>
              <w:spacing w:after="0" w:line="240" w:lineRule="auto"/>
              <w:rPr>
                <w:sz w:val="20"/>
                <w:szCs w:val="20"/>
              </w:rPr>
            </w:pPr>
            <w:r w:rsidRPr="009C7327">
              <w:rPr>
                <w:rFonts w:eastAsia="Calibri"/>
                <w:color w:val="231F20" w:themeColor="text1"/>
                <w:kern w:val="24"/>
                <w:sz w:val="20"/>
                <w:szCs w:val="20"/>
              </w:rPr>
              <w:t>AKI responding to treatment</w:t>
            </w:r>
          </w:p>
        </w:tc>
        <w:tc>
          <w:tcPr>
            <w:tcW w:w="4111" w:type="dxa"/>
            <w:shd w:val="clear" w:color="auto" w:fill="CCD6E7"/>
            <w:vAlign w:val="center"/>
          </w:tcPr>
          <w:p w14:paraId="24EF26A5" w14:textId="77777777" w:rsidR="000D1710" w:rsidRPr="009C7327" w:rsidRDefault="000D1710" w:rsidP="009611BE">
            <w:pPr>
              <w:pStyle w:val="BodyText"/>
              <w:spacing w:after="0" w:line="240" w:lineRule="auto"/>
              <w:rPr>
                <w:b/>
                <w:bCs/>
                <w:sz w:val="20"/>
                <w:szCs w:val="20"/>
              </w:rPr>
            </w:pPr>
            <w:r w:rsidRPr="009C7327">
              <w:rPr>
                <w:rFonts w:eastAsia="Calibri"/>
                <w:color w:val="000000"/>
                <w:kern w:val="24"/>
                <w:sz w:val="20"/>
                <w:szCs w:val="20"/>
              </w:rPr>
              <w:t>AKI not responding to treatment or not resolving post-partum</w:t>
            </w:r>
          </w:p>
        </w:tc>
        <w:tc>
          <w:tcPr>
            <w:tcW w:w="3119" w:type="dxa"/>
            <w:shd w:val="clear" w:color="auto" w:fill="CCD6E7"/>
            <w:vAlign w:val="center"/>
          </w:tcPr>
          <w:p w14:paraId="05AA40E4" w14:textId="08D8AB7E" w:rsidR="000D1710" w:rsidRPr="009C7327" w:rsidRDefault="000D1710" w:rsidP="009611BE">
            <w:pPr>
              <w:pStyle w:val="BodyText"/>
              <w:spacing w:after="0" w:line="240" w:lineRule="auto"/>
              <w:rPr>
                <w:sz w:val="20"/>
                <w:szCs w:val="20"/>
              </w:rPr>
            </w:pPr>
          </w:p>
        </w:tc>
      </w:tr>
      <w:tr w:rsidR="000D1710" w:rsidRPr="009C7327" w14:paraId="2F077304"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vAlign w:val="center"/>
          </w:tcPr>
          <w:p w14:paraId="544464E7" w14:textId="77777777" w:rsidR="000D1710" w:rsidRPr="009C7327" w:rsidRDefault="000D1710" w:rsidP="009611BE">
            <w:pPr>
              <w:pStyle w:val="BodyText"/>
              <w:spacing w:after="0" w:line="240" w:lineRule="auto"/>
              <w:rPr>
                <w:sz w:val="20"/>
                <w:szCs w:val="20"/>
              </w:rPr>
            </w:pPr>
            <w:r w:rsidRPr="009C7327">
              <w:rPr>
                <w:rFonts w:eastAsia="Calibri"/>
                <w:color w:val="231F20" w:themeColor="text1"/>
                <w:kern w:val="24"/>
                <w:sz w:val="20"/>
                <w:szCs w:val="20"/>
              </w:rPr>
              <w:lastRenderedPageBreak/>
              <w:t>AKI due to pre-eclampsia resolved post-partum</w:t>
            </w:r>
          </w:p>
        </w:tc>
        <w:tc>
          <w:tcPr>
            <w:tcW w:w="4111" w:type="dxa"/>
            <w:vAlign w:val="center"/>
          </w:tcPr>
          <w:p w14:paraId="5EDFDBA4" w14:textId="77777777" w:rsidR="000D1710" w:rsidRPr="009C7327" w:rsidRDefault="000D1710" w:rsidP="009611BE">
            <w:pPr>
              <w:pStyle w:val="BodyText"/>
              <w:spacing w:after="0" w:line="240" w:lineRule="auto"/>
              <w:rPr>
                <w:b/>
                <w:bCs/>
                <w:sz w:val="20"/>
                <w:szCs w:val="20"/>
              </w:rPr>
            </w:pPr>
            <w:r w:rsidRPr="009C7327">
              <w:rPr>
                <w:rFonts w:eastAsia="Calibri"/>
                <w:color w:val="000000"/>
                <w:kern w:val="24"/>
                <w:sz w:val="20"/>
                <w:szCs w:val="20"/>
              </w:rPr>
              <w:t>Previous renal vasculitis in remission, no longer on treatment</w:t>
            </w:r>
          </w:p>
        </w:tc>
        <w:tc>
          <w:tcPr>
            <w:tcW w:w="3119" w:type="dxa"/>
            <w:vAlign w:val="center"/>
          </w:tcPr>
          <w:p w14:paraId="4CFA07BB" w14:textId="7B37A316" w:rsidR="000D1710" w:rsidRPr="009C7327" w:rsidRDefault="000D1710" w:rsidP="009611BE">
            <w:pPr>
              <w:pStyle w:val="BodyText"/>
              <w:spacing w:after="0" w:line="240" w:lineRule="auto"/>
              <w:rPr>
                <w:sz w:val="20"/>
                <w:szCs w:val="20"/>
              </w:rPr>
            </w:pPr>
          </w:p>
        </w:tc>
      </w:tr>
      <w:tr w:rsidR="000D1710" w:rsidRPr="009C7327" w14:paraId="2634AEF0" w14:textId="77777777" w:rsidTr="009C7327">
        <w:trPr>
          <w:cantSplit/>
          <w:trHeight w:val="376"/>
        </w:trPr>
        <w:tc>
          <w:tcPr>
            <w:tcW w:w="3119" w:type="dxa"/>
            <w:shd w:val="clear" w:color="auto" w:fill="CCD6E7"/>
            <w:vAlign w:val="center"/>
          </w:tcPr>
          <w:p w14:paraId="4BD43160" w14:textId="20788A8A" w:rsidR="000D1710" w:rsidRPr="009C7327" w:rsidRDefault="000D1710" w:rsidP="009611BE">
            <w:pPr>
              <w:pStyle w:val="BodyText"/>
              <w:spacing w:after="0" w:line="240" w:lineRule="auto"/>
              <w:rPr>
                <w:sz w:val="20"/>
                <w:szCs w:val="20"/>
              </w:rPr>
            </w:pPr>
          </w:p>
        </w:tc>
        <w:tc>
          <w:tcPr>
            <w:tcW w:w="4111" w:type="dxa"/>
            <w:shd w:val="clear" w:color="auto" w:fill="CCD6E7"/>
            <w:vAlign w:val="center"/>
          </w:tcPr>
          <w:p w14:paraId="2677104F" w14:textId="77777777" w:rsidR="000D1710" w:rsidRPr="009C7327" w:rsidRDefault="000D1710" w:rsidP="009611BE">
            <w:pPr>
              <w:pStyle w:val="BodyText"/>
              <w:spacing w:after="0" w:line="240" w:lineRule="auto"/>
              <w:rPr>
                <w:b/>
                <w:bCs/>
                <w:sz w:val="20"/>
                <w:szCs w:val="20"/>
              </w:rPr>
            </w:pPr>
            <w:r w:rsidRPr="009C7327">
              <w:rPr>
                <w:rFonts w:eastAsia="Calibri"/>
                <w:color w:val="000000"/>
                <w:kern w:val="24"/>
                <w:sz w:val="20"/>
                <w:szCs w:val="20"/>
              </w:rPr>
              <w:t>Previous urinary tract reconstructive surgery</w:t>
            </w:r>
          </w:p>
        </w:tc>
        <w:tc>
          <w:tcPr>
            <w:tcW w:w="3119" w:type="dxa"/>
            <w:shd w:val="clear" w:color="auto" w:fill="CCD6E7"/>
            <w:vAlign w:val="center"/>
          </w:tcPr>
          <w:p w14:paraId="40B977C6" w14:textId="4B679A3D" w:rsidR="000D1710" w:rsidRPr="009C7327" w:rsidRDefault="000D1710" w:rsidP="009611BE">
            <w:pPr>
              <w:pStyle w:val="BodyText"/>
              <w:spacing w:after="0" w:line="240" w:lineRule="auto"/>
              <w:rPr>
                <w:sz w:val="20"/>
                <w:szCs w:val="20"/>
              </w:rPr>
            </w:pPr>
          </w:p>
        </w:tc>
      </w:tr>
      <w:tr w:rsidR="000D1710" w:rsidRPr="009C7327" w14:paraId="548CB8DC"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vAlign w:val="center"/>
          </w:tcPr>
          <w:p w14:paraId="4E27F604" w14:textId="6094E249" w:rsidR="000D1710" w:rsidRPr="009C7327" w:rsidRDefault="000D1710" w:rsidP="009611BE">
            <w:pPr>
              <w:pStyle w:val="BodyText"/>
              <w:spacing w:after="0" w:line="240" w:lineRule="auto"/>
              <w:rPr>
                <w:sz w:val="20"/>
                <w:szCs w:val="20"/>
              </w:rPr>
            </w:pPr>
          </w:p>
        </w:tc>
        <w:tc>
          <w:tcPr>
            <w:tcW w:w="4111" w:type="dxa"/>
            <w:vAlign w:val="center"/>
          </w:tcPr>
          <w:p w14:paraId="6E15E692" w14:textId="77777777" w:rsidR="000D1710" w:rsidRPr="009C7327" w:rsidRDefault="000D1710" w:rsidP="009611BE">
            <w:pPr>
              <w:pStyle w:val="BodyText"/>
              <w:spacing w:after="0" w:line="240" w:lineRule="auto"/>
              <w:rPr>
                <w:b/>
                <w:bCs/>
                <w:sz w:val="20"/>
                <w:szCs w:val="20"/>
              </w:rPr>
            </w:pPr>
            <w:r w:rsidRPr="009C7327">
              <w:rPr>
                <w:rFonts w:eastAsia="Calibri"/>
                <w:color w:val="000000"/>
                <w:kern w:val="24"/>
                <w:sz w:val="20"/>
                <w:szCs w:val="20"/>
              </w:rPr>
              <w:t>Kidney disease requiring biologic treatment</w:t>
            </w:r>
          </w:p>
        </w:tc>
        <w:tc>
          <w:tcPr>
            <w:tcW w:w="3119" w:type="dxa"/>
            <w:vAlign w:val="center"/>
          </w:tcPr>
          <w:p w14:paraId="593B5730" w14:textId="4AB9F957" w:rsidR="000D1710" w:rsidRPr="009C7327" w:rsidRDefault="000D1710" w:rsidP="009611BE">
            <w:pPr>
              <w:pStyle w:val="BodyText"/>
              <w:spacing w:after="0" w:line="240" w:lineRule="auto"/>
              <w:rPr>
                <w:sz w:val="20"/>
                <w:szCs w:val="20"/>
              </w:rPr>
            </w:pPr>
          </w:p>
        </w:tc>
      </w:tr>
      <w:tr w:rsidR="000D1710" w:rsidRPr="009C7327" w14:paraId="3E3F432D" w14:textId="77777777" w:rsidTr="009C7327">
        <w:trPr>
          <w:cantSplit/>
          <w:trHeight w:val="376"/>
        </w:trPr>
        <w:tc>
          <w:tcPr>
            <w:tcW w:w="3119" w:type="dxa"/>
            <w:shd w:val="clear" w:color="auto" w:fill="CCD6E7"/>
            <w:vAlign w:val="center"/>
          </w:tcPr>
          <w:p w14:paraId="359CA365" w14:textId="5B9F4AE2" w:rsidR="000D1710" w:rsidRPr="009C7327" w:rsidRDefault="000D1710" w:rsidP="009611BE">
            <w:pPr>
              <w:pStyle w:val="BodyText"/>
              <w:spacing w:after="0" w:line="240" w:lineRule="auto"/>
              <w:rPr>
                <w:sz w:val="20"/>
                <w:szCs w:val="20"/>
              </w:rPr>
            </w:pPr>
          </w:p>
        </w:tc>
        <w:tc>
          <w:tcPr>
            <w:tcW w:w="4111" w:type="dxa"/>
            <w:shd w:val="clear" w:color="auto" w:fill="CCD6E7"/>
            <w:vAlign w:val="center"/>
          </w:tcPr>
          <w:p w14:paraId="55351A81" w14:textId="77777777" w:rsidR="000D1710" w:rsidRPr="009C7327" w:rsidRDefault="000D1710" w:rsidP="009611BE">
            <w:pPr>
              <w:pStyle w:val="BodyText"/>
              <w:spacing w:after="0" w:line="240" w:lineRule="auto"/>
              <w:rPr>
                <w:b/>
                <w:bCs/>
                <w:sz w:val="20"/>
                <w:szCs w:val="20"/>
              </w:rPr>
            </w:pPr>
            <w:r w:rsidRPr="009C7327">
              <w:rPr>
                <w:rFonts w:eastAsia="Calibri"/>
                <w:color w:val="000000"/>
                <w:kern w:val="24"/>
                <w:sz w:val="20"/>
                <w:szCs w:val="20"/>
              </w:rPr>
              <w:t>Progressive kidney disease in pregnancy</w:t>
            </w:r>
          </w:p>
        </w:tc>
        <w:tc>
          <w:tcPr>
            <w:tcW w:w="3119" w:type="dxa"/>
            <w:shd w:val="clear" w:color="auto" w:fill="CCD6E7"/>
            <w:vAlign w:val="center"/>
          </w:tcPr>
          <w:p w14:paraId="7146A545" w14:textId="0908967F" w:rsidR="000D1710" w:rsidRPr="009C7327" w:rsidRDefault="000D1710" w:rsidP="009611BE">
            <w:pPr>
              <w:pStyle w:val="BodyText"/>
              <w:spacing w:after="0" w:line="240" w:lineRule="auto"/>
              <w:rPr>
                <w:sz w:val="20"/>
                <w:szCs w:val="20"/>
              </w:rPr>
            </w:pPr>
          </w:p>
        </w:tc>
      </w:tr>
      <w:tr w:rsidR="000D1710" w:rsidRPr="009C7327" w14:paraId="4BC52D24"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vAlign w:val="center"/>
          </w:tcPr>
          <w:p w14:paraId="1C00D99C" w14:textId="29824A2C" w:rsidR="000D1710" w:rsidRPr="009C7327" w:rsidRDefault="000D1710" w:rsidP="009611BE">
            <w:pPr>
              <w:pStyle w:val="BodyText"/>
              <w:spacing w:after="0" w:line="240" w:lineRule="auto"/>
              <w:rPr>
                <w:sz w:val="20"/>
                <w:szCs w:val="20"/>
              </w:rPr>
            </w:pPr>
          </w:p>
        </w:tc>
        <w:tc>
          <w:tcPr>
            <w:tcW w:w="4111" w:type="dxa"/>
            <w:vAlign w:val="center"/>
          </w:tcPr>
          <w:p w14:paraId="67A8FB5A" w14:textId="77777777" w:rsidR="000D1710" w:rsidRPr="009C7327" w:rsidRDefault="000D1710" w:rsidP="009611BE">
            <w:pPr>
              <w:pStyle w:val="BodyText"/>
              <w:spacing w:after="0" w:line="240" w:lineRule="auto"/>
              <w:rPr>
                <w:b/>
                <w:bCs/>
                <w:sz w:val="20"/>
                <w:szCs w:val="20"/>
              </w:rPr>
            </w:pPr>
            <w:r w:rsidRPr="009C7327">
              <w:rPr>
                <w:rFonts w:eastAsia="Calibri"/>
                <w:color w:val="000000"/>
                <w:kern w:val="24"/>
                <w:sz w:val="20"/>
                <w:szCs w:val="20"/>
              </w:rPr>
              <w:t>Kidney disease on biologic treatment</w:t>
            </w:r>
          </w:p>
        </w:tc>
        <w:tc>
          <w:tcPr>
            <w:tcW w:w="3119" w:type="dxa"/>
            <w:vAlign w:val="center"/>
          </w:tcPr>
          <w:p w14:paraId="58BFA90D" w14:textId="06645121" w:rsidR="000D1710" w:rsidRPr="009C7327" w:rsidRDefault="000D1710" w:rsidP="009611BE">
            <w:pPr>
              <w:pStyle w:val="BodyText"/>
              <w:spacing w:after="0" w:line="240" w:lineRule="auto"/>
              <w:rPr>
                <w:sz w:val="20"/>
                <w:szCs w:val="20"/>
              </w:rPr>
            </w:pPr>
          </w:p>
        </w:tc>
      </w:tr>
      <w:tr w:rsidR="009C7327" w:rsidRPr="009C7327" w14:paraId="4631127D" w14:textId="77777777" w:rsidTr="009C7327">
        <w:trPr>
          <w:cantSplit/>
          <w:trHeight w:val="376"/>
        </w:trPr>
        <w:tc>
          <w:tcPr>
            <w:tcW w:w="10351" w:type="dxa"/>
            <w:gridSpan w:val="3"/>
            <w:shd w:val="clear" w:color="auto" w:fill="D9D9D9" w:themeFill="background1" w:themeFillShade="D9"/>
            <w:vAlign w:val="center"/>
          </w:tcPr>
          <w:p w14:paraId="36D93773" w14:textId="43D52F01" w:rsidR="009C7327" w:rsidRPr="009C7327" w:rsidRDefault="009C7327" w:rsidP="009C7327">
            <w:pPr>
              <w:pStyle w:val="BodyText"/>
              <w:keepNext/>
              <w:spacing w:after="0" w:line="240" w:lineRule="auto"/>
              <w:jc w:val="center"/>
              <w:rPr>
                <w:sz w:val="20"/>
                <w:szCs w:val="20"/>
              </w:rPr>
            </w:pPr>
            <w:r w:rsidRPr="009C7327">
              <w:rPr>
                <w:b/>
                <w:sz w:val="20"/>
                <w:szCs w:val="20"/>
              </w:rPr>
              <w:t>Rheumatological disease</w:t>
            </w:r>
          </w:p>
        </w:tc>
      </w:tr>
      <w:tr w:rsidR="000D1710" w:rsidRPr="009C7327" w14:paraId="048779FE"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shd w:val="clear" w:color="auto" w:fill="auto"/>
            <w:vAlign w:val="center"/>
          </w:tcPr>
          <w:p w14:paraId="639F2BD6" w14:textId="6D3D4720" w:rsidR="000D1710" w:rsidRPr="009C7327" w:rsidRDefault="000D1710" w:rsidP="009611BE">
            <w:pPr>
              <w:pStyle w:val="BodyText"/>
              <w:spacing w:after="0" w:line="240" w:lineRule="auto"/>
              <w:rPr>
                <w:sz w:val="20"/>
                <w:szCs w:val="20"/>
              </w:rPr>
            </w:pPr>
            <w:r w:rsidRPr="009C7327">
              <w:rPr>
                <w:rFonts w:eastAsia="Calibri"/>
                <w:color w:val="231F20" w:themeColor="text1"/>
                <w:kern w:val="24"/>
                <w:sz w:val="20"/>
                <w:szCs w:val="20"/>
              </w:rPr>
              <w:t>Uncomplicated</w:t>
            </w:r>
            <w:r w:rsidR="009C7327" w:rsidRPr="009C7327">
              <w:rPr>
                <w:rStyle w:val="FootnoteReference"/>
                <w:rFonts w:eastAsia="Calibri"/>
                <w:color w:val="231F20" w:themeColor="text1"/>
                <w:kern w:val="24"/>
                <w:sz w:val="20"/>
                <w:szCs w:val="20"/>
              </w:rPr>
              <w:footnoteReference w:id="5"/>
            </w:r>
            <w:r w:rsidRPr="009C7327">
              <w:rPr>
                <w:rFonts w:eastAsia="Calibri"/>
                <w:color w:val="231F20" w:themeColor="text1"/>
                <w:kern w:val="24"/>
                <w:sz w:val="20"/>
                <w:szCs w:val="20"/>
              </w:rPr>
              <w:t xml:space="preserve"> rheumatoid arthritis</w:t>
            </w:r>
          </w:p>
        </w:tc>
        <w:tc>
          <w:tcPr>
            <w:tcW w:w="4111" w:type="dxa"/>
            <w:shd w:val="clear" w:color="auto" w:fill="auto"/>
            <w:vAlign w:val="center"/>
          </w:tcPr>
          <w:p w14:paraId="6C619631" w14:textId="77777777" w:rsidR="000D1710" w:rsidRPr="009C7327" w:rsidRDefault="000D1710" w:rsidP="009611BE">
            <w:pPr>
              <w:pStyle w:val="BodyText"/>
              <w:spacing w:after="0" w:line="240" w:lineRule="auto"/>
              <w:rPr>
                <w:b/>
                <w:bCs/>
                <w:sz w:val="20"/>
                <w:szCs w:val="20"/>
              </w:rPr>
            </w:pPr>
            <w:r w:rsidRPr="009C7327">
              <w:rPr>
                <w:rFonts w:eastAsia="Calibri"/>
                <w:color w:val="000000"/>
                <w:kern w:val="24"/>
                <w:sz w:val="20"/>
                <w:szCs w:val="20"/>
              </w:rPr>
              <w:t>Rheumatological disease requiring biologic therapy</w:t>
            </w:r>
          </w:p>
        </w:tc>
        <w:tc>
          <w:tcPr>
            <w:tcW w:w="3119" w:type="dxa"/>
            <w:shd w:val="clear" w:color="auto" w:fill="auto"/>
            <w:vAlign w:val="center"/>
          </w:tcPr>
          <w:p w14:paraId="76CBD3C1" w14:textId="77777777" w:rsidR="000D1710" w:rsidRPr="009C7327" w:rsidRDefault="000D1710" w:rsidP="009611BE">
            <w:pPr>
              <w:pStyle w:val="BodyText"/>
              <w:spacing w:after="0" w:line="240" w:lineRule="auto"/>
              <w:rPr>
                <w:sz w:val="20"/>
                <w:szCs w:val="20"/>
              </w:rPr>
            </w:pPr>
            <w:r w:rsidRPr="009C7327">
              <w:rPr>
                <w:rFonts w:eastAsia="Calibri"/>
                <w:color w:val="000000"/>
                <w:kern w:val="24"/>
                <w:sz w:val="20"/>
                <w:szCs w:val="20"/>
              </w:rPr>
              <w:t>Active lupus nephritis (see Kidney Pathway)</w:t>
            </w:r>
          </w:p>
        </w:tc>
      </w:tr>
      <w:tr w:rsidR="000D1710" w:rsidRPr="009C7327" w14:paraId="522C079F" w14:textId="77777777" w:rsidTr="009C7327">
        <w:trPr>
          <w:cantSplit/>
          <w:trHeight w:val="376"/>
        </w:trPr>
        <w:tc>
          <w:tcPr>
            <w:tcW w:w="3119" w:type="dxa"/>
            <w:shd w:val="clear" w:color="auto" w:fill="auto"/>
            <w:vAlign w:val="center"/>
          </w:tcPr>
          <w:p w14:paraId="3C29D01A" w14:textId="77777777" w:rsidR="00034F35" w:rsidRPr="009C7327" w:rsidRDefault="000D1710" w:rsidP="009611BE">
            <w:pPr>
              <w:pStyle w:val="BodyText"/>
              <w:spacing w:after="0" w:line="240" w:lineRule="auto"/>
              <w:rPr>
                <w:rFonts w:eastAsia="Calibri"/>
                <w:color w:val="231F20" w:themeColor="text1"/>
                <w:kern w:val="24"/>
                <w:sz w:val="20"/>
                <w:szCs w:val="20"/>
              </w:rPr>
            </w:pPr>
            <w:r w:rsidRPr="009C7327">
              <w:rPr>
                <w:rFonts w:eastAsia="Calibri"/>
                <w:color w:val="231F20" w:themeColor="text1"/>
                <w:kern w:val="24"/>
                <w:sz w:val="20"/>
                <w:szCs w:val="20"/>
              </w:rPr>
              <w:t>Uncomplicated</w:t>
            </w:r>
            <w:r w:rsidRPr="009C7327">
              <w:rPr>
                <w:rStyle w:val="FootnoteReference"/>
                <w:rFonts w:eastAsia="Calibri" w:cs="Arial"/>
                <w:color w:val="231F20" w:themeColor="text1"/>
                <w:kern w:val="24"/>
                <w:sz w:val="20"/>
                <w:szCs w:val="20"/>
              </w:rPr>
              <w:footnoteReference w:id="6"/>
            </w:r>
            <w:r w:rsidRPr="009C7327">
              <w:rPr>
                <w:rFonts w:eastAsia="Calibri"/>
                <w:color w:val="231F20" w:themeColor="text1"/>
                <w:kern w:val="24"/>
                <w:sz w:val="20"/>
                <w:szCs w:val="20"/>
              </w:rPr>
              <w:t xml:space="preserve"> seronegative arthritis:</w:t>
            </w:r>
          </w:p>
          <w:p w14:paraId="6184154C" w14:textId="7A056613" w:rsidR="000D1710" w:rsidRPr="009C7327" w:rsidRDefault="000D1710" w:rsidP="009C7327">
            <w:pPr>
              <w:pStyle w:val="BodyText"/>
              <w:numPr>
                <w:ilvl w:val="0"/>
                <w:numId w:val="35"/>
              </w:numPr>
              <w:spacing w:after="0" w:line="240" w:lineRule="auto"/>
              <w:ind w:left="247" w:hanging="218"/>
              <w:rPr>
                <w:rFonts w:eastAsia="Calibri"/>
                <w:color w:val="000000"/>
                <w:kern w:val="24"/>
                <w:sz w:val="20"/>
                <w:szCs w:val="20"/>
              </w:rPr>
            </w:pPr>
            <w:r w:rsidRPr="009C7327">
              <w:rPr>
                <w:rFonts w:eastAsia="Calibri"/>
                <w:color w:val="000000"/>
                <w:kern w:val="24"/>
                <w:sz w:val="20"/>
                <w:szCs w:val="20"/>
              </w:rPr>
              <w:t>Ankylosing spondylitis</w:t>
            </w:r>
          </w:p>
          <w:p w14:paraId="380DF3A4" w14:textId="77777777" w:rsidR="00034F35" w:rsidRPr="009C7327" w:rsidRDefault="000D1710" w:rsidP="009C7327">
            <w:pPr>
              <w:pStyle w:val="BodyText"/>
              <w:numPr>
                <w:ilvl w:val="0"/>
                <w:numId w:val="35"/>
              </w:numPr>
              <w:spacing w:after="0" w:line="240" w:lineRule="auto"/>
              <w:ind w:left="247" w:hanging="218"/>
              <w:rPr>
                <w:rFonts w:eastAsia="Calibri"/>
                <w:color w:val="000000"/>
                <w:kern w:val="24"/>
                <w:sz w:val="20"/>
                <w:szCs w:val="20"/>
              </w:rPr>
            </w:pPr>
            <w:r w:rsidRPr="009C7327">
              <w:rPr>
                <w:rFonts w:eastAsia="Calibri"/>
                <w:color w:val="000000"/>
                <w:kern w:val="24"/>
                <w:sz w:val="20"/>
                <w:szCs w:val="20"/>
              </w:rPr>
              <w:t>Psoriatic arthritis</w:t>
            </w:r>
          </w:p>
          <w:p w14:paraId="20839276" w14:textId="77777777" w:rsidR="00034F35" w:rsidRPr="009C7327" w:rsidRDefault="000D1710" w:rsidP="009C7327">
            <w:pPr>
              <w:pStyle w:val="BodyText"/>
              <w:numPr>
                <w:ilvl w:val="0"/>
                <w:numId w:val="35"/>
              </w:numPr>
              <w:spacing w:after="0" w:line="240" w:lineRule="auto"/>
              <w:ind w:left="247" w:hanging="218"/>
              <w:rPr>
                <w:rFonts w:eastAsia="Calibri"/>
                <w:color w:val="000000"/>
                <w:kern w:val="24"/>
                <w:sz w:val="20"/>
                <w:szCs w:val="20"/>
              </w:rPr>
            </w:pPr>
            <w:r w:rsidRPr="009C7327">
              <w:rPr>
                <w:rFonts w:eastAsia="Calibri"/>
                <w:color w:val="000000"/>
                <w:kern w:val="24"/>
                <w:sz w:val="20"/>
                <w:szCs w:val="20"/>
              </w:rPr>
              <w:t>Reactive arthritis</w:t>
            </w:r>
          </w:p>
          <w:p w14:paraId="40B953FC" w14:textId="1403407B" w:rsidR="000D1710" w:rsidRPr="009C7327" w:rsidRDefault="000D1710" w:rsidP="009C7327">
            <w:pPr>
              <w:pStyle w:val="BodyText"/>
              <w:numPr>
                <w:ilvl w:val="0"/>
                <w:numId w:val="35"/>
              </w:numPr>
              <w:spacing w:after="0" w:line="240" w:lineRule="auto"/>
              <w:ind w:left="247" w:hanging="218"/>
              <w:rPr>
                <w:sz w:val="20"/>
                <w:szCs w:val="20"/>
              </w:rPr>
            </w:pPr>
            <w:r w:rsidRPr="009C7327">
              <w:rPr>
                <w:rFonts w:eastAsia="Calibri"/>
                <w:color w:val="000000"/>
                <w:kern w:val="24"/>
                <w:sz w:val="20"/>
                <w:szCs w:val="20"/>
              </w:rPr>
              <w:t>IBD related arthritis</w:t>
            </w:r>
          </w:p>
        </w:tc>
        <w:tc>
          <w:tcPr>
            <w:tcW w:w="4111" w:type="dxa"/>
            <w:shd w:val="clear" w:color="auto" w:fill="auto"/>
            <w:vAlign w:val="center"/>
          </w:tcPr>
          <w:p w14:paraId="20D7C9DC" w14:textId="5BCD6F6C" w:rsidR="000D1710" w:rsidRPr="009C7327" w:rsidRDefault="000D1710" w:rsidP="009611BE">
            <w:pPr>
              <w:pStyle w:val="BodyText"/>
              <w:spacing w:after="0" w:line="240" w:lineRule="auto"/>
              <w:rPr>
                <w:b/>
                <w:bCs/>
                <w:sz w:val="20"/>
                <w:szCs w:val="20"/>
              </w:rPr>
            </w:pPr>
            <w:r w:rsidRPr="009C7327">
              <w:rPr>
                <w:rFonts w:eastAsia="Calibri"/>
                <w:color w:val="000000"/>
                <w:kern w:val="24"/>
                <w:sz w:val="20"/>
                <w:szCs w:val="20"/>
              </w:rPr>
              <w:t>Rheumatological not controlled on current treatment</w:t>
            </w:r>
          </w:p>
        </w:tc>
        <w:tc>
          <w:tcPr>
            <w:tcW w:w="3119" w:type="dxa"/>
            <w:shd w:val="clear" w:color="auto" w:fill="auto"/>
            <w:vAlign w:val="center"/>
          </w:tcPr>
          <w:p w14:paraId="1167B233" w14:textId="77777777" w:rsidR="000D1710" w:rsidRPr="009C7327" w:rsidRDefault="000D1710" w:rsidP="009611BE">
            <w:pPr>
              <w:pStyle w:val="BodyText"/>
              <w:spacing w:after="0" w:line="240" w:lineRule="auto"/>
              <w:rPr>
                <w:sz w:val="20"/>
                <w:szCs w:val="20"/>
              </w:rPr>
            </w:pPr>
            <w:r w:rsidRPr="009C7327">
              <w:rPr>
                <w:rFonts w:eastAsia="Calibri"/>
                <w:color w:val="000000"/>
                <w:kern w:val="24"/>
                <w:sz w:val="20"/>
                <w:szCs w:val="20"/>
              </w:rPr>
              <w:t>Large and medium vessel vasculitis</w:t>
            </w:r>
          </w:p>
        </w:tc>
      </w:tr>
      <w:tr w:rsidR="000D1710" w:rsidRPr="009C7327" w14:paraId="4D3D7D8F"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shd w:val="clear" w:color="auto" w:fill="auto"/>
            <w:vAlign w:val="center"/>
          </w:tcPr>
          <w:p w14:paraId="7E2D4855" w14:textId="77777777" w:rsidR="000D1710" w:rsidRPr="009C7327" w:rsidRDefault="000D1710" w:rsidP="009611BE">
            <w:pPr>
              <w:pStyle w:val="NormalWeb"/>
              <w:spacing w:before="0" w:beforeAutospacing="0" w:after="0" w:afterAutospacing="0"/>
              <w:rPr>
                <w:rFonts w:ascii="Arial" w:hAnsi="Arial" w:cs="Arial"/>
              </w:rPr>
            </w:pPr>
            <w:r w:rsidRPr="009C7327">
              <w:rPr>
                <w:rFonts w:ascii="Arial" w:eastAsia="Calibri" w:hAnsi="Arial" w:cs="Arial"/>
                <w:color w:val="231F20" w:themeColor="text1"/>
                <w:kern w:val="24"/>
              </w:rPr>
              <w:t>Uncomplicated</w:t>
            </w:r>
            <w:r w:rsidRPr="009C7327">
              <w:rPr>
                <w:rStyle w:val="FootnoteReference"/>
                <w:rFonts w:ascii="Arial" w:eastAsia="Calibri" w:hAnsi="Arial" w:cs="Arial"/>
                <w:color w:val="231F20" w:themeColor="text1"/>
                <w:kern w:val="24"/>
              </w:rPr>
              <w:footnoteReference w:id="7"/>
            </w:r>
            <w:r w:rsidRPr="009C7327">
              <w:rPr>
                <w:rFonts w:ascii="Arial" w:eastAsia="Calibri" w:hAnsi="Arial" w:cs="Arial"/>
                <w:color w:val="231F20" w:themeColor="text1"/>
                <w:kern w:val="24"/>
              </w:rPr>
              <w:t xml:space="preserve"> connective tissue disease:</w:t>
            </w:r>
          </w:p>
          <w:p w14:paraId="2A3CE276" w14:textId="77777777" w:rsidR="000D1710" w:rsidRPr="009C7327" w:rsidRDefault="000D1710" w:rsidP="009C7327">
            <w:pPr>
              <w:pStyle w:val="BodyText"/>
              <w:numPr>
                <w:ilvl w:val="0"/>
                <w:numId w:val="35"/>
              </w:numPr>
              <w:spacing w:after="0" w:line="240" w:lineRule="auto"/>
              <w:ind w:left="247" w:hanging="218"/>
              <w:rPr>
                <w:rFonts w:eastAsia="Calibri"/>
                <w:color w:val="000000"/>
                <w:kern w:val="24"/>
                <w:sz w:val="20"/>
                <w:szCs w:val="20"/>
              </w:rPr>
            </w:pPr>
            <w:r w:rsidRPr="009C7327">
              <w:rPr>
                <w:rFonts w:eastAsia="Calibri"/>
                <w:color w:val="000000"/>
                <w:kern w:val="24"/>
                <w:sz w:val="20"/>
                <w:szCs w:val="20"/>
              </w:rPr>
              <w:t>Lupus</w:t>
            </w:r>
          </w:p>
          <w:p w14:paraId="7CC88CD3" w14:textId="77777777" w:rsidR="000D1710" w:rsidRPr="009C7327" w:rsidRDefault="000D1710" w:rsidP="009C7327">
            <w:pPr>
              <w:pStyle w:val="BodyText"/>
              <w:numPr>
                <w:ilvl w:val="0"/>
                <w:numId w:val="35"/>
              </w:numPr>
              <w:spacing w:after="0" w:line="240" w:lineRule="auto"/>
              <w:ind w:left="247" w:hanging="218"/>
              <w:rPr>
                <w:rFonts w:eastAsia="Calibri"/>
                <w:color w:val="000000"/>
                <w:kern w:val="24"/>
                <w:sz w:val="20"/>
                <w:szCs w:val="20"/>
              </w:rPr>
            </w:pPr>
            <w:r w:rsidRPr="009C7327">
              <w:rPr>
                <w:rFonts w:eastAsia="Calibri"/>
                <w:color w:val="000000"/>
                <w:kern w:val="24"/>
                <w:sz w:val="20"/>
                <w:szCs w:val="20"/>
              </w:rPr>
              <w:t>Scleroderma (restricted disease)</w:t>
            </w:r>
          </w:p>
          <w:p w14:paraId="34CF7131" w14:textId="77777777" w:rsidR="000D1710" w:rsidRPr="009C7327" w:rsidRDefault="000D1710" w:rsidP="009C7327">
            <w:pPr>
              <w:pStyle w:val="BodyText"/>
              <w:numPr>
                <w:ilvl w:val="0"/>
                <w:numId w:val="35"/>
              </w:numPr>
              <w:spacing w:after="0" w:line="240" w:lineRule="auto"/>
              <w:ind w:left="247" w:hanging="218"/>
              <w:rPr>
                <w:rFonts w:cs="Arial"/>
                <w:sz w:val="20"/>
                <w:szCs w:val="20"/>
              </w:rPr>
            </w:pPr>
            <w:r w:rsidRPr="009C7327">
              <w:rPr>
                <w:rFonts w:eastAsia="Calibri"/>
                <w:color w:val="000000"/>
                <w:kern w:val="24"/>
                <w:sz w:val="20"/>
                <w:szCs w:val="20"/>
              </w:rPr>
              <w:t>Sjogren’s</w:t>
            </w:r>
          </w:p>
        </w:tc>
        <w:tc>
          <w:tcPr>
            <w:tcW w:w="4111" w:type="dxa"/>
            <w:shd w:val="clear" w:color="auto" w:fill="auto"/>
            <w:vAlign w:val="center"/>
          </w:tcPr>
          <w:p w14:paraId="595F15AB" w14:textId="41805BBC" w:rsidR="000D1710" w:rsidRPr="009C7327" w:rsidRDefault="000D1710" w:rsidP="009C7327">
            <w:pPr>
              <w:pStyle w:val="NormalWeb"/>
              <w:spacing w:before="0" w:beforeAutospacing="0" w:after="0" w:afterAutospacing="0"/>
              <w:rPr>
                <w:rFonts w:ascii="Arial" w:eastAsia="Calibri" w:hAnsi="Arial" w:cs="Arial"/>
                <w:color w:val="000000"/>
                <w:kern w:val="24"/>
              </w:rPr>
            </w:pPr>
            <w:r w:rsidRPr="009C7327">
              <w:rPr>
                <w:rFonts w:ascii="Arial" w:eastAsia="Calibri" w:hAnsi="Arial" w:cs="Arial"/>
                <w:color w:val="000000"/>
                <w:kern w:val="24"/>
              </w:rPr>
              <w:t>Rheumatological disease with restrictive lung disease and FVC</w:t>
            </w:r>
            <w:r w:rsidR="00034F35" w:rsidRPr="009C7327">
              <w:rPr>
                <w:rFonts w:ascii="Arial" w:eastAsia="Calibri" w:hAnsi="Arial" w:cs="Arial"/>
                <w:color w:val="000000"/>
                <w:kern w:val="24"/>
              </w:rPr>
              <w:t xml:space="preserve"> </w:t>
            </w:r>
            <w:r w:rsidRPr="009C7327">
              <w:rPr>
                <w:rFonts w:ascii="Arial" w:eastAsia="Calibri" w:hAnsi="Arial" w:cs="Arial"/>
                <w:b/>
                <w:bCs/>
                <w:color w:val="000000"/>
                <w:kern w:val="24"/>
              </w:rPr>
              <w:t>&gt;</w:t>
            </w:r>
            <w:r w:rsidRPr="009C7327">
              <w:rPr>
                <w:rFonts w:ascii="Arial" w:eastAsia="Calibri" w:hAnsi="Arial" w:cs="Arial"/>
                <w:color w:val="000000"/>
                <w:kern w:val="24"/>
              </w:rPr>
              <w:t>50% (see</w:t>
            </w:r>
          </w:p>
        </w:tc>
        <w:tc>
          <w:tcPr>
            <w:tcW w:w="3119" w:type="dxa"/>
            <w:shd w:val="clear" w:color="auto" w:fill="auto"/>
            <w:vAlign w:val="center"/>
          </w:tcPr>
          <w:p w14:paraId="3891D24C" w14:textId="15555BD7" w:rsidR="000D1710" w:rsidRPr="009C7327" w:rsidRDefault="000D1710" w:rsidP="009C7327">
            <w:pPr>
              <w:pStyle w:val="NormalWeb"/>
              <w:spacing w:before="0" w:beforeAutospacing="0" w:after="0" w:afterAutospacing="0"/>
              <w:rPr>
                <w:rFonts w:ascii="Arial" w:hAnsi="Arial" w:cs="Arial"/>
              </w:rPr>
            </w:pPr>
            <w:r w:rsidRPr="009C7327">
              <w:rPr>
                <w:rFonts w:ascii="Arial" w:eastAsia="Calibri" w:hAnsi="Arial" w:cs="Arial"/>
                <w:color w:val="000000"/>
                <w:kern w:val="24"/>
              </w:rPr>
              <w:t>Rheumatological disease with restrictive lung disease and FVC</w:t>
            </w:r>
            <w:r w:rsidR="00034F35" w:rsidRPr="009C7327">
              <w:rPr>
                <w:rFonts w:ascii="Arial" w:eastAsia="Calibri" w:hAnsi="Arial" w:cs="Arial"/>
                <w:color w:val="000000"/>
                <w:kern w:val="24"/>
              </w:rPr>
              <w:t xml:space="preserve"> </w:t>
            </w:r>
            <w:r w:rsidRPr="009C7327">
              <w:rPr>
                <w:rFonts w:ascii="Arial" w:eastAsia="Calibri" w:hAnsi="Arial" w:cs="Arial"/>
                <w:b/>
                <w:bCs/>
                <w:color w:val="000000"/>
                <w:kern w:val="24"/>
              </w:rPr>
              <w:t>≤</w:t>
            </w:r>
            <w:r w:rsidRPr="009C7327">
              <w:rPr>
                <w:rFonts w:ascii="Arial" w:eastAsia="Calibri" w:hAnsi="Arial" w:cs="Arial"/>
                <w:color w:val="000000"/>
                <w:kern w:val="24"/>
              </w:rPr>
              <w:t>50%</w:t>
            </w:r>
          </w:p>
        </w:tc>
      </w:tr>
      <w:tr w:rsidR="000D1710" w:rsidRPr="009C7327" w14:paraId="76001BE0" w14:textId="77777777" w:rsidTr="009C7327">
        <w:trPr>
          <w:cantSplit/>
          <w:trHeight w:val="376"/>
        </w:trPr>
        <w:tc>
          <w:tcPr>
            <w:tcW w:w="3119" w:type="dxa"/>
            <w:shd w:val="clear" w:color="auto" w:fill="auto"/>
            <w:vAlign w:val="center"/>
          </w:tcPr>
          <w:p w14:paraId="4B06A985"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Osteoarthritis</w:t>
            </w:r>
          </w:p>
        </w:tc>
        <w:tc>
          <w:tcPr>
            <w:tcW w:w="4111" w:type="dxa"/>
            <w:shd w:val="clear" w:color="auto" w:fill="auto"/>
            <w:vAlign w:val="center"/>
          </w:tcPr>
          <w:p w14:paraId="59A23399" w14:textId="77777777" w:rsidR="000D1710" w:rsidRPr="009C7327" w:rsidRDefault="000D1710" w:rsidP="009611BE">
            <w:pPr>
              <w:rPr>
                <w:rFonts w:cs="Arial"/>
                <w:b/>
                <w:bCs/>
                <w:sz w:val="20"/>
                <w:szCs w:val="20"/>
              </w:rPr>
            </w:pPr>
            <w:r w:rsidRPr="009C7327">
              <w:rPr>
                <w:rFonts w:eastAsia="Calibri" w:cs="Arial"/>
                <w:color w:val="000000"/>
                <w:kern w:val="24"/>
                <w:sz w:val="20"/>
                <w:szCs w:val="20"/>
              </w:rPr>
              <w:t>Rheumatological disease with kidney involvement (see Kidney Pathway)</w:t>
            </w:r>
          </w:p>
        </w:tc>
        <w:tc>
          <w:tcPr>
            <w:tcW w:w="3119" w:type="dxa"/>
            <w:shd w:val="clear" w:color="auto" w:fill="auto"/>
            <w:vAlign w:val="center"/>
          </w:tcPr>
          <w:p w14:paraId="3EA25E15" w14:textId="77777777" w:rsidR="000D1710" w:rsidRPr="009C7327" w:rsidRDefault="000D1710" w:rsidP="009611BE">
            <w:pPr>
              <w:rPr>
                <w:rFonts w:cs="Arial"/>
                <w:sz w:val="20"/>
                <w:szCs w:val="20"/>
              </w:rPr>
            </w:pPr>
            <w:r w:rsidRPr="009C7327">
              <w:rPr>
                <w:rFonts w:eastAsia="Calibri" w:cs="Arial"/>
                <w:color w:val="000000"/>
                <w:kern w:val="24"/>
                <w:sz w:val="20"/>
                <w:szCs w:val="20"/>
              </w:rPr>
              <w:t>New small vessel vasculitis or small vessel vasculitis on immunosuppression</w:t>
            </w:r>
          </w:p>
        </w:tc>
      </w:tr>
      <w:tr w:rsidR="000D1710" w:rsidRPr="009C7327" w14:paraId="3CAA3216"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shd w:val="clear" w:color="auto" w:fill="auto"/>
            <w:vAlign w:val="center"/>
          </w:tcPr>
          <w:p w14:paraId="7D3A4ED1"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Obstetric antiphospholipid syndrome (see Haematology Pathway)</w:t>
            </w:r>
          </w:p>
        </w:tc>
        <w:tc>
          <w:tcPr>
            <w:tcW w:w="4111" w:type="dxa"/>
            <w:shd w:val="clear" w:color="auto" w:fill="auto"/>
            <w:vAlign w:val="center"/>
          </w:tcPr>
          <w:p w14:paraId="40EE9E3D" w14:textId="77777777" w:rsidR="000D1710" w:rsidRPr="009C7327" w:rsidRDefault="000D1710" w:rsidP="009611BE">
            <w:pPr>
              <w:rPr>
                <w:rFonts w:cs="Arial"/>
                <w:b/>
                <w:bCs/>
                <w:sz w:val="20"/>
                <w:szCs w:val="20"/>
              </w:rPr>
            </w:pPr>
            <w:r w:rsidRPr="009C7327">
              <w:rPr>
                <w:rFonts w:eastAsia="Calibri" w:cs="Arial"/>
                <w:color w:val="000000"/>
                <w:kern w:val="24"/>
                <w:sz w:val="20"/>
                <w:szCs w:val="20"/>
              </w:rPr>
              <w:t>Thrombotic antiphospholipid syndrome (see Haematology Pathway)</w:t>
            </w:r>
          </w:p>
        </w:tc>
        <w:tc>
          <w:tcPr>
            <w:tcW w:w="3119" w:type="dxa"/>
            <w:shd w:val="clear" w:color="auto" w:fill="auto"/>
            <w:vAlign w:val="center"/>
          </w:tcPr>
          <w:p w14:paraId="1D395CCF" w14:textId="77777777" w:rsidR="000D1710" w:rsidRPr="009C7327" w:rsidRDefault="000D1710" w:rsidP="009611BE">
            <w:pPr>
              <w:rPr>
                <w:rFonts w:cs="Arial"/>
                <w:sz w:val="20"/>
                <w:szCs w:val="20"/>
              </w:rPr>
            </w:pPr>
            <w:r w:rsidRPr="009C7327">
              <w:rPr>
                <w:rFonts w:eastAsia="Calibri" w:cs="Arial"/>
                <w:color w:val="000000"/>
                <w:kern w:val="24"/>
                <w:sz w:val="20"/>
                <w:szCs w:val="20"/>
              </w:rPr>
              <w:t xml:space="preserve">Vascular Ehlers Danlos </w:t>
            </w:r>
          </w:p>
        </w:tc>
      </w:tr>
      <w:tr w:rsidR="000D1710" w:rsidRPr="009C7327" w14:paraId="6294720F" w14:textId="77777777" w:rsidTr="009C7327">
        <w:trPr>
          <w:cantSplit/>
          <w:trHeight w:val="376"/>
        </w:trPr>
        <w:tc>
          <w:tcPr>
            <w:tcW w:w="3119" w:type="dxa"/>
            <w:shd w:val="clear" w:color="auto" w:fill="auto"/>
            <w:vAlign w:val="center"/>
          </w:tcPr>
          <w:p w14:paraId="68505B5E"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Hypermobile Ehlers Danlos (type III)</w:t>
            </w:r>
          </w:p>
        </w:tc>
        <w:tc>
          <w:tcPr>
            <w:tcW w:w="4111" w:type="dxa"/>
            <w:shd w:val="clear" w:color="auto" w:fill="auto"/>
            <w:vAlign w:val="center"/>
          </w:tcPr>
          <w:p w14:paraId="6DCE1C22" w14:textId="77777777" w:rsidR="000D1710" w:rsidRPr="009C7327" w:rsidRDefault="000D1710" w:rsidP="009611BE">
            <w:pPr>
              <w:rPr>
                <w:rFonts w:cs="Arial"/>
                <w:b/>
                <w:bCs/>
                <w:sz w:val="20"/>
                <w:szCs w:val="20"/>
              </w:rPr>
            </w:pPr>
            <w:r w:rsidRPr="009C7327">
              <w:rPr>
                <w:rFonts w:eastAsia="Calibri" w:cs="Arial"/>
                <w:color w:val="000000"/>
                <w:kern w:val="24"/>
                <w:sz w:val="20"/>
                <w:szCs w:val="20"/>
              </w:rPr>
              <w:t>Other Ehlers Danlos syndromes</w:t>
            </w:r>
          </w:p>
        </w:tc>
        <w:tc>
          <w:tcPr>
            <w:tcW w:w="3119" w:type="dxa"/>
            <w:shd w:val="clear" w:color="auto" w:fill="auto"/>
            <w:vAlign w:val="center"/>
          </w:tcPr>
          <w:p w14:paraId="171A2F47" w14:textId="77777777" w:rsidR="000D1710" w:rsidRPr="009C7327" w:rsidRDefault="000D1710" w:rsidP="009611BE">
            <w:pPr>
              <w:rPr>
                <w:rFonts w:cs="Arial"/>
                <w:sz w:val="20"/>
                <w:szCs w:val="20"/>
              </w:rPr>
            </w:pPr>
            <w:r w:rsidRPr="009C7327">
              <w:rPr>
                <w:rFonts w:eastAsia="Calibri" w:cs="Arial"/>
                <w:color w:val="000000"/>
                <w:kern w:val="24"/>
                <w:sz w:val="20"/>
                <w:szCs w:val="20"/>
              </w:rPr>
              <w:t>Scleroderma renal crisis</w:t>
            </w:r>
          </w:p>
        </w:tc>
      </w:tr>
      <w:tr w:rsidR="000D1710" w:rsidRPr="009C7327" w14:paraId="66BB3246"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shd w:val="clear" w:color="auto" w:fill="auto"/>
            <w:vAlign w:val="center"/>
          </w:tcPr>
          <w:p w14:paraId="73E89D49"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 </w:t>
            </w:r>
          </w:p>
        </w:tc>
        <w:tc>
          <w:tcPr>
            <w:tcW w:w="4111" w:type="dxa"/>
            <w:shd w:val="clear" w:color="auto" w:fill="auto"/>
            <w:vAlign w:val="center"/>
          </w:tcPr>
          <w:p w14:paraId="3DE6F2AE" w14:textId="77777777" w:rsidR="000D1710" w:rsidRPr="009C7327" w:rsidRDefault="000D1710" w:rsidP="009611BE">
            <w:pPr>
              <w:rPr>
                <w:rFonts w:cs="Arial"/>
                <w:b/>
                <w:bCs/>
                <w:sz w:val="20"/>
                <w:szCs w:val="20"/>
              </w:rPr>
            </w:pPr>
            <w:r w:rsidRPr="009C7327">
              <w:rPr>
                <w:rFonts w:eastAsia="Calibri" w:cs="Arial"/>
                <w:color w:val="000000"/>
                <w:kern w:val="24"/>
                <w:sz w:val="20"/>
                <w:szCs w:val="20"/>
              </w:rPr>
              <w:t>Diffuse scleroderma</w:t>
            </w:r>
          </w:p>
        </w:tc>
        <w:tc>
          <w:tcPr>
            <w:tcW w:w="3119" w:type="dxa"/>
            <w:shd w:val="clear" w:color="auto" w:fill="auto"/>
            <w:vAlign w:val="center"/>
          </w:tcPr>
          <w:p w14:paraId="5FF8CC1C" w14:textId="77777777" w:rsidR="000D1710" w:rsidRPr="009C7327" w:rsidRDefault="000D1710" w:rsidP="009611BE">
            <w:pPr>
              <w:rPr>
                <w:rFonts w:cs="Arial"/>
                <w:sz w:val="20"/>
                <w:szCs w:val="20"/>
              </w:rPr>
            </w:pPr>
            <w:proofErr w:type="spellStart"/>
            <w:r w:rsidRPr="009C7327">
              <w:rPr>
                <w:rFonts w:eastAsia="Calibri" w:cs="Arial"/>
                <w:color w:val="000000"/>
                <w:kern w:val="24"/>
                <w:sz w:val="20"/>
                <w:szCs w:val="20"/>
              </w:rPr>
              <w:t>Antisynthetase</w:t>
            </w:r>
            <w:proofErr w:type="spellEnd"/>
            <w:r w:rsidRPr="009C7327">
              <w:rPr>
                <w:rFonts w:eastAsia="Calibri" w:cs="Arial"/>
                <w:color w:val="000000"/>
                <w:kern w:val="24"/>
                <w:sz w:val="20"/>
                <w:szCs w:val="20"/>
              </w:rPr>
              <w:t xml:space="preserve"> syndrome</w:t>
            </w:r>
          </w:p>
        </w:tc>
      </w:tr>
      <w:tr w:rsidR="000D1710" w:rsidRPr="009C7327" w14:paraId="222C6FB4" w14:textId="77777777" w:rsidTr="009C7327">
        <w:trPr>
          <w:cantSplit/>
          <w:trHeight w:val="376"/>
        </w:trPr>
        <w:tc>
          <w:tcPr>
            <w:tcW w:w="3119" w:type="dxa"/>
            <w:shd w:val="clear" w:color="auto" w:fill="auto"/>
            <w:vAlign w:val="center"/>
          </w:tcPr>
          <w:p w14:paraId="36849B0C"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 </w:t>
            </w:r>
          </w:p>
        </w:tc>
        <w:tc>
          <w:tcPr>
            <w:tcW w:w="4111" w:type="dxa"/>
            <w:shd w:val="clear" w:color="auto" w:fill="auto"/>
            <w:vAlign w:val="center"/>
          </w:tcPr>
          <w:p w14:paraId="183CD941" w14:textId="77777777" w:rsidR="000D1710" w:rsidRPr="009C7327" w:rsidRDefault="000D1710" w:rsidP="009611BE">
            <w:pPr>
              <w:rPr>
                <w:rFonts w:cs="Arial"/>
                <w:b/>
                <w:bCs/>
                <w:sz w:val="20"/>
                <w:szCs w:val="20"/>
              </w:rPr>
            </w:pPr>
            <w:r w:rsidRPr="009C7327">
              <w:rPr>
                <w:rFonts w:eastAsia="Calibri" w:cs="Arial"/>
                <w:color w:val="000000"/>
                <w:kern w:val="24"/>
                <w:sz w:val="20"/>
                <w:szCs w:val="20"/>
              </w:rPr>
              <w:t>Small vessel vasculitis in remission, no longer on treatment</w:t>
            </w:r>
          </w:p>
        </w:tc>
        <w:tc>
          <w:tcPr>
            <w:tcW w:w="3119" w:type="dxa"/>
            <w:shd w:val="clear" w:color="auto" w:fill="auto"/>
            <w:vAlign w:val="center"/>
          </w:tcPr>
          <w:p w14:paraId="7167476F"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 </w:t>
            </w:r>
          </w:p>
        </w:tc>
      </w:tr>
      <w:tr w:rsidR="000D1710" w:rsidRPr="009C7327" w14:paraId="4343709D"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shd w:val="clear" w:color="auto" w:fill="auto"/>
            <w:vAlign w:val="center"/>
          </w:tcPr>
          <w:p w14:paraId="1DC601F7"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 </w:t>
            </w:r>
          </w:p>
        </w:tc>
        <w:tc>
          <w:tcPr>
            <w:tcW w:w="4111" w:type="dxa"/>
            <w:shd w:val="clear" w:color="auto" w:fill="auto"/>
            <w:vAlign w:val="center"/>
          </w:tcPr>
          <w:p w14:paraId="504635B3" w14:textId="77777777" w:rsidR="000D1710" w:rsidRPr="009C7327" w:rsidRDefault="000D1710" w:rsidP="009611BE">
            <w:pPr>
              <w:rPr>
                <w:rFonts w:cs="Arial"/>
                <w:b/>
                <w:bCs/>
                <w:sz w:val="20"/>
                <w:szCs w:val="20"/>
              </w:rPr>
            </w:pPr>
            <w:r w:rsidRPr="009C7327">
              <w:rPr>
                <w:rFonts w:eastAsia="Calibri" w:cs="Arial"/>
                <w:color w:val="000000"/>
                <w:kern w:val="24"/>
                <w:sz w:val="20"/>
                <w:szCs w:val="20"/>
              </w:rPr>
              <w:t>Polymyositis-dermatomyositis</w:t>
            </w:r>
          </w:p>
        </w:tc>
        <w:tc>
          <w:tcPr>
            <w:tcW w:w="3119" w:type="dxa"/>
            <w:shd w:val="clear" w:color="auto" w:fill="auto"/>
            <w:vAlign w:val="center"/>
          </w:tcPr>
          <w:p w14:paraId="3086ED1E"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 </w:t>
            </w:r>
          </w:p>
        </w:tc>
      </w:tr>
      <w:tr w:rsidR="000D1710" w:rsidRPr="009C7327" w14:paraId="17DA9677" w14:textId="77777777" w:rsidTr="009C7327">
        <w:trPr>
          <w:cantSplit/>
          <w:trHeight w:val="376"/>
        </w:trPr>
        <w:tc>
          <w:tcPr>
            <w:tcW w:w="3119" w:type="dxa"/>
            <w:shd w:val="clear" w:color="auto" w:fill="auto"/>
            <w:vAlign w:val="center"/>
          </w:tcPr>
          <w:p w14:paraId="0D441346"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 </w:t>
            </w:r>
          </w:p>
        </w:tc>
        <w:tc>
          <w:tcPr>
            <w:tcW w:w="4111" w:type="dxa"/>
            <w:shd w:val="clear" w:color="auto" w:fill="auto"/>
            <w:vAlign w:val="center"/>
          </w:tcPr>
          <w:p w14:paraId="07A42EEA" w14:textId="77777777" w:rsidR="000D1710" w:rsidRPr="009C7327" w:rsidRDefault="000D1710" w:rsidP="009611BE">
            <w:pPr>
              <w:rPr>
                <w:rFonts w:cs="Arial"/>
                <w:b/>
                <w:bCs/>
                <w:sz w:val="20"/>
                <w:szCs w:val="20"/>
              </w:rPr>
            </w:pPr>
            <w:proofErr w:type="spellStart"/>
            <w:r w:rsidRPr="009C7327">
              <w:rPr>
                <w:rFonts w:eastAsia="Calibri" w:cs="Arial"/>
                <w:color w:val="000000"/>
                <w:kern w:val="24"/>
                <w:sz w:val="20"/>
                <w:szCs w:val="20"/>
              </w:rPr>
              <w:t>Behcet’s</w:t>
            </w:r>
            <w:proofErr w:type="spellEnd"/>
            <w:r w:rsidRPr="009C7327">
              <w:rPr>
                <w:rFonts w:eastAsia="Calibri" w:cs="Arial"/>
                <w:color w:val="000000"/>
                <w:kern w:val="24"/>
                <w:sz w:val="20"/>
                <w:szCs w:val="20"/>
              </w:rPr>
              <w:t xml:space="preserve"> syndrome</w:t>
            </w:r>
          </w:p>
        </w:tc>
        <w:tc>
          <w:tcPr>
            <w:tcW w:w="3119" w:type="dxa"/>
            <w:shd w:val="clear" w:color="auto" w:fill="auto"/>
            <w:vAlign w:val="center"/>
          </w:tcPr>
          <w:p w14:paraId="40A86940"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 </w:t>
            </w:r>
          </w:p>
        </w:tc>
      </w:tr>
      <w:tr w:rsidR="009C7327" w:rsidRPr="009C7327" w14:paraId="23B04D52" w14:textId="77777777" w:rsidTr="009C7327">
        <w:trPr>
          <w:cnfStyle w:val="000000100000" w:firstRow="0" w:lastRow="0" w:firstColumn="0" w:lastColumn="0" w:oddVBand="0" w:evenVBand="0" w:oddHBand="1" w:evenHBand="0" w:firstRowFirstColumn="0" w:firstRowLastColumn="0" w:lastRowFirstColumn="0" w:lastRowLastColumn="0"/>
          <w:cantSplit/>
          <w:trHeight w:val="231"/>
        </w:trPr>
        <w:tc>
          <w:tcPr>
            <w:tcW w:w="10351" w:type="dxa"/>
            <w:gridSpan w:val="3"/>
            <w:shd w:val="clear" w:color="auto" w:fill="D9D9D9" w:themeFill="background1" w:themeFillShade="D9"/>
            <w:vAlign w:val="center"/>
          </w:tcPr>
          <w:p w14:paraId="6C26B310" w14:textId="43948E8D" w:rsidR="009C7327" w:rsidRPr="009C7327" w:rsidRDefault="009C7327" w:rsidP="009C7327">
            <w:pPr>
              <w:keepNext/>
              <w:jc w:val="center"/>
              <w:rPr>
                <w:rFonts w:cs="Arial"/>
                <w:sz w:val="20"/>
                <w:szCs w:val="20"/>
              </w:rPr>
            </w:pPr>
            <w:r w:rsidRPr="009C7327">
              <w:rPr>
                <w:rFonts w:cs="Arial"/>
                <w:b/>
                <w:sz w:val="20"/>
                <w:szCs w:val="20"/>
              </w:rPr>
              <w:lastRenderedPageBreak/>
              <w:t>Neurological disease</w:t>
            </w:r>
          </w:p>
        </w:tc>
      </w:tr>
      <w:tr w:rsidR="000D1710" w:rsidRPr="009C7327" w14:paraId="4DF60DE1" w14:textId="77777777" w:rsidTr="009C7327">
        <w:trPr>
          <w:cantSplit/>
          <w:trHeight w:val="376"/>
        </w:trPr>
        <w:tc>
          <w:tcPr>
            <w:tcW w:w="3119" w:type="dxa"/>
            <w:shd w:val="clear" w:color="auto" w:fill="CCD6E7"/>
            <w:vAlign w:val="center"/>
          </w:tcPr>
          <w:p w14:paraId="3D931AD5" w14:textId="77777777" w:rsidR="000D1710" w:rsidRPr="009C7327" w:rsidRDefault="000D1710" w:rsidP="009C7327">
            <w:pPr>
              <w:keepNext/>
              <w:rPr>
                <w:rFonts w:cs="Arial"/>
                <w:sz w:val="20"/>
                <w:szCs w:val="20"/>
              </w:rPr>
            </w:pPr>
            <w:r w:rsidRPr="009C7327">
              <w:rPr>
                <w:rFonts w:eastAsia="Calibri" w:cs="Arial"/>
                <w:color w:val="231F20" w:themeColor="text1"/>
                <w:kern w:val="24"/>
                <w:sz w:val="20"/>
                <w:szCs w:val="20"/>
              </w:rPr>
              <w:t xml:space="preserve">Epilepsy managed in a combined clinic including specialist neurology and obstetrics </w:t>
            </w:r>
          </w:p>
        </w:tc>
        <w:tc>
          <w:tcPr>
            <w:tcW w:w="4111" w:type="dxa"/>
            <w:shd w:val="clear" w:color="auto" w:fill="CCD6E7"/>
            <w:vAlign w:val="center"/>
          </w:tcPr>
          <w:p w14:paraId="4F792143" w14:textId="77777777" w:rsidR="000D1710" w:rsidRPr="009C7327" w:rsidRDefault="000D1710" w:rsidP="009C7327">
            <w:pPr>
              <w:keepNext/>
              <w:rPr>
                <w:rFonts w:cs="Arial"/>
                <w:b/>
                <w:bCs/>
                <w:sz w:val="20"/>
                <w:szCs w:val="20"/>
              </w:rPr>
            </w:pPr>
            <w:r w:rsidRPr="009C7327">
              <w:rPr>
                <w:rFonts w:eastAsia="Calibri" w:cs="Arial"/>
                <w:color w:val="000000"/>
                <w:kern w:val="24"/>
                <w:sz w:val="20"/>
                <w:szCs w:val="20"/>
              </w:rPr>
              <w:t>Cluster headache</w:t>
            </w:r>
          </w:p>
        </w:tc>
        <w:tc>
          <w:tcPr>
            <w:tcW w:w="3119" w:type="dxa"/>
            <w:shd w:val="clear" w:color="auto" w:fill="CCD6E7"/>
            <w:vAlign w:val="center"/>
          </w:tcPr>
          <w:p w14:paraId="74FDF6E8" w14:textId="376BDFFB" w:rsidR="000D1710" w:rsidRPr="009C7327" w:rsidRDefault="000D1710" w:rsidP="009C7327">
            <w:pPr>
              <w:keepNext/>
              <w:rPr>
                <w:rFonts w:cs="Arial"/>
                <w:sz w:val="20"/>
                <w:szCs w:val="20"/>
              </w:rPr>
            </w:pPr>
            <w:r w:rsidRPr="009C7327">
              <w:rPr>
                <w:rFonts w:eastAsia="Calibri" w:cs="Arial"/>
                <w:color w:val="000000"/>
                <w:kern w:val="24"/>
                <w:sz w:val="20"/>
                <w:szCs w:val="20"/>
              </w:rPr>
              <w:t>All epilepsy without local access to a</w:t>
            </w:r>
            <w:r w:rsidR="00034F35" w:rsidRPr="009C7327">
              <w:rPr>
                <w:rFonts w:eastAsia="Calibri" w:cs="Arial"/>
                <w:color w:val="000000"/>
                <w:kern w:val="24"/>
                <w:sz w:val="20"/>
                <w:szCs w:val="20"/>
              </w:rPr>
              <w:t xml:space="preserve"> </w:t>
            </w:r>
            <w:r w:rsidRPr="009C7327">
              <w:rPr>
                <w:rFonts w:eastAsia="Calibri" w:cs="Arial"/>
                <w:color w:val="000000"/>
                <w:kern w:val="24"/>
                <w:sz w:val="20"/>
                <w:szCs w:val="20"/>
              </w:rPr>
              <w:t xml:space="preserve">combined clinic including specialist neurology and obstetrics. </w:t>
            </w:r>
          </w:p>
        </w:tc>
      </w:tr>
      <w:tr w:rsidR="000D1710" w:rsidRPr="009C7327" w14:paraId="5CE4BF46"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vAlign w:val="center"/>
          </w:tcPr>
          <w:p w14:paraId="737F4448" w14:textId="77777777" w:rsidR="000D1710" w:rsidRPr="009C7327" w:rsidRDefault="000D1710" w:rsidP="009C7327">
            <w:pPr>
              <w:keepNext/>
              <w:rPr>
                <w:rFonts w:cs="Arial"/>
                <w:sz w:val="20"/>
                <w:szCs w:val="20"/>
              </w:rPr>
            </w:pPr>
            <w:r w:rsidRPr="009C7327">
              <w:rPr>
                <w:rFonts w:eastAsia="Calibri" w:cs="Arial"/>
                <w:color w:val="231F20" w:themeColor="text1"/>
                <w:kern w:val="24"/>
                <w:sz w:val="20"/>
                <w:szCs w:val="20"/>
              </w:rPr>
              <w:t>Migraine</w:t>
            </w:r>
          </w:p>
        </w:tc>
        <w:tc>
          <w:tcPr>
            <w:tcW w:w="4111" w:type="dxa"/>
            <w:vAlign w:val="center"/>
          </w:tcPr>
          <w:p w14:paraId="746B6C4C" w14:textId="00933EAD" w:rsidR="000D1710" w:rsidRPr="009C7327" w:rsidRDefault="000D1710" w:rsidP="009C7327">
            <w:pPr>
              <w:keepNext/>
              <w:rPr>
                <w:rFonts w:cs="Arial"/>
                <w:b/>
                <w:bCs/>
                <w:sz w:val="20"/>
                <w:szCs w:val="20"/>
              </w:rPr>
            </w:pPr>
            <w:r w:rsidRPr="009C7327">
              <w:rPr>
                <w:rFonts w:eastAsia="Calibri" w:cs="Arial"/>
                <w:color w:val="000000"/>
                <w:kern w:val="24"/>
                <w:sz w:val="20"/>
                <w:szCs w:val="20"/>
              </w:rPr>
              <w:t>Idiopathic intracranial hypertension</w:t>
            </w:r>
            <w:r w:rsidR="00034F35" w:rsidRPr="009C7327">
              <w:rPr>
                <w:rFonts w:eastAsia="Calibri" w:cs="Arial"/>
                <w:color w:val="000000"/>
                <w:kern w:val="24"/>
                <w:sz w:val="20"/>
                <w:szCs w:val="20"/>
              </w:rPr>
              <w:t xml:space="preserve"> </w:t>
            </w:r>
          </w:p>
        </w:tc>
        <w:tc>
          <w:tcPr>
            <w:tcW w:w="3119" w:type="dxa"/>
            <w:vAlign w:val="center"/>
          </w:tcPr>
          <w:p w14:paraId="5826A069" w14:textId="77777777" w:rsidR="000D1710" w:rsidRPr="009C7327" w:rsidRDefault="000D1710" w:rsidP="009C7327">
            <w:pPr>
              <w:keepNext/>
              <w:rPr>
                <w:rFonts w:cs="Arial"/>
                <w:sz w:val="20"/>
                <w:szCs w:val="20"/>
              </w:rPr>
            </w:pPr>
            <w:r w:rsidRPr="009C7327">
              <w:rPr>
                <w:rFonts w:eastAsia="Calibri" w:cs="Arial"/>
                <w:color w:val="000000"/>
                <w:kern w:val="24"/>
                <w:sz w:val="20"/>
                <w:szCs w:val="20"/>
              </w:rPr>
              <w:t>Symptomatic raised intracranial pressure</w:t>
            </w:r>
          </w:p>
        </w:tc>
      </w:tr>
      <w:tr w:rsidR="000D1710" w:rsidRPr="009C7327" w14:paraId="118DE7B4" w14:textId="77777777" w:rsidTr="009C7327">
        <w:trPr>
          <w:cantSplit/>
          <w:trHeight w:val="376"/>
        </w:trPr>
        <w:tc>
          <w:tcPr>
            <w:tcW w:w="3119" w:type="dxa"/>
            <w:shd w:val="clear" w:color="auto" w:fill="CCD6E7"/>
            <w:vAlign w:val="center"/>
          </w:tcPr>
          <w:p w14:paraId="4E8AC62F"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Stable, small cerebrovascular malformation, reviewed within 2 years of conception, plan for mode of delivery</w:t>
            </w:r>
          </w:p>
        </w:tc>
        <w:tc>
          <w:tcPr>
            <w:tcW w:w="4111" w:type="dxa"/>
            <w:shd w:val="clear" w:color="auto" w:fill="CCD6E7"/>
            <w:vAlign w:val="center"/>
          </w:tcPr>
          <w:p w14:paraId="3CE1C62D" w14:textId="77777777" w:rsidR="000D1710" w:rsidRPr="009C7327" w:rsidRDefault="000D1710" w:rsidP="009611BE">
            <w:pPr>
              <w:rPr>
                <w:rFonts w:cs="Arial"/>
                <w:b/>
                <w:bCs/>
                <w:sz w:val="20"/>
                <w:szCs w:val="20"/>
              </w:rPr>
            </w:pPr>
            <w:r w:rsidRPr="009C7327">
              <w:rPr>
                <w:rFonts w:eastAsia="Calibri" w:cs="Arial"/>
                <w:color w:val="000000"/>
                <w:kern w:val="24"/>
                <w:sz w:val="20"/>
                <w:szCs w:val="20"/>
              </w:rPr>
              <w:t>CVM, not reviewed within 2 years of conception</w:t>
            </w:r>
          </w:p>
        </w:tc>
        <w:tc>
          <w:tcPr>
            <w:tcW w:w="3119" w:type="dxa"/>
            <w:shd w:val="clear" w:color="auto" w:fill="CCD6E7"/>
            <w:vAlign w:val="center"/>
          </w:tcPr>
          <w:p w14:paraId="3C7C82AA" w14:textId="77777777" w:rsidR="000D1710" w:rsidRPr="009C7327" w:rsidRDefault="000D1710" w:rsidP="009611BE">
            <w:pPr>
              <w:pStyle w:val="NormalWeb"/>
              <w:spacing w:before="0" w:beforeAutospacing="0" w:after="0" w:afterAutospacing="0"/>
              <w:rPr>
                <w:rFonts w:ascii="Arial" w:hAnsi="Arial" w:cs="Arial"/>
              </w:rPr>
            </w:pPr>
            <w:r w:rsidRPr="009C7327">
              <w:rPr>
                <w:rFonts w:ascii="Arial" w:eastAsia="Calibri" w:hAnsi="Arial" w:cs="Arial"/>
                <w:color w:val="000000"/>
                <w:kern w:val="24"/>
              </w:rPr>
              <w:t>Unstable CVM/AVM/cavernoma</w:t>
            </w:r>
          </w:p>
          <w:p w14:paraId="0FAD9731" w14:textId="77777777" w:rsidR="000D1710" w:rsidRPr="009C7327" w:rsidRDefault="000D1710" w:rsidP="009611BE">
            <w:pPr>
              <w:rPr>
                <w:rFonts w:cs="Arial"/>
                <w:sz w:val="20"/>
                <w:szCs w:val="20"/>
              </w:rPr>
            </w:pPr>
            <w:r w:rsidRPr="009C7327">
              <w:rPr>
                <w:rFonts w:eastAsia="Calibri" w:cs="Arial"/>
                <w:color w:val="000000"/>
                <w:kern w:val="24"/>
                <w:sz w:val="20"/>
                <w:szCs w:val="20"/>
              </w:rPr>
              <w:t>Intracerebral bleed within 2 years</w:t>
            </w:r>
          </w:p>
        </w:tc>
      </w:tr>
      <w:tr w:rsidR="000D1710" w:rsidRPr="009C7327" w14:paraId="1F23DBAD"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vAlign w:val="center"/>
          </w:tcPr>
          <w:p w14:paraId="0BFEA103"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 xml:space="preserve">Previous brain tumour </w:t>
            </w:r>
          </w:p>
        </w:tc>
        <w:tc>
          <w:tcPr>
            <w:tcW w:w="4111" w:type="dxa"/>
            <w:vAlign w:val="center"/>
          </w:tcPr>
          <w:p w14:paraId="4273A18B" w14:textId="77777777" w:rsidR="000D1710" w:rsidRPr="009C7327" w:rsidRDefault="000D1710" w:rsidP="009611BE">
            <w:pPr>
              <w:rPr>
                <w:rFonts w:cs="Arial"/>
                <w:b/>
                <w:bCs/>
                <w:sz w:val="20"/>
                <w:szCs w:val="20"/>
              </w:rPr>
            </w:pPr>
            <w:r w:rsidRPr="009C7327">
              <w:rPr>
                <w:rFonts w:eastAsia="Calibri" w:cs="Arial"/>
                <w:color w:val="000000"/>
                <w:kern w:val="24"/>
                <w:sz w:val="20"/>
                <w:szCs w:val="20"/>
              </w:rPr>
              <w:t>Current brain tumour</w:t>
            </w:r>
          </w:p>
        </w:tc>
        <w:tc>
          <w:tcPr>
            <w:tcW w:w="3119" w:type="dxa"/>
            <w:vAlign w:val="center"/>
          </w:tcPr>
          <w:p w14:paraId="690926D6" w14:textId="77777777" w:rsidR="000D1710" w:rsidRPr="009C7327" w:rsidRDefault="000D1710" w:rsidP="009611BE">
            <w:pPr>
              <w:rPr>
                <w:rFonts w:cs="Arial"/>
                <w:sz w:val="20"/>
                <w:szCs w:val="20"/>
              </w:rPr>
            </w:pPr>
            <w:r w:rsidRPr="009C7327">
              <w:rPr>
                <w:rFonts w:eastAsia="Calibri" w:cs="Arial"/>
                <w:color w:val="000000"/>
                <w:kern w:val="24"/>
                <w:sz w:val="20"/>
                <w:szCs w:val="20"/>
              </w:rPr>
              <w:t>Progressive brain tumour</w:t>
            </w:r>
          </w:p>
        </w:tc>
      </w:tr>
      <w:tr w:rsidR="000D1710" w:rsidRPr="009C7327" w14:paraId="29288D3D" w14:textId="77777777" w:rsidTr="009C7327">
        <w:trPr>
          <w:cantSplit/>
          <w:trHeight w:val="376"/>
        </w:trPr>
        <w:tc>
          <w:tcPr>
            <w:tcW w:w="3119" w:type="dxa"/>
            <w:shd w:val="clear" w:color="auto" w:fill="CCD6E7"/>
            <w:vAlign w:val="center"/>
          </w:tcPr>
          <w:p w14:paraId="3DAF3FF5"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 xml:space="preserve">Previous cerebral vein thrombosis (CVT) </w:t>
            </w:r>
          </w:p>
        </w:tc>
        <w:tc>
          <w:tcPr>
            <w:tcW w:w="4111" w:type="dxa"/>
            <w:shd w:val="clear" w:color="auto" w:fill="CCD6E7"/>
            <w:vAlign w:val="center"/>
          </w:tcPr>
          <w:p w14:paraId="0735781E" w14:textId="77777777" w:rsidR="000D1710" w:rsidRPr="009C7327" w:rsidRDefault="000D1710" w:rsidP="009611BE">
            <w:pPr>
              <w:rPr>
                <w:rFonts w:cs="Arial"/>
                <w:b/>
                <w:bCs/>
                <w:sz w:val="20"/>
                <w:szCs w:val="20"/>
              </w:rPr>
            </w:pPr>
            <w:r w:rsidRPr="009C7327">
              <w:rPr>
                <w:rFonts w:eastAsia="Calibri" w:cs="Arial"/>
                <w:color w:val="000000"/>
                <w:kern w:val="24"/>
                <w:sz w:val="20"/>
                <w:szCs w:val="20"/>
              </w:rPr>
              <w:t xml:space="preserve">New cerebral vein thrombosis (CVT) </w:t>
            </w:r>
          </w:p>
        </w:tc>
        <w:tc>
          <w:tcPr>
            <w:tcW w:w="3119" w:type="dxa"/>
            <w:shd w:val="clear" w:color="auto" w:fill="CCD6E7"/>
            <w:vAlign w:val="center"/>
          </w:tcPr>
          <w:p w14:paraId="294DCFC5" w14:textId="77777777" w:rsidR="000D1710" w:rsidRPr="009C7327" w:rsidRDefault="000D1710" w:rsidP="009611BE">
            <w:pPr>
              <w:rPr>
                <w:rFonts w:cs="Arial"/>
                <w:sz w:val="20"/>
                <w:szCs w:val="20"/>
              </w:rPr>
            </w:pPr>
            <w:r w:rsidRPr="009C7327">
              <w:rPr>
                <w:rFonts w:eastAsia="Calibri" w:cs="Arial"/>
                <w:color w:val="000000"/>
                <w:kern w:val="24"/>
                <w:sz w:val="20"/>
                <w:szCs w:val="20"/>
              </w:rPr>
              <w:t>Acute stroke*</w:t>
            </w:r>
          </w:p>
        </w:tc>
      </w:tr>
      <w:tr w:rsidR="000D1710" w:rsidRPr="009C7327" w14:paraId="0501A126"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vAlign w:val="center"/>
          </w:tcPr>
          <w:p w14:paraId="13BF1A61"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Meningitis</w:t>
            </w:r>
          </w:p>
        </w:tc>
        <w:tc>
          <w:tcPr>
            <w:tcW w:w="4111" w:type="dxa"/>
            <w:vAlign w:val="center"/>
          </w:tcPr>
          <w:p w14:paraId="2563BE14" w14:textId="77777777" w:rsidR="000D1710" w:rsidRPr="009C7327" w:rsidRDefault="000D1710" w:rsidP="009611BE">
            <w:pPr>
              <w:rPr>
                <w:rFonts w:cs="Arial"/>
                <w:b/>
                <w:bCs/>
                <w:sz w:val="20"/>
                <w:szCs w:val="20"/>
              </w:rPr>
            </w:pPr>
            <w:r w:rsidRPr="009C7327">
              <w:rPr>
                <w:rFonts w:eastAsia="Calibri" w:cs="Arial"/>
                <w:color w:val="000000"/>
                <w:kern w:val="24"/>
                <w:sz w:val="20"/>
                <w:szCs w:val="20"/>
              </w:rPr>
              <w:t>Previous Guillain Barre Syndrome</w:t>
            </w:r>
          </w:p>
        </w:tc>
        <w:tc>
          <w:tcPr>
            <w:tcW w:w="3119" w:type="dxa"/>
            <w:vAlign w:val="center"/>
          </w:tcPr>
          <w:p w14:paraId="7E7FB9A3" w14:textId="77777777" w:rsidR="000D1710" w:rsidRPr="009C7327" w:rsidRDefault="000D1710" w:rsidP="009611BE">
            <w:pPr>
              <w:rPr>
                <w:rFonts w:cs="Arial"/>
                <w:sz w:val="20"/>
                <w:szCs w:val="20"/>
              </w:rPr>
            </w:pPr>
            <w:r w:rsidRPr="009C7327">
              <w:rPr>
                <w:rFonts w:eastAsia="Calibri" w:cs="Arial"/>
                <w:color w:val="000000"/>
                <w:kern w:val="24"/>
                <w:sz w:val="20"/>
                <w:szCs w:val="20"/>
              </w:rPr>
              <w:t>New-onset Guillain-Barre syndrome</w:t>
            </w:r>
          </w:p>
        </w:tc>
      </w:tr>
      <w:tr w:rsidR="000D1710" w:rsidRPr="009C7327" w14:paraId="7FCD4842" w14:textId="77777777" w:rsidTr="009C7327">
        <w:trPr>
          <w:cantSplit/>
          <w:trHeight w:val="376"/>
        </w:trPr>
        <w:tc>
          <w:tcPr>
            <w:tcW w:w="3119" w:type="dxa"/>
            <w:shd w:val="clear" w:color="auto" w:fill="CCD6E7"/>
            <w:vAlign w:val="center"/>
          </w:tcPr>
          <w:p w14:paraId="2A8FD6E5"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Previous encephalitis</w:t>
            </w:r>
          </w:p>
        </w:tc>
        <w:tc>
          <w:tcPr>
            <w:tcW w:w="4111" w:type="dxa"/>
            <w:shd w:val="clear" w:color="auto" w:fill="CCD6E7"/>
            <w:vAlign w:val="center"/>
          </w:tcPr>
          <w:p w14:paraId="6B33C97C" w14:textId="77777777" w:rsidR="000D1710" w:rsidRPr="009C7327" w:rsidRDefault="000D1710" w:rsidP="009611BE">
            <w:pPr>
              <w:rPr>
                <w:rFonts w:cs="Arial"/>
                <w:b/>
                <w:bCs/>
                <w:sz w:val="20"/>
                <w:szCs w:val="20"/>
              </w:rPr>
            </w:pPr>
            <w:r w:rsidRPr="009C7327">
              <w:rPr>
                <w:rFonts w:eastAsia="Calibri" w:cs="Arial"/>
                <w:color w:val="000000"/>
                <w:kern w:val="24"/>
                <w:sz w:val="20"/>
                <w:szCs w:val="20"/>
              </w:rPr>
              <w:t>Treated, stable myasthenia gravis</w:t>
            </w:r>
          </w:p>
        </w:tc>
        <w:tc>
          <w:tcPr>
            <w:tcW w:w="3119" w:type="dxa"/>
            <w:shd w:val="clear" w:color="auto" w:fill="CCD6E7"/>
            <w:vAlign w:val="center"/>
          </w:tcPr>
          <w:p w14:paraId="3CC58006" w14:textId="77777777" w:rsidR="000D1710" w:rsidRPr="009C7327" w:rsidRDefault="000D1710" w:rsidP="009611BE">
            <w:pPr>
              <w:rPr>
                <w:rFonts w:cs="Arial"/>
                <w:sz w:val="20"/>
                <w:szCs w:val="20"/>
              </w:rPr>
            </w:pPr>
            <w:r w:rsidRPr="009C7327">
              <w:rPr>
                <w:rFonts w:eastAsia="Calibri" w:cs="Arial"/>
                <w:color w:val="000000"/>
                <w:kern w:val="24"/>
                <w:sz w:val="20"/>
                <w:szCs w:val="20"/>
              </w:rPr>
              <w:t>New diagnosis or flare of myasthenia gravis</w:t>
            </w:r>
          </w:p>
        </w:tc>
      </w:tr>
      <w:tr w:rsidR="000D1710" w:rsidRPr="009C7327" w14:paraId="5FE42BE8"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vAlign w:val="center"/>
          </w:tcPr>
          <w:p w14:paraId="015A0344"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Stable multiple sclerosis managed without disease modifying drugs</w:t>
            </w:r>
          </w:p>
        </w:tc>
        <w:tc>
          <w:tcPr>
            <w:tcW w:w="4111" w:type="dxa"/>
            <w:vAlign w:val="center"/>
          </w:tcPr>
          <w:p w14:paraId="753C01C5" w14:textId="1FE3DD13" w:rsidR="000D1710" w:rsidRPr="009C7327" w:rsidRDefault="000D1710" w:rsidP="009611BE">
            <w:pPr>
              <w:rPr>
                <w:rFonts w:cs="Arial"/>
                <w:b/>
                <w:bCs/>
                <w:sz w:val="20"/>
                <w:szCs w:val="20"/>
              </w:rPr>
            </w:pPr>
            <w:r w:rsidRPr="009C7327">
              <w:rPr>
                <w:rFonts w:eastAsia="Calibri" w:cs="Arial"/>
                <w:color w:val="000000"/>
                <w:kern w:val="24"/>
                <w:sz w:val="20"/>
                <w:szCs w:val="20"/>
              </w:rPr>
              <w:t>Unstable multiple sclerosis or disease modifying drugs</w:t>
            </w:r>
            <w:r w:rsidR="00034F35" w:rsidRPr="009C7327">
              <w:rPr>
                <w:rFonts w:eastAsia="Calibri" w:cs="Arial"/>
                <w:color w:val="000000"/>
                <w:kern w:val="24"/>
                <w:sz w:val="20"/>
                <w:szCs w:val="20"/>
              </w:rPr>
              <w:t xml:space="preserve"> </w:t>
            </w:r>
          </w:p>
        </w:tc>
        <w:tc>
          <w:tcPr>
            <w:tcW w:w="3119" w:type="dxa"/>
            <w:vAlign w:val="center"/>
          </w:tcPr>
          <w:p w14:paraId="1A1CDA02" w14:textId="77777777" w:rsidR="000D1710" w:rsidRPr="009C7327" w:rsidRDefault="000D1710" w:rsidP="009611BE">
            <w:pPr>
              <w:rPr>
                <w:rFonts w:cs="Arial"/>
                <w:sz w:val="20"/>
                <w:szCs w:val="20"/>
              </w:rPr>
            </w:pPr>
            <w:r w:rsidRPr="009C7327">
              <w:rPr>
                <w:rFonts w:eastAsia="Calibri" w:cs="Arial"/>
                <w:color w:val="000000"/>
                <w:kern w:val="24"/>
                <w:sz w:val="20"/>
                <w:szCs w:val="20"/>
              </w:rPr>
              <w:t>Myotonic dystrophy</w:t>
            </w:r>
          </w:p>
        </w:tc>
      </w:tr>
      <w:tr w:rsidR="000D1710" w:rsidRPr="009C7327" w14:paraId="4A46AB01" w14:textId="77777777" w:rsidTr="009C7327">
        <w:trPr>
          <w:cantSplit/>
          <w:trHeight w:val="376"/>
        </w:trPr>
        <w:tc>
          <w:tcPr>
            <w:tcW w:w="3119" w:type="dxa"/>
            <w:shd w:val="clear" w:color="auto" w:fill="CCD6E7"/>
            <w:vAlign w:val="center"/>
          </w:tcPr>
          <w:p w14:paraId="4F75516D" w14:textId="77777777" w:rsidR="000D1710" w:rsidRPr="009C7327" w:rsidRDefault="000D1710" w:rsidP="009611BE">
            <w:pPr>
              <w:pStyle w:val="NormalWeb"/>
              <w:spacing w:before="0" w:beforeAutospacing="0" w:after="0" w:afterAutospacing="0"/>
              <w:rPr>
                <w:rFonts w:ascii="Arial" w:hAnsi="Arial" w:cs="Arial"/>
              </w:rPr>
            </w:pPr>
            <w:r w:rsidRPr="009C7327">
              <w:rPr>
                <w:rFonts w:ascii="Arial" w:eastAsia="Calibri" w:hAnsi="Arial" w:cs="Arial"/>
                <w:color w:val="231F20" w:themeColor="text1"/>
                <w:kern w:val="24"/>
              </w:rPr>
              <w:t>Mononeuropathy eg: Bell’s palsy</w:t>
            </w:r>
          </w:p>
          <w:p w14:paraId="62C19CE2"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carpal tunnel, peroneal nerve compression</w:t>
            </w:r>
          </w:p>
        </w:tc>
        <w:tc>
          <w:tcPr>
            <w:tcW w:w="4111" w:type="dxa"/>
            <w:shd w:val="clear" w:color="auto" w:fill="CCD6E7"/>
            <w:vAlign w:val="center"/>
          </w:tcPr>
          <w:p w14:paraId="38AC8596" w14:textId="77777777" w:rsidR="000D1710" w:rsidRPr="009C7327" w:rsidRDefault="000D1710" w:rsidP="009611BE">
            <w:pPr>
              <w:rPr>
                <w:rFonts w:cs="Arial"/>
                <w:b/>
                <w:bCs/>
                <w:sz w:val="20"/>
                <w:szCs w:val="20"/>
              </w:rPr>
            </w:pPr>
            <w:r w:rsidRPr="009C7327">
              <w:rPr>
                <w:rFonts w:eastAsia="Calibri" w:cs="Arial"/>
                <w:color w:val="000000"/>
                <w:kern w:val="24"/>
                <w:sz w:val="20"/>
                <w:szCs w:val="20"/>
              </w:rPr>
              <w:t>Progressive or persistent mononeuropathy</w:t>
            </w:r>
          </w:p>
        </w:tc>
        <w:tc>
          <w:tcPr>
            <w:tcW w:w="3119" w:type="dxa"/>
            <w:shd w:val="clear" w:color="auto" w:fill="CCD6E7"/>
            <w:vAlign w:val="center"/>
          </w:tcPr>
          <w:p w14:paraId="4D8D8C28"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 </w:t>
            </w:r>
          </w:p>
        </w:tc>
      </w:tr>
      <w:tr w:rsidR="000D1710" w:rsidRPr="009C7327" w14:paraId="1D76A036"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vAlign w:val="center"/>
          </w:tcPr>
          <w:p w14:paraId="141B225A"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Post-</w:t>
            </w:r>
            <w:proofErr w:type="spellStart"/>
            <w:r w:rsidRPr="009C7327">
              <w:rPr>
                <w:rFonts w:eastAsia="Calibri" w:cs="Arial"/>
                <w:color w:val="231F20" w:themeColor="text1"/>
                <w:kern w:val="24"/>
                <w:sz w:val="20"/>
                <w:szCs w:val="20"/>
              </w:rPr>
              <w:t>dural</w:t>
            </w:r>
            <w:proofErr w:type="spellEnd"/>
            <w:r w:rsidRPr="009C7327">
              <w:rPr>
                <w:rFonts w:eastAsia="Calibri" w:cs="Arial"/>
                <w:color w:val="231F20" w:themeColor="text1"/>
                <w:kern w:val="24"/>
                <w:sz w:val="20"/>
                <w:szCs w:val="20"/>
              </w:rPr>
              <w:t xml:space="preserve"> puncture headache</w:t>
            </w:r>
          </w:p>
        </w:tc>
        <w:tc>
          <w:tcPr>
            <w:tcW w:w="4111" w:type="dxa"/>
            <w:vAlign w:val="center"/>
          </w:tcPr>
          <w:p w14:paraId="70019A21" w14:textId="77777777" w:rsidR="000D1710" w:rsidRPr="009C7327" w:rsidRDefault="000D1710" w:rsidP="009611BE">
            <w:pPr>
              <w:rPr>
                <w:rFonts w:cs="Arial"/>
                <w:b/>
                <w:bCs/>
                <w:sz w:val="20"/>
                <w:szCs w:val="20"/>
              </w:rPr>
            </w:pPr>
            <w:r w:rsidRPr="009C7327">
              <w:rPr>
                <w:rFonts w:eastAsia="Calibri" w:cs="Arial"/>
                <w:color w:val="000000"/>
                <w:kern w:val="24"/>
                <w:sz w:val="20"/>
                <w:szCs w:val="20"/>
              </w:rPr>
              <w:t>New encephalitis</w:t>
            </w:r>
          </w:p>
        </w:tc>
        <w:tc>
          <w:tcPr>
            <w:tcW w:w="3119" w:type="dxa"/>
            <w:vAlign w:val="center"/>
          </w:tcPr>
          <w:p w14:paraId="0882D01D"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 </w:t>
            </w:r>
          </w:p>
        </w:tc>
      </w:tr>
      <w:tr w:rsidR="000D1710" w:rsidRPr="009C7327" w14:paraId="2400DEAF" w14:textId="77777777" w:rsidTr="009C7327">
        <w:trPr>
          <w:cantSplit/>
          <w:trHeight w:val="376"/>
        </w:trPr>
        <w:tc>
          <w:tcPr>
            <w:tcW w:w="3119" w:type="dxa"/>
            <w:shd w:val="clear" w:color="auto" w:fill="CCD6E7"/>
            <w:vAlign w:val="center"/>
          </w:tcPr>
          <w:p w14:paraId="6AECE984"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 </w:t>
            </w:r>
          </w:p>
        </w:tc>
        <w:tc>
          <w:tcPr>
            <w:tcW w:w="4111" w:type="dxa"/>
            <w:shd w:val="clear" w:color="auto" w:fill="CCD6E7"/>
            <w:vAlign w:val="center"/>
          </w:tcPr>
          <w:p w14:paraId="1DC76C1C" w14:textId="77777777" w:rsidR="000D1710" w:rsidRPr="009C7327" w:rsidRDefault="000D1710" w:rsidP="009611BE">
            <w:pPr>
              <w:rPr>
                <w:rFonts w:cs="Arial"/>
                <w:b/>
                <w:bCs/>
                <w:sz w:val="20"/>
                <w:szCs w:val="20"/>
              </w:rPr>
            </w:pPr>
            <w:r w:rsidRPr="009C7327">
              <w:rPr>
                <w:rFonts w:eastAsia="Calibri" w:cs="Arial"/>
                <w:color w:val="000000"/>
                <w:kern w:val="24"/>
                <w:sz w:val="20"/>
                <w:szCs w:val="20"/>
              </w:rPr>
              <w:t>Reversible Cerebral Vasoconstriction Syndrome (RCVS)</w:t>
            </w:r>
          </w:p>
        </w:tc>
        <w:tc>
          <w:tcPr>
            <w:tcW w:w="3119" w:type="dxa"/>
            <w:shd w:val="clear" w:color="auto" w:fill="CCD6E7"/>
            <w:vAlign w:val="center"/>
          </w:tcPr>
          <w:p w14:paraId="068B2B18"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 </w:t>
            </w:r>
          </w:p>
        </w:tc>
      </w:tr>
      <w:tr w:rsidR="000D1710" w:rsidRPr="009C7327" w14:paraId="4008F1E5"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vAlign w:val="center"/>
          </w:tcPr>
          <w:p w14:paraId="506BA46F"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 </w:t>
            </w:r>
          </w:p>
        </w:tc>
        <w:tc>
          <w:tcPr>
            <w:tcW w:w="4111" w:type="dxa"/>
            <w:vAlign w:val="center"/>
          </w:tcPr>
          <w:p w14:paraId="4C900D64" w14:textId="77777777" w:rsidR="000D1710" w:rsidRPr="009C7327" w:rsidRDefault="000D1710" w:rsidP="009611BE">
            <w:pPr>
              <w:rPr>
                <w:rFonts w:cs="Arial"/>
                <w:b/>
                <w:bCs/>
                <w:sz w:val="20"/>
                <w:szCs w:val="20"/>
              </w:rPr>
            </w:pPr>
            <w:r w:rsidRPr="009C7327">
              <w:rPr>
                <w:rFonts w:eastAsia="Calibri" w:cs="Arial"/>
                <w:color w:val="000000"/>
                <w:kern w:val="24"/>
                <w:sz w:val="20"/>
                <w:szCs w:val="20"/>
              </w:rPr>
              <w:t>Posterior Reversible Encephalopathy Syndrome (PRES)</w:t>
            </w:r>
          </w:p>
        </w:tc>
        <w:tc>
          <w:tcPr>
            <w:tcW w:w="3119" w:type="dxa"/>
            <w:vAlign w:val="center"/>
          </w:tcPr>
          <w:p w14:paraId="4D5E91B7"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 </w:t>
            </w:r>
          </w:p>
        </w:tc>
      </w:tr>
      <w:tr w:rsidR="000D1710" w:rsidRPr="009C7327" w14:paraId="46D8F6A2" w14:textId="77777777" w:rsidTr="009C7327">
        <w:trPr>
          <w:cantSplit/>
          <w:trHeight w:val="249"/>
        </w:trPr>
        <w:tc>
          <w:tcPr>
            <w:tcW w:w="3119" w:type="dxa"/>
            <w:shd w:val="clear" w:color="auto" w:fill="CCD6E7"/>
            <w:vAlign w:val="center"/>
          </w:tcPr>
          <w:p w14:paraId="3234C4EB"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 </w:t>
            </w:r>
          </w:p>
        </w:tc>
        <w:tc>
          <w:tcPr>
            <w:tcW w:w="4111" w:type="dxa"/>
            <w:shd w:val="clear" w:color="auto" w:fill="CCD6E7"/>
            <w:vAlign w:val="center"/>
          </w:tcPr>
          <w:p w14:paraId="2D734656" w14:textId="77777777" w:rsidR="000D1710" w:rsidRPr="009C7327" w:rsidRDefault="000D1710" w:rsidP="009611BE">
            <w:pPr>
              <w:rPr>
                <w:rFonts w:cs="Arial"/>
                <w:b/>
                <w:bCs/>
                <w:sz w:val="20"/>
                <w:szCs w:val="20"/>
              </w:rPr>
            </w:pPr>
            <w:r w:rsidRPr="009C7327">
              <w:rPr>
                <w:rFonts w:eastAsia="Calibri" w:cs="Arial"/>
                <w:color w:val="000000"/>
                <w:kern w:val="24"/>
                <w:sz w:val="20"/>
                <w:szCs w:val="20"/>
              </w:rPr>
              <w:t>Spinal cord injury</w:t>
            </w:r>
          </w:p>
        </w:tc>
        <w:tc>
          <w:tcPr>
            <w:tcW w:w="3119" w:type="dxa"/>
            <w:shd w:val="clear" w:color="auto" w:fill="CCD6E7"/>
            <w:vAlign w:val="center"/>
          </w:tcPr>
          <w:p w14:paraId="3A5E185A"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 </w:t>
            </w:r>
          </w:p>
        </w:tc>
      </w:tr>
      <w:tr w:rsidR="000D1710" w:rsidRPr="009C7327" w14:paraId="7795ECD5"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vAlign w:val="center"/>
          </w:tcPr>
          <w:p w14:paraId="0C7A78B3"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 </w:t>
            </w:r>
          </w:p>
        </w:tc>
        <w:tc>
          <w:tcPr>
            <w:tcW w:w="4111" w:type="dxa"/>
            <w:vAlign w:val="center"/>
          </w:tcPr>
          <w:p w14:paraId="51752851" w14:textId="77777777" w:rsidR="000D1710" w:rsidRPr="009C7327" w:rsidRDefault="000D1710" w:rsidP="009611BE">
            <w:pPr>
              <w:rPr>
                <w:rFonts w:cs="Arial"/>
                <w:b/>
                <w:bCs/>
                <w:sz w:val="20"/>
                <w:szCs w:val="20"/>
              </w:rPr>
            </w:pPr>
            <w:r w:rsidRPr="009C7327">
              <w:rPr>
                <w:rFonts w:eastAsia="Calibri" w:cs="Arial"/>
                <w:color w:val="000000"/>
                <w:kern w:val="24"/>
                <w:sz w:val="20"/>
                <w:szCs w:val="20"/>
              </w:rPr>
              <w:t>Neurofibromatosis</w:t>
            </w:r>
          </w:p>
        </w:tc>
        <w:tc>
          <w:tcPr>
            <w:tcW w:w="3119" w:type="dxa"/>
            <w:vAlign w:val="center"/>
          </w:tcPr>
          <w:p w14:paraId="16989B99"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 </w:t>
            </w:r>
          </w:p>
        </w:tc>
      </w:tr>
      <w:tr w:rsidR="000D1710" w:rsidRPr="009C7327" w14:paraId="57F590F7" w14:textId="77777777" w:rsidTr="009C7327">
        <w:trPr>
          <w:cantSplit/>
          <w:trHeight w:val="376"/>
        </w:trPr>
        <w:tc>
          <w:tcPr>
            <w:tcW w:w="3119" w:type="dxa"/>
            <w:shd w:val="clear" w:color="auto" w:fill="CCD6E7"/>
            <w:vAlign w:val="center"/>
          </w:tcPr>
          <w:p w14:paraId="4DABA6AE"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 </w:t>
            </w:r>
          </w:p>
        </w:tc>
        <w:tc>
          <w:tcPr>
            <w:tcW w:w="4111" w:type="dxa"/>
            <w:shd w:val="clear" w:color="auto" w:fill="CCD6E7"/>
            <w:vAlign w:val="center"/>
          </w:tcPr>
          <w:p w14:paraId="4D26526D" w14:textId="77777777" w:rsidR="000D1710" w:rsidRPr="009C7327" w:rsidRDefault="000D1710" w:rsidP="009611BE">
            <w:pPr>
              <w:rPr>
                <w:rFonts w:cs="Arial"/>
                <w:b/>
                <w:bCs/>
                <w:sz w:val="20"/>
                <w:szCs w:val="20"/>
              </w:rPr>
            </w:pPr>
            <w:r w:rsidRPr="009C7327">
              <w:rPr>
                <w:rFonts w:eastAsia="Calibri" w:cs="Arial"/>
                <w:color w:val="000000"/>
                <w:kern w:val="24"/>
                <w:sz w:val="20"/>
                <w:szCs w:val="20"/>
              </w:rPr>
              <w:t>Neuromuscular dystrophy</w:t>
            </w:r>
          </w:p>
        </w:tc>
        <w:tc>
          <w:tcPr>
            <w:tcW w:w="3119" w:type="dxa"/>
            <w:shd w:val="clear" w:color="auto" w:fill="CCD6E7"/>
            <w:vAlign w:val="center"/>
          </w:tcPr>
          <w:p w14:paraId="52350B0B"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 </w:t>
            </w:r>
          </w:p>
        </w:tc>
      </w:tr>
      <w:tr w:rsidR="000D1710" w:rsidRPr="009C7327" w14:paraId="4F94A3B5"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vAlign w:val="center"/>
          </w:tcPr>
          <w:p w14:paraId="02C74A1F" w14:textId="77777777" w:rsidR="000D1710" w:rsidRPr="009C7327" w:rsidRDefault="000D1710" w:rsidP="009611BE">
            <w:pPr>
              <w:rPr>
                <w:rFonts w:cs="Arial"/>
                <w:sz w:val="20"/>
                <w:szCs w:val="20"/>
              </w:rPr>
            </w:pPr>
            <w:r w:rsidRPr="009C7327">
              <w:rPr>
                <w:rFonts w:eastAsia="Calibri" w:cs="Arial"/>
                <w:b/>
                <w:color w:val="231F20" w:themeColor="text1"/>
                <w:kern w:val="24"/>
                <w:sz w:val="20"/>
                <w:szCs w:val="20"/>
              </w:rPr>
              <w:t> </w:t>
            </w:r>
          </w:p>
        </w:tc>
        <w:tc>
          <w:tcPr>
            <w:tcW w:w="4111" w:type="dxa"/>
            <w:vAlign w:val="center"/>
          </w:tcPr>
          <w:p w14:paraId="32733A70" w14:textId="77777777" w:rsidR="000D1710" w:rsidRPr="009C7327" w:rsidRDefault="000D1710" w:rsidP="009611BE">
            <w:pPr>
              <w:rPr>
                <w:rFonts w:cs="Arial"/>
                <w:b/>
                <w:bCs/>
                <w:sz w:val="20"/>
                <w:szCs w:val="20"/>
              </w:rPr>
            </w:pPr>
            <w:r w:rsidRPr="009C7327">
              <w:rPr>
                <w:rFonts w:eastAsia="Calibri" w:cs="Arial"/>
                <w:color w:val="000000"/>
                <w:kern w:val="24"/>
                <w:sz w:val="20"/>
                <w:szCs w:val="20"/>
              </w:rPr>
              <w:t>Spinal muscular atrophy</w:t>
            </w:r>
          </w:p>
        </w:tc>
        <w:tc>
          <w:tcPr>
            <w:tcW w:w="3119" w:type="dxa"/>
            <w:vAlign w:val="center"/>
          </w:tcPr>
          <w:p w14:paraId="0995B6DB"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 </w:t>
            </w:r>
          </w:p>
        </w:tc>
      </w:tr>
      <w:tr w:rsidR="000D1710" w:rsidRPr="009C7327" w14:paraId="5F8D9A5D" w14:textId="77777777" w:rsidTr="009C7327">
        <w:trPr>
          <w:cantSplit/>
          <w:trHeight w:val="376"/>
        </w:trPr>
        <w:tc>
          <w:tcPr>
            <w:tcW w:w="3119" w:type="dxa"/>
            <w:shd w:val="clear" w:color="auto" w:fill="CCD6E7"/>
            <w:vAlign w:val="center"/>
          </w:tcPr>
          <w:p w14:paraId="145940C8" w14:textId="77777777" w:rsidR="000D1710" w:rsidRPr="009C7327" w:rsidRDefault="000D1710" w:rsidP="009611BE">
            <w:pPr>
              <w:rPr>
                <w:rFonts w:cs="Arial"/>
                <w:sz w:val="20"/>
                <w:szCs w:val="20"/>
              </w:rPr>
            </w:pPr>
            <w:r w:rsidRPr="009C7327">
              <w:rPr>
                <w:rFonts w:eastAsia="Calibri" w:cs="Arial"/>
                <w:b/>
                <w:color w:val="231F20" w:themeColor="text1"/>
                <w:kern w:val="24"/>
                <w:sz w:val="20"/>
                <w:szCs w:val="20"/>
              </w:rPr>
              <w:t> </w:t>
            </w:r>
          </w:p>
        </w:tc>
        <w:tc>
          <w:tcPr>
            <w:tcW w:w="4111" w:type="dxa"/>
            <w:shd w:val="clear" w:color="auto" w:fill="CCD6E7"/>
            <w:vAlign w:val="center"/>
          </w:tcPr>
          <w:p w14:paraId="3F16ECF5" w14:textId="77777777" w:rsidR="000D1710" w:rsidRPr="009C7327" w:rsidRDefault="000D1710" w:rsidP="009611BE">
            <w:pPr>
              <w:rPr>
                <w:rFonts w:cs="Arial"/>
                <w:b/>
                <w:bCs/>
                <w:sz w:val="20"/>
                <w:szCs w:val="20"/>
              </w:rPr>
            </w:pPr>
            <w:r w:rsidRPr="009C7327">
              <w:rPr>
                <w:rFonts w:eastAsia="Calibri" w:cs="Arial"/>
                <w:color w:val="000000"/>
                <w:kern w:val="24"/>
                <w:sz w:val="20"/>
                <w:szCs w:val="20"/>
              </w:rPr>
              <w:t>Motor neurone disease</w:t>
            </w:r>
          </w:p>
        </w:tc>
        <w:tc>
          <w:tcPr>
            <w:tcW w:w="3119" w:type="dxa"/>
            <w:shd w:val="clear" w:color="auto" w:fill="CCD6E7"/>
            <w:vAlign w:val="center"/>
          </w:tcPr>
          <w:p w14:paraId="6D8D4499"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 </w:t>
            </w:r>
          </w:p>
        </w:tc>
      </w:tr>
      <w:tr w:rsidR="009C7327" w:rsidRPr="009C7327" w14:paraId="0479F945"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10351" w:type="dxa"/>
            <w:gridSpan w:val="3"/>
            <w:shd w:val="clear" w:color="auto" w:fill="D9D9D9" w:themeFill="background1" w:themeFillShade="D9"/>
            <w:vAlign w:val="center"/>
          </w:tcPr>
          <w:p w14:paraId="587E6873" w14:textId="4A83E0E1" w:rsidR="009C7327" w:rsidRPr="009C7327" w:rsidRDefault="009C7327" w:rsidP="009C7327">
            <w:pPr>
              <w:keepNext/>
              <w:jc w:val="center"/>
              <w:rPr>
                <w:rFonts w:cs="Arial"/>
                <w:sz w:val="20"/>
                <w:szCs w:val="20"/>
              </w:rPr>
            </w:pPr>
            <w:r w:rsidRPr="009C7327">
              <w:rPr>
                <w:rFonts w:cs="Arial"/>
                <w:b/>
                <w:sz w:val="20"/>
                <w:szCs w:val="20"/>
              </w:rPr>
              <w:lastRenderedPageBreak/>
              <w:t>Haematological disease</w:t>
            </w:r>
          </w:p>
        </w:tc>
      </w:tr>
      <w:tr w:rsidR="000D1710" w:rsidRPr="009C7327" w14:paraId="30933DDA" w14:textId="77777777" w:rsidTr="009C7327">
        <w:trPr>
          <w:cantSplit/>
          <w:trHeight w:val="376"/>
        </w:trPr>
        <w:tc>
          <w:tcPr>
            <w:tcW w:w="3119" w:type="dxa"/>
            <w:shd w:val="clear" w:color="auto" w:fill="auto"/>
            <w:vAlign w:val="center"/>
          </w:tcPr>
          <w:p w14:paraId="565C7859" w14:textId="77777777" w:rsidR="000D1710" w:rsidRPr="009C7327" w:rsidRDefault="000D1710" w:rsidP="009C7327">
            <w:pPr>
              <w:keepNext/>
              <w:rPr>
                <w:rFonts w:cs="Arial"/>
                <w:sz w:val="20"/>
                <w:szCs w:val="20"/>
              </w:rPr>
            </w:pPr>
            <w:r w:rsidRPr="009C7327">
              <w:rPr>
                <w:rFonts w:eastAsia="Calibri" w:cs="Arial"/>
                <w:color w:val="231F20" w:themeColor="text1"/>
                <w:kern w:val="24"/>
                <w:sz w:val="20"/>
                <w:szCs w:val="20"/>
              </w:rPr>
              <w:t>Sickle cell trait</w:t>
            </w:r>
          </w:p>
        </w:tc>
        <w:tc>
          <w:tcPr>
            <w:tcW w:w="4111" w:type="dxa"/>
            <w:shd w:val="clear" w:color="auto" w:fill="auto"/>
            <w:vAlign w:val="center"/>
          </w:tcPr>
          <w:p w14:paraId="3481D596" w14:textId="77777777" w:rsidR="000D1710" w:rsidRPr="009C7327" w:rsidRDefault="000D1710" w:rsidP="009C7327">
            <w:pPr>
              <w:keepNext/>
              <w:rPr>
                <w:rFonts w:cs="Arial"/>
                <w:b/>
                <w:bCs/>
                <w:sz w:val="20"/>
                <w:szCs w:val="20"/>
              </w:rPr>
            </w:pPr>
            <w:r w:rsidRPr="009C7327">
              <w:rPr>
                <w:rFonts w:eastAsia="Calibri" w:cs="Arial"/>
                <w:color w:val="000000"/>
                <w:kern w:val="24"/>
                <w:sz w:val="20"/>
                <w:szCs w:val="20"/>
              </w:rPr>
              <w:t>Current immune thrombocytopenia and platelet count ≤75</w:t>
            </w:r>
          </w:p>
        </w:tc>
        <w:tc>
          <w:tcPr>
            <w:tcW w:w="3119" w:type="dxa"/>
            <w:shd w:val="clear" w:color="auto" w:fill="auto"/>
            <w:vAlign w:val="center"/>
          </w:tcPr>
          <w:p w14:paraId="73EB9A81" w14:textId="77777777" w:rsidR="000D1710" w:rsidRPr="009C7327" w:rsidRDefault="000D1710" w:rsidP="009C7327">
            <w:pPr>
              <w:keepNext/>
              <w:rPr>
                <w:rFonts w:cs="Arial"/>
                <w:sz w:val="20"/>
                <w:szCs w:val="20"/>
              </w:rPr>
            </w:pPr>
            <w:r w:rsidRPr="009C7327">
              <w:rPr>
                <w:rFonts w:eastAsia="Calibri" w:cs="Arial"/>
                <w:color w:val="000000"/>
                <w:kern w:val="24"/>
                <w:sz w:val="20"/>
                <w:szCs w:val="20"/>
              </w:rPr>
              <w:t>Sickle cell disease</w:t>
            </w:r>
          </w:p>
        </w:tc>
      </w:tr>
      <w:tr w:rsidR="000D1710" w:rsidRPr="009C7327" w14:paraId="5D81B030"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shd w:val="clear" w:color="auto" w:fill="auto"/>
            <w:vAlign w:val="center"/>
          </w:tcPr>
          <w:p w14:paraId="1BB898C2"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Historical immune thrombocytopenia and platelet count &gt;75</w:t>
            </w:r>
          </w:p>
        </w:tc>
        <w:tc>
          <w:tcPr>
            <w:tcW w:w="4111" w:type="dxa"/>
            <w:shd w:val="clear" w:color="auto" w:fill="auto"/>
            <w:vAlign w:val="center"/>
          </w:tcPr>
          <w:p w14:paraId="13C905AC" w14:textId="77777777" w:rsidR="000D1710" w:rsidRPr="009C7327" w:rsidRDefault="000D1710" w:rsidP="009611BE">
            <w:pPr>
              <w:rPr>
                <w:rFonts w:cs="Arial"/>
                <w:b/>
                <w:bCs/>
                <w:sz w:val="20"/>
                <w:szCs w:val="20"/>
              </w:rPr>
            </w:pPr>
            <w:r w:rsidRPr="009C7327">
              <w:rPr>
                <w:rFonts w:eastAsia="Calibri" w:cs="Arial"/>
                <w:color w:val="000000"/>
                <w:kern w:val="24"/>
                <w:sz w:val="20"/>
                <w:szCs w:val="20"/>
              </w:rPr>
              <w:t>Thrombocytosis</w:t>
            </w:r>
          </w:p>
        </w:tc>
        <w:tc>
          <w:tcPr>
            <w:tcW w:w="3119" w:type="dxa"/>
            <w:shd w:val="clear" w:color="auto" w:fill="auto"/>
            <w:vAlign w:val="center"/>
          </w:tcPr>
          <w:p w14:paraId="21EB5DFE" w14:textId="77777777" w:rsidR="000D1710" w:rsidRPr="009C7327" w:rsidRDefault="000D1710" w:rsidP="009611BE">
            <w:pPr>
              <w:rPr>
                <w:rFonts w:cs="Arial"/>
                <w:sz w:val="20"/>
                <w:szCs w:val="20"/>
              </w:rPr>
            </w:pPr>
            <w:r w:rsidRPr="009C7327">
              <w:rPr>
                <w:rFonts w:eastAsia="Calibri" w:cs="Arial"/>
                <w:color w:val="000000"/>
                <w:kern w:val="24"/>
                <w:sz w:val="20"/>
                <w:szCs w:val="20"/>
              </w:rPr>
              <w:t>Beta thalassaemia major</w:t>
            </w:r>
          </w:p>
        </w:tc>
      </w:tr>
      <w:tr w:rsidR="000D1710" w:rsidRPr="009C7327" w14:paraId="4FF679C8" w14:textId="77777777" w:rsidTr="009C7327">
        <w:trPr>
          <w:cantSplit/>
          <w:trHeight w:val="376"/>
        </w:trPr>
        <w:tc>
          <w:tcPr>
            <w:tcW w:w="3119" w:type="dxa"/>
            <w:shd w:val="clear" w:color="auto" w:fill="auto"/>
            <w:vAlign w:val="center"/>
          </w:tcPr>
          <w:p w14:paraId="53511640"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Gestational thrombocytopenia</w:t>
            </w:r>
          </w:p>
        </w:tc>
        <w:tc>
          <w:tcPr>
            <w:tcW w:w="4111" w:type="dxa"/>
            <w:shd w:val="clear" w:color="auto" w:fill="auto"/>
            <w:vAlign w:val="center"/>
          </w:tcPr>
          <w:p w14:paraId="68CF75E8" w14:textId="77777777" w:rsidR="000D1710" w:rsidRPr="009C7327" w:rsidRDefault="000D1710" w:rsidP="009611BE">
            <w:pPr>
              <w:rPr>
                <w:rFonts w:cs="Arial"/>
                <w:b/>
                <w:bCs/>
                <w:sz w:val="20"/>
                <w:szCs w:val="20"/>
              </w:rPr>
            </w:pPr>
            <w:r w:rsidRPr="009C7327">
              <w:rPr>
                <w:rFonts w:eastAsia="Calibri" w:cs="Arial"/>
                <w:color w:val="000000"/>
                <w:kern w:val="24"/>
                <w:sz w:val="20"/>
                <w:szCs w:val="20"/>
              </w:rPr>
              <w:t>White cell disorders</w:t>
            </w:r>
          </w:p>
        </w:tc>
        <w:tc>
          <w:tcPr>
            <w:tcW w:w="3119" w:type="dxa"/>
            <w:shd w:val="clear" w:color="auto" w:fill="auto"/>
            <w:vAlign w:val="center"/>
          </w:tcPr>
          <w:p w14:paraId="79EB2B41" w14:textId="77777777" w:rsidR="000D1710" w:rsidRPr="009C7327" w:rsidRDefault="000D1710" w:rsidP="009611BE">
            <w:pPr>
              <w:pStyle w:val="NormalWeb"/>
              <w:spacing w:before="0" w:beforeAutospacing="0" w:after="0" w:afterAutospacing="0"/>
              <w:rPr>
                <w:rFonts w:ascii="Arial" w:hAnsi="Arial" w:cs="Arial"/>
              </w:rPr>
            </w:pPr>
            <w:r w:rsidRPr="009C7327">
              <w:rPr>
                <w:rFonts w:ascii="Arial" w:eastAsia="Calibri" w:hAnsi="Arial" w:cs="Arial"/>
                <w:color w:val="000000"/>
                <w:kern w:val="24"/>
              </w:rPr>
              <w:t>Other complex thalassaemia:</w:t>
            </w:r>
          </w:p>
          <w:p w14:paraId="4DE764FB" w14:textId="77777777" w:rsidR="000D1710" w:rsidRPr="009C7327" w:rsidRDefault="000D1710" w:rsidP="009C7327">
            <w:pPr>
              <w:pStyle w:val="BodyText"/>
              <w:numPr>
                <w:ilvl w:val="0"/>
                <w:numId w:val="35"/>
              </w:numPr>
              <w:spacing w:after="0" w:line="240" w:lineRule="auto"/>
              <w:ind w:left="247" w:hanging="218"/>
              <w:rPr>
                <w:rFonts w:eastAsia="Calibri"/>
                <w:color w:val="000000"/>
                <w:kern w:val="24"/>
                <w:sz w:val="20"/>
                <w:szCs w:val="20"/>
              </w:rPr>
            </w:pPr>
            <w:r w:rsidRPr="009C7327">
              <w:rPr>
                <w:rFonts w:eastAsia="Calibri"/>
                <w:color w:val="000000"/>
                <w:kern w:val="24"/>
                <w:sz w:val="20"/>
                <w:szCs w:val="20"/>
              </w:rPr>
              <w:t>iron overload</w:t>
            </w:r>
          </w:p>
          <w:p w14:paraId="4119E180" w14:textId="77777777" w:rsidR="000D1710" w:rsidRPr="009C7327" w:rsidRDefault="000D1710" w:rsidP="009C7327">
            <w:pPr>
              <w:pStyle w:val="BodyText"/>
              <w:numPr>
                <w:ilvl w:val="0"/>
                <w:numId w:val="35"/>
              </w:numPr>
              <w:spacing w:after="0" w:line="240" w:lineRule="auto"/>
              <w:ind w:left="247" w:hanging="218"/>
              <w:rPr>
                <w:rFonts w:eastAsia="Calibri"/>
                <w:color w:val="000000"/>
                <w:kern w:val="24"/>
                <w:sz w:val="20"/>
                <w:szCs w:val="20"/>
              </w:rPr>
            </w:pPr>
            <w:r w:rsidRPr="009C7327">
              <w:rPr>
                <w:rFonts w:eastAsia="Calibri"/>
                <w:color w:val="000000"/>
                <w:kern w:val="24"/>
                <w:sz w:val="20"/>
                <w:szCs w:val="20"/>
              </w:rPr>
              <w:t>endocrine disease</w:t>
            </w:r>
          </w:p>
          <w:p w14:paraId="18ECD00E" w14:textId="77777777" w:rsidR="000D1710" w:rsidRPr="009C7327" w:rsidRDefault="000D1710" w:rsidP="009C7327">
            <w:pPr>
              <w:pStyle w:val="BodyText"/>
              <w:numPr>
                <w:ilvl w:val="0"/>
                <w:numId w:val="35"/>
              </w:numPr>
              <w:spacing w:after="0" w:line="240" w:lineRule="auto"/>
              <w:ind w:left="247" w:hanging="218"/>
              <w:rPr>
                <w:rFonts w:cs="Arial"/>
                <w:sz w:val="20"/>
                <w:szCs w:val="20"/>
              </w:rPr>
            </w:pPr>
            <w:r w:rsidRPr="009C7327">
              <w:rPr>
                <w:rFonts w:eastAsia="Calibri"/>
                <w:color w:val="000000"/>
                <w:kern w:val="24"/>
                <w:sz w:val="20"/>
                <w:szCs w:val="20"/>
              </w:rPr>
              <w:t>pulmonary hypertension*</w:t>
            </w:r>
          </w:p>
        </w:tc>
      </w:tr>
      <w:tr w:rsidR="000D1710" w:rsidRPr="009C7327" w14:paraId="7ABBEA2A"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shd w:val="clear" w:color="auto" w:fill="auto"/>
            <w:vAlign w:val="center"/>
          </w:tcPr>
          <w:p w14:paraId="3DAADF8C"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Current VTE or previous single VTE</w:t>
            </w:r>
          </w:p>
        </w:tc>
        <w:tc>
          <w:tcPr>
            <w:tcW w:w="4111" w:type="dxa"/>
            <w:shd w:val="clear" w:color="auto" w:fill="auto"/>
            <w:vAlign w:val="center"/>
          </w:tcPr>
          <w:p w14:paraId="5F4EDB4B" w14:textId="77777777" w:rsidR="000D1710" w:rsidRPr="009C7327" w:rsidRDefault="000D1710" w:rsidP="009611BE">
            <w:pPr>
              <w:rPr>
                <w:rFonts w:cs="Arial"/>
                <w:b/>
                <w:bCs/>
                <w:sz w:val="20"/>
                <w:szCs w:val="20"/>
              </w:rPr>
            </w:pPr>
            <w:r w:rsidRPr="009C7327">
              <w:rPr>
                <w:rFonts w:eastAsia="Calibri" w:cs="Arial"/>
                <w:color w:val="000000"/>
                <w:kern w:val="24"/>
                <w:sz w:val="20"/>
                <w:szCs w:val="20"/>
              </w:rPr>
              <w:t>Recurrent VTE</w:t>
            </w:r>
          </w:p>
        </w:tc>
        <w:tc>
          <w:tcPr>
            <w:tcW w:w="3119" w:type="dxa"/>
            <w:shd w:val="clear" w:color="auto" w:fill="auto"/>
            <w:vAlign w:val="center"/>
          </w:tcPr>
          <w:p w14:paraId="6F3FB97D" w14:textId="77777777" w:rsidR="000D1710" w:rsidRPr="009C7327" w:rsidRDefault="000D1710" w:rsidP="009611BE">
            <w:pPr>
              <w:rPr>
                <w:rFonts w:cs="Arial"/>
                <w:sz w:val="20"/>
                <w:szCs w:val="20"/>
              </w:rPr>
            </w:pPr>
            <w:r w:rsidRPr="009C7327">
              <w:rPr>
                <w:rFonts w:eastAsia="Calibri" w:cs="Arial"/>
                <w:color w:val="000000"/>
                <w:kern w:val="24"/>
                <w:sz w:val="20"/>
                <w:szCs w:val="20"/>
              </w:rPr>
              <w:t xml:space="preserve">Current extensive VTE without other access to Factor </w:t>
            </w:r>
            <w:proofErr w:type="spellStart"/>
            <w:r w:rsidRPr="009C7327">
              <w:rPr>
                <w:rFonts w:eastAsia="Calibri" w:cs="Arial"/>
                <w:color w:val="000000"/>
                <w:kern w:val="24"/>
                <w:sz w:val="20"/>
                <w:szCs w:val="20"/>
              </w:rPr>
              <w:t>Xa</w:t>
            </w:r>
            <w:proofErr w:type="spellEnd"/>
            <w:r w:rsidRPr="009C7327">
              <w:rPr>
                <w:rFonts w:eastAsia="Calibri" w:cs="Arial"/>
                <w:color w:val="000000"/>
                <w:kern w:val="24"/>
                <w:sz w:val="20"/>
                <w:szCs w:val="20"/>
              </w:rPr>
              <w:t xml:space="preserve"> monitoring </w:t>
            </w:r>
          </w:p>
        </w:tc>
      </w:tr>
      <w:tr w:rsidR="000D1710" w:rsidRPr="009C7327" w14:paraId="433D4A3C" w14:textId="77777777" w:rsidTr="009C7327">
        <w:trPr>
          <w:cantSplit/>
          <w:trHeight w:val="376"/>
        </w:trPr>
        <w:tc>
          <w:tcPr>
            <w:tcW w:w="3119" w:type="dxa"/>
            <w:shd w:val="clear" w:color="auto" w:fill="auto"/>
            <w:vAlign w:val="center"/>
          </w:tcPr>
          <w:p w14:paraId="161353E8"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 xml:space="preserve">Obstetric antiphospholipid syndrome </w:t>
            </w:r>
          </w:p>
        </w:tc>
        <w:tc>
          <w:tcPr>
            <w:tcW w:w="4111" w:type="dxa"/>
            <w:shd w:val="clear" w:color="auto" w:fill="auto"/>
            <w:vAlign w:val="center"/>
          </w:tcPr>
          <w:p w14:paraId="7E86AE7D" w14:textId="77777777" w:rsidR="000D1710" w:rsidRPr="009C7327" w:rsidRDefault="000D1710" w:rsidP="009611BE">
            <w:pPr>
              <w:rPr>
                <w:rFonts w:cs="Arial"/>
                <w:b/>
                <w:bCs/>
                <w:sz w:val="20"/>
                <w:szCs w:val="20"/>
              </w:rPr>
            </w:pPr>
            <w:r w:rsidRPr="009C7327">
              <w:rPr>
                <w:rFonts w:eastAsia="Calibri" w:cs="Arial"/>
                <w:color w:val="000000"/>
                <w:kern w:val="24"/>
                <w:sz w:val="20"/>
                <w:szCs w:val="20"/>
              </w:rPr>
              <w:t xml:space="preserve">Thrombotic antiphospholipid syndrome </w:t>
            </w:r>
          </w:p>
        </w:tc>
        <w:tc>
          <w:tcPr>
            <w:tcW w:w="3119" w:type="dxa"/>
            <w:shd w:val="clear" w:color="auto" w:fill="auto"/>
            <w:vAlign w:val="center"/>
          </w:tcPr>
          <w:p w14:paraId="0FE0EEFE" w14:textId="77777777" w:rsidR="000D1710" w:rsidRPr="009C7327" w:rsidRDefault="000D1710" w:rsidP="009611BE">
            <w:pPr>
              <w:rPr>
                <w:rFonts w:cs="Arial"/>
                <w:sz w:val="20"/>
                <w:szCs w:val="20"/>
              </w:rPr>
            </w:pPr>
            <w:r w:rsidRPr="009C7327">
              <w:rPr>
                <w:rFonts w:eastAsia="Calibri" w:cs="Arial"/>
                <w:color w:val="000000"/>
                <w:kern w:val="24"/>
                <w:sz w:val="20"/>
                <w:szCs w:val="20"/>
              </w:rPr>
              <w:t>Antiphospholipid syndrome with extensive arterial events</w:t>
            </w:r>
          </w:p>
        </w:tc>
      </w:tr>
      <w:tr w:rsidR="000D1710" w:rsidRPr="009C7327" w14:paraId="71C5C9A0"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shd w:val="clear" w:color="auto" w:fill="auto"/>
            <w:vAlign w:val="center"/>
          </w:tcPr>
          <w:p w14:paraId="2155AFF9"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Inherited thrombophilia (no VTE, not antithrombin deficiency)</w:t>
            </w:r>
          </w:p>
        </w:tc>
        <w:tc>
          <w:tcPr>
            <w:tcW w:w="4111" w:type="dxa"/>
            <w:shd w:val="clear" w:color="auto" w:fill="auto"/>
            <w:vAlign w:val="center"/>
          </w:tcPr>
          <w:p w14:paraId="6F4CA491" w14:textId="77777777" w:rsidR="000D1710" w:rsidRPr="009C7327" w:rsidRDefault="000D1710" w:rsidP="009611BE">
            <w:pPr>
              <w:rPr>
                <w:rFonts w:cs="Arial"/>
                <w:b/>
                <w:bCs/>
                <w:sz w:val="20"/>
                <w:szCs w:val="20"/>
              </w:rPr>
            </w:pPr>
            <w:r w:rsidRPr="009C7327">
              <w:rPr>
                <w:rFonts w:eastAsia="Calibri" w:cs="Arial"/>
                <w:color w:val="000000"/>
                <w:kern w:val="24"/>
                <w:sz w:val="20"/>
                <w:szCs w:val="20"/>
              </w:rPr>
              <w:t>Inherited thrombophilia with previous VTE</w:t>
            </w:r>
          </w:p>
        </w:tc>
        <w:tc>
          <w:tcPr>
            <w:tcW w:w="3119" w:type="dxa"/>
            <w:shd w:val="clear" w:color="auto" w:fill="auto"/>
            <w:vAlign w:val="center"/>
          </w:tcPr>
          <w:p w14:paraId="6A5248F5" w14:textId="77777777" w:rsidR="000D1710" w:rsidRPr="009C7327" w:rsidRDefault="000D1710" w:rsidP="009611BE">
            <w:pPr>
              <w:rPr>
                <w:rFonts w:cs="Arial"/>
                <w:sz w:val="20"/>
                <w:szCs w:val="20"/>
              </w:rPr>
            </w:pPr>
            <w:r w:rsidRPr="009C7327">
              <w:rPr>
                <w:rFonts w:eastAsia="Calibri" w:cs="Arial"/>
                <w:color w:val="000000"/>
                <w:kern w:val="24"/>
                <w:sz w:val="20"/>
                <w:szCs w:val="20"/>
              </w:rPr>
              <w:t>Antithrombin deficiency</w:t>
            </w:r>
          </w:p>
        </w:tc>
      </w:tr>
      <w:tr w:rsidR="000D1710" w:rsidRPr="009C7327" w14:paraId="0068657B" w14:textId="77777777" w:rsidTr="009C7327">
        <w:trPr>
          <w:cantSplit/>
          <w:trHeight w:val="376"/>
        </w:trPr>
        <w:tc>
          <w:tcPr>
            <w:tcW w:w="3119" w:type="dxa"/>
            <w:shd w:val="clear" w:color="auto" w:fill="auto"/>
            <w:vAlign w:val="center"/>
          </w:tcPr>
          <w:p w14:paraId="4BD4EB2C"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History of treated haematological malignancy</w:t>
            </w:r>
          </w:p>
        </w:tc>
        <w:tc>
          <w:tcPr>
            <w:tcW w:w="4111" w:type="dxa"/>
            <w:shd w:val="clear" w:color="auto" w:fill="auto"/>
            <w:vAlign w:val="center"/>
          </w:tcPr>
          <w:p w14:paraId="424ECE20" w14:textId="77777777" w:rsidR="000D1710" w:rsidRPr="009C7327" w:rsidRDefault="000D1710" w:rsidP="009611BE">
            <w:pPr>
              <w:rPr>
                <w:rFonts w:cs="Arial"/>
                <w:b/>
                <w:bCs/>
                <w:sz w:val="20"/>
                <w:szCs w:val="20"/>
              </w:rPr>
            </w:pPr>
            <w:r w:rsidRPr="009C7327">
              <w:rPr>
                <w:rFonts w:eastAsia="Calibri" w:cs="Arial"/>
                <w:color w:val="000000"/>
                <w:kern w:val="24"/>
                <w:sz w:val="20"/>
                <w:szCs w:val="20"/>
              </w:rPr>
              <w:t>Stable myeloproliferative/myelodysplastic disease</w:t>
            </w:r>
          </w:p>
        </w:tc>
        <w:tc>
          <w:tcPr>
            <w:tcW w:w="3119" w:type="dxa"/>
            <w:shd w:val="clear" w:color="auto" w:fill="auto"/>
            <w:vAlign w:val="center"/>
          </w:tcPr>
          <w:p w14:paraId="644684FA" w14:textId="77777777" w:rsidR="000D1710" w:rsidRPr="009C7327" w:rsidRDefault="000D1710" w:rsidP="009611BE">
            <w:pPr>
              <w:rPr>
                <w:rFonts w:cs="Arial"/>
                <w:sz w:val="20"/>
                <w:szCs w:val="20"/>
              </w:rPr>
            </w:pPr>
            <w:r w:rsidRPr="009C7327">
              <w:rPr>
                <w:rFonts w:eastAsia="Calibri" w:cs="Arial"/>
                <w:color w:val="000000"/>
                <w:kern w:val="24"/>
                <w:sz w:val="20"/>
                <w:szCs w:val="20"/>
              </w:rPr>
              <w:t>Active haematological malignancy</w:t>
            </w:r>
          </w:p>
        </w:tc>
      </w:tr>
      <w:tr w:rsidR="000D1710" w:rsidRPr="009C7327" w14:paraId="0D100074"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shd w:val="clear" w:color="auto" w:fill="auto"/>
            <w:vAlign w:val="center"/>
          </w:tcPr>
          <w:p w14:paraId="4009E06C"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Alpha/beta thalassaemia trait</w:t>
            </w:r>
          </w:p>
        </w:tc>
        <w:tc>
          <w:tcPr>
            <w:tcW w:w="4111" w:type="dxa"/>
            <w:shd w:val="clear" w:color="auto" w:fill="auto"/>
            <w:vAlign w:val="center"/>
          </w:tcPr>
          <w:p w14:paraId="55F366AD" w14:textId="77777777" w:rsidR="000D1710" w:rsidRPr="009C7327" w:rsidRDefault="000D1710" w:rsidP="009611BE">
            <w:pPr>
              <w:pStyle w:val="NormalWeb"/>
              <w:spacing w:before="0" w:beforeAutospacing="0" w:after="0" w:afterAutospacing="0"/>
              <w:rPr>
                <w:rFonts w:ascii="Arial" w:hAnsi="Arial" w:cs="Arial"/>
              </w:rPr>
            </w:pPr>
            <w:r w:rsidRPr="009C7327">
              <w:rPr>
                <w:rFonts w:ascii="Arial" w:eastAsia="Calibri" w:hAnsi="Arial" w:cs="Arial"/>
                <w:color w:val="000000"/>
                <w:kern w:val="24"/>
              </w:rPr>
              <w:t>Mild, isolated clotting factor deficiency</w:t>
            </w:r>
          </w:p>
          <w:p w14:paraId="75B6E219" w14:textId="77777777" w:rsidR="000D1710" w:rsidRPr="009C7327" w:rsidRDefault="000D1710" w:rsidP="009C7327">
            <w:pPr>
              <w:pStyle w:val="BodyText"/>
              <w:numPr>
                <w:ilvl w:val="0"/>
                <w:numId w:val="35"/>
              </w:numPr>
              <w:spacing w:after="0" w:line="240" w:lineRule="auto"/>
              <w:ind w:left="247" w:hanging="218"/>
              <w:rPr>
                <w:rFonts w:eastAsia="Calibri"/>
                <w:color w:val="000000"/>
                <w:kern w:val="24"/>
                <w:sz w:val="20"/>
                <w:szCs w:val="20"/>
              </w:rPr>
            </w:pPr>
            <w:r w:rsidRPr="009C7327">
              <w:rPr>
                <w:rFonts w:eastAsia="Calibri"/>
                <w:color w:val="000000"/>
                <w:kern w:val="24"/>
                <w:sz w:val="20"/>
                <w:szCs w:val="20"/>
              </w:rPr>
              <w:t>Factor II, V, XI or XIII &gt; 0.2iu/ml</w:t>
            </w:r>
          </w:p>
          <w:p w14:paraId="040CBE77" w14:textId="77777777" w:rsidR="000D1710" w:rsidRPr="009C7327" w:rsidRDefault="000D1710" w:rsidP="009C7327">
            <w:pPr>
              <w:pStyle w:val="BodyText"/>
              <w:numPr>
                <w:ilvl w:val="0"/>
                <w:numId w:val="35"/>
              </w:numPr>
              <w:spacing w:after="0" w:line="240" w:lineRule="auto"/>
              <w:ind w:left="247" w:hanging="218"/>
              <w:rPr>
                <w:rFonts w:cs="Arial"/>
                <w:sz w:val="20"/>
                <w:szCs w:val="20"/>
              </w:rPr>
            </w:pPr>
            <w:r w:rsidRPr="009C7327">
              <w:rPr>
                <w:rFonts w:eastAsia="Calibri"/>
                <w:color w:val="000000"/>
                <w:kern w:val="24"/>
                <w:sz w:val="20"/>
                <w:szCs w:val="20"/>
              </w:rPr>
              <w:t>Factor X &gt; 0.3iu/ml</w:t>
            </w:r>
          </w:p>
        </w:tc>
        <w:tc>
          <w:tcPr>
            <w:tcW w:w="3119" w:type="dxa"/>
            <w:shd w:val="clear" w:color="auto" w:fill="auto"/>
            <w:vAlign w:val="center"/>
          </w:tcPr>
          <w:p w14:paraId="77F38590" w14:textId="77777777" w:rsidR="000D1710" w:rsidRPr="009C7327" w:rsidRDefault="000D1710" w:rsidP="009611BE">
            <w:pPr>
              <w:pStyle w:val="NormalWeb"/>
              <w:spacing w:before="0" w:beforeAutospacing="0" w:after="0" w:afterAutospacing="0"/>
              <w:rPr>
                <w:rFonts w:ascii="Arial" w:hAnsi="Arial" w:cs="Arial"/>
              </w:rPr>
            </w:pPr>
            <w:r w:rsidRPr="009C7327">
              <w:rPr>
                <w:rFonts w:ascii="Arial" w:eastAsia="Calibri" w:hAnsi="Arial" w:cs="Arial"/>
                <w:color w:val="000000"/>
                <w:kern w:val="24"/>
              </w:rPr>
              <w:t>Clotting factor deficiency:</w:t>
            </w:r>
          </w:p>
          <w:p w14:paraId="5457D734" w14:textId="77777777" w:rsidR="000D1710" w:rsidRPr="009C7327" w:rsidRDefault="000D1710" w:rsidP="009C7327">
            <w:pPr>
              <w:pStyle w:val="BodyText"/>
              <w:numPr>
                <w:ilvl w:val="0"/>
                <w:numId w:val="35"/>
              </w:numPr>
              <w:spacing w:after="0" w:line="240" w:lineRule="auto"/>
              <w:ind w:left="247" w:hanging="218"/>
              <w:rPr>
                <w:rFonts w:eastAsia="Calibri"/>
                <w:color w:val="000000"/>
                <w:kern w:val="24"/>
                <w:sz w:val="20"/>
                <w:szCs w:val="20"/>
              </w:rPr>
            </w:pPr>
            <w:r w:rsidRPr="009C7327">
              <w:rPr>
                <w:rFonts w:eastAsia="Calibri"/>
                <w:color w:val="000000"/>
                <w:kern w:val="24"/>
                <w:sz w:val="20"/>
                <w:szCs w:val="20"/>
              </w:rPr>
              <w:t>Factor II, V, XI or XIII ≤ 0.2iu/ml</w:t>
            </w:r>
          </w:p>
          <w:p w14:paraId="48E7C353" w14:textId="77777777" w:rsidR="000D1710" w:rsidRPr="009C7327" w:rsidRDefault="000D1710" w:rsidP="009C7327">
            <w:pPr>
              <w:pStyle w:val="BodyText"/>
              <w:numPr>
                <w:ilvl w:val="0"/>
                <w:numId w:val="35"/>
              </w:numPr>
              <w:spacing w:after="0" w:line="240" w:lineRule="auto"/>
              <w:ind w:left="247" w:hanging="218"/>
              <w:rPr>
                <w:rFonts w:eastAsia="Calibri"/>
                <w:color w:val="000000"/>
                <w:kern w:val="24"/>
                <w:sz w:val="20"/>
                <w:szCs w:val="20"/>
              </w:rPr>
            </w:pPr>
            <w:r w:rsidRPr="009C7327">
              <w:rPr>
                <w:rFonts w:eastAsia="Calibri"/>
                <w:color w:val="000000"/>
                <w:kern w:val="24"/>
                <w:sz w:val="20"/>
                <w:szCs w:val="20"/>
              </w:rPr>
              <w:t>Factor X ≤ 0.3iu/ml</w:t>
            </w:r>
          </w:p>
          <w:p w14:paraId="7E3D3465" w14:textId="77777777" w:rsidR="000D1710" w:rsidRPr="009C7327" w:rsidRDefault="000D1710" w:rsidP="009C7327">
            <w:pPr>
              <w:pStyle w:val="BodyText"/>
              <w:numPr>
                <w:ilvl w:val="0"/>
                <w:numId w:val="35"/>
              </w:numPr>
              <w:spacing w:after="0" w:line="240" w:lineRule="auto"/>
              <w:ind w:left="247" w:hanging="218"/>
              <w:rPr>
                <w:rFonts w:cs="Arial"/>
                <w:sz w:val="20"/>
                <w:szCs w:val="20"/>
              </w:rPr>
            </w:pPr>
            <w:r w:rsidRPr="009C7327">
              <w:rPr>
                <w:rFonts w:eastAsia="Calibri"/>
                <w:color w:val="000000"/>
                <w:kern w:val="24"/>
                <w:sz w:val="20"/>
                <w:szCs w:val="20"/>
              </w:rPr>
              <w:t>Combined deficiencies</w:t>
            </w:r>
          </w:p>
        </w:tc>
      </w:tr>
      <w:tr w:rsidR="000D1710" w:rsidRPr="009C7327" w14:paraId="4D940933" w14:textId="77777777" w:rsidTr="009C7327">
        <w:trPr>
          <w:cantSplit/>
          <w:trHeight w:val="376"/>
        </w:trPr>
        <w:tc>
          <w:tcPr>
            <w:tcW w:w="3119" w:type="dxa"/>
            <w:shd w:val="clear" w:color="auto" w:fill="auto"/>
            <w:vAlign w:val="center"/>
          </w:tcPr>
          <w:p w14:paraId="39EE1C10"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B12/folate deficiency</w:t>
            </w:r>
          </w:p>
        </w:tc>
        <w:tc>
          <w:tcPr>
            <w:tcW w:w="4111" w:type="dxa"/>
            <w:shd w:val="clear" w:color="auto" w:fill="auto"/>
            <w:vAlign w:val="center"/>
          </w:tcPr>
          <w:p w14:paraId="7EB754F2" w14:textId="77777777" w:rsidR="000D1710" w:rsidRPr="009C7327" w:rsidRDefault="000D1710" w:rsidP="009611BE">
            <w:pPr>
              <w:rPr>
                <w:rFonts w:cs="Arial"/>
                <w:b/>
                <w:bCs/>
                <w:sz w:val="20"/>
                <w:szCs w:val="20"/>
              </w:rPr>
            </w:pPr>
            <w:r w:rsidRPr="009C7327">
              <w:rPr>
                <w:rFonts w:eastAsia="Calibri" w:cs="Arial"/>
                <w:color w:val="000000"/>
                <w:kern w:val="24"/>
                <w:sz w:val="20"/>
                <w:szCs w:val="20"/>
              </w:rPr>
              <w:t>Mild platelet function disorder with platelet count &gt;100</w:t>
            </w:r>
          </w:p>
        </w:tc>
        <w:tc>
          <w:tcPr>
            <w:tcW w:w="3119" w:type="dxa"/>
            <w:shd w:val="clear" w:color="auto" w:fill="auto"/>
            <w:vAlign w:val="center"/>
          </w:tcPr>
          <w:p w14:paraId="5A42BE86" w14:textId="77777777" w:rsidR="000D1710" w:rsidRPr="009C7327" w:rsidRDefault="000D1710" w:rsidP="009611BE">
            <w:pPr>
              <w:rPr>
                <w:rFonts w:cs="Arial"/>
                <w:sz w:val="20"/>
                <w:szCs w:val="20"/>
              </w:rPr>
            </w:pPr>
            <w:r w:rsidRPr="009C7327">
              <w:rPr>
                <w:rFonts w:eastAsia="Calibri" w:cs="Arial"/>
                <w:color w:val="000000"/>
                <w:kern w:val="24"/>
                <w:sz w:val="20"/>
                <w:szCs w:val="20"/>
              </w:rPr>
              <w:t>Moderate/severe platelet function disorder or with platelet count &gt;100</w:t>
            </w:r>
          </w:p>
        </w:tc>
      </w:tr>
      <w:tr w:rsidR="000D1710" w:rsidRPr="009C7327" w14:paraId="6E08A41F"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shd w:val="clear" w:color="auto" w:fill="auto"/>
            <w:vAlign w:val="center"/>
          </w:tcPr>
          <w:p w14:paraId="4331C04B"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 </w:t>
            </w:r>
          </w:p>
        </w:tc>
        <w:tc>
          <w:tcPr>
            <w:tcW w:w="4111" w:type="dxa"/>
            <w:shd w:val="clear" w:color="auto" w:fill="auto"/>
            <w:vAlign w:val="center"/>
          </w:tcPr>
          <w:p w14:paraId="66AAE41F" w14:textId="77777777" w:rsidR="000D1710" w:rsidRPr="009C7327" w:rsidRDefault="000D1710" w:rsidP="009611BE">
            <w:pPr>
              <w:rPr>
                <w:rFonts w:cs="Arial"/>
                <w:b/>
                <w:bCs/>
                <w:sz w:val="20"/>
                <w:szCs w:val="20"/>
              </w:rPr>
            </w:pPr>
            <w:r w:rsidRPr="009C7327">
              <w:rPr>
                <w:rFonts w:eastAsia="Calibri" w:cs="Arial"/>
                <w:color w:val="000000"/>
                <w:kern w:val="24"/>
                <w:sz w:val="20"/>
                <w:szCs w:val="20"/>
              </w:rPr>
              <w:t>Carriers of haemophilia with known female fetus and normal factor VIII/IX</w:t>
            </w:r>
          </w:p>
        </w:tc>
        <w:tc>
          <w:tcPr>
            <w:tcW w:w="3119" w:type="dxa"/>
            <w:shd w:val="clear" w:color="auto" w:fill="auto"/>
            <w:vAlign w:val="center"/>
          </w:tcPr>
          <w:p w14:paraId="44FE6229" w14:textId="77777777" w:rsidR="000D1710" w:rsidRPr="009C7327" w:rsidRDefault="000D1710" w:rsidP="009611BE">
            <w:pPr>
              <w:rPr>
                <w:rFonts w:cs="Arial"/>
                <w:sz w:val="20"/>
                <w:szCs w:val="20"/>
              </w:rPr>
            </w:pPr>
            <w:r w:rsidRPr="009C7327">
              <w:rPr>
                <w:rFonts w:eastAsia="Calibri" w:cs="Arial"/>
                <w:color w:val="000000"/>
                <w:kern w:val="24"/>
                <w:sz w:val="20"/>
                <w:szCs w:val="20"/>
              </w:rPr>
              <w:t>Carriers of haemophilia with male or unknown gender of fetus</w:t>
            </w:r>
          </w:p>
        </w:tc>
      </w:tr>
      <w:tr w:rsidR="000D1710" w:rsidRPr="009C7327" w14:paraId="4C59580D" w14:textId="77777777" w:rsidTr="009C7327">
        <w:trPr>
          <w:cantSplit/>
          <w:trHeight w:val="376"/>
        </w:trPr>
        <w:tc>
          <w:tcPr>
            <w:tcW w:w="3119" w:type="dxa"/>
            <w:shd w:val="clear" w:color="auto" w:fill="auto"/>
            <w:vAlign w:val="center"/>
          </w:tcPr>
          <w:p w14:paraId="5C8D224F"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 </w:t>
            </w:r>
          </w:p>
        </w:tc>
        <w:tc>
          <w:tcPr>
            <w:tcW w:w="4111" w:type="dxa"/>
            <w:shd w:val="clear" w:color="auto" w:fill="auto"/>
            <w:vAlign w:val="center"/>
          </w:tcPr>
          <w:p w14:paraId="2D6A2404" w14:textId="77777777" w:rsidR="000D1710" w:rsidRPr="009C7327" w:rsidRDefault="000D1710" w:rsidP="009611BE">
            <w:pPr>
              <w:rPr>
                <w:rFonts w:cs="Arial"/>
                <w:b/>
                <w:bCs/>
                <w:sz w:val="20"/>
                <w:szCs w:val="20"/>
              </w:rPr>
            </w:pPr>
            <w:r w:rsidRPr="009C7327">
              <w:rPr>
                <w:rFonts w:eastAsia="Calibri" w:cs="Arial"/>
                <w:color w:val="000000"/>
                <w:kern w:val="24"/>
                <w:sz w:val="20"/>
                <w:szCs w:val="20"/>
              </w:rPr>
              <w:t>Type I Von-Willebrand disease, VWF activity normalised in pregnancy</w:t>
            </w:r>
          </w:p>
        </w:tc>
        <w:tc>
          <w:tcPr>
            <w:tcW w:w="3119" w:type="dxa"/>
            <w:shd w:val="clear" w:color="auto" w:fill="auto"/>
            <w:vAlign w:val="center"/>
          </w:tcPr>
          <w:p w14:paraId="5BF475D5" w14:textId="77777777" w:rsidR="000D1710" w:rsidRPr="009C7327" w:rsidRDefault="000D1710" w:rsidP="009611BE">
            <w:pPr>
              <w:rPr>
                <w:rFonts w:cs="Arial"/>
                <w:sz w:val="20"/>
                <w:szCs w:val="20"/>
              </w:rPr>
            </w:pPr>
            <w:r w:rsidRPr="009C7327">
              <w:rPr>
                <w:rFonts w:eastAsia="Calibri" w:cs="Arial"/>
                <w:color w:val="000000"/>
                <w:kern w:val="24"/>
                <w:sz w:val="20"/>
                <w:szCs w:val="20"/>
              </w:rPr>
              <w:t>Von-Willebrand disease: Type 1 if VWF not normalised, Type II and Type III</w:t>
            </w:r>
          </w:p>
        </w:tc>
      </w:tr>
      <w:tr w:rsidR="000D1710" w:rsidRPr="009C7327" w14:paraId="2CFF643D" w14:textId="77777777" w:rsidTr="009C7327">
        <w:trPr>
          <w:cnfStyle w:val="000000100000" w:firstRow="0" w:lastRow="0" w:firstColumn="0" w:lastColumn="0" w:oddVBand="0" w:evenVBand="0" w:oddHBand="1" w:evenHBand="0" w:firstRowFirstColumn="0" w:firstRowLastColumn="0" w:lastRowFirstColumn="0" w:lastRowLastColumn="0"/>
          <w:cantSplit/>
          <w:trHeight w:val="376"/>
        </w:trPr>
        <w:tc>
          <w:tcPr>
            <w:tcW w:w="3119" w:type="dxa"/>
            <w:shd w:val="clear" w:color="auto" w:fill="auto"/>
            <w:vAlign w:val="center"/>
          </w:tcPr>
          <w:p w14:paraId="1A93C53D" w14:textId="77777777" w:rsidR="000D1710" w:rsidRPr="009C7327" w:rsidRDefault="000D1710" w:rsidP="009611BE">
            <w:pPr>
              <w:rPr>
                <w:rFonts w:cs="Arial"/>
                <w:sz w:val="20"/>
                <w:szCs w:val="20"/>
              </w:rPr>
            </w:pPr>
            <w:r w:rsidRPr="009C7327">
              <w:rPr>
                <w:rFonts w:eastAsia="Calibri" w:cs="Arial"/>
                <w:color w:val="231F20" w:themeColor="text1"/>
                <w:kern w:val="24"/>
                <w:sz w:val="20"/>
                <w:szCs w:val="20"/>
              </w:rPr>
              <w:t> </w:t>
            </w:r>
          </w:p>
        </w:tc>
        <w:tc>
          <w:tcPr>
            <w:tcW w:w="4111" w:type="dxa"/>
            <w:shd w:val="clear" w:color="auto" w:fill="auto"/>
            <w:vAlign w:val="center"/>
          </w:tcPr>
          <w:p w14:paraId="320278D2" w14:textId="77777777" w:rsidR="000D1710" w:rsidRPr="009C7327" w:rsidRDefault="000D1710" w:rsidP="009611BE">
            <w:pPr>
              <w:rPr>
                <w:rFonts w:cs="Arial"/>
                <w:b/>
                <w:bCs/>
                <w:sz w:val="20"/>
                <w:szCs w:val="20"/>
              </w:rPr>
            </w:pPr>
            <w:r w:rsidRPr="009C7327">
              <w:rPr>
                <w:rFonts w:eastAsia="Calibri" w:cs="Arial"/>
                <w:color w:val="231F20" w:themeColor="text1"/>
                <w:kern w:val="24"/>
                <w:sz w:val="20"/>
                <w:szCs w:val="20"/>
              </w:rPr>
              <w:t> </w:t>
            </w:r>
          </w:p>
        </w:tc>
        <w:tc>
          <w:tcPr>
            <w:tcW w:w="3119" w:type="dxa"/>
            <w:shd w:val="clear" w:color="auto" w:fill="auto"/>
            <w:vAlign w:val="center"/>
          </w:tcPr>
          <w:p w14:paraId="23E1EAF4" w14:textId="77777777" w:rsidR="000D1710" w:rsidRPr="009C7327" w:rsidRDefault="000D1710" w:rsidP="009611BE">
            <w:pPr>
              <w:rPr>
                <w:rFonts w:cs="Arial"/>
                <w:sz w:val="20"/>
                <w:szCs w:val="20"/>
              </w:rPr>
            </w:pPr>
            <w:r w:rsidRPr="009C7327">
              <w:rPr>
                <w:rFonts w:eastAsia="Calibri" w:cs="Arial"/>
                <w:color w:val="000000"/>
                <w:kern w:val="24"/>
                <w:sz w:val="20"/>
                <w:szCs w:val="20"/>
              </w:rPr>
              <w:t>Transfusion dependent disease</w:t>
            </w:r>
          </w:p>
        </w:tc>
      </w:tr>
    </w:tbl>
    <w:p w14:paraId="1903D1FD" w14:textId="6035351C" w:rsidR="000D1710" w:rsidRPr="009611BE" w:rsidRDefault="000D1710" w:rsidP="000D1710">
      <w:pPr>
        <w:pStyle w:val="BodyText"/>
      </w:pPr>
    </w:p>
    <w:p w14:paraId="744358FF" w14:textId="148673CD" w:rsidR="000D1710" w:rsidRPr="009611BE" w:rsidRDefault="000D1710" w:rsidP="000D1710">
      <w:pPr>
        <w:pStyle w:val="Heading1"/>
      </w:pPr>
      <w:r w:rsidRPr="009611BE">
        <w:lastRenderedPageBreak/>
        <w:t>Appendix 2</w:t>
      </w:r>
    </w:p>
    <w:p w14:paraId="0515308E" w14:textId="4BFA3DDB" w:rsidR="000D1710" w:rsidRPr="009611BE" w:rsidRDefault="000D1710" w:rsidP="000D1710">
      <w:pPr>
        <w:pStyle w:val="BodyText"/>
      </w:pPr>
      <w:r w:rsidRPr="009611BE">
        <w:rPr>
          <w:rFonts w:cs="Arial"/>
          <w:noProof/>
          <w:lang w:eastAsia="en-GB"/>
        </w:rPr>
        <w:drawing>
          <wp:anchor distT="0" distB="0" distL="114300" distR="114300" simplePos="0" relativeHeight="251660288" behindDoc="0" locked="0" layoutInCell="1" allowOverlap="1" wp14:anchorId="5A23CBA1" wp14:editId="683FB3CF">
            <wp:simplePos x="0" y="0"/>
            <wp:positionH relativeFrom="column">
              <wp:posOffset>-635</wp:posOffset>
            </wp:positionH>
            <wp:positionV relativeFrom="paragraph">
              <wp:posOffset>-635</wp:posOffset>
            </wp:positionV>
            <wp:extent cx="4572638" cy="3429479"/>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BEBA8EAE-BF5A-486C-A8C5-ECC9F3942E4B}">
                          <a14:imgProps xmlns:a14="http://schemas.microsoft.com/office/drawing/2010/main">
                            <a14:imgLayer r:embed="rId25">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572638" cy="3429479"/>
                    </a:xfrm>
                    <a:prstGeom prst="rect">
                      <a:avLst/>
                    </a:prstGeom>
                  </pic:spPr>
                </pic:pic>
              </a:graphicData>
            </a:graphic>
          </wp:anchor>
        </w:drawing>
      </w:r>
    </w:p>
    <w:sectPr w:rsidR="000D1710" w:rsidRPr="009611BE" w:rsidSect="001C3440">
      <w:type w:val="continuous"/>
      <w:pgSz w:w="11906" w:h="16838"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B51B8" w14:textId="77777777" w:rsidR="00D84C95" w:rsidRDefault="00D84C95" w:rsidP="00C62674">
      <w:r>
        <w:separator/>
      </w:r>
    </w:p>
  </w:endnote>
  <w:endnote w:type="continuationSeparator" w:id="0">
    <w:p w14:paraId="21F643DF" w14:textId="77777777" w:rsidR="00D84C95" w:rsidRDefault="00D84C95"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205AC" w14:textId="15A7A020" w:rsidR="00D84C95" w:rsidRDefault="00D84C95">
    <w:pPr>
      <w:pStyle w:val="Footer"/>
    </w:pPr>
    <w:r>
      <w:rPr>
        <w:noProof/>
      </w:rPr>
      <mc:AlternateContent>
        <mc:Choice Requires="wps">
          <w:drawing>
            <wp:anchor distT="0" distB="0" distL="114300" distR="114300" simplePos="0" relativeHeight="251661312" behindDoc="1" locked="0" layoutInCell="1" allowOverlap="1" wp14:anchorId="70581556" wp14:editId="7E37803F">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43C453"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2B0956">
      <w:rPr>
        <w:rStyle w:val="FooterPipe"/>
      </w:rPr>
      <w:t>|</w:t>
    </w:r>
    <w:r>
      <w:t xml:space="preserve"> </w:t>
    </w:r>
    <w:r w:rsidR="00D14E67">
      <w:fldChar w:fldCharType="begin"/>
    </w:r>
    <w:r w:rsidR="00D14E67">
      <w:instrText xml:space="preserve"> styleref Title </w:instrText>
    </w:r>
    <w:r w:rsidR="00D14E67">
      <w:fldChar w:fldCharType="separate"/>
    </w:r>
    <w:r w:rsidR="00D14E67">
      <w:rPr>
        <w:noProof/>
      </w:rPr>
      <w:t>Maternal medicine network service specification</w:t>
    </w:r>
    <w:r w:rsidR="00D14E6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848AF" w14:textId="77777777" w:rsidR="00D84C95" w:rsidRDefault="00D84C95" w:rsidP="00C62674">
      <w:r>
        <w:separator/>
      </w:r>
    </w:p>
  </w:footnote>
  <w:footnote w:type="continuationSeparator" w:id="0">
    <w:p w14:paraId="120E624B" w14:textId="77777777" w:rsidR="00D84C95" w:rsidRDefault="00D84C95" w:rsidP="00C62674">
      <w:r>
        <w:continuationSeparator/>
      </w:r>
    </w:p>
  </w:footnote>
  <w:footnote w:id="1">
    <w:p w14:paraId="01D3B420" w14:textId="232D03D1" w:rsidR="00D84C95" w:rsidRDefault="00D84C95">
      <w:pPr>
        <w:pStyle w:val="FootnoteText"/>
      </w:pPr>
      <w:r>
        <w:rPr>
          <w:rStyle w:val="FootnoteReference"/>
        </w:rPr>
        <w:footnoteRef/>
      </w:r>
      <w:r>
        <w:t xml:space="preserve"> </w:t>
      </w:r>
      <w:r w:rsidRPr="00F77DDF">
        <w:t>In the case of an antenatal transfer of care, intrapartum and postnatal care is funded by local commissioners through existing contractual mechanisms.</w:t>
      </w:r>
    </w:p>
  </w:footnote>
  <w:footnote w:id="2">
    <w:p w14:paraId="300809B8" w14:textId="6D05EB2B" w:rsidR="00D84C95" w:rsidRDefault="00D84C95">
      <w:pPr>
        <w:pStyle w:val="FootnoteText"/>
      </w:pPr>
      <w:r>
        <w:rPr>
          <w:rStyle w:val="FootnoteReference"/>
        </w:rPr>
        <w:footnoteRef/>
      </w:r>
      <w:r>
        <w:t xml:space="preserve"> </w:t>
      </w:r>
      <w:r w:rsidRPr="00D928A4">
        <w:t xml:space="preserve">Pre-term birth clinics are required as part of Element 5 of the </w:t>
      </w:r>
      <w:hyperlink r:id="rId1" w:history="1">
        <w:r w:rsidRPr="00D928A4">
          <w:rPr>
            <w:rStyle w:val="Hyperlink"/>
          </w:rPr>
          <w:t>Saving Babies’ Lives Care Bundle (Version 2)</w:t>
        </w:r>
      </w:hyperlink>
      <w:r w:rsidRPr="00D928A4">
        <w:t xml:space="preserve">. Local </w:t>
      </w:r>
      <w:r>
        <w:t>m</w:t>
      </w:r>
      <w:r w:rsidRPr="00D928A4">
        <w:t xml:space="preserve">aternity </w:t>
      </w:r>
      <w:r>
        <w:t>s</w:t>
      </w:r>
      <w:r w:rsidRPr="00D928A4">
        <w:t xml:space="preserve">ystems should work with CCGs to determine the respective funding required to comply with this requirement, and the agreed staffing for </w:t>
      </w:r>
      <w:r>
        <w:t>m</w:t>
      </w:r>
      <w:r w:rsidRPr="00D928A4">
        <w:t xml:space="preserve">aternal </w:t>
      </w:r>
      <w:r>
        <w:t>m</w:t>
      </w:r>
      <w:r w:rsidRPr="00D928A4">
        <w:t>edicine.</w:t>
      </w:r>
    </w:p>
  </w:footnote>
  <w:footnote w:id="3">
    <w:p w14:paraId="2367209F" w14:textId="17C279B5" w:rsidR="00D84C95" w:rsidRDefault="00D84C95">
      <w:pPr>
        <w:pStyle w:val="FootnoteText"/>
      </w:pPr>
      <w:r>
        <w:rPr>
          <w:rStyle w:val="FootnoteReference"/>
        </w:rPr>
        <w:footnoteRef/>
      </w:r>
      <w:r>
        <w:t xml:space="preserve"> </w:t>
      </w:r>
      <w:r w:rsidRPr="00D84C95">
        <w:t xml:space="preserve">Assessing competency is the responsibility of the employing trust who should request peer review from a sub-specialist in </w:t>
      </w:r>
      <w:r>
        <w:t>m</w:t>
      </w:r>
      <w:r w:rsidRPr="00D84C95">
        <w:t xml:space="preserve">aternal </w:t>
      </w:r>
      <w:r>
        <w:t>f</w:t>
      </w:r>
      <w:r w:rsidRPr="00D84C95">
        <w:t xml:space="preserve">etal </w:t>
      </w:r>
      <w:r>
        <w:t>m</w:t>
      </w:r>
      <w:r w:rsidRPr="00D84C95">
        <w:t xml:space="preserve">edicine for this assessment. Qualifications that would help evidence competency would include </w:t>
      </w:r>
      <w:r>
        <w:t>m</w:t>
      </w:r>
      <w:r w:rsidRPr="00D84C95">
        <w:t xml:space="preserve">aternal </w:t>
      </w:r>
      <w:r>
        <w:t>f</w:t>
      </w:r>
      <w:r w:rsidRPr="00D84C95">
        <w:t xml:space="preserve">etal </w:t>
      </w:r>
      <w:r>
        <w:t>m</w:t>
      </w:r>
      <w:r w:rsidRPr="00D84C95">
        <w:t>edicine sub</w:t>
      </w:r>
      <w:r>
        <w:t>-</w:t>
      </w:r>
      <w:r w:rsidRPr="00D84C95">
        <w:t xml:space="preserve">specialty training or a </w:t>
      </w:r>
      <w:r>
        <w:t>m</w:t>
      </w:r>
      <w:r w:rsidRPr="00D84C95">
        <w:t xml:space="preserve">aternal </w:t>
      </w:r>
      <w:r>
        <w:t>m</w:t>
      </w:r>
      <w:r w:rsidRPr="00D84C95">
        <w:t xml:space="preserve">edicine </w:t>
      </w:r>
      <w:r>
        <w:t>a</w:t>
      </w:r>
      <w:r w:rsidRPr="00D84C95">
        <w:t xml:space="preserve">dvance </w:t>
      </w:r>
      <w:r>
        <w:t>t</w:t>
      </w:r>
      <w:r w:rsidRPr="00D84C95">
        <w:t xml:space="preserve">raining </w:t>
      </w:r>
      <w:r>
        <w:t>s</w:t>
      </w:r>
      <w:r w:rsidRPr="00D84C95">
        <w:t xml:space="preserve">kills </w:t>
      </w:r>
      <w:r>
        <w:t>m</w:t>
      </w:r>
      <w:r w:rsidRPr="00D84C95">
        <w:t>odule.</w:t>
      </w:r>
    </w:p>
  </w:footnote>
  <w:footnote w:id="4">
    <w:p w14:paraId="17F9BD00" w14:textId="376ABEA4" w:rsidR="00D84C95" w:rsidRDefault="00D84C95">
      <w:pPr>
        <w:pStyle w:val="FootnoteText"/>
      </w:pPr>
      <w:r>
        <w:rPr>
          <w:rStyle w:val="FootnoteReference"/>
        </w:rPr>
        <w:footnoteRef/>
      </w:r>
      <w:r>
        <w:t xml:space="preserve"> </w:t>
      </w:r>
      <w:r w:rsidRPr="00D84C95">
        <w:t>Assessing competency is the responsibility of the employing trust. Competency will usually be achieved by completing training as defined by the RCP London curriculum. Where training has not been completed, equivalent competency should be determined by evidenced clinical expertise and confirmed by an established obstetric physician.</w:t>
      </w:r>
    </w:p>
  </w:footnote>
  <w:footnote w:id="5">
    <w:p w14:paraId="62DE7AE1" w14:textId="6AB54792" w:rsidR="009C7327" w:rsidRDefault="009C7327" w:rsidP="009C7327">
      <w:pPr>
        <w:pStyle w:val="FootnoteText"/>
      </w:pPr>
      <w:r>
        <w:rPr>
          <w:rStyle w:val="FootnoteReference"/>
        </w:rPr>
        <w:footnoteRef/>
      </w:r>
      <w:r>
        <w:t xml:space="preserve"> Uncomplicated disease requires all </w:t>
      </w:r>
      <w:r>
        <w:t>of: no lung/kidney/heart/CNS/thrombotic/muscle involvement; controlled on current treatment; no current biological treatments.</w:t>
      </w:r>
    </w:p>
  </w:footnote>
  <w:footnote w:id="6">
    <w:p w14:paraId="15E4FF45" w14:textId="5813C475" w:rsidR="00D84C95" w:rsidRDefault="00D84C95" w:rsidP="000D1710">
      <w:pPr>
        <w:pStyle w:val="FootnoteText"/>
      </w:pPr>
      <w:r>
        <w:rPr>
          <w:rStyle w:val="FootnoteReference"/>
        </w:rPr>
        <w:footnoteRef/>
      </w:r>
      <w:r>
        <w:t xml:space="preserve"> See 5.</w:t>
      </w:r>
    </w:p>
  </w:footnote>
  <w:footnote w:id="7">
    <w:p w14:paraId="0D21BB08" w14:textId="77777777" w:rsidR="00D84C95" w:rsidRDefault="00D84C95" w:rsidP="000D1710">
      <w:pPr>
        <w:pStyle w:val="FootnoteText"/>
      </w:pPr>
      <w:r>
        <w:rPr>
          <w:rStyle w:val="FootnoteReference"/>
        </w:rPr>
        <w:footnoteRef/>
      </w:r>
      <w:r>
        <w:t xml:space="preserve"> See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87778" w14:textId="77777777" w:rsidR="00D84C95" w:rsidRDefault="00D84C95">
    <w:pPr>
      <w:pStyle w:val="Header"/>
    </w:pPr>
  </w:p>
  <w:p w14:paraId="6E9C129A" w14:textId="77777777" w:rsidR="00D84C95" w:rsidRDefault="00D84C95">
    <w:pPr>
      <w:pStyle w:val="Header"/>
    </w:pPr>
  </w:p>
  <w:p w14:paraId="7482A03E" w14:textId="77777777" w:rsidR="00D84C95" w:rsidRDefault="00D84C95">
    <w:pPr>
      <w:pStyle w:val="Header"/>
    </w:pPr>
  </w:p>
  <w:p w14:paraId="524A65EE" w14:textId="77777777" w:rsidR="00D84C95" w:rsidRDefault="00D84C95">
    <w:pPr>
      <w:pStyle w:val="Header"/>
    </w:pPr>
  </w:p>
  <w:p w14:paraId="0B353B99" w14:textId="77777777" w:rsidR="00D84C95" w:rsidRDefault="00D84C95">
    <w:pPr>
      <w:pStyle w:val="Header"/>
    </w:pPr>
  </w:p>
  <w:p w14:paraId="143C11C9" w14:textId="77777777" w:rsidR="00D84C95" w:rsidRDefault="00D84C95">
    <w:pPr>
      <w:pStyle w:val="Header"/>
    </w:pPr>
  </w:p>
  <w:p w14:paraId="5EFBE708" w14:textId="77777777" w:rsidR="00D84C95" w:rsidRDefault="00D84C95">
    <w:pPr>
      <w:pStyle w:val="Header"/>
    </w:pPr>
    <w:r w:rsidRPr="00AA5B98">
      <w:rPr>
        <w:b/>
        <w:bCs/>
        <w:noProof/>
        <w:lang w:eastAsia="en-GB"/>
      </w:rPr>
      <w:drawing>
        <wp:anchor distT="0" distB="0" distL="114300" distR="114300" simplePos="0" relativeHeight="251663360" behindDoc="1" locked="0" layoutInCell="1" allowOverlap="1" wp14:anchorId="158EE8F9" wp14:editId="70934C51">
          <wp:simplePos x="0" y="0"/>
          <wp:positionH relativeFrom="page">
            <wp:posOffset>5537200</wp:posOffset>
          </wp:positionH>
          <wp:positionV relativeFrom="page">
            <wp:posOffset>583565</wp:posOffset>
          </wp:positionV>
          <wp:extent cx="1440000" cy="583200"/>
          <wp:effectExtent l="0" t="0" r="8255" b="7620"/>
          <wp:wrapNone/>
          <wp:docPr id="9" name="nhs_briefing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hs_briefing_templa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000" cy="58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C4C30" w14:textId="77777777" w:rsidR="00D84C95" w:rsidRDefault="00D84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2B046A"/>
    <w:multiLevelType w:val="hybridMultilevel"/>
    <w:tmpl w:val="FFAE631E"/>
    <w:lvl w:ilvl="0" w:tplc="11C06B16">
      <w:start w:val="1"/>
      <w:numFmt w:val="bullet"/>
      <w:lvlText w:val=""/>
      <w:lvlJc w:val="left"/>
      <w:pPr>
        <w:tabs>
          <w:tab w:val="num" w:pos="-187"/>
        </w:tabs>
        <w:ind w:left="-187" w:hanging="360"/>
      </w:pPr>
      <w:rPr>
        <w:rFonts w:ascii="Symbol" w:hAnsi="Symbol" w:hint="default"/>
      </w:rPr>
    </w:lvl>
    <w:lvl w:ilvl="1" w:tplc="AE903A7A" w:tentative="1">
      <w:start w:val="1"/>
      <w:numFmt w:val="bullet"/>
      <w:lvlText w:val=""/>
      <w:lvlJc w:val="left"/>
      <w:pPr>
        <w:tabs>
          <w:tab w:val="num" w:pos="533"/>
        </w:tabs>
        <w:ind w:left="533" w:hanging="360"/>
      </w:pPr>
      <w:rPr>
        <w:rFonts w:ascii="Symbol" w:hAnsi="Symbol" w:hint="default"/>
      </w:rPr>
    </w:lvl>
    <w:lvl w:ilvl="2" w:tplc="AA48137E" w:tentative="1">
      <w:start w:val="1"/>
      <w:numFmt w:val="bullet"/>
      <w:lvlText w:val=""/>
      <w:lvlJc w:val="left"/>
      <w:pPr>
        <w:tabs>
          <w:tab w:val="num" w:pos="1253"/>
        </w:tabs>
        <w:ind w:left="1253" w:hanging="360"/>
      </w:pPr>
      <w:rPr>
        <w:rFonts w:ascii="Symbol" w:hAnsi="Symbol" w:hint="default"/>
      </w:rPr>
    </w:lvl>
    <w:lvl w:ilvl="3" w:tplc="248A0ABE" w:tentative="1">
      <w:start w:val="1"/>
      <w:numFmt w:val="bullet"/>
      <w:lvlText w:val=""/>
      <w:lvlJc w:val="left"/>
      <w:pPr>
        <w:tabs>
          <w:tab w:val="num" w:pos="1973"/>
        </w:tabs>
        <w:ind w:left="1973" w:hanging="360"/>
      </w:pPr>
      <w:rPr>
        <w:rFonts w:ascii="Symbol" w:hAnsi="Symbol" w:hint="default"/>
      </w:rPr>
    </w:lvl>
    <w:lvl w:ilvl="4" w:tplc="84C271C6" w:tentative="1">
      <w:start w:val="1"/>
      <w:numFmt w:val="bullet"/>
      <w:lvlText w:val=""/>
      <w:lvlJc w:val="left"/>
      <w:pPr>
        <w:tabs>
          <w:tab w:val="num" w:pos="2693"/>
        </w:tabs>
        <w:ind w:left="2693" w:hanging="360"/>
      </w:pPr>
      <w:rPr>
        <w:rFonts w:ascii="Symbol" w:hAnsi="Symbol" w:hint="default"/>
      </w:rPr>
    </w:lvl>
    <w:lvl w:ilvl="5" w:tplc="1A3CB64C" w:tentative="1">
      <w:start w:val="1"/>
      <w:numFmt w:val="bullet"/>
      <w:lvlText w:val=""/>
      <w:lvlJc w:val="left"/>
      <w:pPr>
        <w:tabs>
          <w:tab w:val="num" w:pos="3413"/>
        </w:tabs>
        <w:ind w:left="3413" w:hanging="360"/>
      </w:pPr>
      <w:rPr>
        <w:rFonts w:ascii="Symbol" w:hAnsi="Symbol" w:hint="default"/>
      </w:rPr>
    </w:lvl>
    <w:lvl w:ilvl="6" w:tplc="2A00B5AC" w:tentative="1">
      <w:start w:val="1"/>
      <w:numFmt w:val="bullet"/>
      <w:lvlText w:val=""/>
      <w:lvlJc w:val="left"/>
      <w:pPr>
        <w:tabs>
          <w:tab w:val="num" w:pos="4133"/>
        </w:tabs>
        <w:ind w:left="4133" w:hanging="360"/>
      </w:pPr>
      <w:rPr>
        <w:rFonts w:ascii="Symbol" w:hAnsi="Symbol" w:hint="default"/>
      </w:rPr>
    </w:lvl>
    <w:lvl w:ilvl="7" w:tplc="28640862" w:tentative="1">
      <w:start w:val="1"/>
      <w:numFmt w:val="bullet"/>
      <w:lvlText w:val=""/>
      <w:lvlJc w:val="left"/>
      <w:pPr>
        <w:tabs>
          <w:tab w:val="num" w:pos="4853"/>
        </w:tabs>
        <w:ind w:left="4853" w:hanging="360"/>
      </w:pPr>
      <w:rPr>
        <w:rFonts w:ascii="Symbol" w:hAnsi="Symbol" w:hint="default"/>
      </w:rPr>
    </w:lvl>
    <w:lvl w:ilvl="8" w:tplc="E2F8DC3E" w:tentative="1">
      <w:start w:val="1"/>
      <w:numFmt w:val="bullet"/>
      <w:lvlText w:val=""/>
      <w:lvlJc w:val="left"/>
      <w:pPr>
        <w:tabs>
          <w:tab w:val="num" w:pos="5573"/>
        </w:tabs>
        <w:ind w:left="5573" w:hanging="360"/>
      </w:pPr>
      <w:rPr>
        <w:rFonts w:ascii="Symbol" w:hAnsi="Symbol" w:hint="default"/>
      </w:rPr>
    </w:lvl>
  </w:abstractNum>
  <w:abstractNum w:abstractNumId="11"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62C5483"/>
    <w:multiLevelType w:val="hybridMultilevel"/>
    <w:tmpl w:val="FC7A7224"/>
    <w:lvl w:ilvl="0" w:tplc="39B08DA2">
      <w:start w:val="1"/>
      <w:numFmt w:val="bullet"/>
      <w:lvlText w:val=""/>
      <w:lvlJc w:val="left"/>
      <w:pPr>
        <w:tabs>
          <w:tab w:val="num" w:pos="-187"/>
        </w:tabs>
        <w:ind w:left="-187" w:hanging="360"/>
      </w:pPr>
      <w:rPr>
        <w:rFonts w:ascii="Symbol" w:hAnsi="Symbol" w:hint="default"/>
      </w:rPr>
    </w:lvl>
    <w:lvl w:ilvl="1" w:tplc="FED84AE2" w:tentative="1">
      <w:start w:val="1"/>
      <w:numFmt w:val="bullet"/>
      <w:lvlText w:val=""/>
      <w:lvlJc w:val="left"/>
      <w:pPr>
        <w:tabs>
          <w:tab w:val="num" w:pos="533"/>
        </w:tabs>
        <w:ind w:left="533" w:hanging="360"/>
      </w:pPr>
      <w:rPr>
        <w:rFonts w:ascii="Symbol" w:hAnsi="Symbol" w:hint="default"/>
      </w:rPr>
    </w:lvl>
    <w:lvl w:ilvl="2" w:tplc="20663C5A" w:tentative="1">
      <w:start w:val="1"/>
      <w:numFmt w:val="bullet"/>
      <w:lvlText w:val=""/>
      <w:lvlJc w:val="left"/>
      <w:pPr>
        <w:tabs>
          <w:tab w:val="num" w:pos="1253"/>
        </w:tabs>
        <w:ind w:left="1253" w:hanging="360"/>
      </w:pPr>
      <w:rPr>
        <w:rFonts w:ascii="Symbol" w:hAnsi="Symbol" w:hint="default"/>
      </w:rPr>
    </w:lvl>
    <w:lvl w:ilvl="3" w:tplc="9A0E940C" w:tentative="1">
      <w:start w:val="1"/>
      <w:numFmt w:val="bullet"/>
      <w:lvlText w:val=""/>
      <w:lvlJc w:val="left"/>
      <w:pPr>
        <w:tabs>
          <w:tab w:val="num" w:pos="1973"/>
        </w:tabs>
        <w:ind w:left="1973" w:hanging="360"/>
      </w:pPr>
      <w:rPr>
        <w:rFonts w:ascii="Symbol" w:hAnsi="Symbol" w:hint="default"/>
      </w:rPr>
    </w:lvl>
    <w:lvl w:ilvl="4" w:tplc="13448F4C" w:tentative="1">
      <w:start w:val="1"/>
      <w:numFmt w:val="bullet"/>
      <w:lvlText w:val=""/>
      <w:lvlJc w:val="left"/>
      <w:pPr>
        <w:tabs>
          <w:tab w:val="num" w:pos="2693"/>
        </w:tabs>
        <w:ind w:left="2693" w:hanging="360"/>
      </w:pPr>
      <w:rPr>
        <w:rFonts w:ascii="Symbol" w:hAnsi="Symbol" w:hint="default"/>
      </w:rPr>
    </w:lvl>
    <w:lvl w:ilvl="5" w:tplc="D02E2D54" w:tentative="1">
      <w:start w:val="1"/>
      <w:numFmt w:val="bullet"/>
      <w:lvlText w:val=""/>
      <w:lvlJc w:val="left"/>
      <w:pPr>
        <w:tabs>
          <w:tab w:val="num" w:pos="3413"/>
        </w:tabs>
        <w:ind w:left="3413" w:hanging="360"/>
      </w:pPr>
      <w:rPr>
        <w:rFonts w:ascii="Symbol" w:hAnsi="Symbol" w:hint="default"/>
      </w:rPr>
    </w:lvl>
    <w:lvl w:ilvl="6" w:tplc="5DB6A4F8" w:tentative="1">
      <w:start w:val="1"/>
      <w:numFmt w:val="bullet"/>
      <w:lvlText w:val=""/>
      <w:lvlJc w:val="left"/>
      <w:pPr>
        <w:tabs>
          <w:tab w:val="num" w:pos="4133"/>
        </w:tabs>
        <w:ind w:left="4133" w:hanging="360"/>
      </w:pPr>
      <w:rPr>
        <w:rFonts w:ascii="Symbol" w:hAnsi="Symbol" w:hint="default"/>
      </w:rPr>
    </w:lvl>
    <w:lvl w:ilvl="7" w:tplc="58E23FEC" w:tentative="1">
      <w:start w:val="1"/>
      <w:numFmt w:val="bullet"/>
      <w:lvlText w:val=""/>
      <w:lvlJc w:val="left"/>
      <w:pPr>
        <w:tabs>
          <w:tab w:val="num" w:pos="4853"/>
        </w:tabs>
        <w:ind w:left="4853" w:hanging="360"/>
      </w:pPr>
      <w:rPr>
        <w:rFonts w:ascii="Symbol" w:hAnsi="Symbol" w:hint="default"/>
      </w:rPr>
    </w:lvl>
    <w:lvl w:ilvl="8" w:tplc="C90C7E52" w:tentative="1">
      <w:start w:val="1"/>
      <w:numFmt w:val="bullet"/>
      <w:lvlText w:val=""/>
      <w:lvlJc w:val="left"/>
      <w:pPr>
        <w:tabs>
          <w:tab w:val="num" w:pos="5573"/>
        </w:tabs>
        <w:ind w:left="5573" w:hanging="360"/>
      </w:pPr>
      <w:rPr>
        <w:rFonts w:ascii="Symbol" w:hAnsi="Symbol" w:hint="default"/>
      </w:rPr>
    </w:lvl>
  </w:abstractNum>
  <w:abstractNum w:abstractNumId="14"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3C33262"/>
    <w:multiLevelType w:val="hybridMultilevel"/>
    <w:tmpl w:val="2982C4CE"/>
    <w:lvl w:ilvl="0" w:tplc="A5F8C9EE">
      <w:start w:val="1"/>
      <w:numFmt w:val="bullet"/>
      <w:lvlText w:val=""/>
      <w:lvlJc w:val="left"/>
      <w:pPr>
        <w:tabs>
          <w:tab w:val="num" w:pos="-187"/>
        </w:tabs>
        <w:ind w:left="-187" w:hanging="360"/>
      </w:pPr>
      <w:rPr>
        <w:rFonts w:ascii="Symbol" w:hAnsi="Symbol" w:hint="default"/>
      </w:rPr>
    </w:lvl>
    <w:lvl w:ilvl="1" w:tplc="4EA2F6D2" w:tentative="1">
      <w:start w:val="1"/>
      <w:numFmt w:val="bullet"/>
      <w:lvlText w:val=""/>
      <w:lvlJc w:val="left"/>
      <w:pPr>
        <w:tabs>
          <w:tab w:val="num" w:pos="533"/>
        </w:tabs>
        <w:ind w:left="533" w:hanging="360"/>
      </w:pPr>
      <w:rPr>
        <w:rFonts w:ascii="Symbol" w:hAnsi="Symbol" w:hint="default"/>
      </w:rPr>
    </w:lvl>
    <w:lvl w:ilvl="2" w:tplc="6DD03DEC" w:tentative="1">
      <w:start w:val="1"/>
      <w:numFmt w:val="bullet"/>
      <w:lvlText w:val=""/>
      <w:lvlJc w:val="left"/>
      <w:pPr>
        <w:tabs>
          <w:tab w:val="num" w:pos="1253"/>
        </w:tabs>
        <w:ind w:left="1253" w:hanging="360"/>
      </w:pPr>
      <w:rPr>
        <w:rFonts w:ascii="Symbol" w:hAnsi="Symbol" w:hint="default"/>
      </w:rPr>
    </w:lvl>
    <w:lvl w:ilvl="3" w:tplc="0E7295EE" w:tentative="1">
      <w:start w:val="1"/>
      <w:numFmt w:val="bullet"/>
      <w:lvlText w:val=""/>
      <w:lvlJc w:val="left"/>
      <w:pPr>
        <w:tabs>
          <w:tab w:val="num" w:pos="1973"/>
        </w:tabs>
        <w:ind w:left="1973" w:hanging="360"/>
      </w:pPr>
      <w:rPr>
        <w:rFonts w:ascii="Symbol" w:hAnsi="Symbol" w:hint="default"/>
      </w:rPr>
    </w:lvl>
    <w:lvl w:ilvl="4" w:tplc="662E93F6" w:tentative="1">
      <w:start w:val="1"/>
      <w:numFmt w:val="bullet"/>
      <w:lvlText w:val=""/>
      <w:lvlJc w:val="left"/>
      <w:pPr>
        <w:tabs>
          <w:tab w:val="num" w:pos="2693"/>
        </w:tabs>
        <w:ind w:left="2693" w:hanging="360"/>
      </w:pPr>
      <w:rPr>
        <w:rFonts w:ascii="Symbol" w:hAnsi="Symbol" w:hint="default"/>
      </w:rPr>
    </w:lvl>
    <w:lvl w:ilvl="5" w:tplc="EC4A7E18" w:tentative="1">
      <w:start w:val="1"/>
      <w:numFmt w:val="bullet"/>
      <w:lvlText w:val=""/>
      <w:lvlJc w:val="left"/>
      <w:pPr>
        <w:tabs>
          <w:tab w:val="num" w:pos="3413"/>
        </w:tabs>
        <w:ind w:left="3413" w:hanging="360"/>
      </w:pPr>
      <w:rPr>
        <w:rFonts w:ascii="Symbol" w:hAnsi="Symbol" w:hint="default"/>
      </w:rPr>
    </w:lvl>
    <w:lvl w:ilvl="6" w:tplc="E77C1C78" w:tentative="1">
      <w:start w:val="1"/>
      <w:numFmt w:val="bullet"/>
      <w:lvlText w:val=""/>
      <w:lvlJc w:val="left"/>
      <w:pPr>
        <w:tabs>
          <w:tab w:val="num" w:pos="4133"/>
        </w:tabs>
        <w:ind w:left="4133" w:hanging="360"/>
      </w:pPr>
      <w:rPr>
        <w:rFonts w:ascii="Symbol" w:hAnsi="Symbol" w:hint="default"/>
      </w:rPr>
    </w:lvl>
    <w:lvl w:ilvl="7" w:tplc="7510716A" w:tentative="1">
      <w:start w:val="1"/>
      <w:numFmt w:val="bullet"/>
      <w:lvlText w:val=""/>
      <w:lvlJc w:val="left"/>
      <w:pPr>
        <w:tabs>
          <w:tab w:val="num" w:pos="4853"/>
        </w:tabs>
        <w:ind w:left="4853" w:hanging="360"/>
      </w:pPr>
      <w:rPr>
        <w:rFonts w:ascii="Symbol" w:hAnsi="Symbol" w:hint="default"/>
      </w:rPr>
    </w:lvl>
    <w:lvl w:ilvl="8" w:tplc="5FE8CEC6" w:tentative="1">
      <w:start w:val="1"/>
      <w:numFmt w:val="bullet"/>
      <w:lvlText w:val=""/>
      <w:lvlJc w:val="left"/>
      <w:pPr>
        <w:tabs>
          <w:tab w:val="num" w:pos="5573"/>
        </w:tabs>
        <w:ind w:left="5573" w:hanging="360"/>
      </w:pPr>
      <w:rPr>
        <w:rFonts w:ascii="Symbol" w:hAnsi="Symbol" w:hint="default"/>
      </w:rPr>
    </w:lvl>
  </w:abstractNum>
  <w:abstractNum w:abstractNumId="17" w15:restartNumberingAfterBreak="0">
    <w:nsid w:val="256676EB"/>
    <w:multiLevelType w:val="hybridMultilevel"/>
    <w:tmpl w:val="AA5067D2"/>
    <w:lvl w:ilvl="0" w:tplc="7180DECC">
      <w:start w:val="1"/>
      <w:numFmt w:val="bullet"/>
      <w:lvlText w:val=""/>
      <w:lvlJc w:val="left"/>
      <w:pPr>
        <w:tabs>
          <w:tab w:val="num" w:pos="-187"/>
        </w:tabs>
        <w:ind w:left="-187" w:hanging="360"/>
      </w:pPr>
      <w:rPr>
        <w:rFonts w:ascii="Symbol" w:hAnsi="Symbol" w:hint="default"/>
      </w:rPr>
    </w:lvl>
    <w:lvl w:ilvl="1" w:tplc="E1C2545C" w:tentative="1">
      <w:start w:val="1"/>
      <w:numFmt w:val="bullet"/>
      <w:lvlText w:val=""/>
      <w:lvlJc w:val="left"/>
      <w:pPr>
        <w:tabs>
          <w:tab w:val="num" w:pos="533"/>
        </w:tabs>
        <w:ind w:left="533" w:hanging="360"/>
      </w:pPr>
      <w:rPr>
        <w:rFonts w:ascii="Symbol" w:hAnsi="Symbol" w:hint="default"/>
      </w:rPr>
    </w:lvl>
    <w:lvl w:ilvl="2" w:tplc="E304BBC8" w:tentative="1">
      <w:start w:val="1"/>
      <w:numFmt w:val="bullet"/>
      <w:lvlText w:val=""/>
      <w:lvlJc w:val="left"/>
      <w:pPr>
        <w:tabs>
          <w:tab w:val="num" w:pos="1253"/>
        </w:tabs>
        <w:ind w:left="1253" w:hanging="360"/>
      </w:pPr>
      <w:rPr>
        <w:rFonts w:ascii="Symbol" w:hAnsi="Symbol" w:hint="default"/>
      </w:rPr>
    </w:lvl>
    <w:lvl w:ilvl="3" w:tplc="9B2ED1EE" w:tentative="1">
      <w:start w:val="1"/>
      <w:numFmt w:val="bullet"/>
      <w:lvlText w:val=""/>
      <w:lvlJc w:val="left"/>
      <w:pPr>
        <w:tabs>
          <w:tab w:val="num" w:pos="1973"/>
        </w:tabs>
        <w:ind w:left="1973" w:hanging="360"/>
      </w:pPr>
      <w:rPr>
        <w:rFonts w:ascii="Symbol" w:hAnsi="Symbol" w:hint="default"/>
      </w:rPr>
    </w:lvl>
    <w:lvl w:ilvl="4" w:tplc="2528ECCC" w:tentative="1">
      <w:start w:val="1"/>
      <w:numFmt w:val="bullet"/>
      <w:lvlText w:val=""/>
      <w:lvlJc w:val="left"/>
      <w:pPr>
        <w:tabs>
          <w:tab w:val="num" w:pos="2693"/>
        </w:tabs>
        <w:ind w:left="2693" w:hanging="360"/>
      </w:pPr>
      <w:rPr>
        <w:rFonts w:ascii="Symbol" w:hAnsi="Symbol" w:hint="default"/>
      </w:rPr>
    </w:lvl>
    <w:lvl w:ilvl="5" w:tplc="162861B0" w:tentative="1">
      <w:start w:val="1"/>
      <w:numFmt w:val="bullet"/>
      <w:lvlText w:val=""/>
      <w:lvlJc w:val="left"/>
      <w:pPr>
        <w:tabs>
          <w:tab w:val="num" w:pos="3413"/>
        </w:tabs>
        <w:ind w:left="3413" w:hanging="360"/>
      </w:pPr>
      <w:rPr>
        <w:rFonts w:ascii="Symbol" w:hAnsi="Symbol" w:hint="default"/>
      </w:rPr>
    </w:lvl>
    <w:lvl w:ilvl="6" w:tplc="0B82E3EE" w:tentative="1">
      <w:start w:val="1"/>
      <w:numFmt w:val="bullet"/>
      <w:lvlText w:val=""/>
      <w:lvlJc w:val="left"/>
      <w:pPr>
        <w:tabs>
          <w:tab w:val="num" w:pos="4133"/>
        </w:tabs>
        <w:ind w:left="4133" w:hanging="360"/>
      </w:pPr>
      <w:rPr>
        <w:rFonts w:ascii="Symbol" w:hAnsi="Symbol" w:hint="default"/>
      </w:rPr>
    </w:lvl>
    <w:lvl w:ilvl="7" w:tplc="D0FCF786" w:tentative="1">
      <w:start w:val="1"/>
      <w:numFmt w:val="bullet"/>
      <w:lvlText w:val=""/>
      <w:lvlJc w:val="left"/>
      <w:pPr>
        <w:tabs>
          <w:tab w:val="num" w:pos="4853"/>
        </w:tabs>
        <w:ind w:left="4853" w:hanging="360"/>
      </w:pPr>
      <w:rPr>
        <w:rFonts w:ascii="Symbol" w:hAnsi="Symbol" w:hint="default"/>
      </w:rPr>
    </w:lvl>
    <w:lvl w:ilvl="8" w:tplc="59EE749A" w:tentative="1">
      <w:start w:val="1"/>
      <w:numFmt w:val="bullet"/>
      <w:lvlText w:val=""/>
      <w:lvlJc w:val="left"/>
      <w:pPr>
        <w:tabs>
          <w:tab w:val="num" w:pos="5573"/>
        </w:tabs>
        <w:ind w:left="5573" w:hanging="360"/>
      </w:pPr>
      <w:rPr>
        <w:rFonts w:ascii="Symbol" w:hAnsi="Symbol" w:hint="default"/>
      </w:rPr>
    </w:lvl>
  </w:abstractNum>
  <w:abstractNum w:abstractNumId="18" w15:restartNumberingAfterBreak="0">
    <w:nsid w:val="2EF36676"/>
    <w:multiLevelType w:val="hybridMultilevel"/>
    <w:tmpl w:val="25128C4A"/>
    <w:lvl w:ilvl="0" w:tplc="9746F854">
      <w:start w:val="1"/>
      <w:numFmt w:val="bullet"/>
      <w:lvlText w:val=""/>
      <w:lvlJc w:val="left"/>
      <w:pPr>
        <w:tabs>
          <w:tab w:val="num" w:pos="-187"/>
        </w:tabs>
        <w:ind w:left="-187" w:hanging="360"/>
      </w:pPr>
      <w:rPr>
        <w:rFonts w:ascii="Symbol" w:hAnsi="Symbol" w:hint="default"/>
      </w:rPr>
    </w:lvl>
    <w:lvl w:ilvl="1" w:tplc="4CB888CE" w:tentative="1">
      <w:start w:val="1"/>
      <w:numFmt w:val="bullet"/>
      <w:lvlText w:val=""/>
      <w:lvlJc w:val="left"/>
      <w:pPr>
        <w:tabs>
          <w:tab w:val="num" w:pos="533"/>
        </w:tabs>
        <w:ind w:left="533" w:hanging="360"/>
      </w:pPr>
      <w:rPr>
        <w:rFonts w:ascii="Symbol" w:hAnsi="Symbol" w:hint="default"/>
      </w:rPr>
    </w:lvl>
    <w:lvl w:ilvl="2" w:tplc="B03EDB44" w:tentative="1">
      <w:start w:val="1"/>
      <w:numFmt w:val="bullet"/>
      <w:lvlText w:val=""/>
      <w:lvlJc w:val="left"/>
      <w:pPr>
        <w:tabs>
          <w:tab w:val="num" w:pos="1253"/>
        </w:tabs>
        <w:ind w:left="1253" w:hanging="360"/>
      </w:pPr>
      <w:rPr>
        <w:rFonts w:ascii="Symbol" w:hAnsi="Symbol" w:hint="default"/>
      </w:rPr>
    </w:lvl>
    <w:lvl w:ilvl="3" w:tplc="6728FDBE" w:tentative="1">
      <w:start w:val="1"/>
      <w:numFmt w:val="bullet"/>
      <w:lvlText w:val=""/>
      <w:lvlJc w:val="left"/>
      <w:pPr>
        <w:tabs>
          <w:tab w:val="num" w:pos="1973"/>
        </w:tabs>
        <w:ind w:left="1973" w:hanging="360"/>
      </w:pPr>
      <w:rPr>
        <w:rFonts w:ascii="Symbol" w:hAnsi="Symbol" w:hint="default"/>
      </w:rPr>
    </w:lvl>
    <w:lvl w:ilvl="4" w:tplc="171C0998" w:tentative="1">
      <w:start w:val="1"/>
      <w:numFmt w:val="bullet"/>
      <w:lvlText w:val=""/>
      <w:lvlJc w:val="left"/>
      <w:pPr>
        <w:tabs>
          <w:tab w:val="num" w:pos="2693"/>
        </w:tabs>
        <w:ind w:left="2693" w:hanging="360"/>
      </w:pPr>
      <w:rPr>
        <w:rFonts w:ascii="Symbol" w:hAnsi="Symbol" w:hint="default"/>
      </w:rPr>
    </w:lvl>
    <w:lvl w:ilvl="5" w:tplc="81E26434" w:tentative="1">
      <w:start w:val="1"/>
      <w:numFmt w:val="bullet"/>
      <w:lvlText w:val=""/>
      <w:lvlJc w:val="left"/>
      <w:pPr>
        <w:tabs>
          <w:tab w:val="num" w:pos="3413"/>
        </w:tabs>
        <w:ind w:left="3413" w:hanging="360"/>
      </w:pPr>
      <w:rPr>
        <w:rFonts w:ascii="Symbol" w:hAnsi="Symbol" w:hint="default"/>
      </w:rPr>
    </w:lvl>
    <w:lvl w:ilvl="6" w:tplc="9E1886B2" w:tentative="1">
      <w:start w:val="1"/>
      <w:numFmt w:val="bullet"/>
      <w:lvlText w:val=""/>
      <w:lvlJc w:val="left"/>
      <w:pPr>
        <w:tabs>
          <w:tab w:val="num" w:pos="4133"/>
        </w:tabs>
        <w:ind w:left="4133" w:hanging="360"/>
      </w:pPr>
      <w:rPr>
        <w:rFonts w:ascii="Symbol" w:hAnsi="Symbol" w:hint="default"/>
      </w:rPr>
    </w:lvl>
    <w:lvl w:ilvl="7" w:tplc="DE1423B0" w:tentative="1">
      <w:start w:val="1"/>
      <w:numFmt w:val="bullet"/>
      <w:lvlText w:val=""/>
      <w:lvlJc w:val="left"/>
      <w:pPr>
        <w:tabs>
          <w:tab w:val="num" w:pos="4853"/>
        </w:tabs>
        <w:ind w:left="4853" w:hanging="360"/>
      </w:pPr>
      <w:rPr>
        <w:rFonts w:ascii="Symbol" w:hAnsi="Symbol" w:hint="default"/>
      </w:rPr>
    </w:lvl>
    <w:lvl w:ilvl="8" w:tplc="7FC41316" w:tentative="1">
      <w:start w:val="1"/>
      <w:numFmt w:val="bullet"/>
      <w:lvlText w:val=""/>
      <w:lvlJc w:val="left"/>
      <w:pPr>
        <w:tabs>
          <w:tab w:val="num" w:pos="5573"/>
        </w:tabs>
        <w:ind w:left="5573" w:hanging="360"/>
      </w:pPr>
      <w:rPr>
        <w:rFonts w:ascii="Symbol" w:hAnsi="Symbol" w:hint="default"/>
      </w:rPr>
    </w:lvl>
  </w:abstractNum>
  <w:abstractNum w:abstractNumId="19" w15:restartNumberingAfterBreak="0">
    <w:nsid w:val="2F6B65B9"/>
    <w:multiLevelType w:val="hybridMultilevel"/>
    <w:tmpl w:val="5FEEC6A2"/>
    <w:lvl w:ilvl="0" w:tplc="DA5EDEE6">
      <w:start w:val="1"/>
      <w:numFmt w:val="decimal"/>
      <w:lvlText w:val="%1."/>
      <w:lvlJc w:val="left"/>
      <w:pPr>
        <w:tabs>
          <w:tab w:val="num" w:pos="720"/>
        </w:tabs>
        <w:ind w:left="720" w:hanging="360"/>
      </w:pPr>
    </w:lvl>
    <w:lvl w:ilvl="1" w:tplc="AB72E544" w:tentative="1">
      <w:start w:val="1"/>
      <w:numFmt w:val="decimal"/>
      <w:lvlText w:val="%2."/>
      <w:lvlJc w:val="left"/>
      <w:pPr>
        <w:tabs>
          <w:tab w:val="num" w:pos="1440"/>
        </w:tabs>
        <w:ind w:left="1440" w:hanging="360"/>
      </w:pPr>
    </w:lvl>
    <w:lvl w:ilvl="2" w:tplc="11F8A262" w:tentative="1">
      <w:start w:val="1"/>
      <w:numFmt w:val="decimal"/>
      <w:lvlText w:val="%3."/>
      <w:lvlJc w:val="left"/>
      <w:pPr>
        <w:tabs>
          <w:tab w:val="num" w:pos="2160"/>
        </w:tabs>
        <w:ind w:left="2160" w:hanging="360"/>
      </w:pPr>
    </w:lvl>
    <w:lvl w:ilvl="3" w:tplc="3C2A9374" w:tentative="1">
      <w:start w:val="1"/>
      <w:numFmt w:val="decimal"/>
      <w:lvlText w:val="%4."/>
      <w:lvlJc w:val="left"/>
      <w:pPr>
        <w:tabs>
          <w:tab w:val="num" w:pos="2880"/>
        </w:tabs>
        <w:ind w:left="2880" w:hanging="360"/>
      </w:pPr>
    </w:lvl>
    <w:lvl w:ilvl="4" w:tplc="3EE4FE04" w:tentative="1">
      <w:start w:val="1"/>
      <w:numFmt w:val="decimal"/>
      <w:lvlText w:val="%5."/>
      <w:lvlJc w:val="left"/>
      <w:pPr>
        <w:tabs>
          <w:tab w:val="num" w:pos="3600"/>
        </w:tabs>
        <w:ind w:left="3600" w:hanging="360"/>
      </w:pPr>
    </w:lvl>
    <w:lvl w:ilvl="5" w:tplc="9E7681F6" w:tentative="1">
      <w:start w:val="1"/>
      <w:numFmt w:val="decimal"/>
      <w:lvlText w:val="%6."/>
      <w:lvlJc w:val="left"/>
      <w:pPr>
        <w:tabs>
          <w:tab w:val="num" w:pos="4320"/>
        </w:tabs>
        <w:ind w:left="4320" w:hanging="360"/>
      </w:pPr>
    </w:lvl>
    <w:lvl w:ilvl="6" w:tplc="496AB6FE" w:tentative="1">
      <w:start w:val="1"/>
      <w:numFmt w:val="decimal"/>
      <w:lvlText w:val="%7."/>
      <w:lvlJc w:val="left"/>
      <w:pPr>
        <w:tabs>
          <w:tab w:val="num" w:pos="5040"/>
        </w:tabs>
        <w:ind w:left="5040" w:hanging="360"/>
      </w:pPr>
    </w:lvl>
    <w:lvl w:ilvl="7" w:tplc="C1349246" w:tentative="1">
      <w:start w:val="1"/>
      <w:numFmt w:val="decimal"/>
      <w:lvlText w:val="%8."/>
      <w:lvlJc w:val="left"/>
      <w:pPr>
        <w:tabs>
          <w:tab w:val="num" w:pos="5760"/>
        </w:tabs>
        <w:ind w:left="5760" w:hanging="360"/>
      </w:pPr>
    </w:lvl>
    <w:lvl w:ilvl="8" w:tplc="1196048A" w:tentative="1">
      <w:start w:val="1"/>
      <w:numFmt w:val="decimal"/>
      <w:lvlText w:val="%9."/>
      <w:lvlJc w:val="left"/>
      <w:pPr>
        <w:tabs>
          <w:tab w:val="num" w:pos="6480"/>
        </w:tabs>
        <w:ind w:left="6480" w:hanging="360"/>
      </w:pPr>
    </w:lvl>
  </w:abstractNum>
  <w:abstractNum w:abstractNumId="20" w15:restartNumberingAfterBreak="0">
    <w:nsid w:val="4A0E4B38"/>
    <w:multiLevelType w:val="multilevel"/>
    <w:tmpl w:val="65E4417A"/>
    <w:name w:val="eod_numbers"/>
    <w:numStyleLink w:val="NHSListNumbers"/>
  </w:abstractNum>
  <w:abstractNum w:abstractNumId="21" w15:restartNumberingAfterBreak="0">
    <w:nsid w:val="4DCF4E9F"/>
    <w:multiLevelType w:val="hybridMultilevel"/>
    <w:tmpl w:val="E3B2A1B2"/>
    <w:lvl w:ilvl="0" w:tplc="98E4093C">
      <w:start w:val="1"/>
      <w:numFmt w:val="bullet"/>
      <w:lvlText w:val=""/>
      <w:lvlJc w:val="left"/>
      <w:pPr>
        <w:tabs>
          <w:tab w:val="num" w:pos="-187"/>
        </w:tabs>
        <w:ind w:left="-187" w:hanging="360"/>
      </w:pPr>
      <w:rPr>
        <w:rFonts w:ascii="Symbol" w:hAnsi="Symbol" w:hint="default"/>
      </w:rPr>
    </w:lvl>
    <w:lvl w:ilvl="1" w:tplc="813C79D0" w:tentative="1">
      <w:start w:val="1"/>
      <w:numFmt w:val="bullet"/>
      <w:lvlText w:val=""/>
      <w:lvlJc w:val="left"/>
      <w:pPr>
        <w:tabs>
          <w:tab w:val="num" w:pos="533"/>
        </w:tabs>
        <w:ind w:left="533" w:hanging="360"/>
      </w:pPr>
      <w:rPr>
        <w:rFonts w:ascii="Symbol" w:hAnsi="Symbol" w:hint="default"/>
      </w:rPr>
    </w:lvl>
    <w:lvl w:ilvl="2" w:tplc="9914F898" w:tentative="1">
      <w:start w:val="1"/>
      <w:numFmt w:val="bullet"/>
      <w:lvlText w:val=""/>
      <w:lvlJc w:val="left"/>
      <w:pPr>
        <w:tabs>
          <w:tab w:val="num" w:pos="1253"/>
        </w:tabs>
        <w:ind w:left="1253" w:hanging="360"/>
      </w:pPr>
      <w:rPr>
        <w:rFonts w:ascii="Symbol" w:hAnsi="Symbol" w:hint="default"/>
      </w:rPr>
    </w:lvl>
    <w:lvl w:ilvl="3" w:tplc="A60EFE6E" w:tentative="1">
      <w:start w:val="1"/>
      <w:numFmt w:val="bullet"/>
      <w:lvlText w:val=""/>
      <w:lvlJc w:val="left"/>
      <w:pPr>
        <w:tabs>
          <w:tab w:val="num" w:pos="1973"/>
        </w:tabs>
        <w:ind w:left="1973" w:hanging="360"/>
      </w:pPr>
      <w:rPr>
        <w:rFonts w:ascii="Symbol" w:hAnsi="Symbol" w:hint="default"/>
      </w:rPr>
    </w:lvl>
    <w:lvl w:ilvl="4" w:tplc="626AFFD4" w:tentative="1">
      <w:start w:val="1"/>
      <w:numFmt w:val="bullet"/>
      <w:lvlText w:val=""/>
      <w:lvlJc w:val="left"/>
      <w:pPr>
        <w:tabs>
          <w:tab w:val="num" w:pos="2693"/>
        </w:tabs>
        <w:ind w:left="2693" w:hanging="360"/>
      </w:pPr>
      <w:rPr>
        <w:rFonts w:ascii="Symbol" w:hAnsi="Symbol" w:hint="default"/>
      </w:rPr>
    </w:lvl>
    <w:lvl w:ilvl="5" w:tplc="26668B40" w:tentative="1">
      <w:start w:val="1"/>
      <w:numFmt w:val="bullet"/>
      <w:lvlText w:val=""/>
      <w:lvlJc w:val="left"/>
      <w:pPr>
        <w:tabs>
          <w:tab w:val="num" w:pos="3413"/>
        </w:tabs>
        <w:ind w:left="3413" w:hanging="360"/>
      </w:pPr>
      <w:rPr>
        <w:rFonts w:ascii="Symbol" w:hAnsi="Symbol" w:hint="default"/>
      </w:rPr>
    </w:lvl>
    <w:lvl w:ilvl="6" w:tplc="78CA58B6" w:tentative="1">
      <w:start w:val="1"/>
      <w:numFmt w:val="bullet"/>
      <w:lvlText w:val=""/>
      <w:lvlJc w:val="left"/>
      <w:pPr>
        <w:tabs>
          <w:tab w:val="num" w:pos="4133"/>
        </w:tabs>
        <w:ind w:left="4133" w:hanging="360"/>
      </w:pPr>
      <w:rPr>
        <w:rFonts w:ascii="Symbol" w:hAnsi="Symbol" w:hint="default"/>
      </w:rPr>
    </w:lvl>
    <w:lvl w:ilvl="7" w:tplc="AB627DB6" w:tentative="1">
      <w:start w:val="1"/>
      <w:numFmt w:val="bullet"/>
      <w:lvlText w:val=""/>
      <w:lvlJc w:val="left"/>
      <w:pPr>
        <w:tabs>
          <w:tab w:val="num" w:pos="4853"/>
        </w:tabs>
        <w:ind w:left="4853" w:hanging="360"/>
      </w:pPr>
      <w:rPr>
        <w:rFonts w:ascii="Symbol" w:hAnsi="Symbol" w:hint="default"/>
      </w:rPr>
    </w:lvl>
    <w:lvl w:ilvl="8" w:tplc="0C8E1606" w:tentative="1">
      <w:start w:val="1"/>
      <w:numFmt w:val="bullet"/>
      <w:lvlText w:val=""/>
      <w:lvlJc w:val="left"/>
      <w:pPr>
        <w:tabs>
          <w:tab w:val="num" w:pos="5573"/>
        </w:tabs>
        <w:ind w:left="5573" w:hanging="360"/>
      </w:pPr>
      <w:rPr>
        <w:rFonts w:ascii="Symbol" w:hAnsi="Symbol" w:hint="default"/>
      </w:rPr>
    </w:lvl>
  </w:abstractNum>
  <w:abstractNum w:abstractNumId="22" w15:restartNumberingAfterBreak="0">
    <w:nsid w:val="4F301AF7"/>
    <w:multiLevelType w:val="hybridMultilevel"/>
    <w:tmpl w:val="40462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B200D6"/>
    <w:multiLevelType w:val="hybridMultilevel"/>
    <w:tmpl w:val="5BA89BA8"/>
    <w:lvl w:ilvl="0" w:tplc="28464BA4">
      <w:start w:val="1"/>
      <w:numFmt w:val="bullet"/>
      <w:lvlText w:val=""/>
      <w:lvlJc w:val="left"/>
      <w:pPr>
        <w:tabs>
          <w:tab w:val="num" w:pos="-187"/>
        </w:tabs>
        <w:ind w:left="-187" w:hanging="360"/>
      </w:pPr>
      <w:rPr>
        <w:rFonts w:ascii="Symbol" w:hAnsi="Symbol" w:hint="default"/>
      </w:rPr>
    </w:lvl>
    <w:lvl w:ilvl="1" w:tplc="5A249272" w:tentative="1">
      <w:start w:val="1"/>
      <w:numFmt w:val="bullet"/>
      <w:lvlText w:val=""/>
      <w:lvlJc w:val="left"/>
      <w:pPr>
        <w:tabs>
          <w:tab w:val="num" w:pos="533"/>
        </w:tabs>
        <w:ind w:left="533" w:hanging="360"/>
      </w:pPr>
      <w:rPr>
        <w:rFonts w:ascii="Symbol" w:hAnsi="Symbol" w:hint="default"/>
      </w:rPr>
    </w:lvl>
    <w:lvl w:ilvl="2" w:tplc="BD30822A" w:tentative="1">
      <w:start w:val="1"/>
      <w:numFmt w:val="bullet"/>
      <w:lvlText w:val=""/>
      <w:lvlJc w:val="left"/>
      <w:pPr>
        <w:tabs>
          <w:tab w:val="num" w:pos="1253"/>
        </w:tabs>
        <w:ind w:left="1253" w:hanging="360"/>
      </w:pPr>
      <w:rPr>
        <w:rFonts w:ascii="Symbol" w:hAnsi="Symbol" w:hint="default"/>
      </w:rPr>
    </w:lvl>
    <w:lvl w:ilvl="3" w:tplc="0FAA4692" w:tentative="1">
      <w:start w:val="1"/>
      <w:numFmt w:val="bullet"/>
      <w:lvlText w:val=""/>
      <w:lvlJc w:val="left"/>
      <w:pPr>
        <w:tabs>
          <w:tab w:val="num" w:pos="1973"/>
        </w:tabs>
        <w:ind w:left="1973" w:hanging="360"/>
      </w:pPr>
      <w:rPr>
        <w:rFonts w:ascii="Symbol" w:hAnsi="Symbol" w:hint="default"/>
      </w:rPr>
    </w:lvl>
    <w:lvl w:ilvl="4" w:tplc="9F889D36" w:tentative="1">
      <w:start w:val="1"/>
      <w:numFmt w:val="bullet"/>
      <w:lvlText w:val=""/>
      <w:lvlJc w:val="left"/>
      <w:pPr>
        <w:tabs>
          <w:tab w:val="num" w:pos="2693"/>
        </w:tabs>
        <w:ind w:left="2693" w:hanging="360"/>
      </w:pPr>
      <w:rPr>
        <w:rFonts w:ascii="Symbol" w:hAnsi="Symbol" w:hint="default"/>
      </w:rPr>
    </w:lvl>
    <w:lvl w:ilvl="5" w:tplc="B2C82E96" w:tentative="1">
      <w:start w:val="1"/>
      <w:numFmt w:val="bullet"/>
      <w:lvlText w:val=""/>
      <w:lvlJc w:val="left"/>
      <w:pPr>
        <w:tabs>
          <w:tab w:val="num" w:pos="3413"/>
        </w:tabs>
        <w:ind w:left="3413" w:hanging="360"/>
      </w:pPr>
      <w:rPr>
        <w:rFonts w:ascii="Symbol" w:hAnsi="Symbol" w:hint="default"/>
      </w:rPr>
    </w:lvl>
    <w:lvl w:ilvl="6" w:tplc="A43646C4" w:tentative="1">
      <w:start w:val="1"/>
      <w:numFmt w:val="bullet"/>
      <w:lvlText w:val=""/>
      <w:lvlJc w:val="left"/>
      <w:pPr>
        <w:tabs>
          <w:tab w:val="num" w:pos="4133"/>
        </w:tabs>
        <w:ind w:left="4133" w:hanging="360"/>
      </w:pPr>
      <w:rPr>
        <w:rFonts w:ascii="Symbol" w:hAnsi="Symbol" w:hint="default"/>
      </w:rPr>
    </w:lvl>
    <w:lvl w:ilvl="7" w:tplc="231E9242" w:tentative="1">
      <w:start w:val="1"/>
      <w:numFmt w:val="bullet"/>
      <w:lvlText w:val=""/>
      <w:lvlJc w:val="left"/>
      <w:pPr>
        <w:tabs>
          <w:tab w:val="num" w:pos="4853"/>
        </w:tabs>
        <w:ind w:left="4853" w:hanging="360"/>
      </w:pPr>
      <w:rPr>
        <w:rFonts w:ascii="Symbol" w:hAnsi="Symbol" w:hint="default"/>
      </w:rPr>
    </w:lvl>
    <w:lvl w:ilvl="8" w:tplc="83EA0EAA" w:tentative="1">
      <w:start w:val="1"/>
      <w:numFmt w:val="bullet"/>
      <w:lvlText w:val=""/>
      <w:lvlJc w:val="left"/>
      <w:pPr>
        <w:tabs>
          <w:tab w:val="num" w:pos="5573"/>
        </w:tabs>
        <w:ind w:left="5573" w:hanging="360"/>
      </w:pPr>
      <w:rPr>
        <w:rFonts w:ascii="Symbol" w:hAnsi="Symbol" w:hint="default"/>
      </w:rPr>
    </w:lvl>
  </w:abstractNum>
  <w:abstractNum w:abstractNumId="24" w15:restartNumberingAfterBreak="0">
    <w:nsid w:val="5B5A51E3"/>
    <w:multiLevelType w:val="hybridMultilevel"/>
    <w:tmpl w:val="8C202AF0"/>
    <w:lvl w:ilvl="0" w:tplc="96A261D4">
      <w:start w:val="1"/>
      <w:numFmt w:val="bullet"/>
      <w:lvlText w:val=""/>
      <w:lvlJc w:val="left"/>
      <w:pPr>
        <w:tabs>
          <w:tab w:val="num" w:pos="496"/>
        </w:tabs>
        <w:ind w:left="496" w:hanging="360"/>
      </w:pPr>
      <w:rPr>
        <w:rFonts w:ascii="Symbol" w:hAnsi="Symbol" w:hint="default"/>
      </w:rPr>
    </w:lvl>
    <w:lvl w:ilvl="1" w:tplc="7FEE7406" w:tentative="1">
      <w:start w:val="1"/>
      <w:numFmt w:val="bullet"/>
      <w:lvlText w:val=""/>
      <w:lvlJc w:val="left"/>
      <w:pPr>
        <w:tabs>
          <w:tab w:val="num" w:pos="1216"/>
        </w:tabs>
        <w:ind w:left="1216" w:hanging="360"/>
      </w:pPr>
      <w:rPr>
        <w:rFonts w:ascii="Symbol" w:hAnsi="Symbol" w:hint="default"/>
      </w:rPr>
    </w:lvl>
    <w:lvl w:ilvl="2" w:tplc="9EF22580" w:tentative="1">
      <w:start w:val="1"/>
      <w:numFmt w:val="bullet"/>
      <w:lvlText w:val=""/>
      <w:lvlJc w:val="left"/>
      <w:pPr>
        <w:tabs>
          <w:tab w:val="num" w:pos="1936"/>
        </w:tabs>
        <w:ind w:left="1936" w:hanging="360"/>
      </w:pPr>
      <w:rPr>
        <w:rFonts w:ascii="Symbol" w:hAnsi="Symbol" w:hint="default"/>
      </w:rPr>
    </w:lvl>
    <w:lvl w:ilvl="3" w:tplc="F564BB3C" w:tentative="1">
      <w:start w:val="1"/>
      <w:numFmt w:val="bullet"/>
      <w:lvlText w:val=""/>
      <w:lvlJc w:val="left"/>
      <w:pPr>
        <w:tabs>
          <w:tab w:val="num" w:pos="2656"/>
        </w:tabs>
        <w:ind w:left="2656" w:hanging="360"/>
      </w:pPr>
      <w:rPr>
        <w:rFonts w:ascii="Symbol" w:hAnsi="Symbol" w:hint="default"/>
      </w:rPr>
    </w:lvl>
    <w:lvl w:ilvl="4" w:tplc="94A85D0C" w:tentative="1">
      <w:start w:val="1"/>
      <w:numFmt w:val="bullet"/>
      <w:lvlText w:val=""/>
      <w:lvlJc w:val="left"/>
      <w:pPr>
        <w:tabs>
          <w:tab w:val="num" w:pos="3376"/>
        </w:tabs>
        <w:ind w:left="3376" w:hanging="360"/>
      </w:pPr>
      <w:rPr>
        <w:rFonts w:ascii="Symbol" w:hAnsi="Symbol" w:hint="default"/>
      </w:rPr>
    </w:lvl>
    <w:lvl w:ilvl="5" w:tplc="FFCA8F06" w:tentative="1">
      <w:start w:val="1"/>
      <w:numFmt w:val="bullet"/>
      <w:lvlText w:val=""/>
      <w:lvlJc w:val="left"/>
      <w:pPr>
        <w:tabs>
          <w:tab w:val="num" w:pos="4096"/>
        </w:tabs>
        <w:ind w:left="4096" w:hanging="360"/>
      </w:pPr>
      <w:rPr>
        <w:rFonts w:ascii="Symbol" w:hAnsi="Symbol" w:hint="default"/>
      </w:rPr>
    </w:lvl>
    <w:lvl w:ilvl="6" w:tplc="3E6E5BB6" w:tentative="1">
      <w:start w:val="1"/>
      <w:numFmt w:val="bullet"/>
      <w:lvlText w:val=""/>
      <w:lvlJc w:val="left"/>
      <w:pPr>
        <w:tabs>
          <w:tab w:val="num" w:pos="4816"/>
        </w:tabs>
        <w:ind w:left="4816" w:hanging="360"/>
      </w:pPr>
      <w:rPr>
        <w:rFonts w:ascii="Symbol" w:hAnsi="Symbol" w:hint="default"/>
      </w:rPr>
    </w:lvl>
    <w:lvl w:ilvl="7" w:tplc="AC245310" w:tentative="1">
      <w:start w:val="1"/>
      <w:numFmt w:val="bullet"/>
      <w:lvlText w:val=""/>
      <w:lvlJc w:val="left"/>
      <w:pPr>
        <w:tabs>
          <w:tab w:val="num" w:pos="5536"/>
        </w:tabs>
        <w:ind w:left="5536" w:hanging="360"/>
      </w:pPr>
      <w:rPr>
        <w:rFonts w:ascii="Symbol" w:hAnsi="Symbol" w:hint="default"/>
      </w:rPr>
    </w:lvl>
    <w:lvl w:ilvl="8" w:tplc="F66C15CE" w:tentative="1">
      <w:start w:val="1"/>
      <w:numFmt w:val="bullet"/>
      <w:lvlText w:val=""/>
      <w:lvlJc w:val="left"/>
      <w:pPr>
        <w:tabs>
          <w:tab w:val="num" w:pos="6256"/>
        </w:tabs>
        <w:ind w:left="6256" w:hanging="360"/>
      </w:pPr>
      <w:rPr>
        <w:rFonts w:ascii="Symbol" w:hAnsi="Symbol" w:hint="default"/>
      </w:rPr>
    </w:lvl>
  </w:abstractNum>
  <w:abstractNum w:abstractNumId="25" w15:restartNumberingAfterBreak="0">
    <w:nsid w:val="6CDD3B21"/>
    <w:multiLevelType w:val="hybridMultilevel"/>
    <w:tmpl w:val="3340A4D2"/>
    <w:lvl w:ilvl="0" w:tplc="97DA343E">
      <w:start w:val="1"/>
      <w:numFmt w:val="bullet"/>
      <w:lvlText w:val=""/>
      <w:lvlJc w:val="left"/>
      <w:pPr>
        <w:tabs>
          <w:tab w:val="num" w:pos="-187"/>
        </w:tabs>
        <w:ind w:left="-187" w:hanging="360"/>
      </w:pPr>
      <w:rPr>
        <w:rFonts w:ascii="Symbol" w:hAnsi="Symbol" w:hint="default"/>
      </w:rPr>
    </w:lvl>
    <w:lvl w:ilvl="1" w:tplc="B17A1C32" w:tentative="1">
      <w:start w:val="1"/>
      <w:numFmt w:val="bullet"/>
      <w:lvlText w:val=""/>
      <w:lvlJc w:val="left"/>
      <w:pPr>
        <w:tabs>
          <w:tab w:val="num" w:pos="533"/>
        </w:tabs>
        <w:ind w:left="533" w:hanging="360"/>
      </w:pPr>
      <w:rPr>
        <w:rFonts w:ascii="Symbol" w:hAnsi="Symbol" w:hint="default"/>
      </w:rPr>
    </w:lvl>
    <w:lvl w:ilvl="2" w:tplc="146CCF9C" w:tentative="1">
      <w:start w:val="1"/>
      <w:numFmt w:val="bullet"/>
      <w:lvlText w:val=""/>
      <w:lvlJc w:val="left"/>
      <w:pPr>
        <w:tabs>
          <w:tab w:val="num" w:pos="1253"/>
        </w:tabs>
        <w:ind w:left="1253" w:hanging="360"/>
      </w:pPr>
      <w:rPr>
        <w:rFonts w:ascii="Symbol" w:hAnsi="Symbol" w:hint="default"/>
      </w:rPr>
    </w:lvl>
    <w:lvl w:ilvl="3" w:tplc="2A36C2EA" w:tentative="1">
      <w:start w:val="1"/>
      <w:numFmt w:val="bullet"/>
      <w:lvlText w:val=""/>
      <w:lvlJc w:val="left"/>
      <w:pPr>
        <w:tabs>
          <w:tab w:val="num" w:pos="1973"/>
        </w:tabs>
        <w:ind w:left="1973" w:hanging="360"/>
      </w:pPr>
      <w:rPr>
        <w:rFonts w:ascii="Symbol" w:hAnsi="Symbol" w:hint="default"/>
      </w:rPr>
    </w:lvl>
    <w:lvl w:ilvl="4" w:tplc="FC8E792C" w:tentative="1">
      <w:start w:val="1"/>
      <w:numFmt w:val="bullet"/>
      <w:lvlText w:val=""/>
      <w:lvlJc w:val="left"/>
      <w:pPr>
        <w:tabs>
          <w:tab w:val="num" w:pos="2693"/>
        </w:tabs>
        <w:ind w:left="2693" w:hanging="360"/>
      </w:pPr>
      <w:rPr>
        <w:rFonts w:ascii="Symbol" w:hAnsi="Symbol" w:hint="default"/>
      </w:rPr>
    </w:lvl>
    <w:lvl w:ilvl="5" w:tplc="FD1E22A8" w:tentative="1">
      <w:start w:val="1"/>
      <w:numFmt w:val="bullet"/>
      <w:lvlText w:val=""/>
      <w:lvlJc w:val="left"/>
      <w:pPr>
        <w:tabs>
          <w:tab w:val="num" w:pos="3413"/>
        </w:tabs>
        <w:ind w:left="3413" w:hanging="360"/>
      </w:pPr>
      <w:rPr>
        <w:rFonts w:ascii="Symbol" w:hAnsi="Symbol" w:hint="default"/>
      </w:rPr>
    </w:lvl>
    <w:lvl w:ilvl="6" w:tplc="DE88B738" w:tentative="1">
      <w:start w:val="1"/>
      <w:numFmt w:val="bullet"/>
      <w:lvlText w:val=""/>
      <w:lvlJc w:val="left"/>
      <w:pPr>
        <w:tabs>
          <w:tab w:val="num" w:pos="4133"/>
        </w:tabs>
        <w:ind w:left="4133" w:hanging="360"/>
      </w:pPr>
      <w:rPr>
        <w:rFonts w:ascii="Symbol" w:hAnsi="Symbol" w:hint="default"/>
      </w:rPr>
    </w:lvl>
    <w:lvl w:ilvl="7" w:tplc="74F2DC14" w:tentative="1">
      <w:start w:val="1"/>
      <w:numFmt w:val="bullet"/>
      <w:lvlText w:val=""/>
      <w:lvlJc w:val="left"/>
      <w:pPr>
        <w:tabs>
          <w:tab w:val="num" w:pos="4853"/>
        </w:tabs>
        <w:ind w:left="4853" w:hanging="360"/>
      </w:pPr>
      <w:rPr>
        <w:rFonts w:ascii="Symbol" w:hAnsi="Symbol" w:hint="default"/>
      </w:rPr>
    </w:lvl>
    <w:lvl w:ilvl="8" w:tplc="7994C7D8" w:tentative="1">
      <w:start w:val="1"/>
      <w:numFmt w:val="bullet"/>
      <w:lvlText w:val=""/>
      <w:lvlJc w:val="left"/>
      <w:pPr>
        <w:tabs>
          <w:tab w:val="num" w:pos="5573"/>
        </w:tabs>
        <w:ind w:left="5573" w:hanging="360"/>
      </w:pPr>
      <w:rPr>
        <w:rFonts w:ascii="Symbol" w:hAnsi="Symbol" w:hint="default"/>
      </w:rPr>
    </w:lvl>
  </w:abstractNum>
  <w:abstractNum w:abstractNumId="26" w15:restartNumberingAfterBreak="0">
    <w:nsid w:val="71436766"/>
    <w:multiLevelType w:val="hybridMultilevel"/>
    <w:tmpl w:val="E8047CF2"/>
    <w:lvl w:ilvl="0" w:tplc="C78CB91A">
      <w:start w:val="1"/>
      <w:numFmt w:val="bullet"/>
      <w:lvlText w:val=""/>
      <w:lvlJc w:val="left"/>
      <w:pPr>
        <w:tabs>
          <w:tab w:val="num" w:pos="-187"/>
        </w:tabs>
        <w:ind w:left="-187" w:hanging="360"/>
      </w:pPr>
      <w:rPr>
        <w:rFonts w:ascii="Symbol" w:hAnsi="Symbol" w:hint="default"/>
      </w:rPr>
    </w:lvl>
    <w:lvl w:ilvl="1" w:tplc="A4108D7C" w:tentative="1">
      <w:start w:val="1"/>
      <w:numFmt w:val="bullet"/>
      <w:lvlText w:val=""/>
      <w:lvlJc w:val="left"/>
      <w:pPr>
        <w:tabs>
          <w:tab w:val="num" w:pos="533"/>
        </w:tabs>
        <w:ind w:left="533" w:hanging="360"/>
      </w:pPr>
      <w:rPr>
        <w:rFonts w:ascii="Symbol" w:hAnsi="Symbol" w:hint="default"/>
      </w:rPr>
    </w:lvl>
    <w:lvl w:ilvl="2" w:tplc="46BC097A" w:tentative="1">
      <w:start w:val="1"/>
      <w:numFmt w:val="bullet"/>
      <w:lvlText w:val=""/>
      <w:lvlJc w:val="left"/>
      <w:pPr>
        <w:tabs>
          <w:tab w:val="num" w:pos="1253"/>
        </w:tabs>
        <w:ind w:left="1253" w:hanging="360"/>
      </w:pPr>
      <w:rPr>
        <w:rFonts w:ascii="Symbol" w:hAnsi="Symbol" w:hint="default"/>
      </w:rPr>
    </w:lvl>
    <w:lvl w:ilvl="3" w:tplc="F6DE6F02" w:tentative="1">
      <w:start w:val="1"/>
      <w:numFmt w:val="bullet"/>
      <w:lvlText w:val=""/>
      <w:lvlJc w:val="left"/>
      <w:pPr>
        <w:tabs>
          <w:tab w:val="num" w:pos="1973"/>
        </w:tabs>
        <w:ind w:left="1973" w:hanging="360"/>
      </w:pPr>
      <w:rPr>
        <w:rFonts w:ascii="Symbol" w:hAnsi="Symbol" w:hint="default"/>
      </w:rPr>
    </w:lvl>
    <w:lvl w:ilvl="4" w:tplc="39D4E38A" w:tentative="1">
      <w:start w:val="1"/>
      <w:numFmt w:val="bullet"/>
      <w:lvlText w:val=""/>
      <w:lvlJc w:val="left"/>
      <w:pPr>
        <w:tabs>
          <w:tab w:val="num" w:pos="2693"/>
        </w:tabs>
        <w:ind w:left="2693" w:hanging="360"/>
      </w:pPr>
      <w:rPr>
        <w:rFonts w:ascii="Symbol" w:hAnsi="Symbol" w:hint="default"/>
      </w:rPr>
    </w:lvl>
    <w:lvl w:ilvl="5" w:tplc="B8842D60" w:tentative="1">
      <w:start w:val="1"/>
      <w:numFmt w:val="bullet"/>
      <w:lvlText w:val=""/>
      <w:lvlJc w:val="left"/>
      <w:pPr>
        <w:tabs>
          <w:tab w:val="num" w:pos="3413"/>
        </w:tabs>
        <w:ind w:left="3413" w:hanging="360"/>
      </w:pPr>
      <w:rPr>
        <w:rFonts w:ascii="Symbol" w:hAnsi="Symbol" w:hint="default"/>
      </w:rPr>
    </w:lvl>
    <w:lvl w:ilvl="6" w:tplc="19764898" w:tentative="1">
      <w:start w:val="1"/>
      <w:numFmt w:val="bullet"/>
      <w:lvlText w:val=""/>
      <w:lvlJc w:val="left"/>
      <w:pPr>
        <w:tabs>
          <w:tab w:val="num" w:pos="4133"/>
        </w:tabs>
        <w:ind w:left="4133" w:hanging="360"/>
      </w:pPr>
      <w:rPr>
        <w:rFonts w:ascii="Symbol" w:hAnsi="Symbol" w:hint="default"/>
      </w:rPr>
    </w:lvl>
    <w:lvl w:ilvl="7" w:tplc="75024920" w:tentative="1">
      <w:start w:val="1"/>
      <w:numFmt w:val="bullet"/>
      <w:lvlText w:val=""/>
      <w:lvlJc w:val="left"/>
      <w:pPr>
        <w:tabs>
          <w:tab w:val="num" w:pos="4853"/>
        </w:tabs>
        <w:ind w:left="4853" w:hanging="360"/>
      </w:pPr>
      <w:rPr>
        <w:rFonts w:ascii="Symbol" w:hAnsi="Symbol" w:hint="default"/>
      </w:rPr>
    </w:lvl>
    <w:lvl w:ilvl="8" w:tplc="D57CA030" w:tentative="1">
      <w:start w:val="1"/>
      <w:numFmt w:val="bullet"/>
      <w:lvlText w:val=""/>
      <w:lvlJc w:val="left"/>
      <w:pPr>
        <w:tabs>
          <w:tab w:val="num" w:pos="5573"/>
        </w:tabs>
        <w:ind w:left="5573" w:hanging="360"/>
      </w:pPr>
      <w:rPr>
        <w:rFonts w:ascii="Symbol" w:hAnsi="Symbol" w:hint="default"/>
      </w:rPr>
    </w:lvl>
  </w:abstractNum>
  <w:abstractNum w:abstractNumId="27" w15:restartNumberingAfterBreak="0">
    <w:nsid w:val="724D3489"/>
    <w:multiLevelType w:val="hybridMultilevel"/>
    <w:tmpl w:val="5D1A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CB4B63"/>
    <w:multiLevelType w:val="hybridMultilevel"/>
    <w:tmpl w:val="CE6EE8C6"/>
    <w:lvl w:ilvl="0" w:tplc="BB960880">
      <w:start w:val="1"/>
      <w:numFmt w:val="bullet"/>
      <w:lvlText w:val=""/>
      <w:lvlJc w:val="left"/>
      <w:pPr>
        <w:tabs>
          <w:tab w:val="num" w:pos="328"/>
        </w:tabs>
        <w:ind w:left="328" w:hanging="360"/>
      </w:pPr>
      <w:rPr>
        <w:rFonts w:ascii="Symbol" w:hAnsi="Symbol" w:hint="default"/>
      </w:rPr>
    </w:lvl>
    <w:lvl w:ilvl="1" w:tplc="71C4E468" w:tentative="1">
      <w:start w:val="1"/>
      <w:numFmt w:val="bullet"/>
      <w:lvlText w:val=""/>
      <w:lvlJc w:val="left"/>
      <w:pPr>
        <w:tabs>
          <w:tab w:val="num" w:pos="1048"/>
        </w:tabs>
        <w:ind w:left="1048" w:hanging="360"/>
      </w:pPr>
      <w:rPr>
        <w:rFonts w:ascii="Symbol" w:hAnsi="Symbol" w:hint="default"/>
      </w:rPr>
    </w:lvl>
    <w:lvl w:ilvl="2" w:tplc="E812BDFC" w:tentative="1">
      <w:start w:val="1"/>
      <w:numFmt w:val="bullet"/>
      <w:lvlText w:val=""/>
      <w:lvlJc w:val="left"/>
      <w:pPr>
        <w:tabs>
          <w:tab w:val="num" w:pos="1768"/>
        </w:tabs>
        <w:ind w:left="1768" w:hanging="360"/>
      </w:pPr>
      <w:rPr>
        <w:rFonts w:ascii="Symbol" w:hAnsi="Symbol" w:hint="default"/>
      </w:rPr>
    </w:lvl>
    <w:lvl w:ilvl="3" w:tplc="0B24C4C6" w:tentative="1">
      <w:start w:val="1"/>
      <w:numFmt w:val="bullet"/>
      <w:lvlText w:val=""/>
      <w:lvlJc w:val="left"/>
      <w:pPr>
        <w:tabs>
          <w:tab w:val="num" w:pos="2488"/>
        </w:tabs>
        <w:ind w:left="2488" w:hanging="360"/>
      </w:pPr>
      <w:rPr>
        <w:rFonts w:ascii="Symbol" w:hAnsi="Symbol" w:hint="default"/>
      </w:rPr>
    </w:lvl>
    <w:lvl w:ilvl="4" w:tplc="603C5C2C" w:tentative="1">
      <w:start w:val="1"/>
      <w:numFmt w:val="bullet"/>
      <w:lvlText w:val=""/>
      <w:lvlJc w:val="left"/>
      <w:pPr>
        <w:tabs>
          <w:tab w:val="num" w:pos="3208"/>
        </w:tabs>
        <w:ind w:left="3208" w:hanging="360"/>
      </w:pPr>
      <w:rPr>
        <w:rFonts w:ascii="Symbol" w:hAnsi="Symbol" w:hint="default"/>
      </w:rPr>
    </w:lvl>
    <w:lvl w:ilvl="5" w:tplc="725A6C88" w:tentative="1">
      <w:start w:val="1"/>
      <w:numFmt w:val="bullet"/>
      <w:lvlText w:val=""/>
      <w:lvlJc w:val="left"/>
      <w:pPr>
        <w:tabs>
          <w:tab w:val="num" w:pos="3928"/>
        </w:tabs>
        <w:ind w:left="3928" w:hanging="360"/>
      </w:pPr>
      <w:rPr>
        <w:rFonts w:ascii="Symbol" w:hAnsi="Symbol" w:hint="default"/>
      </w:rPr>
    </w:lvl>
    <w:lvl w:ilvl="6" w:tplc="2FA2C25E" w:tentative="1">
      <w:start w:val="1"/>
      <w:numFmt w:val="bullet"/>
      <w:lvlText w:val=""/>
      <w:lvlJc w:val="left"/>
      <w:pPr>
        <w:tabs>
          <w:tab w:val="num" w:pos="4648"/>
        </w:tabs>
        <w:ind w:left="4648" w:hanging="360"/>
      </w:pPr>
      <w:rPr>
        <w:rFonts w:ascii="Symbol" w:hAnsi="Symbol" w:hint="default"/>
      </w:rPr>
    </w:lvl>
    <w:lvl w:ilvl="7" w:tplc="295C2A60" w:tentative="1">
      <w:start w:val="1"/>
      <w:numFmt w:val="bullet"/>
      <w:lvlText w:val=""/>
      <w:lvlJc w:val="left"/>
      <w:pPr>
        <w:tabs>
          <w:tab w:val="num" w:pos="5368"/>
        </w:tabs>
        <w:ind w:left="5368" w:hanging="360"/>
      </w:pPr>
      <w:rPr>
        <w:rFonts w:ascii="Symbol" w:hAnsi="Symbol" w:hint="default"/>
      </w:rPr>
    </w:lvl>
    <w:lvl w:ilvl="8" w:tplc="0650922C" w:tentative="1">
      <w:start w:val="1"/>
      <w:numFmt w:val="bullet"/>
      <w:lvlText w:val=""/>
      <w:lvlJc w:val="left"/>
      <w:pPr>
        <w:tabs>
          <w:tab w:val="num" w:pos="6088"/>
        </w:tabs>
        <w:ind w:left="6088" w:hanging="360"/>
      </w:pPr>
      <w:rPr>
        <w:rFonts w:ascii="Symbol" w:hAnsi="Symbol" w:hint="default"/>
      </w:rPr>
    </w:lvl>
  </w:abstractNum>
  <w:num w:numId="1">
    <w:abstractNumId w:val="8"/>
  </w:num>
  <w:num w:numId="2">
    <w:abstractNumId w:val="7"/>
  </w:num>
  <w:num w:numId="3">
    <w:abstractNumId w:val="6"/>
  </w:num>
  <w:num w:numId="4">
    <w:abstractNumId w:val="5"/>
  </w:num>
  <w:num w:numId="5">
    <w:abstractNumId w:val="4"/>
  </w:num>
  <w:num w:numId="6">
    <w:abstractNumId w:val="20"/>
  </w:num>
  <w:num w:numId="7">
    <w:abstractNumId w:val="3"/>
  </w:num>
  <w:num w:numId="8">
    <w:abstractNumId w:val="2"/>
  </w:num>
  <w:num w:numId="9">
    <w:abstractNumId w:val="1"/>
  </w:num>
  <w:num w:numId="10">
    <w:abstractNumId w:val="0"/>
  </w:num>
  <w:num w:numId="11">
    <w:abstractNumId w:val="12"/>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1"/>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num>
  <w:num w:numId="21">
    <w:abstractNumId w:val="15"/>
  </w:num>
  <w:num w:numId="22">
    <w:abstractNumId w:val="23"/>
  </w:num>
  <w:num w:numId="23">
    <w:abstractNumId w:val="17"/>
  </w:num>
  <w:num w:numId="24">
    <w:abstractNumId w:val="21"/>
  </w:num>
  <w:num w:numId="25">
    <w:abstractNumId w:val="28"/>
  </w:num>
  <w:num w:numId="26">
    <w:abstractNumId w:val="25"/>
  </w:num>
  <w:num w:numId="27">
    <w:abstractNumId w:val="13"/>
  </w:num>
  <w:num w:numId="28">
    <w:abstractNumId w:val="16"/>
  </w:num>
  <w:num w:numId="29">
    <w:abstractNumId w:val="18"/>
  </w:num>
  <w:num w:numId="30">
    <w:abstractNumId w:val="19"/>
  </w:num>
  <w:num w:numId="31">
    <w:abstractNumId w:val="26"/>
  </w:num>
  <w:num w:numId="32">
    <w:abstractNumId w:val="24"/>
  </w:num>
  <w:num w:numId="33">
    <w:abstractNumId w:val="10"/>
  </w:num>
  <w:num w:numId="34">
    <w:abstractNumId w:val="27"/>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41"/>
    <w:rsid w:val="000221AC"/>
    <w:rsid w:val="00034F35"/>
    <w:rsid w:val="000444C0"/>
    <w:rsid w:val="000552A9"/>
    <w:rsid w:val="00080805"/>
    <w:rsid w:val="00087FD8"/>
    <w:rsid w:val="000D1710"/>
    <w:rsid w:val="000E1FF7"/>
    <w:rsid w:val="000F0D5C"/>
    <w:rsid w:val="00103E71"/>
    <w:rsid w:val="00106B6E"/>
    <w:rsid w:val="0011344A"/>
    <w:rsid w:val="00113933"/>
    <w:rsid w:val="001241F4"/>
    <w:rsid w:val="0014017A"/>
    <w:rsid w:val="0016281C"/>
    <w:rsid w:val="00172B13"/>
    <w:rsid w:val="00186EDE"/>
    <w:rsid w:val="001A3D7E"/>
    <w:rsid w:val="001C3440"/>
    <w:rsid w:val="001C6909"/>
    <w:rsid w:val="001F3D53"/>
    <w:rsid w:val="0021516C"/>
    <w:rsid w:val="00224B11"/>
    <w:rsid w:val="00244BB6"/>
    <w:rsid w:val="00246FF7"/>
    <w:rsid w:val="00254CE2"/>
    <w:rsid w:val="0027399B"/>
    <w:rsid w:val="00281427"/>
    <w:rsid w:val="002856DE"/>
    <w:rsid w:val="002A4889"/>
    <w:rsid w:val="002B0956"/>
    <w:rsid w:val="002D6BF8"/>
    <w:rsid w:val="002E112F"/>
    <w:rsid w:val="0030692D"/>
    <w:rsid w:val="003B3612"/>
    <w:rsid w:val="003B6559"/>
    <w:rsid w:val="003C52CD"/>
    <w:rsid w:val="003C56CE"/>
    <w:rsid w:val="004577A9"/>
    <w:rsid w:val="004B04BF"/>
    <w:rsid w:val="00504B6B"/>
    <w:rsid w:val="00510CDF"/>
    <w:rsid w:val="00516192"/>
    <w:rsid w:val="00523DE4"/>
    <w:rsid w:val="00524EDA"/>
    <w:rsid w:val="00534D4A"/>
    <w:rsid w:val="0055406D"/>
    <w:rsid w:val="005662C6"/>
    <w:rsid w:val="00570BC3"/>
    <w:rsid w:val="005806C1"/>
    <w:rsid w:val="005D41AF"/>
    <w:rsid w:val="005D6E20"/>
    <w:rsid w:val="005E4CF5"/>
    <w:rsid w:val="0061299F"/>
    <w:rsid w:val="00630977"/>
    <w:rsid w:val="0064622F"/>
    <w:rsid w:val="00660473"/>
    <w:rsid w:val="00667CF9"/>
    <w:rsid w:val="0067577A"/>
    <w:rsid w:val="006B11BB"/>
    <w:rsid w:val="006B3373"/>
    <w:rsid w:val="006D4369"/>
    <w:rsid w:val="007230EF"/>
    <w:rsid w:val="007542A0"/>
    <w:rsid w:val="00780E7F"/>
    <w:rsid w:val="007B7DC2"/>
    <w:rsid w:val="007C57D8"/>
    <w:rsid w:val="007E047C"/>
    <w:rsid w:val="007F2E69"/>
    <w:rsid w:val="007F6E18"/>
    <w:rsid w:val="00802E21"/>
    <w:rsid w:val="00833395"/>
    <w:rsid w:val="00862C91"/>
    <w:rsid w:val="00871278"/>
    <w:rsid w:val="00876072"/>
    <w:rsid w:val="00885268"/>
    <w:rsid w:val="008C2BEE"/>
    <w:rsid w:val="008E6AE9"/>
    <w:rsid w:val="00900DEC"/>
    <w:rsid w:val="00947295"/>
    <w:rsid w:val="009539AC"/>
    <w:rsid w:val="009555C2"/>
    <w:rsid w:val="009611BE"/>
    <w:rsid w:val="0096605D"/>
    <w:rsid w:val="00981245"/>
    <w:rsid w:val="00991A82"/>
    <w:rsid w:val="00994709"/>
    <w:rsid w:val="009A120A"/>
    <w:rsid w:val="009A1A5D"/>
    <w:rsid w:val="009B7C41"/>
    <w:rsid w:val="009C7327"/>
    <w:rsid w:val="009E142E"/>
    <w:rsid w:val="00A11341"/>
    <w:rsid w:val="00A13EEA"/>
    <w:rsid w:val="00A31A7A"/>
    <w:rsid w:val="00AB508B"/>
    <w:rsid w:val="00AD18B5"/>
    <w:rsid w:val="00AF1E21"/>
    <w:rsid w:val="00B378E1"/>
    <w:rsid w:val="00B442E5"/>
    <w:rsid w:val="00BD795A"/>
    <w:rsid w:val="00BE7AED"/>
    <w:rsid w:val="00C4790F"/>
    <w:rsid w:val="00C62674"/>
    <w:rsid w:val="00C63AC1"/>
    <w:rsid w:val="00C71AE6"/>
    <w:rsid w:val="00C915C7"/>
    <w:rsid w:val="00C936D7"/>
    <w:rsid w:val="00C93CAA"/>
    <w:rsid w:val="00C94874"/>
    <w:rsid w:val="00C96BBA"/>
    <w:rsid w:val="00CB207C"/>
    <w:rsid w:val="00CB273B"/>
    <w:rsid w:val="00CB4716"/>
    <w:rsid w:val="00CC1798"/>
    <w:rsid w:val="00CC2151"/>
    <w:rsid w:val="00CD04AA"/>
    <w:rsid w:val="00CE0FD5"/>
    <w:rsid w:val="00D14E67"/>
    <w:rsid w:val="00D37523"/>
    <w:rsid w:val="00D84C95"/>
    <w:rsid w:val="00D928A4"/>
    <w:rsid w:val="00DC30ED"/>
    <w:rsid w:val="00DC7CBB"/>
    <w:rsid w:val="00DD0DDC"/>
    <w:rsid w:val="00E01307"/>
    <w:rsid w:val="00E02DFB"/>
    <w:rsid w:val="00E651A3"/>
    <w:rsid w:val="00E675CC"/>
    <w:rsid w:val="00E75EAF"/>
    <w:rsid w:val="00E971B0"/>
    <w:rsid w:val="00ED3F56"/>
    <w:rsid w:val="00EF7B67"/>
    <w:rsid w:val="00F00882"/>
    <w:rsid w:val="00F03D69"/>
    <w:rsid w:val="00F12F22"/>
    <w:rsid w:val="00F77DDF"/>
    <w:rsid w:val="00F8634A"/>
    <w:rsid w:val="00F86A73"/>
    <w:rsid w:val="00FC6811"/>
    <w:rsid w:val="00FD4951"/>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DD6A73"/>
  <w15:chartTrackingRefBased/>
  <w15:docId w15:val="{0AA73990-8F3A-4A9E-A59B-38FE1A52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qFormat="1"/>
    <w:lsdException w:name="List Number 3" w:uiPriority="14" w:qFormat="1"/>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956"/>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8634A"/>
    <w:pPr>
      <w:spacing w:after="200"/>
    </w:pPr>
    <w:rPr>
      <w:b/>
      <w:iCs/>
      <w:color w:val="auto"/>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semiHidden/>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qFormat/>
    <w:rsid w:val="00C93CAA"/>
    <w:pPr>
      <w:spacing w:after="50"/>
      <w:ind w:left="851"/>
    </w:pPr>
  </w:style>
  <w:style w:type="paragraph" w:styleId="ListContinue2">
    <w:name w:val="List Continue 2"/>
    <w:basedOn w:val="BodyText"/>
    <w:uiPriority w:val="16"/>
    <w:qFormat/>
    <w:rsid w:val="00C93CAA"/>
    <w:pPr>
      <w:spacing w:after="50"/>
      <w:ind w:left="1134"/>
    </w:pPr>
  </w:style>
  <w:style w:type="paragraph" w:styleId="ListContinue3">
    <w:name w:val="List Continue 3"/>
    <w:basedOn w:val="BodyText"/>
    <w:uiPriority w:val="16"/>
    <w:qFormat/>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qFormat/>
    <w:rsid w:val="0030692D"/>
    <w:pPr>
      <w:numPr>
        <w:numId w:val="13"/>
      </w:numPr>
      <w:spacing w:after="50"/>
    </w:pPr>
  </w:style>
  <w:style w:type="paragraph" w:styleId="ListNumber2">
    <w:name w:val="List Number 2"/>
    <w:basedOn w:val="BodyText"/>
    <w:uiPriority w:val="16"/>
    <w:qFormat/>
    <w:rsid w:val="0030692D"/>
    <w:pPr>
      <w:numPr>
        <w:ilvl w:val="1"/>
        <w:numId w:val="13"/>
      </w:numPr>
      <w:spacing w:after="50"/>
    </w:pPr>
  </w:style>
  <w:style w:type="paragraph" w:styleId="ListNumber3">
    <w:name w:val="List Number 3"/>
    <w:basedOn w:val="BodyText"/>
    <w:uiPriority w:val="16"/>
    <w:qFormat/>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21"/>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qFormat/>
    <w:rsid w:val="00CB207C"/>
    <w:rPr>
      <w:color w:val="41B6E6"/>
    </w:rPr>
  </w:style>
  <w:style w:type="paragraph" w:customStyle="1" w:styleId="IntroText">
    <w:name w:val="Intro Text"/>
    <w:basedOn w:val="BodyText"/>
    <w:next w:val="BodyText"/>
    <w:qForma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paragraph" w:styleId="NormalWeb">
    <w:name w:val="Normal (Web)"/>
    <w:basedOn w:val="Normal"/>
    <w:uiPriority w:val="99"/>
    <w:unhideWhenUsed/>
    <w:rsid w:val="000D1710"/>
    <w:pPr>
      <w:spacing w:before="100" w:beforeAutospacing="1" w:after="100" w:afterAutospacing="1"/>
    </w:pPr>
    <w:rPr>
      <w:rFonts w:ascii="Times" w:eastAsia="MS Mincho" w:hAnsi="Times" w:cs="Times New Roman"/>
      <w:color w:val="auto"/>
      <w:sz w:val="20"/>
      <w:szCs w:val="20"/>
    </w:rPr>
  </w:style>
  <w:style w:type="character" w:styleId="UnresolvedMention">
    <w:name w:val="Unresolved Mention"/>
    <w:basedOn w:val="DefaultParagraphFont"/>
    <w:uiPriority w:val="99"/>
    <w:semiHidden/>
    <w:unhideWhenUsed/>
    <w:rsid w:val="001F3D53"/>
    <w:rPr>
      <w:color w:val="605E5C"/>
      <w:shd w:val="clear" w:color="auto" w:fill="E1DFDD"/>
    </w:rPr>
  </w:style>
  <w:style w:type="character" w:styleId="CommentReference">
    <w:name w:val="annotation reference"/>
    <w:basedOn w:val="DefaultParagraphFont"/>
    <w:uiPriority w:val="99"/>
    <w:semiHidden/>
    <w:unhideWhenUsed/>
    <w:rsid w:val="003B3612"/>
    <w:rPr>
      <w:sz w:val="16"/>
      <w:szCs w:val="16"/>
    </w:rPr>
  </w:style>
  <w:style w:type="paragraph" w:styleId="CommentText">
    <w:name w:val="annotation text"/>
    <w:basedOn w:val="Normal"/>
    <w:link w:val="CommentTextChar"/>
    <w:uiPriority w:val="99"/>
    <w:semiHidden/>
    <w:unhideWhenUsed/>
    <w:rsid w:val="003B3612"/>
    <w:rPr>
      <w:sz w:val="20"/>
      <w:szCs w:val="20"/>
    </w:rPr>
  </w:style>
  <w:style w:type="character" w:customStyle="1" w:styleId="CommentTextChar">
    <w:name w:val="Comment Text Char"/>
    <w:basedOn w:val="DefaultParagraphFont"/>
    <w:link w:val="CommentText"/>
    <w:uiPriority w:val="99"/>
    <w:semiHidden/>
    <w:rsid w:val="003B3612"/>
    <w:rPr>
      <w:sz w:val="20"/>
      <w:szCs w:val="20"/>
    </w:rPr>
  </w:style>
  <w:style w:type="paragraph" w:styleId="CommentSubject">
    <w:name w:val="annotation subject"/>
    <w:basedOn w:val="CommentText"/>
    <w:next w:val="CommentText"/>
    <w:link w:val="CommentSubjectChar"/>
    <w:uiPriority w:val="99"/>
    <w:semiHidden/>
    <w:unhideWhenUsed/>
    <w:rsid w:val="003B3612"/>
    <w:rPr>
      <w:b/>
      <w:bCs/>
    </w:rPr>
  </w:style>
  <w:style w:type="character" w:customStyle="1" w:styleId="CommentSubjectChar">
    <w:name w:val="Comment Subject Char"/>
    <w:basedOn w:val="CommentTextChar"/>
    <w:link w:val="CommentSubject"/>
    <w:uiPriority w:val="99"/>
    <w:semiHidden/>
    <w:rsid w:val="003B36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ngland.nhs.uk/wp-content/uploads/2018/08/Congenital-Heart-Disease-Standards-Level-1-Specialist-Surgical-Centres-Adult.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future.nhs.uk/EJPT/view?objectId=102200517" TargetMode="External"/><Relationship Id="rId25"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yperlink" Target="https://renal.org/sites/renal.org/files/FINAL-Pregnancy-Guideline-September-201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image" Target="media/image4.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sg.org.uk/clinical-resource/standards-for-the-provision-of-antenatal-care-for-patients-with-inflammatory-bowel-disea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peu.ox.ac.uk/downloads/files/mbrrace-uk/reports/MBRRACE-UK%20Maternal%20Report%202018%20-%20Web%20Version.pdf" TargetMode="External"/><Relationship Id="rId22" Type="http://schemas.openxmlformats.org/officeDocument/2006/relationships/hyperlink" Target="https://b-s-h.org.uk/guidelines/?search=pregnancy"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england.nhs.uk/wp-content/uploads/2019/07/saving-babies-lives-care-bundle-version-two-v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onnelly6\AppData\Roaming\Microsoft\Templates\NHS%20Brief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75438A7A3A485C983EDD7EED37BEFA"/>
        <w:category>
          <w:name w:val="General"/>
          <w:gallery w:val="placeholder"/>
        </w:category>
        <w:types>
          <w:type w:val="bbPlcHdr"/>
        </w:types>
        <w:behaviors>
          <w:behavior w:val="content"/>
        </w:behaviors>
        <w:guid w:val="{B53DF753-0C56-47AA-832F-DA19F9F213EC}"/>
      </w:docPartPr>
      <w:docPartBody>
        <w:p w:rsidR="001A369A" w:rsidRDefault="001A369A">
          <w:pPr>
            <w:pStyle w:val="F275438A7A3A485C983EDD7EED37BEFA"/>
          </w:pPr>
          <w:r>
            <w:rPr>
              <w:rStyle w:val="PlaceholderText"/>
            </w:rPr>
            <w:t>Select protective marking</w:t>
          </w:r>
        </w:p>
      </w:docPartBody>
    </w:docPart>
    <w:docPart>
      <w:docPartPr>
        <w:name w:val="348EACFE42EA46A1A007A7951995AC1C"/>
        <w:category>
          <w:name w:val="General"/>
          <w:gallery w:val="placeholder"/>
        </w:category>
        <w:types>
          <w:type w:val="bbPlcHdr"/>
        </w:types>
        <w:behaviors>
          <w:behavior w:val="content"/>
        </w:behaviors>
        <w:guid w:val="{A2F36DD2-84A0-454B-9349-19E1B2461F22}"/>
      </w:docPartPr>
      <w:docPartBody>
        <w:p w:rsidR="001A369A" w:rsidRDefault="001A369A">
          <w:pPr>
            <w:pStyle w:val="348EACFE42EA46A1A007A7951995AC1C"/>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9A"/>
    <w:rsid w:val="001A3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F275438A7A3A485C983EDD7EED37BEFA">
    <w:name w:val="F275438A7A3A485C983EDD7EED37BEFA"/>
  </w:style>
  <w:style w:type="paragraph" w:customStyle="1" w:styleId="348EACFE42EA46A1A007A7951995AC1C">
    <w:name w:val="348EACFE42EA46A1A007A7951995AC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8815FB67CC44F9D697A17B377D451" ma:contentTypeVersion="48" ma:contentTypeDescription="Create a new document." ma:contentTypeScope="" ma:versionID="c7e895910b32867a40bba627eaea77a8">
  <xsd:schema xmlns:xsd="http://www.w3.org/2001/XMLSchema" xmlns:xs="http://www.w3.org/2001/XMLSchema" xmlns:p="http://schemas.microsoft.com/office/2006/metadata/properties" xmlns:ns1="http://schemas.microsoft.com/sharepoint/v3" xmlns:ns2="51bfcd92-eb3e-40f4-8778-2bbfb88a890b" xmlns:ns3="0b34e1cb-f82d-46b9-8a96-2b502c03ba0c" targetNamespace="http://schemas.microsoft.com/office/2006/metadata/properties" ma:root="true" ma:fieldsID="4fdf95a2b9b11652537e5dca4113fb72" ns1:_="" ns2:_="" ns3:_="">
    <xsd:import namespace="http://schemas.microsoft.com/sharepoint/v3"/>
    <xsd:import namespace="51bfcd92-eb3e-40f4-8778-2bbfb88a890b"/>
    <xsd:import namespace="0b34e1cb-f82d-46b9-8a96-2b502c03ba0c"/>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34e1cb-f82d-46b9-8a96-2b502c03ba0c"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_Flow_SignoffStatus" ma:index="13"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b34e1cb-f82d-46b9-8a96-2b502c03ba0c"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C8C5B-C17C-468F-8E74-FC680C576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bfcd92-eb3e-40f4-8778-2bbfb88a890b"/>
    <ds:schemaRef ds:uri="0b34e1cb-f82d-46b9-8a96-2b502c03b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3.xml><?xml version="1.0" encoding="utf-8"?>
<ds:datastoreItem xmlns:ds="http://schemas.openxmlformats.org/officeDocument/2006/customXml" ds:itemID="{E119A1D7-5EA6-4021-BF52-7C9D4AAB7A80}">
  <ds:schemaRefs>
    <ds:schemaRef ds:uri="http://schemas.microsoft.com/office/2006/metadata/properties"/>
    <ds:schemaRef ds:uri="http://schemas.microsoft.com/office/infopath/2007/PartnerControls"/>
    <ds:schemaRef ds:uri="http://schemas.microsoft.com/sharepoint/v3"/>
    <ds:schemaRef ds:uri="0b34e1cb-f82d-46b9-8a96-2b502c03ba0c"/>
  </ds:schemaRefs>
</ds:datastoreItem>
</file>

<file path=customXml/itemProps4.xml><?xml version="1.0" encoding="utf-8"?>
<ds:datastoreItem xmlns:ds="http://schemas.openxmlformats.org/officeDocument/2006/customXml" ds:itemID="{669DB420-D5CB-4F37-8ED0-0A0C49F3ED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NHS Briefing.dotx</Template>
  <TotalTime>1</TotalTime>
  <Pages>27</Pages>
  <Words>7019</Words>
  <Characters>40010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46936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Waterman</dc:creator>
  <cp:keywords/>
  <dc:description/>
  <cp:lastModifiedBy>Rebecca Wootton</cp:lastModifiedBy>
  <cp:revision>2</cp:revision>
  <dcterms:created xsi:type="dcterms:W3CDTF">2021-10-18T08:23:00Z</dcterms:created>
  <dcterms:modified xsi:type="dcterms:W3CDTF">2021-10-18T08:23:00Z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0x010100B248815FB67CC44F9D697A17B377D451</vt:lpwstr>
  </property>
</Properties>
</file>