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6EA5" w14:textId="26B3059E" w:rsidR="00AA043A" w:rsidRPr="00482370" w:rsidRDefault="00482370" w:rsidP="008366C7">
      <w:pPr>
        <w:pStyle w:val="Subtitle"/>
        <w:rPr>
          <w:rFonts w:eastAsiaTheme="majorEastAsia" w:cstheme="majorBidi"/>
          <w:color w:val="005EB8"/>
          <w:spacing w:val="-10"/>
          <w:kern w:val="28"/>
          <w:sz w:val="72"/>
          <w:szCs w:val="56"/>
        </w:rPr>
      </w:pPr>
      <w:r w:rsidRPr="00482370">
        <w:rPr>
          <w:rFonts w:eastAsiaTheme="majorEastAsia" w:cstheme="majorBidi"/>
          <w:color w:val="005EB8"/>
          <w:spacing w:val="-10"/>
          <w:kern w:val="28"/>
          <w:sz w:val="72"/>
          <w:szCs w:val="56"/>
        </w:rPr>
        <w:t>NHS Health and Wellbeing Strategic Overview</w:t>
      </w:r>
      <w:r>
        <w:rPr>
          <w:rFonts w:eastAsiaTheme="majorEastAsia" w:cstheme="majorBidi"/>
          <w:color w:val="005EB8"/>
          <w:spacing w:val="-10"/>
          <w:kern w:val="28"/>
          <w:sz w:val="72"/>
          <w:szCs w:val="56"/>
        </w:rPr>
        <w:t xml:space="preserve">                   </w:t>
      </w:r>
      <w:r w:rsidR="00D10167">
        <w:t>Creating a health and wellbeing culture</w:t>
      </w:r>
    </w:p>
    <w:p w14:paraId="77DE808E" w14:textId="77777777" w:rsidR="00AA043A" w:rsidRDefault="00AA043A" w:rsidP="00A33657"/>
    <w:p w14:paraId="1DC66E95" w14:textId="39832991" w:rsidR="00BF1CF0" w:rsidRDefault="00BF1CF0" w:rsidP="00A33657">
      <w:pPr>
        <w:sectPr w:rsidR="00BF1CF0" w:rsidSect="007D5D82">
          <w:headerReference w:type="default" r:id="rId11"/>
          <w:footerReference w:type="default" r:id="rId12"/>
          <w:pgSz w:w="11907" w:h="16840" w:code="9"/>
          <w:pgMar w:top="11057" w:right="567" w:bottom="1134" w:left="1247" w:header="720" w:footer="1020" w:gutter="0"/>
          <w:cols w:space="708"/>
          <w:docGrid w:linePitch="360"/>
        </w:sectPr>
      </w:pPr>
    </w:p>
    <w:sdt>
      <w:sdtPr>
        <w:rPr>
          <w:rFonts w:eastAsiaTheme="minorHAnsi" w:cstheme="minorBidi"/>
          <w:color w:val="231F20"/>
          <w:sz w:val="24"/>
          <w:szCs w:val="24"/>
        </w:rPr>
        <w:id w:val="-566262249"/>
        <w:docPartObj>
          <w:docPartGallery w:val="Table of Contents"/>
          <w:docPartUnique/>
        </w:docPartObj>
      </w:sdtPr>
      <w:sdtEndPr>
        <w:rPr>
          <w:b/>
          <w:bCs/>
          <w:noProof/>
        </w:rPr>
      </w:sdtEndPr>
      <w:sdtContent>
        <w:p w14:paraId="4D11911B" w14:textId="61860FFD" w:rsidR="00157799" w:rsidRDefault="00157799">
          <w:pPr>
            <w:pStyle w:val="TOCHeading"/>
          </w:pPr>
          <w:r>
            <w:t>Contents</w:t>
          </w:r>
        </w:p>
        <w:p w14:paraId="0D575480" w14:textId="389743F3" w:rsidR="00B1363E" w:rsidRDefault="00157799">
          <w:pPr>
            <w:pStyle w:val="TOC1"/>
            <w:tabs>
              <w:tab w:val="right" w:leader="dot" w:pos="8892"/>
            </w:tabs>
            <w:rPr>
              <w:rFonts w:asciiTheme="minorHAnsi" w:eastAsiaTheme="minorEastAsia" w:hAnsiTheme="minorHAnsi"/>
              <w:noProof/>
              <w:color w:val="auto"/>
              <w:sz w:val="22"/>
              <w:szCs w:val="22"/>
              <w:lang w:eastAsia="en-GB"/>
            </w:rPr>
          </w:pPr>
          <w:r>
            <w:fldChar w:fldCharType="begin"/>
          </w:r>
          <w:r>
            <w:instrText xml:space="preserve"> TOC \o "1-3" \h \z \u </w:instrText>
          </w:r>
          <w:r>
            <w:fldChar w:fldCharType="separate"/>
          </w:r>
          <w:hyperlink w:anchor="_Toc80378702" w:history="1">
            <w:r w:rsidR="00B1363E" w:rsidRPr="00514223">
              <w:rPr>
                <w:rStyle w:val="Hyperlink"/>
                <w:noProof/>
              </w:rPr>
              <w:t>1. Forewords and introduction</w:t>
            </w:r>
            <w:r w:rsidR="00B1363E">
              <w:rPr>
                <w:noProof/>
                <w:webHidden/>
              </w:rPr>
              <w:tab/>
            </w:r>
            <w:r w:rsidR="00B1363E">
              <w:rPr>
                <w:noProof/>
                <w:webHidden/>
              </w:rPr>
              <w:fldChar w:fldCharType="begin"/>
            </w:r>
            <w:r w:rsidR="00B1363E">
              <w:rPr>
                <w:noProof/>
                <w:webHidden/>
              </w:rPr>
              <w:instrText xml:space="preserve"> PAGEREF _Toc80378702 \h </w:instrText>
            </w:r>
            <w:r w:rsidR="00B1363E">
              <w:rPr>
                <w:noProof/>
                <w:webHidden/>
              </w:rPr>
            </w:r>
            <w:r w:rsidR="00B1363E">
              <w:rPr>
                <w:noProof/>
                <w:webHidden/>
              </w:rPr>
              <w:fldChar w:fldCharType="separate"/>
            </w:r>
            <w:r w:rsidR="00B1363E">
              <w:rPr>
                <w:noProof/>
                <w:webHidden/>
              </w:rPr>
              <w:t>3</w:t>
            </w:r>
            <w:r w:rsidR="00B1363E">
              <w:rPr>
                <w:noProof/>
                <w:webHidden/>
              </w:rPr>
              <w:fldChar w:fldCharType="end"/>
            </w:r>
          </w:hyperlink>
        </w:p>
        <w:p w14:paraId="6A515F3B" w14:textId="3CB4C225" w:rsidR="00B1363E" w:rsidRDefault="00B204CE">
          <w:pPr>
            <w:pStyle w:val="TOC2"/>
            <w:tabs>
              <w:tab w:val="left" w:pos="880"/>
              <w:tab w:val="right" w:leader="dot" w:pos="8892"/>
            </w:tabs>
            <w:rPr>
              <w:rFonts w:asciiTheme="minorHAnsi" w:eastAsiaTheme="minorEastAsia" w:hAnsiTheme="minorHAnsi"/>
              <w:noProof/>
              <w:color w:val="auto"/>
              <w:sz w:val="22"/>
              <w:szCs w:val="22"/>
              <w:lang w:eastAsia="en-GB"/>
            </w:rPr>
          </w:pPr>
          <w:hyperlink w:anchor="_Toc80378703" w:history="1">
            <w:r w:rsidR="00B1363E" w:rsidRPr="00514223">
              <w:rPr>
                <w:rStyle w:val="Hyperlink"/>
                <w:noProof/>
              </w:rPr>
              <w:t>1.1</w:t>
            </w:r>
            <w:r w:rsidR="00B1363E">
              <w:rPr>
                <w:rFonts w:asciiTheme="minorHAnsi" w:eastAsiaTheme="minorEastAsia" w:hAnsiTheme="minorHAnsi"/>
                <w:noProof/>
                <w:color w:val="auto"/>
                <w:sz w:val="22"/>
                <w:szCs w:val="22"/>
                <w:lang w:eastAsia="en-GB"/>
              </w:rPr>
              <w:tab/>
            </w:r>
            <w:r w:rsidR="00B1363E" w:rsidRPr="00514223">
              <w:rPr>
                <w:rStyle w:val="Hyperlink"/>
                <w:noProof/>
              </w:rPr>
              <w:t>Forewords</w:t>
            </w:r>
            <w:r w:rsidR="00B1363E">
              <w:rPr>
                <w:noProof/>
                <w:webHidden/>
              </w:rPr>
              <w:tab/>
            </w:r>
            <w:r w:rsidR="00B1363E">
              <w:rPr>
                <w:noProof/>
                <w:webHidden/>
              </w:rPr>
              <w:fldChar w:fldCharType="begin"/>
            </w:r>
            <w:r w:rsidR="00B1363E">
              <w:rPr>
                <w:noProof/>
                <w:webHidden/>
              </w:rPr>
              <w:instrText xml:space="preserve"> PAGEREF _Toc80378703 \h </w:instrText>
            </w:r>
            <w:r w:rsidR="00B1363E">
              <w:rPr>
                <w:noProof/>
                <w:webHidden/>
              </w:rPr>
            </w:r>
            <w:r w:rsidR="00B1363E">
              <w:rPr>
                <w:noProof/>
                <w:webHidden/>
              </w:rPr>
              <w:fldChar w:fldCharType="separate"/>
            </w:r>
            <w:r w:rsidR="00B1363E">
              <w:rPr>
                <w:noProof/>
                <w:webHidden/>
              </w:rPr>
              <w:t>3</w:t>
            </w:r>
            <w:r w:rsidR="00B1363E">
              <w:rPr>
                <w:noProof/>
                <w:webHidden/>
              </w:rPr>
              <w:fldChar w:fldCharType="end"/>
            </w:r>
          </w:hyperlink>
        </w:p>
        <w:p w14:paraId="4EBF4522" w14:textId="7FC9A512" w:rsidR="00B1363E" w:rsidRDefault="00B204CE">
          <w:pPr>
            <w:pStyle w:val="TOC2"/>
            <w:tabs>
              <w:tab w:val="left" w:pos="880"/>
              <w:tab w:val="right" w:leader="dot" w:pos="8892"/>
            </w:tabs>
            <w:rPr>
              <w:rFonts w:asciiTheme="minorHAnsi" w:eastAsiaTheme="minorEastAsia" w:hAnsiTheme="minorHAnsi"/>
              <w:noProof/>
              <w:color w:val="auto"/>
              <w:sz w:val="22"/>
              <w:szCs w:val="22"/>
              <w:lang w:eastAsia="en-GB"/>
            </w:rPr>
          </w:pPr>
          <w:hyperlink w:anchor="_Toc80378704" w:history="1">
            <w:r w:rsidR="00B1363E" w:rsidRPr="00514223">
              <w:rPr>
                <w:rStyle w:val="Hyperlink"/>
                <w:noProof/>
              </w:rPr>
              <w:t>1.2</w:t>
            </w:r>
            <w:r w:rsidR="00B1363E">
              <w:rPr>
                <w:rFonts w:asciiTheme="minorHAnsi" w:eastAsiaTheme="minorEastAsia" w:hAnsiTheme="minorHAnsi"/>
                <w:noProof/>
                <w:color w:val="auto"/>
                <w:sz w:val="22"/>
                <w:szCs w:val="22"/>
                <w:lang w:eastAsia="en-GB"/>
              </w:rPr>
              <w:tab/>
            </w:r>
            <w:r w:rsidR="00B1363E" w:rsidRPr="00514223">
              <w:rPr>
                <w:rStyle w:val="Hyperlink"/>
                <w:noProof/>
              </w:rPr>
              <w:t>Introduction</w:t>
            </w:r>
            <w:r w:rsidR="00B1363E">
              <w:rPr>
                <w:noProof/>
                <w:webHidden/>
              </w:rPr>
              <w:tab/>
            </w:r>
            <w:r w:rsidR="00B1363E">
              <w:rPr>
                <w:noProof/>
                <w:webHidden/>
              </w:rPr>
              <w:fldChar w:fldCharType="begin"/>
            </w:r>
            <w:r w:rsidR="00B1363E">
              <w:rPr>
                <w:noProof/>
                <w:webHidden/>
              </w:rPr>
              <w:instrText xml:space="preserve"> PAGEREF _Toc80378704 \h </w:instrText>
            </w:r>
            <w:r w:rsidR="00B1363E">
              <w:rPr>
                <w:noProof/>
                <w:webHidden/>
              </w:rPr>
            </w:r>
            <w:r w:rsidR="00B1363E">
              <w:rPr>
                <w:noProof/>
                <w:webHidden/>
              </w:rPr>
              <w:fldChar w:fldCharType="separate"/>
            </w:r>
            <w:r w:rsidR="00B1363E">
              <w:rPr>
                <w:noProof/>
                <w:webHidden/>
              </w:rPr>
              <w:t>6</w:t>
            </w:r>
            <w:r w:rsidR="00B1363E">
              <w:rPr>
                <w:noProof/>
                <w:webHidden/>
              </w:rPr>
              <w:fldChar w:fldCharType="end"/>
            </w:r>
          </w:hyperlink>
        </w:p>
        <w:p w14:paraId="1ACBF601" w14:textId="1A4B7D6C" w:rsidR="00B1363E" w:rsidRDefault="00B204CE">
          <w:pPr>
            <w:pStyle w:val="TOC1"/>
            <w:tabs>
              <w:tab w:val="right" w:leader="dot" w:pos="8892"/>
            </w:tabs>
            <w:rPr>
              <w:rFonts w:asciiTheme="minorHAnsi" w:eastAsiaTheme="minorEastAsia" w:hAnsiTheme="minorHAnsi"/>
              <w:noProof/>
              <w:color w:val="auto"/>
              <w:sz w:val="22"/>
              <w:szCs w:val="22"/>
              <w:lang w:eastAsia="en-GB"/>
            </w:rPr>
          </w:pPr>
          <w:hyperlink w:anchor="_Toc80378705" w:history="1">
            <w:r w:rsidR="00B1363E" w:rsidRPr="00514223">
              <w:rPr>
                <w:rStyle w:val="Hyperlink"/>
                <w:noProof/>
              </w:rPr>
              <w:t>2. Overview of the resources</w:t>
            </w:r>
            <w:r w:rsidR="00B1363E">
              <w:rPr>
                <w:noProof/>
                <w:webHidden/>
              </w:rPr>
              <w:tab/>
            </w:r>
            <w:r w:rsidR="00B1363E">
              <w:rPr>
                <w:noProof/>
                <w:webHidden/>
              </w:rPr>
              <w:fldChar w:fldCharType="begin"/>
            </w:r>
            <w:r w:rsidR="00B1363E">
              <w:rPr>
                <w:noProof/>
                <w:webHidden/>
              </w:rPr>
              <w:instrText xml:space="preserve"> PAGEREF _Toc80378705 \h </w:instrText>
            </w:r>
            <w:r w:rsidR="00B1363E">
              <w:rPr>
                <w:noProof/>
                <w:webHidden/>
              </w:rPr>
            </w:r>
            <w:r w:rsidR="00B1363E">
              <w:rPr>
                <w:noProof/>
                <w:webHidden/>
              </w:rPr>
              <w:fldChar w:fldCharType="separate"/>
            </w:r>
            <w:r w:rsidR="00B1363E">
              <w:rPr>
                <w:noProof/>
                <w:webHidden/>
              </w:rPr>
              <w:t>10</w:t>
            </w:r>
            <w:r w:rsidR="00B1363E">
              <w:rPr>
                <w:noProof/>
                <w:webHidden/>
              </w:rPr>
              <w:fldChar w:fldCharType="end"/>
            </w:r>
          </w:hyperlink>
        </w:p>
        <w:p w14:paraId="1DA9573D" w14:textId="0405EF57" w:rsidR="00B1363E" w:rsidRDefault="00B204CE">
          <w:pPr>
            <w:pStyle w:val="TOC2"/>
            <w:tabs>
              <w:tab w:val="left" w:pos="880"/>
              <w:tab w:val="right" w:leader="dot" w:pos="8892"/>
            </w:tabs>
            <w:rPr>
              <w:rFonts w:asciiTheme="minorHAnsi" w:eastAsiaTheme="minorEastAsia" w:hAnsiTheme="minorHAnsi"/>
              <w:noProof/>
              <w:color w:val="auto"/>
              <w:sz w:val="22"/>
              <w:szCs w:val="22"/>
              <w:lang w:eastAsia="en-GB"/>
            </w:rPr>
          </w:pPr>
          <w:hyperlink w:anchor="_Toc80378706" w:history="1">
            <w:r w:rsidR="00B1363E" w:rsidRPr="00514223">
              <w:rPr>
                <w:rStyle w:val="Hyperlink"/>
                <w:noProof/>
              </w:rPr>
              <w:t xml:space="preserve">2.1 </w:t>
            </w:r>
            <w:r w:rsidR="00B1363E">
              <w:rPr>
                <w:rFonts w:asciiTheme="minorHAnsi" w:eastAsiaTheme="minorEastAsia" w:hAnsiTheme="minorHAnsi"/>
                <w:noProof/>
                <w:color w:val="auto"/>
                <w:sz w:val="22"/>
                <w:szCs w:val="22"/>
                <w:lang w:eastAsia="en-GB"/>
              </w:rPr>
              <w:tab/>
            </w:r>
            <w:r w:rsidR="00B1363E" w:rsidRPr="00514223">
              <w:rPr>
                <w:rStyle w:val="Hyperlink"/>
                <w:noProof/>
              </w:rPr>
              <w:t>The evolution of the Health and Wellbeing Framework</w:t>
            </w:r>
            <w:r w:rsidR="00B1363E">
              <w:rPr>
                <w:noProof/>
                <w:webHidden/>
              </w:rPr>
              <w:tab/>
            </w:r>
            <w:r w:rsidR="00B1363E">
              <w:rPr>
                <w:noProof/>
                <w:webHidden/>
              </w:rPr>
              <w:fldChar w:fldCharType="begin"/>
            </w:r>
            <w:r w:rsidR="00B1363E">
              <w:rPr>
                <w:noProof/>
                <w:webHidden/>
              </w:rPr>
              <w:instrText xml:space="preserve"> PAGEREF _Toc80378706 \h </w:instrText>
            </w:r>
            <w:r w:rsidR="00B1363E">
              <w:rPr>
                <w:noProof/>
                <w:webHidden/>
              </w:rPr>
            </w:r>
            <w:r w:rsidR="00B1363E">
              <w:rPr>
                <w:noProof/>
                <w:webHidden/>
              </w:rPr>
              <w:fldChar w:fldCharType="separate"/>
            </w:r>
            <w:r w:rsidR="00B1363E">
              <w:rPr>
                <w:noProof/>
                <w:webHidden/>
              </w:rPr>
              <w:t>10</w:t>
            </w:r>
            <w:r w:rsidR="00B1363E">
              <w:rPr>
                <w:noProof/>
                <w:webHidden/>
              </w:rPr>
              <w:fldChar w:fldCharType="end"/>
            </w:r>
          </w:hyperlink>
        </w:p>
        <w:p w14:paraId="04846E98" w14:textId="197455A5" w:rsidR="00B1363E" w:rsidRDefault="00B204CE">
          <w:pPr>
            <w:pStyle w:val="TOC2"/>
            <w:tabs>
              <w:tab w:val="left" w:pos="880"/>
              <w:tab w:val="right" w:leader="dot" w:pos="8892"/>
            </w:tabs>
            <w:rPr>
              <w:rFonts w:asciiTheme="minorHAnsi" w:eastAsiaTheme="minorEastAsia" w:hAnsiTheme="minorHAnsi"/>
              <w:noProof/>
              <w:color w:val="auto"/>
              <w:sz w:val="22"/>
              <w:szCs w:val="22"/>
              <w:lang w:eastAsia="en-GB"/>
            </w:rPr>
          </w:pPr>
          <w:hyperlink w:anchor="_Toc80378707" w:history="1">
            <w:r w:rsidR="00B1363E" w:rsidRPr="00514223">
              <w:rPr>
                <w:rStyle w:val="Hyperlink"/>
                <w:noProof/>
              </w:rPr>
              <w:t>2.2</w:t>
            </w:r>
            <w:r w:rsidR="00B1363E">
              <w:rPr>
                <w:rFonts w:asciiTheme="minorHAnsi" w:eastAsiaTheme="minorEastAsia" w:hAnsiTheme="minorHAnsi"/>
                <w:noProof/>
                <w:color w:val="auto"/>
                <w:sz w:val="22"/>
                <w:szCs w:val="22"/>
                <w:lang w:eastAsia="en-GB"/>
              </w:rPr>
              <w:tab/>
            </w:r>
            <w:r w:rsidR="00B1363E" w:rsidRPr="00514223">
              <w:rPr>
                <w:rStyle w:val="Hyperlink"/>
                <w:noProof/>
              </w:rPr>
              <w:t>Introducing the NHS health and wellbeing model</w:t>
            </w:r>
            <w:r w:rsidR="00B1363E">
              <w:rPr>
                <w:noProof/>
                <w:webHidden/>
              </w:rPr>
              <w:tab/>
            </w:r>
            <w:r w:rsidR="00B1363E">
              <w:rPr>
                <w:noProof/>
                <w:webHidden/>
              </w:rPr>
              <w:fldChar w:fldCharType="begin"/>
            </w:r>
            <w:r w:rsidR="00B1363E">
              <w:rPr>
                <w:noProof/>
                <w:webHidden/>
              </w:rPr>
              <w:instrText xml:space="preserve"> PAGEREF _Toc80378707 \h </w:instrText>
            </w:r>
            <w:r w:rsidR="00B1363E">
              <w:rPr>
                <w:noProof/>
                <w:webHidden/>
              </w:rPr>
            </w:r>
            <w:r w:rsidR="00B1363E">
              <w:rPr>
                <w:noProof/>
                <w:webHidden/>
              </w:rPr>
              <w:fldChar w:fldCharType="separate"/>
            </w:r>
            <w:r w:rsidR="00B1363E">
              <w:rPr>
                <w:noProof/>
                <w:webHidden/>
              </w:rPr>
              <w:t>11</w:t>
            </w:r>
            <w:r w:rsidR="00B1363E">
              <w:rPr>
                <w:noProof/>
                <w:webHidden/>
              </w:rPr>
              <w:fldChar w:fldCharType="end"/>
            </w:r>
          </w:hyperlink>
        </w:p>
        <w:p w14:paraId="67936FDE" w14:textId="5B631446"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08" w:history="1">
            <w:r w:rsidR="00B1363E" w:rsidRPr="00514223">
              <w:rPr>
                <w:rStyle w:val="Hyperlink"/>
                <w:noProof/>
              </w:rPr>
              <w:t>Improving personal health and wellbeing</w:t>
            </w:r>
            <w:r w:rsidR="00B1363E">
              <w:rPr>
                <w:noProof/>
                <w:webHidden/>
              </w:rPr>
              <w:tab/>
            </w:r>
            <w:r w:rsidR="00B1363E">
              <w:rPr>
                <w:noProof/>
                <w:webHidden/>
              </w:rPr>
              <w:fldChar w:fldCharType="begin"/>
            </w:r>
            <w:r w:rsidR="00B1363E">
              <w:rPr>
                <w:noProof/>
                <w:webHidden/>
              </w:rPr>
              <w:instrText xml:space="preserve"> PAGEREF _Toc80378708 \h </w:instrText>
            </w:r>
            <w:r w:rsidR="00B1363E">
              <w:rPr>
                <w:noProof/>
                <w:webHidden/>
              </w:rPr>
            </w:r>
            <w:r w:rsidR="00B1363E">
              <w:rPr>
                <w:noProof/>
                <w:webHidden/>
              </w:rPr>
              <w:fldChar w:fldCharType="separate"/>
            </w:r>
            <w:r w:rsidR="00B1363E">
              <w:rPr>
                <w:noProof/>
                <w:webHidden/>
              </w:rPr>
              <w:t>11</w:t>
            </w:r>
            <w:r w:rsidR="00B1363E">
              <w:rPr>
                <w:noProof/>
                <w:webHidden/>
              </w:rPr>
              <w:fldChar w:fldCharType="end"/>
            </w:r>
          </w:hyperlink>
        </w:p>
        <w:p w14:paraId="1E378FC3" w14:textId="5CA3AF0A"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09" w:history="1">
            <w:r w:rsidR="00B1363E" w:rsidRPr="00514223">
              <w:rPr>
                <w:rStyle w:val="Hyperlink"/>
                <w:noProof/>
              </w:rPr>
              <w:t>Relationships</w:t>
            </w:r>
            <w:r w:rsidR="00B1363E">
              <w:rPr>
                <w:noProof/>
                <w:webHidden/>
              </w:rPr>
              <w:tab/>
            </w:r>
            <w:r w:rsidR="00B1363E">
              <w:rPr>
                <w:noProof/>
                <w:webHidden/>
              </w:rPr>
              <w:fldChar w:fldCharType="begin"/>
            </w:r>
            <w:r w:rsidR="00B1363E">
              <w:rPr>
                <w:noProof/>
                <w:webHidden/>
              </w:rPr>
              <w:instrText xml:space="preserve"> PAGEREF _Toc80378709 \h </w:instrText>
            </w:r>
            <w:r w:rsidR="00B1363E">
              <w:rPr>
                <w:noProof/>
                <w:webHidden/>
              </w:rPr>
            </w:r>
            <w:r w:rsidR="00B1363E">
              <w:rPr>
                <w:noProof/>
                <w:webHidden/>
              </w:rPr>
              <w:fldChar w:fldCharType="separate"/>
            </w:r>
            <w:r w:rsidR="00B1363E">
              <w:rPr>
                <w:noProof/>
                <w:webHidden/>
              </w:rPr>
              <w:t>13</w:t>
            </w:r>
            <w:r w:rsidR="00B1363E">
              <w:rPr>
                <w:noProof/>
                <w:webHidden/>
              </w:rPr>
              <w:fldChar w:fldCharType="end"/>
            </w:r>
          </w:hyperlink>
        </w:p>
        <w:p w14:paraId="5492E5D5" w14:textId="0FC3E39C"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10" w:history="1">
            <w:r w:rsidR="00B1363E" w:rsidRPr="00514223">
              <w:rPr>
                <w:rStyle w:val="Hyperlink"/>
                <w:noProof/>
              </w:rPr>
              <w:t>Fulfilment at work</w:t>
            </w:r>
            <w:r w:rsidR="00B1363E">
              <w:rPr>
                <w:noProof/>
                <w:webHidden/>
              </w:rPr>
              <w:tab/>
            </w:r>
            <w:r w:rsidR="00B1363E">
              <w:rPr>
                <w:noProof/>
                <w:webHidden/>
              </w:rPr>
              <w:fldChar w:fldCharType="begin"/>
            </w:r>
            <w:r w:rsidR="00B1363E">
              <w:rPr>
                <w:noProof/>
                <w:webHidden/>
              </w:rPr>
              <w:instrText xml:space="preserve"> PAGEREF _Toc80378710 \h </w:instrText>
            </w:r>
            <w:r w:rsidR="00B1363E">
              <w:rPr>
                <w:noProof/>
                <w:webHidden/>
              </w:rPr>
            </w:r>
            <w:r w:rsidR="00B1363E">
              <w:rPr>
                <w:noProof/>
                <w:webHidden/>
              </w:rPr>
              <w:fldChar w:fldCharType="separate"/>
            </w:r>
            <w:r w:rsidR="00B1363E">
              <w:rPr>
                <w:noProof/>
                <w:webHidden/>
              </w:rPr>
              <w:t>14</w:t>
            </w:r>
            <w:r w:rsidR="00B1363E">
              <w:rPr>
                <w:noProof/>
                <w:webHidden/>
              </w:rPr>
              <w:fldChar w:fldCharType="end"/>
            </w:r>
          </w:hyperlink>
        </w:p>
        <w:p w14:paraId="22880CD9" w14:textId="57196490"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11" w:history="1">
            <w:r w:rsidR="00B1363E" w:rsidRPr="00514223">
              <w:rPr>
                <w:rStyle w:val="Hyperlink"/>
                <w:noProof/>
              </w:rPr>
              <w:t>Managers and leaders</w:t>
            </w:r>
            <w:r w:rsidR="00B1363E">
              <w:rPr>
                <w:noProof/>
                <w:webHidden/>
              </w:rPr>
              <w:tab/>
            </w:r>
            <w:r w:rsidR="00B1363E">
              <w:rPr>
                <w:noProof/>
                <w:webHidden/>
              </w:rPr>
              <w:fldChar w:fldCharType="begin"/>
            </w:r>
            <w:r w:rsidR="00B1363E">
              <w:rPr>
                <w:noProof/>
                <w:webHidden/>
              </w:rPr>
              <w:instrText xml:space="preserve"> PAGEREF _Toc80378711 \h </w:instrText>
            </w:r>
            <w:r w:rsidR="00B1363E">
              <w:rPr>
                <w:noProof/>
                <w:webHidden/>
              </w:rPr>
            </w:r>
            <w:r w:rsidR="00B1363E">
              <w:rPr>
                <w:noProof/>
                <w:webHidden/>
              </w:rPr>
              <w:fldChar w:fldCharType="separate"/>
            </w:r>
            <w:r w:rsidR="00B1363E">
              <w:rPr>
                <w:noProof/>
                <w:webHidden/>
              </w:rPr>
              <w:t>15</w:t>
            </w:r>
            <w:r w:rsidR="00B1363E">
              <w:rPr>
                <w:noProof/>
                <w:webHidden/>
              </w:rPr>
              <w:fldChar w:fldCharType="end"/>
            </w:r>
          </w:hyperlink>
        </w:p>
        <w:p w14:paraId="5861ACF5" w14:textId="239E4972"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12" w:history="1">
            <w:r w:rsidR="00B1363E" w:rsidRPr="00514223">
              <w:rPr>
                <w:rStyle w:val="Hyperlink"/>
                <w:noProof/>
              </w:rPr>
              <w:t>Environment</w:t>
            </w:r>
            <w:r w:rsidR="00B1363E">
              <w:rPr>
                <w:noProof/>
                <w:webHidden/>
              </w:rPr>
              <w:tab/>
            </w:r>
            <w:r w:rsidR="00B1363E">
              <w:rPr>
                <w:noProof/>
                <w:webHidden/>
              </w:rPr>
              <w:fldChar w:fldCharType="begin"/>
            </w:r>
            <w:r w:rsidR="00B1363E">
              <w:rPr>
                <w:noProof/>
                <w:webHidden/>
              </w:rPr>
              <w:instrText xml:space="preserve"> PAGEREF _Toc80378712 \h </w:instrText>
            </w:r>
            <w:r w:rsidR="00B1363E">
              <w:rPr>
                <w:noProof/>
                <w:webHidden/>
              </w:rPr>
            </w:r>
            <w:r w:rsidR="00B1363E">
              <w:rPr>
                <w:noProof/>
                <w:webHidden/>
              </w:rPr>
              <w:fldChar w:fldCharType="separate"/>
            </w:r>
            <w:r w:rsidR="00B1363E">
              <w:rPr>
                <w:noProof/>
                <w:webHidden/>
              </w:rPr>
              <w:t>16</w:t>
            </w:r>
            <w:r w:rsidR="00B1363E">
              <w:rPr>
                <w:noProof/>
                <w:webHidden/>
              </w:rPr>
              <w:fldChar w:fldCharType="end"/>
            </w:r>
          </w:hyperlink>
        </w:p>
        <w:p w14:paraId="363521D3" w14:textId="09E36E3C"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13" w:history="1">
            <w:r w:rsidR="00B1363E" w:rsidRPr="00514223">
              <w:rPr>
                <w:rStyle w:val="Hyperlink"/>
                <w:noProof/>
              </w:rPr>
              <w:t>Data insights</w:t>
            </w:r>
            <w:r w:rsidR="00B1363E">
              <w:rPr>
                <w:noProof/>
                <w:webHidden/>
              </w:rPr>
              <w:tab/>
            </w:r>
            <w:r w:rsidR="00B1363E">
              <w:rPr>
                <w:noProof/>
                <w:webHidden/>
              </w:rPr>
              <w:fldChar w:fldCharType="begin"/>
            </w:r>
            <w:r w:rsidR="00B1363E">
              <w:rPr>
                <w:noProof/>
                <w:webHidden/>
              </w:rPr>
              <w:instrText xml:space="preserve"> PAGEREF _Toc80378713 \h </w:instrText>
            </w:r>
            <w:r w:rsidR="00B1363E">
              <w:rPr>
                <w:noProof/>
                <w:webHidden/>
              </w:rPr>
            </w:r>
            <w:r w:rsidR="00B1363E">
              <w:rPr>
                <w:noProof/>
                <w:webHidden/>
              </w:rPr>
              <w:fldChar w:fldCharType="separate"/>
            </w:r>
            <w:r w:rsidR="00B1363E">
              <w:rPr>
                <w:noProof/>
                <w:webHidden/>
              </w:rPr>
              <w:t>17</w:t>
            </w:r>
            <w:r w:rsidR="00B1363E">
              <w:rPr>
                <w:noProof/>
                <w:webHidden/>
              </w:rPr>
              <w:fldChar w:fldCharType="end"/>
            </w:r>
          </w:hyperlink>
        </w:p>
        <w:p w14:paraId="2F5F67EE" w14:textId="1A8C7272" w:rsidR="00B1363E" w:rsidRDefault="00B204CE">
          <w:pPr>
            <w:pStyle w:val="TOC3"/>
            <w:tabs>
              <w:tab w:val="right" w:leader="dot" w:pos="8892"/>
            </w:tabs>
            <w:rPr>
              <w:rFonts w:asciiTheme="minorHAnsi" w:eastAsiaTheme="minorEastAsia" w:hAnsiTheme="minorHAnsi"/>
              <w:noProof/>
              <w:color w:val="auto"/>
              <w:sz w:val="22"/>
              <w:szCs w:val="22"/>
              <w:lang w:eastAsia="en-GB"/>
            </w:rPr>
          </w:pPr>
          <w:hyperlink w:anchor="_Toc80378714" w:history="1">
            <w:r w:rsidR="00B1363E" w:rsidRPr="00514223">
              <w:rPr>
                <w:rStyle w:val="Hyperlink"/>
                <w:noProof/>
              </w:rPr>
              <w:t>Professional wellbeing support</w:t>
            </w:r>
            <w:r w:rsidR="00B1363E">
              <w:rPr>
                <w:noProof/>
                <w:webHidden/>
              </w:rPr>
              <w:tab/>
            </w:r>
            <w:r w:rsidR="00B1363E">
              <w:rPr>
                <w:noProof/>
                <w:webHidden/>
              </w:rPr>
              <w:fldChar w:fldCharType="begin"/>
            </w:r>
            <w:r w:rsidR="00B1363E">
              <w:rPr>
                <w:noProof/>
                <w:webHidden/>
              </w:rPr>
              <w:instrText xml:space="preserve"> PAGEREF _Toc80378714 \h </w:instrText>
            </w:r>
            <w:r w:rsidR="00B1363E">
              <w:rPr>
                <w:noProof/>
                <w:webHidden/>
              </w:rPr>
            </w:r>
            <w:r w:rsidR="00B1363E">
              <w:rPr>
                <w:noProof/>
                <w:webHidden/>
              </w:rPr>
              <w:fldChar w:fldCharType="separate"/>
            </w:r>
            <w:r w:rsidR="00B1363E">
              <w:rPr>
                <w:noProof/>
                <w:webHidden/>
              </w:rPr>
              <w:t>18</w:t>
            </w:r>
            <w:r w:rsidR="00B1363E">
              <w:rPr>
                <w:noProof/>
                <w:webHidden/>
              </w:rPr>
              <w:fldChar w:fldCharType="end"/>
            </w:r>
          </w:hyperlink>
        </w:p>
        <w:p w14:paraId="7A22EBDA" w14:textId="3A8C0ACA" w:rsidR="00B1363E" w:rsidRDefault="00B204CE">
          <w:pPr>
            <w:pStyle w:val="TOC1"/>
            <w:tabs>
              <w:tab w:val="left" w:pos="660"/>
              <w:tab w:val="right" w:leader="dot" w:pos="8892"/>
            </w:tabs>
            <w:rPr>
              <w:rFonts w:asciiTheme="minorHAnsi" w:eastAsiaTheme="minorEastAsia" w:hAnsiTheme="minorHAnsi"/>
              <w:noProof/>
              <w:color w:val="auto"/>
              <w:sz w:val="22"/>
              <w:szCs w:val="22"/>
              <w:lang w:eastAsia="en-GB"/>
            </w:rPr>
          </w:pPr>
          <w:hyperlink w:anchor="_Toc80378715" w:history="1">
            <w:r w:rsidR="00B1363E" w:rsidRPr="00514223">
              <w:rPr>
                <w:rStyle w:val="Hyperlink"/>
                <w:noProof/>
              </w:rPr>
              <w:t>3.</w:t>
            </w:r>
            <w:r w:rsidR="00B1363E">
              <w:rPr>
                <w:rFonts w:asciiTheme="minorHAnsi" w:eastAsiaTheme="minorEastAsia" w:hAnsiTheme="minorHAnsi"/>
                <w:noProof/>
                <w:color w:val="auto"/>
                <w:sz w:val="22"/>
                <w:szCs w:val="22"/>
                <w:lang w:eastAsia="en-GB"/>
              </w:rPr>
              <w:tab/>
            </w:r>
            <w:r w:rsidR="00B1363E" w:rsidRPr="00514223">
              <w:rPr>
                <w:rStyle w:val="Hyperlink"/>
                <w:noProof/>
              </w:rPr>
              <w:t>The tools and how to use them</w:t>
            </w:r>
            <w:r w:rsidR="00B1363E">
              <w:rPr>
                <w:noProof/>
                <w:webHidden/>
              </w:rPr>
              <w:tab/>
            </w:r>
            <w:r w:rsidR="00B1363E">
              <w:rPr>
                <w:noProof/>
                <w:webHidden/>
              </w:rPr>
              <w:fldChar w:fldCharType="begin"/>
            </w:r>
            <w:r w:rsidR="00B1363E">
              <w:rPr>
                <w:noProof/>
                <w:webHidden/>
              </w:rPr>
              <w:instrText xml:space="preserve"> PAGEREF _Toc80378715 \h </w:instrText>
            </w:r>
            <w:r w:rsidR="00B1363E">
              <w:rPr>
                <w:noProof/>
                <w:webHidden/>
              </w:rPr>
            </w:r>
            <w:r w:rsidR="00B1363E">
              <w:rPr>
                <w:noProof/>
                <w:webHidden/>
              </w:rPr>
              <w:fldChar w:fldCharType="separate"/>
            </w:r>
            <w:r w:rsidR="00B1363E">
              <w:rPr>
                <w:noProof/>
                <w:webHidden/>
              </w:rPr>
              <w:t>19</w:t>
            </w:r>
            <w:r w:rsidR="00B1363E">
              <w:rPr>
                <w:noProof/>
                <w:webHidden/>
              </w:rPr>
              <w:fldChar w:fldCharType="end"/>
            </w:r>
          </w:hyperlink>
        </w:p>
        <w:p w14:paraId="28BEF498" w14:textId="23EC14AD" w:rsidR="00B1363E" w:rsidRDefault="00B204CE">
          <w:pPr>
            <w:pStyle w:val="TOC2"/>
            <w:tabs>
              <w:tab w:val="left" w:pos="880"/>
              <w:tab w:val="right" w:leader="dot" w:pos="8892"/>
            </w:tabs>
            <w:rPr>
              <w:rFonts w:asciiTheme="minorHAnsi" w:eastAsiaTheme="minorEastAsia" w:hAnsiTheme="minorHAnsi"/>
              <w:noProof/>
              <w:color w:val="auto"/>
              <w:sz w:val="22"/>
              <w:szCs w:val="22"/>
              <w:lang w:eastAsia="en-GB"/>
            </w:rPr>
          </w:pPr>
          <w:hyperlink w:anchor="_Toc80378716" w:history="1">
            <w:r w:rsidR="00B1363E" w:rsidRPr="00514223">
              <w:rPr>
                <w:rStyle w:val="Hyperlink"/>
                <w:noProof/>
              </w:rPr>
              <w:t>3.1</w:t>
            </w:r>
            <w:r w:rsidR="00B1363E">
              <w:rPr>
                <w:rFonts w:asciiTheme="minorHAnsi" w:eastAsiaTheme="minorEastAsia" w:hAnsiTheme="minorHAnsi"/>
                <w:noProof/>
                <w:color w:val="auto"/>
                <w:sz w:val="22"/>
                <w:szCs w:val="22"/>
                <w:lang w:eastAsia="en-GB"/>
              </w:rPr>
              <w:tab/>
            </w:r>
            <w:r w:rsidR="00B1363E" w:rsidRPr="00514223">
              <w:rPr>
                <w:rStyle w:val="Hyperlink"/>
                <w:noProof/>
              </w:rPr>
              <w:t>How to use these health and wellbeing resources</w:t>
            </w:r>
            <w:r w:rsidR="00B1363E">
              <w:rPr>
                <w:noProof/>
                <w:webHidden/>
              </w:rPr>
              <w:tab/>
            </w:r>
            <w:r w:rsidR="00B1363E">
              <w:rPr>
                <w:noProof/>
                <w:webHidden/>
              </w:rPr>
              <w:fldChar w:fldCharType="begin"/>
            </w:r>
            <w:r w:rsidR="00B1363E">
              <w:rPr>
                <w:noProof/>
                <w:webHidden/>
              </w:rPr>
              <w:instrText xml:space="preserve"> PAGEREF _Toc80378716 \h </w:instrText>
            </w:r>
            <w:r w:rsidR="00B1363E">
              <w:rPr>
                <w:noProof/>
                <w:webHidden/>
              </w:rPr>
            </w:r>
            <w:r w:rsidR="00B1363E">
              <w:rPr>
                <w:noProof/>
                <w:webHidden/>
              </w:rPr>
              <w:fldChar w:fldCharType="separate"/>
            </w:r>
            <w:r w:rsidR="00B1363E">
              <w:rPr>
                <w:noProof/>
                <w:webHidden/>
              </w:rPr>
              <w:t>19</w:t>
            </w:r>
            <w:r w:rsidR="00B1363E">
              <w:rPr>
                <w:noProof/>
                <w:webHidden/>
              </w:rPr>
              <w:fldChar w:fldCharType="end"/>
            </w:r>
          </w:hyperlink>
        </w:p>
        <w:p w14:paraId="40BA425C" w14:textId="42C7D369" w:rsidR="00B1363E" w:rsidRDefault="00B204CE">
          <w:pPr>
            <w:pStyle w:val="TOC2"/>
            <w:tabs>
              <w:tab w:val="left" w:pos="880"/>
              <w:tab w:val="right" w:leader="dot" w:pos="8892"/>
            </w:tabs>
            <w:rPr>
              <w:rFonts w:asciiTheme="minorHAnsi" w:eastAsiaTheme="minorEastAsia" w:hAnsiTheme="minorHAnsi"/>
              <w:noProof/>
              <w:color w:val="auto"/>
              <w:sz w:val="22"/>
              <w:szCs w:val="22"/>
              <w:lang w:eastAsia="en-GB"/>
            </w:rPr>
          </w:pPr>
          <w:hyperlink w:anchor="_Toc80378717" w:history="1">
            <w:r w:rsidR="00B1363E" w:rsidRPr="00514223">
              <w:rPr>
                <w:rStyle w:val="Hyperlink"/>
                <w:noProof/>
              </w:rPr>
              <w:t>3.2</w:t>
            </w:r>
            <w:r w:rsidR="00B1363E">
              <w:rPr>
                <w:rFonts w:asciiTheme="minorHAnsi" w:eastAsiaTheme="minorEastAsia" w:hAnsiTheme="minorHAnsi"/>
                <w:noProof/>
                <w:color w:val="auto"/>
                <w:sz w:val="22"/>
                <w:szCs w:val="22"/>
                <w:lang w:eastAsia="en-GB"/>
              </w:rPr>
              <w:tab/>
            </w:r>
            <w:r w:rsidR="00B1363E" w:rsidRPr="00514223">
              <w:rPr>
                <w:rStyle w:val="Hyperlink"/>
                <w:noProof/>
              </w:rPr>
              <w:t>How to interpret data and insight</w:t>
            </w:r>
            <w:r w:rsidR="00B1363E">
              <w:rPr>
                <w:noProof/>
                <w:webHidden/>
              </w:rPr>
              <w:tab/>
            </w:r>
            <w:r w:rsidR="00B1363E">
              <w:rPr>
                <w:noProof/>
                <w:webHidden/>
              </w:rPr>
              <w:fldChar w:fldCharType="begin"/>
            </w:r>
            <w:r w:rsidR="00B1363E">
              <w:rPr>
                <w:noProof/>
                <w:webHidden/>
              </w:rPr>
              <w:instrText xml:space="preserve"> PAGEREF _Toc80378717 \h </w:instrText>
            </w:r>
            <w:r w:rsidR="00B1363E">
              <w:rPr>
                <w:noProof/>
                <w:webHidden/>
              </w:rPr>
            </w:r>
            <w:r w:rsidR="00B1363E">
              <w:rPr>
                <w:noProof/>
                <w:webHidden/>
              </w:rPr>
              <w:fldChar w:fldCharType="separate"/>
            </w:r>
            <w:r w:rsidR="00B1363E">
              <w:rPr>
                <w:noProof/>
                <w:webHidden/>
              </w:rPr>
              <w:t>22</w:t>
            </w:r>
            <w:r w:rsidR="00B1363E">
              <w:rPr>
                <w:noProof/>
                <w:webHidden/>
              </w:rPr>
              <w:fldChar w:fldCharType="end"/>
            </w:r>
          </w:hyperlink>
        </w:p>
        <w:p w14:paraId="4490A6C7" w14:textId="509AA094" w:rsidR="00B1363E" w:rsidRDefault="00B204CE">
          <w:pPr>
            <w:pStyle w:val="TOC1"/>
            <w:tabs>
              <w:tab w:val="left" w:pos="660"/>
              <w:tab w:val="right" w:leader="dot" w:pos="8892"/>
            </w:tabs>
            <w:rPr>
              <w:rFonts w:asciiTheme="minorHAnsi" w:eastAsiaTheme="minorEastAsia" w:hAnsiTheme="minorHAnsi"/>
              <w:noProof/>
              <w:color w:val="auto"/>
              <w:sz w:val="22"/>
              <w:szCs w:val="22"/>
              <w:lang w:eastAsia="en-GB"/>
            </w:rPr>
          </w:pPr>
          <w:hyperlink w:anchor="_Toc80378718" w:history="1">
            <w:r w:rsidR="00B1363E" w:rsidRPr="00514223">
              <w:rPr>
                <w:rStyle w:val="Hyperlink"/>
                <w:noProof/>
              </w:rPr>
              <w:t>4.</w:t>
            </w:r>
            <w:r w:rsidR="00B1363E">
              <w:rPr>
                <w:rFonts w:asciiTheme="minorHAnsi" w:eastAsiaTheme="minorEastAsia" w:hAnsiTheme="minorHAnsi"/>
                <w:noProof/>
                <w:color w:val="auto"/>
                <w:sz w:val="22"/>
                <w:szCs w:val="22"/>
                <w:lang w:eastAsia="en-GB"/>
              </w:rPr>
              <w:tab/>
            </w:r>
            <w:r w:rsidR="00B1363E" w:rsidRPr="00514223">
              <w:rPr>
                <w:rStyle w:val="Hyperlink"/>
                <w:noProof/>
              </w:rPr>
              <w:t>References</w:t>
            </w:r>
            <w:r w:rsidR="00B1363E">
              <w:rPr>
                <w:noProof/>
                <w:webHidden/>
              </w:rPr>
              <w:tab/>
            </w:r>
            <w:r w:rsidR="00B1363E">
              <w:rPr>
                <w:noProof/>
                <w:webHidden/>
              </w:rPr>
              <w:fldChar w:fldCharType="begin"/>
            </w:r>
            <w:r w:rsidR="00B1363E">
              <w:rPr>
                <w:noProof/>
                <w:webHidden/>
              </w:rPr>
              <w:instrText xml:space="preserve"> PAGEREF _Toc80378718 \h </w:instrText>
            </w:r>
            <w:r w:rsidR="00B1363E">
              <w:rPr>
                <w:noProof/>
                <w:webHidden/>
              </w:rPr>
            </w:r>
            <w:r w:rsidR="00B1363E">
              <w:rPr>
                <w:noProof/>
                <w:webHidden/>
              </w:rPr>
              <w:fldChar w:fldCharType="separate"/>
            </w:r>
            <w:r w:rsidR="00B1363E">
              <w:rPr>
                <w:noProof/>
                <w:webHidden/>
              </w:rPr>
              <w:t>23</w:t>
            </w:r>
            <w:r w:rsidR="00B1363E">
              <w:rPr>
                <w:noProof/>
                <w:webHidden/>
              </w:rPr>
              <w:fldChar w:fldCharType="end"/>
            </w:r>
          </w:hyperlink>
        </w:p>
        <w:p w14:paraId="35F887EF" w14:textId="7C5AF495" w:rsidR="00157799" w:rsidRDefault="00157799">
          <w:r>
            <w:rPr>
              <w:b/>
              <w:bCs/>
              <w:noProof/>
            </w:rPr>
            <w:fldChar w:fldCharType="end"/>
          </w:r>
        </w:p>
      </w:sdtContent>
    </w:sdt>
    <w:p w14:paraId="52A484B5" w14:textId="6E897542" w:rsidR="00A3272E" w:rsidRDefault="00A3272E" w:rsidP="004930E1"/>
    <w:p w14:paraId="2A64481C" w14:textId="0813544C" w:rsidR="00157799" w:rsidRDefault="00157799">
      <w:pPr>
        <w:spacing w:line="276" w:lineRule="auto"/>
      </w:pPr>
      <w:r>
        <w:br w:type="page"/>
      </w:r>
    </w:p>
    <w:p w14:paraId="3EF660FB" w14:textId="23C7D2EA" w:rsidR="00D53C4A" w:rsidRDefault="00157799" w:rsidP="00D53C4A">
      <w:pPr>
        <w:pStyle w:val="Heading1"/>
      </w:pPr>
      <w:bookmarkStart w:id="1" w:name="_Toc77345655"/>
      <w:bookmarkStart w:id="2" w:name="_Toc80378702"/>
      <w:r>
        <w:lastRenderedPageBreak/>
        <w:t>1.</w:t>
      </w:r>
      <w:r w:rsidR="00BF1CF0">
        <w:t xml:space="preserve"> </w:t>
      </w:r>
      <w:bookmarkEnd w:id="1"/>
      <w:r w:rsidR="00482370">
        <w:t>Forewords and introduction</w:t>
      </w:r>
      <w:bookmarkEnd w:id="2"/>
    </w:p>
    <w:p w14:paraId="3DCD7565" w14:textId="5410677C" w:rsidR="00482370" w:rsidRDefault="00482370" w:rsidP="00F62A58">
      <w:pPr>
        <w:pStyle w:val="Heading2"/>
        <w:numPr>
          <w:ilvl w:val="1"/>
          <w:numId w:val="8"/>
        </w:numPr>
      </w:pPr>
      <w:bookmarkStart w:id="3" w:name="_Toc80378703"/>
      <w:r>
        <w:t>Forewords</w:t>
      </w:r>
      <w:bookmarkEnd w:id="3"/>
    </w:p>
    <w:p w14:paraId="0571F8F0" w14:textId="7D782A71" w:rsidR="00482370" w:rsidRDefault="00482370" w:rsidP="00482370">
      <w:pPr>
        <w:pStyle w:val="Heading4"/>
      </w:pPr>
      <w:r>
        <w:t>Dame Carol Black, Chair of the NHS Expert Advisory Board on Employee Health and Wellbeing</w:t>
      </w:r>
    </w:p>
    <w:p w14:paraId="0A72AE0A" w14:textId="62F44495" w:rsidR="00195503" w:rsidRDefault="00195503" w:rsidP="00195503">
      <w:pPr>
        <w:pStyle w:val="BodyText"/>
        <w:numPr>
          <w:ilvl w:val="0"/>
          <w:numId w:val="0"/>
        </w:numPr>
      </w:pPr>
      <w:r>
        <w:t>Enabling our diverse NHS people to be healthy with a sense of wellbeing is crucial to high-quality patient care. Putting the health and wellbeing of NHS people first should be a fundamental part of the DNA of the Service, enabling our NHS people to put our patients first.</w:t>
      </w:r>
    </w:p>
    <w:p w14:paraId="4FF7EFE7" w14:textId="74670867" w:rsidR="00195503" w:rsidRDefault="00195503" w:rsidP="00195503">
      <w:pPr>
        <w:pStyle w:val="BodyText"/>
        <w:numPr>
          <w:ilvl w:val="0"/>
          <w:numId w:val="0"/>
        </w:numPr>
      </w:pPr>
      <w:r>
        <w:t>The revised Health and Wellbeing Framework and its resources build upon the original framework launched in 2018. The framework enabled organisations to understand the health and wellbeing of our people and introduce appropriate interventions. The emphasis then was on reduction of sickness absence. However, the pandemic has highlighted the need to think beyond sickness absence and to recognise presenteeism and embrace prevention.</w:t>
      </w:r>
    </w:p>
    <w:p w14:paraId="2FBA5AC5" w14:textId="5910342D" w:rsidR="00195503" w:rsidRDefault="00195503" w:rsidP="00195503">
      <w:pPr>
        <w:pStyle w:val="BodyText"/>
        <w:numPr>
          <w:ilvl w:val="0"/>
          <w:numId w:val="0"/>
        </w:numPr>
      </w:pPr>
      <w:r>
        <w:t>This revised framework targets the major factors which affect and could improve organisational health, namely management capabilities, job quality, social relationships at work, support for workers coping with health conditions or life stresses</w:t>
      </w:r>
      <w:r w:rsidR="006F6509">
        <w:t xml:space="preserve"> </w:t>
      </w:r>
      <w:r>
        <w:t>and promotion of workplace health. We have worked with NHS organisations, expert partners across academia, the voluntary sector, professional bodies, the military</w:t>
      </w:r>
      <w:r w:rsidR="006F6509">
        <w:t xml:space="preserve"> </w:t>
      </w:r>
      <w:r>
        <w:t>and government, to understand what ‘good’ looks like. Through this extensive engagement we have drawn upon an evidence base of best practice, research</w:t>
      </w:r>
      <w:r w:rsidR="006F6509">
        <w:t xml:space="preserve"> </w:t>
      </w:r>
      <w:r>
        <w:t>and insights, which will enable NHS organisations to mould their own wellbeing programmes to their particular local needs.</w:t>
      </w:r>
    </w:p>
    <w:p w14:paraId="02288AF8" w14:textId="6B938512" w:rsidR="00195503" w:rsidRDefault="00195503" w:rsidP="00195503">
      <w:pPr>
        <w:pStyle w:val="BodyText"/>
        <w:numPr>
          <w:ilvl w:val="0"/>
          <w:numId w:val="0"/>
        </w:numPr>
      </w:pPr>
      <w:r>
        <w:t>Organisations are at different points on the health and wellbeing journey and therefore these resources are designed to be used in a flexible way to meet individual institutional needs. They can be used to start, revise, or relaunch a wellbeing programme</w:t>
      </w:r>
      <w:r w:rsidR="006F6509">
        <w:t xml:space="preserve"> </w:t>
      </w:r>
      <w:r>
        <w:t>and be used either in total or in part depending on the starting point.</w:t>
      </w:r>
    </w:p>
    <w:p w14:paraId="1902F880" w14:textId="67C7FD32" w:rsidR="00195503" w:rsidRDefault="00195503" w:rsidP="005E4701">
      <w:pPr>
        <w:pStyle w:val="BodyText"/>
        <w:numPr>
          <w:ilvl w:val="0"/>
          <w:numId w:val="0"/>
        </w:numPr>
      </w:pPr>
      <w:r>
        <w:lastRenderedPageBreak/>
        <w:t>There is an emerging consensus around caring for our NHS people. We must act now and build a culture of health and wellbeing across the entire NHS. Doing this will most certainly enable a healthy workforce and support high-quality patient care</w:t>
      </w:r>
    </w:p>
    <w:p w14:paraId="17020457" w14:textId="77777777" w:rsidR="005E4701" w:rsidRDefault="005E4701" w:rsidP="00195503">
      <w:pPr>
        <w:pStyle w:val="Heading4"/>
      </w:pPr>
    </w:p>
    <w:p w14:paraId="712F0759" w14:textId="77777777" w:rsidR="00A25F55" w:rsidRDefault="00A25F55" w:rsidP="00195503">
      <w:pPr>
        <w:pStyle w:val="Heading4"/>
        <w:sectPr w:rsidR="00A25F55" w:rsidSect="00AD60EE">
          <w:headerReference w:type="default" r:id="rId13"/>
          <w:footerReference w:type="default" r:id="rId14"/>
          <w:pgSz w:w="11907" w:h="16840" w:code="9"/>
          <w:pgMar w:top="1985" w:right="1928" w:bottom="1247" w:left="1077" w:header="851" w:footer="510" w:gutter="0"/>
          <w:cols w:space="708"/>
          <w:docGrid w:linePitch="360"/>
        </w:sectPr>
      </w:pPr>
    </w:p>
    <w:p w14:paraId="0AC729DF" w14:textId="476B0F19" w:rsidR="00195503" w:rsidRDefault="00195503" w:rsidP="00195503">
      <w:pPr>
        <w:pStyle w:val="Heading4"/>
      </w:pPr>
      <w:r>
        <w:lastRenderedPageBreak/>
        <w:t>Prerana Issar, Chief People Officer</w:t>
      </w:r>
    </w:p>
    <w:p w14:paraId="572BD58E" w14:textId="6463C7AA" w:rsidR="005E4701" w:rsidRDefault="005E4701" w:rsidP="005E4701">
      <w:pPr>
        <w:pStyle w:val="BodyText"/>
        <w:numPr>
          <w:ilvl w:val="0"/>
          <w:numId w:val="0"/>
        </w:numPr>
      </w:pPr>
      <w:r>
        <w:t>Our NHS People Plan and People Promise places the wellbeing of our NHS people at the heart of what we do. Caring for the wellbeing of our NHS people enables them to care for the wellbeing of our patients. This framework flexibly supports NHS organisations to create a culture of wellbeing for our NHS people to thrive.</w:t>
      </w:r>
    </w:p>
    <w:p w14:paraId="62EF9EBF" w14:textId="5A7EFB91" w:rsidR="005E4701" w:rsidRDefault="005E4701" w:rsidP="005E4701">
      <w:pPr>
        <w:pStyle w:val="BodyText"/>
        <w:numPr>
          <w:ilvl w:val="0"/>
          <w:numId w:val="0"/>
        </w:numPr>
      </w:pPr>
      <w:r>
        <w:t>We have all experienced an extraordinary challenge, both professionally and personally, as a result of COVID-19. Our NHS people have demonstrated astounding commitment during this challenging time, yet this has come at the cost of personal wellbeing.</w:t>
      </w:r>
    </w:p>
    <w:p w14:paraId="5485DB57" w14:textId="6B458D6E" w:rsidR="005E4701" w:rsidRDefault="005E4701" w:rsidP="005E4701">
      <w:pPr>
        <w:pStyle w:val="BodyText"/>
        <w:numPr>
          <w:ilvl w:val="0"/>
          <w:numId w:val="0"/>
        </w:numPr>
      </w:pPr>
      <w:r>
        <w:t>We have learned a lot about how we enable the wellbeing of our NHS people over the past year. The evolution of the Health and Wellbeing Framework and suite of tools is a further step in ensuring we strengthen the health and wellbeing support for our NHS people during recovery and long term as we move our efforts toward creating a culture of wellbeing for all our NHS people to thrive.</w:t>
      </w:r>
    </w:p>
    <w:p w14:paraId="2F67F7F0" w14:textId="7053CFF8" w:rsidR="005E4701" w:rsidRDefault="005E4701" w:rsidP="005E4701">
      <w:pPr>
        <w:pStyle w:val="BodyText"/>
        <w:numPr>
          <w:ilvl w:val="0"/>
          <w:numId w:val="0"/>
        </w:numPr>
      </w:pPr>
      <w:r>
        <w:t>Health and wellbeing support has traditionally been focused on reducing sickness absence, particularly relating to mental and physical health. This framework has evolved to take account of the broader organisational and cultural factors that underpin an individual’s ability to bring their best self to work. Taking account of our diverse workforce, the impact that leadership and line management has to play</w:t>
      </w:r>
      <w:r w:rsidR="006F6509">
        <w:t xml:space="preserve"> </w:t>
      </w:r>
      <w:r>
        <w:t>and focusing on the prevention agenda will enable us to embed a culture of health and wellbeing across our healthcare organisations.</w:t>
      </w:r>
    </w:p>
    <w:p w14:paraId="2177FBC9" w14:textId="41B300D5" w:rsidR="00A16D1F" w:rsidRDefault="005E4701" w:rsidP="00A16D1F">
      <w:pPr>
        <w:pStyle w:val="BodyText"/>
        <w:numPr>
          <w:ilvl w:val="0"/>
          <w:numId w:val="0"/>
        </w:numPr>
      </w:pPr>
      <w:r>
        <w:t>There is no single answer for how NHS and wider healthcare organisations should be improving health and wellbeing. Each organisation is unique and in a different place on their wellbeing journey. Therefore, this toolkit builds upon the successes and best practice within the previous iteration of the framework and provides resources to NHS organisations to flexibly plan and implement their own approach for improving our NHS people</w:t>
      </w:r>
      <w:r w:rsidR="009D2B8C">
        <w:t>’s</w:t>
      </w:r>
      <w:r>
        <w:t xml:space="preserve"> health and wellbeing.</w:t>
      </w:r>
      <w:bookmarkStart w:id="4" w:name="_Toc77345656"/>
    </w:p>
    <w:p w14:paraId="468B9BF3" w14:textId="77777777" w:rsidR="00A25F55" w:rsidRDefault="00A25F55" w:rsidP="00F62A58">
      <w:pPr>
        <w:pStyle w:val="Heading2"/>
        <w:numPr>
          <w:ilvl w:val="1"/>
          <w:numId w:val="8"/>
        </w:numPr>
        <w:sectPr w:rsidR="00A25F55" w:rsidSect="00AD60EE">
          <w:pgSz w:w="11907" w:h="16840" w:code="9"/>
          <w:pgMar w:top="1985" w:right="1928" w:bottom="1247" w:left="1077" w:header="851" w:footer="510" w:gutter="0"/>
          <w:cols w:space="708"/>
          <w:docGrid w:linePitch="360"/>
        </w:sectPr>
      </w:pPr>
    </w:p>
    <w:p w14:paraId="7746F6AE" w14:textId="0DD885A4" w:rsidR="00A16D1F" w:rsidRDefault="00A16D1F" w:rsidP="00F62A58">
      <w:pPr>
        <w:pStyle w:val="Heading2"/>
        <w:numPr>
          <w:ilvl w:val="1"/>
          <w:numId w:val="8"/>
        </w:numPr>
      </w:pPr>
      <w:bookmarkStart w:id="5" w:name="_Toc80378704"/>
      <w:r>
        <w:lastRenderedPageBreak/>
        <w:t>Introduction</w:t>
      </w:r>
      <w:bookmarkEnd w:id="5"/>
    </w:p>
    <w:p w14:paraId="743D9FF6" w14:textId="3BC07C8D" w:rsidR="00A16D1F" w:rsidRDefault="00A16D1F" w:rsidP="00A16D1F">
      <w:pPr>
        <w:pStyle w:val="BodyText"/>
        <w:numPr>
          <w:ilvl w:val="0"/>
          <w:numId w:val="0"/>
        </w:numPr>
        <w:rPr>
          <w:rFonts w:eastAsiaTheme="majorEastAsia" w:cstheme="majorBidi"/>
          <w:b/>
          <w:iCs/>
        </w:rPr>
      </w:pPr>
      <w:r w:rsidRPr="00A16D1F">
        <w:rPr>
          <w:rFonts w:eastAsiaTheme="majorEastAsia" w:cstheme="majorBidi"/>
          <w:b/>
          <w:iCs/>
        </w:rPr>
        <w:t>Where we were</w:t>
      </w:r>
    </w:p>
    <w:p w14:paraId="62771047" w14:textId="3D101363" w:rsidR="00A16D1F" w:rsidRDefault="00376431" w:rsidP="00A16D1F">
      <w:pPr>
        <w:pStyle w:val="BodyText"/>
        <w:numPr>
          <w:ilvl w:val="0"/>
          <w:numId w:val="0"/>
        </w:numPr>
      </w:pPr>
      <w:r>
        <w:t>The first publication of the NHS Health and Wellbeing Framework was launched in 2018 and was successfully utilised by a large body of NHS organisations. It spoke to an evidence base and rhetoric that predominantly focused on drivers to reduce sickness absence</w:t>
      </w:r>
      <w:r w:rsidR="006F6509">
        <w:t xml:space="preserve"> </w:t>
      </w:r>
      <w:r>
        <w:t>and there is evidence that organisations using the framework did reduce their sickness absence rates.</w:t>
      </w:r>
    </w:p>
    <w:p w14:paraId="25C01A9E" w14:textId="5DDB6DB4" w:rsidR="00376431" w:rsidRDefault="00376431" w:rsidP="00A16D1F">
      <w:pPr>
        <w:pStyle w:val="BodyText"/>
        <w:numPr>
          <w:ilvl w:val="0"/>
          <w:numId w:val="0"/>
        </w:numPr>
      </w:pPr>
      <w:r>
        <w:t>Prior to the global pandemic, reducing sickness absence was seen as the leading indicator of improved health and wellbeing. Emphasis was very much on patient care as opposed to the thinking that if we focus on the health and wellbeing of our NHS people, they would be better placed to care for our patients and service users, therefore creating a culture of wellbeing that focuses on prevention and culture change.</w:t>
      </w:r>
    </w:p>
    <w:p w14:paraId="460C6AE2" w14:textId="3AF29F3A" w:rsidR="002637C3" w:rsidRDefault="002637C3" w:rsidP="00A16D1F">
      <w:pPr>
        <w:pStyle w:val="BodyText"/>
        <w:numPr>
          <w:ilvl w:val="0"/>
          <w:numId w:val="0"/>
        </w:numPr>
        <w:rPr>
          <w:rFonts w:eastAsiaTheme="majorEastAsia" w:cstheme="majorBidi"/>
          <w:b/>
          <w:iCs/>
        </w:rPr>
      </w:pPr>
      <w:r>
        <w:rPr>
          <w:rFonts w:eastAsiaTheme="majorEastAsia" w:cstheme="majorBidi"/>
          <w:b/>
          <w:iCs/>
        </w:rPr>
        <w:t>Where we are now</w:t>
      </w:r>
    </w:p>
    <w:p w14:paraId="08D33B8E" w14:textId="70CEC994" w:rsidR="002637C3" w:rsidRDefault="002637C3" w:rsidP="00A16D1F">
      <w:pPr>
        <w:pStyle w:val="BodyText"/>
        <w:numPr>
          <w:ilvl w:val="0"/>
          <w:numId w:val="0"/>
        </w:numPr>
      </w:pPr>
      <w:r>
        <w:t>We have taken the best of the existing framework and through co-design, have evolved it into a set of resources to empower NHS organisations to create a sustainable wellbeing culture for our workforce.</w:t>
      </w:r>
    </w:p>
    <w:p w14:paraId="481833CB" w14:textId="139BB084" w:rsidR="002637C3" w:rsidRDefault="002637C3" w:rsidP="00A16D1F">
      <w:pPr>
        <w:pStyle w:val="BodyText"/>
        <w:numPr>
          <w:ilvl w:val="0"/>
          <w:numId w:val="0"/>
        </w:numPr>
      </w:pPr>
      <w:r>
        <w:t xml:space="preserve">We have achieved this through co-design with stakeholders across systems and NHS organisations, from primary care </w:t>
      </w:r>
      <w:r w:rsidR="00EB2584">
        <w:t>p</w:t>
      </w:r>
      <w:r>
        <w:t>ractices to acute trusts.</w:t>
      </w:r>
    </w:p>
    <w:p w14:paraId="03AC929F" w14:textId="17FEF1CC" w:rsidR="002637C3" w:rsidRDefault="002637C3" w:rsidP="00A16D1F">
      <w:pPr>
        <w:pStyle w:val="BodyText"/>
        <w:numPr>
          <w:ilvl w:val="0"/>
          <w:numId w:val="0"/>
        </w:numPr>
      </w:pPr>
      <w:r>
        <w:t>In this re-design we have focused on:</w:t>
      </w:r>
    </w:p>
    <w:p w14:paraId="6BC6C60F" w14:textId="77777777" w:rsidR="002637C3" w:rsidRPr="002637C3" w:rsidRDefault="002637C3" w:rsidP="00A25F55">
      <w:pPr>
        <w:pStyle w:val="ListBullet"/>
        <w:rPr>
          <w:rFonts w:eastAsiaTheme="majorEastAsia" w:cstheme="majorBidi"/>
          <w:b/>
          <w:iCs/>
        </w:rPr>
      </w:pPr>
      <w:r>
        <w:t>placing emphasis on a positive health and wellbeing culture</w:t>
      </w:r>
    </w:p>
    <w:p w14:paraId="4A93135A" w14:textId="77777777" w:rsidR="002637C3" w:rsidRPr="002637C3" w:rsidRDefault="002637C3" w:rsidP="00A25F55">
      <w:pPr>
        <w:pStyle w:val="ListBullet"/>
        <w:rPr>
          <w:rFonts w:eastAsiaTheme="majorEastAsia" w:cstheme="majorBidi"/>
          <w:b/>
          <w:iCs/>
        </w:rPr>
      </w:pPr>
      <w:r>
        <w:t>place greater emphasis on the preventative health and wellbeing interventions</w:t>
      </w:r>
    </w:p>
    <w:p w14:paraId="29EEAFC3" w14:textId="77777777" w:rsidR="002637C3" w:rsidRPr="002637C3" w:rsidRDefault="002637C3" w:rsidP="00A25F55">
      <w:pPr>
        <w:pStyle w:val="ListBullet"/>
        <w:rPr>
          <w:rFonts w:eastAsiaTheme="majorEastAsia" w:cstheme="majorBidi"/>
          <w:b/>
          <w:iCs/>
        </w:rPr>
      </w:pPr>
      <w:r>
        <w:t>embedding equality, diversity and inclusion</w:t>
      </w:r>
    </w:p>
    <w:p w14:paraId="2A8EEB17" w14:textId="513D0434" w:rsidR="002637C3" w:rsidRPr="00A25F55" w:rsidRDefault="00EB2584" w:rsidP="00A25F55">
      <w:pPr>
        <w:pStyle w:val="ListBullet"/>
        <w:rPr>
          <w:rFonts w:eastAsiaTheme="majorEastAsia" w:cstheme="majorBidi"/>
          <w:b/>
          <w:iCs/>
        </w:rPr>
      </w:pPr>
      <w:r>
        <w:t>p</w:t>
      </w:r>
      <w:r w:rsidR="002637C3">
        <w:t>roviding a clear rational and case for change</w:t>
      </w:r>
    </w:p>
    <w:p w14:paraId="24570833" w14:textId="77777777" w:rsidR="00A25F55" w:rsidRPr="002637C3" w:rsidRDefault="00A25F55" w:rsidP="00A25F55">
      <w:pPr>
        <w:pStyle w:val="ListBullet"/>
        <w:numPr>
          <w:ilvl w:val="0"/>
          <w:numId w:val="0"/>
        </w:numPr>
        <w:ind w:left="851"/>
        <w:rPr>
          <w:rFonts w:eastAsiaTheme="majorEastAsia" w:cstheme="majorBidi"/>
          <w:b/>
          <w:iCs/>
        </w:rPr>
      </w:pPr>
    </w:p>
    <w:p w14:paraId="0156DBC2" w14:textId="269B3B0E" w:rsidR="002637C3" w:rsidRDefault="00907F68" w:rsidP="002637C3">
      <w:pPr>
        <w:pStyle w:val="BodyText"/>
        <w:numPr>
          <w:ilvl w:val="0"/>
          <w:numId w:val="0"/>
        </w:numPr>
        <w:ind w:left="567" w:hanging="567"/>
        <w:rPr>
          <w:b/>
          <w:bCs/>
        </w:rPr>
      </w:pPr>
      <w:r w:rsidRPr="00907F68">
        <w:rPr>
          <w:b/>
          <w:bCs/>
        </w:rPr>
        <w:t>What does this mean for you?</w:t>
      </w:r>
    </w:p>
    <w:p w14:paraId="7E8A0315" w14:textId="3D79622B" w:rsidR="00907F68" w:rsidRDefault="00907F68" w:rsidP="00A25F55">
      <w:pPr>
        <w:pStyle w:val="BodyText2"/>
      </w:pPr>
      <w:r>
        <w:t>This set of resources aims to represent the huge diversity of healthcare organisations, forms and functions.</w:t>
      </w:r>
      <w:r w:rsidR="00A25F55">
        <w:t xml:space="preserve"> </w:t>
      </w:r>
      <w:r>
        <w:t xml:space="preserve">Health and wellbeing is not a one size fits all </w:t>
      </w:r>
      <w:r>
        <w:lastRenderedPageBreak/>
        <w:t xml:space="preserve">concept. However, these resources demonstrate what </w:t>
      </w:r>
      <w:r w:rsidR="00EB2584">
        <w:t>‘</w:t>
      </w:r>
      <w:r>
        <w:t>good</w:t>
      </w:r>
      <w:r w:rsidR="00EB2584">
        <w:t>’</w:t>
      </w:r>
      <w:r>
        <w:t xml:space="preserve"> look</w:t>
      </w:r>
      <w:r w:rsidR="00EB2584">
        <w:t>s</w:t>
      </w:r>
      <w:r>
        <w:t xml:space="preserve"> like for the majority of healthcare organisations.</w:t>
      </w:r>
    </w:p>
    <w:p w14:paraId="35DFE834" w14:textId="030D2B37" w:rsidR="00907F68" w:rsidRDefault="00907F68" w:rsidP="00A25F55">
      <w:pPr>
        <w:pStyle w:val="BodyText2"/>
      </w:pPr>
      <w:r>
        <w:t xml:space="preserve">Regardless of who you are, these tools can be applied within the context of your organisation and diversity of your people to understand what </w:t>
      </w:r>
      <w:r w:rsidR="00EB2584">
        <w:t>‘</w:t>
      </w:r>
      <w:r>
        <w:t>good</w:t>
      </w:r>
      <w:r w:rsidR="00EB2584">
        <w:t>’</w:t>
      </w:r>
      <w:r>
        <w:t xml:space="preserve"> looks like for you and what can be achieved.</w:t>
      </w:r>
    </w:p>
    <w:p w14:paraId="2C35411C" w14:textId="5CB7C7A7" w:rsidR="00907F68" w:rsidRDefault="00907F68" w:rsidP="00A25F55">
      <w:pPr>
        <w:pStyle w:val="BodyText2"/>
      </w:pPr>
      <w:r>
        <w:t>The smallest primary care practice to the largest acute hospital trust will find inspiration and guidance in these resources.</w:t>
      </w:r>
    </w:p>
    <w:p w14:paraId="0BBB3730" w14:textId="247C1E52" w:rsidR="0038454D" w:rsidRDefault="0038454D" w:rsidP="00907F68">
      <w:pPr>
        <w:pStyle w:val="BodyText"/>
        <w:numPr>
          <w:ilvl w:val="0"/>
          <w:numId w:val="0"/>
        </w:numPr>
        <w:rPr>
          <w:b/>
          <w:bCs/>
        </w:rPr>
      </w:pPr>
      <w:r w:rsidRPr="0038454D">
        <w:rPr>
          <w:b/>
          <w:bCs/>
        </w:rPr>
        <w:t>Who is the Health and Wellbeing Framework for?</w:t>
      </w:r>
    </w:p>
    <w:p w14:paraId="48A3F1E0" w14:textId="452D72ED" w:rsidR="0038454D" w:rsidRDefault="0038454D" w:rsidP="00907F68">
      <w:pPr>
        <w:pStyle w:val="BodyText"/>
        <w:numPr>
          <w:ilvl w:val="0"/>
          <w:numId w:val="0"/>
        </w:numPr>
      </w:pPr>
      <w:r>
        <w:t xml:space="preserve">Health and wellbeing is not a one size fits all solution and every NHS organisation will have different health and wellbeing needs and aspirations. Therefore, these resources are designed to give a standardised view of what </w:t>
      </w:r>
      <w:r w:rsidR="00EB2584">
        <w:t>‘</w:t>
      </w:r>
      <w:r>
        <w:t>good</w:t>
      </w:r>
      <w:r w:rsidR="00EB2584">
        <w:t>’</w:t>
      </w:r>
      <w:r>
        <w:t xml:space="preserve"> look</w:t>
      </w:r>
      <w:r w:rsidR="00EB2584">
        <w:t>s</w:t>
      </w:r>
      <w:r>
        <w:t xml:space="preserve"> like in an NHS setting. You will need to use these resources in the context of your organisation and for our diverse NHS people.</w:t>
      </w:r>
    </w:p>
    <w:p w14:paraId="5E4535FA" w14:textId="4210B5B0" w:rsidR="0038454D" w:rsidRPr="0038454D" w:rsidRDefault="0038454D" w:rsidP="00907F68">
      <w:pPr>
        <w:pStyle w:val="BodyText"/>
        <w:numPr>
          <w:ilvl w:val="0"/>
          <w:numId w:val="0"/>
        </w:numPr>
        <w:rPr>
          <w:b/>
          <w:bCs/>
        </w:rPr>
      </w:pPr>
      <w:r w:rsidRPr="0038454D">
        <w:rPr>
          <w:b/>
          <w:bCs/>
        </w:rPr>
        <w:t>People and roles</w:t>
      </w:r>
    </w:p>
    <w:p w14:paraId="5C95A900" w14:textId="7A296AEA" w:rsidR="00B8048B" w:rsidRDefault="0038454D" w:rsidP="00A25F55">
      <w:pPr>
        <w:pStyle w:val="ListBullet"/>
      </w:pPr>
      <w:r>
        <w:t>Senior leaders/senior responsible officer for wellbeing</w:t>
      </w:r>
    </w:p>
    <w:p w14:paraId="74522A5A" w14:textId="1DB35566" w:rsidR="0038454D" w:rsidRDefault="00C65ADF" w:rsidP="00A25F55">
      <w:pPr>
        <w:pStyle w:val="ListBullet2"/>
      </w:pPr>
      <w:r>
        <w:t>t</w:t>
      </w:r>
      <w:r w:rsidR="0038454D">
        <w:t xml:space="preserve">he resources illustrate what </w:t>
      </w:r>
      <w:r>
        <w:t>‘</w:t>
      </w:r>
      <w:r w:rsidR="0038454D">
        <w:t>good</w:t>
      </w:r>
      <w:r>
        <w:t>’</w:t>
      </w:r>
      <w:r w:rsidR="0038454D">
        <w:t xml:space="preserve"> looks like for health and wellbeing and will support your organisation</w:t>
      </w:r>
      <w:r w:rsidR="00AC31EB">
        <w:t>’</w:t>
      </w:r>
      <w:r w:rsidR="0038454D">
        <w:t>s strategic sponsor for wellbeing to:</w:t>
      </w:r>
    </w:p>
    <w:p w14:paraId="5C5E1B55" w14:textId="4567A764" w:rsidR="0038454D" w:rsidRDefault="0038454D" w:rsidP="00A25F55">
      <w:pPr>
        <w:pStyle w:val="ListBullet2"/>
        <w:numPr>
          <w:ilvl w:val="3"/>
          <w:numId w:val="4"/>
        </w:numPr>
      </w:pPr>
      <w:r>
        <w:t xml:space="preserve">undertake a diagnostic of how your organisation compares to what </w:t>
      </w:r>
      <w:r w:rsidR="00C65ADF">
        <w:t>‘</w:t>
      </w:r>
      <w:r>
        <w:t>good</w:t>
      </w:r>
      <w:r w:rsidR="00C65ADF">
        <w:t>’</w:t>
      </w:r>
      <w:r>
        <w:t xml:space="preserve"> looks like</w:t>
      </w:r>
    </w:p>
    <w:p w14:paraId="1616FAC8" w14:textId="4E31823C" w:rsidR="0038454D" w:rsidRDefault="0038454D" w:rsidP="00A25F55">
      <w:pPr>
        <w:pStyle w:val="ListBullet2"/>
        <w:numPr>
          <w:ilvl w:val="3"/>
          <w:numId w:val="4"/>
        </w:numPr>
      </w:pPr>
      <w:r>
        <w:t>develop a strategic organisational action plan.</w:t>
      </w:r>
    </w:p>
    <w:p w14:paraId="028DA412" w14:textId="77777777" w:rsidR="00B8048B" w:rsidRDefault="0038454D" w:rsidP="004D7833">
      <w:pPr>
        <w:pStyle w:val="ListBullet"/>
      </w:pPr>
      <w:r>
        <w:t>Organisation lead for wellbeing</w:t>
      </w:r>
    </w:p>
    <w:p w14:paraId="7F072EE3" w14:textId="2A1676F9" w:rsidR="0038454D" w:rsidRDefault="00C65ADF" w:rsidP="004D7833">
      <w:pPr>
        <w:pStyle w:val="ListBullet2"/>
      </w:pPr>
      <w:r>
        <w:t>t</w:t>
      </w:r>
      <w:r w:rsidR="0038454D">
        <w:t xml:space="preserve">he resources provide a view of what </w:t>
      </w:r>
      <w:r>
        <w:t>‘</w:t>
      </w:r>
      <w:r w:rsidR="0038454D">
        <w:t>good</w:t>
      </w:r>
      <w:r>
        <w:t>’</w:t>
      </w:r>
      <w:r w:rsidR="0038454D">
        <w:t xml:space="preserve"> looks like for health and wellbeing as well as inspiration and implementation guidance for interventions based on successful work across the NHS.</w:t>
      </w:r>
    </w:p>
    <w:p w14:paraId="08D41F2B" w14:textId="13B731AA" w:rsidR="00B8048B" w:rsidRDefault="00C65ADF" w:rsidP="004D7833">
      <w:pPr>
        <w:pStyle w:val="ListBullet2"/>
      </w:pPr>
      <w:r>
        <w:t>t</w:t>
      </w:r>
      <w:r w:rsidR="0038454D">
        <w:t xml:space="preserve">he </w:t>
      </w:r>
      <w:r w:rsidR="00B26E93">
        <w:t>‘O</w:t>
      </w:r>
      <w:r w:rsidR="0038454D">
        <w:t xml:space="preserve">rganisational </w:t>
      </w:r>
      <w:r w:rsidR="00B26E93">
        <w:t>D</w:t>
      </w:r>
      <w:r w:rsidR="0038454D">
        <w:t xml:space="preserve">iagnostic </w:t>
      </w:r>
      <w:r w:rsidR="00B26E93">
        <w:t>T</w:t>
      </w:r>
      <w:r w:rsidR="0038454D">
        <w:t>ool</w:t>
      </w:r>
      <w:r w:rsidR="00B26E93">
        <w:t>’</w:t>
      </w:r>
      <w:r w:rsidR="0038454D">
        <w:t xml:space="preserve">, the </w:t>
      </w:r>
      <w:r w:rsidR="00B26E93">
        <w:t>‘E</w:t>
      </w:r>
      <w:r w:rsidR="0038454D">
        <w:t xml:space="preserve">lements of </w:t>
      </w:r>
      <w:r w:rsidR="00B26E93">
        <w:t>H</w:t>
      </w:r>
      <w:r w:rsidR="0038454D">
        <w:t xml:space="preserve">ealth and </w:t>
      </w:r>
      <w:r w:rsidR="00B26E93">
        <w:t>W</w:t>
      </w:r>
      <w:r w:rsidR="0038454D">
        <w:t>ellbeing</w:t>
      </w:r>
      <w:r w:rsidR="00B26E93">
        <w:t>’</w:t>
      </w:r>
      <w:r w:rsidR="0038454D">
        <w:t xml:space="preserve"> and </w:t>
      </w:r>
      <w:r w:rsidR="00B26E93">
        <w:t>‘C</w:t>
      </w:r>
      <w:r w:rsidR="0038454D">
        <w:t xml:space="preserve">ase </w:t>
      </w:r>
      <w:r w:rsidR="00B26E93">
        <w:t>S</w:t>
      </w:r>
      <w:r w:rsidR="0038454D">
        <w:t>tudies</w:t>
      </w:r>
      <w:r w:rsidR="00B26E93">
        <w:t>’</w:t>
      </w:r>
      <w:r w:rsidR="0038454D">
        <w:t xml:space="preserve"> support this</w:t>
      </w:r>
    </w:p>
    <w:p w14:paraId="1D2CDAC5" w14:textId="77777777" w:rsidR="00B8048B" w:rsidRDefault="0038454D" w:rsidP="004D7833">
      <w:pPr>
        <w:pStyle w:val="ListBullet"/>
      </w:pPr>
      <w:r>
        <w:t>Anyone interested in health and wellbeing</w:t>
      </w:r>
    </w:p>
    <w:p w14:paraId="147E0CD1" w14:textId="27DED868" w:rsidR="0038454D" w:rsidRDefault="00C65ADF" w:rsidP="004D7833">
      <w:pPr>
        <w:pStyle w:val="ListBullet2"/>
      </w:pPr>
      <w:r>
        <w:t>h</w:t>
      </w:r>
      <w:r w:rsidR="0038454D">
        <w:t xml:space="preserve">ealth and wellbeing is a topic that all NHS people should and can engage with. The resources in this framework are designed to support </w:t>
      </w:r>
      <w:r w:rsidR="00AA3969">
        <w:t>all</w:t>
      </w:r>
      <w:r w:rsidR="0038454D">
        <w:t xml:space="preserve"> our people in building</w:t>
      </w:r>
      <w:r>
        <w:t xml:space="preserve"> a</w:t>
      </w:r>
      <w:r w:rsidR="0038454D">
        <w:t xml:space="preserve"> health and wellbeing culture for themselves and their teams</w:t>
      </w:r>
    </w:p>
    <w:p w14:paraId="438EF5CF" w14:textId="698C12F5" w:rsidR="0038454D" w:rsidRDefault="0038454D" w:rsidP="00907F68">
      <w:pPr>
        <w:pStyle w:val="BodyText"/>
        <w:numPr>
          <w:ilvl w:val="0"/>
          <w:numId w:val="0"/>
        </w:numPr>
        <w:rPr>
          <w:b/>
          <w:bCs/>
        </w:rPr>
      </w:pPr>
      <w:r w:rsidRPr="0038454D">
        <w:rPr>
          <w:b/>
          <w:bCs/>
        </w:rPr>
        <w:lastRenderedPageBreak/>
        <w:t>Diversity of healthcare organisations</w:t>
      </w:r>
    </w:p>
    <w:p w14:paraId="1A77EC98" w14:textId="77777777" w:rsidR="00B8048B" w:rsidRDefault="0038454D" w:rsidP="004D7833">
      <w:pPr>
        <w:pStyle w:val="ListBullet"/>
      </w:pPr>
      <w:r w:rsidRPr="0038454D">
        <w:t>Systems</w:t>
      </w:r>
    </w:p>
    <w:p w14:paraId="3DC01EE4" w14:textId="6F521124" w:rsidR="0038454D" w:rsidRDefault="00C65ADF" w:rsidP="004D7833">
      <w:pPr>
        <w:pStyle w:val="ListBullet2"/>
      </w:pPr>
      <w:r>
        <w:t>t</w:t>
      </w:r>
      <w:r w:rsidR="0038454D">
        <w:t xml:space="preserve">he framework and the </w:t>
      </w:r>
      <w:r w:rsidR="00B26E93">
        <w:t>‘O</w:t>
      </w:r>
      <w:r>
        <w:t xml:space="preserve">rganisational </w:t>
      </w:r>
      <w:r w:rsidR="00B26E93">
        <w:t>D</w:t>
      </w:r>
      <w:r w:rsidR="0038454D">
        <w:t xml:space="preserve">iagnostic </w:t>
      </w:r>
      <w:r w:rsidR="00B26E93">
        <w:t>T</w:t>
      </w:r>
      <w:r w:rsidR="0038454D">
        <w:t>ool</w:t>
      </w:r>
      <w:r w:rsidR="00B26E93">
        <w:t xml:space="preserve">’ </w:t>
      </w:r>
      <w:r w:rsidR="0038454D">
        <w:t>can be used to gain a broad understanding of how health and wellbeing is adopted across organisations within a system, the strengths and development areas for the system</w:t>
      </w:r>
      <w:r w:rsidR="006F6509">
        <w:t xml:space="preserve"> </w:t>
      </w:r>
      <w:r w:rsidR="0038454D">
        <w:t>and to develop strategic action plans to support all partner organisations.</w:t>
      </w:r>
    </w:p>
    <w:p w14:paraId="02B1A55E" w14:textId="77777777" w:rsidR="00B8048B" w:rsidRDefault="0038454D" w:rsidP="004D7833">
      <w:pPr>
        <w:pStyle w:val="ListBullet"/>
      </w:pPr>
      <w:r>
        <w:t>Large organisations</w:t>
      </w:r>
    </w:p>
    <w:p w14:paraId="30C07351" w14:textId="24090B89" w:rsidR="0038454D" w:rsidRDefault="00C65ADF" w:rsidP="004D7833">
      <w:pPr>
        <w:pStyle w:val="ListBullet2"/>
      </w:pPr>
      <w:r>
        <w:t>l</w:t>
      </w:r>
      <w:r w:rsidR="0038454D">
        <w:t xml:space="preserve">arge organisations such as acute trusts can utilise the framework to assess health and wellbeing culture and needs for </w:t>
      </w:r>
      <w:r>
        <w:t xml:space="preserve">our </w:t>
      </w:r>
      <w:r w:rsidR="0038454D">
        <w:t>diverse people</w:t>
      </w:r>
    </w:p>
    <w:p w14:paraId="596B9C86" w14:textId="5EBA1D20" w:rsidR="0038454D" w:rsidRDefault="00C65ADF" w:rsidP="004D7833">
      <w:pPr>
        <w:pStyle w:val="ListBullet2"/>
      </w:pPr>
      <w:r>
        <w:t>n</w:t>
      </w:r>
      <w:r w:rsidR="0038454D">
        <w:t xml:space="preserve">o single organisation will be alike, so the resources need to be applied to the context of </w:t>
      </w:r>
      <w:r>
        <w:t>the</w:t>
      </w:r>
      <w:r w:rsidR="0038454D">
        <w:t xml:space="preserve"> diversity of people and organisational needs</w:t>
      </w:r>
    </w:p>
    <w:p w14:paraId="08EB1A15" w14:textId="77777777" w:rsidR="00B8048B" w:rsidRDefault="0038454D" w:rsidP="004D7833">
      <w:pPr>
        <w:pStyle w:val="ListBullet"/>
      </w:pPr>
      <w:r>
        <w:t>Small organisations</w:t>
      </w:r>
    </w:p>
    <w:p w14:paraId="523AAD21" w14:textId="2F4DF230" w:rsidR="0038454D" w:rsidRDefault="00C65ADF" w:rsidP="004D7833">
      <w:pPr>
        <w:pStyle w:val="ListBullet2"/>
      </w:pPr>
      <w:r>
        <w:t>s</w:t>
      </w:r>
      <w:r w:rsidR="0038454D">
        <w:t xml:space="preserve">maller organisations such as those found in primary care can use these resources to gain an understanding of what </w:t>
      </w:r>
      <w:r>
        <w:t>‘</w:t>
      </w:r>
      <w:r w:rsidR="0038454D">
        <w:t>good</w:t>
      </w:r>
      <w:r>
        <w:t>’</w:t>
      </w:r>
      <w:r w:rsidR="0038454D">
        <w:t xml:space="preserve"> looks like and then contextualise this information for their unique organisation and</w:t>
      </w:r>
      <w:r>
        <w:t xml:space="preserve"> our</w:t>
      </w:r>
      <w:r w:rsidR="0038454D">
        <w:t xml:space="preserve"> diverse people</w:t>
      </w:r>
    </w:p>
    <w:p w14:paraId="01B9DBE8" w14:textId="77777777" w:rsidR="004D7833" w:rsidRDefault="004D7833" w:rsidP="00907F68">
      <w:pPr>
        <w:pStyle w:val="BodyText"/>
        <w:numPr>
          <w:ilvl w:val="0"/>
          <w:numId w:val="0"/>
        </w:numPr>
        <w:rPr>
          <w:b/>
          <w:bCs/>
        </w:rPr>
      </w:pPr>
    </w:p>
    <w:p w14:paraId="77011FF1" w14:textId="30DBF7B0" w:rsidR="00557033" w:rsidRDefault="00557033" w:rsidP="00907F68">
      <w:pPr>
        <w:pStyle w:val="BodyText"/>
        <w:numPr>
          <w:ilvl w:val="0"/>
          <w:numId w:val="0"/>
        </w:numPr>
        <w:rPr>
          <w:b/>
          <w:bCs/>
        </w:rPr>
      </w:pPr>
      <w:r w:rsidRPr="00557033">
        <w:rPr>
          <w:b/>
          <w:bCs/>
        </w:rPr>
        <w:t>Our people and our patients</w:t>
      </w:r>
    </w:p>
    <w:p w14:paraId="12489327" w14:textId="1A6DF89A" w:rsidR="00557033" w:rsidRDefault="00557033" w:rsidP="00907F68">
      <w:pPr>
        <w:pStyle w:val="BodyText"/>
        <w:numPr>
          <w:ilvl w:val="0"/>
          <w:numId w:val="0"/>
        </w:numPr>
      </w:pPr>
      <w:r>
        <w:t>The evolved health and wellbeing resources are all aimed at enabling organisations to support the health and wellbeing of our diverse NHS people. The evidence is clear that if we look after our people, then they will pass this care on to our patients through safe, high-quality care.</w:t>
      </w:r>
    </w:p>
    <w:p w14:paraId="07E6E831" w14:textId="2773AA76" w:rsidR="00557033" w:rsidRDefault="00B8048B" w:rsidP="00907F68">
      <w:pPr>
        <w:pStyle w:val="BodyText"/>
        <w:numPr>
          <w:ilvl w:val="0"/>
          <w:numId w:val="0"/>
        </w:numPr>
        <w:rPr>
          <w:b/>
          <w:bCs/>
        </w:rPr>
      </w:pPr>
      <w:r w:rsidRPr="00B8048B">
        <w:rPr>
          <w:b/>
          <w:bCs/>
        </w:rPr>
        <w:t>The bottom line</w:t>
      </w:r>
    </w:p>
    <w:p w14:paraId="1B5F3847" w14:textId="1C6CA49F" w:rsidR="00B8048B" w:rsidRDefault="00B8048B" w:rsidP="00907F68">
      <w:pPr>
        <w:pStyle w:val="BodyText"/>
        <w:numPr>
          <w:ilvl w:val="0"/>
          <w:numId w:val="0"/>
        </w:numPr>
        <w:rPr>
          <w:b/>
          <w:bCs/>
        </w:rPr>
      </w:pPr>
      <w:r>
        <w:t xml:space="preserve">Many organisations have already embarked on a journey to deliver a positive and an effective health and wellbeing culture for our diverse NHS people. Where there is more work to </w:t>
      </w:r>
      <w:r w:rsidR="00AD05CC">
        <w:t>do,</w:t>
      </w:r>
      <w:r>
        <w:t xml:space="preserve"> or an organisation is at the start of their journey</w:t>
      </w:r>
      <w:r w:rsidR="00A9709B">
        <w:t xml:space="preserve">, </w:t>
      </w:r>
      <w:r>
        <w:t>there are multiple people and financial rationales for change. Further statistics and supporting evidence are heavily embedded in this evolved framework.</w:t>
      </w:r>
    </w:p>
    <w:p w14:paraId="12BAF040" w14:textId="77777777" w:rsidR="004D7833" w:rsidRDefault="004D7833" w:rsidP="00907F68">
      <w:pPr>
        <w:pStyle w:val="BodyText"/>
        <w:numPr>
          <w:ilvl w:val="0"/>
          <w:numId w:val="0"/>
        </w:numPr>
        <w:rPr>
          <w:b/>
          <w:bCs/>
        </w:rPr>
        <w:sectPr w:rsidR="004D7833" w:rsidSect="00AD60EE">
          <w:pgSz w:w="11907" w:h="16840" w:code="9"/>
          <w:pgMar w:top="1985" w:right="1928" w:bottom="1247" w:left="1077" w:header="851" w:footer="510" w:gutter="0"/>
          <w:cols w:space="708"/>
          <w:docGrid w:linePitch="360"/>
        </w:sectPr>
      </w:pPr>
    </w:p>
    <w:p w14:paraId="2D0383C7" w14:textId="0803BECA" w:rsidR="00B8048B" w:rsidRDefault="00B8048B" w:rsidP="00907F68">
      <w:pPr>
        <w:pStyle w:val="BodyText"/>
        <w:numPr>
          <w:ilvl w:val="0"/>
          <w:numId w:val="0"/>
        </w:numPr>
        <w:rPr>
          <w:b/>
          <w:bCs/>
        </w:rPr>
      </w:pPr>
      <w:r>
        <w:rPr>
          <w:b/>
          <w:bCs/>
        </w:rPr>
        <w:lastRenderedPageBreak/>
        <w:t>Experiences of people</w:t>
      </w:r>
    </w:p>
    <w:p w14:paraId="5DEE0329" w14:textId="692A9240" w:rsidR="00450DF1" w:rsidRPr="00450DF1" w:rsidRDefault="00450DF1" w:rsidP="004D7833">
      <w:pPr>
        <w:pStyle w:val="ListBullet"/>
        <w:rPr>
          <w:b/>
          <w:bCs/>
        </w:rPr>
      </w:pPr>
      <w:r>
        <w:t xml:space="preserve">44.1% of NHS people reported that they had felt unwell as a result of </w:t>
      </w:r>
      <w:r w:rsidR="00AD05CC">
        <w:t>work-related</w:t>
      </w:r>
      <w:r>
        <w:t xml:space="preserve"> stress during the last 12 months</w:t>
      </w:r>
      <w:r w:rsidR="006000DD">
        <w:t xml:space="preserve"> </w:t>
      </w:r>
      <w:r w:rsidR="006000DD" w:rsidRPr="00C01E33">
        <w:rPr>
          <w:vertAlign w:val="superscript"/>
        </w:rPr>
        <w:t>(</w:t>
      </w:r>
      <w:r w:rsidR="006000DD">
        <w:rPr>
          <w:vertAlign w:val="superscript"/>
        </w:rPr>
        <w:t>3</w:t>
      </w:r>
      <w:r w:rsidR="006000DD" w:rsidRPr="00C01E33">
        <w:rPr>
          <w:vertAlign w:val="superscript"/>
        </w:rPr>
        <w:t>)</w:t>
      </w:r>
    </w:p>
    <w:p w14:paraId="443657A5" w14:textId="7F4B70EC" w:rsidR="00450DF1" w:rsidRPr="00B8048B" w:rsidRDefault="00450DF1" w:rsidP="004D7833">
      <w:pPr>
        <w:pStyle w:val="ListBullet"/>
        <w:rPr>
          <w:b/>
          <w:bCs/>
        </w:rPr>
      </w:pPr>
      <w:r>
        <w:t>In 2018/19, stress, depression or anxiety were responsible for 44% of all cases of work-related ill health and 54% of all working days lost due to health issues in Great Britain</w:t>
      </w:r>
      <w:r w:rsidR="006000DD">
        <w:t xml:space="preserve"> </w:t>
      </w:r>
      <w:r w:rsidR="006000DD" w:rsidRPr="00C01E33">
        <w:rPr>
          <w:vertAlign w:val="superscript"/>
        </w:rPr>
        <w:t>(</w:t>
      </w:r>
      <w:r w:rsidR="006000DD">
        <w:rPr>
          <w:vertAlign w:val="superscript"/>
        </w:rPr>
        <w:t>68</w:t>
      </w:r>
      <w:r w:rsidR="006000DD" w:rsidRPr="00C01E33">
        <w:rPr>
          <w:vertAlign w:val="superscript"/>
        </w:rPr>
        <w:t>)</w:t>
      </w:r>
    </w:p>
    <w:p w14:paraId="157A2CA2" w14:textId="7463AF97" w:rsidR="000D5337" w:rsidRDefault="00BF1CF0" w:rsidP="000D5337">
      <w:pPr>
        <w:pStyle w:val="Heading1"/>
      </w:pPr>
      <w:bookmarkStart w:id="6" w:name="_Toc80378705"/>
      <w:r>
        <w:lastRenderedPageBreak/>
        <w:t>2</w:t>
      </w:r>
      <w:r w:rsidR="00157799">
        <w:t xml:space="preserve">. </w:t>
      </w:r>
      <w:bookmarkEnd w:id="4"/>
      <w:r w:rsidR="00450DF1">
        <w:t>Overview of the resources</w:t>
      </w:r>
      <w:bookmarkEnd w:id="6"/>
    </w:p>
    <w:p w14:paraId="2F54205A" w14:textId="0A60FA7F" w:rsidR="00450DF1" w:rsidRDefault="00450DF1" w:rsidP="00450DF1">
      <w:pPr>
        <w:pStyle w:val="Heading2"/>
      </w:pPr>
      <w:bookmarkStart w:id="7" w:name="_Toc80378706"/>
      <w:r>
        <w:t>2.1</w:t>
      </w:r>
      <w:r w:rsidR="00CC5CF8" w:rsidRPr="00CC5CF8">
        <w:t xml:space="preserve"> </w:t>
      </w:r>
      <w:r w:rsidR="00CC5CF8">
        <w:tab/>
        <w:t>The evolution of the Health and Wellbeing Framework</w:t>
      </w:r>
      <w:bookmarkEnd w:id="7"/>
    </w:p>
    <w:p w14:paraId="45768598" w14:textId="6A23E347" w:rsidR="001E730E" w:rsidRPr="001E730E" w:rsidRDefault="001E730E" w:rsidP="001E730E">
      <w:pPr>
        <w:pStyle w:val="BodyText"/>
        <w:numPr>
          <w:ilvl w:val="0"/>
          <w:numId w:val="0"/>
        </w:numPr>
      </w:pPr>
      <w:r>
        <w:t xml:space="preserve">The first version of the NHS Health and Wellbeing Framework was launched in 2018. Since </w:t>
      </w:r>
      <w:r w:rsidR="003025F3">
        <w:t>then,</w:t>
      </w:r>
      <w:r>
        <w:t xml:space="preserve"> a large proportion of NHS organisations have successfully used those tools to support implementing their health and wellbeing agenda. Our people’s needs have changed in that time, as has our view of health and wellbeing. As such we have engaged stakeholders across the NHS to help evolve the health and wellbeing resources available now with</w:t>
      </w:r>
      <w:r w:rsidR="003025F3">
        <w:t xml:space="preserve"> a</w:t>
      </w:r>
      <w:r>
        <w:t xml:space="preserve"> particular view on how this framework can support embedding a culture of health and wellbeing in the NHS, with a focus on prevention and ensuring that equality, diversity and inclusion is considered throughout.</w:t>
      </w:r>
    </w:p>
    <w:p w14:paraId="02988BC7" w14:textId="6746E175" w:rsidR="00B24D33" w:rsidRDefault="001E730E" w:rsidP="00B24D33">
      <w:pPr>
        <w:pStyle w:val="BodyText2"/>
      </w:pPr>
      <w:r>
        <w:t xml:space="preserve">We have engaged with a large number of stakeholder groups across the organisation through </w:t>
      </w:r>
      <w:r w:rsidR="00AA3969">
        <w:t>one-to-one</w:t>
      </w:r>
      <w:r>
        <w:t xml:space="preserve"> interviews, focus groups, co-design workshops and conferences. Stakeholders include the NHS health and wellbeing advisory board, wellbeing guardians, national strategic partners, professional bodies, health and wellbeing leads, health and wellbeing academics/experts, NHS employee networks, senior healthcare leaders, health and social care partnerships, primary care leaders, workforce issue groups, trade unions, human resources directors, organisation development leads, occupational health leads and equality, diversity and inclusion leads.</w:t>
      </w:r>
    </w:p>
    <w:p w14:paraId="2544348D" w14:textId="53A90189" w:rsidR="006000DD" w:rsidRDefault="00B2208B" w:rsidP="00B24D33">
      <w:pPr>
        <w:pStyle w:val="BodyText2"/>
      </w:pPr>
      <w:r>
        <w:t>Within this strategic overview we have used examples of both internal and external data points. These data points are replicated within the ‘Elements of Health and Wellbeing’ document but structured reference acknowledgements can be found at the end of this document.</w:t>
      </w:r>
    </w:p>
    <w:p w14:paraId="1D85B898" w14:textId="77777777" w:rsidR="00810D8B" w:rsidRDefault="00810D8B" w:rsidP="00B24D33">
      <w:pPr>
        <w:pStyle w:val="BodyText2"/>
      </w:pPr>
    </w:p>
    <w:p w14:paraId="2333A7DB" w14:textId="77777777" w:rsidR="004D7833" w:rsidRDefault="004D7833" w:rsidP="00810D8B">
      <w:pPr>
        <w:pStyle w:val="Heading2"/>
        <w:sectPr w:rsidR="004D7833" w:rsidSect="00AD60EE">
          <w:pgSz w:w="11907" w:h="16840" w:code="9"/>
          <w:pgMar w:top="1985" w:right="1928" w:bottom="1247" w:left="1077" w:header="851" w:footer="510" w:gutter="0"/>
          <w:cols w:space="708"/>
          <w:docGrid w:linePitch="360"/>
        </w:sectPr>
      </w:pPr>
    </w:p>
    <w:p w14:paraId="7A090DDC" w14:textId="79829FA6" w:rsidR="00D5046B" w:rsidRDefault="00810D8B" w:rsidP="00810D8B">
      <w:pPr>
        <w:pStyle w:val="Heading2"/>
      </w:pPr>
      <w:bookmarkStart w:id="8" w:name="_Toc80378707"/>
      <w:r>
        <w:lastRenderedPageBreak/>
        <w:t>2.</w:t>
      </w:r>
      <w:r w:rsidR="008D1ECC">
        <w:t>2</w:t>
      </w:r>
      <w:r>
        <w:tab/>
        <w:t>Introducing the NHS health and wellbeing model</w:t>
      </w:r>
      <w:bookmarkEnd w:id="8"/>
    </w:p>
    <w:p w14:paraId="3DA560BA" w14:textId="37CA02F3" w:rsidR="00810D8B" w:rsidRDefault="00810D8B" w:rsidP="00810D8B">
      <w:pPr>
        <w:pStyle w:val="BodyText2"/>
      </w:pPr>
      <w:r>
        <w:t>Many factors influence</w:t>
      </w:r>
      <w:r w:rsidR="00AC084D">
        <w:t xml:space="preserve"> the</w:t>
      </w:r>
      <w:r>
        <w:t xml:space="preserve"> health and wellbeing of our diverse NHS people and teams. Some of these, such as physical and mental health, are well understood. However, there are other factors such relationships, management skills and the environment that are fundamental to support our diverse NHS people in providing world class health care to our patients. This model underpins the set of resources that form this Health and Wellbeing Framework. There are seven health and wellbeing domains containing sixteen elements, these elements incorporating supporting evidence, case studies and critical questions for our organisations.</w:t>
      </w:r>
      <w:r w:rsidR="00BA2344">
        <w:t xml:space="preserve"> At the centre of our model are our people and our patients.</w:t>
      </w:r>
    </w:p>
    <w:p w14:paraId="1A9E40E8" w14:textId="764B9460" w:rsidR="00BA2344" w:rsidRDefault="00BA2344" w:rsidP="004D7833">
      <w:pPr>
        <w:pStyle w:val="Heading3"/>
      </w:pPr>
      <w:bookmarkStart w:id="9" w:name="_Toc80378708"/>
      <w:r w:rsidRPr="00BA2344">
        <w:t>Improving personal health and wellbeing</w:t>
      </w:r>
      <w:bookmarkEnd w:id="9"/>
    </w:p>
    <w:p w14:paraId="267D344B" w14:textId="6D627CC9" w:rsidR="00BA2344" w:rsidRDefault="00BA2344" w:rsidP="00810D8B">
      <w:pPr>
        <w:pStyle w:val="BodyText2"/>
      </w:pPr>
      <w:r>
        <w:t xml:space="preserve">The proactive interventions and services that empower our NHS people to manage their own health and wellbeing. </w:t>
      </w:r>
      <w:r w:rsidR="00AC084D">
        <w:t>Section’s</w:t>
      </w:r>
      <w:r>
        <w:t xml:space="preserve"> cover:</w:t>
      </w:r>
    </w:p>
    <w:p w14:paraId="27AF872E" w14:textId="77777777" w:rsidR="00BA2344" w:rsidRPr="00BA2344" w:rsidRDefault="00BA2344" w:rsidP="004D7833">
      <w:pPr>
        <w:pStyle w:val="ListBullet"/>
        <w:rPr>
          <w:b/>
          <w:bCs/>
        </w:rPr>
      </w:pPr>
      <w:r>
        <w:t>mental and emotional wellbeing</w:t>
      </w:r>
    </w:p>
    <w:p w14:paraId="4E1B4509" w14:textId="77777777" w:rsidR="00BA2344" w:rsidRPr="00BA2344" w:rsidRDefault="00BA2344" w:rsidP="004D7833">
      <w:pPr>
        <w:pStyle w:val="ListBullet"/>
        <w:rPr>
          <w:b/>
          <w:bCs/>
        </w:rPr>
      </w:pPr>
      <w:r>
        <w:t>physical wellbeing</w:t>
      </w:r>
    </w:p>
    <w:p w14:paraId="4C8828E0" w14:textId="2139D9DA" w:rsidR="00BA2344" w:rsidRPr="004D7833" w:rsidRDefault="00BA2344" w:rsidP="004D7833">
      <w:pPr>
        <w:pStyle w:val="ListBullet"/>
        <w:rPr>
          <w:b/>
          <w:bCs/>
        </w:rPr>
      </w:pPr>
      <w:r>
        <w:t>healthy lifestyle</w:t>
      </w:r>
    </w:p>
    <w:p w14:paraId="43674DF9" w14:textId="77777777" w:rsidR="004D7833" w:rsidRPr="006E4C23" w:rsidRDefault="004D7833" w:rsidP="004D7833">
      <w:pPr>
        <w:pStyle w:val="ListBullet"/>
        <w:numPr>
          <w:ilvl w:val="0"/>
          <w:numId w:val="0"/>
        </w:numPr>
        <w:ind w:left="851"/>
        <w:rPr>
          <w:b/>
          <w:bCs/>
        </w:rPr>
      </w:pPr>
    </w:p>
    <w:p w14:paraId="737D1371" w14:textId="50F45E34" w:rsidR="006E4C23" w:rsidRDefault="006E4C23" w:rsidP="006E4C23">
      <w:pPr>
        <w:pStyle w:val="BodyText2"/>
      </w:pPr>
      <w:r>
        <w:t>Personal health is more than the absence of dysfunction and disease. Mental and emotional health, physical health and a healthy lifestyle all contribute to an individual’s health and wellbeing.</w:t>
      </w:r>
    </w:p>
    <w:p w14:paraId="49CEC004" w14:textId="13E39AED" w:rsidR="006E4C23" w:rsidRDefault="006E4C23" w:rsidP="004D7833">
      <w:pPr>
        <w:pStyle w:val="Heading4"/>
      </w:pPr>
      <w:r>
        <w:t>Key stakeholder feedback</w:t>
      </w:r>
    </w:p>
    <w:p w14:paraId="1DBB2D2C" w14:textId="72C969A6" w:rsidR="006E4C23" w:rsidRDefault="00AC084D" w:rsidP="004D7833">
      <w:pPr>
        <w:pStyle w:val="ListBullet"/>
      </w:pPr>
      <w:r>
        <w:t>“P</w:t>
      </w:r>
      <w:r w:rsidR="006E4C23">
        <w:t>ersonal wellbeing is more than a sickness absence metric</w:t>
      </w:r>
      <w:r>
        <w:t>”</w:t>
      </w:r>
    </w:p>
    <w:p w14:paraId="09B07850" w14:textId="664AE219" w:rsidR="006E4C23" w:rsidRDefault="00AC084D" w:rsidP="004D7833">
      <w:pPr>
        <w:pStyle w:val="ListBullet"/>
      </w:pPr>
      <w:r>
        <w:t>“M</w:t>
      </w:r>
      <w:r w:rsidR="006E4C23">
        <w:t>ore emphasis needs to be placed on preventative interventions rather than discrete reactive support</w:t>
      </w:r>
      <w:r>
        <w:t>”</w:t>
      </w:r>
    </w:p>
    <w:p w14:paraId="3BD6F8C4" w14:textId="1D4889E2" w:rsidR="006E4C23" w:rsidRDefault="00AC084D" w:rsidP="004D7833">
      <w:pPr>
        <w:pStyle w:val="ListBullet"/>
      </w:pPr>
      <w:r>
        <w:t>“</w:t>
      </w:r>
      <w:r w:rsidR="006E4C23">
        <w:t>Mental and physical wellbeing needs to be viewed more broadly</w:t>
      </w:r>
      <w:r>
        <w:t>, such as</w:t>
      </w:r>
      <w:r w:rsidR="006E4C23">
        <w:t xml:space="preserve"> the inclusion of financial wellbeing and menopause support</w:t>
      </w:r>
      <w:r>
        <w:t>”</w:t>
      </w:r>
    </w:p>
    <w:p w14:paraId="52E0B824" w14:textId="29983AE0" w:rsidR="006E4C23" w:rsidRDefault="006E4C23" w:rsidP="004D7833">
      <w:pPr>
        <w:pStyle w:val="Heading4"/>
      </w:pPr>
      <w:r>
        <w:t xml:space="preserve">Snapshot of </w:t>
      </w:r>
      <w:r w:rsidR="00AC084D">
        <w:t>people’s</w:t>
      </w:r>
      <w:r>
        <w:t xml:space="preserve"> experience</w:t>
      </w:r>
    </w:p>
    <w:p w14:paraId="6A68520E" w14:textId="2B61E672" w:rsidR="006E4C23" w:rsidRDefault="006E4C23" w:rsidP="004D7833">
      <w:pPr>
        <w:pStyle w:val="ListBullet"/>
      </w:pPr>
      <w:r>
        <w:t>Patient satisfaction in acute trusts was higher in trusts where health and wellbeing (measured by injury rates, stress levels, job satisfaction and turnover intentions) was higher</w:t>
      </w:r>
      <w:r w:rsidR="00B2208B">
        <w:t xml:space="preserve"> </w:t>
      </w:r>
      <w:r w:rsidR="00B2208B" w:rsidRPr="00C01E33">
        <w:rPr>
          <w:vertAlign w:val="superscript"/>
        </w:rPr>
        <w:t>(</w:t>
      </w:r>
      <w:r w:rsidR="009143A8">
        <w:rPr>
          <w:vertAlign w:val="superscript"/>
        </w:rPr>
        <w:t>33</w:t>
      </w:r>
      <w:r w:rsidR="00B2208B" w:rsidRPr="00C01E33">
        <w:rPr>
          <w:vertAlign w:val="superscript"/>
        </w:rPr>
        <w:t>)</w:t>
      </w:r>
    </w:p>
    <w:p w14:paraId="60841758" w14:textId="62556105" w:rsidR="006E4C23" w:rsidRDefault="006E4C23" w:rsidP="004D7833">
      <w:pPr>
        <w:pStyle w:val="ListBullet"/>
      </w:pPr>
      <w:r>
        <w:lastRenderedPageBreak/>
        <w:t>Mental health conditions are consistently the highest reason for sickness absence in the NHS. Even at its lowest level in 2020, it accounted for 21% of sickness absence, c472,000 days lost in a single month</w:t>
      </w:r>
      <w:r w:rsidR="00B2208B">
        <w:t xml:space="preserve"> </w:t>
      </w:r>
      <w:r w:rsidR="00B2208B" w:rsidRPr="00C01E33">
        <w:rPr>
          <w:vertAlign w:val="superscript"/>
        </w:rPr>
        <w:t>(</w:t>
      </w:r>
      <w:r w:rsidR="009143A8">
        <w:rPr>
          <w:vertAlign w:val="superscript"/>
        </w:rPr>
        <w:t>1</w:t>
      </w:r>
      <w:r w:rsidR="00B2208B" w:rsidRPr="00C01E33">
        <w:rPr>
          <w:vertAlign w:val="superscript"/>
        </w:rPr>
        <w:t>)</w:t>
      </w:r>
    </w:p>
    <w:p w14:paraId="7E30C1E1" w14:textId="3BE9B81A" w:rsidR="006E4C23" w:rsidRDefault="006E4C23" w:rsidP="004D7833">
      <w:pPr>
        <w:pStyle w:val="ListBullet"/>
      </w:pPr>
      <w:r>
        <w:t>Musculoskeletal problems such as back, shoulder and knee pain are the leading cause of working days lost in the UK – it is estimated that 31 million days a year are lost due to these problems</w:t>
      </w:r>
      <w:r w:rsidR="00B2208B">
        <w:t xml:space="preserve"> </w:t>
      </w:r>
      <w:r w:rsidR="00B2208B" w:rsidRPr="00C01E33">
        <w:rPr>
          <w:vertAlign w:val="superscript"/>
        </w:rPr>
        <w:t>(</w:t>
      </w:r>
      <w:r w:rsidR="009143A8">
        <w:rPr>
          <w:vertAlign w:val="superscript"/>
        </w:rPr>
        <w:t>14</w:t>
      </w:r>
      <w:r w:rsidR="00B2208B" w:rsidRPr="00C01E33">
        <w:rPr>
          <w:vertAlign w:val="superscript"/>
        </w:rPr>
        <w:t>)</w:t>
      </w:r>
    </w:p>
    <w:p w14:paraId="193B0E08" w14:textId="77777777" w:rsidR="004D7833" w:rsidRPr="006E4C23" w:rsidRDefault="004D7833" w:rsidP="004D7833">
      <w:pPr>
        <w:pStyle w:val="ListBullet"/>
        <w:numPr>
          <w:ilvl w:val="0"/>
          <w:numId w:val="0"/>
        </w:numPr>
        <w:ind w:left="851"/>
      </w:pPr>
    </w:p>
    <w:p w14:paraId="380E0B8D" w14:textId="77777777" w:rsidR="004D7833" w:rsidRDefault="004D7833" w:rsidP="00BA2344">
      <w:pPr>
        <w:pStyle w:val="BodyText2"/>
        <w:rPr>
          <w:b/>
          <w:bCs/>
        </w:rPr>
        <w:sectPr w:rsidR="004D7833" w:rsidSect="00AD60EE">
          <w:pgSz w:w="11907" w:h="16840" w:code="9"/>
          <w:pgMar w:top="1985" w:right="1928" w:bottom="1247" w:left="1077" w:header="851" w:footer="510" w:gutter="0"/>
          <w:cols w:space="708"/>
          <w:docGrid w:linePitch="360"/>
        </w:sectPr>
      </w:pPr>
    </w:p>
    <w:p w14:paraId="316CC878" w14:textId="0270AF9F" w:rsidR="00BA2344" w:rsidRDefault="00BA2344" w:rsidP="004D7833">
      <w:pPr>
        <w:pStyle w:val="Heading3"/>
      </w:pPr>
      <w:bookmarkStart w:id="10" w:name="_Toc80378709"/>
      <w:r w:rsidRPr="00BA2344">
        <w:lastRenderedPageBreak/>
        <w:t>Relationships</w:t>
      </w:r>
      <w:bookmarkEnd w:id="10"/>
    </w:p>
    <w:p w14:paraId="13CAEA03" w14:textId="34E41B5A" w:rsidR="00BA2344" w:rsidRDefault="00BA2344" w:rsidP="00BA2344">
      <w:pPr>
        <w:pStyle w:val="BodyText2"/>
      </w:pPr>
      <w:r>
        <w:t xml:space="preserve">The ways our teams work together with care and compassion. </w:t>
      </w:r>
      <w:r w:rsidR="00DF3065">
        <w:t>Section’s</w:t>
      </w:r>
      <w:r>
        <w:t xml:space="preserve"> cover:</w:t>
      </w:r>
    </w:p>
    <w:p w14:paraId="1B7B2366" w14:textId="7E088F37" w:rsidR="00BA2344" w:rsidRPr="00DF3065" w:rsidRDefault="00BA2344" w:rsidP="00953697">
      <w:pPr>
        <w:pStyle w:val="ListBullet"/>
        <w:rPr>
          <w:b/>
          <w:bCs/>
        </w:rPr>
      </w:pPr>
      <w:r>
        <w:t>working together</w:t>
      </w:r>
    </w:p>
    <w:p w14:paraId="296B2E43" w14:textId="24F60893" w:rsidR="00DF3065" w:rsidRPr="00DF3065" w:rsidRDefault="00DF3065" w:rsidP="00953697">
      <w:pPr>
        <w:pStyle w:val="ListBullet"/>
        <w:rPr>
          <w:b/>
          <w:bCs/>
        </w:rPr>
      </w:pPr>
      <w:r>
        <w:t>supporting each other</w:t>
      </w:r>
    </w:p>
    <w:p w14:paraId="0DB3C101" w14:textId="77777777" w:rsidR="00DF3065" w:rsidRPr="006E4C23" w:rsidRDefault="00DF3065" w:rsidP="00DF3065">
      <w:pPr>
        <w:pStyle w:val="ListBullet"/>
        <w:numPr>
          <w:ilvl w:val="0"/>
          <w:numId w:val="0"/>
        </w:numPr>
        <w:ind w:left="851"/>
        <w:rPr>
          <w:b/>
          <w:bCs/>
        </w:rPr>
      </w:pPr>
    </w:p>
    <w:p w14:paraId="04AD2A47" w14:textId="1CA6D01D" w:rsidR="006E4C23" w:rsidRDefault="006E4C23" w:rsidP="006E4C23">
      <w:pPr>
        <w:pStyle w:val="BodyText2"/>
      </w:pPr>
      <w:r>
        <w:t>Extensive evidence shows that having good-quality relationships can help us to live longer and happier lives with fewer mental health problems. Having close, positive relationships can give us a purpose and sense of belonging.</w:t>
      </w:r>
    </w:p>
    <w:p w14:paraId="468A9C2A" w14:textId="3FD6D236" w:rsidR="006E4C23" w:rsidRDefault="006E4C23" w:rsidP="00953697">
      <w:pPr>
        <w:pStyle w:val="Heading4"/>
      </w:pPr>
      <w:r w:rsidRPr="006E4C23">
        <w:t xml:space="preserve">Key </w:t>
      </w:r>
      <w:r>
        <w:t>stakeholder feedback</w:t>
      </w:r>
    </w:p>
    <w:p w14:paraId="2F4B4353" w14:textId="6920029A" w:rsidR="006E4C23" w:rsidRDefault="00DF3065" w:rsidP="00953697">
      <w:pPr>
        <w:pStyle w:val="ListBullet"/>
      </w:pPr>
      <w:r>
        <w:t>“</w:t>
      </w:r>
      <w:r w:rsidR="006E4C23">
        <w:t>The impact of the team on personal wellbeing cannot be underestimated</w:t>
      </w:r>
      <w:r>
        <w:t>”</w:t>
      </w:r>
    </w:p>
    <w:p w14:paraId="5103B308" w14:textId="215A9CD1" w:rsidR="006E4C23" w:rsidRDefault="00DF3065" w:rsidP="00953697">
      <w:pPr>
        <w:pStyle w:val="ListBullet"/>
      </w:pPr>
      <w:r>
        <w:t>“</w:t>
      </w:r>
      <w:r w:rsidR="006E4C23">
        <w:t>Transparency and accountability when driving cultural change is essential</w:t>
      </w:r>
      <w:r>
        <w:t>”</w:t>
      </w:r>
    </w:p>
    <w:p w14:paraId="67840207" w14:textId="363FB7BD" w:rsidR="006E4C23" w:rsidRDefault="00DF3065" w:rsidP="00953697">
      <w:pPr>
        <w:pStyle w:val="ListBullet"/>
      </w:pPr>
      <w:r>
        <w:t>“</w:t>
      </w:r>
      <w:r w:rsidR="006E4C23">
        <w:t>Health and wellbeing is a two-way relationship between our NHS people and organisational leaders</w:t>
      </w:r>
      <w:r>
        <w:t>”</w:t>
      </w:r>
    </w:p>
    <w:p w14:paraId="5296CE2B" w14:textId="7A07159E" w:rsidR="006E4C23" w:rsidRDefault="002A33F2" w:rsidP="00953697">
      <w:pPr>
        <w:pStyle w:val="Heading4"/>
      </w:pPr>
      <w:r>
        <w:t xml:space="preserve">Snapshot of </w:t>
      </w:r>
      <w:r w:rsidR="00DF3065">
        <w:t>people’s</w:t>
      </w:r>
      <w:r>
        <w:t xml:space="preserve"> experience</w:t>
      </w:r>
    </w:p>
    <w:p w14:paraId="133A1B5F" w14:textId="746D6C45" w:rsidR="002A33F2" w:rsidRDefault="002A33F2" w:rsidP="00953697">
      <w:pPr>
        <w:pStyle w:val="ListBullet"/>
      </w:pPr>
      <w:r>
        <w:t>28.5% of NHS people reported experiencing bullying in the last 12 months, with 12.3% of NHS people experiencing bullying and/or harassment at work from managers and 19% from other colleagues</w:t>
      </w:r>
      <w:r w:rsidR="009143A8">
        <w:t xml:space="preserve"> </w:t>
      </w:r>
      <w:r w:rsidR="009143A8" w:rsidRPr="00C01E33">
        <w:rPr>
          <w:vertAlign w:val="superscript"/>
        </w:rPr>
        <w:t>(</w:t>
      </w:r>
      <w:r w:rsidR="009143A8">
        <w:rPr>
          <w:vertAlign w:val="superscript"/>
        </w:rPr>
        <w:t>42</w:t>
      </w:r>
      <w:r w:rsidR="009143A8" w:rsidRPr="00C01E33">
        <w:rPr>
          <w:vertAlign w:val="superscript"/>
        </w:rPr>
        <w:t>)</w:t>
      </w:r>
    </w:p>
    <w:p w14:paraId="64E39CED" w14:textId="7A2C01E6" w:rsidR="002A33F2" w:rsidRDefault="002A33F2" w:rsidP="00953697">
      <w:pPr>
        <w:pStyle w:val="ListBullet"/>
      </w:pPr>
      <w:r>
        <w:t>Research in 2018 estimated the cost of bullying and harassment to the NHS as over £2.3 billion per annum</w:t>
      </w:r>
      <w:r w:rsidR="009143A8">
        <w:t xml:space="preserve"> </w:t>
      </w:r>
      <w:r w:rsidR="009143A8" w:rsidRPr="00C01E33">
        <w:rPr>
          <w:vertAlign w:val="superscript"/>
        </w:rPr>
        <w:t>(</w:t>
      </w:r>
      <w:r w:rsidR="009143A8">
        <w:rPr>
          <w:vertAlign w:val="superscript"/>
        </w:rPr>
        <w:t>41</w:t>
      </w:r>
      <w:r w:rsidR="009143A8" w:rsidRPr="00C01E33">
        <w:rPr>
          <w:vertAlign w:val="superscript"/>
        </w:rPr>
        <w:t>)</w:t>
      </w:r>
    </w:p>
    <w:p w14:paraId="04D0363C" w14:textId="3DA7077C" w:rsidR="002A33F2" w:rsidRPr="006E4C23" w:rsidRDefault="002A33F2" w:rsidP="00953697">
      <w:pPr>
        <w:pStyle w:val="ListBullet"/>
      </w:pPr>
      <w:r>
        <w:t>Employees who acted collaboratively stuck at their tasks 64% longer than their solitary peers, whilst also reporting higher engagement levels, lower fatigue levels and higher success rates</w:t>
      </w:r>
      <w:r w:rsidR="009143A8">
        <w:t xml:space="preserve"> </w:t>
      </w:r>
      <w:r w:rsidR="009143A8" w:rsidRPr="00C01E33">
        <w:rPr>
          <w:vertAlign w:val="superscript"/>
        </w:rPr>
        <w:t>(</w:t>
      </w:r>
      <w:r w:rsidR="009143A8">
        <w:rPr>
          <w:vertAlign w:val="superscript"/>
        </w:rPr>
        <w:t>39</w:t>
      </w:r>
      <w:r w:rsidR="009143A8" w:rsidRPr="00C01E33">
        <w:rPr>
          <w:vertAlign w:val="superscript"/>
        </w:rPr>
        <w:t>)</w:t>
      </w:r>
    </w:p>
    <w:p w14:paraId="33419DF3" w14:textId="77777777" w:rsidR="00953697" w:rsidRDefault="00953697" w:rsidP="00BA2344">
      <w:pPr>
        <w:pStyle w:val="BodyText2"/>
        <w:rPr>
          <w:b/>
          <w:bCs/>
        </w:rPr>
        <w:sectPr w:rsidR="00953697" w:rsidSect="00AD60EE">
          <w:pgSz w:w="11907" w:h="16840" w:code="9"/>
          <w:pgMar w:top="1985" w:right="1928" w:bottom="1247" w:left="1077" w:header="851" w:footer="510" w:gutter="0"/>
          <w:cols w:space="708"/>
          <w:docGrid w:linePitch="360"/>
        </w:sectPr>
      </w:pPr>
    </w:p>
    <w:p w14:paraId="0CF0F45F" w14:textId="1BA8BC04" w:rsidR="00BA2344" w:rsidRDefault="00BA2344" w:rsidP="00953697">
      <w:pPr>
        <w:pStyle w:val="Heading3"/>
      </w:pPr>
      <w:bookmarkStart w:id="11" w:name="_Toc80378710"/>
      <w:r w:rsidRPr="00BA2344">
        <w:lastRenderedPageBreak/>
        <w:t>Fulfilment at work</w:t>
      </w:r>
      <w:bookmarkEnd w:id="11"/>
    </w:p>
    <w:p w14:paraId="6BBC9CB8" w14:textId="53ED7D36" w:rsidR="00BA2344" w:rsidRDefault="00BA2344" w:rsidP="00BA2344">
      <w:pPr>
        <w:pStyle w:val="BodyText2"/>
      </w:pPr>
      <w:r>
        <w:t>How our work at the NHS inspires our NHS people</w:t>
      </w:r>
      <w:r w:rsidR="006F6509">
        <w:t xml:space="preserve"> </w:t>
      </w:r>
      <w:r>
        <w:t>and how we support their growth and passion. Section</w:t>
      </w:r>
      <w:r w:rsidR="00DF3065">
        <w:t>’</w:t>
      </w:r>
      <w:r>
        <w:t xml:space="preserve">s cover: </w:t>
      </w:r>
    </w:p>
    <w:p w14:paraId="7A627D89" w14:textId="1C0FD381" w:rsidR="00DF3065" w:rsidRPr="002A33F2" w:rsidRDefault="00DF3065" w:rsidP="00DF3065">
      <w:pPr>
        <w:pStyle w:val="ListBullet"/>
        <w:rPr>
          <w:b/>
          <w:bCs/>
        </w:rPr>
      </w:pPr>
      <w:r>
        <w:t>bringing your whole self to work</w:t>
      </w:r>
    </w:p>
    <w:p w14:paraId="60C04651" w14:textId="597B4281" w:rsidR="00BA2344" w:rsidRPr="00DF3065" w:rsidRDefault="00BA2344" w:rsidP="00953697">
      <w:pPr>
        <w:pStyle w:val="ListBullet"/>
        <w:rPr>
          <w:b/>
          <w:bCs/>
        </w:rPr>
      </w:pPr>
      <w:r>
        <w:t>life balance</w:t>
      </w:r>
    </w:p>
    <w:p w14:paraId="1A54CD8A" w14:textId="77777777" w:rsidR="00DF3065" w:rsidRPr="00BA2344" w:rsidRDefault="00DF3065" w:rsidP="00DF3065">
      <w:pPr>
        <w:pStyle w:val="ListBullet"/>
        <w:rPr>
          <w:b/>
          <w:bCs/>
        </w:rPr>
      </w:pPr>
      <w:r>
        <w:t>purpose, potential and recognition</w:t>
      </w:r>
    </w:p>
    <w:p w14:paraId="68B34001" w14:textId="77777777" w:rsidR="00DF3065" w:rsidRPr="00BA2344" w:rsidRDefault="00DF3065" w:rsidP="00DF3065">
      <w:pPr>
        <w:pStyle w:val="ListBullet"/>
        <w:numPr>
          <w:ilvl w:val="0"/>
          <w:numId w:val="0"/>
        </w:numPr>
        <w:ind w:left="567"/>
        <w:rPr>
          <w:b/>
          <w:bCs/>
        </w:rPr>
      </w:pPr>
    </w:p>
    <w:p w14:paraId="06894753" w14:textId="0E488D40" w:rsidR="002A33F2" w:rsidRDefault="002A33F2" w:rsidP="002A33F2">
      <w:pPr>
        <w:pStyle w:val="BodyText2"/>
      </w:pPr>
      <w:r>
        <w:t xml:space="preserve">Fulfilment at work encompasses not only the work we do on a </w:t>
      </w:r>
      <w:r w:rsidR="004B5C1A">
        <w:t>day-to-day</w:t>
      </w:r>
      <w:r>
        <w:t xml:space="preserve"> basis</w:t>
      </w:r>
      <w:r w:rsidR="006F6509">
        <w:t xml:space="preserve"> </w:t>
      </w:r>
      <w:r>
        <w:t xml:space="preserve">but a range of themes and activities that together form a critical component of an </w:t>
      </w:r>
      <w:r w:rsidR="004B5C1A">
        <w:t>individual’s</w:t>
      </w:r>
      <w:r>
        <w:t xml:space="preserve"> health and wellbeing. This</w:t>
      </w:r>
      <w:r w:rsidR="009143A8">
        <w:t xml:space="preserve"> includes enabling the diversity of our NHS people to bring their whole self to work, enabling life balance, and helping our talented people reach their full potential</w:t>
      </w:r>
      <w:r>
        <w:t>.</w:t>
      </w:r>
    </w:p>
    <w:p w14:paraId="7937FFEF" w14:textId="77777777" w:rsidR="002A33F2" w:rsidRPr="002A33F2" w:rsidRDefault="002A33F2" w:rsidP="00953697">
      <w:pPr>
        <w:pStyle w:val="Heading4"/>
        <w:rPr>
          <w:bCs/>
        </w:rPr>
      </w:pPr>
      <w:r>
        <w:t xml:space="preserve">Key stakeholder feedback </w:t>
      </w:r>
    </w:p>
    <w:p w14:paraId="3BBB874E" w14:textId="0B5F1BAE" w:rsidR="002A33F2" w:rsidRPr="002A33F2" w:rsidRDefault="001D0B2B" w:rsidP="00953697">
      <w:pPr>
        <w:pStyle w:val="ListBullet"/>
        <w:rPr>
          <w:b/>
          <w:bCs/>
        </w:rPr>
      </w:pPr>
      <w:r>
        <w:t>“</w:t>
      </w:r>
      <w:r w:rsidR="002A33F2">
        <w:t>Equality, diversity</w:t>
      </w:r>
      <w:r w:rsidR="006F6509">
        <w:t xml:space="preserve"> </w:t>
      </w:r>
      <w:r w:rsidR="002A33F2">
        <w:t>and inclusion themes need to be heavily embedded in our approach to health and wellbeing</w:t>
      </w:r>
      <w:r>
        <w:t>”</w:t>
      </w:r>
      <w:r w:rsidR="009143A8">
        <w:t xml:space="preserve"> </w:t>
      </w:r>
    </w:p>
    <w:p w14:paraId="3C4ADB59" w14:textId="4F88025B" w:rsidR="002A33F2" w:rsidRPr="002A33F2" w:rsidRDefault="001D0B2B" w:rsidP="00953697">
      <w:pPr>
        <w:pStyle w:val="ListBullet"/>
        <w:rPr>
          <w:b/>
          <w:bCs/>
        </w:rPr>
      </w:pPr>
      <w:r>
        <w:t>“</w:t>
      </w:r>
      <w:r w:rsidR="002A33F2">
        <w:t>Job redesign is essential but it needs to be enabled by effective and compassionate people policy</w:t>
      </w:r>
      <w:r>
        <w:t>”</w:t>
      </w:r>
      <w:r w:rsidR="002A33F2">
        <w:t xml:space="preserve"> </w:t>
      </w:r>
    </w:p>
    <w:p w14:paraId="0B9B425E" w14:textId="60F30907" w:rsidR="002A33F2" w:rsidRPr="002A33F2" w:rsidRDefault="001D0B2B" w:rsidP="00953697">
      <w:pPr>
        <w:pStyle w:val="ListBullet"/>
        <w:rPr>
          <w:b/>
          <w:bCs/>
        </w:rPr>
      </w:pPr>
      <w:r>
        <w:t>“</w:t>
      </w:r>
      <w:r w:rsidR="002A33F2">
        <w:t>Supporting our NHS people to develop will lead to a more effective and engaged workforce</w:t>
      </w:r>
      <w:r>
        <w:t>”</w:t>
      </w:r>
      <w:r w:rsidR="00D25416">
        <w:t xml:space="preserve"> </w:t>
      </w:r>
    </w:p>
    <w:p w14:paraId="0A45C8F1" w14:textId="6B202763" w:rsidR="002A33F2" w:rsidRPr="002A33F2" w:rsidRDefault="002A33F2" w:rsidP="00953697">
      <w:pPr>
        <w:pStyle w:val="Heading4"/>
        <w:rPr>
          <w:bCs/>
        </w:rPr>
      </w:pPr>
      <w:r>
        <w:t>Snapshot of people</w:t>
      </w:r>
      <w:r w:rsidR="001D0B2B">
        <w:t>’s</w:t>
      </w:r>
      <w:r>
        <w:t xml:space="preserve"> experience </w:t>
      </w:r>
    </w:p>
    <w:p w14:paraId="74DF16F3" w14:textId="79382B2C" w:rsidR="002A33F2" w:rsidRPr="002A33F2" w:rsidRDefault="002A33F2" w:rsidP="00953697">
      <w:pPr>
        <w:pStyle w:val="ListBullet"/>
        <w:rPr>
          <w:b/>
          <w:bCs/>
        </w:rPr>
      </w:pPr>
      <w:r>
        <w:t xml:space="preserve">Disabled NHS people are 9% more likely, compared to non-disabled NHS people, to be pressured to come into work despite not feeling well enough to perform their duties (32.0% vs. 23.0%) </w:t>
      </w:r>
      <w:r w:rsidR="00D25416" w:rsidRPr="00C01E33">
        <w:rPr>
          <w:vertAlign w:val="superscript"/>
        </w:rPr>
        <w:t>(</w:t>
      </w:r>
      <w:r w:rsidR="00D25416">
        <w:rPr>
          <w:vertAlign w:val="superscript"/>
        </w:rPr>
        <w:t>50</w:t>
      </w:r>
      <w:r w:rsidR="00D25416" w:rsidRPr="00C01E33">
        <w:rPr>
          <w:vertAlign w:val="superscript"/>
        </w:rPr>
        <w:t>)</w:t>
      </w:r>
    </w:p>
    <w:p w14:paraId="5443E864" w14:textId="416D1ECD" w:rsidR="002A33F2" w:rsidRPr="002A33F2" w:rsidRDefault="002A33F2" w:rsidP="00953697">
      <w:pPr>
        <w:pStyle w:val="ListBullet"/>
        <w:rPr>
          <w:b/>
          <w:bCs/>
        </w:rPr>
      </w:pPr>
      <w:r>
        <w:t xml:space="preserve">Just 40.7% of black and minority ethnic NHS people believed that their organisation provided equal opportunities for career progression or promotion compared to 88.3% for white NHS people </w:t>
      </w:r>
      <w:r w:rsidR="00D25416" w:rsidRPr="00C01E33">
        <w:rPr>
          <w:vertAlign w:val="superscript"/>
        </w:rPr>
        <w:t>(</w:t>
      </w:r>
      <w:r w:rsidR="00D25416">
        <w:rPr>
          <w:vertAlign w:val="superscript"/>
        </w:rPr>
        <w:t>5</w:t>
      </w:r>
      <w:r w:rsidR="00D25416" w:rsidRPr="00C01E33">
        <w:rPr>
          <w:vertAlign w:val="superscript"/>
        </w:rPr>
        <w:t>2)</w:t>
      </w:r>
    </w:p>
    <w:p w14:paraId="197F9134" w14:textId="07D667DD" w:rsidR="00953697" w:rsidRPr="00D25416" w:rsidRDefault="002A33F2" w:rsidP="00EF3EF9">
      <w:pPr>
        <w:pStyle w:val="ListBullet"/>
        <w:rPr>
          <w:b/>
          <w:bCs/>
        </w:rPr>
        <w:sectPr w:rsidR="00953697" w:rsidRPr="00D25416" w:rsidSect="00AD60EE">
          <w:pgSz w:w="11907" w:h="16840" w:code="9"/>
          <w:pgMar w:top="1985" w:right="1928" w:bottom="1247" w:left="1077" w:header="851" w:footer="510" w:gutter="0"/>
          <w:cols w:space="708"/>
          <w:docGrid w:linePitch="360"/>
        </w:sectPr>
      </w:pPr>
      <w:r>
        <w:t>White applicants were 1.61 times more likely to be appointed from shortlisting compared to black and minority ethnic applicants. This is worse than in 2019 (1.46) which itself showed no improvement on the previous year. There has been year on year fluctuation but no overall improvement over the past five years. It was 1.60 in 2017</w:t>
      </w:r>
      <w:r w:rsidR="00D25416">
        <w:t xml:space="preserve"> </w:t>
      </w:r>
      <w:r w:rsidR="00D25416" w:rsidRPr="00D25416">
        <w:rPr>
          <w:vertAlign w:val="superscript"/>
        </w:rPr>
        <w:t>(</w:t>
      </w:r>
      <w:r w:rsidR="00D25416">
        <w:rPr>
          <w:vertAlign w:val="superscript"/>
        </w:rPr>
        <w:t>106</w:t>
      </w:r>
      <w:r w:rsidR="00D25416" w:rsidRPr="00D25416">
        <w:rPr>
          <w:vertAlign w:val="superscript"/>
        </w:rPr>
        <w:t>)</w:t>
      </w:r>
    </w:p>
    <w:p w14:paraId="65CBC7C4" w14:textId="1CD1037D" w:rsidR="00BA2344" w:rsidRPr="00BA2344" w:rsidRDefault="00BA2344" w:rsidP="00953697">
      <w:pPr>
        <w:pStyle w:val="Heading3"/>
      </w:pPr>
      <w:bookmarkStart w:id="12" w:name="_Toc80378711"/>
      <w:r w:rsidRPr="00BA2344">
        <w:lastRenderedPageBreak/>
        <w:t>Managers and leaders</w:t>
      </w:r>
      <w:bookmarkEnd w:id="12"/>
    </w:p>
    <w:p w14:paraId="67D097DF" w14:textId="478D4D14" w:rsidR="00BA2344" w:rsidRDefault="00BA2344" w:rsidP="00810D8B">
      <w:pPr>
        <w:pStyle w:val="BodyText2"/>
      </w:pPr>
      <w:r>
        <w:t>How our leaders and managers across all levels of the NHS provide health and wellbeing support as part of their role. Section</w:t>
      </w:r>
      <w:r w:rsidR="001D0B2B">
        <w:t>’</w:t>
      </w:r>
      <w:r>
        <w:t>s cover:</w:t>
      </w:r>
    </w:p>
    <w:p w14:paraId="5FE42EFE" w14:textId="77777777" w:rsidR="00BA2344" w:rsidRDefault="00BA2344" w:rsidP="00953697">
      <w:pPr>
        <w:pStyle w:val="ListBullet"/>
      </w:pPr>
      <w:r>
        <w:t>senior manager responsibilities</w:t>
      </w:r>
    </w:p>
    <w:p w14:paraId="5472A8C2" w14:textId="77777777" w:rsidR="00BA2344" w:rsidRDefault="00BA2344" w:rsidP="00953697">
      <w:pPr>
        <w:pStyle w:val="ListBullet"/>
      </w:pPr>
      <w:r>
        <w:t>healthy leadership behaviours</w:t>
      </w:r>
    </w:p>
    <w:p w14:paraId="2AF83559" w14:textId="6DE11773" w:rsidR="00810D8B" w:rsidRDefault="00BA2344" w:rsidP="00953697">
      <w:pPr>
        <w:pStyle w:val="ListBullet"/>
      </w:pPr>
      <w:r>
        <w:t>skilled managers</w:t>
      </w:r>
    </w:p>
    <w:p w14:paraId="6F4D9B8C" w14:textId="77777777" w:rsidR="00953697" w:rsidRDefault="00953697" w:rsidP="00953697">
      <w:pPr>
        <w:pStyle w:val="ListBullet"/>
        <w:numPr>
          <w:ilvl w:val="0"/>
          <w:numId w:val="0"/>
        </w:numPr>
        <w:ind w:left="851"/>
      </w:pPr>
    </w:p>
    <w:p w14:paraId="7682E02D" w14:textId="180CBDBF" w:rsidR="002A33F2" w:rsidRDefault="002A33F2" w:rsidP="002A33F2">
      <w:pPr>
        <w:pStyle w:val="BodyText2"/>
      </w:pPr>
      <w:r>
        <w:t>Our managers and leaders are fundamental to creating positive and healthy working environments for our diverse NHS people. Th</w:t>
      </w:r>
      <w:r w:rsidR="00D25416">
        <w:t xml:space="preserve">is includes </w:t>
      </w:r>
      <w:r>
        <w:t>the responsibilities of senior leaders, what healthy behaviours look like for the leaders across our organisations and the importance of skilled and supported managers in helping to build and sustain cultures of health and wellbeing.</w:t>
      </w:r>
    </w:p>
    <w:p w14:paraId="6ECF2976" w14:textId="77777777" w:rsidR="002A33F2" w:rsidRDefault="002A33F2" w:rsidP="00953697">
      <w:pPr>
        <w:pStyle w:val="Heading4"/>
      </w:pPr>
      <w:r>
        <w:t xml:space="preserve">Key stakeholder feedback </w:t>
      </w:r>
    </w:p>
    <w:p w14:paraId="7664A098" w14:textId="48598B46" w:rsidR="002A33F2" w:rsidRDefault="001D0B2B" w:rsidP="00953697">
      <w:pPr>
        <w:pStyle w:val="ListBullet"/>
      </w:pPr>
      <w:r>
        <w:t>“</w:t>
      </w:r>
      <w:r w:rsidR="002A33F2">
        <w:t xml:space="preserve">Health and wellbeing </w:t>
      </w:r>
      <w:r w:rsidR="00AA3969">
        <w:t>must</w:t>
      </w:r>
      <w:r w:rsidR="002A33F2">
        <w:t xml:space="preserve"> be at the top of the leadership agenda</w:t>
      </w:r>
      <w:r>
        <w:t>”</w:t>
      </w:r>
    </w:p>
    <w:p w14:paraId="0C7D174C" w14:textId="16FE90E2" w:rsidR="002A33F2" w:rsidRDefault="001D0B2B" w:rsidP="00953697">
      <w:pPr>
        <w:pStyle w:val="ListBullet"/>
      </w:pPr>
      <w:r>
        <w:t>“</w:t>
      </w:r>
      <w:r w:rsidR="002A33F2">
        <w:t>Managers at all levels are at the centre of an individual’s work experience and wellbeing</w:t>
      </w:r>
      <w:r>
        <w:t>”</w:t>
      </w:r>
      <w:r w:rsidR="002A33F2">
        <w:t xml:space="preserve"> </w:t>
      </w:r>
    </w:p>
    <w:p w14:paraId="1CAAA9F1" w14:textId="3399C44B" w:rsidR="002A33F2" w:rsidRDefault="001D0B2B" w:rsidP="00953697">
      <w:pPr>
        <w:pStyle w:val="ListBullet"/>
      </w:pPr>
      <w:r>
        <w:t>“</w:t>
      </w:r>
      <w:r w:rsidR="002A33F2">
        <w:t>Managers need training and given the right tools to effectively support their teams</w:t>
      </w:r>
      <w:r>
        <w:t>”</w:t>
      </w:r>
    </w:p>
    <w:p w14:paraId="5E388B97" w14:textId="5B4C9430" w:rsidR="002A33F2" w:rsidRDefault="002A33F2" w:rsidP="00953697">
      <w:pPr>
        <w:pStyle w:val="Heading4"/>
      </w:pPr>
      <w:r>
        <w:t>Snapshot of people</w:t>
      </w:r>
      <w:r w:rsidR="001D0B2B">
        <w:t>’s</w:t>
      </w:r>
      <w:r>
        <w:t xml:space="preserve"> experience </w:t>
      </w:r>
    </w:p>
    <w:p w14:paraId="4F39769E" w14:textId="4B1DC045" w:rsidR="002A33F2" w:rsidRDefault="002A33F2" w:rsidP="00953697">
      <w:pPr>
        <w:pStyle w:val="ListBullet"/>
      </w:pPr>
      <w:r>
        <w:t xml:space="preserve">Only 43.4% of our NHS people feel that communication between senior management and NHS people is effective </w:t>
      </w:r>
      <w:r w:rsidR="00D25416" w:rsidRPr="00C01E33">
        <w:rPr>
          <w:vertAlign w:val="superscript"/>
        </w:rPr>
        <w:t>(</w:t>
      </w:r>
      <w:r w:rsidR="00D25416">
        <w:rPr>
          <w:vertAlign w:val="superscript"/>
        </w:rPr>
        <w:t>74</w:t>
      </w:r>
      <w:r w:rsidR="00D25416" w:rsidRPr="00C01E33">
        <w:rPr>
          <w:vertAlign w:val="superscript"/>
        </w:rPr>
        <w:t>)</w:t>
      </w:r>
    </w:p>
    <w:p w14:paraId="6C11F059" w14:textId="61AB0FA4" w:rsidR="002A33F2" w:rsidRDefault="002A33F2" w:rsidP="00953697">
      <w:pPr>
        <w:pStyle w:val="ListBullet"/>
      </w:pPr>
      <w:r>
        <w:t>69% of employees that participated in a recent study identified that the behaviour of their managers had increased their stress and that the rise in stress had a major impact on organisational performance</w:t>
      </w:r>
      <w:r w:rsidR="00D25416">
        <w:t xml:space="preserve"> </w:t>
      </w:r>
      <w:r w:rsidR="00D25416" w:rsidRPr="00C01E33">
        <w:rPr>
          <w:vertAlign w:val="superscript"/>
        </w:rPr>
        <w:t>(</w:t>
      </w:r>
      <w:r w:rsidR="00D25416">
        <w:rPr>
          <w:vertAlign w:val="superscript"/>
        </w:rPr>
        <w:t>85</w:t>
      </w:r>
      <w:r w:rsidR="00D25416" w:rsidRPr="00C01E33">
        <w:rPr>
          <w:vertAlign w:val="superscript"/>
        </w:rPr>
        <w:t>)</w:t>
      </w:r>
      <w:r w:rsidR="00D25416">
        <w:t xml:space="preserve"> </w:t>
      </w:r>
    </w:p>
    <w:p w14:paraId="28E7D07C" w14:textId="1D1739F8" w:rsidR="00953697" w:rsidRPr="00D25416" w:rsidRDefault="002A33F2" w:rsidP="00BA2344">
      <w:pPr>
        <w:pStyle w:val="ListBullet"/>
        <w:sectPr w:rsidR="00953697" w:rsidRPr="00D25416" w:rsidSect="00AD60EE">
          <w:pgSz w:w="11907" w:h="16840" w:code="9"/>
          <w:pgMar w:top="1985" w:right="1928" w:bottom="1247" w:left="1077" w:header="851" w:footer="510" w:gutter="0"/>
          <w:cols w:space="708"/>
          <w:docGrid w:linePitch="360"/>
        </w:sectPr>
      </w:pPr>
      <w:r>
        <w:t>Only 33.9% of our NHS people felt that senior managers act on feedback</w:t>
      </w:r>
      <w:r w:rsidR="00D25416">
        <w:t xml:space="preserve"> </w:t>
      </w:r>
      <w:r w:rsidR="00D25416" w:rsidRPr="00D25416">
        <w:rPr>
          <w:vertAlign w:val="superscript"/>
        </w:rPr>
        <w:t>(</w:t>
      </w:r>
      <w:r w:rsidR="00D25416">
        <w:rPr>
          <w:vertAlign w:val="superscript"/>
        </w:rPr>
        <w:t>77</w:t>
      </w:r>
      <w:r w:rsidR="00D25416" w:rsidRPr="00D25416">
        <w:rPr>
          <w:vertAlign w:val="superscript"/>
        </w:rPr>
        <w:t>)</w:t>
      </w:r>
    </w:p>
    <w:p w14:paraId="282D0459" w14:textId="0B9D3430" w:rsidR="00BA2344" w:rsidRDefault="00BA2344" w:rsidP="00953697">
      <w:pPr>
        <w:pStyle w:val="Heading3"/>
      </w:pPr>
      <w:bookmarkStart w:id="13" w:name="_Toc80378712"/>
      <w:r w:rsidRPr="00BA2344">
        <w:lastRenderedPageBreak/>
        <w:t>Environment</w:t>
      </w:r>
      <w:bookmarkEnd w:id="13"/>
    </w:p>
    <w:p w14:paraId="6334329A" w14:textId="2400B729" w:rsidR="00BA2344" w:rsidRDefault="00BA2344" w:rsidP="00BA2344">
      <w:pPr>
        <w:pStyle w:val="BodyText2"/>
      </w:pPr>
      <w:r>
        <w:t xml:space="preserve">Physical workspaces and the facilities available </w:t>
      </w:r>
      <w:r w:rsidR="001D0B2B">
        <w:t>for</w:t>
      </w:r>
      <w:r>
        <w:t xml:space="preserve"> our people to rest, recover and succeed.</w:t>
      </w:r>
    </w:p>
    <w:p w14:paraId="2F05136E" w14:textId="27C0445A" w:rsidR="002A33F2" w:rsidRDefault="002A33F2" w:rsidP="00BA2344">
      <w:pPr>
        <w:pStyle w:val="BodyText2"/>
      </w:pPr>
      <w:r>
        <w:t>A healthy workplace is one where workers and managers collaborate to continually improve the health, safety and wellbeing of all workers and by doing this, sustain the productivity of the business. Given we spend one third of our lives at work, the working environment can have a significant impact on our health and wellbeing. Getting the basics right, such as clean restrooms with locks on the toilets, proper space dedicated for lunch/breaks and access to drinking water is vitally important and should not be underestimated. Additionally, workers need a work environment in which there is not only an absence of harmful conditions that can cause injury and illness but one that supports healthy choices and offers resources to actively encourage healthy behaviour.</w:t>
      </w:r>
    </w:p>
    <w:p w14:paraId="793CEF36" w14:textId="77777777" w:rsidR="002A33F2" w:rsidRDefault="002A33F2" w:rsidP="00953697">
      <w:pPr>
        <w:pStyle w:val="Heading4"/>
      </w:pPr>
      <w:r>
        <w:t xml:space="preserve">Key stakeholder feedback </w:t>
      </w:r>
    </w:p>
    <w:p w14:paraId="7B6BDFCD" w14:textId="784D0984" w:rsidR="002A33F2" w:rsidRDefault="00AA3969" w:rsidP="00953697">
      <w:pPr>
        <w:pStyle w:val="ListBullet"/>
      </w:pPr>
      <w:r>
        <w:t>“</w:t>
      </w:r>
      <w:r w:rsidR="002A33F2">
        <w:t>Sometimes it</w:t>
      </w:r>
      <w:r>
        <w:t>’s</w:t>
      </w:r>
      <w:r w:rsidR="002A33F2">
        <w:t xml:space="preserve"> as straight forward as getting the basics right like space to rest, reflect and replenish </w:t>
      </w:r>
      <w:r>
        <w:t>“</w:t>
      </w:r>
    </w:p>
    <w:p w14:paraId="2493A02E" w14:textId="38DAD6EA" w:rsidR="002A33F2" w:rsidRDefault="00AA3969" w:rsidP="00953697">
      <w:pPr>
        <w:pStyle w:val="ListBullet"/>
      </w:pPr>
      <w:r>
        <w:t>“</w:t>
      </w:r>
      <w:r w:rsidR="002A33F2">
        <w:t>Organisations need to strike a balance between pastoral and clinical working environments</w:t>
      </w:r>
      <w:r>
        <w:t>”</w:t>
      </w:r>
      <w:r w:rsidR="002A33F2">
        <w:t xml:space="preserve"> </w:t>
      </w:r>
    </w:p>
    <w:p w14:paraId="02B3E278" w14:textId="514A187D" w:rsidR="002A33F2" w:rsidRDefault="00AA3969" w:rsidP="00953697">
      <w:pPr>
        <w:pStyle w:val="ListBullet"/>
      </w:pPr>
      <w:r>
        <w:t>“</w:t>
      </w:r>
      <w:r w:rsidR="002A33F2">
        <w:t>The wider economic, natural and community environment needs to be considered</w:t>
      </w:r>
      <w:r>
        <w:t>”</w:t>
      </w:r>
    </w:p>
    <w:p w14:paraId="2231A158" w14:textId="2E9541AC" w:rsidR="002A33F2" w:rsidRDefault="002A33F2" w:rsidP="00953697">
      <w:pPr>
        <w:pStyle w:val="Heading4"/>
      </w:pPr>
      <w:r>
        <w:t>Snapshot of people</w:t>
      </w:r>
      <w:r w:rsidR="00AA3969">
        <w:t>’s</w:t>
      </w:r>
      <w:r>
        <w:t xml:space="preserve"> experience </w:t>
      </w:r>
    </w:p>
    <w:p w14:paraId="59B8B501" w14:textId="0CC1931D" w:rsidR="002A33F2" w:rsidRDefault="002A33F2" w:rsidP="00953697">
      <w:pPr>
        <w:pStyle w:val="ListBullet"/>
      </w:pPr>
      <w:r>
        <w:t>4.8 million working days in human health and social work are lost each year due to workplace injury or work-related illness</w:t>
      </w:r>
      <w:r w:rsidR="00D25416">
        <w:t xml:space="preserve"> </w:t>
      </w:r>
      <w:r w:rsidR="00D25416" w:rsidRPr="00C01E33">
        <w:rPr>
          <w:vertAlign w:val="superscript"/>
        </w:rPr>
        <w:t>(</w:t>
      </w:r>
      <w:r w:rsidR="00D25416">
        <w:rPr>
          <w:vertAlign w:val="superscript"/>
        </w:rPr>
        <w:t>99</w:t>
      </w:r>
      <w:r w:rsidR="00D25416" w:rsidRPr="00C01E33">
        <w:rPr>
          <w:vertAlign w:val="superscript"/>
        </w:rPr>
        <w:t>)</w:t>
      </w:r>
      <w:r>
        <w:t xml:space="preserve"> </w:t>
      </w:r>
    </w:p>
    <w:p w14:paraId="717DD953" w14:textId="0E288F72" w:rsidR="002A33F2" w:rsidRDefault="002A33F2" w:rsidP="00953697">
      <w:pPr>
        <w:pStyle w:val="ListBullet"/>
      </w:pPr>
      <w:r>
        <w:t>Investing in green infrastructure would reduce costs to the NHS alone by £2.1bn</w:t>
      </w:r>
      <w:r w:rsidR="00D25416">
        <w:t xml:space="preserve"> </w:t>
      </w:r>
      <w:r w:rsidR="00D25416" w:rsidRPr="00C01E33">
        <w:rPr>
          <w:vertAlign w:val="superscript"/>
        </w:rPr>
        <w:t>(</w:t>
      </w:r>
      <w:r w:rsidR="00D25416">
        <w:rPr>
          <w:vertAlign w:val="superscript"/>
        </w:rPr>
        <w:t>97</w:t>
      </w:r>
      <w:r w:rsidR="00D25416" w:rsidRPr="00C01E33">
        <w:rPr>
          <w:vertAlign w:val="superscript"/>
        </w:rPr>
        <w:t>)</w:t>
      </w:r>
    </w:p>
    <w:p w14:paraId="6624A937" w14:textId="51EDAAFF" w:rsidR="002A33F2" w:rsidRPr="002A33F2" w:rsidRDefault="002A33F2" w:rsidP="00953697">
      <w:pPr>
        <w:pStyle w:val="ListBullet"/>
        <w:rPr>
          <w:b/>
          <w:bCs/>
        </w:rPr>
      </w:pPr>
      <w:r>
        <w:t xml:space="preserve">14.5% of our NHS people experienced an incident of physical violence from patients, </w:t>
      </w:r>
      <w:r w:rsidR="00AA3969">
        <w:t xml:space="preserve">patients’ relatives, </w:t>
      </w:r>
      <w:r>
        <w:t>service users</w:t>
      </w:r>
      <w:r w:rsidR="00AA3969">
        <w:t xml:space="preserve"> </w:t>
      </w:r>
      <w:r>
        <w:t xml:space="preserve">or other members of the public in the last 12 months </w:t>
      </w:r>
      <w:r w:rsidR="00D25416" w:rsidRPr="00C01E33">
        <w:rPr>
          <w:vertAlign w:val="superscript"/>
        </w:rPr>
        <w:t>(</w:t>
      </w:r>
      <w:r w:rsidR="00D25416">
        <w:rPr>
          <w:vertAlign w:val="superscript"/>
        </w:rPr>
        <w:t>3</w:t>
      </w:r>
      <w:r w:rsidR="00D25416" w:rsidRPr="00C01E33">
        <w:rPr>
          <w:vertAlign w:val="superscript"/>
        </w:rPr>
        <w:t>)</w:t>
      </w:r>
    </w:p>
    <w:p w14:paraId="4D6F8237" w14:textId="77777777" w:rsidR="002A33F2" w:rsidRDefault="002A33F2" w:rsidP="002A33F2">
      <w:pPr>
        <w:pStyle w:val="ListParagraph"/>
        <w:rPr>
          <w:b/>
          <w:bCs/>
        </w:rPr>
      </w:pPr>
    </w:p>
    <w:p w14:paraId="109A2D2E" w14:textId="77777777" w:rsidR="00953697" w:rsidRDefault="00953697" w:rsidP="00E53D7D">
      <w:pPr>
        <w:pStyle w:val="BodyText2"/>
        <w:rPr>
          <w:b/>
          <w:bCs/>
        </w:rPr>
        <w:sectPr w:rsidR="00953697" w:rsidSect="00AD60EE">
          <w:pgSz w:w="11907" w:h="16840" w:code="9"/>
          <w:pgMar w:top="1985" w:right="1928" w:bottom="1247" w:left="1077" w:header="851" w:footer="510" w:gutter="0"/>
          <w:cols w:space="708"/>
          <w:docGrid w:linePitch="360"/>
        </w:sectPr>
      </w:pPr>
    </w:p>
    <w:p w14:paraId="6FE1661E" w14:textId="3125C242" w:rsidR="00BA2344" w:rsidRPr="00E53D7D" w:rsidRDefault="00BA2344" w:rsidP="00953697">
      <w:pPr>
        <w:pStyle w:val="Heading3"/>
      </w:pPr>
      <w:bookmarkStart w:id="14" w:name="_Toc80378713"/>
      <w:r w:rsidRPr="00E53D7D">
        <w:lastRenderedPageBreak/>
        <w:t>Data insights</w:t>
      </w:r>
      <w:bookmarkEnd w:id="14"/>
    </w:p>
    <w:p w14:paraId="3764FF01" w14:textId="747FC880" w:rsidR="00BA2344" w:rsidRDefault="00BA2344" w:rsidP="00BA2344">
      <w:pPr>
        <w:pStyle w:val="BodyText2"/>
      </w:pPr>
      <w:r>
        <w:t>Our approach to understanding our health and wellbeing needs and then measuring our effectiveness in supporting them.</w:t>
      </w:r>
    </w:p>
    <w:p w14:paraId="653BC1B8" w14:textId="1C86270B" w:rsidR="00D87BAB" w:rsidRDefault="00D87BAB" w:rsidP="00BA2344">
      <w:pPr>
        <w:pStyle w:val="BodyText2"/>
      </w:pPr>
      <w:r>
        <w:t>Health and wellbeing is a broad and complex topic that is best supported by a multi-disciplinary team. Smaller organisations may commission in this support, whereas larger organisations may have access to a wider range of internal supporting services. Regardless of the size of your organisation, you should engage as much expertise as possible to ensure our diverse NHS people</w:t>
      </w:r>
      <w:r w:rsidR="004A4E52">
        <w:t>’s</w:t>
      </w:r>
      <w:r>
        <w:t xml:space="preserve"> wellbeing is supported.</w:t>
      </w:r>
    </w:p>
    <w:p w14:paraId="4A13E17B" w14:textId="6C52C460" w:rsidR="00D87BAB" w:rsidRDefault="00D87BAB" w:rsidP="00BA2344">
      <w:pPr>
        <w:pStyle w:val="BodyText2"/>
      </w:pPr>
      <w:r>
        <w:t>Good data and robust analysis are fundamental to knowing where to focus your health and wellbeing interventions and what form these should take to support the diversity of our people. Furthermore, it also enables you to measure whether they are having the desired impact or not</w:t>
      </w:r>
      <w:r w:rsidR="006F6509">
        <w:t xml:space="preserve"> </w:t>
      </w:r>
      <w:r>
        <w:t>and therefore whether it is worth expanding, adapting or stopping implementation. Data used in the right way will help your organisation understand the specific health and wellbeing needs of individuals and diverse groups of our NHS people, helping your organisation focus on preventative measures rather than reactive interventions.</w:t>
      </w:r>
    </w:p>
    <w:p w14:paraId="40209FCC" w14:textId="3B8079D2" w:rsidR="00D87BAB" w:rsidRDefault="00D87BAB" w:rsidP="00953697">
      <w:pPr>
        <w:pStyle w:val="Heading4"/>
      </w:pPr>
      <w:r>
        <w:t>Key stakeholder feedback</w:t>
      </w:r>
    </w:p>
    <w:p w14:paraId="4ACE312C" w14:textId="7B91EEC9" w:rsidR="00D87BAB" w:rsidRDefault="004A4E52" w:rsidP="00953697">
      <w:pPr>
        <w:pStyle w:val="ListBullet"/>
      </w:pPr>
      <w:r>
        <w:t>“</w:t>
      </w:r>
      <w:r w:rsidR="00D87BAB">
        <w:t>The relationship with occupational health needs to develop from performance management tool to driver of proactive health and wellbeing</w:t>
      </w:r>
      <w:r>
        <w:t>”</w:t>
      </w:r>
    </w:p>
    <w:p w14:paraId="152EB797" w14:textId="5739BA9A" w:rsidR="00D87BAB" w:rsidRDefault="004A4E52" w:rsidP="00953697">
      <w:pPr>
        <w:pStyle w:val="ListBullet"/>
      </w:pPr>
      <w:r>
        <w:t>“</w:t>
      </w:r>
      <w:r w:rsidR="00D87BAB">
        <w:t xml:space="preserve">Health and wellbeing </w:t>
      </w:r>
      <w:r>
        <w:t xml:space="preserve">must </w:t>
      </w:r>
      <w:r w:rsidR="00D87BAB">
        <w:t>be on the human resources agenda</w:t>
      </w:r>
      <w:r>
        <w:t>”</w:t>
      </w:r>
    </w:p>
    <w:p w14:paraId="2B16C34D" w14:textId="635739D6" w:rsidR="00D87BAB" w:rsidRDefault="004A4E52" w:rsidP="00953697">
      <w:pPr>
        <w:pStyle w:val="ListBullet"/>
      </w:pPr>
      <w:r>
        <w:t>“</w:t>
      </w:r>
      <w:r w:rsidR="00D87BAB">
        <w:t>An effective health and wellbeing strategy is successful when integrated across all support areas not just through siloed interventions</w:t>
      </w:r>
      <w:r>
        <w:t>”</w:t>
      </w:r>
    </w:p>
    <w:p w14:paraId="7BA7831C" w14:textId="69533305" w:rsidR="00D87BAB" w:rsidRDefault="00D87BAB" w:rsidP="00953697">
      <w:pPr>
        <w:pStyle w:val="Heading4"/>
      </w:pPr>
      <w:r>
        <w:t>Data insights</w:t>
      </w:r>
    </w:p>
    <w:p w14:paraId="0EA9058F" w14:textId="7DEE9A97" w:rsidR="00D87BAB" w:rsidRDefault="00D87BAB" w:rsidP="0036422A">
      <w:pPr>
        <w:pStyle w:val="ListBullet"/>
      </w:pPr>
      <w:r>
        <w:t>Organisations need to have the capability to understand the health and wellbeing needs of our people</w:t>
      </w:r>
    </w:p>
    <w:p w14:paraId="45AD8426" w14:textId="52D0FA87" w:rsidR="00D87BAB" w:rsidRDefault="00D87BAB" w:rsidP="0036422A">
      <w:pPr>
        <w:pStyle w:val="ListBullet"/>
      </w:pPr>
      <w:r>
        <w:t>Interventions are most useful when targeted based on the relevant populations</w:t>
      </w:r>
      <w:r w:rsidR="004A4E52">
        <w:t xml:space="preserve"> at risk</w:t>
      </w:r>
    </w:p>
    <w:p w14:paraId="1E1F62DC" w14:textId="525334C7" w:rsidR="00D87BAB" w:rsidRDefault="00D87BAB" w:rsidP="0036422A">
      <w:pPr>
        <w:pStyle w:val="ListBullet"/>
      </w:pPr>
      <w:r>
        <w:t>Measuring the effectiveness of interventions is the only</w:t>
      </w:r>
      <w:r w:rsidR="004A4E52">
        <w:t xml:space="preserve"> way</w:t>
      </w:r>
      <w:r>
        <w:t xml:space="preserve"> we can understand what works best in an NHS setting</w:t>
      </w:r>
    </w:p>
    <w:p w14:paraId="6CA18965" w14:textId="77777777" w:rsidR="00953697" w:rsidRDefault="00953697" w:rsidP="00BA2344">
      <w:pPr>
        <w:pStyle w:val="BodyText2"/>
        <w:rPr>
          <w:b/>
          <w:bCs/>
        </w:rPr>
        <w:sectPr w:rsidR="00953697" w:rsidSect="00AD60EE">
          <w:pgSz w:w="11907" w:h="16840" w:code="9"/>
          <w:pgMar w:top="1985" w:right="1928" w:bottom="1247" w:left="1077" w:header="851" w:footer="510" w:gutter="0"/>
          <w:cols w:space="708"/>
          <w:docGrid w:linePitch="360"/>
        </w:sectPr>
      </w:pPr>
    </w:p>
    <w:p w14:paraId="12B8690D" w14:textId="034AEE38" w:rsidR="00BA2344" w:rsidRDefault="00BA2344" w:rsidP="00953697">
      <w:pPr>
        <w:pStyle w:val="Heading3"/>
      </w:pPr>
      <w:bookmarkStart w:id="15" w:name="_Toc80378714"/>
      <w:r w:rsidRPr="00BA2344">
        <w:lastRenderedPageBreak/>
        <w:t>Professional wellbeing support</w:t>
      </w:r>
      <w:bookmarkEnd w:id="15"/>
    </w:p>
    <w:p w14:paraId="6822D1B4" w14:textId="0C41EBDE" w:rsidR="00BA2344" w:rsidRDefault="00BA2344" w:rsidP="00BA2344">
      <w:pPr>
        <w:pStyle w:val="BodyText2"/>
      </w:pPr>
      <w:r>
        <w:t>The teams and services, like occupational health,</w:t>
      </w:r>
      <w:r w:rsidR="00EA7665">
        <w:t xml:space="preserve"> who are</w:t>
      </w:r>
      <w:r>
        <w:t xml:space="preserve"> available to support organisation</w:t>
      </w:r>
      <w:r w:rsidR="00ED56F4">
        <w:t>s</w:t>
      </w:r>
      <w:r>
        <w:t xml:space="preserve"> and</w:t>
      </w:r>
      <w:r w:rsidR="00ED56F4">
        <w:t xml:space="preserve"> our NHS</w:t>
      </w:r>
      <w:r>
        <w:t xml:space="preserve"> people</w:t>
      </w:r>
      <w:r w:rsidR="00ED56F4">
        <w:t>’s</w:t>
      </w:r>
      <w:r>
        <w:t xml:space="preserve"> health and wellbeing. Section</w:t>
      </w:r>
      <w:r w:rsidR="004A4E52">
        <w:t>’</w:t>
      </w:r>
      <w:r>
        <w:t>s cover:</w:t>
      </w:r>
    </w:p>
    <w:p w14:paraId="53E975F1" w14:textId="77777777" w:rsidR="00BA2344" w:rsidRPr="00BA2344" w:rsidRDefault="00BA2344" w:rsidP="00953697">
      <w:pPr>
        <w:pStyle w:val="ListBullet"/>
        <w:rPr>
          <w:b/>
          <w:bCs/>
        </w:rPr>
      </w:pPr>
      <w:r>
        <w:t>support services and partners</w:t>
      </w:r>
    </w:p>
    <w:p w14:paraId="7A7889C2" w14:textId="77777777" w:rsidR="00BA2344" w:rsidRPr="00BA2344" w:rsidRDefault="00BA2344" w:rsidP="00953697">
      <w:pPr>
        <w:pStyle w:val="ListBullet"/>
        <w:rPr>
          <w:b/>
          <w:bCs/>
        </w:rPr>
      </w:pPr>
      <w:r>
        <w:t>organisation design and policy</w:t>
      </w:r>
    </w:p>
    <w:p w14:paraId="432E1E7D" w14:textId="183C418D" w:rsidR="00BA2344" w:rsidRPr="00BA2344" w:rsidRDefault="00BA2344" w:rsidP="00953697">
      <w:pPr>
        <w:pStyle w:val="ListBullet"/>
        <w:rPr>
          <w:b/>
          <w:bCs/>
        </w:rPr>
      </w:pPr>
      <w:r>
        <w:t>interventions overview</w:t>
      </w:r>
    </w:p>
    <w:p w14:paraId="6F1EC2C9" w14:textId="77777777" w:rsidR="00D87BAB" w:rsidRDefault="00D87BAB" w:rsidP="00BA2344">
      <w:pPr>
        <w:pStyle w:val="BodyText2"/>
      </w:pPr>
    </w:p>
    <w:p w14:paraId="30A49D23" w14:textId="56B5D103" w:rsidR="00BA2344" w:rsidRPr="00BA2344" w:rsidRDefault="00BA2344" w:rsidP="00BA2344">
      <w:pPr>
        <w:pStyle w:val="BodyText2"/>
      </w:pPr>
      <w:r>
        <w:t xml:space="preserve">Our understanding of health and wellbeing changes and improves with each piece of academic research or market insight. This is reflected in a broader view of health and wellbeing. Significant parts of our day to day working lives play a huge role in our individual wellbeing from the teams we work with through to the physical environment. This evolved Health and Wellbeing Framework builds on the successes of previous work and demonstrates the case for a wider, more inclusive health and wellbeing culture. </w:t>
      </w:r>
    </w:p>
    <w:p w14:paraId="025608D6" w14:textId="77777777" w:rsidR="00BA2344" w:rsidRPr="00BA2344" w:rsidRDefault="00BA2344" w:rsidP="00BA2344">
      <w:pPr>
        <w:pStyle w:val="BodyText2"/>
        <w:rPr>
          <w:b/>
          <w:bCs/>
        </w:rPr>
      </w:pPr>
    </w:p>
    <w:p w14:paraId="15B9A3DF" w14:textId="2CD1A0B5" w:rsidR="00B24D33" w:rsidRDefault="00CB5BC1" w:rsidP="00CB5BC1">
      <w:pPr>
        <w:pStyle w:val="Heading1"/>
      </w:pPr>
      <w:bookmarkStart w:id="16" w:name="_Toc80378715"/>
      <w:r>
        <w:lastRenderedPageBreak/>
        <w:t>3.</w:t>
      </w:r>
      <w:r>
        <w:tab/>
        <w:t>The tools and how to use them</w:t>
      </w:r>
      <w:bookmarkEnd w:id="16"/>
    </w:p>
    <w:p w14:paraId="010EFE06" w14:textId="23B43688" w:rsidR="00CB5BC1" w:rsidRDefault="00CB5BC1" w:rsidP="00CB5BC1">
      <w:pPr>
        <w:pStyle w:val="Heading2"/>
      </w:pPr>
      <w:bookmarkStart w:id="17" w:name="_Toc80378716"/>
      <w:r>
        <w:t>3.1</w:t>
      </w:r>
      <w:r>
        <w:tab/>
        <w:t>How to use these health and wellbeing resources</w:t>
      </w:r>
      <w:bookmarkEnd w:id="17"/>
    </w:p>
    <w:p w14:paraId="539CBA99" w14:textId="021CC5A0" w:rsidR="00CB5BC1" w:rsidRDefault="00CB5BC1" w:rsidP="00CB5BC1">
      <w:pPr>
        <w:pStyle w:val="BodyText2"/>
      </w:pPr>
      <w:r>
        <w:t>Every</w:t>
      </w:r>
      <w:r w:rsidR="00D25416">
        <w:t xml:space="preserve"> NHS organisation is different. Different in terms of diversity of people and their unique needs and different in organisational progress toward developing a health and wellbeing culture. The resources as part of this evolved health and wellbeing framework are designed to be used in a flexible way to meet the needs of your organisation. They can be used to start, revise or relaunch a programme and either be used in total or in parts, depending on your starting point.</w:t>
      </w:r>
    </w:p>
    <w:tbl>
      <w:tblPr>
        <w:tblStyle w:val="NHSTable"/>
        <w:tblW w:w="10349" w:type="dxa"/>
        <w:tblInd w:w="-426" w:type="dxa"/>
        <w:tblLook w:val="04A0" w:firstRow="1" w:lastRow="0" w:firstColumn="1" w:lastColumn="0" w:noHBand="0" w:noVBand="1"/>
      </w:tblPr>
      <w:tblGrid>
        <w:gridCol w:w="2127"/>
        <w:gridCol w:w="2127"/>
        <w:gridCol w:w="6095"/>
      </w:tblGrid>
      <w:tr w:rsidR="00486607" w14:paraId="645D5611" w14:textId="77777777" w:rsidTr="006D7C71">
        <w:trPr>
          <w:cnfStyle w:val="100000000000" w:firstRow="1" w:lastRow="0" w:firstColumn="0" w:lastColumn="0" w:oddVBand="0" w:evenVBand="0" w:oddHBand="0" w:evenHBand="0" w:firstRowFirstColumn="0" w:firstRowLastColumn="0" w:lastRowFirstColumn="0" w:lastRowLastColumn="0"/>
        </w:trPr>
        <w:tc>
          <w:tcPr>
            <w:tcW w:w="2127" w:type="dxa"/>
          </w:tcPr>
          <w:p w14:paraId="2BE7AF7B" w14:textId="77777777" w:rsidR="00486607" w:rsidRPr="00434A35" w:rsidRDefault="00486607" w:rsidP="006D7C71">
            <w:pPr>
              <w:pStyle w:val="BodyText2"/>
              <w:rPr>
                <w:color w:val="FFFFFF" w:themeColor="background1"/>
              </w:rPr>
            </w:pPr>
            <w:r>
              <w:rPr>
                <w:color w:val="FFFFFF" w:themeColor="background1"/>
              </w:rPr>
              <w:t>Stage</w:t>
            </w:r>
          </w:p>
        </w:tc>
        <w:tc>
          <w:tcPr>
            <w:tcW w:w="2127" w:type="dxa"/>
          </w:tcPr>
          <w:p w14:paraId="7243C4F7" w14:textId="080070B7" w:rsidR="00486607" w:rsidRPr="00434A35" w:rsidRDefault="00486607" w:rsidP="006D7C71">
            <w:pPr>
              <w:pStyle w:val="BodyText2"/>
              <w:rPr>
                <w:color w:val="FFFFFF" w:themeColor="background1"/>
              </w:rPr>
            </w:pPr>
            <w:r>
              <w:rPr>
                <w:color w:val="FFFFFF" w:themeColor="background1"/>
              </w:rPr>
              <w:t>W</w:t>
            </w:r>
            <w:r w:rsidR="0095008D">
              <w:rPr>
                <w:color w:val="FFFFFF" w:themeColor="background1"/>
              </w:rPr>
              <w:t>hich</w:t>
            </w:r>
            <w:r>
              <w:rPr>
                <w:color w:val="FFFFFF" w:themeColor="background1"/>
              </w:rPr>
              <w:t xml:space="preserve"> r</w:t>
            </w:r>
            <w:r w:rsidRPr="00434A35">
              <w:rPr>
                <w:color w:val="FFFFFF" w:themeColor="background1"/>
              </w:rPr>
              <w:t>esource</w:t>
            </w:r>
            <w:r>
              <w:rPr>
                <w:color w:val="FFFFFF" w:themeColor="background1"/>
              </w:rPr>
              <w:t>?</w:t>
            </w:r>
          </w:p>
        </w:tc>
        <w:tc>
          <w:tcPr>
            <w:tcW w:w="6095" w:type="dxa"/>
          </w:tcPr>
          <w:p w14:paraId="2CE83C48" w14:textId="77777777" w:rsidR="00486607" w:rsidRPr="00434A35" w:rsidRDefault="00486607" w:rsidP="006D7C71">
            <w:pPr>
              <w:pStyle w:val="BodyText2"/>
              <w:rPr>
                <w:color w:val="FFFFFF" w:themeColor="background1"/>
              </w:rPr>
            </w:pPr>
            <w:r>
              <w:rPr>
                <w:color w:val="FFFFFF" w:themeColor="background1"/>
              </w:rPr>
              <w:t>Why?</w:t>
            </w:r>
          </w:p>
        </w:tc>
      </w:tr>
      <w:tr w:rsidR="00486607" w14:paraId="587DE457" w14:textId="77777777" w:rsidTr="006D7C71">
        <w:trPr>
          <w:cnfStyle w:val="000000100000" w:firstRow="0" w:lastRow="0" w:firstColumn="0" w:lastColumn="0" w:oddVBand="0" w:evenVBand="0" w:oddHBand="1" w:evenHBand="0" w:firstRowFirstColumn="0" w:firstRowLastColumn="0" w:lastRowFirstColumn="0" w:lastRowLastColumn="0"/>
        </w:trPr>
        <w:tc>
          <w:tcPr>
            <w:tcW w:w="2127" w:type="dxa"/>
          </w:tcPr>
          <w:p w14:paraId="6BBBC80E" w14:textId="77777777" w:rsidR="00486607" w:rsidRPr="00434A35" w:rsidRDefault="00486607" w:rsidP="006D7C71">
            <w:pPr>
              <w:pStyle w:val="BodyText2"/>
            </w:pPr>
            <w:r>
              <w:t>Getting started</w:t>
            </w:r>
          </w:p>
        </w:tc>
        <w:tc>
          <w:tcPr>
            <w:tcW w:w="2127" w:type="dxa"/>
          </w:tcPr>
          <w:p w14:paraId="1DF6A0EC" w14:textId="77777777" w:rsidR="00486607" w:rsidRPr="00434A35" w:rsidRDefault="00486607" w:rsidP="006D7C71">
            <w:pPr>
              <w:pStyle w:val="BodyText2"/>
            </w:pPr>
            <w:r w:rsidRPr="00434A35">
              <w:t>Strategic Overview</w:t>
            </w:r>
          </w:p>
        </w:tc>
        <w:tc>
          <w:tcPr>
            <w:tcW w:w="6095" w:type="dxa"/>
          </w:tcPr>
          <w:p w14:paraId="19883D80" w14:textId="76723841" w:rsidR="00486607" w:rsidRDefault="0095008D" w:rsidP="006D7C71">
            <w:pPr>
              <w:pStyle w:val="ListBullet"/>
              <w:tabs>
                <w:tab w:val="clear" w:pos="851"/>
                <w:tab w:val="num" w:pos="605"/>
              </w:tabs>
              <w:ind w:left="322"/>
            </w:pPr>
            <w:r>
              <w:t>e</w:t>
            </w:r>
            <w:r w:rsidR="00486607" w:rsidRPr="00E24155">
              <w:t>xplanation of the</w:t>
            </w:r>
            <w:r w:rsidR="00486607">
              <w:t xml:space="preserve"> </w:t>
            </w:r>
            <w:r w:rsidR="00486607" w:rsidRPr="00E24155">
              <w:t>health and wellbeing</w:t>
            </w:r>
            <w:r w:rsidR="00486607">
              <w:t xml:space="preserve"> </w:t>
            </w:r>
            <w:r w:rsidR="00486607" w:rsidRPr="00E24155">
              <w:t>resources</w:t>
            </w:r>
            <w:r w:rsidR="00486607">
              <w:t xml:space="preserve"> </w:t>
            </w:r>
          </w:p>
          <w:p w14:paraId="1AAC2115" w14:textId="6D26981F" w:rsidR="00486607" w:rsidRPr="00434A35" w:rsidRDefault="0095008D" w:rsidP="006D7C71">
            <w:pPr>
              <w:pStyle w:val="ListBullet"/>
              <w:tabs>
                <w:tab w:val="clear" w:pos="851"/>
                <w:tab w:val="num" w:pos="605"/>
              </w:tabs>
              <w:ind w:left="322"/>
            </w:pPr>
            <w:r>
              <w:t>h</w:t>
            </w:r>
            <w:r w:rsidR="00486607" w:rsidRPr="00E24155">
              <w:t>igh level case for</w:t>
            </w:r>
            <w:r w:rsidR="00486607">
              <w:t xml:space="preserve"> </w:t>
            </w:r>
            <w:r w:rsidR="00486607" w:rsidRPr="00E24155">
              <w:t>a positive health</w:t>
            </w:r>
            <w:r w:rsidR="00486607">
              <w:t xml:space="preserve"> </w:t>
            </w:r>
            <w:r w:rsidR="00486607" w:rsidRPr="00E24155">
              <w:t>and wellbeing cu</w:t>
            </w:r>
            <w:r w:rsidR="00486607">
              <w:t>lture</w:t>
            </w:r>
          </w:p>
        </w:tc>
      </w:tr>
      <w:tr w:rsidR="00486607" w14:paraId="3E9D121E" w14:textId="77777777" w:rsidTr="006D7C71">
        <w:tc>
          <w:tcPr>
            <w:tcW w:w="2127" w:type="dxa"/>
          </w:tcPr>
          <w:p w14:paraId="70ADC2E8" w14:textId="77777777" w:rsidR="00486607" w:rsidRPr="00434A35" w:rsidRDefault="00486607" w:rsidP="006D7C71">
            <w:pPr>
              <w:pStyle w:val="BodyText2"/>
            </w:pPr>
            <w:r>
              <w:t>Understanding your needs</w:t>
            </w:r>
          </w:p>
        </w:tc>
        <w:tc>
          <w:tcPr>
            <w:tcW w:w="2127" w:type="dxa"/>
          </w:tcPr>
          <w:p w14:paraId="551B2E4C" w14:textId="77777777" w:rsidR="00486607" w:rsidRPr="00434A35" w:rsidRDefault="00486607" w:rsidP="006D7C71">
            <w:pPr>
              <w:pStyle w:val="BodyText2"/>
            </w:pPr>
            <w:r w:rsidRPr="00434A35">
              <w:t>Organisational Diagnostic Tool</w:t>
            </w:r>
          </w:p>
        </w:tc>
        <w:tc>
          <w:tcPr>
            <w:tcW w:w="6095" w:type="dxa"/>
          </w:tcPr>
          <w:p w14:paraId="4477AFB8" w14:textId="0D7CD27D" w:rsidR="00486607" w:rsidRPr="00434A35" w:rsidRDefault="0095008D" w:rsidP="006D7C71">
            <w:pPr>
              <w:pStyle w:val="ListBullet"/>
              <w:tabs>
                <w:tab w:val="clear" w:pos="851"/>
                <w:tab w:val="num" w:pos="605"/>
              </w:tabs>
              <w:ind w:left="322"/>
            </w:pPr>
            <w:r>
              <w:t>e</w:t>
            </w:r>
            <w:r w:rsidRPr="00E24155">
              <w:t>xcel based tool to assess</w:t>
            </w:r>
            <w:r>
              <w:t xml:space="preserve"> </w:t>
            </w:r>
            <w:r w:rsidRPr="00E24155">
              <w:t>your organisation, helping</w:t>
            </w:r>
            <w:r>
              <w:t xml:space="preserve"> </w:t>
            </w:r>
            <w:r w:rsidRPr="00E24155">
              <w:t>to prioritise health and</w:t>
            </w:r>
            <w:r>
              <w:t xml:space="preserve"> </w:t>
            </w:r>
            <w:r w:rsidRPr="00E24155">
              <w:t>wellbeing interventions</w:t>
            </w:r>
          </w:p>
        </w:tc>
      </w:tr>
      <w:tr w:rsidR="00486607" w14:paraId="7D4F6A57" w14:textId="77777777" w:rsidTr="006D7C71">
        <w:trPr>
          <w:cnfStyle w:val="000000100000" w:firstRow="0" w:lastRow="0" w:firstColumn="0" w:lastColumn="0" w:oddVBand="0" w:evenVBand="0" w:oddHBand="1" w:evenHBand="0" w:firstRowFirstColumn="0" w:firstRowLastColumn="0" w:lastRowFirstColumn="0" w:lastRowLastColumn="0"/>
        </w:trPr>
        <w:tc>
          <w:tcPr>
            <w:tcW w:w="2127" w:type="dxa"/>
            <w:vMerge w:val="restart"/>
            <w:vAlign w:val="center"/>
          </w:tcPr>
          <w:p w14:paraId="2ACCCE6F" w14:textId="77777777" w:rsidR="00486607" w:rsidRPr="00434A35" w:rsidRDefault="00486607" w:rsidP="006D7C71">
            <w:pPr>
              <w:pStyle w:val="BodyText2"/>
            </w:pPr>
            <w:r>
              <w:t>Planning</w:t>
            </w:r>
          </w:p>
        </w:tc>
        <w:tc>
          <w:tcPr>
            <w:tcW w:w="2127" w:type="dxa"/>
          </w:tcPr>
          <w:p w14:paraId="0E184162" w14:textId="77777777" w:rsidR="00486607" w:rsidRPr="00434A35" w:rsidRDefault="00486607" w:rsidP="006D7C71">
            <w:pPr>
              <w:pStyle w:val="BodyText2"/>
            </w:pPr>
            <w:r w:rsidRPr="00434A35">
              <w:t>Elements of Health and Wellbeing</w:t>
            </w:r>
          </w:p>
        </w:tc>
        <w:tc>
          <w:tcPr>
            <w:tcW w:w="6095" w:type="dxa"/>
          </w:tcPr>
          <w:p w14:paraId="058473A0" w14:textId="77777777" w:rsidR="0095008D" w:rsidRDefault="0095008D" w:rsidP="0095008D">
            <w:pPr>
              <w:pStyle w:val="ListBullet"/>
              <w:tabs>
                <w:tab w:val="clear" w:pos="851"/>
                <w:tab w:val="num" w:pos="605"/>
              </w:tabs>
              <w:ind w:left="322"/>
            </w:pPr>
            <w:r>
              <w:t>details on the areas of health and wellbeing</w:t>
            </w:r>
          </w:p>
          <w:p w14:paraId="539103E6" w14:textId="5240436A" w:rsidR="00486607" w:rsidRPr="00434A35" w:rsidRDefault="0095008D" w:rsidP="0095008D">
            <w:pPr>
              <w:pStyle w:val="ListBullet"/>
              <w:tabs>
                <w:tab w:val="num" w:pos="605"/>
              </w:tabs>
              <w:ind w:left="322"/>
            </w:pPr>
            <w:r>
              <w:t>e</w:t>
            </w:r>
            <w:r w:rsidRPr="00E24155">
              <w:t>vidence for the impact of</w:t>
            </w:r>
            <w:r>
              <w:t xml:space="preserve"> </w:t>
            </w:r>
            <w:r w:rsidRPr="00E24155">
              <w:t>health and wellbeing on</w:t>
            </w:r>
            <w:r>
              <w:t xml:space="preserve"> </w:t>
            </w:r>
            <w:r w:rsidRPr="00E24155">
              <w:t>individuals, teams, managers</w:t>
            </w:r>
            <w:r>
              <w:t xml:space="preserve"> </w:t>
            </w:r>
            <w:r w:rsidRPr="00E24155">
              <w:t>and the wider NHS</w:t>
            </w:r>
          </w:p>
        </w:tc>
      </w:tr>
      <w:tr w:rsidR="00486607" w14:paraId="449F0BC0" w14:textId="77777777" w:rsidTr="006D7C71">
        <w:tc>
          <w:tcPr>
            <w:tcW w:w="2127" w:type="dxa"/>
            <w:vMerge/>
          </w:tcPr>
          <w:p w14:paraId="6AAF7900" w14:textId="77777777" w:rsidR="00486607" w:rsidRPr="00434A35" w:rsidRDefault="00486607" w:rsidP="006D7C71">
            <w:pPr>
              <w:pStyle w:val="BodyText2"/>
            </w:pPr>
          </w:p>
        </w:tc>
        <w:tc>
          <w:tcPr>
            <w:tcW w:w="2127" w:type="dxa"/>
          </w:tcPr>
          <w:p w14:paraId="68C1D654" w14:textId="77777777" w:rsidR="00486607" w:rsidRPr="00434A35" w:rsidRDefault="00486607" w:rsidP="006D7C71">
            <w:pPr>
              <w:pStyle w:val="BodyText2"/>
            </w:pPr>
            <w:r w:rsidRPr="00434A35">
              <w:t>Case Studies</w:t>
            </w:r>
          </w:p>
        </w:tc>
        <w:tc>
          <w:tcPr>
            <w:tcW w:w="6095" w:type="dxa"/>
          </w:tcPr>
          <w:p w14:paraId="6F4852D8" w14:textId="7704A228" w:rsidR="00486607" w:rsidRPr="00434A35" w:rsidRDefault="0095008D" w:rsidP="006D7C71">
            <w:pPr>
              <w:pStyle w:val="ListBullet"/>
              <w:tabs>
                <w:tab w:val="clear" w:pos="851"/>
                <w:tab w:val="num" w:pos="605"/>
              </w:tabs>
              <w:ind w:left="322"/>
            </w:pPr>
            <w:r>
              <w:t>i</w:t>
            </w:r>
            <w:r w:rsidR="00486607" w:rsidRPr="00E24155">
              <w:t>nspiration</w:t>
            </w:r>
            <w:r>
              <w:t>al</w:t>
            </w:r>
            <w:r w:rsidR="00486607" w:rsidRPr="00E24155">
              <w:t xml:space="preserve"> health</w:t>
            </w:r>
            <w:r w:rsidR="00486607">
              <w:t xml:space="preserve"> </w:t>
            </w:r>
            <w:r w:rsidR="00486607" w:rsidRPr="00E24155">
              <w:t>and wellbeing activity</w:t>
            </w:r>
            <w:r w:rsidR="00486607">
              <w:t xml:space="preserve"> </w:t>
            </w:r>
            <w:r w:rsidR="00486607" w:rsidRPr="00E24155">
              <w:t>from across the NHS</w:t>
            </w:r>
          </w:p>
        </w:tc>
      </w:tr>
      <w:tr w:rsidR="00486607" w14:paraId="3FE94AE4" w14:textId="77777777" w:rsidTr="006D7C71">
        <w:trPr>
          <w:cnfStyle w:val="000000100000" w:firstRow="0" w:lastRow="0" w:firstColumn="0" w:lastColumn="0" w:oddVBand="0" w:evenVBand="0" w:oddHBand="1" w:evenHBand="0" w:firstRowFirstColumn="0" w:firstRowLastColumn="0" w:lastRowFirstColumn="0" w:lastRowLastColumn="0"/>
        </w:trPr>
        <w:tc>
          <w:tcPr>
            <w:tcW w:w="2127" w:type="dxa"/>
            <w:vMerge/>
          </w:tcPr>
          <w:p w14:paraId="24929227" w14:textId="77777777" w:rsidR="00486607" w:rsidRPr="00434A35" w:rsidRDefault="00486607" w:rsidP="006D7C71">
            <w:pPr>
              <w:pStyle w:val="BodyText2"/>
            </w:pPr>
          </w:p>
        </w:tc>
        <w:tc>
          <w:tcPr>
            <w:tcW w:w="2127" w:type="dxa"/>
          </w:tcPr>
          <w:p w14:paraId="25FDADFF" w14:textId="77777777" w:rsidR="00486607" w:rsidRPr="00434A35" w:rsidRDefault="00486607" w:rsidP="006D7C71">
            <w:pPr>
              <w:pStyle w:val="BodyText2"/>
            </w:pPr>
            <w:r w:rsidRPr="00434A35">
              <w:t>Implementation Guide</w:t>
            </w:r>
          </w:p>
        </w:tc>
        <w:tc>
          <w:tcPr>
            <w:tcW w:w="6095" w:type="dxa"/>
          </w:tcPr>
          <w:p w14:paraId="1008E296" w14:textId="1282F980" w:rsidR="00486607" w:rsidRPr="00434A35" w:rsidRDefault="0095008D" w:rsidP="006D7C71">
            <w:pPr>
              <w:pStyle w:val="ListBullet"/>
              <w:tabs>
                <w:tab w:val="clear" w:pos="851"/>
                <w:tab w:val="num" w:pos="605"/>
              </w:tabs>
              <w:ind w:left="322"/>
            </w:pPr>
            <w:r>
              <w:t>p</w:t>
            </w:r>
            <w:r w:rsidR="00486607" w:rsidRPr="00E24155">
              <w:t>ractical delivery guidance</w:t>
            </w:r>
            <w:r w:rsidR="00486607">
              <w:t xml:space="preserve"> </w:t>
            </w:r>
            <w:r w:rsidR="00486607" w:rsidRPr="00E24155">
              <w:t>from evaluation through</w:t>
            </w:r>
            <w:r w:rsidR="00486607">
              <w:t xml:space="preserve"> </w:t>
            </w:r>
            <w:r w:rsidR="00486607" w:rsidRPr="00E24155">
              <w:t>to delivery</w:t>
            </w:r>
          </w:p>
        </w:tc>
      </w:tr>
    </w:tbl>
    <w:p w14:paraId="6D916DBD" w14:textId="77777777" w:rsidR="004A1121" w:rsidRDefault="004A1121" w:rsidP="004A1121">
      <w:pPr>
        <w:pStyle w:val="BodyText2"/>
      </w:pPr>
    </w:p>
    <w:p w14:paraId="0281C8C1" w14:textId="77777777" w:rsidR="00632879" w:rsidRDefault="00632879" w:rsidP="004A1121">
      <w:pPr>
        <w:pStyle w:val="BodyText2"/>
      </w:pPr>
    </w:p>
    <w:p w14:paraId="6008A1AA" w14:textId="62156576" w:rsidR="00094CCC" w:rsidRDefault="00094CCC" w:rsidP="004A1121">
      <w:pPr>
        <w:pStyle w:val="BodyText2"/>
      </w:pPr>
      <w:r>
        <w:t>The resources are designed to be used in a flexible way to meet the needs of your organisation. They can be used to start, revise or relaunch a programme</w:t>
      </w:r>
      <w:r w:rsidR="006F6509">
        <w:t xml:space="preserve"> </w:t>
      </w:r>
      <w:r>
        <w:t>and either be used in total or in parts, depending on your starting point.</w:t>
      </w:r>
      <w:r w:rsidR="003B1B89">
        <w:t xml:space="preserve"> </w:t>
      </w:r>
      <w:r>
        <w:t>Are you?</w:t>
      </w:r>
    </w:p>
    <w:p w14:paraId="3A68F704" w14:textId="52695E7E" w:rsidR="00946B59" w:rsidRDefault="0036422A" w:rsidP="004A1121">
      <w:pPr>
        <w:pStyle w:val="BodyText2"/>
        <w:rPr>
          <w:b/>
          <w:bCs/>
        </w:rPr>
      </w:pPr>
      <w:r>
        <w:rPr>
          <w:b/>
          <w:bCs/>
        </w:rPr>
        <w:t>i</w:t>
      </w:r>
      <w:r w:rsidR="00946B59" w:rsidRPr="00946B59">
        <w:rPr>
          <w:b/>
          <w:bCs/>
        </w:rPr>
        <w:t>mproving existing activity</w:t>
      </w:r>
    </w:p>
    <w:p w14:paraId="6C5D6EEC" w14:textId="17B300D0" w:rsidR="006E1A3D" w:rsidRPr="006E1A3D" w:rsidRDefault="006D7C71" w:rsidP="003B1B89">
      <w:pPr>
        <w:pStyle w:val="ListBullet"/>
        <w:rPr>
          <w:b/>
          <w:bCs/>
        </w:rPr>
      </w:pPr>
      <w:r>
        <w:t>c</w:t>
      </w:r>
      <w:r w:rsidR="006E1A3D">
        <w:t xml:space="preserve">omplete the </w:t>
      </w:r>
      <w:r>
        <w:t>‘Organisational D</w:t>
      </w:r>
      <w:r w:rsidR="006E1A3D">
        <w:t xml:space="preserve">iagnostic </w:t>
      </w:r>
      <w:r>
        <w:t>T</w:t>
      </w:r>
      <w:r w:rsidR="006E1A3D">
        <w:t>ool</w:t>
      </w:r>
      <w:r>
        <w:t>’</w:t>
      </w:r>
      <w:r w:rsidR="006E1A3D">
        <w:t xml:space="preserve"> to understand gaps in your current delivery and provision </w:t>
      </w:r>
    </w:p>
    <w:p w14:paraId="1AE46F76" w14:textId="261909C6" w:rsidR="006E1A3D" w:rsidRPr="006E1A3D" w:rsidRDefault="006D7C71" w:rsidP="003B1B89">
      <w:pPr>
        <w:pStyle w:val="ListBullet"/>
        <w:rPr>
          <w:b/>
          <w:bCs/>
        </w:rPr>
      </w:pPr>
      <w:r>
        <w:t>i</w:t>
      </w:r>
      <w:r w:rsidR="006E1A3D">
        <w:t xml:space="preserve">ncorporate actions to fill gaps in the current health and wellbeing plan and/or update objectives </w:t>
      </w:r>
    </w:p>
    <w:p w14:paraId="07D9E4C1" w14:textId="6D982F5F" w:rsidR="006E1A3D" w:rsidRPr="006E1A3D" w:rsidRDefault="006D7C71" w:rsidP="003B1B89">
      <w:pPr>
        <w:pStyle w:val="ListBullet"/>
        <w:rPr>
          <w:b/>
          <w:bCs/>
        </w:rPr>
      </w:pPr>
      <w:r>
        <w:t>u</w:t>
      </w:r>
      <w:r w:rsidR="006E1A3D">
        <w:t xml:space="preserve">se the health and wellbeing resources to develop and deliver against gaps, then monitor and evaluate impact and effectiveness </w:t>
      </w:r>
    </w:p>
    <w:p w14:paraId="5495890A" w14:textId="24F7DA20" w:rsidR="006E1A3D" w:rsidRPr="003B1B89" w:rsidRDefault="006D7C71" w:rsidP="003B1B89">
      <w:pPr>
        <w:pStyle w:val="ListBullet"/>
        <w:rPr>
          <w:b/>
          <w:bCs/>
        </w:rPr>
      </w:pPr>
      <w:r>
        <w:t>e</w:t>
      </w:r>
      <w:r w:rsidR="006E1A3D">
        <w:t xml:space="preserve">ngage with your </w:t>
      </w:r>
      <w:r w:rsidR="003B1B89">
        <w:t>organisation’s</w:t>
      </w:r>
      <w:r w:rsidR="006E1A3D">
        <w:t xml:space="preserve"> leadership team and stakeholders like wellbeing guardians or health and wellbeing leads to agree your next priorities</w:t>
      </w:r>
    </w:p>
    <w:p w14:paraId="2137FD7C" w14:textId="77777777" w:rsidR="003B1B89" w:rsidRDefault="003B1B89" w:rsidP="003B1B89">
      <w:pPr>
        <w:pStyle w:val="ListBullet"/>
        <w:numPr>
          <w:ilvl w:val="0"/>
          <w:numId w:val="0"/>
        </w:numPr>
        <w:ind w:left="851"/>
        <w:rPr>
          <w:b/>
          <w:bCs/>
        </w:rPr>
      </w:pPr>
    </w:p>
    <w:p w14:paraId="18CD31B4" w14:textId="212B0DC3" w:rsidR="006E1A3D" w:rsidRDefault="006D7C71" w:rsidP="006E1A3D">
      <w:pPr>
        <w:pStyle w:val="BodyText2"/>
        <w:rPr>
          <w:b/>
          <w:bCs/>
        </w:rPr>
      </w:pPr>
      <w:r>
        <w:rPr>
          <w:b/>
          <w:bCs/>
        </w:rPr>
        <w:t>p</w:t>
      </w:r>
      <w:r w:rsidR="006E1A3D">
        <w:rPr>
          <w:b/>
          <w:bCs/>
        </w:rPr>
        <w:t>lanning a new programme</w:t>
      </w:r>
    </w:p>
    <w:p w14:paraId="12F89358" w14:textId="4FB3CB34" w:rsidR="006E1A3D" w:rsidRPr="006E1A3D" w:rsidRDefault="006D7C71" w:rsidP="003B1B89">
      <w:pPr>
        <w:pStyle w:val="ListBullet"/>
        <w:rPr>
          <w:b/>
          <w:bCs/>
        </w:rPr>
      </w:pPr>
      <w:r>
        <w:t>c</w:t>
      </w:r>
      <w:r w:rsidR="006E1A3D">
        <w:t xml:space="preserve">omplete the </w:t>
      </w:r>
      <w:r w:rsidR="006E34B2">
        <w:t xml:space="preserve">‘Organisational Diagnostic Tool’ </w:t>
      </w:r>
      <w:r w:rsidR="006E1A3D">
        <w:t>to understand</w:t>
      </w:r>
      <w:r>
        <w:t xml:space="preserve"> the</w:t>
      </w:r>
      <w:r w:rsidR="006E1A3D">
        <w:t xml:space="preserve"> current status of your organisation</w:t>
      </w:r>
    </w:p>
    <w:p w14:paraId="23F58F1C" w14:textId="10600EA4" w:rsidR="006E1A3D" w:rsidRPr="006E1A3D" w:rsidRDefault="006D7C71" w:rsidP="003B1B89">
      <w:pPr>
        <w:pStyle w:val="ListBullet"/>
        <w:rPr>
          <w:b/>
          <w:bCs/>
        </w:rPr>
      </w:pPr>
      <w:r>
        <w:t>w</w:t>
      </w:r>
      <w:r w:rsidR="006E1A3D">
        <w:t xml:space="preserve">ork with your </w:t>
      </w:r>
      <w:r>
        <w:t>organisation’s</w:t>
      </w:r>
      <w:r w:rsidR="006E1A3D">
        <w:t xml:space="preserve"> leadership team and stakeholders like wellbeing guardians or health and wellbeing leads to agree priorities</w:t>
      </w:r>
    </w:p>
    <w:p w14:paraId="1C6E98FB" w14:textId="258641BF" w:rsidR="006E1A3D" w:rsidRPr="006E1A3D" w:rsidRDefault="006D7C71" w:rsidP="003B1B89">
      <w:pPr>
        <w:pStyle w:val="ListBullet"/>
        <w:rPr>
          <w:b/>
          <w:bCs/>
        </w:rPr>
      </w:pPr>
      <w:r>
        <w:t>u</w:t>
      </w:r>
      <w:r w:rsidR="006E1A3D">
        <w:t>se the ‘Implementation Guide’ to understand the tasks and activit</w:t>
      </w:r>
      <w:r>
        <w:t>ies</w:t>
      </w:r>
      <w:r w:rsidR="006E1A3D">
        <w:t>, develop and plan interventions and make the business case</w:t>
      </w:r>
    </w:p>
    <w:p w14:paraId="2A8BC117" w14:textId="6728FFE0" w:rsidR="006E1A3D" w:rsidRPr="003B1B89" w:rsidRDefault="006D7C71" w:rsidP="003B1B89">
      <w:pPr>
        <w:pStyle w:val="ListBullet"/>
        <w:rPr>
          <w:b/>
          <w:bCs/>
        </w:rPr>
      </w:pPr>
      <w:r>
        <w:t>a</w:t>
      </w:r>
      <w:r w:rsidR="006E1A3D">
        <w:t>gree a plan and success measures, then implement your health and wellbeing intervention</w:t>
      </w:r>
    </w:p>
    <w:p w14:paraId="5C0FF0AE" w14:textId="77777777" w:rsidR="003B1B89" w:rsidRPr="006E1A3D" w:rsidRDefault="003B1B89" w:rsidP="003B1B89">
      <w:pPr>
        <w:pStyle w:val="ListBullet"/>
        <w:numPr>
          <w:ilvl w:val="0"/>
          <w:numId w:val="0"/>
        </w:numPr>
        <w:ind w:left="851"/>
        <w:rPr>
          <w:b/>
          <w:bCs/>
        </w:rPr>
      </w:pPr>
    </w:p>
    <w:p w14:paraId="24F9D128" w14:textId="4060E089" w:rsidR="006E1A3D" w:rsidRDefault="006D7C71" w:rsidP="006E1A3D">
      <w:pPr>
        <w:pStyle w:val="BodyText2"/>
        <w:rPr>
          <w:b/>
          <w:bCs/>
        </w:rPr>
      </w:pPr>
      <w:r>
        <w:rPr>
          <w:b/>
          <w:bCs/>
        </w:rPr>
        <w:t>j</w:t>
      </w:r>
      <w:r w:rsidR="006E1A3D">
        <w:rPr>
          <w:b/>
          <w:bCs/>
        </w:rPr>
        <w:t>ust interested</w:t>
      </w:r>
    </w:p>
    <w:p w14:paraId="1ED9AB39" w14:textId="56436458" w:rsidR="006E1A3D" w:rsidRPr="006E1A3D" w:rsidRDefault="006D7C71" w:rsidP="003B1B89">
      <w:pPr>
        <w:pStyle w:val="ListBullet"/>
        <w:rPr>
          <w:b/>
          <w:bCs/>
        </w:rPr>
      </w:pPr>
      <w:r>
        <w:t>l</w:t>
      </w:r>
      <w:r w:rsidR="006E1A3D">
        <w:t>ook to the NHS model of health and wellbeing and ‘Elements of Health and Wellbeing’ resource for an overview of how we see health and wellbeing in the NHS</w:t>
      </w:r>
    </w:p>
    <w:p w14:paraId="1F8A6C52" w14:textId="16E698B3" w:rsidR="006E1A3D" w:rsidRPr="006E1A3D" w:rsidRDefault="006D7C71" w:rsidP="003B1B89">
      <w:pPr>
        <w:pStyle w:val="ListBullet"/>
        <w:rPr>
          <w:b/>
          <w:bCs/>
        </w:rPr>
      </w:pPr>
      <w:r>
        <w:t>l</w:t>
      </w:r>
      <w:r w:rsidR="006E1A3D">
        <w:t>ook to the ‘Case Studies’ resource for inspiration on what has worked well across our organisations</w:t>
      </w:r>
    </w:p>
    <w:p w14:paraId="74546DD0" w14:textId="59034A9F" w:rsidR="006E1A3D" w:rsidRPr="002E4BE3" w:rsidRDefault="0036422A" w:rsidP="003B1B89">
      <w:pPr>
        <w:pStyle w:val="ListBullet"/>
        <w:rPr>
          <w:b/>
          <w:bCs/>
        </w:rPr>
      </w:pPr>
      <w:r>
        <w:lastRenderedPageBreak/>
        <w:t>e</w:t>
      </w:r>
      <w:r w:rsidR="006E1A3D">
        <w:t>ngage with your managers, wellbeing guardians or health and wellbeing leads to understand how you can get involved with driving health and wellbeing in your organisation</w:t>
      </w:r>
    </w:p>
    <w:p w14:paraId="601C5228" w14:textId="77777777" w:rsidR="002E4BE3" w:rsidRPr="00FA0D1E" w:rsidRDefault="002E4BE3" w:rsidP="002E4BE3">
      <w:pPr>
        <w:pStyle w:val="BodyText"/>
        <w:numPr>
          <w:ilvl w:val="0"/>
          <w:numId w:val="0"/>
        </w:numPr>
        <w:ind w:left="720"/>
        <w:rPr>
          <w:b/>
          <w:bCs/>
        </w:rPr>
      </w:pPr>
    </w:p>
    <w:p w14:paraId="5DD2CDF4" w14:textId="77777777" w:rsidR="003B1B89" w:rsidRDefault="003B1B89" w:rsidP="00FA0D1E">
      <w:pPr>
        <w:pStyle w:val="Heading2"/>
        <w:sectPr w:rsidR="003B1B89" w:rsidSect="00AD60EE">
          <w:pgSz w:w="11907" w:h="16840" w:code="9"/>
          <w:pgMar w:top="1985" w:right="1928" w:bottom="1247" w:left="1077" w:header="851" w:footer="510" w:gutter="0"/>
          <w:cols w:space="708"/>
          <w:docGrid w:linePitch="360"/>
        </w:sectPr>
      </w:pPr>
    </w:p>
    <w:p w14:paraId="0CBEDB10" w14:textId="40AA3C29" w:rsidR="00FA0D1E" w:rsidRDefault="00FA0D1E" w:rsidP="00FA0D1E">
      <w:pPr>
        <w:pStyle w:val="Heading2"/>
      </w:pPr>
      <w:bookmarkStart w:id="18" w:name="_Toc80378717"/>
      <w:r>
        <w:lastRenderedPageBreak/>
        <w:t>3</w:t>
      </w:r>
      <w:r w:rsidR="002E4BE3">
        <w:t>.2</w:t>
      </w:r>
      <w:r w:rsidR="002E4BE3">
        <w:tab/>
        <w:t>How to interpret data and insight</w:t>
      </w:r>
      <w:bookmarkEnd w:id="18"/>
    </w:p>
    <w:p w14:paraId="126F23D9" w14:textId="7B7B57C4" w:rsidR="002E4BE3" w:rsidRDefault="002E4BE3" w:rsidP="002E4BE3">
      <w:pPr>
        <w:pStyle w:val="BodyText2"/>
      </w:pPr>
      <w:r>
        <w:t>The NHS health and wellbeing resources are underpinned by current research and insight from across the NHS and wider industries. Health and wellbeing needs will vary by organisational context, so generic data points are provided to inspire and highlight the experiences of our diverse NHS people and the rationale for creating a positive health and wellbeing culture. You will need to identify your own data relevant to your organisation and diversity of people when developing your local health and wellbeing strategy.</w:t>
      </w:r>
    </w:p>
    <w:p w14:paraId="45E305DF" w14:textId="622459FF" w:rsidR="002E4BE3" w:rsidRDefault="002E4BE3" w:rsidP="002E4BE3">
      <w:pPr>
        <w:pStyle w:val="BodyText2"/>
        <w:rPr>
          <w:b/>
          <w:bCs/>
        </w:rPr>
      </w:pPr>
      <w:r>
        <w:rPr>
          <w:b/>
          <w:bCs/>
        </w:rPr>
        <w:t>Examples of external data sources</w:t>
      </w:r>
    </w:p>
    <w:p w14:paraId="1D6F3EE1" w14:textId="77777777" w:rsidR="002E4BE3" w:rsidRPr="002E4BE3" w:rsidRDefault="002E4BE3" w:rsidP="003B1B89">
      <w:pPr>
        <w:pStyle w:val="ListBullet"/>
        <w:rPr>
          <w:b/>
          <w:bCs/>
        </w:rPr>
      </w:pPr>
      <w:r>
        <w:t>What Works Wellbeing</w:t>
      </w:r>
    </w:p>
    <w:p w14:paraId="00B32821" w14:textId="77777777" w:rsidR="002E4BE3" w:rsidRPr="002E4BE3" w:rsidRDefault="002E4BE3" w:rsidP="003B1B89">
      <w:pPr>
        <w:pStyle w:val="ListBullet"/>
        <w:rPr>
          <w:b/>
          <w:bCs/>
        </w:rPr>
      </w:pPr>
      <w:r>
        <w:t>Society of Occupational Medicine</w:t>
      </w:r>
    </w:p>
    <w:p w14:paraId="68A9D936" w14:textId="77777777" w:rsidR="002E4BE3" w:rsidRPr="002E4BE3" w:rsidRDefault="002E4BE3" w:rsidP="003B1B89">
      <w:pPr>
        <w:pStyle w:val="ListBullet"/>
        <w:rPr>
          <w:b/>
          <w:bCs/>
        </w:rPr>
      </w:pPr>
      <w:r>
        <w:t>Chartered Institute of Personnel and Development</w:t>
      </w:r>
    </w:p>
    <w:p w14:paraId="4444E1E9" w14:textId="77777777" w:rsidR="002E4BE3" w:rsidRPr="002E4BE3" w:rsidRDefault="002E4BE3" w:rsidP="003B1B89">
      <w:pPr>
        <w:pStyle w:val="ListBullet"/>
        <w:rPr>
          <w:b/>
          <w:bCs/>
        </w:rPr>
      </w:pPr>
      <w:r>
        <w:t>World Health Organization</w:t>
      </w:r>
    </w:p>
    <w:p w14:paraId="04402FEF" w14:textId="77777777" w:rsidR="002E4BE3" w:rsidRPr="002E4BE3" w:rsidRDefault="002E4BE3" w:rsidP="003B1B89">
      <w:pPr>
        <w:pStyle w:val="ListBullet"/>
        <w:rPr>
          <w:b/>
          <w:bCs/>
        </w:rPr>
      </w:pPr>
      <w:r>
        <w:t>Forbes</w:t>
      </w:r>
    </w:p>
    <w:p w14:paraId="279D74D6" w14:textId="23503FB4" w:rsidR="002E4BE3" w:rsidRPr="003B1B89" w:rsidRDefault="002E4BE3" w:rsidP="003B1B89">
      <w:pPr>
        <w:pStyle w:val="ListBullet"/>
        <w:rPr>
          <w:b/>
          <w:bCs/>
        </w:rPr>
      </w:pPr>
      <w:r>
        <w:t>Britain’s Healthiest Workplace</w:t>
      </w:r>
    </w:p>
    <w:p w14:paraId="58A89AE1" w14:textId="77777777" w:rsidR="003B1B89" w:rsidRPr="002E4BE3" w:rsidRDefault="003B1B89" w:rsidP="003B1B89">
      <w:pPr>
        <w:pStyle w:val="ListBullet"/>
        <w:numPr>
          <w:ilvl w:val="0"/>
          <w:numId w:val="0"/>
        </w:numPr>
        <w:ind w:left="851"/>
        <w:rPr>
          <w:b/>
          <w:bCs/>
        </w:rPr>
      </w:pPr>
    </w:p>
    <w:p w14:paraId="23DA84BB" w14:textId="1E9BD015" w:rsidR="002E4BE3" w:rsidRDefault="002E4BE3" w:rsidP="002E4BE3">
      <w:pPr>
        <w:pStyle w:val="BodyText2"/>
        <w:rPr>
          <w:b/>
          <w:bCs/>
        </w:rPr>
      </w:pPr>
      <w:r w:rsidRPr="002E4BE3">
        <w:rPr>
          <w:b/>
          <w:bCs/>
        </w:rPr>
        <w:t>Examples of NHS data sources</w:t>
      </w:r>
    </w:p>
    <w:p w14:paraId="685D1F9A" w14:textId="77777777" w:rsidR="002E4BE3" w:rsidRPr="002E4BE3" w:rsidRDefault="002E4BE3" w:rsidP="003B1B89">
      <w:pPr>
        <w:pStyle w:val="ListBullet"/>
        <w:rPr>
          <w:b/>
          <w:bCs/>
        </w:rPr>
      </w:pPr>
      <w:r>
        <w:t>NHS Digital</w:t>
      </w:r>
    </w:p>
    <w:p w14:paraId="40E673DB" w14:textId="77777777" w:rsidR="002E4BE3" w:rsidRPr="002E4BE3" w:rsidRDefault="002E4BE3" w:rsidP="003B1B89">
      <w:pPr>
        <w:pStyle w:val="ListBullet"/>
        <w:rPr>
          <w:b/>
          <w:bCs/>
        </w:rPr>
      </w:pPr>
      <w:r>
        <w:t>NHS staff survey</w:t>
      </w:r>
    </w:p>
    <w:p w14:paraId="5A8A67E8" w14:textId="3A98B793" w:rsidR="002E4BE3" w:rsidRPr="003B1B89" w:rsidRDefault="006E34B2" w:rsidP="003B1B89">
      <w:pPr>
        <w:pStyle w:val="ListBullet"/>
        <w:rPr>
          <w:b/>
          <w:bCs/>
        </w:rPr>
      </w:pPr>
      <w:r>
        <w:t>r</w:t>
      </w:r>
      <w:r w:rsidR="002E4BE3">
        <w:t>elevant NHS organisational level data</w:t>
      </w:r>
    </w:p>
    <w:p w14:paraId="02148AD4" w14:textId="77777777" w:rsidR="003B1B89" w:rsidRPr="002E4BE3" w:rsidRDefault="003B1B89" w:rsidP="003B1B89">
      <w:pPr>
        <w:pStyle w:val="ListBullet"/>
        <w:numPr>
          <w:ilvl w:val="0"/>
          <w:numId w:val="0"/>
        </w:numPr>
        <w:ind w:left="851"/>
        <w:rPr>
          <w:b/>
          <w:bCs/>
        </w:rPr>
      </w:pPr>
    </w:p>
    <w:p w14:paraId="232EEAC5" w14:textId="003CB0B1" w:rsidR="002E4BE3" w:rsidRDefault="002E4BE3" w:rsidP="002E4BE3">
      <w:pPr>
        <w:pStyle w:val="BodyText2"/>
        <w:rPr>
          <w:b/>
          <w:bCs/>
        </w:rPr>
      </w:pPr>
      <w:r w:rsidRPr="002E4BE3">
        <w:rPr>
          <w:b/>
          <w:bCs/>
        </w:rPr>
        <w:t>Questions to ask yourself when engaging with these resources</w:t>
      </w:r>
    </w:p>
    <w:p w14:paraId="33533671" w14:textId="569592A7" w:rsidR="002E4BE3" w:rsidRPr="002E4BE3" w:rsidRDefault="006E34B2" w:rsidP="003B1B89">
      <w:pPr>
        <w:pStyle w:val="ListBullet"/>
        <w:rPr>
          <w:b/>
          <w:bCs/>
        </w:rPr>
      </w:pPr>
      <w:r>
        <w:t>w</w:t>
      </w:r>
      <w:r w:rsidR="002E4BE3">
        <w:t>hat can good look like for my organisation?</w:t>
      </w:r>
    </w:p>
    <w:p w14:paraId="390ABD5F" w14:textId="60AB604A" w:rsidR="002E4BE3" w:rsidRPr="002E4BE3" w:rsidRDefault="006E34B2" w:rsidP="003B1B89">
      <w:pPr>
        <w:pStyle w:val="ListBullet"/>
        <w:rPr>
          <w:b/>
          <w:bCs/>
        </w:rPr>
      </w:pPr>
      <w:r>
        <w:t>w</w:t>
      </w:r>
      <w:r w:rsidR="002E4BE3">
        <w:t>hat are our NHS people</w:t>
      </w:r>
      <w:r w:rsidR="00180F08">
        <w:t>’s</w:t>
      </w:r>
      <w:r w:rsidR="002E4BE3">
        <w:t xml:space="preserve"> health needs?</w:t>
      </w:r>
    </w:p>
    <w:p w14:paraId="30A021C2" w14:textId="70D3AED4" w:rsidR="002E4BE3" w:rsidRPr="002E4BE3" w:rsidRDefault="006E34B2" w:rsidP="003B1B89">
      <w:pPr>
        <w:pStyle w:val="ListBullet"/>
        <w:rPr>
          <w:b/>
          <w:bCs/>
        </w:rPr>
      </w:pPr>
      <w:r>
        <w:t>w</w:t>
      </w:r>
      <w:r w:rsidR="002E4BE3">
        <w:t>hat is important for our NHS people?</w:t>
      </w:r>
    </w:p>
    <w:p w14:paraId="0F079FFB" w14:textId="325C0AC9" w:rsidR="002E4BE3" w:rsidRPr="002E4BE3" w:rsidRDefault="006E34B2" w:rsidP="003B1B89">
      <w:pPr>
        <w:pStyle w:val="ListBullet"/>
        <w:rPr>
          <w:b/>
          <w:bCs/>
        </w:rPr>
      </w:pPr>
      <w:r>
        <w:t>w</w:t>
      </w:r>
      <w:r w:rsidR="002E4BE3">
        <w:t>hich data sources are relevant to our NHS people?</w:t>
      </w:r>
    </w:p>
    <w:p w14:paraId="15F24902" w14:textId="477F6513" w:rsidR="00FA0D1E" w:rsidRPr="002E4BE3" w:rsidRDefault="006E34B2" w:rsidP="003B1B89">
      <w:pPr>
        <w:pStyle w:val="ListBullet"/>
        <w:rPr>
          <w:b/>
          <w:bCs/>
        </w:rPr>
      </w:pPr>
      <w:r>
        <w:t>w</w:t>
      </w:r>
      <w:r w:rsidR="002E4BE3">
        <w:t>hat’s worked well for similar organisations?</w:t>
      </w:r>
    </w:p>
    <w:p w14:paraId="6B46D59C" w14:textId="77777777" w:rsidR="00B1363E" w:rsidRDefault="00B1363E" w:rsidP="00B1363E">
      <w:pPr>
        <w:pStyle w:val="BodyText2"/>
        <w:rPr>
          <w:b/>
          <w:bCs/>
        </w:rPr>
      </w:pPr>
    </w:p>
    <w:p w14:paraId="0CE25AB6" w14:textId="77777777" w:rsidR="00B1363E" w:rsidRDefault="00B1363E" w:rsidP="00B1363E">
      <w:pPr>
        <w:pStyle w:val="BodyText2"/>
        <w:rPr>
          <w:b/>
          <w:bCs/>
        </w:rPr>
      </w:pPr>
    </w:p>
    <w:p w14:paraId="44F08AF3" w14:textId="5C4C5777" w:rsidR="00B1363E" w:rsidRDefault="00B1363E" w:rsidP="00B1363E">
      <w:pPr>
        <w:pStyle w:val="Heading1"/>
      </w:pPr>
      <w:bookmarkStart w:id="19" w:name="_Toc80378718"/>
      <w:r>
        <w:lastRenderedPageBreak/>
        <w:t>4.</w:t>
      </w:r>
      <w:r>
        <w:tab/>
        <w:t>References</w:t>
      </w:r>
      <w:bookmarkEnd w:id="19"/>
    </w:p>
    <w:tbl>
      <w:tblPr>
        <w:tblStyle w:val="NHSTable"/>
        <w:tblW w:w="10564" w:type="dxa"/>
        <w:tblInd w:w="-851" w:type="dxa"/>
        <w:tblCellMar>
          <w:top w:w="28" w:type="dxa"/>
          <w:bottom w:w="28" w:type="dxa"/>
        </w:tblCellMar>
        <w:tblLook w:val="04A0" w:firstRow="1" w:lastRow="0" w:firstColumn="1" w:lastColumn="0" w:noHBand="0" w:noVBand="1"/>
      </w:tblPr>
      <w:tblGrid>
        <w:gridCol w:w="1350"/>
        <w:gridCol w:w="9214"/>
      </w:tblGrid>
      <w:tr w:rsidR="00B1363E" w:rsidRPr="00A431E1" w14:paraId="7F7E1F94" w14:textId="77777777" w:rsidTr="00B2208B">
        <w:trPr>
          <w:cnfStyle w:val="100000000000" w:firstRow="1" w:lastRow="0" w:firstColumn="0" w:lastColumn="0" w:oddVBand="0" w:evenVBand="0" w:oddHBand="0" w:evenHBand="0" w:firstRowFirstColumn="0" w:firstRowLastColumn="0" w:lastRowFirstColumn="0" w:lastRowLastColumn="0"/>
        </w:trPr>
        <w:tc>
          <w:tcPr>
            <w:tcW w:w="1350" w:type="dxa"/>
          </w:tcPr>
          <w:p w14:paraId="510D5EF6" w14:textId="77777777" w:rsidR="00B1363E" w:rsidRPr="00A431E1" w:rsidRDefault="00B1363E" w:rsidP="00B2208B">
            <w:pPr>
              <w:pStyle w:val="BodyText2"/>
              <w:rPr>
                <w:color w:val="FFFFFF" w:themeColor="background1"/>
              </w:rPr>
            </w:pPr>
            <w:r w:rsidRPr="00A431E1">
              <w:rPr>
                <w:color w:val="FFFFFF" w:themeColor="background1"/>
              </w:rPr>
              <w:t>Reference Number</w:t>
            </w:r>
          </w:p>
        </w:tc>
        <w:tc>
          <w:tcPr>
            <w:tcW w:w="9214" w:type="dxa"/>
          </w:tcPr>
          <w:p w14:paraId="0900D1D2" w14:textId="77777777" w:rsidR="00B1363E" w:rsidRPr="00A431E1" w:rsidRDefault="00B1363E" w:rsidP="00B2208B">
            <w:pPr>
              <w:pStyle w:val="BodyText2"/>
              <w:rPr>
                <w:color w:val="FFFFFF" w:themeColor="background1"/>
              </w:rPr>
            </w:pPr>
            <w:r w:rsidRPr="00A431E1">
              <w:rPr>
                <w:color w:val="FFFFFF" w:themeColor="background1"/>
              </w:rPr>
              <w:t>Reference</w:t>
            </w:r>
          </w:p>
        </w:tc>
      </w:tr>
      <w:tr w:rsidR="00B1363E" w:rsidRPr="00A431E1" w14:paraId="5826EB25" w14:textId="77777777" w:rsidTr="00B2208B">
        <w:trPr>
          <w:cnfStyle w:val="000000100000" w:firstRow="0" w:lastRow="0" w:firstColumn="0" w:lastColumn="0" w:oddVBand="0" w:evenVBand="0" w:oddHBand="1" w:evenHBand="0" w:firstRowFirstColumn="0" w:firstRowLastColumn="0" w:lastRowFirstColumn="0" w:lastRowLastColumn="0"/>
          <w:trHeight w:val="350"/>
        </w:trPr>
        <w:tc>
          <w:tcPr>
            <w:tcW w:w="1350" w:type="dxa"/>
          </w:tcPr>
          <w:p w14:paraId="248E7D1C" w14:textId="77777777" w:rsidR="00B1363E" w:rsidRDefault="00B1363E" w:rsidP="00B2208B">
            <w:pPr>
              <w:pStyle w:val="BodyText2"/>
              <w:spacing w:after="0" w:line="0" w:lineRule="atLeast"/>
              <w:rPr>
                <w:sz w:val="18"/>
                <w:szCs w:val="18"/>
              </w:rPr>
            </w:pPr>
            <w:r w:rsidRPr="00A431E1">
              <w:rPr>
                <w:sz w:val="18"/>
                <w:szCs w:val="18"/>
              </w:rPr>
              <w:t>1</w:t>
            </w:r>
          </w:p>
          <w:p w14:paraId="096256E5" w14:textId="77777777" w:rsidR="00B1363E" w:rsidRPr="00A431E1" w:rsidRDefault="00B1363E" w:rsidP="00B2208B">
            <w:pPr>
              <w:pStyle w:val="BodyText2"/>
              <w:spacing w:after="0" w:line="0" w:lineRule="atLeast"/>
              <w:rPr>
                <w:sz w:val="18"/>
                <w:szCs w:val="18"/>
              </w:rPr>
            </w:pPr>
            <w:r>
              <w:rPr>
                <w:sz w:val="18"/>
                <w:szCs w:val="18"/>
              </w:rPr>
              <w:t>2</w:t>
            </w:r>
          </w:p>
        </w:tc>
        <w:tc>
          <w:tcPr>
            <w:tcW w:w="9214" w:type="dxa"/>
          </w:tcPr>
          <w:p w14:paraId="1CAC39C1" w14:textId="77777777" w:rsidR="00B1363E" w:rsidRPr="00A431E1" w:rsidRDefault="00B1363E" w:rsidP="00B2208B">
            <w:pPr>
              <w:pStyle w:val="BodyText2"/>
              <w:spacing w:after="0" w:line="0" w:lineRule="atLeast"/>
              <w:rPr>
                <w:sz w:val="18"/>
                <w:szCs w:val="18"/>
              </w:rPr>
            </w:pPr>
            <w:r w:rsidRPr="00A431E1">
              <w:rPr>
                <w:sz w:val="18"/>
                <w:szCs w:val="18"/>
              </w:rPr>
              <w:t>NHS sickness absence rates – NHS Digital</w:t>
            </w:r>
          </w:p>
          <w:p w14:paraId="16305B30" w14:textId="77777777" w:rsidR="00B1363E" w:rsidRPr="00A431E1" w:rsidRDefault="00B1363E" w:rsidP="00B2208B">
            <w:pPr>
              <w:pStyle w:val="BodyText2"/>
              <w:spacing w:after="0" w:line="0" w:lineRule="atLeast"/>
              <w:rPr>
                <w:sz w:val="18"/>
                <w:szCs w:val="18"/>
              </w:rPr>
            </w:pPr>
            <w:r w:rsidRPr="00A431E1">
              <w:rPr>
                <w:sz w:val="18"/>
                <w:szCs w:val="18"/>
              </w:rPr>
              <w:t>Medrxi report – the mental health of staff working in intensive care during COVID-19 report – 2020</w:t>
            </w:r>
          </w:p>
        </w:tc>
      </w:tr>
      <w:tr w:rsidR="00B1363E" w:rsidRPr="00A431E1" w14:paraId="597FDF5C" w14:textId="77777777" w:rsidTr="00B2208B">
        <w:tc>
          <w:tcPr>
            <w:tcW w:w="1350" w:type="dxa"/>
          </w:tcPr>
          <w:p w14:paraId="6817D8CF" w14:textId="77777777" w:rsidR="00B1363E" w:rsidRDefault="00B1363E" w:rsidP="00B2208B">
            <w:pPr>
              <w:pStyle w:val="BodyText2"/>
              <w:spacing w:after="0" w:line="0" w:lineRule="atLeast"/>
              <w:rPr>
                <w:sz w:val="18"/>
                <w:szCs w:val="18"/>
              </w:rPr>
            </w:pPr>
            <w:r>
              <w:rPr>
                <w:sz w:val="18"/>
                <w:szCs w:val="18"/>
              </w:rPr>
              <w:t>3 and 4</w:t>
            </w:r>
          </w:p>
          <w:p w14:paraId="75E56C64" w14:textId="77777777" w:rsidR="00B1363E" w:rsidRDefault="00B1363E" w:rsidP="00B2208B">
            <w:pPr>
              <w:pStyle w:val="BodyText2"/>
              <w:spacing w:after="0" w:line="0" w:lineRule="atLeast"/>
              <w:rPr>
                <w:sz w:val="18"/>
                <w:szCs w:val="18"/>
              </w:rPr>
            </w:pPr>
            <w:r>
              <w:rPr>
                <w:sz w:val="18"/>
                <w:szCs w:val="18"/>
              </w:rPr>
              <w:t>5</w:t>
            </w:r>
          </w:p>
          <w:p w14:paraId="7D7C2772" w14:textId="77777777" w:rsidR="00B1363E" w:rsidRDefault="00B1363E" w:rsidP="00B2208B">
            <w:pPr>
              <w:pStyle w:val="BodyText2"/>
              <w:spacing w:after="0" w:line="0" w:lineRule="atLeast"/>
              <w:rPr>
                <w:sz w:val="18"/>
                <w:szCs w:val="18"/>
              </w:rPr>
            </w:pPr>
            <w:r>
              <w:rPr>
                <w:sz w:val="18"/>
                <w:szCs w:val="18"/>
              </w:rPr>
              <w:t>6</w:t>
            </w:r>
          </w:p>
          <w:p w14:paraId="1F0228A4" w14:textId="77777777" w:rsidR="00B1363E" w:rsidRDefault="00B1363E" w:rsidP="00B2208B">
            <w:pPr>
              <w:pStyle w:val="BodyText2"/>
              <w:spacing w:after="0" w:line="0" w:lineRule="atLeast"/>
              <w:rPr>
                <w:sz w:val="18"/>
                <w:szCs w:val="18"/>
              </w:rPr>
            </w:pPr>
            <w:r>
              <w:rPr>
                <w:sz w:val="18"/>
                <w:szCs w:val="18"/>
              </w:rPr>
              <w:t>7</w:t>
            </w:r>
          </w:p>
          <w:p w14:paraId="30DDE888" w14:textId="77777777" w:rsidR="00B1363E" w:rsidRDefault="00B1363E" w:rsidP="00B2208B">
            <w:pPr>
              <w:pStyle w:val="BodyText2"/>
              <w:spacing w:after="0" w:line="0" w:lineRule="atLeast"/>
              <w:rPr>
                <w:sz w:val="18"/>
                <w:szCs w:val="18"/>
              </w:rPr>
            </w:pPr>
            <w:r>
              <w:rPr>
                <w:sz w:val="18"/>
                <w:szCs w:val="18"/>
              </w:rPr>
              <w:t>8</w:t>
            </w:r>
          </w:p>
          <w:p w14:paraId="4C2E71C9" w14:textId="77777777" w:rsidR="00B1363E" w:rsidRPr="00A431E1" w:rsidRDefault="00B1363E" w:rsidP="00B2208B">
            <w:pPr>
              <w:pStyle w:val="BodyText2"/>
              <w:spacing w:after="0" w:line="0" w:lineRule="atLeast"/>
              <w:rPr>
                <w:sz w:val="18"/>
                <w:szCs w:val="18"/>
              </w:rPr>
            </w:pPr>
            <w:r>
              <w:rPr>
                <w:sz w:val="18"/>
                <w:szCs w:val="18"/>
              </w:rPr>
              <w:t>9</w:t>
            </w:r>
          </w:p>
        </w:tc>
        <w:tc>
          <w:tcPr>
            <w:tcW w:w="9214" w:type="dxa"/>
          </w:tcPr>
          <w:p w14:paraId="2CD017B1" w14:textId="77777777" w:rsidR="00B1363E" w:rsidRPr="00A431E1" w:rsidRDefault="00B1363E" w:rsidP="00B2208B">
            <w:pPr>
              <w:pStyle w:val="BodyText2"/>
              <w:spacing w:after="0" w:line="0" w:lineRule="atLeast"/>
              <w:rPr>
                <w:sz w:val="18"/>
                <w:szCs w:val="18"/>
              </w:rPr>
            </w:pPr>
            <w:r w:rsidRPr="00A431E1">
              <w:rPr>
                <w:sz w:val="18"/>
                <w:szCs w:val="18"/>
              </w:rPr>
              <w:t>NHS staff survey 2020</w:t>
            </w:r>
          </w:p>
          <w:p w14:paraId="4629BBD0" w14:textId="77777777" w:rsidR="00B1363E" w:rsidRPr="00A431E1" w:rsidRDefault="00B1363E" w:rsidP="00B2208B">
            <w:pPr>
              <w:pStyle w:val="BodyText2"/>
              <w:spacing w:after="0" w:line="0" w:lineRule="atLeast"/>
              <w:rPr>
                <w:sz w:val="18"/>
                <w:szCs w:val="18"/>
              </w:rPr>
            </w:pPr>
            <w:r w:rsidRPr="00A431E1">
              <w:rPr>
                <w:sz w:val="18"/>
                <w:szCs w:val="18"/>
              </w:rPr>
              <w:t>https://digital.nhs.uk/data-and-information/publications/statistical/nhs-sickness-absence-rates/july-2020</w:t>
            </w:r>
          </w:p>
          <w:p w14:paraId="4A170496" w14:textId="77777777" w:rsidR="00B1363E" w:rsidRDefault="00B1363E" w:rsidP="00B2208B">
            <w:pPr>
              <w:pStyle w:val="BodyText2"/>
              <w:spacing w:after="0" w:line="0" w:lineRule="atLeast"/>
              <w:rPr>
                <w:sz w:val="18"/>
                <w:szCs w:val="18"/>
              </w:rPr>
            </w:pPr>
            <w:r w:rsidRPr="00A431E1">
              <w:rPr>
                <w:sz w:val="18"/>
                <w:szCs w:val="18"/>
              </w:rPr>
              <w:t>Money Advice Service (</w:t>
            </w:r>
            <w:hyperlink r:id="rId15" w:history="1">
              <w:r w:rsidRPr="003B35B4">
                <w:rPr>
                  <w:rStyle w:val="Hyperlink"/>
                  <w:sz w:val="18"/>
                  <w:szCs w:val="18"/>
                </w:rPr>
                <w:t>www.moneyhelper.org.uk</w:t>
              </w:r>
            </w:hyperlink>
            <w:r w:rsidRPr="00A431E1">
              <w:rPr>
                <w:sz w:val="18"/>
                <w:szCs w:val="18"/>
              </w:rPr>
              <w:t>)</w:t>
            </w:r>
          </w:p>
          <w:p w14:paraId="7017C927" w14:textId="77777777" w:rsidR="00B1363E" w:rsidRPr="00A431E1" w:rsidRDefault="00B1363E" w:rsidP="00B2208B">
            <w:pPr>
              <w:pStyle w:val="BodyText2"/>
              <w:spacing w:after="0" w:line="0" w:lineRule="atLeast"/>
              <w:rPr>
                <w:sz w:val="18"/>
                <w:szCs w:val="18"/>
              </w:rPr>
            </w:pPr>
            <w:r w:rsidRPr="00A431E1">
              <w:rPr>
                <w:sz w:val="18"/>
                <w:szCs w:val="18"/>
              </w:rPr>
              <w:t>Thriving at Work: Stevenson/Farmer review of mental health and employers, 2017</w:t>
            </w:r>
          </w:p>
          <w:p w14:paraId="5B8CD520" w14:textId="77777777" w:rsidR="00B1363E" w:rsidRPr="00A431E1" w:rsidRDefault="00B1363E" w:rsidP="00B2208B">
            <w:pPr>
              <w:pStyle w:val="BodyText2"/>
              <w:spacing w:after="0" w:line="0" w:lineRule="atLeast"/>
              <w:rPr>
                <w:sz w:val="18"/>
                <w:szCs w:val="18"/>
              </w:rPr>
            </w:pPr>
            <w:r w:rsidRPr="00A431E1">
              <w:rPr>
                <w:sz w:val="18"/>
                <w:szCs w:val="18"/>
              </w:rPr>
              <w:t>Mental Health Foundation - https://www.mentalhealth.org.uk/statistics/mental-health-statisticslgbtiq-people</w:t>
            </w:r>
          </w:p>
          <w:p w14:paraId="44D9257C" w14:textId="77777777" w:rsidR="00B1363E" w:rsidRPr="00A431E1" w:rsidRDefault="00B1363E" w:rsidP="00B2208B">
            <w:pPr>
              <w:pStyle w:val="BodyText2"/>
              <w:spacing w:after="0" w:line="0" w:lineRule="atLeast"/>
              <w:rPr>
                <w:sz w:val="18"/>
                <w:szCs w:val="18"/>
              </w:rPr>
            </w:pPr>
            <w:r w:rsidRPr="00A431E1">
              <w:rPr>
                <w:sz w:val="18"/>
                <w:szCs w:val="18"/>
              </w:rPr>
              <w:t>Thriving at Work: Stevenson/Farmer review of mental health and employers, 2017</w:t>
            </w:r>
          </w:p>
        </w:tc>
      </w:tr>
      <w:tr w:rsidR="00B1363E" w:rsidRPr="00A431E1" w14:paraId="1E2883FD"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19A8BA0B" w14:textId="77777777" w:rsidR="00B1363E" w:rsidRDefault="00B1363E" w:rsidP="00B2208B">
            <w:pPr>
              <w:pStyle w:val="BodyText2"/>
              <w:spacing w:after="0" w:line="0" w:lineRule="atLeast"/>
              <w:rPr>
                <w:sz w:val="18"/>
                <w:szCs w:val="18"/>
              </w:rPr>
            </w:pPr>
            <w:r>
              <w:rPr>
                <w:sz w:val="18"/>
                <w:szCs w:val="18"/>
              </w:rPr>
              <w:t>10</w:t>
            </w:r>
          </w:p>
          <w:p w14:paraId="78F607DE" w14:textId="77777777" w:rsidR="00B1363E" w:rsidRDefault="00B1363E" w:rsidP="00B2208B">
            <w:pPr>
              <w:pStyle w:val="BodyText2"/>
              <w:spacing w:after="0" w:line="0" w:lineRule="atLeast"/>
              <w:rPr>
                <w:sz w:val="18"/>
                <w:szCs w:val="18"/>
              </w:rPr>
            </w:pPr>
            <w:r>
              <w:rPr>
                <w:sz w:val="18"/>
                <w:szCs w:val="18"/>
              </w:rPr>
              <w:t>11</w:t>
            </w:r>
          </w:p>
          <w:p w14:paraId="1198C19E" w14:textId="77777777" w:rsidR="00B1363E" w:rsidRDefault="00B1363E" w:rsidP="00B2208B">
            <w:pPr>
              <w:pStyle w:val="BodyText2"/>
              <w:spacing w:after="0" w:line="0" w:lineRule="atLeast"/>
              <w:rPr>
                <w:sz w:val="18"/>
                <w:szCs w:val="18"/>
              </w:rPr>
            </w:pPr>
            <w:r>
              <w:rPr>
                <w:sz w:val="18"/>
                <w:szCs w:val="18"/>
              </w:rPr>
              <w:t>12</w:t>
            </w:r>
          </w:p>
          <w:p w14:paraId="2C488884" w14:textId="77777777" w:rsidR="00B1363E" w:rsidRPr="00A431E1" w:rsidRDefault="00B1363E" w:rsidP="00B2208B">
            <w:pPr>
              <w:pStyle w:val="BodyText2"/>
              <w:spacing w:after="0" w:line="0" w:lineRule="atLeast"/>
              <w:rPr>
                <w:sz w:val="18"/>
                <w:szCs w:val="18"/>
              </w:rPr>
            </w:pPr>
            <w:r>
              <w:rPr>
                <w:sz w:val="18"/>
                <w:szCs w:val="18"/>
              </w:rPr>
              <w:t>13</w:t>
            </w:r>
          </w:p>
        </w:tc>
        <w:tc>
          <w:tcPr>
            <w:tcW w:w="9214" w:type="dxa"/>
          </w:tcPr>
          <w:p w14:paraId="75A9F9AE" w14:textId="77777777" w:rsidR="00B1363E" w:rsidRPr="00A431E1" w:rsidRDefault="00B1363E" w:rsidP="00B2208B">
            <w:pPr>
              <w:pStyle w:val="BodyText2"/>
              <w:spacing w:after="0" w:line="0" w:lineRule="atLeast"/>
              <w:rPr>
                <w:sz w:val="18"/>
                <w:szCs w:val="18"/>
              </w:rPr>
            </w:pPr>
            <w:r w:rsidRPr="00A431E1">
              <w:rPr>
                <w:sz w:val="18"/>
                <w:szCs w:val="18"/>
              </w:rPr>
              <w:t>Thriving at Work: Stevenson/Farmer review of mental health and employers, 2017</w:t>
            </w:r>
          </w:p>
          <w:p w14:paraId="14DC7E3A" w14:textId="77777777" w:rsidR="00B1363E" w:rsidRPr="00A431E1" w:rsidRDefault="00B1363E" w:rsidP="00B2208B">
            <w:pPr>
              <w:pStyle w:val="BodyText2"/>
              <w:spacing w:after="0" w:line="0" w:lineRule="atLeast"/>
              <w:rPr>
                <w:sz w:val="18"/>
                <w:szCs w:val="18"/>
              </w:rPr>
            </w:pPr>
            <w:r w:rsidRPr="00A431E1">
              <w:rPr>
                <w:sz w:val="18"/>
                <w:szCs w:val="18"/>
              </w:rPr>
              <w:t>Understanding staff wellbeing, its impact on patient experience and healthcare quality,</w:t>
            </w:r>
            <w:r>
              <w:rPr>
                <w:sz w:val="18"/>
                <w:szCs w:val="18"/>
              </w:rPr>
              <w:t xml:space="preserve"> </w:t>
            </w:r>
            <w:r w:rsidRPr="00A431E1">
              <w:rPr>
                <w:sz w:val="18"/>
                <w:szCs w:val="18"/>
              </w:rPr>
              <w:t>Picker Institute, 2015</w:t>
            </w:r>
          </w:p>
          <w:p w14:paraId="69E32DD7" w14:textId="77777777" w:rsidR="00B1363E" w:rsidRPr="00A431E1" w:rsidRDefault="00B1363E" w:rsidP="00B2208B">
            <w:pPr>
              <w:pStyle w:val="BodyText2"/>
              <w:spacing w:after="0" w:line="0" w:lineRule="atLeast"/>
              <w:rPr>
                <w:sz w:val="18"/>
                <w:szCs w:val="18"/>
              </w:rPr>
            </w:pPr>
            <w:r w:rsidRPr="00A431E1">
              <w:rPr>
                <w:sz w:val="18"/>
                <w:szCs w:val="18"/>
              </w:rPr>
              <w:t>Recommendation 10, Thriving at Work: Stevenson Farmer review of mental health at work, 2017</w:t>
            </w:r>
          </w:p>
          <w:p w14:paraId="4B6288D7" w14:textId="77777777" w:rsidR="00B1363E" w:rsidRPr="00A431E1" w:rsidRDefault="00B1363E" w:rsidP="00B2208B">
            <w:pPr>
              <w:pStyle w:val="BodyText2"/>
              <w:spacing w:after="0" w:line="0" w:lineRule="atLeast"/>
              <w:rPr>
                <w:sz w:val="16"/>
                <w:szCs w:val="16"/>
              </w:rPr>
            </w:pPr>
            <w:r w:rsidRPr="00A431E1">
              <w:rPr>
                <w:sz w:val="18"/>
                <w:szCs w:val="18"/>
              </w:rPr>
              <w:t>The effectiveness of workplace counselling: a systematic review, counselling and psychotherapy</w:t>
            </w:r>
            <w:r>
              <w:rPr>
                <w:sz w:val="18"/>
                <w:szCs w:val="18"/>
              </w:rPr>
              <w:t xml:space="preserve"> </w:t>
            </w:r>
            <w:r w:rsidRPr="00A431E1">
              <w:rPr>
                <w:sz w:val="18"/>
                <w:szCs w:val="18"/>
              </w:rPr>
              <w:t>research, 2010</w:t>
            </w:r>
          </w:p>
        </w:tc>
      </w:tr>
      <w:tr w:rsidR="00B1363E" w:rsidRPr="00A431E1" w14:paraId="3C659782" w14:textId="77777777" w:rsidTr="00B2208B">
        <w:tc>
          <w:tcPr>
            <w:tcW w:w="1350" w:type="dxa"/>
          </w:tcPr>
          <w:p w14:paraId="135C3942" w14:textId="77777777" w:rsidR="00B1363E" w:rsidRDefault="00B1363E" w:rsidP="00B2208B">
            <w:pPr>
              <w:pStyle w:val="BodyText2"/>
              <w:spacing w:after="0" w:line="0" w:lineRule="atLeast"/>
              <w:rPr>
                <w:sz w:val="18"/>
                <w:szCs w:val="18"/>
              </w:rPr>
            </w:pPr>
            <w:r>
              <w:rPr>
                <w:sz w:val="18"/>
                <w:szCs w:val="18"/>
              </w:rPr>
              <w:t>14</w:t>
            </w:r>
          </w:p>
          <w:p w14:paraId="540D633B" w14:textId="77777777" w:rsidR="00B1363E" w:rsidRPr="00A431E1" w:rsidRDefault="00B1363E" w:rsidP="00B2208B">
            <w:pPr>
              <w:pStyle w:val="BodyText2"/>
              <w:spacing w:after="0" w:line="0" w:lineRule="atLeast"/>
              <w:rPr>
                <w:sz w:val="18"/>
                <w:szCs w:val="18"/>
              </w:rPr>
            </w:pPr>
            <w:r>
              <w:rPr>
                <w:sz w:val="18"/>
                <w:szCs w:val="18"/>
              </w:rPr>
              <w:t>15</w:t>
            </w:r>
          </w:p>
        </w:tc>
        <w:tc>
          <w:tcPr>
            <w:tcW w:w="9214" w:type="dxa"/>
          </w:tcPr>
          <w:p w14:paraId="20A4A880" w14:textId="77777777" w:rsidR="00B1363E" w:rsidRPr="00A431E1" w:rsidRDefault="00B1363E" w:rsidP="00B2208B">
            <w:pPr>
              <w:pStyle w:val="BodyText2"/>
              <w:spacing w:after="0" w:line="0" w:lineRule="atLeast"/>
              <w:rPr>
                <w:sz w:val="18"/>
                <w:szCs w:val="18"/>
              </w:rPr>
            </w:pPr>
            <w:r w:rsidRPr="00A431E1">
              <w:rPr>
                <w:sz w:val="18"/>
                <w:szCs w:val="18"/>
              </w:rPr>
              <w:t>Musculoskeletal health in the workplace: a toolkit for employers, BITC, 2017</w:t>
            </w:r>
          </w:p>
          <w:p w14:paraId="67E0F6B6" w14:textId="77777777" w:rsidR="00B1363E" w:rsidRPr="00A431E1" w:rsidRDefault="00B1363E" w:rsidP="00B2208B">
            <w:pPr>
              <w:pStyle w:val="BodyText2"/>
              <w:spacing w:after="0" w:line="0" w:lineRule="atLeast"/>
              <w:rPr>
                <w:sz w:val="18"/>
                <w:szCs w:val="18"/>
              </w:rPr>
            </w:pPr>
            <w:r w:rsidRPr="00A431E1">
              <w:rPr>
                <w:sz w:val="18"/>
                <w:szCs w:val="18"/>
              </w:rPr>
              <w:t>Self-management of chronic musculoskeletal disorders and employment, The Work Foundation,</w:t>
            </w:r>
            <w:r>
              <w:rPr>
                <w:sz w:val="18"/>
                <w:szCs w:val="18"/>
              </w:rPr>
              <w:t xml:space="preserve"> </w:t>
            </w:r>
            <w:r w:rsidRPr="00A431E1">
              <w:rPr>
                <w:sz w:val="18"/>
                <w:szCs w:val="18"/>
              </w:rPr>
              <w:t>2014)</w:t>
            </w:r>
          </w:p>
        </w:tc>
      </w:tr>
      <w:tr w:rsidR="00B1363E" w:rsidRPr="000C0245" w14:paraId="53A436B7"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20722594" w14:textId="77777777" w:rsidR="00B1363E" w:rsidRDefault="00B1363E" w:rsidP="00B2208B">
            <w:pPr>
              <w:pStyle w:val="BodyText2"/>
              <w:spacing w:after="0" w:line="0" w:lineRule="atLeast"/>
              <w:rPr>
                <w:sz w:val="18"/>
                <w:szCs w:val="18"/>
              </w:rPr>
            </w:pPr>
            <w:r>
              <w:rPr>
                <w:sz w:val="18"/>
                <w:szCs w:val="18"/>
              </w:rPr>
              <w:t>16</w:t>
            </w:r>
          </w:p>
          <w:p w14:paraId="56185FF4" w14:textId="77777777" w:rsidR="00B1363E" w:rsidRDefault="00B1363E" w:rsidP="00B2208B">
            <w:pPr>
              <w:pStyle w:val="BodyText2"/>
              <w:spacing w:after="0" w:line="0" w:lineRule="atLeast"/>
              <w:rPr>
                <w:sz w:val="18"/>
                <w:szCs w:val="18"/>
              </w:rPr>
            </w:pPr>
            <w:r>
              <w:rPr>
                <w:sz w:val="18"/>
                <w:szCs w:val="18"/>
              </w:rPr>
              <w:t>17</w:t>
            </w:r>
          </w:p>
          <w:p w14:paraId="0025EE88" w14:textId="77777777" w:rsidR="00B1363E" w:rsidRDefault="00B1363E" w:rsidP="00B2208B">
            <w:pPr>
              <w:pStyle w:val="BodyText2"/>
              <w:spacing w:after="0" w:line="0" w:lineRule="atLeast"/>
              <w:rPr>
                <w:sz w:val="18"/>
                <w:szCs w:val="18"/>
              </w:rPr>
            </w:pPr>
            <w:r>
              <w:rPr>
                <w:sz w:val="18"/>
                <w:szCs w:val="18"/>
              </w:rPr>
              <w:t>18</w:t>
            </w:r>
          </w:p>
          <w:p w14:paraId="4A3C978B" w14:textId="77777777" w:rsidR="00B1363E" w:rsidRDefault="00B1363E" w:rsidP="00B2208B">
            <w:pPr>
              <w:pStyle w:val="BodyText2"/>
              <w:spacing w:after="0" w:line="0" w:lineRule="atLeast"/>
              <w:rPr>
                <w:sz w:val="18"/>
                <w:szCs w:val="18"/>
              </w:rPr>
            </w:pPr>
            <w:r>
              <w:rPr>
                <w:sz w:val="18"/>
                <w:szCs w:val="18"/>
              </w:rPr>
              <w:t>19</w:t>
            </w:r>
          </w:p>
          <w:p w14:paraId="118E9BEC" w14:textId="77777777" w:rsidR="00B1363E" w:rsidRDefault="00B1363E" w:rsidP="00B2208B">
            <w:pPr>
              <w:pStyle w:val="BodyText2"/>
              <w:spacing w:after="0" w:line="0" w:lineRule="atLeast"/>
              <w:rPr>
                <w:sz w:val="18"/>
                <w:szCs w:val="18"/>
              </w:rPr>
            </w:pPr>
            <w:r>
              <w:rPr>
                <w:sz w:val="18"/>
                <w:szCs w:val="18"/>
              </w:rPr>
              <w:t>20</w:t>
            </w:r>
          </w:p>
          <w:p w14:paraId="2700683B" w14:textId="77777777" w:rsidR="00B1363E" w:rsidRDefault="00B1363E" w:rsidP="00B2208B">
            <w:pPr>
              <w:pStyle w:val="BodyText2"/>
              <w:spacing w:after="0" w:line="0" w:lineRule="atLeast"/>
              <w:rPr>
                <w:sz w:val="18"/>
                <w:szCs w:val="18"/>
              </w:rPr>
            </w:pPr>
            <w:r>
              <w:rPr>
                <w:sz w:val="18"/>
                <w:szCs w:val="18"/>
              </w:rPr>
              <w:t>21</w:t>
            </w:r>
          </w:p>
          <w:p w14:paraId="55AB5B73" w14:textId="77777777" w:rsidR="00B1363E" w:rsidRDefault="00B1363E" w:rsidP="00B2208B">
            <w:pPr>
              <w:pStyle w:val="BodyText2"/>
              <w:spacing w:after="0" w:line="0" w:lineRule="atLeast"/>
              <w:rPr>
                <w:sz w:val="18"/>
                <w:szCs w:val="18"/>
              </w:rPr>
            </w:pPr>
          </w:p>
          <w:p w14:paraId="29E03793" w14:textId="77777777" w:rsidR="00B1363E" w:rsidRPr="00A431E1" w:rsidRDefault="00B1363E" w:rsidP="00B2208B">
            <w:pPr>
              <w:pStyle w:val="BodyText2"/>
              <w:spacing w:after="0" w:line="0" w:lineRule="atLeast"/>
              <w:rPr>
                <w:sz w:val="18"/>
                <w:szCs w:val="18"/>
              </w:rPr>
            </w:pPr>
            <w:r>
              <w:rPr>
                <w:sz w:val="18"/>
                <w:szCs w:val="18"/>
              </w:rPr>
              <w:t>22</w:t>
            </w:r>
          </w:p>
        </w:tc>
        <w:tc>
          <w:tcPr>
            <w:tcW w:w="9214" w:type="dxa"/>
          </w:tcPr>
          <w:p w14:paraId="19C0D25A" w14:textId="77777777" w:rsidR="00B1363E" w:rsidRDefault="00B1363E" w:rsidP="00B2208B">
            <w:pPr>
              <w:pStyle w:val="BodyText2"/>
              <w:spacing w:after="0" w:line="0" w:lineRule="atLeast"/>
              <w:rPr>
                <w:sz w:val="18"/>
                <w:szCs w:val="18"/>
              </w:rPr>
            </w:pPr>
            <w:r w:rsidRPr="000C0245">
              <w:rPr>
                <w:sz w:val="18"/>
                <w:szCs w:val="18"/>
              </w:rPr>
              <w:t>BMA supporting health and wellbeing at work 2018</w:t>
            </w:r>
          </w:p>
          <w:p w14:paraId="15529945" w14:textId="77777777" w:rsidR="00B1363E" w:rsidRPr="000C0245" w:rsidRDefault="00B1363E" w:rsidP="00B2208B">
            <w:pPr>
              <w:pStyle w:val="BodyText2"/>
              <w:spacing w:after="0" w:line="0" w:lineRule="atLeast"/>
              <w:rPr>
                <w:sz w:val="18"/>
                <w:szCs w:val="18"/>
              </w:rPr>
            </w:pPr>
            <w:r w:rsidRPr="000C0245">
              <w:rPr>
                <w:sz w:val="18"/>
                <w:szCs w:val="18"/>
              </w:rPr>
              <w:t>Physical activity guidelines – www.gov.uk</w:t>
            </w:r>
          </w:p>
          <w:p w14:paraId="1CCEA5FD" w14:textId="77777777" w:rsidR="00B1363E" w:rsidRPr="000C0245" w:rsidRDefault="00B1363E" w:rsidP="00B2208B">
            <w:pPr>
              <w:pStyle w:val="BodyText2"/>
              <w:spacing w:after="0" w:line="0" w:lineRule="atLeast"/>
              <w:rPr>
                <w:sz w:val="18"/>
                <w:szCs w:val="18"/>
              </w:rPr>
            </w:pPr>
            <w:r w:rsidRPr="000C0245">
              <w:rPr>
                <w:sz w:val="18"/>
                <w:szCs w:val="18"/>
              </w:rPr>
              <w:t>Macfarlane GJ, Jones GT, Hannaford PC</w:t>
            </w:r>
          </w:p>
          <w:p w14:paraId="3EC29E0C" w14:textId="77777777" w:rsidR="00B1363E" w:rsidRPr="000C0245" w:rsidRDefault="00B1363E" w:rsidP="00B2208B">
            <w:pPr>
              <w:pStyle w:val="BodyText2"/>
              <w:spacing w:after="0" w:line="0" w:lineRule="atLeast"/>
              <w:rPr>
                <w:sz w:val="18"/>
                <w:szCs w:val="18"/>
              </w:rPr>
            </w:pPr>
            <w:r w:rsidRPr="000C0245">
              <w:rPr>
                <w:sz w:val="18"/>
                <w:szCs w:val="18"/>
              </w:rPr>
              <w:t>Occupational health – the value proposition (som.org.uk)</w:t>
            </w:r>
          </w:p>
          <w:p w14:paraId="4B36029B" w14:textId="77777777" w:rsidR="00B1363E" w:rsidRPr="000C0245" w:rsidRDefault="00B1363E" w:rsidP="00B2208B">
            <w:pPr>
              <w:pStyle w:val="BodyText2"/>
              <w:spacing w:after="0" w:line="0" w:lineRule="atLeast"/>
              <w:rPr>
                <w:sz w:val="18"/>
                <w:szCs w:val="18"/>
              </w:rPr>
            </w:pPr>
            <w:r w:rsidRPr="000C0245">
              <w:rPr>
                <w:sz w:val="18"/>
                <w:szCs w:val="18"/>
              </w:rPr>
              <w:t>Physical activity guidelines – www.gov.uk</w:t>
            </w:r>
          </w:p>
          <w:p w14:paraId="720EE2C0" w14:textId="77777777" w:rsidR="00B1363E" w:rsidRPr="000C0245" w:rsidRDefault="00B1363E" w:rsidP="00B2208B">
            <w:pPr>
              <w:pStyle w:val="BodyText2"/>
              <w:spacing w:after="0" w:line="0" w:lineRule="atLeast"/>
              <w:rPr>
                <w:sz w:val="18"/>
                <w:szCs w:val="18"/>
              </w:rPr>
            </w:pPr>
            <w:r w:rsidRPr="000C0245">
              <w:rPr>
                <w:sz w:val="18"/>
                <w:szCs w:val="18"/>
              </w:rPr>
              <w:t>https://www.gov.uk/government/collections/physical-activity-guidelines” Physical activity guidelines- GOV.UK (www.gov.uk)</w:t>
            </w:r>
          </w:p>
          <w:p w14:paraId="401DD5EA" w14:textId="77777777" w:rsidR="00B1363E" w:rsidRPr="000C0245" w:rsidRDefault="00B1363E" w:rsidP="00B2208B">
            <w:pPr>
              <w:pStyle w:val="BodyText2"/>
              <w:spacing w:after="0" w:line="0" w:lineRule="atLeast"/>
              <w:rPr>
                <w:sz w:val="18"/>
                <w:szCs w:val="18"/>
              </w:rPr>
            </w:pPr>
            <w:r w:rsidRPr="000C0245">
              <w:rPr>
                <w:sz w:val="18"/>
                <w:szCs w:val="18"/>
              </w:rPr>
              <w:t>Why are musculoskeletal conditions the biggest contributor to morbidity?</w:t>
            </w:r>
            <w:r>
              <w:rPr>
                <w:sz w:val="18"/>
                <w:szCs w:val="18"/>
              </w:rPr>
              <w:t xml:space="preserve"> </w:t>
            </w:r>
            <w:r w:rsidRPr="000C0245">
              <w:rPr>
                <w:sz w:val="18"/>
                <w:szCs w:val="18"/>
              </w:rPr>
              <w:t>https://publichealthmatters.blog.gov.uk/2019/03/11/why-are-musculoskeletal-conditions-thebiggest-contributor-to-morbidity/</w:t>
            </w:r>
          </w:p>
        </w:tc>
      </w:tr>
      <w:tr w:rsidR="00B1363E" w:rsidRPr="00A431E1" w14:paraId="136014E2" w14:textId="77777777" w:rsidTr="00B2208B">
        <w:tc>
          <w:tcPr>
            <w:tcW w:w="1350" w:type="dxa"/>
          </w:tcPr>
          <w:p w14:paraId="5DD3F9F9" w14:textId="77777777" w:rsidR="00B1363E" w:rsidRDefault="00B1363E" w:rsidP="00B2208B">
            <w:pPr>
              <w:pStyle w:val="BodyText2"/>
              <w:spacing w:after="0" w:line="0" w:lineRule="atLeast"/>
              <w:rPr>
                <w:sz w:val="18"/>
                <w:szCs w:val="18"/>
              </w:rPr>
            </w:pPr>
            <w:r>
              <w:rPr>
                <w:sz w:val="18"/>
                <w:szCs w:val="18"/>
              </w:rPr>
              <w:t>23</w:t>
            </w:r>
          </w:p>
          <w:p w14:paraId="2829AA16" w14:textId="77777777" w:rsidR="00B1363E" w:rsidRDefault="00B1363E" w:rsidP="00B2208B">
            <w:pPr>
              <w:pStyle w:val="BodyText2"/>
              <w:spacing w:after="0" w:line="0" w:lineRule="atLeast"/>
              <w:rPr>
                <w:sz w:val="18"/>
                <w:szCs w:val="18"/>
              </w:rPr>
            </w:pPr>
          </w:p>
          <w:p w14:paraId="616EE5A8" w14:textId="77777777" w:rsidR="00B1363E" w:rsidRPr="00A431E1" w:rsidRDefault="00B1363E" w:rsidP="00B2208B">
            <w:pPr>
              <w:pStyle w:val="BodyText2"/>
              <w:spacing w:after="0" w:line="0" w:lineRule="atLeast"/>
              <w:rPr>
                <w:sz w:val="18"/>
                <w:szCs w:val="18"/>
              </w:rPr>
            </w:pPr>
            <w:r>
              <w:rPr>
                <w:sz w:val="18"/>
                <w:szCs w:val="18"/>
              </w:rPr>
              <w:t>24 and 25</w:t>
            </w:r>
          </w:p>
        </w:tc>
        <w:tc>
          <w:tcPr>
            <w:tcW w:w="9214" w:type="dxa"/>
          </w:tcPr>
          <w:p w14:paraId="766D4BCC" w14:textId="77777777" w:rsidR="00B1363E" w:rsidRPr="00A77C72" w:rsidRDefault="00B1363E" w:rsidP="00B2208B">
            <w:pPr>
              <w:pStyle w:val="BodyText2"/>
              <w:spacing w:after="0" w:line="0" w:lineRule="atLeast"/>
              <w:rPr>
                <w:sz w:val="18"/>
                <w:szCs w:val="18"/>
              </w:rPr>
            </w:pPr>
            <w:r w:rsidRPr="00A77C72">
              <w:rPr>
                <w:sz w:val="18"/>
                <w:szCs w:val="18"/>
              </w:rPr>
              <w:t>Workplace policy and management practices to improve the health and wellbeing of employees,</w:t>
            </w:r>
            <w:r>
              <w:rPr>
                <w:sz w:val="18"/>
                <w:szCs w:val="18"/>
              </w:rPr>
              <w:t xml:space="preserve"> </w:t>
            </w:r>
            <w:r w:rsidRPr="00A77C72">
              <w:rPr>
                <w:sz w:val="18"/>
                <w:szCs w:val="18"/>
              </w:rPr>
              <w:t>Chartered Society of Physiotherapists, 2013</w:t>
            </w:r>
          </w:p>
          <w:p w14:paraId="5A01D548" w14:textId="77777777" w:rsidR="00B1363E" w:rsidRPr="00A431E1" w:rsidRDefault="00B1363E" w:rsidP="00B2208B">
            <w:pPr>
              <w:pStyle w:val="BodyText2"/>
              <w:spacing w:after="0" w:line="0" w:lineRule="atLeast"/>
              <w:rPr>
                <w:sz w:val="16"/>
                <w:szCs w:val="16"/>
              </w:rPr>
            </w:pPr>
            <w:r w:rsidRPr="00A77C72">
              <w:rPr>
                <w:sz w:val="18"/>
                <w:szCs w:val="18"/>
              </w:rPr>
              <w:t>Occupational health – the value proposition (som.org.uk)</w:t>
            </w:r>
          </w:p>
        </w:tc>
      </w:tr>
      <w:tr w:rsidR="00B1363E" w:rsidRPr="00A431E1" w14:paraId="3EE7725F"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680DE0E4" w14:textId="77777777" w:rsidR="00B1363E" w:rsidRDefault="00B1363E" w:rsidP="00B2208B">
            <w:pPr>
              <w:pStyle w:val="BodyText2"/>
              <w:spacing w:after="0" w:line="0" w:lineRule="atLeast"/>
              <w:rPr>
                <w:sz w:val="18"/>
                <w:szCs w:val="18"/>
              </w:rPr>
            </w:pPr>
            <w:r>
              <w:rPr>
                <w:sz w:val="18"/>
                <w:szCs w:val="18"/>
              </w:rPr>
              <w:t>26</w:t>
            </w:r>
          </w:p>
          <w:p w14:paraId="77796CE8" w14:textId="77777777" w:rsidR="00B1363E" w:rsidRDefault="00B1363E" w:rsidP="00B2208B">
            <w:pPr>
              <w:pStyle w:val="BodyText2"/>
              <w:spacing w:after="0" w:line="0" w:lineRule="atLeast"/>
              <w:rPr>
                <w:sz w:val="18"/>
                <w:szCs w:val="18"/>
              </w:rPr>
            </w:pPr>
          </w:p>
          <w:p w14:paraId="0853F792" w14:textId="77777777" w:rsidR="00B1363E" w:rsidRDefault="00B1363E" w:rsidP="00B2208B">
            <w:pPr>
              <w:pStyle w:val="BodyText2"/>
              <w:spacing w:after="0" w:line="0" w:lineRule="atLeast"/>
              <w:rPr>
                <w:sz w:val="18"/>
                <w:szCs w:val="18"/>
              </w:rPr>
            </w:pPr>
          </w:p>
          <w:p w14:paraId="184D561C" w14:textId="77777777" w:rsidR="00B1363E" w:rsidRDefault="00B1363E" w:rsidP="00B2208B">
            <w:pPr>
              <w:pStyle w:val="BodyText2"/>
              <w:spacing w:after="0" w:line="0" w:lineRule="atLeast"/>
              <w:rPr>
                <w:sz w:val="18"/>
                <w:szCs w:val="18"/>
              </w:rPr>
            </w:pPr>
          </w:p>
          <w:p w14:paraId="69ED413E" w14:textId="77777777" w:rsidR="00B1363E" w:rsidRDefault="00B1363E" w:rsidP="00B2208B">
            <w:pPr>
              <w:pStyle w:val="BodyText2"/>
              <w:spacing w:after="0" w:line="0" w:lineRule="atLeast"/>
              <w:rPr>
                <w:sz w:val="18"/>
                <w:szCs w:val="18"/>
              </w:rPr>
            </w:pPr>
            <w:r>
              <w:rPr>
                <w:sz w:val="18"/>
                <w:szCs w:val="18"/>
              </w:rPr>
              <w:t>27</w:t>
            </w:r>
          </w:p>
          <w:p w14:paraId="4DECD5E4" w14:textId="77777777" w:rsidR="00B1363E" w:rsidRPr="00A431E1" w:rsidRDefault="00B1363E" w:rsidP="00B2208B">
            <w:pPr>
              <w:pStyle w:val="BodyText2"/>
              <w:spacing w:after="0" w:line="0" w:lineRule="atLeast"/>
              <w:rPr>
                <w:sz w:val="18"/>
                <w:szCs w:val="18"/>
              </w:rPr>
            </w:pPr>
            <w:r>
              <w:rPr>
                <w:sz w:val="18"/>
                <w:szCs w:val="18"/>
              </w:rPr>
              <w:t>28</w:t>
            </w:r>
          </w:p>
        </w:tc>
        <w:tc>
          <w:tcPr>
            <w:tcW w:w="9214" w:type="dxa"/>
          </w:tcPr>
          <w:p w14:paraId="11D67B06" w14:textId="77777777" w:rsidR="00B1363E" w:rsidRPr="00A77C72" w:rsidRDefault="00B1363E" w:rsidP="00B2208B">
            <w:pPr>
              <w:pStyle w:val="BodyText2"/>
              <w:spacing w:after="0" w:line="0" w:lineRule="atLeast"/>
              <w:rPr>
                <w:sz w:val="18"/>
                <w:szCs w:val="18"/>
              </w:rPr>
            </w:pPr>
            <w:r w:rsidRPr="00A77C72">
              <w:rPr>
                <w:sz w:val="18"/>
                <w:szCs w:val="18"/>
              </w:rPr>
              <w:t>https://www.google.com/urlsa=t&amp;rct=j&amp;q=&amp;esrc=s&amp;source=web&amp;cd=&amp;ved=2ahUKEwih7diexenv</w:t>
            </w:r>
          </w:p>
          <w:p w14:paraId="6C3A5DEF" w14:textId="77777777" w:rsidR="00B1363E" w:rsidRPr="00A77C72" w:rsidRDefault="00B1363E" w:rsidP="00B2208B">
            <w:pPr>
              <w:pStyle w:val="BodyText2"/>
              <w:spacing w:after="0" w:line="0" w:lineRule="atLeast"/>
              <w:rPr>
                <w:sz w:val="18"/>
                <w:szCs w:val="18"/>
              </w:rPr>
            </w:pPr>
            <w:r w:rsidRPr="00A77C72">
              <w:rPr>
                <w:sz w:val="18"/>
                <w:szCs w:val="18"/>
              </w:rPr>
              <w:t>AhWyoVwKHdcoA6cQFjABegQIBhAD&amp;url=https%3A%2F%2Fwww.bhf.org.uk%2F-%2Fmedia%</w:t>
            </w:r>
          </w:p>
          <w:p w14:paraId="163281FA" w14:textId="77777777" w:rsidR="00B1363E" w:rsidRPr="00A77C72" w:rsidRDefault="00B1363E" w:rsidP="00B2208B">
            <w:pPr>
              <w:pStyle w:val="BodyText2"/>
              <w:spacing w:after="0" w:line="0" w:lineRule="atLeast"/>
              <w:rPr>
                <w:sz w:val="18"/>
                <w:szCs w:val="18"/>
              </w:rPr>
            </w:pPr>
            <w:r w:rsidRPr="00A77C72">
              <w:rPr>
                <w:sz w:val="18"/>
                <w:szCs w:val="18"/>
              </w:rPr>
              <w:t>2Ffiles%2Fresearch%2Fheart-statistics%2Fbhf-cvd-statistics-uk-factsheet.pdf&amp;usg</w:t>
            </w:r>
          </w:p>
          <w:p w14:paraId="2AB119E1" w14:textId="77777777" w:rsidR="00B1363E" w:rsidRPr="00A77C72" w:rsidRDefault="00B1363E" w:rsidP="00B2208B">
            <w:pPr>
              <w:pStyle w:val="BodyText2"/>
              <w:spacing w:after="0" w:line="0" w:lineRule="atLeast"/>
              <w:rPr>
                <w:sz w:val="18"/>
                <w:szCs w:val="18"/>
              </w:rPr>
            </w:pPr>
            <w:r w:rsidRPr="00A77C72">
              <w:rPr>
                <w:sz w:val="18"/>
                <w:szCs w:val="18"/>
              </w:rPr>
              <w:t>=AOvVaw3cL0StMVuLgIemlJ7AwHTV</w:t>
            </w:r>
          </w:p>
          <w:p w14:paraId="673AA035" w14:textId="77777777" w:rsidR="00B1363E" w:rsidRPr="00A77C72" w:rsidRDefault="00B1363E" w:rsidP="00B2208B">
            <w:pPr>
              <w:pStyle w:val="BodyText2"/>
              <w:spacing w:after="0" w:line="0" w:lineRule="atLeast"/>
              <w:rPr>
                <w:sz w:val="18"/>
                <w:szCs w:val="18"/>
              </w:rPr>
            </w:pPr>
            <w:r w:rsidRPr="00A77C72">
              <w:rPr>
                <w:sz w:val="18"/>
                <w:szCs w:val="18"/>
              </w:rPr>
              <w:t>Overweight adults – GOV.UK Ethnicity facts and figures (ethnicity-facts-figures.service.gov.uk)</w:t>
            </w:r>
          </w:p>
          <w:p w14:paraId="4F20F86E" w14:textId="77777777" w:rsidR="00B1363E" w:rsidRPr="00A431E1" w:rsidRDefault="00B1363E" w:rsidP="00B2208B">
            <w:pPr>
              <w:pStyle w:val="BodyText2"/>
              <w:spacing w:after="0" w:line="0" w:lineRule="atLeast"/>
              <w:rPr>
                <w:sz w:val="16"/>
                <w:szCs w:val="16"/>
              </w:rPr>
            </w:pPr>
            <w:r w:rsidRPr="00A77C72">
              <w:rPr>
                <w:sz w:val="18"/>
                <w:szCs w:val="18"/>
              </w:rPr>
              <w:t>Working for a Healthier Tomorrow, Carol Black, 2008</w:t>
            </w:r>
          </w:p>
        </w:tc>
      </w:tr>
      <w:tr w:rsidR="00B1363E" w:rsidRPr="00A431E1" w14:paraId="60F172D3" w14:textId="77777777" w:rsidTr="00B2208B">
        <w:tc>
          <w:tcPr>
            <w:tcW w:w="1350" w:type="dxa"/>
          </w:tcPr>
          <w:p w14:paraId="501B7B41" w14:textId="77777777" w:rsidR="00B1363E" w:rsidRDefault="00B1363E" w:rsidP="00B2208B">
            <w:pPr>
              <w:pStyle w:val="BodyText2"/>
              <w:spacing w:after="0" w:line="0" w:lineRule="atLeast"/>
              <w:rPr>
                <w:sz w:val="18"/>
                <w:szCs w:val="18"/>
              </w:rPr>
            </w:pPr>
            <w:r>
              <w:rPr>
                <w:sz w:val="18"/>
                <w:szCs w:val="18"/>
              </w:rPr>
              <w:t>29</w:t>
            </w:r>
          </w:p>
          <w:p w14:paraId="49545729" w14:textId="77777777" w:rsidR="00B1363E" w:rsidRDefault="00B1363E" w:rsidP="00B2208B">
            <w:pPr>
              <w:pStyle w:val="BodyText2"/>
              <w:spacing w:after="0" w:line="0" w:lineRule="atLeast"/>
              <w:rPr>
                <w:sz w:val="18"/>
                <w:szCs w:val="18"/>
              </w:rPr>
            </w:pPr>
            <w:r>
              <w:rPr>
                <w:sz w:val="18"/>
                <w:szCs w:val="18"/>
              </w:rPr>
              <w:t>30</w:t>
            </w:r>
          </w:p>
          <w:p w14:paraId="43A0A4F9" w14:textId="77777777" w:rsidR="00B1363E" w:rsidRDefault="00B1363E" w:rsidP="00B2208B">
            <w:pPr>
              <w:pStyle w:val="BodyText2"/>
              <w:spacing w:after="0" w:line="0" w:lineRule="atLeast"/>
              <w:rPr>
                <w:sz w:val="18"/>
                <w:szCs w:val="18"/>
              </w:rPr>
            </w:pPr>
            <w:r>
              <w:rPr>
                <w:sz w:val="18"/>
                <w:szCs w:val="18"/>
              </w:rPr>
              <w:t>31</w:t>
            </w:r>
          </w:p>
          <w:p w14:paraId="04E5BF93" w14:textId="77777777" w:rsidR="00B1363E" w:rsidRDefault="00B1363E" w:rsidP="00B2208B">
            <w:pPr>
              <w:pStyle w:val="BodyText2"/>
              <w:spacing w:after="0" w:line="0" w:lineRule="atLeast"/>
              <w:rPr>
                <w:sz w:val="18"/>
                <w:szCs w:val="18"/>
              </w:rPr>
            </w:pPr>
            <w:r>
              <w:rPr>
                <w:sz w:val="18"/>
                <w:szCs w:val="18"/>
              </w:rPr>
              <w:t>32</w:t>
            </w:r>
          </w:p>
          <w:p w14:paraId="7CF31914" w14:textId="77777777" w:rsidR="00B1363E" w:rsidRDefault="00B1363E" w:rsidP="00B2208B">
            <w:pPr>
              <w:pStyle w:val="BodyText2"/>
              <w:spacing w:after="0" w:line="0" w:lineRule="atLeast"/>
              <w:rPr>
                <w:sz w:val="18"/>
                <w:szCs w:val="18"/>
              </w:rPr>
            </w:pPr>
            <w:r>
              <w:rPr>
                <w:sz w:val="18"/>
                <w:szCs w:val="18"/>
              </w:rPr>
              <w:t>33</w:t>
            </w:r>
          </w:p>
          <w:p w14:paraId="15161AB1" w14:textId="77777777" w:rsidR="00B1363E" w:rsidRDefault="00B1363E" w:rsidP="00B2208B">
            <w:pPr>
              <w:pStyle w:val="BodyText2"/>
              <w:spacing w:after="0" w:line="0" w:lineRule="atLeast"/>
              <w:rPr>
                <w:sz w:val="18"/>
                <w:szCs w:val="18"/>
              </w:rPr>
            </w:pPr>
            <w:r>
              <w:rPr>
                <w:sz w:val="18"/>
                <w:szCs w:val="18"/>
              </w:rPr>
              <w:t>34</w:t>
            </w:r>
          </w:p>
          <w:p w14:paraId="0C0AA6AF" w14:textId="77777777" w:rsidR="00B1363E" w:rsidRPr="00A431E1" w:rsidRDefault="00B1363E" w:rsidP="00B2208B">
            <w:pPr>
              <w:pStyle w:val="BodyText2"/>
              <w:spacing w:after="0" w:line="0" w:lineRule="atLeast"/>
              <w:rPr>
                <w:sz w:val="18"/>
                <w:szCs w:val="18"/>
              </w:rPr>
            </w:pPr>
            <w:r>
              <w:rPr>
                <w:sz w:val="18"/>
                <w:szCs w:val="18"/>
              </w:rPr>
              <w:t>35</w:t>
            </w:r>
          </w:p>
        </w:tc>
        <w:tc>
          <w:tcPr>
            <w:tcW w:w="9214" w:type="dxa"/>
          </w:tcPr>
          <w:p w14:paraId="0FA94BC3" w14:textId="77777777" w:rsidR="00B1363E" w:rsidRPr="00A77C72" w:rsidRDefault="00B1363E" w:rsidP="00B2208B">
            <w:pPr>
              <w:pStyle w:val="BodyText2"/>
              <w:spacing w:after="0" w:line="0" w:lineRule="atLeast"/>
              <w:rPr>
                <w:sz w:val="18"/>
                <w:szCs w:val="18"/>
              </w:rPr>
            </w:pPr>
            <w:r w:rsidRPr="00A77C72">
              <w:rPr>
                <w:sz w:val="18"/>
                <w:szCs w:val="18"/>
              </w:rPr>
              <w:t>Safe and Effective Staffing: Nursing Against the Odds Royal College of Nursing</w:t>
            </w:r>
          </w:p>
          <w:p w14:paraId="6CCC368D" w14:textId="77777777" w:rsidR="00B1363E" w:rsidRPr="00A77C72" w:rsidRDefault="00B1363E" w:rsidP="00B2208B">
            <w:pPr>
              <w:pStyle w:val="BodyText2"/>
              <w:spacing w:after="0" w:line="0" w:lineRule="atLeast"/>
              <w:rPr>
                <w:sz w:val="18"/>
                <w:szCs w:val="18"/>
              </w:rPr>
            </w:pPr>
            <w:r w:rsidRPr="00A77C72">
              <w:rPr>
                <w:sz w:val="18"/>
                <w:szCs w:val="18"/>
              </w:rPr>
              <w:t>Fatigue and sleep deprivation – British Medical Association 2018</w:t>
            </w:r>
          </w:p>
          <w:p w14:paraId="7155C0B2" w14:textId="77777777" w:rsidR="00B1363E" w:rsidRPr="00A77C72" w:rsidRDefault="00B1363E" w:rsidP="00B2208B">
            <w:pPr>
              <w:pStyle w:val="BodyText2"/>
              <w:spacing w:after="0" w:line="0" w:lineRule="atLeast"/>
              <w:rPr>
                <w:sz w:val="18"/>
                <w:szCs w:val="18"/>
              </w:rPr>
            </w:pPr>
            <w:r w:rsidRPr="00A77C72">
              <w:rPr>
                <w:sz w:val="18"/>
                <w:szCs w:val="18"/>
              </w:rPr>
              <w:t>BMA supporting health and wellbeing at work PDF</w:t>
            </w:r>
          </w:p>
          <w:p w14:paraId="01CE6813" w14:textId="77777777" w:rsidR="00B1363E" w:rsidRPr="00A77C72" w:rsidRDefault="00B1363E" w:rsidP="00B2208B">
            <w:pPr>
              <w:pStyle w:val="BodyText2"/>
              <w:spacing w:after="0" w:line="0" w:lineRule="atLeast"/>
              <w:rPr>
                <w:sz w:val="18"/>
                <w:szCs w:val="18"/>
              </w:rPr>
            </w:pPr>
            <w:r w:rsidRPr="00A77C72">
              <w:rPr>
                <w:sz w:val="18"/>
                <w:szCs w:val="18"/>
              </w:rPr>
              <w:t>NHS National Patient Safety Agency</w:t>
            </w:r>
          </w:p>
          <w:p w14:paraId="667B5AAC" w14:textId="77777777" w:rsidR="00B1363E" w:rsidRPr="00A77C72" w:rsidRDefault="00B1363E" w:rsidP="00B2208B">
            <w:pPr>
              <w:pStyle w:val="BodyText2"/>
              <w:spacing w:after="0" w:line="0" w:lineRule="atLeast"/>
              <w:rPr>
                <w:sz w:val="18"/>
                <w:szCs w:val="18"/>
              </w:rPr>
            </w:pPr>
            <w:r w:rsidRPr="00A77C72">
              <w:rPr>
                <w:sz w:val="18"/>
                <w:szCs w:val="18"/>
              </w:rPr>
              <w:t>NHS Health and Wellbeing review, Boorman, 2009</w:t>
            </w:r>
          </w:p>
          <w:p w14:paraId="2552540D" w14:textId="77777777" w:rsidR="00B1363E" w:rsidRPr="00A77C72" w:rsidRDefault="00B1363E" w:rsidP="00B2208B">
            <w:pPr>
              <w:pStyle w:val="BodyText2"/>
              <w:spacing w:after="0" w:line="0" w:lineRule="atLeast"/>
              <w:rPr>
                <w:sz w:val="18"/>
                <w:szCs w:val="18"/>
              </w:rPr>
            </w:pPr>
            <w:r w:rsidRPr="00A77C72">
              <w:rPr>
                <w:sz w:val="18"/>
                <w:szCs w:val="18"/>
              </w:rPr>
              <w:t>www.ons.gov.uk</w:t>
            </w:r>
          </w:p>
          <w:p w14:paraId="626F3FDA" w14:textId="77777777" w:rsidR="00B1363E" w:rsidRPr="00A431E1" w:rsidRDefault="00B1363E" w:rsidP="00B2208B">
            <w:pPr>
              <w:pStyle w:val="BodyText2"/>
              <w:spacing w:after="0" w:line="0" w:lineRule="atLeast"/>
              <w:rPr>
                <w:sz w:val="16"/>
                <w:szCs w:val="16"/>
              </w:rPr>
            </w:pPr>
            <w:r w:rsidRPr="00A77C72">
              <w:rPr>
                <w:sz w:val="18"/>
                <w:szCs w:val="18"/>
              </w:rPr>
              <w:t>Wiley Online Library</w:t>
            </w:r>
          </w:p>
        </w:tc>
      </w:tr>
      <w:tr w:rsidR="00B1363E" w:rsidRPr="00A77C72" w14:paraId="72E965E2"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29CEE052" w14:textId="77777777" w:rsidR="00B1363E" w:rsidRDefault="00B1363E" w:rsidP="00B2208B">
            <w:pPr>
              <w:pStyle w:val="BodyText2"/>
              <w:spacing w:after="0" w:line="0" w:lineRule="atLeast"/>
              <w:rPr>
                <w:sz w:val="18"/>
                <w:szCs w:val="18"/>
              </w:rPr>
            </w:pPr>
            <w:r>
              <w:rPr>
                <w:sz w:val="18"/>
                <w:szCs w:val="18"/>
              </w:rPr>
              <w:t>36</w:t>
            </w:r>
          </w:p>
          <w:p w14:paraId="00807133" w14:textId="77777777" w:rsidR="00B1363E" w:rsidRDefault="00B1363E" w:rsidP="00B2208B">
            <w:pPr>
              <w:pStyle w:val="BodyText2"/>
              <w:spacing w:after="0" w:line="0" w:lineRule="atLeast"/>
              <w:rPr>
                <w:sz w:val="18"/>
                <w:szCs w:val="18"/>
              </w:rPr>
            </w:pPr>
            <w:r>
              <w:rPr>
                <w:sz w:val="18"/>
                <w:szCs w:val="18"/>
              </w:rPr>
              <w:t>37</w:t>
            </w:r>
          </w:p>
          <w:p w14:paraId="5A8368F9" w14:textId="77777777" w:rsidR="00B1363E" w:rsidRPr="00A431E1" w:rsidRDefault="00B1363E" w:rsidP="00B2208B">
            <w:pPr>
              <w:pStyle w:val="BodyText2"/>
              <w:spacing w:after="0" w:line="0" w:lineRule="atLeast"/>
              <w:rPr>
                <w:sz w:val="18"/>
                <w:szCs w:val="18"/>
              </w:rPr>
            </w:pPr>
            <w:r>
              <w:rPr>
                <w:sz w:val="18"/>
                <w:szCs w:val="18"/>
              </w:rPr>
              <w:t>38</w:t>
            </w:r>
          </w:p>
        </w:tc>
        <w:tc>
          <w:tcPr>
            <w:tcW w:w="9214" w:type="dxa"/>
          </w:tcPr>
          <w:p w14:paraId="7E5F022E" w14:textId="77777777" w:rsidR="00B1363E" w:rsidRPr="00A77C72" w:rsidRDefault="00B1363E" w:rsidP="00B2208B">
            <w:pPr>
              <w:pStyle w:val="BodyText2"/>
              <w:spacing w:after="0" w:line="0" w:lineRule="atLeast"/>
              <w:rPr>
                <w:sz w:val="18"/>
                <w:szCs w:val="18"/>
              </w:rPr>
            </w:pPr>
            <w:r w:rsidRPr="00A77C72">
              <w:rPr>
                <w:sz w:val="18"/>
                <w:szCs w:val="18"/>
              </w:rPr>
              <w:t>Fair Society, Healthy Lives (The Marmot Review), Marmot, 2010</w:t>
            </w:r>
          </w:p>
          <w:p w14:paraId="1DE38F55" w14:textId="77777777" w:rsidR="00B1363E" w:rsidRPr="00A77C72" w:rsidRDefault="00B1363E" w:rsidP="00B2208B">
            <w:pPr>
              <w:pStyle w:val="BodyText2"/>
              <w:spacing w:after="0" w:line="0" w:lineRule="atLeast"/>
              <w:rPr>
                <w:sz w:val="18"/>
                <w:szCs w:val="18"/>
              </w:rPr>
            </w:pPr>
            <w:r w:rsidRPr="00A77C72">
              <w:rPr>
                <w:sz w:val="18"/>
                <w:szCs w:val="18"/>
              </w:rPr>
              <w:t>Society of Occupational Medicine, Taking care of your mental health report, October 2018</w:t>
            </w:r>
          </w:p>
          <w:p w14:paraId="3DFE63A8" w14:textId="77777777" w:rsidR="00B1363E" w:rsidRPr="00A77C72" w:rsidRDefault="00B1363E" w:rsidP="00B2208B">
            <w:pPr>
              <w:pStyle w:val="BodyText2"/>
              <w:spacing w:after="0" w:line="0" w:lineRule="atLeast"/>
              <w:rPr>
                <w:sz w:val="18"/>
                <w:szCs w:val="18"/>
              </w:rPr>
            </w:pPr>
            <w:r w:rsidRPr="00A77C72">
              <w:rPr>
                <w:sz w:val="18"/>
                <w:szCs w:val="18"/>
              </w:rPr>
              <w:t>http://webarchive.nationalarchives.gov.uk/20130103004910/http://www.dh.gov.uk/en/</w:t>
            </w:r>
          </w:p>
          <w:p w14:paraId="6341EB36" w14:textId="77777777" w:rsidR="00B1363E" w:rsidRPr="00A77C72" w:rsidRDefault="00B1363E" w:rsidP="00B2208B">
            <w:pPr>
              <w:pStyle w:val="BodyText2"/>
              <w:spacing w:after="0" w:line="0" w:lineRule="atLeast"/>
              <w:rPr>
                <w:sz w:val="18"/>
                <w:szCs w:val="18"/>
              </w:rPr>
            </w:pPr>
            <w:r w:rsidRPr="00A77C72">
              <w:rPr>
                <w:sz w:val="18"/>
                <w:szCs w:val="18"/>
              </w:rPr>
              <w:t>Publicationsandstatistics/Publications/PublicationsPolicyAndGuidance/DH_108799</w:t>
            </w:r>
          </w:p>
        </w:tc>
      </w:tr>
      <w:tr w:rsidR="00B1363E" w:rsidRPr="00A77C72" w14:paraId="208EC941" w14:textId="77777777" w:rsidTr="00B2208B">
        <w:tc>
          <w:tcPr>
            <w:tcW w:w="1350" w:type="dxa"/>
          </w:tcPr>
          <w:p w14:paraId="7EF6852F" w14:textId="77777777" w:rsidR="00B1363E" w:rsidRDefault="00B1363E" w:rsidP="00B2208B">
            <w:pPr>
              <w:pStyle w:val="BodyText2"/>
              <w:spacing w:after="0" w:line="0" w:lineRule="atLeast"/>
              <w:rPr>
                <w:sz w:val="18"/>
                <w:szCs w:val="18"/>
              </w:rPr>
            </w:pPr>
            <w:r>
              <w:rPr>
                <w:sz w:val="18"/>
                <w:szCs w:val="18"/>
              </w:rPr>
              <w:t>39</w:t>
            </w:r>
          </w:p>
          <w:p w14:paraId="52606677" w14:textId="77777777" w:rsidR="00B1363E" w:rsidRDefault="00B1363E" w:rsidP="00B2208B">
            <w:pPr>
              <w:pStyle w:val="BodyText2"/>
              <w:spacing w:after="0" w:line="0" w:lineRule="atLeast"/>
              <w:rPr>
                <w:sz w:val="18"/>
                <w:szCs w:val="18"/>
              </w:rPr>
            </w:pPr>
          </w:p>
          <w:p w14:paraId="5747CFF3" w14:textId="77777777" w:rsidR="00B1363E" w:rsidRPr="00A431E1" w:rsidRDefault="00B1363E" w:rsidP="00B2208B">
            <w:pPr>
              <w:pStyle w:val="BodyText2"/>
              <w:spacing w:after="0" w:line="0" w:lineRule="atLeast"/>
              <w:rPr>
                <w:sz w:val="18"/>
                <w:szCs w:val="18"/>
              </w:rPr>
            </w:pPr>
            <w:r>
              <w:rPr>
                <w:sz w:val="18"/>
                <w:szCs w:val="18"/>
              </w:rPr>
              <w:t>40</w:t>
            </w:r>
          </w:p>
        </w:tc>
        <w:tc>
          <w:tcPr>
            <w:tcW w:w="9214" w:type="dxa"/>
          </w:tcPr>
          <w:p w14:paraId="79018C9E" w14:textId="77777777" w:rsidR="00B1363E" w:rsidRPr="00A77C72" w:rsidRDefault="00B1363E" w:rsidP="00B2208B">
            <w:pPr>
              <w:pStyle w:val="BodyText2"/>
              <w:spacing w:after="0" w:line="0" w:lineRule="atLeast"/>
              <w:rPr>
                <w:sz w:val="18"/>
                <w:szCs w:val="18"/>
              </w:rPr>
            </w:pPr>
            <w:r w:rsidRPr="00A77C72">
              <w:rPr>
                <w:sz w:val="18"/>
                <w:szCs w:val="18"/>
              </w:rPr>
              <w:t>https://www.forbes.com/sites/nazbeheshti/2019/01/16/10-timely-statistics-about-the-connectionbetween-</w:t>
            </w:r>
          </w:p>
          <w:p w14:paraId="4B7C8674" w14:textId="77777777" w:rsidR="00B1363E" w:rsidRPr="00A77C72" w:rsidRDefault="00B1363E" w:rsidP="00B2208B">
            <w:pPr>
              <w:pStyle w:val="BodyText2"/>
              <w:spacing w:after="0" w:line="0" w:lineRule="atLeast"/>
              <w:rPr>
                <w:sz w:val="18"/>
                <w:szCs w:val="18"/>
              </w:rPr>
            </w:pPr>
            <w:r w:rsidRPr="00A77C72">
              <w:rPr>
                <w:sz w:val="18"/>
                <w:szCs w:val="18"/>
              </w:rPr>
              <w:t>employee-engagement-and-wellness/?sh=58aada3b22a0</w:t>
            </w:r>
          </w:p>
          <w:p w14:paraId="033EF021" w14:textId="77777777" w:rsidR="00B1363E" w:rsidRPr="00A77C72" w:rsidRDefault="00B1363E" w:rsidP="00B2208B">
            <w:pPr>
              <w:pStyle w:val="BodyText2"/>
              <w:spacing w:after="0" w:line="0" w:lineRule="atLeast"/>
              <w:rPr>
                <w:sz w:val="18"/>
                <w:szCs w:val="18"/>
              </w:rPr>
            </w:pPr>
            <w:r w:rsidRPr="00A77C72">
              <w:rPr>
                <w:sz w:val="18"/>
                <w:szCs w:val="18"/>
              </w:rPr>
              <w:t>Cues of working together fuel intrinsic motivationPriyanka B.CarrGregory M.Walton</w:t>
            </w:r>
          </w:p>
        </w:tc>
      </w:tr>
      <w:tr w:rsidR="00B1363E" w:rsidRPr="00A77C72" w14:paraId="59F4F4DE"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20CB7CFD" w14:textId="77777777" w:rsidR="00B1363E" w:rsidRDefault="00B1363E" w:rsidP="00B2208B">
            <w:pPr>
              <w:pStyle w:val="BodyText2"/>
              <w:spacing w:after="0" w:line="0" w:lineRule="atLeast"/>
              <w:rPr>
                <w:sz w:val="18"/>
                <w:szCs w:val="18"/>
              </w:rPr>
            </w:pPr>
            <w:r>
              <w:rPr>
                <w:sz w:val="18"/>
                <w:szCs w:val="18"/>
              </w:rPr>
              <w:t>41</w:t>
            </w:r>
          </w:p>
          <w:p w14:paraId="3986AD22" w14:textId="77777777" w:rsidR="00B1363E" w:rsidRDefault="00B1363E" w:rsidP="00B2208B">
            <w:pPr>
              <w:pStyle w:val="BodyText2"/>
              <w:spacing w:after="0" w:line="0" w:lineRule="atLeast"/>
              <w:rPr>
                <w:sz w:val="18"/>
                <w:szCs w:val="18"/>
              </w:rPr>
            </w:pPr>
            <w:r>
              <w:rPr>
                <w:sz w:val="18"/>
                <w:szCs w:val="18"/>
              </w:rPr>
              <w:t>42</w:t>
            </w:r>
          </w:p>
          <w:p w14:paraId="7EACC62B" w14:textId="77777777" w:rsidR="00B1363E" w:rsidRPr="00A431E1" w:rsidRDefault="00B1363E" w:rsidP="00B2208B">
            <w:pPr>
              <w:pStyle w:val="BodyText2"/>
              <w:spacing w:after="0" w:line="0" w:lineRule="atLeast"/>
              <w:rPr>
                <w:sz w:val="18"/>
                <w:szCs w:val="18"/>
              </w:rPr>
            </w:pPr>
            <w:r>
              <w:rPr>
                <w:sz w:val="18"/>
                <w:szCs w:val="18"/>
              </w:rPr>
              <w:t>43</w:t>
            </w:r>
          </w:p>
        </w:tc>
        <w:tc>
          <w:tcPr>
            <w:tcW w:w="9214" w:type="dxa"/>
          </w:tcPr>
          <w:p w14:paraId="453B5123" w14:textId="77777777" w:rsidR="00B1363E" w:rsidRPr="00A77C72" w:rsidRDefault="00B1363E" w:rsidP="00B2208B">
            <w:pPr>
              <w:autoSpaceDE w:val="0"/>
              <w:autoSpaceDN w:val="0"/>
              <w:adjustRightInd w:val="0"/>
              <w:rPr>
                <w:sz w:val="18"/>
                <w:szCs w:val="18"/>
              </w:rPr>
            </w:pPr>
            <w:r w:rsidRPr="00A77C72">
              <w:rPr>
                <w:sz w:val="18"/>
                <w:szCs w:val="18"/>
              </w:rPr>
              <w:t>Research produced by Roger Kline and Professor Duncan Lewis</w:t>
            </w:r>
          </w:p>
          <w:p w14:paraId="0FA48CC0" w14:textId="77777777" w:rsidR="00B1363E" w:rsidRDefault="00B1363E" w:rsidP="00B2208B">
            <w:pPr>
              <w:autoSpaceDE w:val="0"/>
              <w:autoSpaceDN w:val="0"/>
              <w:adjustRightInd w:val="0"/>
              <w:rPr>
                <w:sz w:val="18"/>
                <w:szCs w:val="18"/>
              </w:rPr>
            </w:pPr>
            <w:r w:rsidRPr="00A77C72">
              <w:rPr>
                <w:sz w:val="18"/>
                <w:szCs w:val="18"/>
              </w:rPr>
              <w:t>The 2019 NHS staff survey</w:t>
            </w:r>
          </w:p>
          <w:p w14:paraId="36B85DD8" w14:textId="77777777" w:rsidR="00B1363E" w:rsidRPr="00A77C72" w:rsidRDefault="00B1363E" w:rsidP="00B2208B">
            <w:pPr>
              <w:autoSpaceDE w:val="0"/>
              <w:autoSpaceDN w:val="0"/>
              <w:adjustRightInd w:val="0"/>
              <w:rPr>
                <w:sz w:val="18"/>
                <w:szCs w:val="18"/>
              </w:rPr>
            </w:pPr>
            <w:r w:rsidRPr="00A77C72">
              <w:rPr>
                <w:sz w:val="18"/>
                <w:szCs w:val="18"/>
              </w:rPr>
              <w:t>Carter et al., 2008</w:t>
            </w:r>
          </w:p>
        </w:tc>
      </w:tr>
      <w:tr w:rsidR="00B1363E" w:rsidRPr="00A77C72" w14:paraId="73A54967" w14:textId="77777777" w:rsidTr="00B2208B">
        <w:tc>
          <w:tcPr>
            <w:tcW w:w="1350" w:type="dxa"/>
          </w:tcPr>
          <w:p w14:paraId="2562DAD7" w14:textId="77777777" w:rsidR="00B1363E" w:rsidRDefault="00B1363E" w:rsidP="00B2208B">
            <w:pPr>
              <w:pStyle w:val="BodyText2"/>
              <w:spacing w:after="0" w:line="0" w:lineRule="atLeast"/>
              <w:rPr>
                <w:sz w:val="18"/>
                <w:szCs w:val="18"/>
              </w:rPr>
            </w:pPr>
            <w:r>
              <w:rPr>
                <w:sz w:val="18"/>
                <w:szCs w:val="18"/>
              </w:rPr>
              <w:lastRenderedPageBreak/>
              <w:t>44</w:t>
            </w:r>
          </w:p>
          <w:p w14:paraId="5C723D0D" w14:textId="77777777" w:rsidR="00B1363E" w:rsidRDefault="00B1363E" w:rsidP="00B2208B">
            <w:pPr>
              <w:pStyle w:val="BodyText2"/>
              <w:spacing w:after="0" w:line="0" w:lineRule="atLeast"/>
              <w:rPr>
                <w:sz w:val="18"/>
                <w:szCs w:val="18"/>
              </w:rPr>
            </w:pPr>
            <w:r>
              <w:rPr>
                <w:sz w:val="18"/>
                <w:szCs w:val="18"/>
              </w:rPr>
              <w:t>45</w:t>
            </w:r>
          </w:p>
          <w:p w14:paraId="259CF87C" w14:textId="77777777" w:rsidR="00B1363E" w:rsidRDefault="00B1363E" w:rsidP="00B2208B">
            <w:pPr>
              <w:pStyle w:val="BodyText2"/>
              <w:spacing w:after="0" w:line="0" w:lineRule="atLeast"/>
              <w:rPr>
                <w:sz w:val="18"/>
                <w:szCs w:val="18"/>
              </w:rPr>
            </w:pPr>
          </w:p>
          <w:p w14:paraId="11F581F2" w14:textId="77777777" w:rsidR="00B1363E" w:rsidRPr="00A431E1" w:rsidRDefault="00B1363E" w:rsidP="00B2208B">
            <w:pPr>
              <w:pStyle w:val="BodyText2"/>
              <w:spacing w:after="0" w:line="0" w:lineRule="atLeast"/>
              <w:rPr>
                <w:sz w:val="18"/>
                <w:szCs w:val="18"/>
              </w:rPr>
            </w:pPr>
            <w:r>
              <w:rPr>
                <w:sz w:val="18"/>
                <w:szCs w:val="18"/>
              </w:rPr>
              <w:t>46</w:t>
            </w:r>
          </w:p>
        </w:tc>
        <w:tc>
          <w:tcPr>
            <w:tcW w:w="9214" w:type="dxa"/>
          </w:tcPr>
          <w:p w14:paraId="1286CCAD"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The Francis Report (2013) and the Kirkup Report (2018)</w:t>
            </w:r>
          </w:p>
          <w:p w14:paraId="5866BF52"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Fox, S., &amp; Stallworth, L. E. (2005) Racial/ethnic bullying: Exploring links between bullying and</w:t>
            </w:r>
          </w:p>
          <w:p w14:paraId="78C688A6" w14:textId="77777777" w:rsidR="00B1363E" w:rsidRPr="00A77C72" w:rsidRDefault="00B1363E" w:rsidP="00B2208B">
            <w:pPr>
              <w:pStyle w:val="BodyText2"/>
              <w:spacing w:after="0" w:line="0" w:lineRule="atLeast"/>
              <w:rPr>
                <w:sz w:val="18"/>
                <w:szCs w:val="18"/>
              </w:rPr>
            </w:pPr>
            <w:r w:rsidRPr="00A77C72">
              <w:rPr>
                <w:sz w:val="18"/>
                <w:szCs w:val="18"/>
              </w:rPr>
              <w:t>racism in the US workplace. Journal of Vocational Behavior, 66(3), 438–456.</w:t>
            </w:r>
          </w:p>
          <w:p w14:paraId="73753CAA" w14:textId="77777777" w:rsidR="00B1363E" w:rsidRPr="00A77C72" w:rsidRDefault="00B1363E" w:rsidP="00B2208B">
            <w:pPr>
              <w:pStyle w:val="BodyText2"/>
              <w:spacing w:after="0" w:line="0" w:lineRule="atLeast"/>
              <w:rPr>
                <w:sz w:val="18"/>
                <w:szCs w:val="18"/>
              </w:rPr>
            </w:pPr>
            <w:r w:rsidRPr="00A77C72">
              <w:rPr>
                <w:sz w:val="18"/>
                <w:szCs w:val="18"/>
              </w:rPr>
              <w:t>NHS staff Survey 2020</w:t>
            </w:r>
          </w:p>
        </w:tc>
      </w:tr>
      <w:tr w:rsidR="00B1363E" w:rsidRPr="00A77C72" w14:paraId="6ED17C7E"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26FDFA2B" w14:textId="77777777" w:rsidR="00B1363E" w:rsidRPr="00A431E1" w:rsidRDefault="00B1363E" w:rsidP="00B2208B">
            <w:pPr>
              <w:autoSpaceDE w:val="0"/>
              <w:autoSpaceDN w:val="0"/>
              <w:adjustRightInd w:val="0"/>
              <w:rPr>
                <w:sz w:val="18"/>
                <w:szCs w:val="18"/>
              </w:rPr>
            </w:pPr>
            <w:r>
              <w:rPr>
                <w:sz w:val="18"/>
                <w:szCs w:val="18"/>
              </w:rPr>
              <w:t>47 to 52</w:t>
            </w:r>
          </w:p>
        </w:tc>
        <w:tc>
          <w:tcPr>
            <w:tcW w:w="9214" w:type="dxa"/>
          </w:tcPr>
          <w:p w14:paraId="7872FFEF" w14:textId="77777777" w:rsidR="00B1363E" w:rsidRPr="00A77C72" w:rsidRDefault="00B1363E" w:rsidP="00B2208B">
            <w:pPr>
              <w:autoSpaceDE w:val="0"/>
              <w:autoSpaceDN w:val="0"/>
              <w:adjustRightInd w:val="0"/>
              <w:rPr>
                <w:sz w:val="18"/>
                <w:szCs w:val="18"/>
              </w:rPr>
            </w:pPr>
            <w:r w:rsidRPr="00A77C72">
              <w:rPr>
                <w:sz w:val="18"/>
                <w:szCs w:val="18"/>
              </w:rPr>
              <w:t>NHS staff survey 2020</w:t>
            </w:r>
          </w:p>
        </w:tc>
      </w:tr>
      <w:tr w:rsidR="00B1363E" w:rsidRPr="00A77C72" w14:paraId="275F4991" w14:textId="77777777" w:rsidTr="00B2208B">
        <w:tc>
          <w:tcPr>
            <w:tcW w:w="1350" w:type="dxa"/>
          </w:tcPr>
          <w:p w14:paraId="75A1D399" w14:textId="77777777" w:rsidR="00B1363E" w:rsidRDefault="00B1363E" w:rsidP="00B2208B">
            <w:pPr>
              <w:pStyle w:val="BodyText2"/>
              <w:spacing w:after="0" w:line="0" w:lineRule="atLeast"/>
              <w:rPr>
                <w:sz w:val="18"/>
                <w:szCs w:val="18"/>
              </w:rPr>
            </w:pPr>
            <w:r>
              <w:rPr>
                <w:sz w:val="18"/>
                <w:szCs w:val="18"/>
              </w:rPr>
              <w:t>53</w:t>
            </w:r>
          </w:p>
          <w:p w14:paraId="5C3F8F17" w14:textId="77777777" w:rsidR="00B1363E" w:rsidRDefault="00B1363E" w:rsidP="00B2208B">
            <w:pPr>
              <w:pStyle w:val="BodyText2"/>
              <w:spacing w:after="0" w:line="0" w:lineRule="atLeast"/>
              <w:rPr>
                <w:sz w:val="18"/>
                <w:szCs w:val="18"/>
              </w:rPr>
            </w:pPr>
            <w:r>
              <w:rPr>
                <w:sz w:val="18"/>
                <w:szCs w:val="18"/>
              </w:rPr>
              <w:t>54</w:t>
            </w:r>
          </w:p>
          <w:p w14:paraId="0D613E99" w14:textId="77777777" w:rsidR="00B1363E" w:rsidRPr="00A431E1" w:rsidRDefault="00B1363E" w:rsidP="00B2208B">
            <w:pPr>
              <w:pStyle w:val="BodyText2"/>
              <w:spacing w:after="0" w:line="0" w:lineRule="atLeast"/>
              <w:rPr>
                <w:sz w:val="18"/>
                <w:szCs w:val="18"/>
              </w:rPr>
            </w:pPr>
            <w:r>
              <w:rPr>
                <w:sz w:val="18"/>
                <w:szCs w:val="18"/>
              </w:rPr>
              <w:t>55</w:t>
            </w:r>
          </w:p>
        </w:tc>
        <w:tc>
          <w:tcPr>
            <w:tcW w:w="9214" w:type="dxa"/>
          </w:tcPr>
          <w:p w14:paraId="66AB33DE"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Workplace Burnout Survey | Deloitte US</w:t>
            </w:r>
          </w:p>
          <w:p w14:paraId="50F1C601"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Health, Wellbeing and Productivity in the Workplace | RAND</w:t>
            </w:r>
          </w:p>
          <w:p w14:paraId="664605F4" w14:textId="77777777" w:rsidR="00B1363E" w:rsidRPr="00A77C72" w:rsidRDefault="00B1363E" w:rsidP="00B2208B">
            <w:pPr>
              <w:pStyle w:val="BodyText2"/>
              <w:spacing w:after="0" w:line="0" w:lineRule="atLeast"/>
              <w:rPr>
                <w:sz w:val="18"/>
                <w:szCs w:val="18"/>
              </w:rPr>
            </w:pPr>
            <w:r w:rsidRPr="00A77C72">
              <w:rPr>
                <w:sz w:val="18"/>
                <w:szCs w:val="18"/>
              </w:rPr>
              <w:t>Stevenson Farmer Review</w:t>
            </w:r>
          </w:p>
        </w:tc>
      </w:tr>
      <w:tr w:rsidR="00B1363E" w:rsidRPr="00A77C72" w14:paraId="262C29FC"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0D96170C" w14:textId="77777777" w:rsidR="00B1363E" w:rsidRDefault="00B1363E" w:rsidP="00B2208B">
            <w:pPr>
              <w:pStyle w:val="BodyText2"/>
              <w:spacing w:after="0" w:line="0" w:lineRule="atLeast"/>
              <w:rPr>
                <w:sz w:val="18"/>
                <w:szCs w:val="18"/>
              </w:rPr>
            </w:pPr>
            <w:r>
              <w:rPr>
                <w:sz w:val="18"/>
                <w:szCs w:val="18"/>
              </w:rPr>
              <w:t>56</w:t>
            </w:r>
          </w:p>
          <w:p w14:paraId="51FED2E4" w14:textId="77777777" w:rsidR="00B1363E" w:rsidRDefault="00B1363E" w:rsidP="00B2208B">
            <w:pPr>
              <w:pStyle w:val="BodyText2"/>
              <w:spacing w:after="0" w:line="0" w:lineRule="atLeast"/>
              <w:rPr>
                <w:sz w:val="18"/>
                <w:szCs w:val="18"/>
              </w:rPr>
            </w:pPr>
          </w:p>
          <w:p w14:paraId="37ED6320" w14:textId="77777777" w:rsidR="00B1363E" w:rsidRDefault="00B1363E" w:rsidP="00B2208B">
            <w:pPr>
              <w:pStyle w:val="BodyText2"/>
              <w:spacing w:after="0" w:line="0" w:lineRule="atLeast"/>
              <w:rPr>
                <w:sz w:val="18"/>
                <w:szCs w:val="18"/>
              </w:rPr>
            </w:pPr>
            <w:r>
              <w:rPr>
                <w:sz w:val="18"/>
                <w:szCs w:val="18"/>
              </w:rPr>
              <w:t>57 and 58</w:t>
            </w:r>
          </w:p>
          <w:p w14:paraId="2900847D" w14:textId="77777777" w:rsidR="00B1363E" w:rsidRDefault="00B1363E" w:rsidP="00B2208B">
            <w:pPr>
              <w:pStyle w:val="BodyText2"/>
              <w:spacing w:after="0" w:line="0" w:lineRule="atLeast"/>
              <w:rPr>
                <w:sz w:val="18"/>
                <w:szCs w:val="18"/>
              </w:rPr>
            </w:pPr>
            <w:r>
              <w:rPr>
                <w:sz w:val="18"/>
                <w:szCs w:val="18"/>
              </w:rPr>
              <w:t>59</w:t>
            </w:r>
          </w:p>
          <w:p w14:paraId="13E77C4A" w14:textId="77777777" w:rsidR="00B1363E" w:rsidRDefault="00B1363E" w:rsidP="00B2208B">
            <w:pPr>
              <w:pStyle w:val="BodyText2"/>
              <w:spacing w:after="0" w:line="0" w:lineRule="atLeast"/>
              <w:rPr>
                <w:sz w:val="18"/>
                <w:szCs w:val="18"/>
              </w:rPr>
            </w:pPr>
            <w:r>
              <w:rPr>
                <w:sz w:val="18"/>
                <w:szCs w:val="18"/>
              </w:rPr>
              <w:t>60</w:t>
            </w:r>
          </w:p>
          <w:p w14:paraId="3297E44C" w14:textId="77777777" w:rsidR="00B1363E" w:rsidRDefault="00B1363E" w:rsidP="00B2208B">
            <w:pPr>
              <w:pStyle w:val="BodyText2"/>
              <w:spacing w:after="0" w:line="0" w:lineRule="atLeast"/>
              <w:rPr>
                <w:sz w:val="18"/>
                <w:szCs w:val="18"/>
              </w:rPr>
            </w:pPr>
            <w:r>
              <w:rPr>
                <w:sz w:val="18"/>
                <w:szCs w:val="18"/>
              </w:rPr>
              <w:t>61</w:t>
            </w:r>
          </w:p>
          <w:p w14:paraId="081E010B" w14:textId="77777777" w:rsidR="00B1363E" w:rsidRDefault="00B1363E" w:rsidP="00B2208B">
            <w:pPr>
              <w:pStyle w:val="BodyText2"/>
              <w:spacing w:after="0" w:line="0" w:lineRule="atLeast"/>
              <w:rPr>
                <w:sz w:val="18"/>
                <w:szCs w:val="18"/>
              </w:rPr>
            </w:pPr>
            <w:r>
              <w:rPr>
                <w:sz w:val="18"/>
                <w:szCs w:val="18"/>
              </w:rPr>
              <w:t>62</w:t>
            </w:r>
          </w:p>
          <w:p w14:paraId="021AB6C7" w14:textId="77777777" w:rsidR="00B1363E" w:rsidRPr="00A431E1" w:rsidRDefault="00B1363E" w:rsidP="00B2208B">
            <w:pPr>
              <w:pStyle w:val="BodyText2"/>
              <w:spacing w:after="0" w:line="0" w:lineRule="atLeast"/>
              <w:rPr>
                <w:sz w:val="18"/>
                <w:szCs w:val="18"/>
              </w:rPr>
            </w:pPr>
            <w:r>
              <w:rPr>
                <w:sz w:val="18"/>
                <w:szCs w:val="18"/>
              </w:rPr>
              <w:t>63</w:t>
            </w:r>
          </w:p>
        </w:tc>
        <w:tc>
          <w:tcPr>
            <w:tcW w:w="9214" w:type="dxa"/>
          </w:tcPr>
          <w:p w14:paraId="55E2911C"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Thriving at Work: the Stevenson/Farmer review on mental health and employers</w:t>
            </w:r>
          </w:p>
          <w:p w14:paraId="6FE5CE71"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(publishing.service.gov.uk)</w:t>
            </w:r>
          </w:p>
          <w:p w14:paraId="5E2DABC7"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NHS staff survey 2020</w:t>
            </w:r>
          </w:p>
          <w:p w14:paraId="1923CC55"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Work-life balance | Mental Health Foundation</w:t>
            </w:r>
          </w:p>
          <w:p w14:paraId="0D62A6F5"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NHS staff survey 2020</w:t>
            </w:r>
          </w:p>
          <w:p w14:paraId="1CABC2D2"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Work-life balance | Mental Health Foundation</w:t>
            </w:r>
          </w:p>
          <w:p w14:paraId="045DC683"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NHS staff survey 2020</w:t>
            </w:r>
          </w:p>
          <w:p w14:paraId="1C95495D" w14:textId="77777777" w:rsidR="00B1363E" w:rsidRPr="00A77C72" w:rsidRDefault="00B1363E" w:rsidP="00B2208B">
            <w:pPr>
              <w:pStyle w:val="BodyText2"/>
              <w:spacing w:after="0" w:line="0" w:lineRule="atLeast"/>
              <w:rPr>
                <w:sz w:val="18"/>
                <w:szCs w:val="18"/>
              </w:rPr>
            </w:pPr>
            <w:r w:rsidRPr="00A77C72">
              <w:rPr>
                <w:sz w:val="18"/>
                <w:szCs w:val="18"/>
              </w:rPr>
              <w:t>Stress, overwork and poor work-life balance undermine UK job quality | CIPD</w:t>
            </w:r>
          </w:p>
        </w:tc>
      </w:tr>
      <w:tr w:rsidR="00B1363E" w:rsidRPr="00A77C72" w14:paraId="1A762454" w14:textId="77777777" w:rsidTr="00B2208B">
        <w:tc>
          <w:tcPr>
            <w:tcW w:w="1350" w:type="dxa"/>
          </w:tcPr>
          <w:p w14:paraId="0753810A" w14:textId="77777777" w:rsidR="00B1363E" w:rsidRDefault="00B1363E" w:rsidP="00B2208B">
            <w:pPr>
              <w:pStyle w:val="BodyText2"/>
              <w:spacing w:after="0" w:line="0" w:lineRule="atLeast"/>
              <w:rPr>
                <w:sz w:val="18"/>
                <w:szCs w:val="18"/>
              </w:rPr>
            </w:pPr>
            <w:r>
              <w:rPr>
                <w:sz w:val="18"/>
                <w:szCs w:val="18"/>
              </w:rPr>
              <w:t>64</w:t>
            </w:r>
          </w:p>
          <w:p w14:paraId="298A23F7" w14:textId="77777777" w:rsidR="00B1363E" w:rsidRDefault="00B1363E" w:rsidP="00B2208B">
            <w:pPr>
              <w:pStyle w:val="BodyText2"/>
              <w:spacing w:after="0" w:line="0" w:lineRule="atLeast"/>
              <w:rPr>
                <w:sz w:val="18"/>
                <w:szCs w:val="18"/>
              </w:rPr>
            </w:pPr>
          </w:p>
          <w:p w14:paraId="33929193" w14:textId="77777777" w:rsidR="00B1363E" w:rsidRDefault="00B1363E" w:rsidP="00B2208B">
            <w:pPr>
              <w:pStyle w:val="BodyText2"/>
              <w:spacing w:after="0" w:line="0" w:lineRule="atLeast"/>
              <w:rPr>
                <w:sz w:val="18"/>
                <w:szCs w:val="18"/>
              </w:rPr>
            </w:pPr>
          </w:p>
          <w:p w14:paraId="18E77BE3" w14:textId="77777777" w:rsidR="00B1363E" w:rsidRPr="00A431E1" w:rsidRDefault="00B1363E" w:rsidP="00B2208B">
            <w:pPr>
              <w:pStyle w:val="BodyText2"/>
              <w:spacing w:after="0" w:line="0" w:lineRule="atLeast"/>
              <w:rPr>
                <w:sz w:val="18"/>
                <w:szCs w:val="18"/>
              </w:rPr>
            </w:pPr>
            <w:r>
              <w:rPr>
                <w:sz w:val="18"/>
                <w:szCs w:val="18"/>
              </w:rPr>
              <w:t>65</w:t>
            </w:r>
          </w:p>
        </w:tc>
        <w:tc>
          <w:tcPr>
            <w:tcW w:w="9214" w:type="dxa"/>
          </w:tcPr>
          <w:p w14:paraId="038871E2"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Bailey, C., Madden, A., Alfes, K., Shantz, A., and Soane, E. (2017). The mismanaged soul: existential</w:t>
            </w:r>
          </w:p>
          <w:p w14:paraId="2485AA58"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labor and the erosion of meaningful work. Hum. Resour. Manage. Rev. 27, 416–430. doi: 10.1016/</w:t>
            </w:r>
          </w:p>
          <w:p w14:paraId="36E4B122"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jhrmr.2016.11.001</w:t>
            </w:r>
          </w:p>
          <w:p w14:paraId="7E6C43E8"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Martela F, Pessi AB. Significant Work Is About Self-Realization and Broader Purpose: Defining</w:t>
            </w:r>
            <w:r>
              <w:rPr>
                <w:sz w:val="18"/>
                <w:szCs w:val="18"/>
              </w:rPr>
              <w:t xml:space="preserve"> </w:t>
            </w:r>
            <w:r w:rsidRPr="00A77C72">
              <w:rPr>
                <w:sz w:val="18"/>
                <w:szCs w:val="18"/>
              </w:rPr>
              <w:t>the Key Dimensions of Meaningful Work. Front Psychol. 2018;9:363. Published 2018 Mar 26.</w:t>
            </w:r>
            <w:r>
              <w:rPr>
                <w:sz w:val="18"/>
                <w:szCs w:val="18"/>
              </w:rPr>
              <w:t xml:space="preserve"> </w:t>
            </w:r>
            <w:r w:rsidRPr="00A77C72">
              <w:rPr>
                <w:sz w:val="18"/>
                <w:szCs w:val="18"/>
              </w:rPr>
              <w:t>doi:10.3389/fpsyg.2018.00363 3. Martela, F., Ryan, R. M., and Steger, M. F. (2017). Meaning in</w:t>
            </w:r>
            <w:r>
              <w:rPr>
                <w:sz w:val="18"/>
                <w:szCs w:val="18"/>
              </w:rPr>
              <w:t xml:space="preserve"> </w:t>
            </w:r>
            <w:r w:rsidRPr="00A77C72">
              <w:rPr>
                <w:sz w:val="18"/>
                <w:szCs w:val="18"/>
              </w:rPr>
              <w:t>life is more than happiness: autonomy, competence, relatedness and benevolence as consistent</w:t>
            </w:r>
            <w:r>
              <w:rPr>
                <w:sz w:val="18"/>
                <w:szCs w:val="18"/>
              </w:rPr>
              <w:t xml:space="preserve"> </w:t>
            </w:r>
            <w:r w:rsidRPr="00A77C72">
              <w:rPr>
                <w:sz w:val="18"/>
                <w:szCs w:val="18"/>
              </w:rPr>
              <w:t>predictors of meaning. J. Happiness Stud. doi: 10.1007/s10902-017-9869-7</w:t>
            </w:r>
          </w:p>
        </w:tc>
      </w:tr>
      <w:tr w:rsidR="00B1363E" w:rsidRPr="00A77C72" w14:paraId="6C84F290"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415C6689" w14:textId="77777777" w:rsidR="00B1363E" w:rsidRDefault="00B1363E" w:rsidP="00B2208B">
            <w:pPr>
              <w:pStyle w:val="BodyText2"/>
              <w:spacing w:after="0" w:line="0" w:lineRule="atLeast"/>
              <w:rPr>
                <w:sz w:val="18"/>
                <w:szCs w:val="18"/>
              </w:rPr>
            </w:pPr>
            <w:r>
              <w:rPr>
                <w:sz w:val="18"/>
                <w:szCs w:val="18"/>
              </w:rPr>
              <w:t>66</w:t>
            </w:r>
          </w:p>
          <w:p w14:paraId="10D65C35" w14:textId="77777777" w:rsidR="00B1363E" w:rsidRDefault="00B1363E" w:rsidP="00B2208B">
            <w:pPr>
              <w:pStyle w:val="BodyText2"/>
              <w:spacing w:after="0" w:line="0" w:lineRule="atLeast"/>
              <w:rPr>
                <w:sz w:val="18"/>
                <w:szCs w:val="18"/>
              </w:rPr>
            </w:pPr>
            <w:r>
              <w:rPr>
                <w:sz w:val="18"/>
                <w:szCs w:val="18"/>
              </w:rPr>
              <w:t>67</w:t>
            </w:r>
          </w:p>
          <w:p w14:paraId="0A9C06D8" w14:textId="77777777" w:rsidR="00B1363E" w:rsidRDefault="00B1363E" w:rsidP="00B2208B">
            <w:pPr>
              <w:pStyle w:val="BodyText2"/>
              <w:spacing w:after="0" w:line="0" w:lineRule="atLeast"/>
              <w:rPr>
                <w:sz w:val="18"/>
                <w:szCs w:val="18"/>
              </w:rPr>
            </w:pPr>
            <w:r>
              <w:rPr>
                <w:sz w:val="18"/>
                <w:szCs w:val="18"/>
              </w:rPr>
              <w:t>68</w:t>
            </w:r>
          </w:p>
          <w:p w14:paraId="1EBF38AE" w14:textId="77777777" w:rsidR="00B1363E" w:rsidRDefault="00B1363E" w:rsidP="00B2208B">
            <w:pPr>
              <w:pStyle w:val="BodyText2"/>
              <w:spacing w:after="0" w:line="0" w:lineRule="atLeast"/>
              <w:rPr>
                <w:sz w:val="18"/>
                <w:szCs w:val="18"/>
              </w:rPr>
            </w:pPr>
            <w:r>
              <w:rPr>
                <w:sz w:val="18"/>
                <w:szCs w:val="18"/>
              </w:rPr>
              <w:t>69 and 70</w:t>
            </w:r>
          </w:p>
          <w:p w14:paraId="28EE2522" w14:textId="77777777" w:rsidR="00B1363E" w:rsidRDefault="00B1363E" w:rsidP="00B2208B">
            <w:pPr>
              <w:pStyle w:val="BodyText2"/>
              <w:spacing w:after="0" w:line="0" w:lineRule="atLeast"/>
              <w:rPr>
                <w:sz w:val="18"/>
                <w:szCs w:val="18"/>
              </w:rPr>
            </w:pPr>
            <w:r>
              <w:rPr>
                <w:sz w:val="18"/>
                <w:szCs w:val="18"/>
              </w:rPr>
              <w:t>71</w:t>
            </w:r>
          </w:p>
          <w:p w14:paraId="53134C7D" w14:textId="77777777" w:rsidR="00B1363E" w:rsidRDefault="00B1363E" w:rsidP="00B2208B">
            <w:pPr>
              <w:pStyle w:val="BodyText2"/>
              <w:spacing w:after="0" w:line="0" w:lineRule="atLeast"/>
              <w:rPr>
                <w:sz w:val="18"/>
                <w:szCs w:val="18"/>
              </w:rPr>
            </w:pPr>
          </w:p>
          <w:p w14:paraId="266A27A9" w14:textId="77777777" w:rsidR="00B1363E" w:rsidRDefault="00B1363E" w:rsidP="00B2208B">
            <w:pPr>
              <w:pStyle w:val="BodyText2"/>
              <w:spacing w:after="0" w:line="0" w:lineRule="atLeast"/>
              <w:rPr>
                <w:sz w:val="18"/>
                <w:szCs w:val="18"/>
              </w:rPr>
            </w:pPr>
          </w:p>
          <w:p w14:paraId="5180467A" w14:textId="77777777" w:rsidR="00B1363E" w:rsidRDefault="00B1363E" w:rsidP="00B2208B">
            <w:pPr>
              <w:pStyle w:val="BodyText2"/>
              <w:spacing w:after="0" w:line="0" w:lineRule="atLeast"/>
              <w:rPr>
                <w:sz w:val="18"/>
                <w:szCs w:val="18"/>
              </w:rPr>
            </w:pPr>
          </w:p>
          <w:p w14:paraId="411C861F" w14:textId="77777777" w:rsidR="00B1363E" w:rsidRPr="00A431E1" w:rsidRDefault="00B1363E" w:rsidP="00B2208B">
            <w:pPr>
              <w:pStyle w:val="BodyText2"/>
              <w:spacing w:after="0" w:line="0" w:lineRule="atLeast"/>
              <w:rPr>
                <w:sz w:val="18"/>
                <w:szCs w:val="18"/>
              </w:rPr>
            </w:pPr>
            <w:r>
              <w:rPr>
                <w:sz w:val="18"/>
                <w:szCs w:val="18"/>
              </w:rPr>
              <w:t>72 and 73</w:t>
            </w:r>
          </w:p>
        </w:tc>
        <w:tc>
          <w:tcPr>
            <w:tcW w:w="9214" w:type="dxa"/>
          </w:tcPr>
          <w:p w14:paraId="7E5217E4"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NHS staff survey results 2020</w:t>
            </w:r>
          </w:p>
          <w:p w14:paraId="2E6B94B8"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CIPD UK Working Lives survey 2019</w:t>
            </w:r>
          </w:p>
          <w:p w14:paraId="7035194D"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CIPD Working Lives survey 2019</w:t>
            </w:r>
          </w:p>
          <w:p w14:paraId="4018A399"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NHS staff survey 2020</w:t>
            </w:r>
          </w:p>
          <w:p w14:paraId="0C48EB8B"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Saïd Business School WP 2019-13: Bellet, Clement and De Neve, Jan-Emmanuel and Ward,</w:t>
            </w:r>
          </w:p>
          <w:p w14:paraId="6480E77F"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George, Does Employee Happiness have an Impact on Productivity? (October 14, 2019).</w:t>
            </w:r>
          </w:p>
          <w:p w14:paraId="403DCF39"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Saïd Business School WP 2019-13, Available at SSRN: https://ssrn.com/abstract=3470734 or</w:t>
            </w:r>
          </w:p>
          <w:p w14:paraId="1E43A09D"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http://dx.doiorg/10.2139/ssrn.3470734</w:t>
            </w:r>
          </w:p>
          <w:p w14:paraId="237577E3" w14:textId="77777777" w:rsidR="00B1363E" w:rsidRPr="00A77C72" w:rsidRDefault="00B1363E" w:rsidP="00B2208B">
            <w:pPr>
              <w:autoSpaceDE w:val="0"/>
              <w:autoSpaceDN w:val="0"/>
              <w:adjustRightInd w:val="0"/>
              <w:spacing w:line="0" w:lineRule="atLeast"/>
              <w:rPr>
                <w:sz w:val="18"/>
                <w:szCs w:val="18"/>
              </w:rPr>
            </w:pPr>
            <w:r w:rsidRPr="00A77C72">
              <w:rPr>
                <w:sz w:val="18"/>
                <w:szCs w:val="18"/>
              </w:rPr>
              <w:t>NHS staff survey 2020</w:t>
            </w:r>
          </w:p>
        </w:tc>
      </w:tr>
      <w:tr w:rsidR="00B1363E" w:rsidRPr="00F65F9D" w14:paraId="60F4E740" w14:textId="77777777" w:rsidTr="00B2208B">
        <w:tc>
          <w:tcPr>
            <w:tcW w:w="1350" w:type="dxa"/>
          </w:tcPr>
          <w:p w14:paraId="435A79DF" w14:textId="77777777" w:rsidR="00B1363E" w:rsidRDefault="00B1363E" w:rsidP="00B2208B">
            <w:pPr>
              <w:pStyle w:val="BodyText2"/>
              <w:spacing w:after="0" w:line="0" w:lineRule="atLeast"/>
              <w:rPr>
                <w:sz w:val="18"/>
                <w:szCs w:val="18"/>
              </w:rPr>
            </w:pPr>
            <w:r>
              <w:rPr>
                <w:sz w:val="18"/>
                <w:szCs w:val="18"/>
              </w:rPr>
              <w:t>74</w:t>
            </w:r>
          </w:p>
          <w:p w14:paraId="010227B9" w14:textId="77777777" w:rsidR="00B1363E" w:rsidRPr="00A431E1" w:rsidRDefault="00B1363E" w:rsidP="00B2208B">
            <w:pPr>
              <w:pStyle w:val="BodyText2"/>
              <w:spacing w:after="0" w:line="0" w:lineRule="atLeast"/>
              <w:rPr>
                <w:sz w:val="18"/>
                <w:szCs w:val="18"/>
              </w:rPr>
            </w:pPr>
            <w:r>
              <w:rPr>
                <w:sz w:val="18"/>
                <w:szCs w:val="18"/>
              </w:rPr>
              <w:t>75</w:t>
            </w:r>
          </w:p>
        </w:tc>
        <w:tc>
          <w:tcPr>
            <w:tcW w:w="9214" w:type="dxa"/>
          </w:tcPr>
          <w:p w14:paraId="4ABA912A"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NHS staff survey 2020</w:t>
            </w:r>
          </w:p>
          <w:p w14:paraId="725FD17F" w14:textId="77777777" w:rsidR="00B1363E" w:rsidRPr="00F65F9D" w:rsidRDefault="00B1363E" w:rsidP="00B2208B">
            <w:pPr>
              <w:pStyle w:val="BodyText2"/>
              <w:spacing w:after="0" w:line="0" w:lineRule="atLeast"/>
              <w:rPr>
                <w:sz w:val="18"/>
                <w:szCs w:val="18"/>
              </w:rPr>
            </w:pPr>
            <w:r w:rsidRPr="00F65F9D">
              <w:rPr>
                <w:sz w:val="18"/>
                <w:szCs w:val="18"/>
              </w:rPr>
              <w:t>NHS Health and Wellbeing review, Boorman, 2009</w:t>
            </w:r>
          </w:p>
        </w:tc>
      </w:tr>
      <w:tr w:rsidR="00B1363E" w:rsidRPr="00F65F9D" w14:paraId="4C579467"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2E5874AB" w14:textId="77777777" w:rsidR="00B1363E" w:rsidRDefault="00B1363E" w:rsidP="00B2208B">
            <w:pPr>
              <w:pStyle w:val="BodyText2"/>
              <w:spacing w:after="0" w:line="0" w:lineRule="atLeast"/>
              <w:rPr>
                <w:sz w:val="18"/>
                <w:szCs w:val="18"/>
              </w:rPr>
            </w:pPr>
            <w:r>
              <w:rPr>
                <w:sz w:val="18"/>
                <w:szCs w:val="18"/>
              </w:rPr>
              <w:t>76</w:t>
            </w:r>
          </w:p>
          <w:p w14:paraId="1280859D" w14:textId="77777777" w:rsidR="00B1363E" w:rsidRDefault="00B1363E" w:rsidP="00B2208B">
            <w:pPr>
              <w:pStyle w:val="BodyText2"/>
              <w:spacing w:after="0" w:line="0" w:lineRule="atLeast"/>
              <w:rPr>
                <w:sz w:val="18"/>
                <w:szCs w:val="18"/>
              </w:rPr>
            </w:pPr>
            <w:r>
              <w:rPr>
                <w:sz w:val="18"/>
                <w:szCs w:val="18"/>
              </w:rPr>
              <w:t>77</w:t>
            </w:r>
          </w:p>
          <w:p w14:paraId="67928211" w14:textId="77777777" w:rsidR="00B1363E" w:rsidRDefault="00B1363E" w:rsidP="00B2208B">
            <w:pPr>
              <w:pStyle w:val="BodyText2"/>
              <w:spacing w:after="0" w:line="0" w:lineRule="atLeast"/>
              <w:rPr>
                <w:sz w:val="18"/>
                <w:szCs w:val="18"/>
              </w:rPr>
            </w:pPr>
            <w:r>
              <w:rPr>
                <w:sz w:val="18"/>
                <w:szCs w:val="18"/>
              </w:rPr>
              <w:t>78 and 79</w:t>
            </w:r>
          </w:p>
          <w:p w14:paraId="7A94C28E" w14:textId="77777777" w:rsidR="00B1363E" w:rsidRDefault="00B1363E" w:rsidP="00B2208B">
            <w:pPr>
              <w:pStyle w:val="BodyText2"/>
              <w:spacing w:after="0" w:line="0" w:lineRule="atLeast"/>
              <w:rPr>
                <w:sz w:val="18"/>
                <w:szCs w:val="18"/>
              </w:rPr>
            </w:pPr>
            <w:r>
              <w:rPr>
                <w:sz w:val="18"/>
                <w:szCs w:val="18"/>
              </w:rPr>
              <w:t>80</w:t>
            </w:r>
          </w:p>
          <w:p w14:paraId="37F8AF82" w14:textId="77777777" w:rsidR="00B1363E" w:rsidRDefault="00B1363E" w:rsidP="00B2208B">
            <w:pPr>
              <w:pStyle w:val="BodyText2"/>
              <w:spacing w:after="0" w:line="0" w:lineRule="atLeast"/>
              <w:rPr>
                <w:sz w:val="18"/>
                <w:szCs w:val="18"/>
              </w:rPr>
            </w:pPr>
            <w:r>
              <w:rPr>
                <w:sz w:val="18"/>
                <w:szCs w:val="18"/>
              </w:rPr>
              <w:t>81</w:t>
            </w:r>
          </w:p>
          <w:p w14:paraId="5A71D3AF" w14:textId="77777777" w:rsidR="00B1363E" w:rsidRDefault="00B1363E" w:rsidP="00B2208B">
            <w:pPr>
              <w:pStyle w:val="BodyText2"/>
              <w:spacing w:after="0" w:line="0" w:lineRule="atLeast"/>
              <w:rPr>
                <w:sz w:val="18"/>
                <w:szCs w:val="18"/>
              </w:rPr>
            </w:pPr>
            <w:r>
              <w:rPr>
                <w:sz w:val="18"/>
                <w:szCs w:val="18"/>
              </w:rPr>
              <w:t>82</w:t>
            </w:r>
          </w:p>
          <w:p w14:paraId="5BD2C906" w14:textId="77777777" w:rsidR="00B1363E" w:rsidRDefault="00B1363E" w:rsidP="00B2208B">
            <w:pPr>
              <w:pStyle w:val="BodyText2"/>
              <w:spacing w:after="0" w:line="0" w:lineRule="atLeast"/>
              <w:rPr>
                <w:sz w:val="18"/>
                <w:szCs w:val="18"/>
              </w:rPr>
            </w:pPr>
          </w:p>
          <w:p w14:paraId="4076CCF6" w14:textId="77777777" w:rsidR="00B1363E" w:rsidRPr="00A431E1" w:rsidRDefault="00B1363E" w:rsidP="00B2208B">
            <w:pPr>
              <w:pStyle w:val="BodyText2"/>
              <w:spacing w:after="0" w:line="0" w:lineRule="atLeast"/>
              <w:rPr>
                <w:sz w:val="18"/>
                <w:szCs w:val="18"/>
              </w:rPr>
            </w:pPr>
            <w:r>
              <w:rPr>
                <w:sz w:val="18"/>
                <w:szCs w:val="18"/>
              </w:rPr>
              <w:t>83</w:t>
            </w:r>
          </w:p>
        </w:tc>
        <w:tc>
          <w:tcPr>
            <w:tcW w:w="9214" w:type="dxa"/>
          </w:tcPr>
          <w:p w14:paraId="28A1D4C8"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NHS staff survey 2020</w:t>
            </w:r>
          </w:p>
          <w:p w14:paraId="636CC735"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NHS staff survey 2020</w:t>
            </w:r>
          </w:p>
          <w:p w14:paraId="5F233231"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CIPD health-and-well-being-at-work-2019.v1_tcm18-55881.pdf</w:t>
            </w:r>
          </w:p>
          <w:p w14:paraId="644957E4"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NHS staff survey 2020</w:t>
            </w:r>
          </w:p>
          <w:p w14:paraId="6CBDBAB7"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CIPD Employee health and wellbeing | CIPD Viewpoint</w:t>
            </w:r>
          </w:p>
          <w:p w14:paraId="45B0E61B"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Employee engagement, sickness absence and agency spend in NHS trusts, NHS England/The King’s</w:t>
            </w:r>
          </w:p>
          <w:p w14:paraId="2E787BBE"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Fund, 2018</w:t>
            </w:r>
          </w:p>
          <w:p w14:paraId="5F2FEB02" w14:textId="77777777" w:rsidR="00B1363E" w:rsidRPr="00F65F9D" w:rsidRDefault="00B1363E" w:rsidP="00B2208B">
            <w:pPr>
              <w:pStyle w:val="BodyText2"/>
              <w:spacing w:after="0" w:line="0" w:lineRule="atLeast"/>
              <w:rPr>
                <w:sz w:val="18"/>
                <w:szCs w:val="18"/>
              </w:rPr>
            </w:pPr>
            <w:r w:rsidRPr="00F65F9D">
              <w:rPr>
                <w:sz w:val="18"/>
                <w:szCs w:val="18"/>
              </w:rPr>
              <w:t>Kings College London, 2013</w:t>
            </w:r>
          </w:p>
        </w:tc>
      </w:tr>
      <w:tr w:rsidR="00B1363E" w:rsidRPr="00F65F9D" w14:paraId="2EF5A014" w14:textId="77777777" w:rsidTr="00B2208B">
        <w:tc>
          <w:tcPr>
            <w:tcW w:w="1350" w:type="dxa"/>
          </w:tcPr>
          <w:p w14:paraId="56E503BD" w14:textId="77777777" w:rsidR="00B1363E" w:rsidRDefault="00B1363E" w:rsidP="00B2208B">
            <w:pPr>
              <w:pStyle w:val="BodyText2"/>
              <w:spacing w:after="0" w:line="0" w:lineRule="atLeast"/>
              <w:rPr>
                <w:sz w:val="18"/>
                <w:szCs w:val="18"/>
              </w:rPr>
            </w:pPr>
            <w:r>
              <w:rPr>
                <w:sz w:val="18"/>
                <w:szCs w:val="18"/>
              </w:rPr>
              <w:t>84</w:t>
            </w:r>
          </w:p>
          <w:p w14:paraId="2ACD5F13" w14:textId="77777777" w:rsidR="00B1363E" w:rsidRDefault="00B1363E" w:rsidP="00B2208B">
            <w:pPr>
              <w:pStyle w:val="BodyText2"/>
              <w:spacing w:after="0" w:line="0" w:lineRule="atLeast"/>
              <w:rPr>
                <w:sz w:val="18"/>
                <w:szCs w:val="18"/>
              </w:rPr>
            </w:pPr>
          </w:p>
          <w:p w14:paraId="23C52795" w14:textId="77777777" w:rsidR="00B1363E" w:rsidRPr="00A431E1" w:rsidRDefault="00B1363E" w:rsidP="00B2208B">
            <w:pPr>
              <w:pStyle w:val="BodyText2"/>
              <w:spacing w:after="0" w:line="0" w:lineRule="atLeast"/>
              <w:rPr>
                <w:sz w:val="18"/>
                <w:szCs w:val="18"/>
              </w:rPr>
            </w:pPr>
            <w:r>
              <w:rPr>
                <w:sz w:val="18"/>
                <w:szCs w:val="18"/>
              </w:rPr>
              <w:t>85</w:t>
            </w:r>
          </w:p>
        </w:tc>
        <w:tc>
          <w:tcPr>
            <w:tcW w:w="9214" w:type="dxa"/>
          </w:tcPr>
          <w:p w14:paraId="5D8C4423"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CIPD – developing-managers-to-manage-sustainable-employee-engagement-health-andwell-</w:t>
            </w:r>
          </w:p>
          <w:p w14:paraId="691ED7B7"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being_2017_tcm18-18364.pdf (cipd.co.uk)</w:t>
            </w:r>
          </w:p>
          <w:p w14:paraId="5F4681FD" w14:textId="77777777" w:rsidR="00B1363E" w:rsidRPr="00F65F9D" w:rsidRDefault="00B1363E" w:rsidP="00B2208B">
            <w:pPr>
              <w:pStyle w:val="BodyText2"/>
              <w:spacing w:after="0" w:line="0" w:lineRule="atLeast"/>
              <w:rPr>
                <w:sz w:val="18"/>
                <w:szCs w:val="18"/>
              </w:rPr>
            </w:pPr>
            <w:r w:rsidRPr="00F65F9D">
              <w:rPr>
                <w:sz w:val="18"/>
                <w:szCs w:val="18"/>
              </w:rPr>
              <w:t>https://workplaceinsight.net/behaviour-managers-increasing-workplace-stress-claims-study</w:t>
            </w:r>
          </w:p>
        </w:tc>
      </w:tr>
      <w:tr w:rsidR="00B1363E" w:rsidRPr="00F65F9D" w14:paraId="07208D87"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200AD897" w14:textId="77777777" w:rsidR="00B1363E" w:rsidRPr="00A431E1" w:rsidRDefault="00B1363E" w:rsidP="00B2208B">
            <w:pPr>
              <w:pStyle w:val="BodyText2"/>
              <w:spacing w:after="0" w:line="0" w:lineRule="atLeast"/>
              <w:rPr>
                <w:sz w:val="18"/>
                <w:szCs w:val="18"/>
              </w:rPr>
            </w:pPr>
            <w:r>
              <w:rPr>
                <w:sz w:val="18"/>
                <w:szCs w:val="18"/>
              </w:rPr>
              <w:t>86</w:t>
            </w:r>
          </w:p>
        </w:tc>
        <w:tc>
          <w:tcPr>
            <w:tcW w:w="9214" w:type="dxa"/>
          </w:tcPr>
          <w:p w14:paraId="5B23CA9B" w14:textId="77777777" w:rsidR="00B1363E" w:rsidRPr="00F65F9D" w:rsidRDefault="00B1363E" w:rsidP="00B2208B">
            <w:pPr>
              <w:pStyle w:val="BodyText2"/>
              <w:spacing w:after="0" w:line="0" w:lineRule="atLeast"/>
              <w:rPr>
                <w:sz w:val="18"/>
                <w:szCs w:val="18"/>
              </w:rPr>
            </w:pPr>
            <w:r w:rsidRPr="00F65F9D">
              <w:rPr>
                <w:sz w:val="18"/>
                <w:szCs w:val="18"/>
              </w:rPr>
              <w:t>HR magazine &amp; Personal today reference</w:t>
            </w:r>
          </w:p>
        </w:tc>
      </w:tr>
      <w:tr w:rsidR="00B1363E" w:rsidRPr="00F65F9D" w14:paraId="7870D102" w14:textId="77777777" w:rsidTr="00B2208B">
        <w:tc>
          <w:tcPr>
            <w:tcW w:w="1350" w:type="dxa"/>
          </w:tcPr>
          <w:p w14:paraId="06E23921" w14:textId="77777777" w:rsidR="00B1363E" w:rsidRDefault="00B1363E" w:rsidP="00B2208B">
            <w:pPr>
              <w:pStyle w:val="BodyText2"/>
              <w:spacing w:after="0" w:line="0" w:lineRule="atLeast"/>
              <w:rPr>
                <w:sz w:val="18"/>
                <w:szCs w:val="18"/>
              </w:rPr>
            </w:pPr>
            <w:r>
              <w:rPr>
                <w:sz w:val="18"/>
                <w:szCs w:val="18"/>
              </w:rPr>
              <w:t>87</w:t>
            </w:r>
          </w:p>
          <w:p w14:paraId="2FB66C99" w14:textId="77777777" w:rsidR="00B1363E" w:rsidRDefault="00B1363E" w:rsidP="00B2208B">
            <w:pPr>
              <w:pStyle w:val="BodyText2"/>
              <w:spacing w:after="0" w:line="0" w:lineRule="atLeast"/>
              <w:rPr>
                <w:sz w:val="18"/>
                <w:szCs w:val="18"/>
              </w:rPr>
            </w:pPr>
          </w:p>
          <w:p w14:paraId="0470F99C" w14:textId="77777777" w:rsidR="00B1363E" w:rsidRDefault="00B1363E" w:rsidP="00B2208B">
            <w:pPr>
              <w:pStyle w:val="BodyText2"/>
              <w:spacing w:after="0" w:line="0" w:lineRule="atLeast"/>
              <w:rPr>
                <w:sz w:val="18"/>
                <w:szCs w:val="18"/>
              </w:rPr>
            </w:pPr>
          </w:p>
          <w:p w14:paraId="7D2488D8" w14:textId="77777777" w:rsidR="00B1363E" w:rsidRPr="00A431E1" w:rsidRDefault="00B1363E" w:rsidP="00B2208B">
            <w:pPr>
              <w:pStyle w:val="BodyText2"/>
              <w:spacing w:after="0" w:line="0" w:lineRule="atLeast"/>
              <w:rPr>
                <w:sz w:val="18"/>
                <w:szCs w:val="18"/>
              </w:rPr>
            </w:pPr>
            <w:r>
              <w:rPr>
                <w:sz w:val="18"/>
                <w:szCs w:val="18"/>
              </w:rPr>
              <w:t>88</w:t>
            </w:r>
          </w:p>
        </w:tc>
        <w:tc>
          <w:tcPr>
            <w:tcW w:w="9214" w:type="dxa"/>
          </w:tcPr>
          <w:p w14:paraId="7DA2C8FE"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Bailey, C., Madden, A., Alfes, K., Shantz, A., and Soane, E. (2017). The mismanaged soul: existential</w:t>
            </w:r>
          </w:p>
          <w:p w14:paraId="6905A24B"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labor and the erosion of meaningful work. Hum. Resour. Manage. Rev. 27, 416–430. doi: 10.1016/j.</w:t>
            </w:r>
          </w:p>
          <w:p w14:paraId="1830185A"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hrmr.2016.11.001</w:t>
            </w:r>
          </w:p>
          <w:p w14:paraId="0822E6E7"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Martela F, Pessi AB. Significant Work Is About Self-Realization and Broader Purpose: Defining</w:t>
            </w:r>
          </w:p>
          <w:p w14:paraId="3E00D3DB"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the Key Dimensions of Meaningful Work. Front Psychol. 2018;9:363. Published 2018 Mar 26.</w:t>
            </w:r>
          </w:p>
          <w:p w14:paraId="40CC4B48" w14:textId="77777777" w:rsidR="00B1363E" w:rsidRPr="00F65F9D" w:rsidRDefault="00B1363E" w:rsidP="00B2208B">
            <w:pPr>
              <w:pStyle w:val="BodyText2"/>
              <w:spacing w:after="0" w:line="0" w:lineRule="atLeast"/>
              <w:rPr>
                <w:sz w:val="18"/>
                <w:szCs w:val="18"/>
              </w:rPr>
            </w:pPr>
            <w:r w:rsidRPr="00F65F9D">
              <w:rPr>
                <w:sz w:val="18"/>
                <w:szCs w:val="18"/>
              </w:rPr>
              <w:t>doi:10.3389/fpsyg.2018.00363</w:t>
            </w:r>
          </w:p>
        </w:tc>
      </w:tr>
      <w:tr w:rsidR="00B1363E" w:rsidRPr="00F65F9D" w14:paraId="7DB4B6DF"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1B0F4159" w14:textId="77777777" w:rsidR="00B1363E" w:rsidRDefault="00B1363E" w:rsidP="00B2208B">
            <w:pPr>
              <w:pStyle w:val="BodyText2"/>
              <w:spacing w:after="0" w:line="0" w:lineRule="atLeast"/>
              <w:rPr>
                <w:sz w:val="18"/>
                <w:szCs w:val="18"/>
              </w:rPr>
            </w:pPr>
            <w:r>
              <w:rPr>
                <w:sz w:val="18"/>
                <w:szCs w:val="18"/>
              </w:rPr>
              <w:t>89</w:t>
            </w:r>
          </w:p>
          <w:p w14:paraId="334AC47B" w14:textId="77777777" w:rsidR="00B1363E" w:rsidRDefault="00B1363E" w:rsidP="00B2208B">
            <w:pPr>
              <w:pStyle w:val="BodyText2"/>
              <w:spacing w:after="0" w:line="0" w:lineRule="atLeast"/>
              <w:rPr>
                <w:sz w:val="18"/>
                <w:szCs w:val="18"/>
              </w:rPr>
            </w:pPr>
            <w:r>
              <w:rPr>
                <w:sz w:val="18"/>
                <w:szCs w:val="18"/>
              </w:rPr>
              <w:t>90</w:t>
            </w:r>
          </w:p>
          <w:p w14:paraId="566071A8" w14:textId="77777777" w:rsidR="00B1363E" w:rsidRDefault="00B1363E" w:rsidP="00B2208B">
            <w:pPr>
              <w:pStyle w:val="BodyText2"/>
              <w:spacing w:after="0" w:line="0" w:lineRule="atLeast"/>
              <w:rPr>
                <w:sz w:val="18"/>
                <w:szCs w:val="18"/>
              </w:rPr>
            </w:pPr>
            <w:r>
              <w:rPr>
                <w:sz w:val="18"/>
                <w:szCs w:val="18"/>
              </w:rPr>
              <w:t>91</w:t>
            </w:r>
          </w:p>
          <w:p w14:paraId="4CF5251A" w14:textId="77777777" w:rsidR="00B1363E" w:rsidRDefault="00B1363E" w:rsidP="00B2208B">
            <w:pPr>
              <w:pStyle w:val="BodyText2"/>
              <w:spacing w:after="0" w:line="0" w:lineRule="atLeast"/>
              <w:rPr>
                <w:sz w:val="18"/>
                <w:szCs w:val="18"/>
              </w:rPr>
            </w:pPr>
            <w:r>
              <w:rPr>
                <w:sz w:val="18"/>
                <w:szCs w:val="18"/>
              </w:rPr>
              <w:t>92</w:t>
            </w:r>
          </w:p>
          <w:p w14:paraId="739D45F0" w14:textId="77777777" w:rsidR="00B1363E" w:rsidRDefault="00B1363E" w:rsidP="00B2208B">
            <w:pPr>
              <w:pStyle w:val="BodyText2"/>
              <w:spacing w:after="0" w:line="0" w:lineRule="atLeast"/>
              <w:rPr>
                <w:sz w:val="18"/>
                <w:szCs w:val="18"/>
              </w:rPr>
            </w:pPr>
            <w:r>
              <w:rPr>
                <w:sz w:val="18"/>
                <w:szCs w:val="18"/>
              </w:rPr>
              <w:t>93</w:t>
            </w:r>
          </w:p>
          <w:p w14:paraId="7390ECD0" w14:textId="77777777" w:rsidR="00B1363E" w:rsidRDefault="00B1363E" w:rsidP="00B2208B">
            <w:pPr>
              <w:pStyle w:val="BodyText2"/>
              <w:spacing w:after="0" w:line="0" w:lineRule="atLeast"/>
              <w:rPr>
                <w:sz w:val="18"/>
                <w:szCs w:val="18"/>
              </w:rPr>
            </w:pPr>
          </w:p>
          <w:p w14:paraId="19D9E5AB" w14:textId="77777777" w:rsidR="00B1363E" w:rsidRDefault="00B1363E" w:rsidP="00B2208B">
            <w:pPr>
              <w:pStyle w:val="BodyText2"/>
              <w:spacing w:after="0" w:line="0" w:lineRule="atLeast"/>
              <w:rPr>
                <w:sz w:val="18"/>
                <w:szCs w:val="18"/>
              </w:rPr>
            </w:pPr>
            <w:r>
              <w:rPr>
                <w:sz w:val="18"/>
                <w:szCs w:val="18"/>
              </w:rPr>
              <w:t>94</w:t>
            </w:r>
          </w:p>
          <w:p w14:paraId="574C9F92" w14:textId="77777777" w:rsidR="00B1363E" w:rsidRDefault="00B1363E" w:rsidP="00B2208B">
            <w:pPr>
              <w:pStyle w:val="BodyText2"/>
              <w:spacing w:after="0" w:line="0" w:lineRule="atLeast"/>
              <w:rPr>
                <w:sz w:val="18"/>
                <w:szCs w:val="18"/>
              </w:rPr>
            </w:pPr>
          </w:p>
          <w:p w14:paraId="319284B3" w14:textId="77777777" w:rsidR="00B1363E" w:rsidRDefault="00B1363E" w:rsidP="00B2208B">
            <w:pPr>
              <w:pStyle w:val="BodyText2"/>
              <w:spacing w:after="0" w:line="0" w:lineRule="atLeast"/>
              <w:rPr>
                <w:sz w:val="18"/>
                <w:szCs w:val="18"/>
              </w:rPr>
            </w:pPr>
            <w:r>
              <w:rPr>
                <w:sz w:val="18"/>
                <w:szCs w:val="18"/>
              </w:rPr>
              <w:lastRenderedPageBreak/>
              <w:t>95</w:t>
            </w:r>
          </w:p>
          <w:p w14:paraId="5CF986A4" w14:textId="77777777" w:rsidR="00B1363E" w:rsidRPr="00A431E1" w:rsidRDefault="00B1363E" w:rsidP="00B2208B">
            <w:pPr>
              <w:pStyle w:val="BodyText2"/>
              <w:spacing w:after="0" w:line="0" w:lineRule="atLeast"/>
              <w:rPr>
                <w:sz w:val="18"/>
                <w:szCs w:val="18"/>
              </w:rPr>
            </w:pPr>
            <w:r>
              <w:rPr>
                <w:sz w:val="18"/>
                <w:szCs w:val="18"/>
              </w:rPr>
              <w:t>96</w:t>
            </w:r>
          </w:p>
        </w:tc>
        <w:tc>
          <w:tcPr>
            <w:tcW w:w="9214" w:type="dxa"/>
          </w:tcPr>
          <w:p w14:paraId="6BAF2395"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lastRenderedPageBreak/>
              <w:t>N</w:t>
            </w:r>
            <w:r>
              <w:rPr>
                <w:sz w:val="18"/>
                <w:szCs w:val="18"/>
              </w:rPr>
              <w:t>HS</w:t>
            </w:r>
            <w:r w:rsidRPr="00F65F9D">
              <w:rPr>
                <w:sz w:val="18"/>
                <w:szCs w:val="18"/>
              </w:rPr>
              <w:t xml:space="preserve"> nwla health leadership literature review 2020</w:t>
            </w:r>
          </w:p>
          <w:p w14:paraId="38F4FB72"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CIPD</w:t>
            </w:r>
          </w:p>
          <w:p w14:paraId="295F290B"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https://www.cipd.co.uk/Images/uk-working-lives-2019-v1_tcm18-58585.pdf</w:t>
            </w:r>
          </w:p>
          <w:p w14:paraId="42B662AA"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https://www.england.nhs.uk/a-focus-on-staff-health-and-wellbeing/leadership-andmanagement/</w:t>
            </w:r>
          </w:p>
          <w:p w14:paraId="69F3DB2A"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Lazear, E., Shaw, K., Stanton, C. “The value of bosses” Journal of Labor Economics 33:4 (2015):</w:t>
            </w:r>
          </w:p>
          <w:p w14:paraId="4B2BB811"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823-862.</w:t>
            </w:r>
          </w:p>
          <w:p w14:paraId="67414DE6"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Lazear, E., Shaw, K., Stanton, C. “The value of bosses” Journal of Labor Economics 33:4 (2015):</w:t>
            </w:r>
          </w:p>
          <w:p w14:paraId="4F5655B5"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823-862.</w:t>
            </w:r>
          </w:p>
          <w:p w14:paraId="3E22E2D6" w14:textId="77777777" w:rsidR="00B1363E" w:rsidRPr="00F65F9D" w:rsidRDefault="00B1363E" w:rsidP="00B2208B">
            <w:pPr>
              <w:autoSpaceDE w:val="0"/>
              <w:autoSpaceDN w:val="0"/>
              <w:adjustRightInd w:val="0"/>
              <w:spacing w:line="0" w:lineRule="atLeast"/>
              <w:rPr>
                <w:sz w:val="18"/>
                <w:szCs w:val="18"/>
              </w:rPr>
            </w:pPr>
            <w:r>
              <w:rPr>
                <w:sz w:val="18"/>
                <w:szCs w:val="18"/>
              </w:rPr>
              <w:lastRenderedPageBreak/>
              <w:t>h</w:t>
            </w:r>
            <w:r w:rsidRPr="00F65F9D">
              <w:rPr>
                <w:sz w:val="18"/>
                <w:szCs w:val="18"/>
              </w:rPr>
              <w:t>ttps://www.nhsstaffsurveys.com/Page/1105/Latest-Results/NHS-Staff-Survey-Results/</w:t>
            </w:r>
          </w:p>
          <w:p w14:paraId="5B64FCAA"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https://news.gallup.com/businessjournal/182792/managers-account-variance-employeeengagement.</w:t>
            </w:r>
          </w:p>
          <w:p w14:paraId="4C3DE631" w14:textId="77777777" w:rsidR="00B1363E" w:rsidRPr="00F65F9D" w:rsidRDefault="00B1363E" w:rsidP="00B2208B">
            <w:pPr>
              <w:pStyle w:val="BodyText2"/>
              <w:spacing w:after="0" w:line="0" w:lineRule="atLeast"/>
              <w:rPr>
                <w:sz w:val="18"/>
                <w:szCs w:val="18"/>
              </w:rPr>
            </w:pPr>
            <w:r w:rsidRPr="00F65F9D">
              <w:rPr>
                <w:sz w:val="18"/>
                <w:szCs w:val="18"/>
              </w:rPr>
              <w:t>aspx</w:t>
            </w:r>
          </w:p>
        </w:tc>
      </w:tr>
      <w:tr w:rsidR="00B1363E" w:rsidRPr="00F65F9D" w14:paraId="0123BCC4" w14:textId="77777777" w:rsidTr="00B2208B">
        <w:tc>
          <w:tcPr>
            <w:tcW w:w="1350" w:type="dxa"/>
          </w:tcPr>
          <w:p w14:paraId="18D87762" w14:textId="77777777" w:rsidR="00B1363E" w:rsidRDefault="00B1363E" w:rsidP="00B2208B">
            <w:pPr>
              <w:pStyle w:val="BodyText2"/>
              <w:spacing w:after="0" w:line="0" w:lineRule="atLeast"/>
              <w:rPr>
                <w:sz w:val="18"/>
                <w:szCs w:val="18"/>
              </w:rPr>
            </w:pPr>
            <w:r>
              <w:rPr>
                <w:sz w:val="18"/>
                <w:szCs w:val="18"/>
              </w:rPr>
              <w:lastRenderedPageBreak/>
              <w:t>97</w:t>
            </w:r>
          </w:p>
          <w:p w14:paraId="4368B382" w14:textId="77777777" w:rsidR="00B1363E" w:rsidRDefault="00B1363E" w:rsidP="00B2208B">
            <w:pPr>
              <w:pStyle w:val="BodyText2"/>
              <w:spacing w:after="0" w:line="0" w:lineRule="atLeast"/>
              <w:rPr>
                <w:sz w:val="18"/>
                <w:szCs w:val="18"/>
              </w:rPr>
            </w:pPr>
            <w:r>
              <w:rPr>
                <w:sz w:val="18"/>
                <w:szCs w:val="18"/>
              </w:rPr>
              <w:t>98</w:t>
            </w:r>
          </w:p>
          <w:p w14:paraId="22BB51F4" w14:textId="77777777" w:rsidR="00B1363E" w:rsidRPr="00A431E1" w:rsidRDefault="00B1363E" w:rsidP="00B2208B">
            <w:pPr>
              <w:pStyle w:val="BodyText2"/>
              <w:spacing w:after="0" w:line="0" w:lineRule="atLeast"/>
              <w:rPr>
                <w:sz w:val="18"/>
                <w:szCs w:val="18"/>
              </w:rPr>
            </w:pPr>
            <w:r>
              <w:rPr>
                <w:sz w:val="18"/>
                <w:szCs w:val="18"/>
              </w:rPr>
              <w:t>99</w:t>
            </w:r>
          </w:p>
        </w:tc>
        <w:tc>
          <w:tcPr>
            <w:tcW w:w="9214" w:type="dxa"/>
          </w:tcPr>
          <w:p w14:paraId="0743BB4F"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London Environment Strategy</w:t>
            </w:r>
          </w:p>
          <w:p w14:paraId="4C758BFB"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NICE. Regulations, Health and Safety Executive, 1992</w:t>
            </w:r>
          </w:p>
          <w:p w14:paraId="5488048F" w14:textId="77777777" w:rsidR="00B1363E" w:rsidRPr="00F65F9D" w:rsidRDefault="00B1363E" w:rsidP="00B2208B">
            <w:pPr>
              <w:pStyle w:val="BodyText2"/>
              <w:spacing w:after="0" w:line="0" w:lineRule="atLeast"/>
              <w:rPr>
                <w:sz w:val="18"/>
                <w:szCs w:val="18"/>
              </w:rPr>
            </w:pPr>
            <w:r w:rsidRPr="00F65F9D">
              <w:rPr>
                <w:sz w:val="18"/>
                <w:szCs w:val="18"/>
              </w:rPr>
              <w:t>https://www.hse.gov.uk/statistics/industry/health.pdf</w:t>
            </w:r>
          </w:p>
        </w:tc>
      </w:tr>
      <w:tr w:rsidR="00B1363E" w:rsidRPr="00F65F9D" w14:paraId="7DBE6A6E"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530D645F" w14:textId="77777777" w:rsidR="00B1363E" w:rsidRDefault="00B1363E" w:rsidP="00B2208B">
            <w:pPr>
              <w:pStyle w:val="BodyText2"/>
              <w:spacing w:after="0" w:line="0" w:lineRule="atLeast"/>
              <w:rPr>
                <w:sz w:val="18"/>
                <w:szCs w:val="18"/>
              </w:rPr>
            </w:pPr>
            <w:r>
              <w:rPr>
                <w:sz w:val="18"/>
                <w:szCs w:val="18"/>
              </w:rPr>
              <w:t>100</w:t>
            </w:r>
          </w:p>
          <w:p w14:paraId="43D0810E" w14:textId="77777777" w:rsidR="00B1363E" w:rsidRDefault="00B1363E" w:rsidP="00B2208B">
            <w:pPr>
              <w:pStyle w:val="BodyText2"/>
              <w:spacing w:after="0" w:line="0" w:lineRule="atLeast"/>
              <w:rPr>
                <w:sz w:val="18"/>
                <w:szCs w:val="18"/>
              </w:rPr>
            </w:pPr>
            <w:r>
              <w:rPr>
                <w:sz w:val="18"/>
                <w:szCs w:val="18"/>
              </w:rPr>
              <w:t>101</w:t>
            </w:r>
          </w:p>
          <w:p w14:paraId="30F3D4A6" w14:textId="77777777" w:rsidR="00B1363E" w:rsidRPr="00A431E1" w:rsidRDefault="00B1363E" w:rsidP="00B2208B">
            <w:pPr>
              <w:pStyle w:val="BodyText2"/>
              <w:spacing w:after="0" w:line="0" w:lineRule="atLeast"/>
              <w:rPr>
                <w:sz w:val="18"/>
                <w:szCs w:val="18"/>
              </w:rPr>
            </w:pPr>
            <w:r>
              <w:rPr>
                <w:sz w:val="18"/>
                <w:szCs w:val="18"/>
              </w:rPr>
              <w:t>102</w:t>
            </w:r>
          </w:p>
        </w:tc>
        <w:tc>
          <w:tcPr>
            <w:tcW w:w="9214" w:type="dxa"/>
          </w:tcPr>
          <w:p w14:paraId="1531A0A0"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CIPD – People Analytics Report, 2018</w:t>
            </w:r>
          </w:p>
          <w:p w14:paraId="2BEBD612" w14:textId="77777777" w:rsidR="00B1363E" w:rsidRPr="00F65F9D" w:rsidRDefault="00B1363E" w:rsidP="00B2208B">
            <w:pPr>
              <w:autoSpaceDE w:val="0"/>
              <w:autoSpaceDN w:val="0"/>
              <w:adjustRightInd w:val="0"/>
              <w:spacing w:line="0" w:lineRule="atLeast"/>
              <w:rPr>
                <w:sz w:val="18"/>
                <w:szCs w:val="18"/>
              </w:rPr>
            </w:pPr>
            <w:r w:rsidRPr="00F65F9D">
              <w:rPr>
                <w:sz w:val="18"/>
                <w:szCs w:val="18"/>
              </w:rPr>
              <w:t>Burton, 2010. Miller, 2009</w:t>
            </w:r>
          </w:p>
          <w:p w14:paraId="11803002" w14:textId="77777777" w:rsidR="00B1363E" w:rsidRPr="00F65F9D" w:rsidRDefault="00B1363E" w:rsidP="00B2208B">
            <w:pPr>
              <w:pStyle w:val="BodyText2"/>
              <w:spacing w:after="0" w:line="0" w:lineRule="atLeast"/>
              <w:rPr>
                <w:sz w:val="18"/>
                <w:szCs w:val="18"/>
              </w:rPr>
            </w:pPr>
            <w:r w:rsidRPr="00F65F9D">
              <w:rPr>
                <w:sz w:val="18"/>
                <w:szCs w:val="18"/>
              </w:rPr>
              <w:t>NHS Health and Wellbeing Review, Boorman, 2009</w:t>
            </w:r>
          </w:p>
        </w:tc>
      </w:tr>
      <w:tr w:rsidR="00B1363E" w:rsidRPr="00F65F9D" w14:paraId="7F78CCDF" w14:textId="77777777" w:rsidTr="00B2208B">
        <w:tc>
          <w:tcPr>
            <w:tcW w:w="1350" w:type="dxa"/>
          </w:tcPr>
          <w:p w14:paraId="0D05F686" w14:textId="77777777" w:rsidR="00B1363E" w:rsidRPr="00A431E1" w:rsidRDefault="00B1363E" w:rsidP="00B2208B">
            <w:pPr>
              <w:pStyle w:val="BodyText2"/>
              <w:spacing w:after="0" w:line="0" w:lineRule="atLeast"/>
              <w:rPr>
                <w:sz w:val="18"/>
                <w:szCs w:val="18"/>
              </w:rPr>
            </w:pPr>
            <w:r>
              <w:rPr>
                <w:sz w:val="18"/>
                <w:szCs w:val="18"/>
              </w:rPr>
              <w:t>103 to 105</w:t>
            </w:r>
          </w:p>
        </w:tc>
        <w:tc>
          <w:tcPr>
            <w:tcW w:w="9214" w:type="dxa"/>
          </w:tcPr>
          <w:p w14:paraId="38CF3032" w14:textId="77777777" w:rsidR="00B1363E" w:rsidRPr="00F65F9D" w:rsidRDefault="00B1363E" w:rsidP="00B2208B">
            <w:pPr>
              <w:pStyle w:val="BodyText2"/>
              <w:spacing w:after="0" w:line="0" w:lineRule="atLeast"/>
              <w:rPr>
                <w:sz w:val="18"/>
                <w:szCs w:val="18"/>
              </w:rPr>
            </w:pPr>
            <w:r w:rsidRPr="00F65F9D">
              <w:rPr>
                <w:sz w:val="18"/>
                <w:szCs w:val="18"/>
              </w:rPr>
              <w:t>NHS staff survey 2020</w:t>
            </w:r>
          </w:p>
        </w:tc>
      </w:tr>
      <w:tr w:rsidR="00B1363E" w:rsidRPr="00F65F9D" w14:paraId="6B0028AB"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585877A1" w14:textId="77777777" w:rsidR="00B1363E" w:rsidRDefault="00B1363E" w:rsidP="00B2208B">
            <w:pPr>
              <w:pStyle w:val="BodyText2"/>
              <w:spacing w:after="0" w:line="0" w:lineRule="atLeast"/>
              <w:rPr>
                <w:sz w:val="18"/>
                <w:szCs w:val="18"/>
              </w:rPr>
            </w:pPr>
            <w:r>
              <w:rPr>
                <w:sz w:val="18"/>
                <w:szCs w:val="18"/>
              </w:rPr>
              <w:t>106</w:t>
            </w:r>
          </w:p>
        </w:tc>
        <w:tc>
          <w:tcPr>
            <w:tcW w:w="9214" w:type="dxa"/>
          </w:tcPr>
          <w:p w14:paraId="54F235A0" w14:textId="77777777" w:rsidR="00B1363E" w:rsidRPr="00F65F9D" w:rsidRDefault="00B1363E" w:rsidP="00B2208B">
            <w:pPr>
              <w:pStyle w:val="BodyText2"/>
              <w:spacing w:after="0" w:line="0" w:lineRule="atLeast"/>
              <w:rPr>
                <w:sz w:val="18"/>
                <w:szCs w:val="18"/>
              </w:rPr>
            </w:pPr>
            <w:r w:rsidRPr="00CE1A08">
              <w:rPr>
                <w:sz w:val="18"/>
                <w:szCs w:val="18"/>
              </w:rPr>
              <w:t>Workforce Race Equality Standard 2020 Data Analysis Report for NHS Trusts and Clinical Commissioning Groups</w:t>
            </w:r>
          </w:p>
        </w:tc>
      </w:tr>
      <w:tr w:rsidR="00B1363E" w:rsidRPr="00F65F9D" w14:paraId="3C8CE1A0" w14:textId="77777777" w:rsidTr="00B2208B">
        <w:tc>
          <w:tcPr>
            <w:tcW w:w="1350" w:type="dxa"/>
          </w:tcPr>
          <w:p w14:paraId="00251765" w14:textId="77777777" w:rsidR="00B1363E" w:rsidRDefault="00B1363E" w:rsidP="00B2208B">
            <w:pPr>
              <w:pStyle w:val="BodyText2"/>
              <w:spacing w:after="0" w:line="0" w:lineRule="atLeast"/>
              <w:rPr>
                <w:sz w:val="18"/>
                <w:szCs w:val="18"/>
              </w:rPr>
            </w:pPr>
            <w:r>
              <w:rPr>
                <w:sz w:val="18"/>
                <w:szCs w:val="18"/>
              </w:rPr>
              <w:t>107</w:t>
            </w:r>
          </w:p>
        </w:tc>
        <w:tc>
          <w:tcPr>
            <w:tcW w:w="9214" w:type="dxa"/>
          </w:tcPr>
          <w:p w14:paraId="29FF2721" w14:textId="77777777" w:rsidR="00B1363E" w:rsidRPr="00F65F9D" w:rsidRDefault="00B1363E" w:rsidP="00B2208B">
            <w:pPr>
              <w:pStyle w:val="BodyText2"/>
              <w:spacing w:after="0" w:line="0" w:lineRule="atLeast"/>
              <w:rPr>
                <w:sz w:val="18"/>
                <w:szCs w:val="18"/>
              </w:rPr>
            </w:pPr>
            <w:r w:rsidRPr="00CE1A08">
              <w:rPr>
                <w:sz w:val="18"/>
                <w:szCs w:val="18"/>
              </w:rPr>
              <w:t>https://www.civilitysaveslives.com</w:t>
            </w:r>
          </w:p>
        </w:tc>
      </w:tr>
      <w:tr w:rsidR="00B1363E" w:rsidRPr="00F65F9D" w14:paraId="15F26F5E"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03B887AD" w14:textId="77777777" w:rsidR="00B1363E" w:rsidRDefault="00B1363E" w:rsidP="00B2208B">
            <w:pPr>
              <w:pStyle w:val="BodyText2"/>
              <w:spacing w:after="0" w:line="0" w:lineRule="atLeast"/>
              <w:rPr>
                <w:sz w:val="18"/>
                <w:szCs w:val="18"/>
              </w:rPr>
            </w:pPr>
            <w:r>
              <w:rPr>
                <w:sz w:val="18"/>
                <w:szCs w:val="18"/>
              </w:rPr>
              <w:t>108</w:t>
            </w:r>
          </w:p>
        </w:tc>
        <w:tc>
          <w:tcPr>
            <w:tcW w:w="9214" w:type="dxa"/>
          </w:tcPr>
          <w:p w14:paraId="5939B570" w14:textId="77777777" w:rsidR="00B1363E" w:rsidRPr="00F65F9D" w:rsidRDefault="00B1363E" w:rsidP="00B2208B">
            <w:pPr>
              <w:pStyle w:val="BodyText2"/>
              <w:spacing w:after="0" w:line="0" w:lineRule="atLeast"/>
              <w:rPr>
                <w:sz w:val="18"/>
                <w:szCs w:val="18"/>
              </w:rPr>
            </w:pPr>
            <w:r w:rsidRPr="00CE1A08">
              <w:rPr>
                <w:sz w:val="18"/>
                <w:szCs w:val="18"/>
              </w:rPr>
              <w:t>https://www.nwacademy.nhs.uk</w:t>
            </w:r>
          </w:p>
        </w:tc>
      </w:tr>
      <w:tr w:rsidR="00B1363E" w:rsidRPr="00F65F9D" w14:paraId="07092547" w14:textId="77777777" w:rsidTr="00B2208B">
        <w:tc>
          <w:tcPr>
            <w:tcW w:w="1350" w:type="dxa"/>
          </w:tcPr>
          <w:p w14:paraId="10A72F49" w14:textId="77777777" w:rsidR="00B1363E" w:rsidRDefault="00B1363E" w:rsidP="00B2208B">
            <w:pPr>
              <w:pStyle w:val="BodyText2"/>
              <w:spacing w:after="0" w:line="0" w:lineRule="atLeast"/>
              <w:rPr>
                <w:sz w:val="18"/>
                <w:szCs w:val="18"/>
              </w:rPr>
            </w:pPr>
            <w:r>
              <w:rPr>
                <w:sz w:val="18"/>
                <w:szCs w:val="18"/>
              </w:rPr>
              <w:t>109</w:t>
            </w:r>
          </w:p>
        </w:tc>
        <w:tc>
          <w:tcPr>
            <w:tcW w:w="9214" w:type="dxa"/>
          </w:tcPr>
          <w:p w14:paraId="78CDB797" w14:textId="77777777" w:rsidR="00B1363E" w:rsidRPr="00F65F9D" w:rsidRDefault="00B1363E" w:rsidP="00B2208B">
            <w:pPr>
              <w:pStyle w:val="BodyText2"/>
              <w:spacing w:after="0" w:line="0" w:lineRule="atLeast"/>
              <w:rPr>
                <w:sz w:val="18"/>
                <w:szCs w:val="18"/>
              </w:rPr>
            </w:pPr>
            <w:r w:rsidRPr="00CE1A08">
              <w:rPr>
                <w:sz w:val="18"/>
                <w:szCs w:val="18"/>
              </w:rPr>
              <w:t>https://www.ncbi.nlm.nih.gov/pmc/articles/PMC4419447/</w:t>
            </w:r>
          </w:p>
        </w:tc>
      </w:tr>
      <w:tr w:rsidR="00B1363E" w:rsidRPr="00F65F9D" w14:paraId="5DDADC9D" w14:textId="77777777" w:rsidTr="00B2208B">
        <w:trPr>
          <w:cnfStyle w:val="000000100000" w:firstRow="0" w:lastRow="0" w:firstColumn="0" w:lastColumn="0" w:oddVBand="0" w:evenVBand="0" w:oddHBand="1" w:evenHBand="0" w:firstRowFirstColumn="0" w:firstRowLastColumn="0" w:lastRowFirstColumn="0" w:lastRowLastColumn="0"/>
        </w:trPr>
        <w:tc>
          <w:tcPr>
            <w:tcW w:w="1350" w:type="dxa"/>
          </w:tcPr>
          <w:p w14:paraId="04E7CD5E" w14:textId="77777777" w:rsidR="00B1363E" w:rsidRDefault="00B1363E" w:rsidP="00B2208B">
            <w:pPr>
              <w:pStyle w:val="BodyText2"/>
              <w:spacing w:after="0" w:line="0" w:lineRule="atLeast"/>
              <w:rPr>
                <w:sz w:val="18"/>
                <w:szCs w:val="18"/>
              </w:rPr>
            </w:pPr>
            <w:r>
              <w:rPr>
                <w:sz w:val="18"/>
                <w:szCs w:val="18"/>
              </w:rPr>
              <w:t>110</w:t>
            </w:r>
          </w:p>
        </w:tc>
        <w:tc>
          <w:tcPr>
            <w:tcW w:w="9214" w:type="dxa"/>
          </w:tcPr>
          <w:p w14:paraId="4BBE47F2" w14:textId="77777777" w:rsidR="00B1363E" w:rsidRPr="00F65F9D" w:rsidRDefault="00B1363E" w:rsidP="00B2208B">
            <w:pPr>
              <w:pStyle w:val="BodyText2"/>
              <w:spacing w:after="0" w:line="0" w:lineRule="atLeast"/>
              <w:rPr>
                <w:sz w:val="18"/>
                <w:szCs w:val="18"/>
              </w:rPr>
            </w:pPr>
            <w:r w:rsidRPr="00CE1A08">
              <w:rPr>
                <w:sz w:val="18"/>
                <w:szCs w:val="18"/>
              </w:rPr>
              <w:t>https://www.kingsfund.org.uk/audio-video/michael-west-leadership</w:t>
            </w:r>
          </w:p>
        </w:tc>
      </w:tr>
      <w:tr w:rsidR="00B1363E" w:rsidRPr="00F65F9D" w14:paraId="7E12CE85" w14:textId="77777777" w:rsidTr="00B2208B">
        <w:tc>
          <w:tcPr>
            <w:tcW w:w="1350" w:type="dxa"/>
          </w:tcPr>
          <w:p w14:paraId="304E5ABD" w14:textId="77777777" w:rsidR="00B1363E" w:rsidRDefault="00B1363E" w:rsidP="00B2208B">
            <w:pPr>
              <w:pStyle w:val="BodyText2"/>
              <w:spacing w:after="0" w:line="0" w:lineRule="atLeast"/>
              <w:rPr>
                <w:sz w:val="18"/>
                <w:szCs w:val="18"/>
              </w:rPr>
            </w:pPr>
            <w:r>
              <w:rPr>
                <w:sz w:val="18"/>
                <w:szCs w:val="18"/>
              </w:rPr>
              <w:t>111</w:t>
            </w:r>
          </w:p>
        </w:tc>
        <w:tc>
          <w:tcPr>
            <w:tcW w:w="9214" w:type="dxa"/>
          </w:tcPr>
          <w:p w14:paraId="48FBC71F" w14:textId="77777777" w:rsidR="00B1363E" w:rsidRPr="00F65F9D" w:rsidRDefault="00B1363E" w:rsidP="00B2208B">
            <w:pPr>
              <w:pStyle w:val="BodyText2"/>
              <w:spacing w:after="0" w:line="0" w:lineRule="atLeast"/>
              <w:rPr>
                <w:sz w:val="18"/>
                <w:szCs w:val="18"/>
              </w:rPr>
            </w:pPr>
            <w:r w:rsidRPr="00CE1A08">
              <w:rPr>
                <w:sz w:val="18"/>
                <w:szCs w:val="18"/>
              </w:rPr>
              <w:t>https://www.relate.org.uk/policy-campaigns/publications/way-we-are-now-state-uksrel</w:t>
            </w:r>
          </w:p>
        </w:tc>
      </w:tr>
    </w:tbl>
    <w:p w14:paraId="77C45DC6" w14:textId="77777777" w:rsidR="00B1363E" w:rsidRPr="00B1363E" w:rsidRDefault="00B1363E" w:rsidP="00B1363E">
      <w:pPr>
        <w:pStyle w:val="BodyText2"/>
      </w:pPr>
    </w:p>
    <w:p w14:paraId="5ABCEE9D" w14:textId="77777777" w:rsidR="00B1363E" w:rsidRDefault="00B1363E" w:rsidP="00B1363E">
      <w:pPr>
        <w:pStyle w:val="Heading1"/>
      </w:pPr>
    </w:p>
    <w:p w14:paraId="68E92E04" w14:textId="213DCBB7" w:rsidR="00B1363E" w:rsidRPr="00B1363E" w:rsidRDefault="00B1363E" w:rsidP="00B1363E">
      <w:pPr>
        <w:pStyle w:val="Heading1"/>
        <w:numPr>
          <w:ilvl w:val="0"/>
          <w:numId w:val="0"/>
        </w:numPr>
        <w:sectPr w:rsidR="00B1363E" w:rsidRPr="00B1363E" w:rsidSect="00AD60EE">
          <w:pgSz w:w="11907" w:h="16840" w:code="9"/>
          <w:pgMar w:top="1985"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77777777" w:rsidR="004211EF" w:rsidRDefault="004211EF" w:rsidP="00283282">
      <w:pPr>
        <w:pStyle w:val="Default"/>
        <w:rPr>
          <w:sz w:val="23"/>
          <w:szCs w:val="23"/>
        </w:rPr>
      </w:pPr>
    </w:p>
    <w:p w14:paraId="7C521572" w14:textId="77777777" w:rsidR="004211EF" w:rsidRDefault="004211EF" w:rsidP="00283282">
      <w:pPr>
        <w:pStyle w:val="Default"/>
        <w:rPr>
          <w:sz w:val="23"/>
          <w:szCs w:val="23"/>
        </w:rPr>
      </w:pPr>
    </w:p>
    <w:p w14:paraId="1C77610A" w14:textId="494D767E" w:rsidR="00283282" w:rsidRPr="00283282" w:rsidRDefault="00283282" w:rsidP="00283282">
      <w:pPr>
        <w:pStyle w:val="Default"/>
        <w:rPr>
          <w:sz w:val="23"/>
          <w:szCs w:val="23"/>
        </w:rPr>
      </w:pPr>
      <w:r w:rsidRPr="00283282">
        <w:rPr>
          <w:sz w:val="23"/>
          <w:szCs w:val="23"/>
        </w:rPr>
        <w:t xml:space="preserve">NHS England and NHS Improvement </w:t>
      </w:r>
    </w:p>
    <w:p w14:paraId="2C137501" w14:textId="77777777" w:rsidR="00283282" w:rsidRPr="00283282" w:rsidRDefault="00283282" w:rsidP="00283282">
      <w:pPr>
        <w:pStyle w:val="NoSpacing"/>
      </w:pPr>
      <w:r w:rsidRPr="00283282">
        <w:t xml:space="preserve">Skipton House </w:t>
      </w:r>
    </w:p>
    <w:p w14:paraId="017C71D9" w14:textId="77777777" w:rsidR="00283282" w:rsidRPr="00283282" w:rsidRDefault="00283282" w:rsidP="00283282">
      <w:pPr>
        <w:pStyle w:val="NoSpacing"/>
      </w:pPr>
      <w:r w:rsidRPr="00283282">
        <w:t xml:space="preserve">80 London Road </w:t>
      </w:r>
    </w:p>
    <w:p w14:paraId="1E283414" w14:textId="77777777" w:rsidR="00283282" w:rsidRPr="00283282" w:rsidRDefault="00283282" w:rsidP="00283282">
      <w:pPr>
        <w:pStyle w:val="NoSpacing"/>
      </w:pPr>
      <w:r w:rsidRPr="00283282">
        <w:t xml:space="preserve">London </w:t>
      </w:r>
    </w:p>
    <w:p w14:paraId="349F8DB9" w14:textId="77777777" w:rsidR="00283282" w:rsidRPr="00283282" w:rsidRDefault="00283282" w:rsidP="00283282">
      <w:pPr>
        <w:pStyle w:val="Default"/>
      </w:pPr>
      <w:r w:rsidRPr="00283282">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a number of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645ED0A0" w:rsidR="00283282" w:rsidRPr="00283282" w:rsidRDefault="00283282" w:rsidP="00CC7E9C">
      <w:pPr>
        <w:pStyle w:val="BackPageAddress"/>
        <w:rPr>
          <w:color w:val="auto"/>
        </w:rPr>
      </w:pPr>
      <w:r w:rsidRPr="00283282">
        <w:rPr>
          <w:color w:val="auto"/>
        </w:rPr>
        <w:t>© NHS England and NHS Improvement</w:t>
      </w:r>
    </w:p>
    <w:p w14:paraId="3FC4A105" w14:textId="08416193" w:rsidR="00283282" w:rsidRPr="00B204CE" w:rsidRDefault="00283282" w:rsidP="00CC7E9C">
      <w:pPr>
        <w:pStyle w:val="BackPageAddress"/>
        <w:rPr>
          <w:color w:val="auto"/>
        </w:rPr>
      </w:pPr>
      <w:r w:rsidRPr="00283282">
        <w:rPr>
          <w:color w:val="auto"/>
        </w:rPr>
        <w:t>Publication approval reference</w:t>
      </w:r>
      <w:r w:rsidRPr="00B204CE">
        <w:rPr>
          <w:color w:val="auto"/>
        </w:rPr>
        <w:t>:</w:t>
      </w:r>
      <w:r w:rsidR="00B204CE" w:rsidRPr="00B204CE">
        <w:rPr>
          <w:color w:val="auto"/>
        </w:rPr>
        <w:t xml:space="preserve"> </w:t>
      </w:r>
      <w:r w:rsidR="00B204CE" w:rsidRPr="00B204CE">
        <w:rPr>
          <w:rFonts w:cs="Arial"/>
          <w:color w:val="auto"/>
          <w:sz w:val="22"/>
          <w:szCs w:val="22"/>
        </w:rPr>
        <w:t>C1087</w:t>
      </w:r>
    </w:p>
    <w:sectPr w:rsidR="00283282" w:rsidRPr="00B204CE" w:rsidSect="00CC7E9C">
      <w:headerReference w:type="default" r:id="rId16"/>
      <w:footerReference w:type="default" r:id="rId17"/>
      <w:pgSz w:w="11907" w:h="16840" w:code="9"/>
      <w:pgMar w:top="9639"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96F13" w14:textId="77777777" w:rsidR="002F1618" w:rsidRDefault="002F1618" w:rsidP="00FE141F">
      <w:r>
        <w:separator/>
      </w:r>
    </w:p>
  </w:endnote>
  <w:endnote w:type="continuationSeparator" w:id="0">
    <w:p w14:paraId="748EED23" w14:textId="77777777" w:rsidR="002F1618" w:rsidRDefault="002F1618"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027F" w14:textId="644DA54C" w:rsidR="00B2208B" w:rsidRPr="007D5D82" w:rsidRDefault="00B2208B"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2508" w:type="pct"/>
      <w:tblLook w:val="04A0" w:firstRow="1" w:lastRow="0" w:firstColumn="1" w:lastColumn="0" w:noHBand="0" w:noVBand="1"/>
    </w:tblPr>
    <w:tblGrid>
      <w:gridCol w:w="4465"/>
    </w:tblGrid>
    <w:tr w:rsidR="00B2208B" w14:paraId="35709A80" w14:textId="77777777" w:rsidTr="00595AD1">
      <w:trPr>
        <w:trHeight w:hRule="exact" w:val="754"/>
      </w:trPr>
      <w:tc>
        <w:tcPr>
          <w:tcW w:w="4465" w:type="dxa"/>
          <w:vAlign w:val="bottom"/>
        </w:tcPr>
        <w:p w14:paraId="17B92942" w14:textId="34BB1FDB" w:rsidR="00B2208B" w:rsidRDefault="00B2208B" w:rsidP="00595AD1">
          <w:pPr>
            <w:pStyle w:val="Footer"/>
          </w:pPr>
          <w:r w:rsidRPr="009F3884">
            <w:fldChar w:fldCharType="begin"/>
          </w:r>
          <w:r w:rsidRPr="009F3884">
            <w:instrText xml:space="preserve"> page </w:instrText>
          </w:r>
          <w:r w:rsidRPr="009F3884">
            <w:fldChar w:fldCharType="separate"/>
          </w:r>
          <w:r>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fldChar w:fldCharType="begin"/>
          </w:r>
          <w:r>
            <w:instrText xml:space="preserve"> styleref "Heading 1" </w:instrText>
          </w:r>
          <w:r w:rsidR="00B204CE">
            <w:fldChar w:fldCharType="separate"/>
          </w:r>
          <w:r w:rsidR="00B204CE">
            <w:rPr>
              <w:noProof/>
            </w:rPr>
            <w:t>1. Forewords and introduction</w:t>
          </w:r>
          <w:r>
            <w:fldChar w:fldCharType="end"/>
          </w:r>
        </w:p>
      </w:tc>
    </w:tr>
  </w:tbl>
  <w:p w14:paraId="3BE3EBF4" w14:textId="77777777" w:rsidR="00B2208B" w:rsidRDefault="00B2208B"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29E0" w14:textId="2CF248D0" w:rsidR="00B2208B" w:rsidRPr="007D5D82" w:rsidRDefault="00B2208B"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D9A4D" w14:textId="77777777" w:rsidR="002F1618" w:rsidRDefault="002F1618" w:rsidP="00FE141F">
      <w:bookmarkStart w:id="0" w:name="_Hlk477956115"/>
      <w:bookmarkEnd w:id="0"/>
    </w:p>
  </w:footnote>
  <w:footnote w:type="continuationSeparator" w:id="0">
    <w:p w14:paraId="08D982F7" w14:textId="77777777" w:rsidR="002F1618" w:rsidRDefault="002F1618"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7AAD" w14:textId="77777777" w:rsidR="00B2208B" w:rsidRPr="00C5063B" w:rsidRDefault="00B2208B" w:rsidP="00C5063B">
    <w:pPr>
      <w:pStyle w:val="Header"/>
    </w:pPr>
    <w:r w:rsidRPr="00D645ED">
      <w:rPr>
        <w:noProof/>
        <w:lang w:eastAsia="en-GB"/>
      </w:rPr>
      <w:drawing>
        <wp:anchor distT="0" distB="0" distL="114300" distR="114300" simplePos="0" relativeHeight="251657216"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92A5" w14:textId="3028C05E" w:rsidR="00B2208B" w:rsidRPr="008366C7" w:rsidRDefault="00B2208B"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EB2C" w14:textId="6CFE919B" w:rsidR="00B2208B" w:rsidRPr="001A4BBD" w:rsidRDefault="00B2208B"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9680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9D1EA3"/>
    <w:multiLevelType w:val="hybridMultilevel"/>
    <w:tmpl w:val="4B402D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B919A3"/>
    <w:multiLevelType w:val="hybridMultilevel"/>
    <w:tmpl w:val="592E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349E"/>
    <w:multiLevelType w:val="hybridMultilevel"/>
    <w:tmpl w:val="C364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3900"/>
    <w:multiLevelType w:val="hybridMultilevel"/>
    <w:tmpl w:val="C10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233B1"/>
    <w:multiLevelType w:val="hybridMultilevel"/>
    <w:tmpl w:val="80D26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F35577"/>
    <w:multiLevelType w:val="multilevel"/>
    <w:tmpl w:val="0F720D2E"/>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C35E16"/>
    <w:multiLevelType w:val="multilevel"/>
    <w:tmpl w:val="87D21FC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0E7BF6"/>
    <w:multiLevelType w:val="hybridMultilevel"/>
    <w:tmpl w:val="2C66B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C125B"/>
    <w:multiLevelType w:val="multilevel"/>
    <w:tmpl w:val="0F720D2E"/>
    <w:numStyleLink w:val="NHSOutlineLevels"/>
  </w:abstractNum>
  <w:abstractNum w:abstractNumId="13" w15:restartNumberingAfterBreak="0">
    <w:nsid w:val="35314666"/>
    <w:multiLevelType w:val="hybridMultilevel"/>
    <w:tmpl w:val="18E6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A7F42"/>
    <w:multiLevelType w:val="hybridMultilevel"/>
    <w:tmpl w:val="BC9C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676836"/>
    <w:multiLevelType w:val="hybridMultilevel"/>
    <w:tmpl w:val="68EA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C1CDC"/>
    <w:multiLevelType w:val="hybridMultilevel"/>
    <w:tmpl w:val="D1BE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91CAE"/>
    <w:multiLevelType w:val="hybridMultilevel"/>
    <w:tmpl w:val="F202C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028E5"/>
    <w:multiLevelType w:val="hybridMultilevel"/>
    <w:tmpl w:val="8F08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5E3EE5"/>
    <w:multiLevelType w:val="hybridMultilevel"/>
    <w:tmpl w:val="1DDE4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A29ED"/>
    <w:multiLevelType w:val="hybridMultilevel"/>
    <w:tmpl w:val="52E8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2380E"/>
    <w:multiLevelType w:val="hybridMultilevel"/>
    <w:tmpl w:val="59CC3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6756C"/>
    <w:multiLevelType w:val="hybridMultilevel"/>
    <w:tmpl w:val="0D72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A12E7"/>
    <w:multiLevelType w:val="hybridMultilevel"/>
    <w:tmpl w:val="A998B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6274F"/>
    <w:multiLevelType w:val="hybridMultilevel"/>
    <w:tmpl w:val="CC9E7A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350E8B"/>
    <w:multiLevelType w:val="hybridMultilevel"/>
    <w:tmpl w:val="1B387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7"/>
  </w:num>
  <w:num w:numId="4">
    <w:abstractNumId w:val="15"/>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4"/>
  </w:num>
  <w:num w:numId="10">
    <w:abstractNumId w:val="25"/>
  </w:num>
  <w:num w:numId="11">
    <w:abstractNumId w:val="13"/>
  </w:num>
  <w:num w:numId="12">
    <w:abstractNumId w:val="4"/>
  </w:num>
  <w:num w:numId="13">
    <w:abstractNumId w:val="2"/>
  </w:num>
  <w:num w:numId="14">
    <w:abstractNumId w:val="22"/>
  </w:num>
  <w:num w:numId="15">
    <w:abstractNumId w:val="3"/>
  </w:num>
  <w:num w:numId="16">
    <w:abstractNumId w:val="23"/>
  </w:num>
  <w:num w:numId="17">
    <w:abstractNumId w:val="21"/>
  </w:num>
  <w:num w:numId="18">
    <w:abstractNumId w:val="27"/>
  </w:num>
  <w:num w:numId="19">
    <w:abstractNumId w:val="17"/>
  </w:num>
  <w:num w:numId="20">
    <w:abstractNumId w:val="18"/>
  </w:num>
  <w:num w:numId="21">
    <w:abstractNumId w:val="5"/>
  </w:num>
  <w:num w:numId="22">
    <w:abstractNumId w:val="11"/>
  </w:num>
  <w:num w:numId="23">
    <w:abstractNumId w:val="26"/>
  </w:num>
  <w:num w:numId="24">
    <w:abstractNumId w:val="1"/>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9"/>
  </w:num>
  <w:num w:numId="29">
    <w:abstractNumId w:val="0"/>
  </w:num>
  <w:num w:numId="30">
    <w:abstractNumId w:val="24"/>
  </w:num>
  <w:num w:numId="31">
    <w:abstractNumId w:val="15"/>
  </w:num>
  <w:num w:numId="3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revisionView w:markup="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82644"/>
    <w:rsid w:val="00094CCC"/>
    <w:rsid w:val="000A5420"/>
    <w:rsid w:val="000B2F4D"/>
    <w:rsid w:val="000B5074"/>
    <w:rsid w:val="000D1D6B"/>
    <w:rsid w:val="000D5337"/>
    <w:rsid w:val="001058C6"/>
    <w:rsid w:val="00107BCC"/>
    <w:rsid w:val="00112827"/>
    <w:rsid w:val="001520D0"/>
    <w:rsid w:val="00157799"/>
    <w:rsid w:val="0016600B"/>
    <w:rsid w:val="00180F08"/>
    <w:rsid w:val="00183E7A"/>
    <w:rsid w:val="00195503"/>
    <w:rsid w:val="001A0511"/>
    <w:rsid w:val="001A4BBD"/>
    <w:rsid w:val="001B2122"/>
    <w:rsid w:val="001C53FE"/>
    <w:rsid w:val="001D0B2B"/>
    <w:rsid w:val="001E03C5"/>
    <w:rsid w:val="001E730E"/>
    <w:rsid w:val="001F229E"/>
    <w:rsid w:val="001F5639"/>
    <w:rsid w:val="00210FEC"/>
    <w:rsid w:val="002358CE"/>
    <w:rsid w:val="002637C3"/>
    <w:rsid w:val="00263CA0"/>
    <w:rsid w:val="00267637"/>
    <w:rsid w:val="00283282"/>
    <w:rsid w:val="0029383E"/>
    <w:rsid w:val="002A33F2"/>
    <w:rsid w:val="002C013C"/>
    <w:rsid w:val="002C3D16"/>
    <w:rsid w:val="002D177B"/>
    <w:rsid w:val="002E0482"/>
    <w:rsid w:val="002E4BE3"/>
    <w:rsid w:val="002E7E33"/>
    <w:rsid w:val="002F1618"/>
    <w:rsid w:val="003025F3"/>
    <w:rsid w:val="00304316"/>
    <w:rsid w:val="003145F0"/>
    <w:rsid w:val="003537DD"/>
    <w:rsid w:val="0035489F"/>
    <w:rsid w:val="0036422A"/>
    <w:rsid w:val="00376431"/>
    <w:rsid w:val="00376C84"/>
    <w:rsid w:val="0038454D"/>
    <w:rsid w:val="003B1B89"/>
    <w:rsid w:val="003E0BD9"/>
    <w:rsid w:val="003E5C41"/>
    <w:rsid w:val="004211EF"/>
    <w:rsid w:val="00426259"/>
    <w:rsid w:val="00450DF1"/>
    <w:rsid w:val="00454F99"/>
    <w:rsid w:val="004772E6"/>
    <w:rsid w:val="00482370"/>
    <w:rsid w:val="004836FD"/>
    <w:rsid w:val="00486607"/>
    <w:rsid w:val="004930E1"/>
    <w:rsid w:val="00495942"/>
    <w:rsid w:val="004A1121"/>
    <w:rsid w:val="004A4E52"/>
    <w:rsid w:val="004A6352"/>
    <w:rsid w:val="004B319B"/>
    <w:rsid w:val="004B5C1A"/>
    <w:rsid w:val="004C6B9B"/>
    <w:rsid w:val="004D453B"/>
    <w:rsid w:val="004D7833"/>
    <w:rsid w:val="004E7776"/>
    <w:rsid w:val="00534615"/>
    <w:rsid w:val="00542C19"/>
    <w:rsid w:val="00554409"/>
    <w:rsid w:val="00557033"/>
    <w:rsid w:val="00564AB5"/>
    <w:rsid w:val="00584880"/>
    <w:rsid w:val="00595AD1"/>
    <w:rsid w:val="005A3AF6"/>
    <w:rsid w:val="005A51D2"/>
    <w:rsid w:val="005B5792"/>
    <w:rsid w:val="005E4701"/>
    <w:rsid w:val="006000DD"/>
    <w:rsid w:val="00614A93"/>
    <w:rsid w:val="00632879"/>
    <w:rsid w:val="006617BF"/>
    <w:rsid w:val="00667334"/>
    <w:rsid w:val="00670D00"/>
    <w:rsid w:val="0068776A"/>
    <w:rsid w:val="006A6F7C"/>
    <w:rsid w:val="006A7A50"/>
    <w:rsid w:val="006B30F3"/>
    <w:rsid w:val="006D7C71"/>
    <w:rsid w:val="006E1A3D"/>
    <w:rsid w:val="006E34B2"/>
    <w:rsid w:val="006E4C23"/>
    <w:rsid w:val="006F6509"/>
    <w:rsid w:val="00711B18"/>
    <w:rsid w:val="007174CB"/>
    <w:rsid w:val="007A3953"/>
    <w:rsid w:val="007D5D82"/>
    <w:rsid w:val="007E63EC"/>
    <w:rsid w:val="00800AE7"/>
    <w:rsid w:val="0080245C"/>
    <w:rsid w:val="00810D8B"/>
    <w:rsid w:val="00814EED"/>
    <w:rsid w:val="008366C7"/>
    <w:rsid w:val="00836DD0"/>
    <w:rsid w:val="00877581"/>
    <w:rsid w:val="00884177"/>
    <w:rsid w:val="00892C40"/>
    <w:rsid w:val="008B07EF"/>
    <w:rsid w:val="008B3B81"/>
    <w:rsid w:val="008D0881"/>
    <w:rsid w:val="008D1ECC"/>
    <w:rsid w:val="008D68A5"/>
    <w:rsid w:val="008F22A5"/>
    <w:rsid w:val="00907F68"/>
    <w:rsid w:val="009143A8"/>
    <w:rsid w:val="00923A7C"/>
    <w:rsid w:val="00946B59"/>
    <w:rsid w:val="0095008D"/>
    <w:rsid w:val="00953697"/>
    <w:rsid w:val="0096185B"/>
    <w:rsid w:val="009701CC"/>
    <w:rsid w:val="009932F0"/>
    <w:rsid w:val="009A3D53"/>
    <w:rsid w:val="009A3EA3"/>
    <w:rsid w:val="009D2B8C"/>
    <w:rsid w:val="009D6DDA"/>
    <w:rsid w:val="009F1AFC"/>
    <w:rsid w:val="009F3884"/>
    <w:rsid w:val="009F42DA"/>
    <w:rsid w:val="00A16D1F"/>
    <w:rsid w:val="00A23025"/>
    <w:rsid w:val="00A25F55"/>
    <w:rsid w:val="00A3272E"/>
    <w:rsid w:val="00A33657"/>
    <w:rsid w:val="00A72CB9"/>
    <w:rsid w:val="00A817E9"/>
    <w:rsid w:val="00A9709B"/>
    <w:rsid w:val="00AA043A"/>
    <w:rsid w:val="00AA3969"/>
    <w:rsid w:val="00AC084D"/>
    <w:rsid w:val="00AC31EB"/>
    <w:rsid w:val="00AD05CC"/>
    <w:rsid w:val="00AD60EE"/>
    <w:rsid w:val="00B1363E"/>
    <w:rsid w:val="00B204CE"/>
    <w:rsid w:val="00B2208B"/>
    <w:rsid w:val="00B24D33"/>
    <w:rsid w:val="00B26E93"/>
    <w:rsid w:val="00B3379A"/>
    <w:rsid w:val="00B4013D"/>
    <w:rsid w:val="00B43E90"/>
    <w:rsid w:val="00B4451A"/>
    <w:rsid w:val="00B6466E"/>
    <w:rsid w:val="00B8048B"/>
    <w:rsid w:val="00B9389D"/>
    <w:rsid w:val="00BA2344"/>
    <w:rsid w:val="00BC482E"/>
    <w:rsid w:val="00BD07FB"/>
    <w:rsid w:val="00BD51DD"/>
    <w:rsid w:val="00BF1CF0"/>
    <w:rsid w:val="00C01797"/>
    <w:rsid w:val="00C11E75"/>
    <w:rsid w:val="00C17774"/>
    <w:rsid w:val="00C22035"/>
    <w:rsid w:val="00C33A61"/>
    <w:rsid w:val="00C5063B"/>
    <w:rsid w:val="00C56903"/>
    <w:rsid w:val="00C65ADF"/>
    <w:rsid w:val="00CA3727"/>
    <w:rsid w:val="00CB5BC1"/>
    <w:rsid w:val="00CC5CF8"/>
    <w:rsid w:val="00CC7E9C"/>
    <w:rsid w:val="00D10167"/>
    <w:rsid w:val="00D1581A"/>
    <w:rsid w:val="00D25416"/>
    <w:rsid w:val="00D5046B"/>
    <w:rsid w:val="00D507EF"/>
    <w:rsid w:val="00D53C4A"/>
    <w:rsid w:val="00D63288"/>
    <w:rsid w:val="00D74A42"/>
    <w:rsid w:val="00D77D1E"/>
    <w:rsid w:val="00D87BAB"/>
    <w:rsid w:val="00DB41A2"/>
    <w:rsid w:val="00DF3065"/>
    <w:rsid w:val="00E24B18"/>
    <w:rsid w:val="00E53D7D"/>
    <w:rsid w:val="00E66356"/>
    <w:rsid w:val="00E77198"/>
    <w:rsid w:val="00EA1CB8"/>
    <w:rsid w:val="00EA7665"/>
    <w:rsid w:val="00EB2584"/>
    <w:rsid w:val="00ED0068"/>
    <w:rsid w:val="00ED56F4"/>
    <w:rsid w:val="00F30F0F"/>
    <w:rsid w:val="00F4069A"/>
    <w:rsid w:val="00F41037"/>
    <w:rsid w:val="00F60813"/>
    <w:rsid w:val="00F62A58"/>
    <w:rsid w:val="00F75456"/>
    <w:rsid w:val="00F80387"/>
    <w:rsid w:val="00FA0D1E"/>
    <w:rsid w:val="00FB43ED"/>
    <w:rsid w:val="00FC7066"/>
    <w:rsid w:val="00FE0105"/>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2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7"/>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25"/>
      </w:numPr>
      <w:spacing w:after="280" w:line="360" w:lineRule="atLeast"/>
    </w:pPr>
  </w:style>
  <w:style w:type="character" w:customStyle="1" w:styleId="BodyTextChar">
    <w:name w:val="Body Text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4"/>
      </w:numPr>
      <w:spacing w:after="50"/>
    </w:pPr>
  </w:style>
  <w:style w:type="paragraph" w:styleId="ListBullet2">
    <w:name w:val="List Bullet 2"/>
    <w:basedOn w:val="BodyText"/>
    <w:qFormat/>
    <w:rsid w:val="0029383E"/>
    <w:pPr>
      <w:numPr>
        <w:numId w:val="4"/>
      </w:numPr>
      <w:spacing w:after="50"/>
      <w:ind w:left="1135" w:hanging="284"/>
    </w:pPr>
  </w:style>
  <w:style w:type="paragraph" w:customStyle="1" w:styleId="Heading1Numbered">
    <w:name w:val="Heading 1 Numbered"/>
    <w:basedOn w:val="Heading1"/>
    <w:next w:val="BodyText"/>
    <w:qFormat/>
    <w:rsid w:val="005A3AF6"/>
    <w:pPr>
      <w:numPr>
        <w:numId w:val="5"/>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5"/>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39"/>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uiPriority w:val="39"/>
    <w:qFormat/>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4"/>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5"/>
      </w:numPr>
    </w:pPr>
  </w:style>
  <w:style w:type="numbering" w:customStyle="1" w:styleId="NHSTableHeadings">
    <w:name w:val="NHS Table Headings"/>
    <w:basedOn w:val="NoList"/>
    <w:uiPriority w:val="99"/>
    <w:rsid w:val="004836FD"/>
    <w:pPr>
      <w:numPr>
        <w:numId w:val="7"/>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paragraph" w:styleId="ListParagraph">
    <w:name w:val="List Paragraph"/>
    <w:basedOn w:val="Normal"/>
    <w:uiPriority w:val="34"/>
    <w:rsid w:val="000D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582028">
      <w:bodyDiv w:val="1"/>
      <w:marLeft w:val="0"/>
      <w:marRight w:val="0"/>
      <w:marTop w:val="0"/>
      <w:marBottom w:val="0"/>
      <w:divBdr>
        <w:top w:val="none" w:sz="0" w:space="0" w:color="auto"/>
        <w:left w:val="none" w:sz="0" w:space="0" w:color="auto"/>
        <w:bottom w:val="none" w:sz="0" w:space="0" w:color="auto"/>
        <w:right w:val="none" w:sz="0" w:space="0" w:color="auto"/>
      </w:divBdr>
    </w:div>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oneyhelper.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DCC25206F60418CB318BC68AB52D9" ma:contentTypeVersion="11" ma:contentTypeDescription="Create a new document." ma:contentTypeScope="" ma:versionID="ec119c9e5c75f1b9da5b7a1b24ef5373">
  <xsd:schema xmlns:xsd="http://www.w3.org/2001/XMLSchema" xmlns:xs="http://www.w3.org/2001/XMLSchema" xmlns:p="http://schemas.microsoft.com/office/2006/metadata/properties" xmlns:ns2="60e3c8ff-e3f9-4cdf-9a62-024a5c0e0cd4" xmlns:ns3="51aca11d-3ca5-48b7-b61f-5f9c963b4a8c" targetNamespace="http://schemas.microsoft.com/office/2006/metadata/properties" ma:root="true" ma:fieldsID="238965f90f1affb52d1672e923e418d9" ns2:_="" ns3:_="">
    <xsd:import namespace="60e3c8ff-e3f9-4cdf-9a62-024a5c0e0cd4"/>
    <xsd:import namespace="51aca11d-3ca5-48b7-b61f-5f9c963b4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c8ff-e3f9-4cdf-9a62-024a5c0e0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ca11d-3ca5-48b7-b61f-5f9c963b4a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63AEC-22CF-46D3-B700-8E5176997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c8ff-e3f9-4cdf-9a62-024a5c0e0cd4"/>
    <ds:schemaRef ds:uri="51aca11d-3ca5-48b7-b61f-5f9c963b4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49B3C-2F6C-45A6-AA71-B8B91AC4B4BA}">
  <ds:schemaRefs>
    <ds:schemaRef ds:uri="http://schemas.openxmlformats.org/officeDocument/2006/bibliography"/>
  </ds:schemaRefs>
</ds:datastoreItem>
</file>

<file path=customXml/itemProps3.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2A512-EE66-4127-93C5-F16C8D90A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Rebecca Wootton</cp:lastModifiedBy>
  <cp:revision>2</cp:revision>
  <cp:lastPrinted>2017-03-21T18:42:00Z</cp:lastPrinted>
  <dcterms:created xsi:type="dcterms:W3CDTF">2021-11-04T08:32:00Z</dcterms:created>
  <dcterms:modified xsi:type="dcterms:W3CDTF">2021-11-04T08:32:00Z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0x01010040DDCC25206F60418CB318BC68AB52D9</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