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18D51" w14:textId="77777777" w:rsidR="00150FAF" w:rsidRDefault="00150FAF" w:rsidP="00D836F3">
      <w:pPr>
        <w:rPr>
          <w:b/>
        </w:rPr>
      </w:pPr>
    </w:p>
    <w:p w14:paraId="4245F22B" w14:textId="061D4E2B" w:rsidR="00712D13" w:rsidRPr="00712D13" w:rsidRDefault="00300CB4" w:rsidP="00300CB4">
      <w:pPr>
        <w:shd w:val="clear" w:color="auto" w:fill="FFFFFF"/>
        <w:overflowPunct/>
        <w:autoSpaceDE/>
        <w:autoSpaceDN/>
        <w:adjustRightInd/>
        <w:textAlignment w:val="auto"/>
        <w:rPr>
          <w:rFonts w:cs="Arial"/>
          <w:szCs w:val="24"/>
        </w:rPr>
      </w:pPr>
      <w:r>
        <w:rPr>
          <w:rFonts w:cs="Arial"/>
          <w:b/>
          <w:szCs w:val="24"/>
        </w:rPr>
        <w:t>Publications Reference:</w:t>
      </w:r>
      <w:r w:rsidR="00E746C5" w:rsidRPr="00E746C5">
        <w:t xml:space="preserve"> </w:t>
      </w:r>
      <w:r w:rsidR="00E746C5" w:rsidRPr="00E746C5">
        <w:rPr>
          <w:rFonts w:cs="Arial"/>
          <w:b/>
          <w:szCs w:val="24"/>
        </w:rPr>
        <w:t>B1235</w:t>
      </w:r>
    </w:p>
    <w:p w14:paraId="10682D5F" w14:textId="77777777" w:rsidR="00D836F3" w:rsidRPr="00832230" w:rsidRDefault="00D836F3" w:rsidP="00D836F3">
      <w:pPr>
        <w:rPr>
          <w:b/>
          <w:color w:val="FF0000"/>
        </w:rPr>
      </w:pPr>
    </w:p>
    <w:p w14:paraId="07A14F83" w14:textId="77777777" w:rsidR="00300CB4" w:rsidRDefault="00300CB4" w:rsidP="00300CB4">
      <w:pPr>
        <w:rPr>
          <w:b/>
          <w:color w:val="000000"/>
          <w:sz w:val="28"/>
          <w:szCs w:val="28"/>
        </w:rPr>
      </w:pPr>
    </w:p>
    <w:p w14:paraId="5273F854" w14:textId="2E68A947" w:rsidR="00300CB4" w:rsidRPr="00300CB4" w:rsidRDefault="00C640BC" w:rsidP="00300CB4">
      <w:pPr>
        <w:jc w:val="center"/>
        <w:rPr>
          <w:b/>
          <w:color w:val="000000"/>
          <w:sz w:val="32"/>
          <w:szCs w:val="32"/>
        </w:rPr>
      </w:pPr>
      <w:r w:rsidRPr="00300CB4">
        <w:rPr>
          <w:b/>
          <w:color w:val="000000"/>
          <w:sz w:val="32"/>
          <w:szCs w:val="32"/>
        </w:rPr>
        <w:t xml:space="preserve">Protocol </w:t>
      </w:r>
      <w:r>
        <w:rPr>
          <w:b/>
          <w:color w:val="000000"/>
          <w:sz w:val="32"/>
          <w:szCs w:val="32"/>
        </w:rPr>
        <w:t>for the administration of p</w:t>
      </w:r>
      <w:r w:rsidR="00300CB4" w:rsidRPr="00300CB4">
        <w:rPr>
          <w:b/>
          <w:color w:val="000000"/>
          <w:sz w:val="32"/>
          <w:szCs w:val="32"/>
        </w:rPr>
        <w:t xml:space="preserve">otassium iodide </w:t>
      </w:r>
      <w:r>
        <w:rPr>
          <w:b/>
          <w:color w:val="000000"/>
          <w:sz w:val="32"/>
          <w:szCs w:val="32"/>
        </w:rPr>
        <w:t>tablets</w:t>
      </w:r>
    </w:p>
    <w:p w14:paraId="460AA102" w14:textId="77777777" w:rsidR="00300CB4" w:rsidRDefault="00300CB4" w:rsidP="00300CB4">
      <w:pPr>
        <w:rPr>
          <w:color w:val="000000"/>
          <w:sz w:val="23"/>
          <w:szCs w:val="23"/>
        </w:rPr>
      </w:pPr>
    </w:p>
    <w:p w14:paraId="20CF922F" w14:textId="77777777" w:rsidR="00300CB4" w:rsidRPr="00F5031C" w:rsidRDefault="00300CB4" w:rsidP="00300CB4">
      <w:pPr>
        <w:rPr>
          <w:color w:val="000000"/>
          <w:szCs w:val="24"/>
        </w:rPr>
      </w:pPr>
      <w:r w:rsidRPr="00F5031C">
        <w:rPr>
          <w:color w:val="000000"/>
          <w:szCs w:val="24"/>
        </w:rPr>
        <w:t>Protocol for the administration of potassium iodide 65mg tablets to adults and children exposed to or at risk of exposure to radioactive iodine in an emergency situation</w:t>
      </w:r>
    </w:p>
    <w:p w14:paraId="5627E15A" w14:textId="77777777" w:rsidR="00150FAF" w:rsidRPr="00F5031C" w:rsidRDefault="00150FAF" w:rsidP="00150FAF">
      <w:pPr>
        <w:ind w:rightChars="-375" w:right="-900"/>
        <w:rPr>
          <w:color w:val="000000"/>
          <w:szCs w:val="24"/>
        </w:rPr>
      </w:pPr>
    </w:p>
    <w:p w14:paraId="52FD1016" w14:textId="77777777" w:rsidR="00150FAF" w:rsidRPr="00F5031C" w:rsidRDefault="00150FAF" w:rsidP="00D836F3">
      <w:pPr>
        <w:spacing w:line="320" w:lineRule="exact"/>
        <w:ind w:rightChars="-375" w:right="-900"/>
        <w:rPr>
          <w:rFonts w:cs="Arial"/>
          <w:color w:val="000000"/>
          <w:szCs w:val="24"/>
        </w:rPr>
      </w:pPr>
    </w:p>
    <w:p w14:paraId="515F0664" w14:textId="1E604784" w:rsidR="00D836F3" w:rsidRPr="00F5031C" w:rsidRDefault="00D836F3" w:rsidP="00D836F3">
      <w:pPr>
        <w:spacing w:line="320" w:lineRule="exact"/>
        <w:ind w:rightChars="-375" w:right="-900"/>
        <w:rPr>
          <w:rFonts w:cs="Arial"/>
          <w:i/>
          <w:color w:val="FF0000"/>
          <w:szCs w:val="24"/>
        </w:rPr>
      </w:pPr>
      <w:r w:rsidRPr="00F5031C">
        <w:rPr>
          <w:rFonts w:cs="Arial"/>
          <w:color w:val="000000"/>
          <w:szCs w:val="24"/>
        </w:rPr>
        <w:t>Reference:</w:t>
      </w:r>
      <w:r w:rsidRPr="00F5031C">
        <w:rPr>
          <w:rFonts w:cs="Arial"/>
          <w:color w:val="000000"/>
          <w:szCs w:val="24"/>
        </w:rPr>
        <w:tab/>
      </w:r>
      <w:r w:rsidR="00194FB8">
        <w:rPr>
          <w:rFonts w:cs="Arial"/>
          <w:color w:val="000000"/>
          <w:szCs w:val="24"/>
        </w:rPr>
        <w:tab/>
      </w:r>
      <w:r w:rsidR="00C432B3">
        <w:rPr>
          <w:rFonts w:cs="Arial"/>
          <w:color w:val="000000"/>
          <w:szCs w:val="24"/>
        </w:rPr>
        <w:t>20211214PotassiumIODIDEprotocol</w:t>
      </w:r>
    </w:p>
    <w:p w14:paraId="45850178" w14:textId="2583D14C" w:rsidR="00D836F3" w:rsidRPr="00F5031C" w:rsidRDefault="00D836F3" w:rsidP="00D836F3">
      <w:pPr>
        <w:spacing w:line="320" w:lineRule="exact"/>
        <w:ind w:rightChars="-375" w:right="-900"/>
        <w:rPr>
          <w:rFonts w:cs="Arial"/>
          <w:color w:val="000000"/>
          <w:szCs w:val="24"/>
        </w:rPr>
      </w:pPr>
      <w:r w:rsidRPr="00F5031C">
        <w:rPr>
          <w:color w:val="000000"/>
          <w:szCs w:val="24"/>
        </w:rPr>
        <w:t>Version no:</w:t>
      </w:r>
      <w:r w:rsidRPr="00F5031C">
        <w:rPr>
          <w:rFonts w:cs="Arial"/>
          <w:i/>
          <w:color w:val="FF0000"/>
          <w:szCs w:val="24"/>
        </w:rPr>
        <w:t xml:space="preserve"> </w:t>
      </w:r>
      <w:r w:rsidRPr="00F5031C">
        <w:rPr>
          <w:rFonts w:cs="Arial"/>
          <w:i/>
          <w:color w:val="FF0000"/>
          <w:szCs w:val="24"/>
        </w:rPr>
        <w:tab/>
      </w:r>
      <w:r w:rsidR="00194FB8">
        <w:rPr>
          <w:rFonts w:cs="Arial"/>
          <w:iCs/>
          <w:color w:val="FF0000"/>
          <w:szCs w:val="24"/>
        </w:rPr>
        <w:tab/>
      </w:r>
      <w:r w:rsidR="00194FB8" w:rsidRPr="00194FB8">
        <w:rPr>
          <w:rFonts w:cs="Arial"/>
          <w:iCs/>
          <w:szCs w:val="24"/>
        </w:rPr>
        <w:t>02.00</w:t>
      </w:r>
      <w:r w:rsidRPr="00194FB8">
        <w:rPr>
          <w:rFonts w:cs="Arial"/>
          <w:i/>
          <w:szCs w:val="24"/>
        </w:rPr>
        <w:tab/>
      </w:r>
    </w:p>
    <w:p w14:paraId="1A963BF4" w14:textId="209FF653" w:rsidR="00D836F3" w:rsidRPr="00F5031C" w:rsidRDefault="00D836F3" w:rsidP="00D836F3">
      <w:pPr>
        <w:spacing w:line="320" w:lineRule="exact"/>
        <w:ind w:rightChars="-375" w:right="-900"/>
        <w:rPr>
          <w:rFonts w:cs="Arial"/>
          <w:szCs w:val="24"/>
        </w:rPr>
      </w:pPr>
      <w:r w:rsidRPr="00F5031C">
        <w:rPr>
          <w:rFonts w:cs="Arial"/>
          <w:color w:val="000000"/>
          <w:szCs w:val="24"/>
        </w:rPr>
        <w:t>Valid from:</w:t>
      </w:r>
      <w:r w:rsidRPr="00F5031C">
        <w:rPr>
          <w:rFonts w:cs="Arial"/>
          <w:color w:val="000000"/>
          <w:szCs w:val="24"/>
        </w:rPr>
        <w:tab/>
      </w:r>
      <w:r w:rsidRPr="00F5031C">
        <w:rPr>
          <w:rFonts w:cs="Arial"/>
          <w:color w:val="000000"/>
          <w:szCs w:val="24"/>
        </w:rPr>
        <w:tab/>
      </w:r>
      <w:r w:rsidR="00194FB8">
        <w:rPr>
          <w:rFonts w:cs="Arial"/>
          <w:color w:val="000000"/>
          <w:szCs w:val="24"/>
        </w:rPr>
        <w:t>14 December 2021</w:t>
      </w:r>
    </w:p>
    <w:p w14:paraId="1086AD93" w14:textId="6EA4435B" w:rsidR="00D836F3" w:rsidRPr="00194FB8" w:rsidRDefault="00D836F3" w:rsidP="00D836F3">
      <w:pPr>
        <w:spacing w:line="320" w:lineRule="exact"/>
        <w:ind w:rightChars="-375" w:right="-900"/>
        <w:rPr>
          <w:rFonts w:cs="Arial"/>
          <w:iCs/>
          <w:szCs w:val="24"/>
        </w:rPr>
      </w:pPr>
      <w:r w:rsidRPr="00F5031C">
        <w:rPr>
          <w:rFonts w:cs="Arial"/>
          <w:color w:val="000000"/>
          <w:szCs w:val="24"/>
        </w:rPr>
        <w:t>Review date:</w:t>
      </w:r>
      <w:r w:rsidRPr="00F5031C">
        <w:rPr>
          <w:rFonts w:cs="Arial"/>
          <w:color w:val="000000"/>
          <w:szCs w:val="24"/>
        </w:rPr>
        <w:tab/>
      </w:r>
      <w:r w:rsidRPr="00F5031C">
        <w:rPr>
          <w:rFonts w:cs="Arial"/>
          <w:color w:val="000000"/>
          <w:szCs w:val="24"/>
        </w:rPr>
        <w:tab/>
      </w:r>
      <w:r w:rsidR="00194FB8">
        <w:rPr>
          <w:rFonts w:cs="Arial"/>
          <w:iCs/>
          <w:szCs w:val="24"/>
        </w:rPr>
        <w:t>14 December 2023</w:t>
      </w:r>
    </w:p>
    <w:p w14:paraId="19BDA125" w14:textId="2BBF448E" w:rsidR="00D836F3" w:rsidRPr="00F5031C" w:rsidRDefault="00D836F3" w:rsidP="00D836F3">
      <w:pPr>
        <w:spacing w:line="320" w:lineRule="exact"/>
        <w:ind w:rightChars="-375" w:right="-900"/>
        <w:rPr>
          <w:rFonts w:cs="Arial"/>
          <w:color w:val="FF0000"/>
          <w:szCs w:val="24"/>
        </w:rPr>
      </w:pPr>
      <w:r w:rsidRPr="00F5031C">
        <w:rPr>
          <w:rFonts w:cs="Arial"/>
          <w:color w:val="000000"/>
          <w:szCs w:val="24"/>
        </w:rPr>
        <w:t>Expiry date:</w:t>
      </w:r>
      <w:r w:rsidRPr="00F5031C">
        <w:rPr>
          <w:rFonts w:cs="Arial"/>
          <w:color w:val="000000"/>
          <w:szCs w:val="24"/>
        </w:rPr>
        <w:tab/>
      </w:r>
      <w:r w:rsidRPr="00F5031C">
        <w:rPr>
          <w:rFonts w:cs="Arial"/>
          <w:color w:val="000000"/>
          <w:szCs w:val="24"/>
        </w:rPr>
        <w:tab/>
      </w:r>
      <w:r w:rsidR="00194FB8">
        <w:rPr>
          <w:rFonts w:cs="Arial"/>
          <w:color w:val="000000"/>
          <w:szCs w:val="24"/>
        </w:rPr>
        <w:t>13 December 2024</w:t>
      </w:r>
    </w:p>
    <w:p w14:paraId="1ADBB986" w14:textId="77777777" w:rsidR="00D836F3" w:rsidRPr="00F5031C" w:rsidRDefault="00D836F3" w:rsidP="00D836F3">
      <w:pPr>
        <w:rPr>
          <w:rFonts w:cs="Arial"/>
          <w:b/>
          <w:szCs w:val="24"/>
        </w:rPr>
      </w:pPr>
      <w:r w:rsidRPr="00F5031C" w:rsidDel="00815487">
        <w:rPr>
          <w:rFonts w:cs="Arial"/>
          <w:b/>
          <w:color w:val="000000"/>
          <w:szCs w:val="24"/>
        </w:rPr>
        <w:t xml:space="preserve"> </w:t>
      </w:r>
    </w:p>
    <w:p w14:paraId="74EC3E11" w14:textId="77777777" w:rsidR="00F5031C" w:rsidRDefault="00F5031C" w:rsidP="00D836F3">
      <w:pPr>
        <w:rPr>
          <w:rFonts w:cs="Arial"/>
          <w:b/>
          <w:szCs w:val="24"/>
        </w:rPr>
      </w:pPr>
    </w:p>
    <w:p w14:paraId="7A68FC2E" w14:textId="67F9CAF6" w:rsidR="00D836F3" w:rsidRPr="00F5031C" w:rsidRDefault="00F579DF" w:rsidP="00D836F3">
      <w:pPr>
        <w:rPr>
          <w:rFonts w:cs="Arial"/>
          <w:b/>
          <w:szCs w:val="24"/>
        </w:rPr>
      </w:pPr>
      <w:r w:rsidRPr="00F5031C">
        <w:rPr>
          <w:rFonts w:cs="Arial"/>
          <w:b/>
          <w:szCs w:val="24"/>
        </w:rPr>
        <w:t xml:space="preserve">The UK Health Security Agency (UKHSA) </w:t>
      </w:r>
      <w:r w:rsidR="00D836F3" w:rsidRPr="00F5031C">
        <w:rPr>
          <w:rFonts w:cs="Arial"/>
          <w:b/>
          <w:szCs w:val="24"/>
        </w:rPr>
        <w:t xml:space="preserve">has developed this protocol to </w:t>
      </w:r>
      <w:r w:rsidR="00150FAF" w:rsidRPr="00F5031C">
        <w:rPr>
          <w:rFonts w:cs="Arial"/>
          <w:b/>
          <w:szCs w:val="24"/>
        </w:rPr>
        <w:t>facilitate the administration of potassium iodide in an emergency situation</w:t>
      </w:r>
    </w:p>
    <w:p w14:paraId="289F5AE3" w14:textId="77777777" w:rsidR="00D836F3" w:rsidRPr="00F5031C" w:rsidRDefault="00D836F3" w:rsidP="00D836F3">
      <w:pPr>
        <w:rPr>
          <w:rFonts w:cs="Arial"/>
          <w:b/>
          <w:szCs w:val="24"/>
        </w:rPr>
      </w:pPr>
    </w:p>
    <w:p w14:paraId="1D1C3A9E" w14:textId="0F230DE1" w:rsidR="00D836F3" w:rsidRPr="00F5031C" w:rsidRDefault="00D836F3" w:rsidP="00D836F3">
      <w:pPr>
        <w:overflowPunct/>
        <w:textAlignment w:val="auto"/>
        <w:rPr>
          <w:rFonts w:cs="Arial"/>
          <w:szCs w:val="24"/>
        </w:rPr>
      </w:pPr>
      <w:r w:rsidRPr="00F5031C">
        <w:rPr>
          <w:rFonts w:cs="Arial"/>
          <w:szCs w:val="24"/>
        </w:rPr>
        <w:t xml:space="preserve">This protocol has been prepared </w:t>
      </w:r>
      <w:r w:rsidR="00150FAF" w:rsidRPr="00F5031C">
        <w:rPr>
          <w:rFonts w:cs="Arial"/>
          <w:szCs w:val="24"/>
        </w:rPr>
        <w:t>for the administration of a Pharmacy only (P) medication, for which a Patient Group Direction is not required.</w:t>
      </w:r>
      <w:r w:rsidR="00F5031C" w:rsidRPr="00F5031C">
        <w:rPr>
          <w:szCs w:val="24"/>
        </w:rPr>
        <w:t xml:space="preserve"> </w:t>
      </w:r>
      <w:r w:rsidR="00F5031C" w:rsidRPr="00F5031C">
        <w:rPr>
          <w:rFonts w:cs="Arial"/>
          <w:szCs w:val="24"/>
        </w:rPr>
        <w:t>This protocol is intended to support healthcare practitioners who have been appropriately trained and authorised by the service provider to work under this protocol.</w:t>
      </w:r>
    </w:p>
    <w:p w14:paraId="4ED8323A" w14:textId="77777777" w:rsidR="00F5031C" w:rsidRPr="00F5031C" w:rsidRDefault="00F5031C" w:rsidP="00D836F3">
      <w:pPr>
        <w:overflowPunct/>
        <w:textAlignment w:val="auto"/>
        <w:rPr>
          <w:rFonts w:cs="Arial"/>
          <w:szCs w:val="24"/>
        </w:rPr>
      </w:pPr>
    </w:p>
    <w:p w14:paraId="1B5FE7DB" w14:textId="77777777" w:rsidR="00BF3741" w:rsidRDefault="00D836F3" w:rsidP="00D836F3">
      <w:pPr>
        <w:overflowPunct/>
        <w:textAlignment w:val="auto"/>
        <w:rPr>
          <w:rFonts w:cs="Arial"/>
          <w:szCs w:val="24"/>
        </w:rPr>
      </w:pPr>
      <w:r w:rsidRPr="00F5031C">
        <w:rPr>
          <w:rFonts w:cs="Arial"/>
          <w:szCs w:val="24"/>
        </w:rPr>
        <w:t xml:space="preserve">There is no legal requirement for formal authorisation of a protocol. The protocol may be adopted by commissioners and providers to support </w:t>
      </w:r>
      <w:r w:rsidR="00C640BC" w:rsidRPr="00F5031C">
        <w:rPr>
          <w:rFonts w:cs="Arial"/>
          <w:szCs w:val="24"/>
        </w:rPr>
        <w:t xml:space="preserve">the administration of the named medicine.  It should be approved through local governance processes prior to use.  </w:t>
      </w:r>
    </w:p>
    <w:p w14:paraId="637D004C" w14:textId="77777777" w:rsidR="00BF3741" w:rsidRDefault="00BF3741" w:rsidP="00D836F3">
      <w:pPr>
        <w:overflowPunct/>
        <w:textAlignment w:val="auto"/>
        <w:rPr>
          <w:rFonts w:cs="Arial"/>
          <w:szCs w:val="24"/>
        </w:rPr>
      </w:pPr>
    </w:p>
    <w:p w14:paraId="5F018E72" w14:textId="494E7F78" w:rsidR="00D836F3" w:rsidRPr="00F5031C" w:rsidRDefault="00C640BC" w:rsidP="00D836F3">
      <w:pPr>
        <w:overflowPunct/>
        <w:textAlignment w:val="auto"/>
        <w:rPr>
          <w:rFonts w:cs="Arial"/>
          <w:szCs w:val="24"/>
        </w:rPr>
      </w:pPr>
      <w:r w:rsidRPr="00B10EB7">
        <w:rPr>
          <w:rFonts w:cs="Arial"/>
          <w:b/>
          <w:bCs/>
          <w:szCs w:val="24"/>
        </w:rPr>
        <w:t>The clinical contents should not be amended.</w:t>
      </w:r>
    </w:p>
    <w:p w14:paraId="59C29D74" w14:textId="77777777" w:rsidR="00D836F3" w:rsidRPr="00F5031C" w:rsidRDefault="00D836F3" w:rsidP="00D836F3">
      <w:pPr>
        <w:rPr>
          <w:rFonts w:cs="Arial"/>
          <w:b/>
          <w:szCs w:val="24"/>
        </w:rPr>
      </w:pPr>
    </w:p>
    <w:p w14:paraId="3F46C498" w14:textId="77777777" w:rsidR="00150FAF" w:rsidRPr="00F5031C" w:rsidRDefault="00150FAF" w:rsidP="00D836F3">
      <w:pPr>
        <w:overflowPunct/>
        <w:autoSpaceDE/>
        <w:autoSpaceDN/>
        <w:adjustRightInd/>
        <w:textAlignment w:val="auto"/>
        <w:rPr>
          <w:rFonts w:cs="Arial"/>
          <w:color w:val="000000"/>
          <w:szCs w:val="24"/>
        </w:rPr>
      </w:pPr>
    </w:p>
    <w:p w14:paraId="18F0CF5E" w14:textId="049D0209" w:rsidR="007B188B" w:rsidRPr="00F5031C" w:rsidRDefault="00150FAF" w:rsidP="00150FAF">
      <w:pPr>
        <w:spacing w:after="120"/>
        <w:rPr>
          <w:rStyle w:val="Hyperlink"/>
          <w:szCs w:val="24"/>
        </w:rPr>
      </w:pPr>
      <w:r w:rsidRPr="00F5031C">
        <w:rPr>
          <w:rFonts w:cs="Arial"/>
          <w:bCs/>
          <w:szCs w:val="24"/>
        </w:rPr>
        <w:t xml:space="preserve">Any queries regarding the content of this protocol should be addressed to: </w:t>
      </w:r>
      <w:hyperlink r:id="rId8" w:history="1">
        <w:r w:rsidR="003E6F4F" w:rsidRPr="00F5031C">
          <w:rPr>
            <w:rStyle w:val="Hyperlink"/>
            <w:rFonts w:cs="Arial"/>
            <w:bCs/>
            <w:szCs w:val="24"/>
          </w:rPr>
          <w:t>NSAC@phe.gov.uk</w:t>
        </w:r>
      </w:hyperlink>
      <w:r w:rsidR="00765686" w:rsidRPr="00F5031C">
        <w:rPr>
          <w:rStyle w:val="FootnoteReference"/>
          <w:rFonts w:cs="Arial"/>
          <w:bCs/>
          <w:color w:val="0000FF"/>
          <w:szCs w:val="24"/>
          <w:u w:val="single"/>
        </w:rPr>
        <w:footnoteReference w:id="1"/>
      </w:r>
      <w:r w:rsidR="003E6F4F" w:rsidRPr="00F5031C">
        <w:rPr>
          <w:rFonts w:cs="Arial"/>
          <w:bCs/>
          <w:szCs w:val="24"/>
        </w:rPr>
        <w:t xml:space="preserve"> </w:t>
      </w:r>
    </w:p>
    <w:p w14:paraId="694FFBF3" w14:textId="77777777" w:rsidR="007B188B" w:rsidRDefault="007B188B" w:rsidP="00150FAF">
      <w:pPr>
        <w:spacing w:after="120"/>
        <w:rPr>
          <w:rStyle w:val="Hyperlink"/>
          <w:sz w:val="22"/>
          <w:szCs w:val="22"/>
        </w:rPr>
      </w:pPr>
    </w:p>
    <w:p w14:paraId="3C8178F6" w14:textId="77777777" w:rsidR="007B188B" w:rsidRDefault="007B188B" w:rsidP="00150FAF">
      <w:pPr>
        <w:spacing w:after="120"/>
        <w:rPr>
          <w:rStyle w:val="Hyperlink"/>
          <w:sz w:val="22"/>
          <w:szCs w:val="22"/>
        </w:rPr>
      </w:pPr>
    </w:p>
    <w:p w14:paraId="4E0A4D7B" w14:textId="77777777" w:rsidR="007B188B" w:rsidRDefault="007B188B" w:rsidP="00150FAF">
      <w:pPr>
        <w:spacing w:after="120"/>
        <w:rPr>
          <w:rStyle w:val="Hyperlink"/>
          <w:sz w:val="22"/>
          <w:szCs w:val="22"/>
        </w:rPr>
      </w:pPr>
    </w:p>
    <w:p w14:paraId="7C4B58E6" w14:textId="77777777" w:rsidR="007B188B" w:rsidRDefault="007B188B" w:rsidP="00150FAF">
      <w:pPr>
        <w:spacing w:after="120"/>
        <w:rPr>
          <w:rStyle w:val="Hyperlink"/>
          <w:sz w:val="22"/>
          <w:szCs w:val="22"/>
        </w:rPr>
      </w:pPr>
    </w:p>
    <w:p w14:paraId="719E5B00" w14:textId="77777777" w:rsidR="00300CB4" w:rsidRDefault="00300CB4" w:rsidP="00150FAF">
      <w:pPr>
        <w:spacing w:after="120"/>
        <w:rPr>
          <w:rStyle w:val="Hyperlink"/>
          <w:sz w:val="22"/>
          <w:szCs w:val="22"/>
        </w:rPr>
      </w:pPr>
    </w:p>
    <w:p w14:paraId="6315FB1F" w14:textId="77777777" w:rsidR="00300CB4" w:rsidRDefault="00300CB4" w:rsidP="00150FAF">
      <w:pPr>
        <w:spacing w:after="120"/>
        <w:rPr>
          <w:rStyle w:val="Hyperlink"/>
          <w:sz w:val="22"/>
          <w:szCs w:val="22"/>
        </w:rPr>
      </w:pPr>
    </w:p>
    <w:p w14:paraId="5D4FB24C" w14:textId="41FF4952" w:rsidR="00300CB4" w:rsidRDefault="00300CB4" w:rsidP="00150FAF">
      <w:pPr>
        <w:spacing w:after="120"/>
        <w:rPr>
          <w:rStyle w:val="Hyperlink"/>
          <w:sz w:val="22"/>
          <w:szCs w:val="22"/>
        </w:rPr>
      </w:pPr>
    </w:p>
    <w:p w14:paraId="79ACAA59" w14:textId="731338D2" w:rsidR="00765686" w:rsidRDefault="00765686" w:rsidP="00150FAF">
      <w:pPr>
        <w:spacing w:after="120"/>
        <w:rPr>
          <w:rStyle w:val="Hyperlink"/>
          <w:b/>
          <w:bCs/>
          <w:color w:val="auto"/>
          <w:sz w:val="28"/>
          <w:szCs w:val="28"/>
          <w:u w:val="none"/>
        </w:rPr>
      </w:pPr>
      <w:r w:rsidRPr="00765686">
        <w:rPr>
          <w:rStyle w:val="Hyperlink"/>
          <w:b/>
          <w:bCs/>
          <w:color w:val="auto"/>
          <w:sz w:val="28"/>
          <w:szCs w:val="28"/>
          <w:u w:val="none"/>
        </w:rPr>
        <w:lastRenderedPageBreak/>
        <w:t>Change history</w:t>
      </w:r>
    </w:p>
    <w:p w14:paraId="5D01732C" w14:textId="4F90C725" w:rsidR="00765686" w:rsidRPr="00247D84" w:rsidRDefault="00765686" w:rsidP="00765686">
      <w:pPr>
        <w:spacing w:after="120"/>
        <w:rPr>
          <w:rStyle w:val="Hyperlink"/>
          <w:b/>
          <w:bCs/>
          <w:color w:val="auto"/>
          <w:szCs w:val="24"/>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765686" w:rsidRPr="00247D84" w14:paraId="536DB16B" w14:textId="77777777" w:rsidTr="00822F41">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AC511A" w14:textId="77777777" w:rsidR="00765686" w:rsidRPr="00247D84" w:rsidRDefault="00765686" w:rsidP="00822F41">
            <w:pPr>
              <w:keepNext/>
              <w:overflowPunct/>
              <w:autoSpaceDE/>
              <w:autoSpaceDN/>
              <w:adjustRightInd/>
              <w:spacing w:after="60"/>
              <w:textAlignment w:val="auto"/>
              <w:rPr>
                <w:rFonts w:cs="Arial"/>
                <w:b/>
                <w:sz w:val="22"/>
                <w:szCs w:val="22"/>
              </w:rPr>
            </w:pPr>
            <w:r w:rsidRPr="00247D84">
              <w:rPr>
                <w:rFonts w:cs="Arial"/>
                <w:b/>
                <w:sz w:val="22"/>
                <w:szCs w:val="22"/>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B01E6C" w14:textId="77777777" w:rsidR="00765686" w:rsidRPr="00247D84" w:rsidRDefault="00765686" w:rsidP="00822F41">
            <w:pPr>
              <w:keepNext/>
              <w:overflowPunct/>
              <w:autoSpaceDE/>
              <w:autoSpaceDN/>
              <w:adjustRightInd/>
              <w:spacing w:after="60"/>
              <w:textAlignment w:val="auto"/>
              <w:rPr>
                <w:rFonts w:cs="Arial"/>
                <w:b/>
                <w:sz w:val="22"/>
                <w:szCs w:val="22"/>
              </w:rPr>
            </w:pPr>
            <w:r w:rsidRPr="00247D84">
              <w:rPr>
                <w:rFonts w:cs="Arial"/>
                <w:b/>
                <w:sz w:val="22"/>
                <w:szCs w:val="22"/>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8BF61E" w14:textId="77777777" w:rsidR="00765686" w:rsidRPr="00247D84" w:rsidRDefault="00765686" w:rsidP="00822F41">
            <w:pPr>
              <w:keepNext/>
              <w:overflowPunct/>
              <w:autoSpaceDE/>
              <w:autoSpaceDN/>
              <w:adjustRightInd/>
              <w:spacing w:after="60"/>
              <w:textAlignment w:val="auto"/>
              <w:rPr>
                <w:rFonts w:cs="Arial"/>
                <w:b/>
                <w:sz w:val="22"/>
                <w:szCs w:val="22"/>
              </w:rPr>
            </w:pPr>
            <w:r w:rsidRPr="00247D84">
              <w:rPr>
                <w:rFonts w:cs="Arial"/>
                <w:b/>
                <w:sz w:val="22"/>
                <w:szCs w:val="22"/>
              </w:rPr>
              <w:t>Date</w:t>
            </w:r>
          </w:p>
        </w:tc>
      </w:tr>
      <w:tr w:rsidR="00765686" w:rsidRPr="00247D84" w14:paraId="78F0CECC" w14:textId="77777777" w:rsidTr="00822F41">
        <w:tc>
          <w:tcPr>
            <w:tcW w:w="875" w:type="pct"/>
            <w:tcBorders>
              <w:top w:val="single" w:sz="4" w:space="0" w:color="auto"/>
              <w:left w:val="single" w:sz="4" w:space="0" w:color="auto"/>
              <w:bottom w:val="single" w:sz="4" w:space="0" w:color="auto"/>
              <w:right w:val="single" w:sz="4" w:space="0" w:color="auto"/>
            </w:tcBorders>
            <w:shd w:val="clear" w:color="auto" w:fill="auto"/>
          </w:tcPr>
          <w:p w14:paraId="323C2B84" w14:textId="77777777" w:rsidR="00765686" w:rsidRPr="00247D84" w:rsidRDefault="00765686" w:rsidP="00822F41">
            <w:pPr>
              <w:keepNext/>
              <w:overflowPunct/>
              <w:autoSpaceDE/>
              <w:autoSpaceDN/>
              <w:adjustRightInd/>
              <w:spacing w:before="120" w:after="120"/>
              <w:textAlignment w:val="auto"/>
              <w:rPr>
                <w:rFonts w:cs="Arial"/>
                <w:sz w:val="22"/>
                <w:szCs w:val="22"/>
              </w:rPr>
            </w:pPr>
            <w:r w:rsidRPr="00247D84">
              <w:rPr>
                <w:rFonts w:cs="Arial"/>
                <w:sz w:val="22"/>
                <w:szCs w:val="22"/>
              </w:rPr>
              <w:t>01.00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95E3208" w14:textId="709A4380" w:rsidR="00765686" w:rsidRPr="00247D84" w:rsidRDefault="00765686" w:rsidP="00822F41">
            <w:pPr>
              <w:keepNext/>
              <w:overflowPunct/>
              <w:autoSpaceDE/>
              <w:autoSpaceDN/>
              <w:adjustRightInd/>
              <w:spacing w:before="120" w:after="120"/>
              <w:textAlignment w:val="auto"/>
              <w:rPr>
                <w:rFonts w:cs="Arial"/>
                <w:sz w:val="22"/>
                <w:szCs w:val="22"/>
              </w:rPr>
            </w:pPr>
            <w:r>
              <w:rPr>
                <w:rFonts w:cs="Arial"/>
                <w:sz w:val="22"/>
                <w:szCs w:val="22"/>
              </w:rPr>
              <w:t>New PHE protocol for Potassium iod</w:t>
            </w:r>
            <w:r w:rsidR="00C42699">
              <w:rPr>
                <w:rFonts w:cs="Arial"/>
                <w:sz w:val="22"/>
                <w:szCs w:val="22"/>
              </w:rPr>
              <w:t>ide</w:t>
            </w:r>
          </w:p>
        </w:tc>
        <w:tc>
          <w:tcPr>
            <w:tcW w:w="917" w:type="pct"/>
            <w:tcBorders>
              <w:top w:val="single" w:sz="4" w:space="0" w:color="auto"/>
              <w:left w:val="single" w:sz="4" w:space="0" w:color="auto"/>
              <w:bottom w:val="single" w:sz="4" w:space="0" w:color="auto"/>
              <w:right w:val="single" w:sz="4" w:space="0" w:color="auto"/>
            </w:tcBorders>
          </w:tcPr>
          <w:p w14:paraId="3DB236E5" w14:textId="77777777" w:rsidR="00765686" w:rsidRPr="00247D84" w:rsidRDefault="00765686" w:rsidP="00822F41">
            <w:pPr>
              <w:keepNext/>
              <w:overflowPunct/>
              <w:autoSpaceDE/>
              <w:autoSpaceDN/>
              <w:adjustRightInd/>
              <w:spacing w:before="120" w:after="120"/>
              <w:textAlignment w:val="auto"/>
              <w:rPr>
                <w:rFonts w:cs="Arial"/>
                <w:sz w:val="22"/>
                <w:szCs w:val="22"/>
              </w:rPr>
            </w:pPr>
            <w:r>
              <w:rPr>
                <w:rFonts w:cs="Arial"/>
                <w:sz w:val="22"/>
                <w:szCs w:val="22"/>
              </w:rPr>
              <w:t>10 December 2018</w:t>
            </w:r>
          </w:p>
        </w:tc>
      </w:tr>
      <w:tr w:rsidR="00765686" w:rsidRPr="00247D84" w14:paraId="51E5D131" w14:textId="77777777" w:rsidTr="00822F41">
        <w:tc>
          <w:tcPr>
            <w:tcW w:w="875" w:type="pct"/>
            <w:tcBorders>
              <w:top w:val="single" w:sz="4" w:space="0" w:color="auto"/>
              <w:left w:val="single" w:sz="4" w:space="0" w:color="auto"/>
              <w:bottom w:val="single" w:sz="4" w:space="0" w:color="auto"/>
              <w:right w:val="single" w:sz="4" w:space="0" w:color="auto"/>
            </w:tcBorders>
            <w:shd w:val="clear" w:color="auto" w:fill="auto"/>
          </w:tcPr>
          <w:p w14:paraId="493A5F9F" w14:textId="77777777" w:rsidR="00765686" w:rsidRPr="00247D84" w:rsidRDefault="00765686" w:rsidP="00822F41">
            <w:pPr>
              <w:keepNext/>
              <w:overflowPunct/>
              <w:autoSpaceDE/>
              <w:autoSpaceDN/>
              <w:adjustRightInd/>
              <w:textAlignment w:val="auto"/>
              <w:rPr>
                <w:rFonts w:cs="Arial"/>
                <w:sz w:val="22"/>
                <w:szCs w:val="22"/>
              </w:rPr>
            </w:pPr>
            <w:r w:rsidRPr="00247D84">
              <w:rPr>
                <w:rFonts w:cs="Arial"/>
                <w:sz w:val="22"/>
                <w:szCs w:val="22"/>
              </w:rPr>
              <w:t>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F7325CF" w14:textId="2267A5B8" w:rsidR="00765686" w:rsidRDefault="00765686" w:rsidP="00BF3741">
            <w:pPr>
              <w:pStyle w:val="ListParagraph"/>
              <w:keepNext/>
              <w:numPr>
                <w:ilvl w:val="0"/>
                <w:numId w:val="19"/>
              </w:numPr>
              <w:overflowPunct/>
              <w:autoSpaceDE/>
              <w:autoSpaceDN/>
              <w:adjustRightInd/>
              <w:spacing w:before="120" w:after="120"/>
              <w:ind w:left="290" w:hanging="284"/>
              <w:contextualSpacing w:val="0"/>
              <w:textAlignment w:val="auto"/>
              <w:rPr>
                <w:rFonts w:cs="Arial"/>
                <w:sz w:val="22"/>
                <w:szCs w:val="22"/>
              </w:rPr>
            </w:pPr>
            <w:r w:rsidRPr="00247D84">
              <w:rPr>
                <w:rFonts w:cs="Arial"/>
                <w:sz w:val="22"/>
                <w:szCs w:val="22"/>
              </w:rPr>
              <w:t xml:space="preserve">Anaphylaxis, severe allergy or sensitivity to </w:t>
            </w:r>
            <w:r w:rsidR="00BF3741" w:rsidRPr="00BF3741">
              <w:rPr>
                <w:rFonts w:cs="Arial"/>
                <w:sz w:val="22"/>
                <w:szCs w:val="22"/>
              </w:rPr>
              <w:t>any of the excipients in the tablets</w:t>
            </w:r>
            <w:r w:rsidRPr="00247D84">
              <w:rPr>
                <w:rFonts w:cs="Arial"/>
                <w:sz w:val="22"/>
                <w:szCs w:val="22"/>
              </w:rPr>
              <w:t xml:space="preserve"> and dermatitis herpetiformis or hypocomplementaemic vasculitis added to criteria for </w:t>
            </w:r>
            <w:r w:rsidR="00BF3741">
              <w:rPr>
                <w:rFonts w:cs="Arial"/>
                <w:sz w:val="22"/>
                <w:szCs w:val="22"/>
              </w:rPr>
              <w:t>exclusion</w:t>
            </w:r>
          </w:p>
          <w:p w14:paraId="4A0E9364" w14:textId="54F8F164" w:rsidR="00194FB8" w:rsidRDefault="00194FB8" w:rsidP="00BF3741">
            <w:pPr>
              <w:pStyle w:val="ListParagraph"/>
              <w:keepNext/>
              <w:numPr>
                <w:ilvl w:val="0"/>
                <w:numId w:val="19"/>
              </w:numPr>
              <w:overflowPunct/>
              <w:autoSpaceDE/>
              <w:autoSpaceDN/>
              <w:adjustRightInd/>
              <w:spacing w:before="120" w:after="120"/>
              <w:ind w:left="290" w:hanging="284"/>
              <w:contextualSpacing w:val="0"/>
              <w:textAlignment w:val="auto"/>
              <w:rPr>
                <w:rFonts w:cs="Arial"/>
                <w:sz w:val="22"/>
                <w:szCs w:val="22"/>
              </w:rPr>
            </w:pPr>
            <w:r>
              <w:rPr>
                <w:rFonts w:cs="Arial"/>
                <w:sz w:val="22"/>
                <w:szCs w:val="22"/>
              </w:rPr>
              <w:t>Renal disease removed from criteria for exclusion</w:t>
            </w:r>
          </w:p>
          <w:p w14:paraId="7A9F6EC3" w14:textId="62C0EE16" w:rsidR="00CF5675" w:rsidRPr="00247D84" w:rsidRDefault="00CF5675" w:rsidP="00BF3741">
            <w:pPr>
              <w:pStyle w:val="ListParagraph"/>
              <w:keepNext/>
              <w:numPr>
                <w:ilvl w:val="0"/>
                <w:numId w:val="19"/>
              </w:numPr>
              <w:overflowPunct/>
              <w:autoSpaceDE/>
              <w:autoSpaceDN/>
              <w:adjustRightInd/>
              <w:spacing w:before="120" w:after="120"/>
              <w:ind w:left="290" w:hanging="284"/>
              <w:contextualSpacing w:val="0"/>
              <w:textAlignment w:val="auto"/>
              <w:rPr>
                <w:rFonts w:cs="Arial"/>
                <w:sz w:val="22"/>
                <w:szCs w:val="22"/>
              </w:rPr>
            </w:pPr>
            <w:r>
              <w:rPr>
                <w:rFonts w:cs="Arial"/>
                <w:sz w:val="22"/>
                <w:szCs w:val="22"/>
              </w:rPr>
              <w:t>Off-label use</w:t>
            </w:r>
            <w:r w:rsidR="00BF3741">
              <w:rPr>
                <w:rFonts w:cs="Arial"/>
                <w:sz w:val="22"/>
                <w:szCs w:val="22"/>
              </w:rPr>
              <w:t>:</w:t>
            </w:r>
            <w:r>
              <w:rPr>
                <w:rFonts w:cs="Arial"/>
                <w:sz w:val="22"/>
                <w:szCs w:val="22"/>
              </w:rPr>
              <w:t xml:space="preserve"> addition</w:t>
            </w:r>
            <w:r>
              <w:t xml:space="preserve"> that </w:t>
            </w:r>
            <w:r w:rsidRPr="00CF5675">
              <w:rPr>
                <w:rFonts w:cs="Arial"/>
                <w:sz w:val="22"/>
                <w:szCs w:val="22"/>
              </w:rPr>
              <w:t>commencing treatment later than 24 hours following exposure to radioactive iodine may do more harm than good by prolonging the biological half-life of radioactive iodine that has already accumulated in the thyroid.</w:t>
            </w:r>
          </w:p>
          <w:p w14:paraId="5F7E683D" w14:textId="46A0E746" w:rsidR="00765686" w:rsidRDefault="00765686" w:rsidP="00BF3741">
            <w:pPr>
              <w:pStyle w:val="ListParagraph"/>
              <w:keepNext/>
              <w:numPr>
                <w:ilvl w:val="0"/>
                <w:numId w:val="19"/>
              </w:numPr>
              <w:overflowPunct/>
              <w:autoSpaceDE/>
              <w:autoSpaceDN/>
              <w:adjustRightInd/>
              <w:spacing w:before="120" w:after="120"/>
              <w:ind w:left="290" w:hanging="284"/>
              <w:contextualSpacing w:val="0"/>
              <w:textAlignment w:val="auto"/>
              <w:rPr>
                <w:rFonts w:cs="Arial"/>
                <w:sz w:val="22"/>
                <w:szCs w:val="22"/>
              </w:rPr>
            </w:pPr>
            <w:r>
              <w:rPr>
                <w:rFonts w:cs="Arial"/>
                <w:sz w:val="22"/>
                <w:szCs w:val="22"/>
              </w:rPr>
              <w:t>Addition</w:t>
            </w:r>
            <w:r w:rsidR="00BF3741">
              <w:rPr>
                <w:rFonts w:cs="Arial"/>
                <w:sz w:val="22"/>
                <w:szCs w:val="22"/>
              </w:rPr>
              <w:t>al</w:t>
            </w:r>
            <w:r>
              <w:rPr>
                <w:rFonts w:cs="Arial"/>
                <w:sz w:val="22"/>
                <w:szCs w:val="22"/>
              </w:rPr>
              <w:t xml:space="preserve"> information under method of administration</w:t>
            </w:r>
            <w:r w:rsidR="00CF5675">
              <w:rPr>
                <w:rFonts w:cs="Arial"/>
                <w:sz w:val="22"/>
                <w:szCs w:val="22"/>
              </w:rPr>
              <w:t xml:space="preserve"> </w:t>
            </w:r>
          </w:p>
          <w:p w14:paraId="55EE697B" w14:textId="4459EBDD" w:rsidR="00765686" w:rsidRDefault="00194FB8" w:rsidP="00BF3741">
            <w:pPr>
              <w:pStyle w:val="ListParagraph"/>
              <w:keepNext/>
              <w:numPr>
                <w:ilvl w:val="0"/>
                <w:numId w:val="19"/>
              </w:numPr>
              <w:overflowPunct/>
              <w:autoSpaceDE/>
              <w:autoSpaceDN/>
              <w:adjustRightInd/>
              <w:spacing w:before="120" w:after="120"/>
              <w:ind w:left="290" w:hanging="284"/>
              <w:contextualSpacing w:val="0"/>
              <w:textAlignment w:val="auto"/>
              <w:rPr>
                <w:rFonts w:cs="Arial"/>
                <w:sz w:val="22"/>
                <w:szCs w:val="22"/>
              </w:rPr>
            </w:pPr>
            <w:r>
              <w:rPr>
                <w:rFonts w:cs="Arial"/>
                <w:sz w:val="22"/>
                <w:szCs w:val="22"/>
              </w:rPr>
              <w:t>D</w:t>
            </w:r>
            <w:r w:rsidR="00765686">
              <w:rPr>
                <w:rFonts w:cs="Arial"/>
                <w:sz w:val="22"/>
                <w:szCs w:val="22"/>
              </w:rPr>
              <w:t>rug interactions</w:t>
            </w:r>
            <w:r>
              <w:rPr>
                <w:rFonts w:cs="Arial"/>
                <w:sz w:val="22"/>
                <w:szCs w:val="22"/>
              </w:rPr>
              <w:t>, patient advice, special considerations and recording requirements sections amended</w:t>
            </w:r>
            <w:r w:rsidR="00765686" w:rsidRPr="00247D84">
              <w:rPr>
                <w:rFonts w:cs="Arial"/>
                <w:sz w:val="22"/>
                <w:szCs w:val="22"/>
              </w:rPr>
              <w:t xml:space="preserve"> </w:t>
            </w:r>
          </w:p>
          <w:p w14:paraId="7BB3CD49" w14:textId="0ED68DA6" w:rsidR="00194FB8" w:rsidRPr="00093A4E" w:rsidRDefault="00194FB8" w:rsidP="00BF3741">
            <w:pPr>
              <w:pStyle w:val="ListParagraph"/>
              <w:keepNext/>
              <w:numPr>
                <w:ilvl w:val="0"/>
                <w:numId w:val="19"/>
              </w:numPr>
              <w:overflowPunct/>
              <w:autoSpaceDE/>
              <w:autoSpaceDN/>
              <w:adjustRightInd/>
              <w:spacing w:before="120" w:after="120"/>
              <w:ind w:left="290" w:hanging="284"/>
              <w:contextualSpacing w:val="0"/>
              <w:textAlignment w:val="auto"/>
              <w:rPr>
                <w:rFonts w:cs="Arial"/>
                <w:sz w:val="22"/>
                <w:szCs w:val="22"/>
              </w:rPr>
            </w:pPr>
            <w:r>
              <w:rPr>
                <w:rFonts w:cs="Arial"/>
                <w:sz w:val="22"/>
                <w:szCs w:val="22"/>
              </w:rPr>
              <w:t>Change from PHE to UKHSA; standard wording changes in line with UKHSA protocols; references updated</w:t>
            </w:r>
          </w:p>
        </w:tc>
        <w:tc>
          <w:tcPr>
            <w:tcW w:w="917" w:type="pct"/>
            <w:tcBorders>
              <w:top w:val="single" w:sz="4" w:space="0" w:color="auto"/>
              <w:left w:val="single" w:sz="4" w:space="0" w:color="auto"/>
              <w:bottom w:val="single" w:sz="4" w:space="0" w:color="auto"/>
              <w:right w:val="single" w:sz="4" w:space="0" w:color="auto"/>
            </w:tcBorders>
          </w:tcPr>
          <w:p w14:paraId="3BD7690C" w14:textId="62918539" w:rsidR="00765686" w:rsidRPr="00247D84" w:rsidRDefault="00194FB8" w:rsidP="00822F41">
            <w:pPr>
              <w:keepNext/>
              <w:overflowPunct/>
              <w:autoSpaceDE/>
              <w:autoSpaceDN/>
              <w:adjustRightInd/>
              <w:textAlignment w:val="auto"/>
              <w:rPr>
                <w:rFonts w:cs="Arial"/>
                <w:sz w:val="22"/>
                <w:szCs w:val="22"/>
              </w:rPr>
            </w:pPr>
            <w:r>
              <w:rPr>
                <w:rFonts w:cs="Arial"/>
                <w:sz w:val="22"/>
                <w:szCs w:val="22"/>
              </w:rPr>
              <w:t>14 December 2021</w:t>
            </w:r>
          </w:p>
        </w:tc>
      </w:tr>
    </w:tbl>
    <w:p w14:paraId="4377C76D" w14:textId="77777777" w:rsidR="00765686" w:rsidRPr="00765686" w:rsidRDefault="00765686" w:rsidP="00150FAF">
      <w:pPr>
        <w:spacing w:after="120"/>
        <w:rPr>
          <w:rStyle w:val="Hyperlink"/>
          <w:b/>
          <w:bCs/>
          <w:color w:val="auto"/>
          <w:sz w:val="28"/>
          <w:szCs w:val="28"/>
          <w:u w:val="none"/>
        </w:rPr>
      </w:pPr>
    </w:p>
    <w:p w14:paraId="5577E5E0" w14:textId="27789AFA" w:rsidR="00300CB4" w:rsidRDefault="00300CB4" w:rsidP="00150FAF">
      <w:pPr>
        <w:spacing w:after="120"/>
        <w:rPr>
          <w:rStyle w:val="Hyperlink"/>
          <w:sz w:val="22"/>
          <w:szCs w:val="22"/>
        </w:rPr>
      </w:pPr>
    </w:p>
    <w:p w14:paraId="58DE20A4" w14:textId="5C9719C7" w:rsidR="00093A4E" w:rsidRDefault="00093A4E" w:rsidP="00150FAF">
      <w:pPr>
        <w:spacing w:after="120"/>
        <w:rPr>
          <w:rStyle w:val="Hyperlink"/>
          <w:sz w:val="22"/>
          <w:szCs w:val="22"/>
        </w:rPr>
      </w:pPr>
    </w:p>
    <w:p w14:paraId="2BC4DE35" w14:textId="3A8D54D8" w:rsidR="00093A4E" w:rsidRDefault="00093A4E" w:rsidP="00150FAF">
      <w:pPr>
        <w:spacing w:after="120"/>
        <w:rPr>
          <w:rStyle w:val="Hyperlink"/>
          <w:sz w:val="22"/>
          <w:szCs w:val="22"/>
        </w:rPr>
      </w:pPr>
    </w:p>
    <w:p w14:paraId="5AFCC825" w14:textId="2E971FF0" w:rsidR="00093A4E" w:rsidRDefault="00093A4E" w:rsidP="00150FAF">
      <w:pPr>
        <w:spacing w:after="120"/>
        <w:rPr>
          <w:rStyle w:val="Hyperlink"/>
          <w:sz w:val="22"/>
          <w:szCs w:val="22"/>
        </w:rPr>
      </w:pPr>
    </w:p>
    <w:p w14:paraId="76B1149F" w14:textId="0271212F" w:rsidR="00093A4E" w:rsidRDefault="00093A4E" w:rsidP="00150FAF">
      <w:pPr>
        <w:spacing w:after="120"/>
        <w:rPr>
          <w:rStyle w:val="Hyperlink"/>
          <w:sz w:val="22"/>
          <w:szCs w:val="22"/>
        </w:rPr>
      </w:pPr>
    </w:p>
    <w:p w14:paraId="4912C0A5" w14:textId="6F75591A" w:rsidR="00093A4E" w:rsidRDefault="00093A4E" w:rsidP="00150FAF">
      <w:pPr>
        <w:spacing w:after="120"/>
        <w:rPr>
          <w:rStyle w:val="Hyperlink"/>
          <w:sz w:val="22"/>
          <w:szCs w:val="22"/>
        </w:rPr>
      </w:pPr>
    </w:p>
    <w:p w14:paraId="03E81F27" w14:textId="7AFFD370" w:rsidR="00093A4E" w:rsidRDefault="00093A4E" w:rsidP="00150FAF">
      <w:pPr>
        <w:spacing w:after="120"/>
        <w:rPr>
          <w:rStyle w:val="Hyperlink"/>
          <w:sz w:val="22"/>
          <w:szCs w:val="22"/>
        </w:rPr>
      </w:pPr>
    </w:p>
    <w:p w14:paraId="435F5956" w14:textId="3BF31694" w:rsidR="00093A4E" w:rsidRDefault="00093A4E" w:rsidP="00150FAF">
      <w:pPr>
        <w:spacing w:after="120"/>
        <w:rPr>
          <w:rStyle w:val="Hyperlink"/>
          <w:sz w:val="22"/>
          <w:szCs w:val="22"/>
        </w:rPr>
      </w:pPr>
    </w:p>
    <w:p w14:paraId="77B5F98A" w14:textId="1B3311CE" w:rsidR="00093A4E" w:rsidRDefault="00093A4E" w:rsidP="00150FAF">
      <w:pPr>
        <w:spacing w:after="120"/>
        <w:rPr>
          <w:rStyle w:val="Hyperlink"/>
          <w:sz w:val="22"/>
          <w:szCs w:val="22"/>
        </w:rPr>
      </w:pPr>
    </w:p>
    <w:p w14:paraId="113ECA41" w14:textId="30E1DEDB" w:rsidR="00093A4E" w:rsidRDefault="00093A4E" w:rsidP="00150FAF">
      <w:pPr>
        <w:spacing w:after="120"/>
        <w:rPr>
          <w:rStyle w:val="Hyperlink"/>
          <w:sz w:val="22"/>
          <w:szCs w:val="22"/>
        </w:rPr>
      </w:pPr>
    </w:p>
    <w:p w14:paraId="642F36B9" w14:textId="025335C5" w:rsidR="00093A4E" w:rsidRDefault="00093A4E" w:rsidP="00150FAF">
      <w:pPr>
        <w:spacing w:after="120"/>
        <w:rPr>
          <w:rStyle w:val="Hyperlink"/>
          <w:sz w:val="22"/>
          <w:szCs w:val="22"/>
        </w:rPr>
      </w:pPr>
    </w:p>
    <w:p w14:paraId="4D4282E2" w14:textId="0BA3FA6A" w:rsidR="00093A4E" w:rsidRDefault="00093A4E" w:rsidP="00150FAF">
      <w:pPr>
        <w:spacing w:after="120"/>
        <w:rPr>
          <w:rStyle w:val="Hyperlink"/>
          <w:sz w:val="22"/>
          <w:szCs w:val="22"/>
        </w:rPr>
      </w:pPr>
    </w:p>
    <w:p w14:paraId="2CCA649D" w14:textId="6B82A609" w:rsidR="00093A4E" w:rsidRDefault="00093A4E" w:rsidP="00150FAF">
      <w:pPr>
        <w:spacing w:after="120"/>
        <w:rPr>
          <w:rStyle w:val="Hyperlink"/>
          <w:sz w:val="22"/>
          <w:szCs w:val="22"/>
        </w:rPr>
      </w:pPr>
    </w:p>
    <w:p w14:paraId="0E28A0A8" w14:textId="47A80A66" w:rsidR="00093A4E" w:rsidRDefault="00093A4E" w:rsidP="00150FAF">
      <w:pPr>
        <w:spacing w:after="120"/>
        <w:rPr>
          <w:rStyle w:val="Hyperlink"/>
          <w:sz w:val="22"/>
          <w:szCs w:val="22"/>
        </w:rPr>
      </w:pPr>
    </w:p>
    <w:p w14:paraId="14A3BBD5" w14:textId="68698682" w:rsidR="00093A4E" w:rsidRDefault="00093A4E" w:rsidP="00150FAF">
      <w:pPr>
        <w:spacing w:after="120"/>
        <w:rPr>
          <w:rStyle w:val="Hyperlink"/>
          <w:sz w:val="22"/>
          <w:szCs w:val="22"/>
        </w:rPr>
      </w:pPr>
    </w:p>
    <w:p w14:paraId="335A28E8" w14:textId="24E0138A" w:rsidR="00093A4E" w:rsidRDefault="00093A4E" w:rsidP="00150FAF">
      <w:pPr>
        <w:spacing w:after="120"/>
        <w:rPr>
          <w:rStyle w:val="Hyperlink"/>
          <w:sz w:val="22"/>
          <w:szCs w:val="22"/>
        </w:rPr>
      </w:pPr>
    </w:p>
    <w:p w14:paraId="435A6502" w14:textId="7DE1C953" w:rsidR="00093A4E" w:rsidRDefault="00093A4E" w:rsidP="00150FAF">
      <w:pPr>
        <w:spacing w:after="120"/>
        <w:rPr>
          <w:rStyle w:val="Hyperlink"/>
          <w:sz w:val="22"/>
          <w:szCs w:val="22"/>
        </w:rPr>
      </w:pPr>
    </w:p>
    <w:p w14:paraId="59F57FEB" w14:textId="3A39437F" w:rsidR="00093A4E" w:rsidRDefault="00093A4E" w:rsidP="00150FAF">
      <w:pPr>
        <w:spacing w:after="120"/>
        <w:rPr>
          <w:rStyle w:val="Hyperlink"/>
          <w:sz w:val="22"/>
          <w:szCs w:val="22"/>
        </w:rPr>
      </w:pPr>
    </w:p>
    <w:p w14:paraId="73BA9B2A" w14:textId="2758107F" w:rsidR="007B188B" w:rsidRDefault="007B188B" w:rsidP="00150FAF">
      <w:pPr>
        <w:spacing w:after="120"/>
        <w:rPr>
          <w:rStyle w:val="Hyperlink"/>
          <w:sz w:val="22"/>
          <w:szCs w:val="22"/>
        </w:rPr>
      </w:pPr>
    </w:p>
    <w:p w14:paraId="787DA28A" w14:textId="77777777" w:rsidR="00093A4E" w:rsidRDefault="00093A4E" w:rsidP="00150FAF">
      <w:pPr>
        <w:spacing w:after="120"/>
        <w:rPr>
          <w:rStyle w:val="Hyperlink"/>
          <w:sz w:val="22"/>
          <w:szCs w:val="22"/>
        </w:rPr>
      </w:pPr>
    </w:p>
    <w:p w14:paraId="58DF7D76" w14:textId="77777777" w:rsidR="00D836F3" w:rsidRPr="00222834" w:rsidRDefault="00D836F3" w:rsidP="00D836F3">
      <w:pPr>
        <w:pStyle w:val="Header"/>
        <w:numPr>
          <w:ilvl w:val="0"/>
          <w:numId w:val="3"/>
        </w:numPr>
        <w:tabs>
          <w:tab w:val="left" w:pos="720"/>
        </w:tabs>
        <w:jc w:val="both"/>
        <w:rPr>
          <w:rFonts w:ascii="Arial" w:hAnsi="Arial" w:cs="Arial"/>
          <w:b/>
          <w:szCs w:val="24"/>
        </w:rPr>
      </w:pPr>
      <w:r>
        <w:rPr>
          <w:rFonts w:ascii="Arial" w:hAnsi="Arial" w:cs="Arial"/>
          <w:b/>
          <w:szCs w:val="24"/>
        </w:rPr>
        <w:t>Protocol Development</w:t>
      </w:r>
    </w:p>
    <w:p w14:paraId="10DD0497" w14:textId="77777777" w:rsidR="00D836F3" w:rsidRPr="00222834" w:rsidRDefault="00D836F3" w:rsidP="00D836F3">
      <w:pPr>
        <w:pStyle w:val="Header"/>
        <w:spacing w:line="276" w:lineRule="auto"/>
        <w:rPr>
          <w:rFonts w:ascii="Arial" w:hAnsi="Arial" w:cs="Arial"/>
          <w:sz w:val="16"/>
          <w:szCs w:val="16"/>
        </w:rPr>
      </w:pPr>
    </w:p>
    <w:p w14:paraId="0A05DDD7" w14:textId="6C873297" w:rsidR="00D836F3" w:rsidRDefault="00D836F3" w:rsidP="00D836F3">
      <w:pPr>
        <w:pStyle w:val="Header"/>
        <w:spacing w:line="276" w:lineRule="auto"/>
        <w:rPr>
          <w:rFonts w:ascii="Arial" w:hAnsi="Arial" w:cs="Arial"/>
          <w:sz w:val="22"/>
          <w:szCs w:val="22"/>
        </w:rPr>
      </w:pPr>
      <w:r>
        <w:rPr>
          <w:rFonts w:ascii="Arial" w:hAnsi="Arial" w:cs="Arial"/>
          <w:sz w:val="22"/>
          <w:szCs w:val="22"/>
        </w:rPr>
        <w:t xml:space="preserve">This protocol has been developed by the following on behalf of </w:t>
      </w:r>
      <w:r w:rsidR="00CF5675">
        <w:rPr>
          <w:rFonts w:ascii="Arial" w:hAnsi="Arial" w:cs="Arial"/>
          <w:sz w:val="22"/>
          <w:szCs w:val="22"/>
        </w:rPr>
        <w:t>the UKHSA</w:t>
      </w:r>
      <w:r>
        <w:rPr>
          <w:rFonts w:ascii="Arial" w:hAnsi="Arial" w:cs="Arial"/>
          <w:sz w:val="22"/>
          <w:szCs w:val="22"/>
        </w:rPr>
        <w:t>:</w:t>
      </w:r>
    </w:p>
    <w:p w14:paraId="1E1C3170" w14:textId="77777777" w:rsidR="00D836F3" w:rsidRPr="00CB5D91" w:rsidRDefault="00D836F3" w:rsidP="00D836F3">
      <w:pPr>
        <w:pStyle w:val="Header"/>
        <w:rPr>
          <w:rFonts w:ascii="Arial" w:hAnsi="Arial" w:cs="Arial"/>
          <w:szCs w:val="24"/>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61"/>
        <w:gridCol w:w="6662"/>
      </w:tblGrid>
      <w:tr w:rsidR="00D836F3" w:rsidRPr="0036347F" w14:paraId="3E1881FF" w14:textId="77777777" w:rsidTr="008B36F3">
        <w:trPr>
          <w:trHeight w:val="549"/>
        </w:trPr>
        <w:tc>
          <w:tcPr>
            <w:tcW w:w="3261" w:type="dxa"/>
            <w:shd w:val="clear" w:color="auto" w:fill="C6D9F1" w:themeFill="text2" w:themeFillTint="33"/>
            <w:vAlign w:val="center"/>
          </w:tcPr>
          <w:p w14:paraId="3AA14F3C" w14:textId="77777777" w:rsidR="00D836F3" w:rsidRPr="0036347F" w:rsidRDefault="00D836F3" w:rsidP="000B52F9">
            <w:pPr>
              <w:rPr>
                <w:rFonts w:cs="Arial"/>
                <w:color w:val="FF0000"/>
                <w:sz w:val="22"/>
                <w:szCs w:val="22"/>
              </w:rPr>
            </w:pPr>
            <w:r w:rsidRPr="0036347F">
              <w:rPr>
                <w:rFonts w:cs="Arial"/>
                <w:b/>
                <w:sz w:val="22"/>
                <w:szCs w:val="22"/>
              </w:rPr>
              <w:t>Developed by:</w:t>
            </w:r>
          </w:p>
        </w:tc>
        <w:tc>
          <w:tcPr>
            <w:tcW w:w="6662" w:type="dxa"/>
            <w:shd w:val="clear" w:color="auto" w:fill="C6D9F1" w:themeFill="text2" w:themeFillTint="33"/>
            <w:vAlign w:val="center"/>
          </w:tcPr>
          <w:p w14:paraId="59697774" w14:textId="77777777" w:rsidR="00D836F3" w:rsidRPr="0036347F" w:rsidRDefault="00D836F3" w:rsidP="000B52F9">
            <w:pPr>
              <w:rPr>
                <w:rFonts w:cs="Arial"/>
                <w:b/>
                <w:sz w:val="22"/>
                <w:szCs w:val="22"/>
              </w:rPr>
            </w:pPr>
            <w:r w:rsidRPr="0036347F">
              <w:rPr>
                <w:rFonts w:cs="Arial"/>
                <w:b/>
                <w:sz w:val="22"/>
                <w:szCs w:val="22"/>
              </w:rPr>
              <w:t>Name</w:t>
            </w:r>
          </w:p>
        </w:tc>
      </w:tr>
      <w:tr w:rsidR="00F579DF" w:rsidRPr="0036347F" w14:paraId="59F4DF1E" w14:textId="77777777" w:rsidTr="00150FAF">
        <w:trPr>
          <w:trHeight w:val="941"/>
        </w:trPr>
        <w:tc>
          <w:tcPr>
            <w:tcW w:w="3261" w:type="dxa"/>
          </w:tcPr>
          <w:p w14:paraId="4D3FD9D8" w14:textId="77777777" w:rsidR="00F579DF" w:rsidRPr="0036347F" w:rsidRDefault="00F579DF" w:rsidP="00F579DF">
            <w:pPr>
              <w:pStyle w:val="Heading6"/>
              <w:spacing w:before="0" w:after="0"/>
              <w:jc w:val="left"/>
              <w:rPr>
                <w:rFonts w:ascii="Arial" w:hAnsi="Arial" w:cs="Arial"/>
                <w:i w:val="0"/>
                <w:sz w:val="22"/>
                <w:szCs w:val="22"/>
              </w:rPr>
            </w:pPr>
          </w:p>
          <w:p w14:paraId="259514E1" w14:textId="77777777" w:rsidR="00F579DF" w:rsidRDefault="00F579DF" w:rsidP="00F579DF">
            <w:pPr>
              <w:pStyle w:val="Heading6"/>
              <w:spacing w:before="0" w:after="0"/>
              <w:jc w:val="left"/>
              <w:rPr>
                <w:rFonts w:ascii="Arial" w:hAnsi="Arial" w:cs="Arial"/>
                <w:i w:val="0"/>
                <w:sz w:val="22"/>
                <w:szCs w:val="22"/>
              </w:rPr>
            </w:pPr>
            <w:r w:rsidRPr="0036347F">
              <w:rPr>
                <w:rFonts w:ascii="Arial" w:hAnsi="Arial" w:cs="Arial"/>
                <w:i w:val="0"/>
                <w:sz w:val="22"/>
                <w:szCs w:val="22"/>
              </w:rPr>
              <w:t>Pharmacist</w:t>
            </w:r>
          </w:p>
          <w:p w14:paraId="634EB44F" w14:textId="77777777" w:rsidR="00F579DF" w:rsidRPr="003E6F4F" w:rsidRDefault="00F579DF" w:rsidP="00F579DF">
            <w:pPr>
              <w:rPr>
                <w:sz w:val="22"/>
                <w:szCs w:val="22"/>
              </w:rPr>
            </w:pPr>
            <w:r>
              <w:rPr>
                <w:sz w:val="22"/>
                <w:szCs w:val="22"/>
              </w:rPr>
              <w:t>(Lead author)</w:t>
            </w:r>
          </w:p>
          <w:p w14:paraId="5D6819DB" w14:textId="77777777" w:rsidR="00F579DF" w:rsidRPr="0036347F" w:rsidRDefault="00F579DF" w:rsidP="00F579DF">
            <w:pPr>
              <w:rPr>
                <w:rFonts w:cs="Arial"/>
                <w:sz w:val="22"/>
                <w:szCs w:val="22"/>
              </w:rPr>
            </w:pPr>
          </w:p>
        </w:tc>
        <w:tc>
          <w:tcPr>
            <w:tcW w:w="6662" w:type="dxa"/>
            <w:shd w:val="clear" w:color="auto" w:fill="auto"/>
            <w:vAlign w:val="center"/>
          </w:tcPr>
          <w:p w14:paraId="67E2A3E2" w14:textId="77777777" w:rsidR="00F579DF" w:rsidRPr="00DD3423" w:rsidRDefault="00F579DF" w:rsidP="00F579DF">
            <w:pPr>
              <w:rPr>
                <w:rFonts w:cs="Arial"/>
                <w:sz w:val="22"/>
                <w:szCs w:val="22"/>
              </w:rPr>
            </w:pPr>
            <w:r w:rsidRPr="00DD3423">
              <w:rPr>
                <w:rFonts w:cs="Arial"/>
                <w:sz w:val="22"/>
                <w:szCs w:val="22"/>
              </w:rPr>
              <w:t>Jacqueline Lamberty</w:t>
            </w:r>
          </w:p>
          <w:p w14:paraId="7CB5F66E" w14:textId="77777777" w:rsidR="00F579DF" w:rsidRDefault="00F579DF" w:rsidP="00F579DF">
            <w:pPr>
              <w:rPr>
                <w:rFonts w:cs="Arial"/>
                <w:sz w:val="22"/>
                <w:szCs w:val="22"/>
              </w:rPr>
            </w:pPr>
            <w:r w:rsidRPr="00DD3423">
              <w:rPr>
                <w:rFonts w:cs="Arial"/>
                <w:sz w:val="22"/>
                <w:szCs w:val="22"/>
              </w:rPr>
              <w:t xml:space="preserve">Lead Pharmacist Medicines Governance, </w:t>
            </w:r>
          </w:p>
          <w:p w14:paraId="5F6C548F" w14:textId="6BBBD84A" w:rsidR="00F579DF" w:rsidRPr="00712D13" w:rsidRDefault="00F579DF" w:rsidP="00F579DF">
            <w:pPr>
              <w:spacing w:after="120"/>
              <w:rPr>
                <w:rFonts w:cs="Arial"/>
                <w:sz w:val="22"/>
                <w:szCs w:val="22"/>
              </w:rPr>
            </w:pPr>
            <w:r w:rsidRPr="00DD3423">
              <w:rPr>
                <w:rFonts w:cs="Arial"/>
                <w:sz w:val="22"/>
                <w:szCs w:val="22"/>
              </w:rPr>
              <w:t>Health Equity &amp; Clinical Governance Directorate</w:t>
            </w:r>
            <w:r>
              <w:rPr>
                <w:rFonts w:cs="Arial"/>
                <w:sz w:val="22"/>
                <w:szCs w:val="22"/>
              </w:rPr>
              <w:t xml:space="preserve">, </w:t>
            </w:r>
            <w:r w:rsidRPr="00DD3423">
              <w:rPr>
                <w:rFonts w:cs="Arial"/>
                <w:sz w:val="22"/>
                <w:szCs w:val="22"/>
              </w:rPr>
              <w:t>UKHSA</w:t>
            </w:r>
          </w:p>
        </w:tc>
      </w:tr>
      <w:tr w:rsidR="00F579DF" w:rsidRPr="0036347F" w14:paraId="69CAF64D" w14:textId="77777777" w:rsidTr="000B52F9">
        <w:trPr>
          <w:trHeight w:val="621"/>
        </w:trPr>
        <w:tc>
          <w:tcPr>
            <w:tcW w:w="3261" w:type="dxa"/>
          </w:tcPr>
          <w:p w14:paraId="222074B1" w14:textId="77777777" w:rsidR="00F579DF" w:rsidRPr="0036347F" w:rsidRDefault="00F579DF" w:rsidP="00F579DF">
            <w:pPr>
              <w:pStyle w:val="Heading5"/>
              <w:spacing w:before="0" w:after="0"/>
              <w:rPr>
                <w:rFonts w:ascii="Arial" w:hAnsi="Arial" w:cs="Arial"/>
                <w:i w:val="0"/>
                <w:sz w:val="22"/>
                <w:szCs w:val="22"/>
              </w:rPr>
            </w:pPr>
          </w:p>
          <w:p w14:paraId="52296844" w14:textId="77777777" w:rsidR="00F579DF" w:rsidRPr="0036347F" w:rsidRDefault="00F579DF" w:rsidP="00F579DF">
            <w:pPr>
              <w:pStyle w:val="Heading5"/>
              <w:spacing w:before="0" w:after="0"/>
              <w:rPr>
                <w:rFonts w:ascii="Arial" w:hAnsi="Arial" w:cs="Arial"/>
                <w:i w:val="0"/>
                <w:sz w:val="22"/>
                <w:szCs w:val="22"/>
              </w:rPr>
            </w:pPr>
            <w:r w:rsidRPr="0036347F">
              <w:rPr>
                <w:rFonts w:ascii="Arial" w:hAnsi="Arial" w:cs="Arial"/>
                <w:i w:val="0"/>
                <w:sz w:val="22"/>
                <w:szCs w:val="22"/>
              </w:rPr>
              <w:t>Doctor</w:t>
            </w:r>
          </w:p>
          <w:p w14:paraId="1991DADD" w14:textId="77777777" w:rsidR="00F579DF" w:rsidRPr="0036347F" w:rsidRDefault="00F579DF" w:rsidP="00F579DF">
            <w:pPr>
              <w:rPr>
                <w:rFonts w:cs="Arial"/>
                <w:sz w:val="22"/>
                <w:szCs w:val="22"/>
              </w:rPr>
            </w:pPr>
          </w:p>
        </w:tc>
        <w:tc>
          <w:tcPr>
            <w:tcW w:w="6662" w:type="dxa"/>
            <w:vAlign w:val="center"/>
          </w:tcPr>
          <w:p w14:paraId="0B8601D1" w14:textId="77777777" w:rsidR="00F579DF" w:rsidRPr="00712D13" w:rsidRDefault="00F579DF" w:rsidP="00F579DF">
            <w:pPr>
              <w:spacing w:before="120"/>
              <w:rPr>
                <w:rFonts w:cs="Arial"/>
                <w:sz w:val="22"/>
                <w:szCs w:val="22"/>
              </w:rPr>
            </w:pPr>
            <w:r w:rsidRPr="00712D13">
              <w:rPr>
                <w:rFonts w:cs="Arial"/>
                <w:sz w:val="22"/>
                <w:szCs w:val="22"/>
              </w:rPr>
              <w:t>Nick Gent</w:t>
            </w:r>
          </w:p>
          <w:p w14:paraId="2F0064E0" w14:textId="2EB8E0F0" w:rsidR="00F579DF" w:rsidRPr="00712D13" w:rsidRDefault="00F579DF" w:rsidP="00F579DF">
            <w:pPr>
              <w:rPr>
                <w:rFonts w:cs="Arial"/>
                <w:sz w:val="22"/>
                <w:szCs w:val="22"/>
              </w:rPr>
            </w:pPr>
            <w:r w:rsidRPr="00712D13">
              <w:rPr>
                <w:rFonts w:cs="Arial"/>
                <w:sz w:val="22"/>
                <w:szCs w:val="22"/>
              </w:rPr>
              <w:t>Consultant in Health Protection</w:t>
            </w:r>
            <w:r w:rsidR="00C432B3">
              <w:rPr>
                <w:rFonts w:cs="Arial"/>
                <w:sz w:val="22"/>
                <w:szCs w:val="22"/>
              </w:rPr>
              <w:t>,</w:t>
            </w:r>
          </w:p>
          <w:p w14:paraId="2AB48123" w14:textId="26143B86" w:rsidR="00F579DF" w:rsidRPr="00712D13" w:rsidRDefault="00F579DF" w:rsidP="00F579DF">
            <w:pPr>
              <w:spacing w:after="120"/>
              <w:rPr>
                <w:rFonts w:cs="Arial"/>
                <w:sz w:val="22"/>
                <w:szCs w:val="22"/>
              </w:rPr>
            </w:pPr>
            <w:r w:rsidRPr="00712D13">
              <w:rPr>
                <w:rFonts w:cs="Arial"/>
                <w:sz w:val="22"/>
                <w:szCs w:val="22"/>
              </w:rPr>
              <w:t>Emergency Response Department</w:t>
            </w:r>
            <w:r>
              <w:rPr>
                <w:rFonts w:cs="Arial"/>
                <w:sz w:val="22"/>
                <w:szCs w:val="22"/>
              </w:rPr>
              <w:t>, UKHSA</w:t>
            </w:r>
          </w:p>
        </w:tc>
      </w:tr>
      <w:tr w:rsidR="00F579DF" w:rsidRPr="0036347F" w14:paraId="1CF9E54A" w14:textId="77777777" w:rsidTr="000B52F9">
        <w:trPr>
          <w:trHeight w:val="621"/>
        </w:trPr>
        <w:tc>
          <w:tcPr>
            <w:tcW w:w="3261" w:type="dxa"/>
          </w:tcPr>
          <w:p w14:paraId="2A57D8F7" w14:textId="77777777" w:rsidR="00F579DF" w:rsidRPr="0036347F" w:rsidRDefault="00F579DF" w:rsidP="00F579DF">
            <w:pPr>
              <w:pStyle w:val="Heading5"/>
              <w:spacing w:before="0" w:after="0"/>
              <w:rPr>
                <w:rFonts w:ascii="Arial" w:hAnsi="Arial" w:cs="Arial"/>
                <w:i w:val="0"/>
                <w:color w:val="FF0000"/>
                <w:sz w:val="22"/>
                <w:szCs w:val="22"/>
              </w:rPr>
            </w:pPr>
          </w:p>
          <w:p w14:paraId="072B5247" w14:textId="77777777" w:rsidR="00F579DF" w:rsidRPr="0036347F" w:rsidRDefault="00F579DF" w:rsidP="00F579DF">
            <w:pPr>
              <w:pStyle w:val="Heading5"/>
              <w:spacing w:before="0" w:after="0"/>
              <w:rPr>
                <w:rFonts w:ascii="Arial" w:hAnsi="Arial" w:cs="Arial"/>
                <w:i w:val="0"/>
                <w:sz w:val="22"/>
                <w:szCs w:val="22"/>
              </w:rPr>
            </w:pPr>
            <w:r w:rsidRPr="0036347F">
              <w:rPr>
                <w:rFonts w:ascii="Arial" w:hAnsi="Arial" w:cs="Arial"/>
                <w:i w:val="0"/>
                <w:sz w:val="22"/>
                <w:szCs w:val="22"/>
              </w:rPr>
              <w:t>Registered Nurse</w:t>
            </w:r>
          </w:p>
          <w:p w14:paraId="24001967" w14:textId="77777777" w:rsidR="00F579DF" w:rsidRPr="0036347F" w:rsidRDefault="00F579DF" w:rsidP="00F579DF">
            <w:pPr>
              <w:rPr>
                <w:rFonts w:cs="Arial"/>
                <w:sz w:val="22"/>
                <w:szCs w:val="22"/>
              </w:rPr>
            </w:pPr>
          </w:p>
        </w:tc>
        <w:tc>
          <w:tcPr>
            <w:tcW w:w="6662" w:type="dxa"/>
            <w:vAlign w:val="center"/>
          </w:tcPr>
          <w:p w14:paraId="72B8A94E" w14:textId="77777777" w:rsidR="00F579DF" w:rsidRPr="00DD3423" w:rsidRDefault="00F579DF" w:rsidP="00F579DF">
            <w:pPr>
              <w:spacing w:before="120"/>
              <w:rPr>
                <w:sz w:val="22"/>
                <w:szCs w:val="22"/>
              </w:rPr>
            </w:pPr>
            <w:r w:rsidRPr="00DD3423">
              <w:rPr>
                <w:sz w:val="22"/>
                <w:szCs w:val="22"/>
              </w:rPr>
              <w:t>Kelly Stoker</w:t>
            </w:r>
          </w:p>
          <w:p w14:paraId="3144062E" w14:textId="77777777" w:rsidR="00F579DF" w:rsidRDefault="00F579DF" w:rsidP="00F579DF">
            <w:pPr>
              <w:rPr>
                <w:sz w:val="22"/>
                <w:szCs w:val="22"/>
              </w:rPr>
            </w:pPr>
            <w:r w:rsidRPr="00DD3423">
              <w:rPr>
                <w:sz w:val="22"/>
                <w:szCs w:val="22"/>
              </w:rPr>
              <w:t xml:space="preserve">Lead Immunisation Nurse Specialist, </w:t>
            </w:r>
          </w:p>
          <w:p w14:paraId="71BDE4A8" w14:textId="19ADDB78" w:rsidR="00F579DF" w:rsidRPr="00712D13" w:rsidRDefault="00F579DF" w:rsidP="00F579DF">
            <w:pPr>
              <w:spacing w:after="120"/>
              <w:rPr>
                <w:sz w:val="22"/>
                <w:szCs w:val="22"/>
              </w:rPr>
            </w:pPr>
            <w:r w:rsidRPr="00DD3423">
              <w:rPr>
                <w:sz w:val="22"/>
                <w:szCs w:val="22"/>
              </w:rPr>
              <w:t>Immunisation and Vaccine Preventable Diseases Division, UKHSA</w:t>
            </w:r>
          </w:p>
        </w:tc>
      </w:tr>
    </w:tbl>
    <w:p w14:paraId="39DDFCDC" w14:textId="77777777" w:rsidR="00D836F3" w:rsidRDefault="00D836F3" w:rsidP="00D836F3">
      <w:pPr>
        <w:rPr>
          <w:rFonts w:cs="Arial"/>
          <w:i/>
          <w:sz w:val="16"/>
          <w:szCs w:val="16"/>
        </w:rPr>
      </w:pPr>
    </w:p>
    <w:p w14:paraId="143A4783" w14:textId="77777777" w:rsidR="00D836F3" w:rsidRPr="00B92658" w:rsidRDefault="00D836F3" w:rsidP="00D836F3">
      <w:pPr>
        <w:rPr>
          <w:rFonts w:cs="Arial"/>
          <w:i/>
          <w:sz w:val="16"/>
          <w:szCs w:val="16"/>
        </w:rPr>
      </w:pPr>
    </w:p>
    <w:p w14:paraId="1AD619ED" w14:textId="77777777" w:rsidR="00D836F3" w:rsidRPr="001D3ADD" w:rsidRDefault="003E6F4F" w:rsidP="00D836F3">
      <w:pPr>
        <w:spacing w:line="276" w:lineRule="auto"/>
        <w:rPr>
          <w:rFonts w:cs="Arial"/>
          <w:b/>
          <w:sz w:val="22"/>
          <w:szCs w:val="22"/>
        </w:rPr>
      </w:pPr>
      <w:r>
        <w:rPr>
          <w:rFonts w:cs="Arial"/>
          <w:b/>
          <w:sz w:val="22"/>
          <w:szCs w:val="22"/>
        </w:rPr>
        <w:t>Expert Panel</w:t>
      </w:r>
    </w:p>
    <w:p w14:paraId="22AD4874" w14:textId="77777777" w:rsidR="00D836F3" w:rsidRPr="001D3ADD" w:rsidRDefault="00D836F3" w:rsidP="00D836F3">
      <w:pPr>
        <w:spacing w:line="276" w:lineRule="auto"/>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556"/>
      </w:tblGrid>
      <w:tr w:rsidR="008B36F3" w:rsidRPr="008B36F3" w14:paraId="33265778" w14:textId="77777777" w:rsidTr="00F579DF">
        <w:trPr>
          <w:trHeight w:val="254"/>
        </w:trPr>
        <w:tc>
          <w:tcPr>
            <w:tcW w:w="3190" w:type="dxa"/>
            <w:shd w:val="clear" w:color="auto" w:fill="C6D9F1" w:themeFill="text2" w:themeFillTint="33"/>
            <w:vAlign w:val="center"/>
          </w:tcPr>
          <w:p w14:paraId="6CC15C2F" w14:textId="77777777" w:rsidR="008B36F3" w:rsidRPr="008B36F3" w:rsidRDefault="008B36F3" w:rsidP="008B36F3">
            <w:pPr>
              <w:spacing w:before="120" w:after="120" w:line="276" w:lineRule="auto"/>
              <w:rPr>
                <w:rFonts w:cs="Arial"/>
                <w:b/>
                <w:sz w:val="22"/>
                <w:szCs w:val="22"/>
              </w:rPr>
            </w:pPr>
            <w:r w:rsidRPr="008B36F3">
              <w:rPr>
                <w:rFonts w:cs="Arial"/>
                <w:b/>
                <w:sz w:val="22"/>
                <w:szCs w:val="22"/>
              </w:rPr>
              <w:t>Name</w:t>
            </w:r>
          </w:p>
        </w:tc>
        <w:tc>
          <w:tcPr>
            <w:tcW w:w="6556" w:type="dxa"/>
            <w:shd w:val="clear" w:color="auto" w:fill="C6D9F1" w:themeFill="text2" w:themeFillTint="33"/>
            <w:vAlign w:val="center"/>
          </w:tcPr>
          <w:p w14:paraId="50FA734E" w14:textId="77777777" w:rsidR="008B36F3" w:rsidRPr="008B36F3" w:rsidRDefault="008B36F3" w:rsidP="008B36F3">
            <w:pPr>
              <w:spacing w:before="120" w:after="120"/>
              <w:rPr>
                <w:rFonts w:cs="Arial"/>
                <w:b/>
                <w:sz w:val="22"/>
                <w:szCs w:val="22"/>
              </w:rPr>
            </w:pPr>
            <w:r w:rsidRPr="008B36F3">
              <w:rPr>
                <w:rFonts w:cs="Arial"/>
                <w:b/>
                <w:sz w:val="22"/>
                <w:szCs w:val="22"/>
              </w:rPr>
              <w:t>Designation</w:t>
            </w:r>
          </w:p>
        </w:tc>
      </w:tr>
      <w:tr w:rsidR="00D836F3" w:rsidRPr="001D3ADD" w14:paraId="36961BCF" w14:textId="77777777" w:rsidTr="00F579DF">
        <w:trPr>
          <w:trHeight w:val="254"/>
        </w:trPr>
        <w:tc>
          <w:tcPr>
            <w:tcW w:w="3190" w:type="dxa"/>
            <w:vAlign w:val="center"/>
          </w:tcPr>
          <w:p w14:paraId="60F67228" w14:textId="02050B8B" w:rsidR="00D836F3" w:rsidRPr="005E0382" w:rsidRDefault="00F579DF" w:rsidP="000B52F9">
            <w:pPr>
              <w:spacing w:line="276" w:lineRule="auto"/>
              <w:rPr>
                <w:rFonts w:cs="Arial"/>
                <w:sz w:val="22"/>
                <w:szCs w:val="22"/>
              </w:rPr>
            </w:pPr>
            <w:r>
              <w:rPr>
                <w:rFonts w:cs="Arial"/>
                <w:sz w:val="22"/>
                <w:szCs w:val="22"/>
              </w:rPr>
              <w:t>Ruth Milton (Chair)</w:t>
            </w:r>
          </w:p>
        </w:tc>
        <w:tc>
          <w:tcPr>
            <w:tcW w:w="6556" w:type="dxa"/>
            <w:vAlign w:val="center"/>
          </w:tcPr>
          <w:p w14:paraId="6E2C5A6E" w14:textId="1D9A71D7" w:rsidR="00D836F3" w:rsidRPr="005E0382" w:rsidRDefault="00F579DF" w:rsidP="006C28DB">
            <w:pPr>
              <w:spacing w:before="120" w:after="120"/>
              <w:rPr>
                <w:rFonts w:cs="Arial"/>
                <w:sz w:val="22"/>
                <w:szCs w:val="22"/>
              </w:rPr>
            </w:pPr>
            <w:r w:rsidRPr="00DD3423">
              <w:rPr>
                <w:rFonts w:cs="Arial"/>
                <w:sz w:val="22"/>
                <w:szCs w:val="22"/>
              </w:rPr>
              <w:t>Senior Medical Adviser, Consultant in Public Health Emergency Response Department, UKHSA</w:t>
            </w:r>
          </w:p>
        </w:tc>
      </w:tr>
      <w:tr w:rsidR="00F579DF" w:rsidRPr="001D3ADD" w14:paraId="166D67FE" w14:textId="77777777" w:rsidTr="00F579DF">
        <w:trPr>
          <w:trHeight w:val="254"/>
        </w:trPr>
        <w:tc>
          <w:tcPr>
            <w:tcW w:w="3190" w:type="dxa"/>
          </w:tcPr>
          <w:p w14:paraId="37B592C4" w14:textId="411332F9" w:rsidR="00F579DF" w:rsidRPr="001776DE" w:rsidRDefault="00F579DF" w:rsidP="00F579DF">
            <w:pPr>
              <w:pStyle w:val="Default"/>
              <w:spacing w:before="120"/>
              <w:rPr>
                <w:color w:val="auto"/>
                <w:sz w:val="22"/>
                <w:szCs w:val="22"/>
              </w:rPr>
            </w:pPr>
            <w:r w:rsidRPr="00150FAF">
              <w:rPr>
                <w:sz w:val="22"/>
                <w:szCs w:val="22"/>
              </w:rPr>
              <w:t>Duncan Cox</w:t>
            </w:r>
          </w:p>
        </w:tc>
        <w:tc>
          <w:tcPr>
            <w:tcW w:w="6556" w:type="dxa"/>
          </w:tcPr>
          <w:p w14:paraId="744F0485" w14:textId="13C43448" w:rsidR="00F579DF" w:rsidRPr="006C28DB" w:rsidRDefault="00A773C2" w:rsidP="006C28DB">
            <w:pPr>
              <w:spacing w:before="120" w:after="120"/>
              <w:rPr>
                <w:rFonts w:cs="Arial"/>
                <w:sz w:val="22"/>
                <w:szCs w:val="22"/>
              </w:rPr>
            </w:pPr>
            <w:r w:rsidRPr="00A773C2">
              <w:rPr>
                <w:rFonts w:cs="Arial"/>
                <w:sz w:val="22"/>
                <w:szCs w:val="22"/>
              </w:rPr>
              <w:t>Radiation Emergency Response Group Leader – Radiation, Chemical and Environmental Hazards Directorate, UKHSA</w:t>
            </w:r>
          </w:p>
        </w:tc>
      </w:tr>
      <w:tr w:rsidR="006C28DB" w:rsidRPr="001D3ADD" w14:paraId="73E5A75F" w14:textId="77777777" w:rsidTr="00F579DF">
        <w:trPr>
          <w:trHeight w:val="267"/>
        </w:trPr>
        <w:tc>
          <w:tcPr>
            <w:tcW w:w="3190" w:type="dxa"/>
          </w:tcPr>
          <w:p w14:paraId="0BE78175" w14:textId="03CC0150" w:rsidR="006C28DB" w:rsidRPr="003B6DB0" w:rsidRDefault="006C28DB" w:rsidP="00AD00AA">
            <w:pPr>
              <w:pStyle w:val="Default"/>
              <w:spacing w:before="120"/>
              <w:rPr>
                <w:color w:val="auto"/>
                <w:sz w:val="22"/>
                <w:szCs w:val="22"/>
              </w:rPr>
            </w:pPr>
            <w:r>
              <w:rPr>
                <w:color w:val="auto"/>
                <w:sz w:val="22"/>
                <w:szCs w:val="22"/>
              </w:rPr>
              <w:t>Jo Jenkins</w:t>
            </w:r>
          </w:p>
        </w:tc>
        <w:tc>
          <w:tcPr>
            <w:tcW w:w="6556" w:type="dxa"/>
          </w:tcPr>
          <w:p w14:paraId="4B5E18AE" w14:textId="6F277A76" w:rsidR="006C28DB" w:rsidRPr="003B6DB0" w:rsidRDefault="006C28DB" w:rsidP="006C28DB">
            <w:pPr>
              <w:pStyle w:val="Default"/>
              <w:spacing w:before="120" w:after="120"/>
              <w:rPr>
                <w:sz w:val="22"/>
                <w:szCs w:val="22"/>
              </w:rPr>
            </w:pPr>
            <w:r w:rsidRPr="006C28DB">
              <w:rPr>
                <w:sz w:val="22"/>
                <w:szCs w:val="22"/>
              </w:rPr>
              <w:t>Specialist Pharmacist (Patient Group Directions)</w:t>
            </w:r>
            <w:r>
              <w:rPr>
                <w:sz w:val="22"/>
                <w:szCs w:val="22"/>
              </w:rPr>
              <w:t xml:space="preserve">, </w:t>
            </w:r>
            <w:r w:rsidRPr="006C28DB">
              <w:rPr>
                <w:sz w:val="22"/>
                <w:szCs w:val="22"/>
              </w:rPr>
              <w:t>Medicines Use and Safety Division</w:t>
            </w:r>
            <w:r>
              <w:rPr>
                <w:sz w:val="22"/>
                <w:szCs w:val="22"/>
              </w:rPr>
              <w:t>, NHSEI</w:t>
            </w:r>
          </w:p>
        </w:tc>
      </w:tr>
      <w:tr w:rsidR="00AD00AA" w:rsidRPr="001D3ADD" w14:paraId="7B918ADB" w14:textId="77777777" w:rsidTr="00F579DF">
        <w:trPr>
          <w:trHeight w:val="267"/>
        </w:trPr>
        <w:tc>
          <w:tcPr>
            <w:tcW w:w="3190" w:type="dxa"/>
          </w:tcPr>
          <w:p w14:paraId="241DA272" w14:textId="4AC14CC2" w:rsidR="00AD00AA" w:rsidRPr="00533BC9" w:rsidRDefault="00AD00AA" w:rsidP="00AD00AA">
            <w:pPr>
              <w:pStyle w:val="Default"/>
              <w:spacing w:before="120"/>
              <w:rPr>
                <w:color w:val="auto"/>
                <w:sz w:val="22"/>
                <w:szCs w:val="22"/>
              </w:rPr>
            </w:pPr>
            <w:r w:rsidRPr="003B6DB0">
              <w:rPr>
                <w:color w:val="auto"/>
                <w:sz w:val="22"/>
                <w:szCs w:val="22"/>
              </w:rPr>
              <w:t>Michelle Jones</w:t>
            </w:r>
          </w:p>
        </w:tc>
        <w:tc>
          <w:tcPr>
            <w:tcW w:w="6556" w:type="dxa"/>
          </w:tcPr>
          <w:p w14:paraId="1FEDA9A3" w14:textId="74AA9DE4" w:rsidR="00AD00AA" w:rsidRPr="00533BC9" w:rsidRDefault="00AD00AA" w:rsidP="00AD00AA">
            <w:pPr>
              <w:pStyle w:val="Default"/>
              <w:spacing w:before="120" w:after="120"/>
              <w:rPr>
                <w:color w:val="auto"/>
                <w:sz w:val="22"/>
                <w:szCs w:val="22"/>
              </w:rPr>
            </w:pPr>
            <w:r w:rsidRPr="003B6DB0">
              <w:rPr>
                <w:sz w:val="22"/>
                <w:szCs w:val="22"/>
              </w:rPr>
              <w:t>Senior Medicines Optimisation Pharmacist, NHS Bristol North Somerset and South Gloucestershire CCG</w:t>
            </w:r>
          </w:p>
        </w:tc>
      </w:tr>
      <w:tr w:rsidR="00AD00AA" w:rsidRPr="001D3ADD" w14:paraId="614869F5" w14:textId="77777777" w:rsidTr="00F579DF">
        <w:trPr>
          <w:trHeight w:val="267"/>
        </w:trPr>
        <w:tc>
          <w:tcPr>
            <w:tcW w:w="3190" w:type="dxa"/>
          </w:tcPr>
          <w:p w14:paraId="7E3B308B" w14:textId="37EAB352" w:rsidR="00AD00AA" w:rsidRPr="001776DE" w:rsidRDefault="00AD00AA" w:rsidP="00AD00AA">
            <w:pPr>
              <w:pStyle w:val="Default"/>
              <w:spacing w:before="120"/>
              <w:rPr>
                <w:color w:val="auto"/>
                <w:sz w:val="22"/>
                <w:szCs w:val="22"/>
              </w:rPr>
            </w:pPr>
            <w:r w:rsidRPr="00533BC9">
              <w:rPr>
                <w:color w:val="auto"/>
                <w:sz w:val="22"/>
                <w:szCs w:val="22"/>
              </w:rPr>
              <w:t>Axel Macdonald</w:t>
            </w:r>
          </w:p>
        </w:tc>
        <w:tc>
          <w:tcPr>
            <w:tcW w:w="6556" w:type="dxa"/>
          </w:tcPr>
          <w:p w14:paraId="1BA9EF27" w14:textId="22B7FD58" w:rsidR="00AD00AA" w:rsidRPr="001776DE" w:rsidRDefault="00A773C2" w:rsidP="00AD00AA">
            <w:pPr>
              <w:pStyle w:val="Default"/>
              <w:spacing w:before="120" w:after="120"/>
              <w:rPr>
                <w:color w:val="auto"/>
                <w:sz w:val="22"/>
                <w:szCs w:val="22"/>
              </w:rPr>
            </w:pPr>
            <w:r w:rsidRPr="00A773C2">
              <w:rPr>
                <w:color w:val="auto"/>
                <w:sz w:val="22"/>
                <w:szCs w:val="22"/>
              </w:rPr>
              <w:t>Radiation Protection Adviser – Radiation, Chemical and Environmental Hazards Directorate, UKHSA</w:t>
            </w:r>
          </w:p>
        </w:tc>
      </w:tr>
      <w:tr w:rsidR="00C432B3" w:rsidRPr="001D3ADD" w14:paraId="74C4B4CC" w14:textId="77777777" w:rsidTr="00F579DF">
        <w:trPr>
          <w:trHeight w:val="267"/>
        </w:trPr>
        <w:tc>
          <w:tcPr>
            <w:tcW w:w="3190" w:type="dxa"/>
          </w:tcPr>
          <w:p w14:paraId="14CEB5A3" w14:textId="77777777" w:rsidR="00C432B3" w:rsidRPr="000B3DA4" w:rsidRDefault="00C432B3" w:rsidP="00C432B3">
            <w:pPr>
              <w:pStyle w:val="Default"/>
              <w:spacing w:before="120"/>
              <w:rPr>
                <w:sz w:val="22"/>
                <w:szCs w:val="22"/>
              </w:rPr>
            </w:pPr>
            <w:r w:rsidRPr="000B3DA4">
              <w:rPr>
                <w:sz w:val="22"/>
                <w:szCs w:val="22"/>
              </w:rPr>
              <w:t xml:space="preserve">Prof Ray Powles </w:t>
            </w:r>
          </w:p>
          <w:p w14:paraId="0139D20E" w14:textId="77777777" w:rsidR="00C432B3" w:rsidRDefault="00C432B3" w:rsidP="00C432B3">
            <w:pPr>
              <w:tabs>
                <w:tab w:val="left" w:pos="1642"/>
              </w:tabs>
              <w:spacing w:before="120" w:after="120"/>
              <w:rPr>
                <w:sz w:val="22"/>
                <w:szCs w:val="22"/>
              </w:rPr>
            </w:pPr>
          </w:p>
        </w:tc>
        <w:tc>
          <w:tcPr>
            <w:tcW w:w="6556" w:type="dxa"/>
          </w:tcPr>
          <w:p w14:paraId="591ADE2B" w14:textId="77777777" w:rsidR="00C432B3" w:rsidRDefault="00C432B3" w:rsidP="00C432B3">
            <w:pPr>
              <w:pStyle w:val="Default"/>
              <w:spacing w:before="120"/>
              <w:rPr>
                <w:sz w:val="22"/>
                <w:szCs w:val="22"/>
              </w:rPr>
            </w:pPr>
            <w:r w:rsidRPr="000B3DA4">
              <w:rPr>
                <w:sz w:val="22"/>
                <w:szCs w:val="22"/>
              </w:rPr>
              <w:t>Head Haematooncolgy Cancer Centre London</w:t>
            </w:r>
          </w:p>
          <w:p w14:paraId="76C9FB0C" w14:textId="77777777" w:rsidR="00C432B3" w:rsidRPr="000B3DA4" w:rsidRDefault="00C432B3" w:rsidP="00C432B3">
            <w:pPr>
              <w:pStyle w:val="Default"/>
              <w:rPr>
                <w:sz w:val="22"/>
                <w:szCs w:val="22"/>
              </w:rPr>
            </w:pPr>
            <w:r w:rsidRPr="000B3DA4">
              <w:rPr>
                <w:sz w:val="22"/>
                <w:szCs w:val="22"/>
              </w:rPr>
              <w:t>Chairman Conservative Health</w:t>
            </w:r>
          </w:p>
          <w:p w14:paraId="3DB0FCFC" w14:textId="77777777" w:rsidR="00C432B3" w:rsidRPr="000B3DA4" w:rsidRDefault="00C432B3" w:rsidP="00C432B3">
            <w:pPr>
              <w:pStyle w:val="Default"/>
              <w:rPr>
                <w:sz w:val="22"/>
                <w:szCs w:val="22"/>
              </w:rPr>
            </w:pPr>
            <w:r w:rsidRPr="000B3DA4">
              <w:rPr>
                <w:sz w:val="22"/>
                <w:szCs w:val="22"/>
              </w:rPr>
              <w:t>Co-Chair European Blood and Marrow Transplant Nuclear Accident Committee</w:t>
            </w:r>
          </w:p>
          <w:p w14:paraId="223C0CD3" w14:textId="49E632AD" w:rsidR="00C432B3" w:rsidRPr="000B622C" w:rsidRDefault="00C432B3" w:rsidP="00C432B3">
            <w:pPr>
              <w:spacing w:after="120"/>
              <w:rPr>
                <w:rFonts w:cs="Arial"/>
                <w:sz w:val="22"/>
                <w:szCs w:val="22"/>
              </w:rPr>
            </w:pPr>
            <w:r w:rsidRPr="000B3DA4">
              <w:rPr>
                <w:sz w:val="22"/>
                <w:szCs w:val="22"/>
              </w:rPr>
              <w:t>Co-Chair Global Emergency Nuclear Accident WBMT Society</w:t>
            </w:r>
          </w:p>
        </w:tc>
      </w:tr>
      <w:tr w:rsidR="00C432B3" w:rsidRPr="001D3ADD" w14:paraId="268CB4F0" w14:textId="77777777" w:rsidTr="00F579DF">
        <w:trPr>
          <w:trHeight w:val="267"/>
        </w:trPr>
        <w:tc>
          <w:tcPr>
            <w:tcW w:w="3190" w:type="dxa"/>
          </w:tcPr>
          <w:p w14:paraId="39C66D6D" w14:textId="0E875F43" w:rsidR="00C432B3" w:rsidRPr="00150FAF" w:rsidRDefault="00C432B3" w:rsidP="00C432B3">
            <w:pPr>
              <w:tabs>
                <w:tab w:val="left" w:pos="1642"/>
              </w:tabs>
              <w:spacing w:before="120" w:after="120"/>
              <w:rPr>
                <w:sz w:val="22"/>
                <w:szCs w:val="22"/>
              </w:rPr>
            </w:pPr>
            <w:r>
              <w:rPr>
                <w:sz w:val="22"/>
                <w:szCs w:val="22"/>
              </w:rPr>
              <w:t>Craig Prentice</w:t>
            </w:r>
          </w:p>
        </w:tc>
        <w:tc>
          <w:tcPr>
            <w:tcW w:w="6556" w:type="dxa"/>
          </w:tcPr>
          <w:p w14:paraId="742ABC74" w14:textId="7A5E4289" w:rsidR="00C432B3" w:rsidRPr="00150FAF" w:rsidRDefault="00C432B3" w:rsidP="00C432B3">
            <w:pPr>
              <w:spacing w:before="120" w:after="120"/>
              <w:rPr>
                <w:rFonts w:cs="Arial"/>
                <w:bCs/>
                <w:sz w:val="22"/>
                <w:szCs w:val="22"/>
              </w:rPr>
            </w:pPr>
            <w:r w:rsidRPr="000B622C">
              <w:rPr>
                <w:rFonts w:cs="Arial"/>
                <w:sz w:val="22"/>
                <w:szCs w:val="22"/>
              </w:rPr>
              <w:t>Advanced Paramedic Practitioner</w:t>
            </w:r>
            <w:r>
              <w:rPr>
                <w:rFonts w:cs="Arial"/>
                <w:sz w:val="22"/>
                <w:szCs w:val="22"/>
              </w:rPr>
              <w:t>, Surrey and Sussex Healthcare NHS Trust</w:t>
            </w:r>
          </w:p>
        </w:tc>
      </w:tr>
    </w:tbl>
    <w:p w14:paraId="7F062C55" w14:textId="77777777" w:rsidR="00D836F3" w:rsidRDefault="00D836F3" w:rsidP="00D836F3">
      <w:pPr>
        <w:ind w:left="-142" w:right="423"/>
        <w:jc w:val="both"/>
        <w:rPr>
          <w:sz w:val="22"/>
          <w:szCs w:val="22"/>
        </w:rPr>
      </w:pPr>
    </w:p>
    <w:p w14:paraId="2ADFAE38" w14:textId="77777777" w:rsidR="00D836F3" w:rsidRDefault="00D836F3" w:rsidP="00D836F3">
      <w:pPr>
        <w:ind w:left="-142" w:right="423"/>
        <w:jc w:val="both"/>
        <w:rPr>
          <w:sz w:val="22"/>
          <w:szCs w:val="22"/>
        </w:rPr>
      </w:pPr>
    </w:p>
    <w:p w14:paraId="622B5F33" w14:textId="77777777" w:rsidR="00D836F3" w:rsidRDefault="00D836F3" w:rsidP="00D836F3">
      <w:pPr>
        <w:ind w:left="-142" w:right="423"/>
        <w:jc w:val="both"/>
        <w:rPr>
          <w:sz w:val="22"/>
          <w:szCs w:val="22"/>
        </w:rPr>
      </w:pPr>
    </w:p>
    <w:p w14:paraId="34F024F5" w14:textId="77777777" w:rsidR="00D836F3" w:rsidRDefault="00D836F3" w:rsidP="00D836F3">
      <w:pPr>
        <w:ind w:left="-142" w:right="423"/>
        <w:jc w:val="both"/>
        <w:rPr>
          <w:sz w:val="22"/>
          <w:szCs w:val="22"/>
        </w:rPr>
      </w:pPr>
    </w:p>
    <w:p w14:paraId="7BC6A763" w14:textId="77777777" w:rsidR="00D836F3" w:rsidRDefault="00D836F3" w:rsidP="00D836F3">
      <w:pPr>
        <w:ind w:left="-142" w:right="423"/>
        <w:jc w:val="both"/>
        <w:rPr>
          <w:sz w:val="22"/>
          <w:szCs w:val="22"/>
        </w:rPr>
      </w:pPr>
    </w:p>
    <w:p w14:paraId="45222697" w14:textId="02C5E03B" w:rsidR="00D836F3" w:rsidRDefault="00D836F3" w:rsidP="007935A1">
      <w:pPr>
        <w:pStyle w:val="Heading4"/>
        <w:numPr>
          <w:ilvl w:val="0"/>
          <w:numId w:val="3"/>
        </w:numPr>
        <w:contextualSpacing/>
        <w:rPr>
          <w:rFonts w:ascii="Arial" w:hAnsi="Arial" w:cs="Arial"/>
          <w:sz w:val="24"/>
          <w:szCs w:val="24"/>
        </w:rPr>
      </w:pPr>
      <w:r>
        <w:rPr>
          <w:szCs w:val="24"/>
        </w:rPr>
        <w:br w:type="page"/>
      </w:r>
      <w:r w:rsidRPr="00CB5D91">
        <w:rPr>
          <w:rFonts w:ascii="Arial" w:hAnsi="Arial" w:cs="Arial"/>
          <w:sz w:val="24"/>
          <w:szCs w:val="24"/>
        </w:rPr>
        <w:t>Characteristics of Staff</w:t>
      </w:r>
    </w:p>
    <w:p w14:paraId="4A2F5283" w14:textId="77777777" w:rsidR="00D836F3" w:rsidRPr="00FE6654" w:rsidRDefault="00D836F3" w:rsidP="00D836F3">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D836F3" w:rsidRPr="00CB5D91" w14:paraId="2CA7C1A4" w14:textId="77777777" w:rsidTr="000B52F9">
        <w:tc>
          <w:tcPr>
            <w:tcW w:w="2970" w:type="dxa"/>
          </w:tcPr>
          <w:p w14:paraId="147D3566" w14:textId="77777777" w:rsidR="00D836F3" w:rsidRPr="00DF40E8" w:rsidRDefault="00D836F3" w:rsidP="000B52F9">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22763A50" w14:textId="19888BAE" w:rsidR="00D836F3" w:rsidRPr="00EF2750" w:rsidRDefault="00D836F3" w:rsidP="000B52F9">
            <w:pPr>
              <w:pStyle w:val="Header"/>
              <w:tabs>
                <w:tab w:val="left" w:pos="720"/>
              </w:tabs>
              <w:spacing w:before="120" w:after="120"/>
              <w:rPr>
                <w:rFonts w:ascii="Arial" w:hAnsi="Arial" w:cs="Arial"/>
                <w:sz w:val="22"/>
                <w:szCs w:val="22"/>
              </w:rPr>
            </w:pPr>
            <w:r>
              <w:rPr>
                <w:rFonts w:ascii="Arial" w:hAnsi="Arial" w:cs="Arial"/>
                <w:sz w:val="22"/>
                <w:szCs w:val="22"/>
              </w:rPr>
              <w:t xml:space="preserve">This protocol is intended for use by </w:t>
            </w:r>
            <w:r w:rsidR="00D35950" w:rsidRPr="00D35950">
              <w:rPr>
                <w:rFonts w:ascii="Arial" w:hAnsi="Arial" w:cs="Arial"/>
                <w:sz w:val="22"/>
                <w:szCs w:val="22"/>
              </w:rPr>
              <w:t>healthcare practitioners who have been appropriately trained and authorised by the service provider to work under this protocol</w:t>
            </w:r>
          </w:p>
        </w:tc>
      </w:tr>
    </w:tbl>
    <w:p w14:paraId="3ABC7B5B" w14:textId="77777777" w:rsidR="00D836F3" w:rsidRPr="003225CC" w:rsidRDefault="00D836F3" w:rsidP="00D836F3">
      <w:pPr>
        <w:overflowPunct/>
        <w:autoSpaceDE/>
        <w:autoSpaceDN/>
        <w:adjustRightInd/>
        <w:textAlignment w:val="auto"/>
        <w:rPr>
          <w:rFonts w:cs="Arial"/>
          <w:b/>
          <w:sz w:val="2"/>
          <w:szCs w:val="2"/>
        </w:rPr>
      </w:pPr>
    </w:p>
    <w:p w14:paraId="6BD53689" w14:textId="77777777" w:rsidR="00D836F3" w:rsidRPr="00B5718A" w:rsidRDefault="00D836F3" w:rsidP="00D836F3">
      <w:pPr>
        <w:overflowPunct/>
        <w:autoSpaceDE/>
        <w:autoSpaceDN/>
        <w:adjustRightInd/>
        <w:textAlignment w:val="auto"/>
        <w:rPr>
          <w:sz w:val="22"/>
          <w:szCs w:val="22"/>
        </w:rPr>
      </w:pPr>
    </w:p>
    <w:p w14:paraId="6D9A15DC" w14:textId="77777777" w:rsidR="00D836F3" w:rsidRPr="00FE6654" w:rsidRDefault="00D836F3" w:rsidP="00D836F3">
      <w:pPr>
        <w:pStyle w:val="ListParagraph"/>
        <w:numPr>
          <w:ilvl w:val="0"/>
          <w:numId w:val="3"/>
        </w:numPr>
        <w:ind w:left="714" w:hanging="357"/>
        <w:rPr>
          <w:b/>
          <w:szCs w:val="24"/>
        </w:rPr>
      </w:pPr>
      <w:r w:rsidRPr="00FE6654">
        <w:rPr>
          <w:b/>
          <w:szCs w:val="24"/>
        </w:rPr>
        <w:t>Clinical condition or situation to which this</w:t>
      </w:r>
      <w:r>
        <w:rPr>
          <w:b/>
          <w:szCs w:val="24"/>
        </w:rPr>
        <w:t xml:space="preserve"> protocol</w:t>
      </w:r>
      <w:r w:rsidRPr="00FE6654">
        <w:rPr>
          <w:b/>
          <w:szCs w:val="24"/>
        </w:rPr>
        <w:t xml:space="preserve"> applies.</w:t>
      </w:r>
    </w:p>
    <w:p w14:paraId="4B458EEF" w14:textId="77777777" w:rsidR="00D836F3" w:rsidRPr="0008353A" w:rsidRDefault="00D836F3" w:rsidP="00D836F3">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D836F3" w:rsidRPr="00CB5D91" w14:paraId="1146078B" w14:textId="77777777" w:rsidTr="000B52F9">
        <w:tc>
          <w:tcPr>
            <w:tcW w:w="2977" w:type="dxa"/>
          </w:tcPr>
          <w:p w14:paraId="468943F6" w14:textId="77777777" w:rsidR="00D836F3" w:rsidRPr="00436253" w:rsidRDefault="00D836F3" w:rsidP="000B52F9">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w:t>
            </w:r>
            <w:r>
              <w:rPr>
                <w:rFonts w:ascii="Arial" w:hAnsi="Arial" w:cs="Arial"/>
                <w:b/>
                <w:sz w:val="22"/>
                <w:szCs w:val="22"/>
              </w:rPr>
              <w:t xml:space="preserve"> protocol</w:t>
            </w:r>
            <w:r w:rsidRPr="00032A94">
              <w:rPr>
                <w:rFonts w:ascii="Arial" w:hAnsi="Arial" w:cs="Arial"/>
                <w:b/>
                <w:sz w:val="22"/>
                <w:szCs w:val="22"/>
              </w:rPr>
              <w:t xml:space="preserve"> applies</w:t>
            </w:r>
          </w:p>
        </w:tc>
        <w:tc>
          <w:tcPr>
            <w:tcW w:w="6946" w:type="dxa"/>
          </w:tcPr>
          <w:p w14:paraId="1B0105BE" w14:textId="77777777" w:rsidR="00D836F3" w:rsidRPr="002A5085" w:rsidRDefault="009D5B48" w:rsidP="000B52F9">
            <w:pPr>
              <w:pStyle w:val="BodyText3"/>
              <w:overflowPunct/>
              <w:autoSpaceDE/>
              <w:autoSpaceDN/>
              <w:adjustRightInd/>
              <w:spacing w:before="120"/>
              <w:textAlignment w:val="auto"/>
              <w:rPr>
                <w:sz w:val="22"/>
                <w:szCs w:val="22"/>
              </w:rPr>
            </w:pPr>
            <w:r w:rsidRPr="009D5B48">
              <w:rPr>
                <w:sz w:val="22"/>
                <w:szCs w:val="22"/>
              </w:rPr>
              <w:t>Known or suspected exposure to radioactiv</w:t>
            </w:r>
            <w:r w:rsidR="00AE25C9">
              <w:rPr>
                <w:sz w:val="22"/>
                <w:szCs w:val="22"/>
              </w:rPr>
              <w:t>e iodine or at risk of exposure, in an emergency situation.</w:t>
            </w:r>
          </w:p>
        </w:tc>
      </w:tr>
      <w:tr w:rsidR="00D836F3" w:rsidRPr="00CB5D91" w14:paraId="368A323A" w14:textId="77777777" w:rsidTr="000B52F9">
        <w:tc>
          <w:tcPr>
            <w:tcW w:w="2977" w:type="dxa"/>
          </w:tcPr>
          <w:p w14:paraId="469C17D8" w14:textId="77777777" w:rsidR="00D836F3" w:rsidRPr="00717869" w:rsidRDefault="00D836F3" w:rsidP="000B52F9">
            <w:pPr>
              <w:spacing w:before="120" w:after="120"/>
              <w:rPr>
                <w:rFonts w:cs="Arial"/>
                <w:b/>
                <w:sz w:val="22"/>
                <w:szCs w:val="22"/>
              </w:rPr>
            </w:pPr>
            <w:r w:rsidRPr="00717869">
              <w:rPr>
                <w:rFonts w:cs="Arial"/>
                <w:b/>
                <w:sz w:val="22"/>
                <w:szCs w:val="22"/>
              </w:rPr>
              <w:t>Criteria for inclusion</w:t>
            </w:r>
          </w:p>
        </w:tc>
        <w:tc>
          <w:tcPr>
            <w:tcW w:w="6946" w:type="dxa"/>
          </w:tcPr>
          <w:p w14:paraId="6D4B83B8" w14:textId="7C37FA7E" w:rsidR="009D5B48" w:rsidRPr="009D5B48" w:rsidRDefault="009D5B48" w:rsidP="009D5B48">
            <w:pPr>
              <w:spacing w:before="120" w:after="120"/>
              <w:rPr>
                <w:rFonts w:cs="Arial"/>
                <w:sz w:val="22"/>
                <w:szCs w:val="22"/>
              </w:rPr>
            </w:pPr>
            <w:r w:rsidRPr="009D5B48">
              <w:rPr>
                <w:rFonts w:cs="Arial"/>
                <w:sz w:val="22"/>
                <w:szCs w:val="22"/>
              </w:rPr>
              <w:t xml:space="preserve">All age groups </w:t>
            </w:r>
            <w:r w:rsidR="00F579DF">
              <w:rPr>
                <w:rFonts w:cs="Arial"/>
                <w:sz w:val="22"/>
                <w:szCs w:val="22"/>
              </w:rPr>
              <w:t>(</w:t>
            </w:r>
            <w:r w:rsidRPr="009D5B48">
              <w:rPr>
                <w:rFonts w:cs="Arial"/>
                <w:sz w:val="22"/>
                <w:szCs w:val="22"/>
              </w:rPr>
              <w:t>adults, including pregnant</w:t>
            </w:r>
            <w:r w:rsidR="00D35950">
              <w:rPr>
                <w:rFonts w:cs="Arial"/>
                <w:sz w:val="22"/>
                <w:szCs w:val="22"/>
              </w:rPr>
              <w:t xml:space="preserve"> or</w:t>
            </w:r>
            <w:r w:rsidRPr="009D5B48">
              <w:rPr>
                <w:rFonts w:cs="Arial"/>
                <w:sz w:val="22"/>
                <w:szCs w:val="22"/>
              </w:rPr>
              <w:t xml:space="preserve"> </w:t>
            </w:r>
            <w:r w:rsidR="00D35950">
              <w:rPr>
                <w:rFonts w:cs="Arial"/>
                <w:sz w:val="22"/>
                <w:szCs w:val="22"/>
              </w:rPr>
              <w:t>breast</w:t>
            </w:r>
            <w:r w:rsidR="007935A1">
              <w:rPr>
                <w:rFonts w:cs="Arial"/>
                <w:sz w:val="22"/>
                <w:szCs w:val="22"/>
              </w:rPr>
              <w:t>-</w:t>
            </w:r>
            <w:r w:rsidR="00D35950">
              <w:rPr>
                <w:rFonts w:cs="Arial"/>
                <w:sz w:val="22"/>
                <w:szCs w:val="22"/>
              </w:rPr>
              <w:t xml:space="preserve">feeding </w:t>
            </w:r>
            <w:r w:rsidR="00021750">
              <w:rPr>
                <w:rFonts w:cs="Arial"/>
                <w:sz w:val="22"/>
                <w:szCs w:val="22"/>
              </w:rPr>
              <w:t>individuals</w:t>
            </w:r>
            <w:r w:rsidRPr="009D5B48">
              <w:rPr>
                <w:rFonts w:cs="Arial"/>
                <w:sz w:val="22"/>
                <w:szCs w:val="22"/>
              </w:rPr>
              <w:t>, children, babies and neonates</w:t>
            </w:r>
            <w:r w:rsidR="00F579DF">
              <w:rPr>
                <w:rFonts w:cs="Arial"/>
                <w:sz w:val="22"/>
                <w:szCs w:val="22"/>
              </w:rPr>
              <w:t>)</w:t>
            </w:r>
            <w:r w:rsidRPr="009D5B48">
              <w:rPr>
                <w:rFonts w:cs="Arial"/>
                <w:sz w:val="22"/>
                <w:szCs w:val="22"/>
              </w:rPr>
              <w:t>:</w:t>
            </w:r>
          </w:p>
          <w:p w14:paraId="05092A46" w14:textId="77777777" w:rsidR="009D5B48" w:rsidRPr="009D5B48" w:rsidRDefault="009D5B48" w:rsidP="009D5B48">
            <w:pPr>
              <w:spacing w:after="120"/>
              <w:ind w:left="317" w:hanging="283"/>
              <w:rPr>
                <w:rFonts w:cs="Arial"/>
                <w:sz w:val="22"/>
                <w:szCs w:val="22"/>
              </w:rPr>
            </w:pPr>
            <w:r>
              <w:rPr>
                <w:rFonts w:cs="Arial"/>
                <w:sz w:val="22"/>
                <w:szCs w:val="22"/>
              </w:rPr>
              <w:t xml:space="preserve">1. </w:t>
            </w:r>
            <w:r w:rsidRPr="009D5B48">
              <w:rPr>
                <w:rFonts w:cs="Arial"/>
                <w:sz w:val="22"/>
                <w:szCs w:val="22"/>
              </w:rPr>
              <w:t xml:space="preserve">With known or suspected </w:t>
            </w:r>
            <w:r w:rsidR="00AE25C9">
              <w:rPr>
                <w:rFonts w:cs="Arial"/>
                <w:sz w:val="22"/>
                <w:szCs w:val="22"/>
              </w:rPr>
              <w:t xml:space="preserve">imminent </w:t>
            </w:r>
            <w:r w:rsidRPr="009D5B48">
              <w:rPr>
                <w:rFonts w:cs="Arial"/>
                <w:sz w:val="22"/>
                <w:szCs w:val="22"/>
              </w:rPr>
              <w:t>exposure to radioactive iodine or at risk of exposure</w:t>
            </w:r>
          </w:p>
          <w:p w14:paraId="4BA77FCB" w14:textId="2455BA8F" w:rsidR="009D5B48" w:rsidRPr="009D5B48" w:rsidRDefault="009D5B48" w:rsidP="009D5B48">
            <w:pPr>
              <w:spacing w:after="120"/>
              <w:rPr>
                <w:rFonts w:cs="Arial"/>
                <w:sz w:val="22"/>
                <w:szCs w:val="22"/>
              </w:rPr>
            </w:pPr>
            <w:r>
              <w:rPr>
                <w:rFonts w:cs="Arial"/>
                <w:sz w:val="22"/>
                <w:szCs w:val="22"/>
              </w:rPr>
              <w:t xml:space="preserve">2. </w:t>
            </w:r>
            <w:r w:rsidRPr="009D5B48">
              <w:rPr>
                <w:rFonts w:cs="Arial"/>
                <w:sz w:val="22"/>
                <w:szCs w:val="22"/>
              </w:rPr>
              <w:t xml:space="preserve">As a precautionary countermeasure as declared by </w:t>
            </w:r>
            <w:r w:rsidR="00F579DF">
              <w:rPr>
                <w:rFonts w:cs="Arial"/>
                <w:sz w:val="22"/>
                <w:szCs w:val="22"/>
              </w:rPr>
              <w:t>the UKHSA</w:t>
            </w:r>
          </w:p>
          <w:p w14:paraId="73DE69B5" w14:textId="4F237557" w:rsidR="00D836F3" w:rsidRPr="009D5B48" w:rsidRDefault="009D5B48" w:rsidP="009D5B48">
            <w:pPr>
              <w:spacing w:after="120"/>
              <w:rPr>
                <w:rFonts w:cs="Arial"/>
                <w:sz w:val="22"/>
                <w:szCs w:val="22"/>
              </w:rPr>
            </w:pPr>
            <w:r w:rsidRPr="009D5B48">
              <w:rPr>
                <w:rFonts w:cs="Arial"/>
                <w:sz w:val="22"/>
                <w:szCs w:val="22"/>
              </w:rPr>
              <w:t xml:space="preserve">Note: Pregnant and </w:t>
            </w:r>
            <w:r w:rsidR="00021750">
              <w:rPr>
                <w:rFonts w:cs="Arial"/>
                <w:sz w:val="22"/>
                <w:szCs w:val="22"/>
              </w:rPr>
              <w:t>breast-feeding individuals</w:t>
            </w:r>
            <w:r w:rsidRPr="009D5B48">
              <w:rPr>
                <w:rFonts w:cs="Arial"/>
                <w:sz w:val="22"/>
                <w:szCs w:val="22"/>
              </w:rPr>
              <w:t xml:space="preserve">, neonates, infants and children are a priority for treatment. Prophylactic administration of potassium iodide to pregnant </w:t>
            </w:r>
            <w:r w:rsidR="00021750">
              <w:rPr>
                <w:rFonts w:cs="Arial"/>
                <w:sz w:val="22"/>
                <w:szCs w:val="22"/>
              </w:rPr>
              <w:t>individuals</w:t>
            </w:r>
            <w:r w:rsidRPr="009D5B48">
              <w:rPr>
                <w:rFonts w:cs="Arial"/>
                <w:sz w:val="22"/>
                <w:szCs w:val="22"/>
              </w:rPr>
              <w:t xml:space="preserve"> is also effective in </w:t>
            </w:r>
            <w:r w:rsidR="00D274DE">
              <w:rPr>
                <w:rFonts w:cs="Arial"/>
                <w:sz w:val="22"/>
                <w:szCs w:val="22"/>
              </w:rPr>
              <w:t>protecting the thyroid of the f</w:t>
            </w:r>
            <w:r w:rsidR="00962B85">
              <w:rPr>
                <w:rFonts w:cs="Arial"/>
                <w:sz w:val="22"/>
                <w:szCs w:val="22"/>
              </w:rPr>
              <w:t>o</w:t>
            </w:r>
            <w:r w:rsidRPr="009D5B48">
              <w:rPr>
                <w:rFonts w:cs="Arial"/>
                <w:sz w:val="22"/>
                <w:szCs w:val="22"/>
              </w:rPr>
              <w:t>etus</w:t>
            </w:r>
            <w:r w:rsidR="00D274DE">
              <w:rPr>
                <w:rFonts w:cs="Arial"/>
                <w:sz w:val="22"/>
                <w:szCs w:val="22"/>
              </w:rPr>
              <w:t>.</w:t>
            </w:r>
          </w:p>
        </w:tc>
      </w:tr>
      <w:tr w:rsidR="00D836F3" w:rsidRPr="00CB5D91" w14:paraId="6A0FF2F7" w14:textId="77777777" w:rsidTr="000B52F9">
        <w:tc>
          <w:tcPr>
            <w:tcW w:w="2977" w:type="dxa"/>
            <w:tcBorders>
              <w:bottom w:val="single" w:sz="4" w:space="0" w:color="auto"/>
            </w:tcBorders>
          </w:tcPr>
          <w:p w14:paraId="6EB59D14" w14:textId="77777777" w:rsidR="00D836F3" w:rsidRDefault="00D836F3" w:rsidP="000B52F9">
            <w:pPr>
              <w:spacing w:before="120" w:after="120"/>
              <w:rPr>
                <w:rFonts w:cs="Arial"/>
                <w:b/>
                <w:sz w:val="22"/>
                <w:szCs w:val="22"/>
              </w:rPr>
            </w:pPr>
            <w:r w:rsidRPr="00717869">
              <w:rPr>
                <w:rFonts w:cs="Arial"/>
                <w:b/>
                <w:sz w:val="22"/>
                <w:szCs w:val="22"/>
              </w:rPr>
              <w:t>Criteria for exclusion</w:t>
            </w:r>
          </w:p>
          <w:p w14:paraId="48580971" w14:textId="77777777" w:rsidR="00D836F3" w:rsidRDefault="00D836F3" w:rsidP="000B52F9">
            <w:pPr>
              <w:spacing w:before="120" w:after="120"/>
              <w:rPr>
                <w:rFonts w:cs="Arial"/>
                <w:b/>
                <w:sz w:val="22"/>
                <w:szCs w:val="22"/>
              </w:rPr>
            </w:pPr>
          </w:p>
          <w:p w14:paraId="746F1395" w14:textId="77777777" w:rsidR="00D836F3" w:rsidRDefault="00D836F3" w:rsidP="000B52F9">
            <w:pPr>
              <w:spacing w:before="120" w:after="120"/>
              <w:contextualSpacing/>
              <w:rPr>
                <w:rFonts w:cs="Arial"/>
                <w:sz w:val="22"/>
                <w:szCs w:val="22"/>
              </w:rPr>
            </w:pPr>
          </w:p>
          <w:p w14:paraId="644F2BAB" w14:textId="77777777" w:rsidR="00D836F3" w:rsidRPr="0038578B" w:rsidRDefault="00D836F3" w:rsidP="000B52F9">
            <w:pPr>
              <w:spacing w:before="120" w:after="120"/>
              <w:contextualSpacing/>
              <w:rPr>
                <w:rFonts w:cs="Arial"/>
                <w:sz w:val="22"/>
                <w:szCs w:val="22"/>
              </w:rPr>
            </w:pPr>
          </w:p>
          <w:p w14:paraId="4C4B38BB" w14:textId="77777777" w:rsidR="00D836F3" w:rsidRPr="007E045E" w:rsidRDefault="00D836F3" w:rsidP="000B52F9">
            <w:pPr>
              <w:spacing w:before="120" w:after="120"/>
              <w:rPr>
                <w:rFonts w:cs="Arial"/>
                <w:b/>
                <w:sz w:val="22"/>
                <w:szCs w:val="22"/>
              </w:rPr>
            </w:pPr>
          </w:p>
        </w:tc>
        <w:tc>
          <w:tcPr>
            <w:tcW w:w="6946" w:type="dxa"/>
          </w:tcPr>
          <w:p w14:paraId="54F42195" w14:textId="77777777" w:rsidR="00684862" w:rsidRDefault="00684862" w:rsidP="00684862">
            <w:pPr>
              <w:spacing w:before="120" w:after="120"/>
              <w:rPr>
                <w:rFonts w:cs="Arial"/>
                <w:color w:val="000000"/>
                <w:sz w:val="22"/>
                <w:szCs w:val="22"/>
              </w:rPr>
            </w:pPr>
            <w:r>
              <w:rPr>
                <w:rFonts w:cs="Arial"/>
                <w:color w:val="000000"/>
                <w:sz w:val="22"/>
                <w:szCs w:val="22"/>
              </w:rPr>
              <w:t>Individuals are excluded from this protocol if:</w:t>
            </w:r>
          </w:p>
          <w:p w14:paraId="34B944E5" w14:textId="77777777" w:rsidR="00684862" w:rsidRDefault="00684862" w:rsidP="00684862">
            <w:pPr>
              <w:pStyle w:val="ListParagraph"/>
              <w:numPr>
                <w:ilvl w:val="0"/>
                <w:numId w:val="20"/>
              </w:numPr>
              <w:spacing w:before="120" w:after="120"/>
              <w:ind w:left="346" w:hanging="346"/>
              <w:contextualSpacing w:val="0"/>
              <w:rPr>
                <w:rFonts w:cs="Arial"/>
                <w:color w:val="000000"/>
                <w:sz w:val="22"/>
                <w:szCs w:val="22"/>
              </w:rPr>
            </w:pPr>
            <w:r w:rsidRPr="00184024">
              <w:rPr>
                <w:rFonts w:cs="Arial"/>
                <w:color w:val="000000"/>
                <w:sz w:val="22"/>
                <w:szCs w:val="22"/>
              </w:rPr>
              <w:t>24 hours or more has passed since</w:t>
            </w:r>
            <w:r>
              <w:rPr>
                <w:rFonts w:cs="Arial"/>
                <w:color w:val="000000"/>
                <w:sz w:val="22"/>
                <w:szCs w:val="22"/>
              </w:rPr>
              <w:t xml:space="preserve"> the</w:t>
            </w:r>
            <w:r w:rsidRPr="00184024">
              <w:rPr>
                <w:rFonts w:cs="Arial"/>
                <w:color w:val="000000"/>
                <w:sz w:val="22"/>
                <w:szCs w:val="22"/>
              </w:rPr>
              <w:t xml:space="preserve"> known or suspected exposure to radioactive iodine </w:t>
            </w:r>
          </w:p>
          <w:p w14:paraId="4294D105" w14:textId="77777777" w:rsidR="00684862" w:rsidRDefault="00684862" w:rsidP="00684862">
            <w:pPr>
              <w:pStyle w:val="ListParagraph"/>
              <w:numPr>
                <w:ilvl w:val="0"/>
                <w:numId w:val="20"/>
              </w:numPr>
              <w:spacing w:before="120" w:after="120"/>
              <w:ind w:left="346" w:hanging="346"/>
              <w:contextualSpacing w:val="0"/>
              <w:rPr>
                <w:rFonts w:cs="Arial"/>
                <w:color w:val="000000"/>
                <w:sz w:val="22"/>
                <w:szCs w:val="22"/>
              </w:rPr>
            </w:pPr>
            <w:r>
              <w:rPr>
                <w:rFonts w:cs="Arial"/>
                <w:color w:val="000000"/>
                <w:sz w:val="22"/>
                <w:szCs w:val="22"/>
              </w:rPr>
              <w:t xml:space="preserve">They have experienced </w:t>
            </w:r>
            <w:r w:rsidRPr="00184024">
              <w:rPr>
                <w:rFonts w:cs="Arial"/>
                <w:color w:val="000000"/>
                <w:sz w:val="22"/>
                <w:szCs w:val="22"/>
              </w:rPr>
              <w:t>anaphylaxis, severe allergy or sensitivity to any iodine containing medicines or any of the excipients in the tablets</w:t>
            </w:r>
          </w:p>
          <w:p w14:paraId="62237FC3" w14:textId="77777777" w:rsidR="00684862" w:rsidRPr="00184024" w:rsidRDefault="00684862" w:rsidP="00684862">
            <w:pPr>
              <w:pStyle w:val="ListParagraph"/>
              <w:numPr>
                <w:ilvl w:val="0"/>
                <w:numId w:val="20"/>
              </w:numPr>
              <w:spacing w:before="120" w:after="120"/>
              <w:ind w:left="346" w:hanging="346"/>
              <w:contextualSpacing w:val="0"/>
              <w:rPr>
                <w:rFonts w:cs="Arial"/>
                <w:color w:val="000000"/>
                <w:sz w:val="22"/>
                <w:szCs w:val="22"/>
              </w:rPr>
            </w:pPr>
            <w:r>
              <w:rPr>
                <w:rFonts w:cs="Arial"/>
                <w:color w:val="000000"/>
                <w:sz w:val="22"/>
                <w:szCs w:val="22"/>
              </w:rPr>
              <w:t xml:space="preserve">They have </w:t>
            </w:r>
            <w:r w:rsidRPr="00184024">
              <w:rPr>
                <w:rFonts w:cs="Arial"/>
                <w:color w:val="000000"/>
                <w:sz w:val="22"/>
                <w:szCs w:val="22"/>
              </w:rPr>
              <w:t>dermatitis herpetiformis or hypocomplementaemic vasculitis</w:t>
            </w:r>
          </w:p>
          <w:p w14:paraId="44D63DDC" w14:textId="0A91A36C" w:rsidR="00D836F3" w:rsidRPr="009D5B48" w:rsidRDefault="00583290" w:rsidP="007935A1">
            <w:pPr>
              <w:spacing w:before="240" w:after="120"/>
              <w:rPr>
                <w:rFonts w:cs="Arial"/>
                <w:color w:val="000000"/>
                <w:sz w:val="22"/>
                <w:szCs w:val="22"/>
              </w:rPr>
            </w:pPr>
            <w:r w:rsidRPr="00583290">
              <w:rPr>
                <w:rFonts w:cs="Arial"/>
                <w:sz w:val="22"/>
                <w:szCs w:val="22"/>
              </w:rPr>
              <w:t xml:space="preserve">Pregnancy and hyperthyroidism are </w:t>
            </w:r>
            <w:r w:rsidRPr="00583290">
              <w:rPr>
                <w:rFonts w:cs="Arial"/>
                <w:b/>
                <w:sz w:val="22"/>
                <w:szCs w:val="22"/>
              </w:rPr>
              <w:t xml:space="preserve">not </w:t>
            </w:r>
            <w:r w:rsidRPr="00583290">
              <w:rPr>
                <w:rFonts w:cs="Arial"/>
                <w:sz w:val="22"/>
                <w:szCs w:val="22"/>
              </w:rPr>
              <w:t>exclusion criteria</w:t>
            </w:r>
            <w:r w:rsidRPr="00583290">
              <w:rPr>
                <w:rFonts w:cs="Arial"/>
                <w:sz w:val="22"/>
                <w:szCs w:val="22"/>
                <w:vertAlign w:val="superscript"/>
              </w:rPr>
              <w:footnoteReference w:id="2"/>
            </w:r>
            <w:r w:rsidRPr="00583290">
              <w:rPr>
                <w:rFonts w:cs="Arial"/>
                <w:sz w:val="22"/>
                <w:szCs w:val="22"/>
              </w:rPr>
              <w:t>.</w:t>
            </w:r>
          </w:p>
        </w:tc>
      </w:tr>
      <w:tr w:rsidR="009D5B48" w:rsidRPr="0064061D" w14:paraId="4CBADBE8" w14:textId="77777777" w:rsidTr="000B52F9">
        <w:tc>
          <w:tcPr>
            <w:tcW w:w="2977" w:type="dxa"/>
          </w:tcPr>
          <w:p w14:paraId="75CD0A05" w14:textId="77777777" w:rsidR="009D5B48" w:rsidRDefault="009D5B48" w:rsidP="00B84D21">
            <w:pPr>
              <w:spacing w:before="120" w:after="120"/>
              <w:rPr>
                <w:rFonts w:cs="Arial"/>
                <w:b/>
                <w:sz w:val="22"/>
                <w:szCs w:val="22"/>
              </w:rPr>
            </w:pPr>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patient is </w:t>
            </w:r>
            <w:r w:rsidRPr="004010D7">
              <w:rPr>
                <w:rFonts w:cs="Arial"/>
                <w:b/>
                <w:sz w:val="22"/>
                <w:szCs w:val="22"/>
              </w:rPr>
              <w:t>excluded</w:t>
            </w:r>
          </w:p>
        </w:tc>
        <w:tc>
          <w:tcPr>
            <w:tcW w:w="6946" w:type="dxa"/>
          </w:tcPr>
          <w:p w14:paraId="56064672" w14:textId="77777777" w:rsidR="003E6F4F" w:rsidRDefault="009D5B48" w:rsidP="00B84D21">
            <w:pPr>
              <w:pStyle w:val="Header"/>
              <w:spacing w:before="120" w:after="120"/>
            </w:pPr>
            <w:r w:rsidRPr="009D5B48">
              <w:rPr>
                <w:rFonts w:ascii="Arial" w:hAnsi="Arial" w:cs="Arial"/>
                <w:sz w:val="22"/>
                <w:szCs w:val="22"/>
              </w:rPr>
              <w:t>Explain why they have been excluded and refer the individual to the supervising doctor.</w:t>
            </w:r>
            <w:r w:rsidR="00F3403D">
              <w:t xml:space="preserve"> </w:t>
            </w:r>
          </w:p>
          <w:p w14:paraId="49C95B28" w14:textId="1A57F3C4" w:rsidR="009D5B48" w:rsidRPr="009D5B48" w:rsidRDefault="00F3403D" w:rsidP="00B84D21">
            <w:pPr>
              <w:pStyle w:val="Header"/>
              <w:spacing w:before="120" w:after="120"/>
              <w:rPr>
                <w:rFonts w:ascii="Arial" w:eastAsia="Arial" w:hAnsi="Arial" w:cs="Arial"/>
                <w:spacing w:val="-37"/>
                <w:sz w:val="22"/>
                <w:szCs w:val="22"/>
              </w:rPr>
            </w:pPr>
            <w:r w:rsidRPr="00F3403D">
              <w:rPr>
                <w:rFonts w:ascii="Arial" w:hAnsi="Arial" w:cs="Arial"/>
                <w:sz w:val="22"/>
                <w:szCs w:val="22"/>
              </w:rPr>
              <w:t>If the supervising doctor decides the product can be administered, the doctor will need to provide a Patient Specific Direction</w:t>
            </w:r>
            <w:r w:rsidR="002D503C">
              <w:rPr>
                <w:rFonts w:ascii="Arial" w:hAnsi="Arial" w:cs="Arial"/>
                <w:sz w:val="22"/>
                <w:szCs w:val="22"/>
              </w:rPr>
              <w:t>.</w:t>
            </w:r>
          </w:p>
        </w:tc>
      </w:tr>
      <w:tr w:rsidR="009D5B48" w:rsidRPr="0064061D" w14:paraId="0541B4CE" w14:textId="77777777" w:rsidTr="000B52F9">
        <w:tc>
          <w:tcPr>
            <w:tcW w:w="2977" w:type="dxa"/>
          </w:tcPr>
          <w:p w14:paraId="37932CF9" w14:textId="77777777" w:rsidR="009D5B48" w:rsidRPr="004010D7" w:rsidRDefault="009D5B48" w:rsidP="00CA01A1">
            <w:pPr>
              <w:pStyle w:val="Header"/>
              <w:tabs>
                <w:tab w:val="left" w:pos="720"/>
              </w:tabs>
              <w:spacing w:before="120" w:after="120"/>
              <w:rPr>
                <w:rFonts w:ascii="Arial" w:hAnsi="Arial" w:cs="Arial"/>
                <w:b/>
                <w:sz w:val="22"/>
                <w:szCs w:val="22"/>
              </w:rPr>
            </w:pPr>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Pr="004010D7">
              <w:rPr>
                <w:rFonts w:ascii="Arial" w:hAnsi="Arial" w:cs="Arial"/>
                <w:b/>
                <w:sz w:val="22"/>
                <w:szCs w:val="22"/>
              </w:rPr>
              <w:t xml:space="preserve">patient </w:t>
            </w:r>
            <w:r>
              <w:rPr>
                <w:rFonts w:ascii="Arial" w:hAnsi="Arial" w:cs="Arial"/>
                <w:b/>
                <w:sz w:val="22"/>
                <w:szCs w:val="22"/>
              </w:rPr>
              <w:t xml:space="preserve">or carer </w:t>
            </w:r>
            <w:r w:rsidRPr="004010D7">
              <w:rPr>
                <w:rFonts w:ascii="Arial" w:hAnsi="Arial" w:cs="Arial"/>
                <w:b/>
                <w:sz w:val="22"/>
                <w:szCs w:val="22"/>
              </w:rPr>
              <w:t>declines treatment</w:t>
            </w:r>
          </w:p>
        </w:tc>
        <w:tc>
          <w:tcPr>
            <w:tcW w:w="6946" w:type="dxa"/>
          </w:tcPr>
          <w:p w14:paraId="24311032" w14:textId="77777777" w:rsidR="009D5B48" w:rsidRPr="009D5B48" w:rsidRDefault="009D5B48" w:rsidP="00CA01A1">
            <w:pPr>
              <w:spacing w:before="120" w:after="120"/>
              <w:rPr>
                <w:rFonts w:cs="Arial"/>
                <w:sz w:val="22"/>
                <w:szCs w:val="22"/>
              </w:rPr>
            </w:pPr>
            <w:r w:rsidRPr="009D5B48">
              <w:rPr>
                <w:rFonts w:cs="Arial"/>
                <w:sz w:val="22"/>
                <w:szCs w:val="22"/>
              </w:rPr>
              <w:t>Advise the individual or their carer of the possible consequences of refusing treatment and about its protective effects.</w:t>
            </w:r>
          </w:p>
          <w:p w14:paraId="09470970" w14:textId="77777777" w:rsidR="009D5B48" w:rsidRPr="0064061D" w:rsidRDefault="009D5B48" w:rsidP="00CA01A1">
            <w:pPr>
              <w:spacing w:after="120"/>
              <w:rPr>
                <w:rFonts w:cs="Arial"/>
                <w:sz w:val="22"/>
                <w:szCs w:val="22"/>
              </w:rPr>
            </w:pPr>
            <w:r w:rsidRPr="009D5B48">
              <w:rPr>
                <w:rFonts w:cs="Arial"/>
                <w:sz w:val="22"/>
                <w:szCs w:val="22"/>
              </w:rPr>
              <w:t>Refer the individual to the supervising doctor.</w:t>
            </w:r>
          </w:p>
        </w:tc>
      </w:tr>
    </w:tbl>
    <w:p w14:paraId="4450181A" w14:textId="77777777" w:rsidR="00D836F3" w:rsidRPr="006D6C62" w:rsidRDefault="00D836F3" w:rsidP="006D6C62">
      <w:pPr>
        <w:pStyle w:val="ListParagraph"/>
        <w:numPr>
          <w:ilvl w:val="0"/>
          <w:numId w:val="3"/>
        </w:numPr>
        <w:spacing w:before="120" w:after="120"/>
        <w:ind w:left="714" w:hanging="357"/>
        <w:rPr>
          <w:rFonts w:cs="Arial"/>
          <w:b/>
          <w:szCs w:val="24"/>
        </w:rPr>
      </w:pPr>
      <w:r w:rsidRPr="009D5B48">
        <w:rPr>
          <w:rFonts w:cs="Arial"/>
          <w:b/>
          <w:szCs w:val="24"/>
        </w:rPr>
        <w:br w:type="page"/>
        <w:t>Description of Treatment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6991"/>
      </w:tblGrid>
      <w:tr w:rsidR="00BB17A6" w:rsidRPr="007C1B5E" w14:paraId="00D6878B" w14:textId="77777777" w:rsidTr="000B52F9">
        <w:tc>
          <w:tcPr>
            <w:tcW w:w="2790" w:type="dxa"/>
          </w:tcPr>
          <w:p w14:paraId="4FB98153" w14:textId="77777777" w:rsidR="00BB17A6" w:rsidRPr="007C1B5E" w:rsidRDefault="00BB17A6" w:rsidP="000B52F9">
            <w:pPr>
              <w:spacing w:before="120" w:after="120"/>
              <w:rPr>
                <w:rFonts w:cs="Arial"/>
                <w:b/>
                <w:sz w:val="22"/>
                <w:szCs w:val="22"/>
              </w:rPr>
            </w:pPr>
            <w:r w:rsidRPr="007C1B5E">
              <w:rPr>
                <w:rFonts w:cs="Arial"/>
                <w:b/>
                <w:sz w:val="22"/>
                <w:szCs w:val="22"/>
              </w:rPr>
              <w:t>Name, strength &amp; formulation of drug</w:t>
            </w:r>
          </w:p>
        </w:tc>
        <w:tc>
          <w:tcPr>
            <w:tcW w:w="6991" w:type="dxa"/>
          </w:tcPr>
          <w:p w14:paraId="1AA32BDD" w14:textId="77777777" w:rsidR="00BB17A6" w:rsidRPr="006D6C62" w:rsidRDefault="00BB17A6" w:rsidP="006D6C62">
            <w:pPr>
              <w:tabs>
                <w:tab w:val="left" w:pos="252"/>
              </w:tabs>
              <w:spacing w:before="120" w:after="120"/>
              <w:rPr>
                <w:rFonts w:cs="Arial"/>
                <w:sz w:val="22"/>
                <w:szCs w:val="22"/>
              </w:rPr>
            </w:pPr>
            <w:r>
              <w:rPr>
                <w:rFonts w:cs="Arial"/>
                <w:sz w:val="22"/>
                <w:szCs w:val="22"/>
              </w:rPr>
              <w:t>Potassium iodide 6</w:t>
            </w:r>
            <w:r w:rsidRPr="00BA19D3">
              <w:rPr>
                <w:rFonts w:cs="Arial"/>
                <w:sz w:val="22"/>
                <w:szCs w:val="22"/>
              </w:rPr>
              <w:t>5mg tablets equivalent to 50mg of iodine</w:t>
            </w:r>
          </w:p>
        </w:tc>
      </w:tr>
      <w:tr w:rsidR="00BB17A6" w:rsidRPr="007C1B5E" w14:paraId="61CE1083" w14:textId="77777777" w:rsidTr="000B52F9">
        <w:tc>
          <w:tcPr>
            <w:tcW w:w="2790" w:type="dxa"/>
          </w:tcPr>
          <w:p w14:paraId="411A9332" w14:textId="77777777" w:rsidR="00BB17A6" w:rsidRPr="007C1B5E" w:rsidRDefault="00BB17A6" w:rsidP="000B52F9">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6991" w:type="dxa"/>
          </w:tcPr>
          <w:p w14:paraId="338DCBBE" w14:textId="77777777" w:rsidR="00BB17A6" w:rsidRPr="00BA19D3" w:rsidRDefault="00BB17A6" w:rsidP="000B52F9">
            <w:pPr>
              <w:spacing w:before="120" w:after="120"/>
              <w:rPr>
                <w:sz w:val="22"/>
                <w:szCs w:val="22"/>
              </w:rPr>
            </w:pPr>
            <w:r w:rsidRPr="00BA19D3">
              <w:rPr>
                <w:rFonts w:cs="Arial"/>
                <w:sz w:val="22"/>
                <w:szCs w:val="22"/>
              </w:rPr>
              <w:t>Pharmacy only (P) medicine</w:t>
            </w:r>
          </w:p>
        </w:tc>
      </w:tr>
      <w:tr w:rsidR="00BB17A6" w:rsidRPr="007C1B5E" w14:paraId="16F19945" w14:textId="77777777" w:rsidTr="000B52F9">
        <w:tc>
          <w:tcPr>
            <w:tcW w:w="2790" w:type="dxa"/>
          </w:tcPr>
          <w:p w14:paraId="395C5F49" w14:textId="77777777" w:rsidR="00BB17A6" w:rsidRPr="0034683E" w:rsidRDefault="00BB17A6" w:rsidP="000B52F9">
            <w:pPr>
              <w:spacing w:before="120" w:after="120"/>
              <w:rPr>
                <w:rFonts w:cs="Arial"/>
                <w:b/>
                <w:sz w:val="22"/>
                <w:szCs w:val="22"/>
              </w:rPr>
            </w:pPr>
            <w:r w:rsidRPr="0034683E">
              <w:rPr>
                <w:rFonts w:cs="Arial"/>
                <w:b/>
                <w:sz w:val="22"/>
                <w:szCs w:val="22"/>
              </w:rPr>
              <w:t>Black Triangle</w:t>
            </w:r>
            <w:r w:rsidRPr="0034683E">
              <w:rPr>
                <w:rFonts w:cs="Arial"/>
                <w:b/>
                <w:sz w:val="22"/>
                <w:szCs w:val="22"/>
              </w:rPr>
              <w:sym w:font="Wingdings 3" w:char="F071"/>
            </w:r>
            <w:r w:rsidRPr="0034683E">
              <w:rPr>
                <w:rFonts w:cs="Arial"/>
                <w:b/>
                <w:sz w:val="22"/>
                <w:szCs w:val="22"/>
              </w:rPr>
              <w:t xml:space="preserve"> </w:t>
            </w:r>
          </w:p>
        </w:tc>
        <w:tc>
          <w:tcPr>
            <w:tcW w:w="6991" w:type="dxa"/>
          </w:tcPr>
          <w:p w14:paraId="27C04A5D" w14:textId="77777777" w:rsidR="00BB17A6" w:rsidRPr="00BA19D3" w:rsidRDefault="00BB17A6" w:rsidP="000B52F9">
            <w:pPr>
              <w:spacing w:before="120" w:after="120"/>
              <w:rPr>
                <w:sz w:val="22"/>
                <w:szCs w:val="22"/>
              </w:rPr>
            </w:pPr>
            <w:r w:rsidRPr="00BA19D3">
              <w:rPr>
                <w:sz w:val="22"/>
                <w:szCs w:val="22"/>
              </w:rPr>
              <w:t>No</w:t>
            </w:r>
          </w:p>
        </w:tc>
      </w:tr>
      <w:tr w:rsidR="00BB17A6" w:rsidRPr="007C1B5E" w14:paraId="2422E508" w14:textId="77777777" w:rsidTr="000B52F9">
        <w:tc>
          <w:tcPr>
            <w:tcW w:w="2790" w:type="dxa"/>
          </w:tcPr>
          <w:p w14:paraId="4D91AA7B" w14:textId="77777777" w:rsidR="00BB17A6" w:rsidRPr="0034683E" w:rsidRDefault="00BB17A6" w:rsidP="000B52F9">
            <w:pPr>
              <w:spacing w:before="120" w:after="120"/>
              <w:rPr>
                <w:rFonts w:cs="Arial"/>
                <w:b/>
                <w:sz w:val="22"/>
                <w:szCs w:val="22"/>
              </w:rPr>
            </w:pPr>
            <w:r>
              <w:rPr>
                <w:rFonts w:cs="Arial"/>
                <w:b/>
                <w:sz w:val="22"/>
                <w:szCs w:val="22"/>
              </w:rPr>
              <w:t>Off-</w:t>
            </w:r>
            <w:r w:rsidRPr="0034683E">
              <w:rPr>
                <w:rFonts w:cs="Arial"/>
                <w:b/>
                <w:sz w:val="22"/>
                <w:szCs w:val="22"/>
              </w:rPr>
              <w:t>label use</w:t>
            </w:r>
          </w:p>
        </w:tc>
        <w:tc>
          <w:tcPr>
            <w:tcW w:w="6991" w:type="dxa"/>
          </w:tcPr>
          <w:p w14:paraId="68461649" w14:textId="77777777" w:rsidR="00BB17A6" w:rsidRDefault="00BB17A6" w:rsidP="000B52F9">
            <w:pPr>
              <w:spacing w:before="120" w:after="120"/>
              <w:rPr>
                <w:rFonts w:cs="Arial"/>
                <w:sz w:val="22"/>
                <w:szCs w:val="22"/>
              </w:rPr>
            </w:pPr>
            <w:r>
              <w:rPr>
                <w:rFonts w:cs="Arial"/>
                <w:sz w:val="22"/>
                <w:szCs w:val="22"/>
              </w:rPr>
              <w:t>Yes</w:t>
            </w:r>
          </w:p>
          <w:p w14:paraId="03C0AEEC" w14:textId="4FF9C585" w:rsidR="00BB17A6" w:rsidRDefault="00BB17A6" w:rsidP="00F579DF">
            <w:pPr>
              <w:pStyle w:val="CommentText"/>
              <w:rPr>
                <w:sz w:val="22"/>
                <w:szCs w:val="22"/>
              </w:rPr>
            </w:pPr>
            <w:r>
              <w:rPr>
                <w:rFonts w:cs="Arial"/>
                <w:sz w:val="22"/>
                <w:szCs w:val="22"/>
              </w:rPr>
              <w:t>Although the Summary of Product Characteristics (SPC) states treatment should be initiated within one hour of exposure, treatment should nevertheless be considered after this time period</w:t>
            </w:r>
            <w:r w:rsidR="00684862">
              <w:rPr>
                <w:rFonts w:cs="Arial"/>
                <w:sz w:val="22"/>
                <w:szCs w:val="22"/>
              </w:rPr>
              <w:t>,</w:t>
            </w:r>
            <w:r>
              <w:rPr>
                <w:rFonts w:cs="Arial"/>
                <w:sz w:val="22"/>
                <w:szCs w:val="22"/>
              </w:rPr>
              <w:t xml:space="preserve"> as the likely benefits of treatment outweigh the likely risks of non-treatment.</w:t>
            </w:r>
            <w:r w:rsidR="0049753D">
              <w:rPr>
                <w:rFonts w:cs="Arial"/>
                <w:sz w:val="22"/>
                <w:szCs w:val="22"/>
              </w:rPr>
              <w:t xml:space="preserve"> </w:t>
            </w:r>
            <w:r>
              <w:rPr>
                <w:sz w:val="22"/>
                <w:szCs w:val="22"/>
              </w:rPr>
              <w:t>T</w:t>
            </w:r>
            <w:r w:rsidR="007B188B">
              <w:rPr>
                <w:sz w:val="22"/>
                <w:szCs w:val="22"/>
              </w:rPr>
              <w:t>he t</w:t>
            </w:r>
            <w:r>
              <w:rPr>
                <w:sz w:val="22"/>
                <w:szCs w:val="22"/>
              </w:rPr>
              <w:t xml:space="preserve">imeframe </w:t>
            </w:r>
            <w:r w:rsidR="007935A1">
              <w:rPr>
                <w:sz w:val="22"/>
                <w:szCs w:val="22"/>
              </w:rPr>
              <w:t>will</w:t>
            </w:r>
            <w:r>
              <w:rPr>
                <w:sz w:val="22"/>
                <w:szCs w:val="22"/>
              </w:rPr>
              <w:t xml:space="preserve"> be decided according to local advice at the time of an incident.</w:t>
            </w:r>
          </w:p>
          <w:p w14:paraId="07FA6B9D" w14:textId="587B268D" w:rsidR="00CF5675" w:rsidRPr="00F579DF" w:rsidRDefault="00CF5675" w:rsidP="00CF5675">
            <w:pPr>
              <w:spacing w:before="120" w:after="120"/>
              <w:rPr>
                <w:rFonts w:cs="Arial"/>
                <w:sz w:val="22"/>
                <w:szCs w:val="22"/>
              </w:rPr>
            </w:pPr>
            <w:r w:rsidRPr="00CF5675">
              <w:rPr>
                <w:rFonts w:cs="Arial"/>
                <w:sz w:val="22"/>
                <w:szCs w:val="22"/>
              </w:rPr>
              <w:t>However, commencing treatment later than 24 hours following exposure to radioactive iodine may do more harm than good by prolonging the biological half-life of radioactive iodine that has already accumulated in the thyroid.</w:t>
            </w:r>
          </w:p>
          <w:p w14:paraId="1203500E" w14:textId="05A3C669" w:rsidR="00F3403D" w:rsidRPr="00EC7FE7" w:rsidRDefault="00F3403D" w:rsidP="000B52F9">
            <w:pPr>
              <w:spacing w:before="120" w:after="120"/>
              <w:rPr>
                <w:sz w:val="22"/>
                <w:szCs w:val="22"/>
              </w:rPr>
            </w:pPr>
            <w:r w:rsidRPr="00F3403D">
              <w:rPr>
                <w:sz w:val="22"/>
                <w:szCs w:val="22"/>
              </w:rPr>
              <w:t>Where a product is recommended off-label consider, as part of the consent process, informing the individual</w:t>
            </w:r>
            <w:r w:rsidR="007935A1">
              <w:rPr>
                <w:sz w:val="22"/>
                <w:szCs w:val="22"/>
              </w:rPr>
              <w:t xml:space="preserve"> or their </w:t>
            </w:r>
            <w:r w:rsidRPr="00F3403D">
              <w:rPr>
                <w:sz w:val="22"/>
                <w:szCs w:val="22"/>
              </w:rPr>
              <w:t>carer that the product is being offered in accordance with national guidance but this is outside the product licence.</w:t>
            </w:r>
          </w:p>
        </w:tc>
      </w:tr>
      <w:tr w:rsidR="00BB17A6" w:rsidRPr="007C1B5E" w14:paraId="6E876107" w14:textId="77777777" w:rsidTr="000B52F9">
        <w:tc>
          <w:tcPr>
            <w:tcW w:w="2790" w:type="dxa"/>
          </w:tcPr>
          <w:p w14:paraId="69B9235E" w14:textId="77777777" w:rsidR="00BB17A6" w:rsidRPr="0034683E" w:rsidRDefault="00BB17A6" w:rsidP="00712D13">
            <w:pPr>
              <w:spacing w:before="120" w:after="120"/>
              <w:rPr>
                <w:rFonts w:cs="Arial"/>
                <w:b/>
                <w:sz w:val="22"/>
                <w:szCs w:val="22"/>
              </w:rPr>
            </w:pPr>
            <w:r w:rsidRPr="0034683E">
              <w:rPr>
                <w:rFonts w:cs="Arial"/>
                <w:b/>
                <w:sz w:val="22"/>
                <w:szCs w:val="22"/>
              </w:rPr>
              <w:t>Route/method</w:t>
            </w:r>
            <w:r>
              <w:rPr>
                <w:rFonts w:cs="Arial"/>
                <w:b/>
                <w:sz w:val="22"/>
                <w:szCs w:val="22"/>
              </w:rPr>
              <w:t xml:space="preserve"> of administration</w:t>
            </w:r>
          </w:p>
        </w:tc>
        <w:tc>
          <w:tcPr>
            <w:tcW w:w="6991" w:type="dxa"/>
          </w:tcPr>
          <w:p w14:paraId="7E8EC794" w14:textId="77777777" w:rsidR="00BB17A6" w:rsidRDefault="00BB17A6" w:rsidP="000B52F9">
            <w:pPr>
              <w:spacing w:before="120" w:after="120"/>
              <w:rPr>
                <w:rFonts w:cs="Arial"/>
                <w:color w:val="1A1A18"/>
                <w:sz w:val="22"/>
                <w:szCs w:val="22"/>
              </w:rPr>
            </w:pPr>
            <w:r w:rsidRPr="00EC7FE7">
              <w:rPr>
                <w:rFonts w:cs="Arial"/>
                <w:color w:val="1A1A18"/>
                <w:sz w:val="22"/>
                <w:szCs w:val="22"/>
              </w:rPr>
              <w:t>Oral</w:t>
            </w:r>
          </w:p>
          <w:p w14:paraId="3A6F47DB" w14:textId="7649AE10" w:rsidR="00F579DF" w:rsidRDefault="00F579DF" w:rsidP="00F579DF">
            <w:pPr>
              <w:pStyle w:val="CommentText"/>
              <w:spacing w:after="120"/>
              <w:rPr>
                <w:rFonts w:cs="Arial"/>
                <w:color w:val="1A1A18"/>
                <w:sz w:val="22"/>
                <w:szCs w:val="22"/>
              </w:rPr>
            </w:pPr>
            <w:r w:rsidRPr="0050297A">
              <w:rPr>
                <w:rFonts w:cs="Arial"/>
                <w:color w:val="1A1A18"/>
                <w:sz w:val="22"/>
                <w:szCs w:val="22"/>
              </w:rPr>
              <w:t xml:space="preserve">For </w:t>
            </w:r>
            <w:r w:rsidR="00CF5675">
              <w:rPr>
                <w:rFonts w:cs="Arial"/>
                <w:color w:val="1A1A18"/>
                <w:sz w:val="22"/>
                <w:szCs w:val="22"/>
              </w:rPr>
              <w:t>neonates (from birth to</w:t>
            </w:r>
            <w:r w:rsidR="00B74D73">
              <w:t xml:space="preserve"> </w:t>
            </w:r>
            <w:r w:rsidR="00B74D73" w:rsidRPr="00B74D73">
              <w:rPr>
                <w:rFonts w:cs="Arial"/>
                <w:color w:val="1A1A18"/>
                <w:sz w:val="22"/>
                <w:szCs w:val="22"/>
              </w:rPr>
              <w:t>up to 1 month of age</w:t>
            </w:r>
            <w:r w:rsidR="00B74D73">
              <w:rPr>
                <w:rFonts w:cs="Arial"/>
                <w:color w:val="1A1A18"/>
                <w:sz w:val="22"/>
                <w:szCs w:val="22"/>
              </w:rPr>
              <w:t>)</w:t>
            </w:r>
            <w:r w:rsidR="007935A1">
              <w:rPr>
                <w:rFonts w:cs="Arial"/>
                <w:color w:val="1A1A18"/>
                <w:sz w:val="22"/>
                <w:szCs w:val="22"/>
              </w:rPr>
              <w:t xml:space="preserve">: </w:t>
            </w:r>
            <w:r w:rsidRPr="0050297A">
              <w:rPr>
                <w:rFonts w:cs="Arial"/>
                <w:color w:val="1A1A18"/>
                <w:sz w:val="22"/>
                <w:szCs w:val="22"/>
              </w:rPr>
              <w:t>crush the quarter tablet and dissolve it in a small quantity of milk or juice</w:t>
            </w:r>
            <w:r w:rsidR="007935A1">
              <w:rPr>
                <w:rFonts w:cs="Arial"/>
                <w:color w:val="1A1A18"/>
                <w:sz w:val="22"/>
                <w:szCs w:val="22"/>
              </w:rPr>
              <w:t>. S</w:t>
            </w:r>
            <w:r w:rsidRPr="0050297A">
              <w:rPr>
                <w:rFonts w:cs="Arial"/>
                <w:color w:val="1A1A18"/>
                <w:sz w:val="22"/>
                <w:szCs w:val="22"/>
              </w:rPr>
              <w:t xml:space="preserve">hake well to make sure the powder dissolves. </w:t>
            </w:r>
          </w:p>
          <w:p w14:paraId="5A247220" w14:textId="74E4F559" w:rsidR="00F579DF" w:rsidRDefault="00F579DF" w:rsidP="00F579DF">
            <w:pPr>
              <w:pStyle w:val="CommentText"/>
              <w:spacing w:after="120"/>
              <w:rPr>
                <w:rFonts w:cs="Arial"/>
                <w:color w:val="1A1A18"/>
                <w:sz w:val="22"/>
                <w:szCs w:val="22"/>
              </w:rPr>
            </w:pPr>
            <w:r w:rsidRPr="0050297A">
              <w:rPr>
                <w:rFonts w:cs="Arial"/>
                <w:color w:val="1A1A18"/>
                <w:sz w:val="22"/>
                <w:szCs w:val="22"/>
              </w:rPr>
              <w:t>For children</w:t>
            </w:r>
            <w:r w:rsidR="00B74D73">
              <w:t xml:space="preserve"> f</w:t>
            </w:r>
            <w:r w:rsidR="00B74D73" w:rsidRPr="00B74D73">
              <w:rPr>
                <w:rFonts w:cs="Arial"/>
                <w:color w:val="1A1A18"/>
                <w:sz w:val="22"/>
                <w:szCs w:val="22"/>
              </w:rPr>
              <w:t>rom 1 month to 3 years of age</w:t>
            </w:r>
            <w:r w:rsidR="007935A1">
              <w:rPr>
                <w:rFonts w:cs="Arial"/>
                <w:color w:val="1A1A18"/>
                <w:sz w:val="22"/>
                <w:szCs w:val="22"/>
              </w:rPr>
              <w:t xml:space="preserve">: </w:t>
            </w:r>
            <w:r w:rsidRPr="0050297A">
              <w:rPr>
                <w:rFonts w:cs="Arial"/>
                <w:color w:val="1A1A18"/>
                <w:sz w:val="22"/>
                <w:szCs w:val="22"/>
              </w:rPr>
              <w:t xml:space="preserve">crush the half tablet and mix with a teaspoon of jam, honey or yoghurt. </w:t>
            </w:r>
          </w:p>
          <w:p w14:paraId="433B2019" w14:textId="74C931B9" w:rsidR="00F579DF" w:rsidRDefault="00F579DF" w:rsidP="00F579DF">
            <w:pPr>
              <w:pStyle w:val="CommentText"/>
              <w:spacing w:after="120"/>
              <w:rPr>
                <w:rFonts w:cs="Arial"/>
                <w:color w:val="1A1A18"/>
                <w:sz w:val="22"/>
                <w:szCs w:val="22"/>
              </w:rPr>
            </w:pPr>
            <w:r w:rsidRPr="0050297A">
              <w:rPr>
                <w:rFonts w:cs="Arial"/>
                <w:color w:val="1A1A18"/>
                <w:sz w:val="22"/>
                <w:szCs w:val="22"/>
              </w:rPr>
              <w:t>For children</w:t>
            </w:r>
            <w:r w:rsidR="00B74D73">
              <w:rPr>
                <w:rFonts w:cs="Arial"/>
                <w:color w:val="1A1A18"/>
                <w:sz w:val="22"/>
                <w:szCs w:val="22"/>
              </w:rPr>
              <w:t xml:space="preserve"> </w:t>
            </w:r>
            <w:r w:rsidR="00B74D73" w:rsidRPr="00B74D73">
              <w:rPr>
                <w:rFonts w:cs="Arial"/>
                <w:color w:val="1A1A18"/>
                <w:sz w:val="22"/>
                <w:szCs w:val="22"/>
              </w:rPr>
              <w:t>from 3 to 12 years of age</w:t>
            </w:r>
            <w:r w:rsidR="007935A1">
              <w:rPr>
                <w:rFonts w:cs="Arial"/>
                <w:color w:val="1A1A18"/>
                <w:sz w:val="22"/>
                <w:szCs w:val="22"/>
              </w:rPr>
              <w:t>:</w:t>
            </w:r>
            <w:r w:rsidRPr="0050297A">
              <w:rPr>
                <w:rFonts w:cs="Arial"/>
                <w:color w:val="1A1A18"/>
                <w:sz w:val="22"/>
                <w:szCs w:val="22"/>
              </w:rPr>
              <w:t xml:space="preserve"> crush one tablet and mix with a teaspoon of jam, honey or yoghurt. </w:t>
            </w:r>
          </w:p>
          <w:p w14:paraId="468B7153" w14:textId="19E8F343" w:rsidR="00F579DF" w:rsidRPr="00EC7FE7" w:rsidRDefault="00F579DF" w:rsidP="00F579DF">
            <w:pPr>
              <w:pStyle w:val="CommentText"/>
              <w:spacing w:after="120"/>
              <w:rPr>
                <w:rFonts w:cs="Arial"/>
                <w:color w:val="1A1A18"/>
                <w:sz w:val="22"/>
                <w:szCs w:val="22"/>
              </w:rPr>
            </w:pPr>
            <w:r w:rsidRPr="0050297A">
              <w:rPr>
                <w:rFonts w:cs="Arial"/>
                <w:color w:val="1A1A18"/>
                <w:sz w:val="22"/>
                <w:szCs w:val="22"/>
              </w:rPr>
              <w:t xml:space="preserve">For adults, </w:t>
            </w:r>
            <w:r w:rsidR="00B74D73">
              <w:rPr>
                <w:rFonts w:cs="Arial"/>
                <w:color w:val="1A1A18"/>
                <w:sz w:val="22"/>
                <w:szCs w:val="22"/>
              </w:rPr>
              <w:t>elderly and children from 12 years of age</w:t>
            </w:r>
            <w:r w:rsidR="007935A1">
              <w:rPr>
                <w:rFonts w:cs="Arial"/>
                <w:color w:val="1A1A18"/>
                <w:sz w:val="22"/>
                <w:szCs w:val="22"/>
              </w:rPr>
              <w:t>:</w:t>
            </w:r>
            <w:r w:rsidR="00B74D73">
              <w:rPr>
                <w:rFonts w:cs="Arial"/>
                <w:color w:val="1A1A18"/>
                <w:sz w:val="22"/>
                <w:szCs w:val="22"/>
              </w:rPr>
              <w:t xml:space="preserve"> </w:t>
            </w:r>
            <w:r w:rsidRPr="0050297A">
              <w:rPr>
                <w:rFonts w:cs="Arial"/>
                <w:color w:val="1A1A18"/>
                <w:sz w:val="22"/>
                <w:szCs w:val="22"/>
              </w:rPr>
              <w:t xml:space="preserve">swallow the two tablets with water; if this is difficult, crush </w:t>
            </w:r>
            <w:r w:rsidR="007935A1">
              <w:rPr>
                <w:rFonts w:cs="Arial"/>
                <w:color w:val="1A1A18"/>
                <w:sz w:val="22"/>
                <w:szCs w:val="22"/>
              </w:rPr>
              <w:t xml:space="preserve">the </w:t>
            </w:r>
            <w:r w:rsidRPr="0050297A">
              <w:rPr>
                <w:rFonts w:cs="Arial"/>
                <w:color w:val="1A1A18"/>
                <w:sz w:val="22"/>
                <w:szCs w:val="22"/>
              </w:rPr>
              <w:t xml:space="preserve">tablets as </w:t>
            </w:r>
            <w:r w:rsidR="00B74D73">
              <w:rPr>
                <w:rFonts w:cs="Arial"/>
                <w:color w:val="1A1A18"/>
                <w:sz w:val="22"/>
                <w:szCs w:val="22"/>
              </w:rPr>
              <w:t>above</w:t>
            </w:r>
          </w:p>
        </w:tc>
      </w:tr>
      <w:tr w:rsidR="00BB17A6" w:rsidRPr="007C1B5E" w14:paraId="31AFACA5" w14:textId="77777777" w:rsidTr="000B52F9">
        <w:tc>
          <w:tcPr>
            <w:tcW w:w="2790" w:type="dxa"/>
          </w:tcPr>
          <w:p w14:paraId="5AA24E9D" w14:textId="77777777" w:rsidR="00BB17A6" w:rsidRPr="0034683E" w:rsidRDefault="00BB17A6" w:rsidP="000B52F9">
            <w:pPr>
              <w:pStyle w:val="Header"/>
              <w:tabs>
                <w:tab w:val="clear" w:pos="4153"/>
                <w:tab w:val="clear" w:pos="8306"/>
              </w:tabs>
              <w:spacing w:before="120" w:after="120"/>
              <w:rPr>
                <w:rFonts w:ascii="Arial" w:hAnsi="Arial" w:cs="Arial"/>
                <w:b/>
                <w:sz w:val="22"/>
                <w:szCs w:val="22"/>
              </w:rPr>
            </w:pPr>
            <w:bookmarkStart w:id="0" w:name="dose"/>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bookmarkEnd w:id="0"/>
          </w:p>
        </w:tc>
        <w:tc>
          <w:tcPr>
            <w:tcW w:w="6991" w:type="dxa"/>
          </w:tcPr>
          <w:p w14:paraId="78767D95" w14:textId="395EC181" w:rsidR="00F579DF" w:rsidRDefault="00F579DF" w:rsidP="00906E14">
            <w:pPr>
              <w:spacing w:before="120" w:after="120"/>
            </w:pPr>
            <w:r w:rsidRPr="00522BBC">
              <w:rPr>
                <w:rFonts w:cs="Arial"/>
                <w:color w:val="000000"/>
                <w:sz w:val="22"/>
                <w:szCs w:val="22"/>
              </w:rPr>
              <w:t>Where possible, the dose should b</w:t>
            </w:r>
            <w:r>
              <w:rPr>
                <w:rFonts w:cs="Arial"/>
                <w:color w:val="000000"/>
                <w:sz w:val="22"/>
                <w:szCs w:val="22"/>
              </w:rPr>
              <w:t xml:space="preserve">e administered shortly before exposure </w:t>
            </w:r>
            <w:r w:rsidRPr="00522BBC">
              <w:rPr>
                <w:rFonts w:cs="Arial"/>
                <w:color w:val="000000"/>
                <w:sz w:val="22"/>
                <w:szCs w:val="22"/>
              </w:rPr>
              <w:t>or as soon as possible after an exposure has occurred</w:t>
            </w:r>
            <w:r w:rsidR="00B74D73" w:rsidRPr="00B74D73">
              <w:rPr>
                <w:rFonts w:cs="Arial"/>
                <w:color w:val="000000"/>
                <w:sz w:val="22"/>
                <w:szCs w:val="22"/>
              </w:rPr>
              <w:t xml:space="preserve"> but not once 24 hours has passed.  </w:t>
            </w:r>
            <w:r w:rsidR="00B74D73">
              <w:rPr>
                <w:rFonts w:cs="Arial"/>
                <w:color w:val="000000"/>
                <w:sz w:val="22"/>
                <w:szCs w:val="22"/>
              </w:rPr>
              <w:t xml:space="preserve"> </w:t>
            </w:r>
            <w:r w:rsidRPr="00522BBC">
              <w:rPr>
                <w:rFonts w:cs="Arial"/>
                <w:color w:val="000000"/>
                <w:sz w:val="22"/>
                <w:szCs w:val="22"/>
              </w:rPr>
              <w:t>.  </w:t>
            </w:r>
          </w:p>
          <w:tbl>
            <w:tblPr>
              <w:tblW w:w="5000" w:type="pct"/>
              <w:tblCellSpacing w:w="0" w:type="dxa"/>
              <w:tblLayout w:type="fixed"/>
              <w:tblCellMar>
                <w:top w:w="60" w:type="dxa"/>
                <w:left w:w="60" w:type="dxa"/>
                <w:bottom w:w="60" w:type="dxa"/>
                <w:right w:w="60" w:type="dxa"/>
              </w:tblCellMar>
              <w:tblLook w:val="04A0" w:firstRow="1" w:lastRow="0" w:firstColumn="1" w:lastColumn="0" w:noHBand="0" w:noVBand="1"/>
            </w:tblPr>
            <w:tblGrid>
              <w:gridCol w:w="2707"/>
              <w:gridCol w:w="2030"/>
              <w:gridCol w:w="2028"/>
            </w:tblGrid>
            <w:tr w:rsidR="00BB17A6" w:rsidRPr="00522BBC" w14:paraId="18B50B9E" w14:textId="77777777" w:rsidTr="005F7CE7">
              <w:trPr>
                <w:tblCellSpacing w:w="0" w:type="dxa"/>
              </w:trPr>
              <w:tc>
                <w:tcPr>
                  <w:tcW w:w="2001" w:type="pct"/>
                  <w:tcBorders>
                    <w:top w:val="single" w:sz="4" w:space="0" w:color="auto"/>
                    <w:left w:val="single" w:sz="4" w:space="0" w:color="auto"/>
                    <w:bottom w:val="single" w:sz="4" w:space="0" w:color="auto"/>
                    <w:right w:val="single" w:sz="4" w:space="0" w:color="auto"/>
                  </w:tcBorders>
                  <w:hideMark/>
                </w:tcPr>
                <w:p w14:paraId="1FAECDA8" w14:textId="1E3BA3D7" w:rsidR="00BB17A6" w:rsidRPr="00522BBC" w:rsidRDefault="00BB17A6" w:rsidP="000B52F9">
                  <w:pPr>
                    <w:spacing w:before="120" w:after="75"/>
                    <w:rPr>
                      <w:rFonts w:cs="Arial"/>
                      <w:color w:val="000000"/>
                      <w:sz w:val="22"/>
                      <w:szCs w:val="22"/>
                    </w:rPr>
                  </w:pPr>
                </w:p>
              </w:tc>
              <w:tc>
                <w:tcPr>
                  <w:tcW w:w="1500" w:type="pct"/>
                  <w:tcBorders>
                    <w:top w:val="single" w:sz="4" w:space="0" w:color="auto"/>
                    <w:left w:val="single" w:sz="4" w:space="0" w:color="auto"/>
                    <w:bottom w:val="single" w:sz="4" w:space="0" w:color="auto"/>
                    <w:right w:val="single" w:sz="4" w:space="0" w:color="auto"/>
                  </w:tcBorders>
                  <w:hideMark/>
                </w:tcPr>
                <w:p w14:paraId="101459BC" w14:textId="77777777" w:rsidR="00BB17A6" w:rsidRPr="005F7CE7" w:rsidRDefault="00BB17A6" w:rsidP="000B52F9">
                  <w:pPr>
                    <w:spacing w:before="120" w:after="75"/>
                    <w:rPr>
                      <w:rFonts w:cs="Arial"/>
                      <w:color w:val="000000"/>
                      <w:sz w:val="22"/>
                      <w:szCs w:val="22"/>
                    </w:rPr>
                  </w:pPr>
                  <w:r w:rsidRPr="005F7CE7">
                    <w:rPr>
                      <w:rFonts w:cs="Arial"/>
                      <w:color w:val="000000"/>
                      <w:sz w:val="22"/>
                      <w:szCs w:val="22"/>
                    </w:rPr>
                    <w:t>Tablets</w:t>
                  </w:r>
                </w:p>
              </w:tc>
              <w:tc>
                <w:tcPr>
                  <w:tcW w:w="1499" w:type="pct"/>
                  <w:tcBorders>
                    <w:top w:val="single" w:sz="4" w:space="0" w:color="auto"/>
                    <w:left w:val="single" w:sz="4" w:space="0" w:color="auto"/>
                    <w:bottom w:val="single" w:sz="4" w:space="0" w:color="auto"/>
                    <w:right w:val="single" w:sz="4" w:space="0" w:color="auto"/>
                  </w:tcBorders>
                  <w:hideMark/>
                </w:tcPr>
                <w:p w14:paraId="77C34182" w14:textId="77777777" w:rsidR="00BB17A6" w:rsidRPr="005F7CE7" w:rsidRDefault="00BB17A6" w:rsidP="000B52F9">
                  <w:pPr>
                    <w:spacing w:before="120" w:after="75"/>
                    <w:rPr>
                      <w:rFonts w:cs="Arial"/>
                      <w:color w:val="000000"/>
                      <w:sz w:val="22"/>
                      <w:szCs w:val="22"/>
                    </w:rPr>
                  </w:pPr>
                  <w:r w:rsidRPr="005F7CE7">
                    <w:rPr>
                      <w:rFonts w:cs="Arial"/>
                      <w:color w:val="000000"/>
                      <w:sz w:val="22"/>
                      <w:szCs w:val="22"/>
                    </w:rPr>
                    <w:t>Iodine equivalent</w:t>
                  </w:r>
                </w:p>
              </w:tc>
            </w:tr>
            <w:tr w:rsidR="00BB17A6" w:rsidRPr="00522BBC" w14:paraId="50576625" w14:textId="77777777" w:rsidTr="005F7CE7">
              <w:trPr>
                <w:tblCellSpacing w:w="0" w:type="dxa"/>
              </w:trPr>
              <w:tc>
                <w:tcPr>
                  <w:tcW w:w="2001" w:type="pct"/>
                  <w:tcBorders>
                    <w:top w:val="single" w:sz="4" w:space="0" w:color="auto"/>
                    <w:left w:val="single" w:sz="4" w:space="0" w:color="auto"/>
                    <w:bottom w:val="single" w:sz="4" w:space="0" w:color="auto"/>
                    <w:right w:val="single" w:sz="4" w:space="0" w:color="auto"/>
                  </w:tcBorders>
                  <w:hideMark/>
                </w:tcPr>
                <w:p w14:paraId="748B7BBF" w14:textId="1392A7B8" w:rsidR="00BB17A6" w:rsidRPr="00522BBC" w:rsidRDefault="00BB17A6" w:rsidP="000B52F9">
                  <w:pPr>
                    <w:spacing w:before="100" w:beforeAutospacing="1" w:after="75"/>
                    <w:rPr>
                      <w:rFonts w:cs="Arial"/>
                      <w:color w:val="000000"/>
                      <w:sz w:val="22"/>
                      <w:szCs w:val="22"/>
                    </w:rPr>
                  </w:pPr>
                  <w:r w:rsidRPr="00522BBC">
                    <w:rPr>
                      <w:rFonts w:cs="Arial"/>
                      <w:i/>
                      <w:iCs/>
                      <w:color w:val="000000"/>
                      <w:sz w:val="22"/>
                      <w:szCs w:val="22"/>
                    </w:rPr>
                    <w:t xml:space="preserve">Adults, elderly and </w:t>
                  </w:r>
                  <w:r w:rsidR="00B74D73">
                    <w:rPr>
                      <w:rFonts w:cs="Arial"/>
                      <w:i/>
                      <w:iCs/>
                      <w:color w:val="000000"/>
                      <w:sz w:val="22"/>
                      <w:szCs w:val="22"/>
                    </w:rPr>
                    <w:t>children</w:t>
                  </w:r>
                  <w:r w:rsidRPr="00522BBC">
                    <w:rPr>
                      <w:rFonts w:cs="Arial"/>
                      <w:i/>
                      <w:iCs/>
                      <w:color w:val="000000"/>
                      <w:sz w:val="22"/>
                      <w:szCs w:val="22"/>
                    </w:rPr>
                    <w:t xml:space="preserve"> </w:t>
                  </w:r>
                  <w:r w:rsidR="00B74D73" w:rsidRPr="00B74D73">
                    <w:rPr>
                      <w:rFonts w:cs="Arial"/>
                      <w:i/>
                      <w:iCs/>
                      <w:color w:val="000000"/>
                      <w:sz w:val="22"/>
                      <w:szCs w:val="22"/>
                    </w:rPr>
                    <w:t>from 12 years of age</w:t>
                  </w:r>
                </w:p>
              </w:tc>
              <w:tc>
                <w:tcPr>
                  <w:tcW w:w="1500" w:type="pct"/>
                  <w:tcBorders>
                    <w:top w:val="single" w:sz="4" w:space="0" w:color="auto"/>
                    <w:left w:val="single" w:sz="4" w:space="0" w:color="auto"/>
                    <w:bottom w:val="single" w:sz="4" w:space="0" w:color="auto"/>
                    <w:right w:val="single" w:sz="4" w:space="0" w:color="auto"/>
                  </w:tcBorders>
                  <w:hideMark/>
                </w:tcPr>
                <w:p w14:paraId="261735F1"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2 tablets </w:t>
                  </w:r>
                </w:p>
              </w:tc>
              <w:tc>
                <w:tcPr>
                  <w:tcW w:w="1499" w:type="pct"/>
                  <w:tcBorders>
                    <w:top w:val="single" w:sz="4" w:space="0" w:color="auto"/>
                    <w:left w:val="single" w:sz="4" w:space="0" w:color="auto"/>
                    <w:bottom w:val="single" w:sz="4" w:space="0" w:color="auto"/>
                    <w:right w:val="single" w:sz="4" w:space="0" w:color="auto"/>
                  </w:tcBorders>
                  <w:hideMark/>
                </w:tcPr>
                <w:p w14:paraId="637D1339"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100mg </w:t>
                  </w:r>
                </w:p>
              </w:tc>
            </w:tr>
            <w:tr w:rsidR="00BB17A6" w:rsidRPr="00522BBC" w14:paraId="5F88F7FD" w14:textId="77777777" w:rsidTr="005F7CE7">
              <w:trPr>
                <w:tblCellSpacing w:w="0" w:type="dxa"/>
              </w:trPr>
              <w:tc>
                <w:tcPr>
                  <w:tcW w:w="2001" w:type="pct"/>
                  <w:tcBorders>
                    <w:top w:val="single" w:sz="4" w:space="0" w:color="auto"/>
                    <w:left w:val="single" w:sz="4" w:space="0" w:color="auto"/>
                    <w:bottom w:val="single" w:sz="4" w:space="0" w:color="auto"/>
                    <w:right w:val="single" w:sz="4" w:space="0" w:color="auto"/>
                  </w:tcBorders>
                  <w:hideMark/>
                </w:tcPr>
                <w:p w14:paraId="43F67D9F" w14:textId="1B12E68B" w:rsidR="00BB17A6" w:rsidRPr="00522BBC" w:rsidRDefault="00BB17A6" w:rsidP="000B52F9">
                  <w:pPr>
                    <w:spacing w:before="100" w:beforeAutospacing="1" w:after="75"/>
                    <w:rPr>
                      <w:rFonts w:cs="Arial"/>
                      <w:color w:val="000000"/>
                      <w:sz w:val="22"/>
                      <w:szCs w:val="22"/>
                    </w:rPr>
                  </w:pPr>
                  <w:r w:rsidRPr="00522BBC">
                    <w:rPr>
                      <w:rFonts w:cs="Arial"/>
                      <w:i/>
                      <w:iCs/>
                      <w:color w:val="000000"/>
                      <w:sz w:val="22"/>
                      <w:szCs w:val="22"/>
                    </w:rPr>
                    <w:t>Children (</w:t>
                  </w:r>
                  <w:r w:rsidR="00B74D73">
                    <w:rPr>
                      <w:rFonts w:cs="Arial"/>
                      <w:i/>
                      <w:iCs/>
                      <w:color w:val="000000"/>
                      <w:sz w:val="22"/>
                      <w:szCs w:val="22"/>
                    </w:rPr>
                    <w:t xml:space="preserve">from </w:t>
                  </w:r>
                  <w:r w:rsidRPr="00522BBC">
                    <w:rPr>
                      <w:rFonts w:cs="Arial"/>
                      <w:i/>
                      <w:iCs/>
                      <w:color w:val="000000"/>
                      <w:sz w:val="22"/>
                      <w:szCs w:val="22"/>
                    </w:rPr>
                    <w:t>3</w:t>
                  </w:r>
                  <w:r w:rsidR="00B74D73">
                    <w:rPr>
                      <w:rFonts w:cs="Arial"/>
                      <w:i/>
                      <w:iCs/>
                      <w:color w:val="000000"/>
                      <w:sz w:val="22"/>
                      <w:szCs w:val="22"/>
                    </w:rPr>
                    <w:t xml:space="preserve"> to</w:t>
                  </w:r>
                  <w:r w:rsidRPr="00522BBC">
                    <w:rPr>
                      <w:rFonts w:cs="Arial"/>
                      <w:i/>
                      <w:iCs/>
                      <w:color w:val="000000"/>
                      <w:sz w:val="22"/>
                      <w:szCs w:val="22"/>
                    </w:rPr>
                    <w:t>12 years</w:t>
                  </w:r>
                  <w:r w:rsidR="00B74D73">
                    <w:rPr>
                      <w:rFonts w:cs="Arial"/>
                      <w:i/>
                      <w:iCs/>
                      <w:color w:val="000000"/>
                      <w:sz w:val="22"/>
                      <w:szCs w:val="22"/>
                    </w:rPr>
                    <w:t xml:space="preserve"> of age</w:t>
                  </w:r>
                  <w:r w:rsidRPr="00522BBC">
                    <w:rPr>
                      <w:rFonts w:cs="Arial"/>
                      <w:i/>
                      <w:iCs/>
                      <w:color w:val="000000"/>
                      <w:sz w:val="22"/>
                      <w:szCs w:val="22"/>
                    </w:rPr>
                    <w:t>)</w:t>
                  </w:r>
                </w:p>
              </w:tc>
              <w:tc>
                <w:tcPr>
                  <w:tcW w:w="1500" w:type="pct"/>
                  <w:tcBorders>
                    <w:top w:val="single" w:sz="4" w:space="0" w:color="auto"/>
                    <w:left w:val="single" w:sz="4" w:space="0" w:color="auto"/>
                    <w:bottom w:val="single" w:sz="4" w:space="0" w:color="auto"/>
                    <w:right w:val="single" w:sz="4" w:space="0" w:color="auto"/>
                  </w:tcBorders>
                  <w:hideMark/>
                </w:tcPr>
                <w:p w14:paraId="623E10FB"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1 tablet </w:t>
                  </w:r>
                </w:p>
              </w:tc>
              <w:tc>
                <w:tcPr>
                  <w:tcW w:w="1499" w:type="pct"/>
                  <w:tcBorders>
                    <w:top w:val="single" w:sz="4" w:space="0" w:color="auto"/>
                    <w:left w:val="single" w:sz="4" w:space="0" w:color="auto"/>
                    <w:bottom w:val="single" w:sz="4" w:space="0" w:color="auto"/>
                    <w:right w:val="single" w:sz="4" w:space="0" w:color="auto"/>
                  </w:tcBorders>
                  <w:hideMark/>
                </w:tcPr>
                <w:p w14:paraId="021E4D52"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50mg </w:t>
                  </w:r>
                </w:p>
              </w:tc>
            </w:tr>
            <w:tr w:rsidR="00BB17A6" w:rsidRPr="00522BBC" w14:paraId="7FF3D2CB" w14:textId="77777777" w:rsidTr="005F7CE7">
              <w:trPr>
                <w:tblCellSpacing w:w="0" w:type="dxa"/>
              </w:trPr>
              <w:tc>
                <w:tcPr>
                  <w:tcW w:w="2001" w:type="pct"/>
                  <w:tcBorders>
                    <w:top w:val="single" w:sz="4" w:space="0" w:color="auto"/>
                    <w:left w:val="single" w:sz="4" w:space="0" w:color="auto"/>
                    <w:bottom w:val="single" w:sz="4" w:space="0" w:color="auto"/>
                    <w:right w:val="single" w:sz="4" w:space="0" w:color="auto"/>
                  </w:tcBorders>
                  <w:hideMark/>
                </w:tcPr>
                <w:p w14:paraId="249E7D68" w14:textId="23889966" w:rsidR="00D274DE" w:rsidRDefault="00D274DE" w:rsidP="00D274DE">
                  <w:pPr>
                    <w:spacing w:before="100" w:beforeAutospacing="1"/>
                    <w:rPr>
                      <w:rFonts w:cs="Arial"/>
                      <w:i/>
                      <w:iCs/>
                      <w:color w:val="000000"/>
                      <w:sz w:val="22"/>
                      <w:szCs w:val="22"/>
                    </w:rPr>
                  </w:pPr>
                  <w:r>
                    <w:rPr>
                      <w:rFonts w:cs="Arial"/>
                      <w:i/>
                      <w:iCs/>
                      <w:color w:val="000000"/>
                      <w:sz w:val="22"/>
                      <w:szCs w:val="22"/>
                    </w:rPr>
                    <w:t>Children (</w:t>
                  </w:r>
                  <w:r w:rsidR="00B74D73">
                    <w:rPr>
                      <w:rFonts w:cs="Arial"/>
                      <w:i/>
                      <w:iCs/>
                      <w:color w:val="000000"/>
                      <w:sz w:val="22"/>
                      <w:szCs w:val="22"/>
                    </w:rPr>
                    <w:t xml:space="preserve">from </w:t>
                  </w:r>
                  <w:r>
                    <w:rPr>
                      <w:rFonts w:cs="Arial"/>
                      <w:i/>
                      <w:iCs/>
                      <w:color w:val="000000"/>
                      <w:sz w:val="22"/>
                      <w:szCs w:val="22"/>
                    </w:rPr>
                    <w:t xml:space="preserve">1 month to </w:t>
                  </w:r>
                </w:p>
                <w:p w14:paraId="6F3DB6C0" w14:textId="11570764" w:rsidR="00BB17A6" w:rsidRPr="00D274DE" w:rsidRDefault="00BB17A6" w:rsidP="00B474C6">
                  <w:pPr>
                    <w:rPr>
                      <w:rFonts w:cs="Arial"/>
                      <w:i/>
                      <w:iCs/>
                      <w:color w:val="000000"/>
                      <w:sz w:val="22"/>
                      <w:szCs w:val="22"/>
                    </w:rPr>
                  </w:pPr>
                  <w:r w:rsidRPr="00522BBC">
                    <w:rPr>
                      <w:rFonts w:cs="Arial"/>
                      <w:i/>
                      <w:iCs/>
                      <w:color w:val="000000"/>
                      <w:sz w:val="22"/>
                      <w:szCs w:val="22"/>
                    </w:rPr>
                    <w:t>3 years</w:t>
                  </w:r>
                  <w:r w:rsidR="00B74D73">
                    <w:rPr>
                      <w:rFonts w:cs="Arial"/>
                      <w:i/>
                      <w:iCs/>
                      <w:color w:val="000000"/>
                      <w:sz w:val="22"/>
                      <w:szCs w:val="22"/>
                    </w:rPr>
                    <w:t xml:space="preserve"> of age</w:t>
                  </w:r>
                  <w:r w:rsidRPr="00522BBC">
                    <w:rPr>
                      <w:rFonts w:cs="Arial"/>
                      <w:i/>
                      <w:iCs/>
                      <w:color w:val="000000"/>
                      <w:sz w:val="22"/>
                      <w:szCs w:val="22"/>
                    </w:rPr>
                    <w:t>)</w:t>
                  </w:r>
                </w:p>
              </w:tc>
              <w:tc>
                <w:tcPr>
                  <w:tcW w:w="1500" w:type="pct"/>
                  <w:tcBorders>
                    <w:top w:val="single" w:sz="4" w:space="0" w:color="auto"/>
                    <w:left w:val="single" w:sz="4" w:space="0" w:color="auto"/>
                    <w:bottom w:val="single" w:sz="4" w:space="0" w:color="auto"/>
                    <w:right w:val="single" w:sz="4" w:space="0" w:color="auto"/>
                  </w:tcBorders>
                  <w:hideMark/>
                </w:tcPr>
                <w:p w14:paraId="2D98D7E4"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½ tablet </w:t>
                  </w:r>
                </w:p>
              </w:tc>
              <w:tc>
                <w:tcPr>
                  <w:tcW w:w="1499" w:type="pct"/>
                  <w:tcBorders>
                    <w:top w:val="single" w:sz="4" w:space="0" w:color="auto"/>
                    <w:left w:val="single" w:sz="4" w:space="0" w:color="auto"/>
                    <w:bottom w:val="single" w:sz="4" w:space="0" w:color="auto"/>
                    <w:right w:val="single" w:sz="4" w:space="0" w:color="auto"/>
                  </w:tcBorders>
                  <w:hideMark/>
                </w:tcPr>
                <w:p w14:paraId="5B9F0E48"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25mg </w:t>
                  </w:r>
                </w:p>
              </w:tc>
            </w:tr>
            <w:tr w:rsidR="00BB17A6" w:rsidRPr="00D322E3" w14:paraId="4DC1A1E9" w14:textId="77777777" w:rsidTr="005F7CE7">
              <w:trPr>
                <w:tblCellSpacing w:w="0" w:type="dxa"/>
              </w:trPr>
              <w:tc>
                <w:tcPr>
                  <w:tcW w:w="2001" w:type="pct"/>
                  <w:tcBorders>
                    <w:top w:val="single" w:sz="4" w:space="0" w:color="auto"/>
                    <w:left w:val="single" w:sz="4" w:space="0" w:color="auto"/>
                    <w:bottom w:val="single" w:sz="4" w:space="0" w:color="auto"/>
                    <w:right w:val="single" w:sz="4" w:space="0" w:color="auto"/>
                  </w:tcBorders>
                  <w:hideMark/>
                </w:tcPr>
                <w:p w14:paraId="47EAB280" w14:textId="0D8A180A" w:rsidR="00BB17A6" w:rsidRPr="00522BBC" w:rsidRDefault="00D274DE" w:rsidP="000B52F9">
                  <w:pPr>
                    <w:spacing w:before="100" w:beforeAutospacing="1" w:after="75"/>
                    <w:rPr>
                      <w:rFonts w:cs="Arial"/>
                      <w:color w:val="000000"/>
                      <w:sz w:val="22"/>
                      <w:szCs w:val="22"/>
                    </w:rPr>
                  </w:pPr>
                  <w:r>
                    <w:rPr>
                      <w:rFonts w:cs="Arial"/>
                      <w:i/>
                      <w:iCs/>
                      <w:color w:val="000000"/>
                      <w:sz w:val="22"/>
                      <w:szCs w:val="22"/>
                    </w:rPr>
                    <w:t>Neonates (</w:t>
                  </w:r>
                  <w:r w:rsidR="00B74D73">
                    <w:rPr>
                      <w:rFonts w:cs="Arial"/>
                      <w:i/>
                      <w:iCs/>
                      <w:color w:val="000000"/>
                      <w:sz w:val="22"/>
                      <w:szCs w:val="22"/>
                    </w:rPr>
                    <w:t xml:space="preserve">from </w:t>
                  </w:r>
                  <w:r>
                    <w:rPr>
                      <w:rFonts w:cs="Arial"/>
                      <w:i/>
                      <w:iCs/>
                      <w:color w:val="000000"/>
                      <w:sz w:val="22"/>
                      <w:szCs w:val="22"/>
                    </w:rPr>
                    <w:t xml:space="preserve">birth </w:t>
                  </w:r>
                  <w:r w:rsidR="00B74D73">
                    <w:rPr>
                      <w:rFonts w:cs="Arial"/>
                      <w:i/>
                      <w:iCs/>
                      <w:color w:val="000000"/>
                      <w:sz w:val="22"/>
                      <w:szCs w:val="22"/>
                    </w:rPr>
                    <w:t xml:space="preserve">up to </w:t>
                  </w:r>
                  <w:r w:rsidR="00BB17A6" w:rsidRPr="00522BBC">
                    <w:rPr>
                      <w:rFonts w:cs="Arial"/>
                      <w:i/>
                      <w:iCs/>
                      <w:color w:val="000000"/>
                      <w:sz w:val="22"/>
                      <w:szCs w:val="22"/>
                    </w:rPr>
                    <w:t>1 month</w:t>
                  </w:r>
                  <w:r w:rsidR="00B74D73">
                    <w:rPr>
                      <w:rFonts w:cs="Arial"/>
                      <w:i/>
                      <w:iCs/>
                      <w:color w:val="000000"/>
                      <w:sz w:val="22"/>
                      <w:szCs w:val="22"/>
                    </w:rPr>
                    <w:t xml:space="preserve"> of age</w:t>
                  </w:r>
                  <w:r w:rsidR="00BB17A6" w:rsidRPr="00522BBC">
                    <w:rPr>
                      <w:rFonts w:cs="Arial"/>
                      <w:i/>
                      <w:iCs/>
                      <w:color w:val="000000"/>
                      <w:sz w:val="22"/>
                      <w:szCs w:val="22"/>
                    </w:rPr>
                    <w:t>)</w:t>
                  </w:r>
                </w:p>
              </w:tc>
              <w:tc>
                <w:tcPr>
                  <w:tcW w:w="1500" w:type="pct"/>
                  <w:tcBorders>
                    <w:top w:val="single" w:sz="4" w:space="0" w:color="auto"/>
                    <w:left w:val="single" w:sz="4" w:space="0" w:color="auto"/>
                    <w:bottom w:val="single" w:sz="4" w:space="0" w:color="auto"/>
                    <w:right w:val="single" w:sz="4" w:space="0" w:color="auto"/>
                  </w:tcBorders>
                  <w:hideMark/>
                </w:tcPr>
                <w:p w14:paraId="11CEC2FA" w14:textId="77777777" w:rsidR="00BB17A6" w:rsidRPr="00522BBC" w:rsidRDefault="00BB17A6" w:rsidP="000B52F9">
                  <w:pPr>
                    <w:spacing w:before="100" w:beforeAutospacing="1" w:after="75"/>
                    <w:rPr>
                      <w:rFonts w:cs="Arial"/>
                      <w:color w:val="000000"/>
                      <w:sz w:val="22"/>
                      <w:szCs w:val="22"/>
                    </w:rPr>
                  </w:pPr>
                  <w:r w:rsidRPr="00522BBC">
                    <w:rPr>
                      <w:rFonts w:cs="Arial"/>
                      <w:color w:val="000000"/>
                      <w:sz w:val="22"/>
                      <w:szCs w:val="22"/>
                    </w:rPr>
                    <w:t xml:space="preserve">¼ tablet </w:t>
                  </w:r>
                </w:p>
              </w:tc>
              <w:tc>
                <w:tcPr>
                  <w:tcW w:w="1499" w:type="pct"/>
                  <w:tcBorders>
                    <w:top w:val="single" w:sz="4" w:space="0" w:color="auto"/>
                    <w:left w:val="single" w:sz="4" w:space="0" w:color="auto"/>
                    <w:bottom w:val="single" w:sz="4" w:space="0" w:color="auto"/>
                    <w:right w:val="single" w:sz="4" w:space="0" w:color="auto"/>
                  </w:tcBorders>
                  <w:hideMark/>
                </w:tcPr>
                <w:p w14:paraId="441AA891" w14:textId="77777777" w:rsidR="00BB17A6" w:rsidRPr="00D322E3" w:rsidRDefault="00BB17A6" w:rsidP="000B52F9">
                  <w:pPr>
                    <w:spacing w:before="100" w:beforeAutospacing="1" w:after="75"/>
                    <w:rPr>
                      <w:rFonts w:cs="Arial"/>
                      <w:sz w:val="22"/>
                      <w:szCs w:val="22"/>
                    </w:rPr>
                  </w:pPr>
                  <w:r w:rsidRPr="00D322E3">
                    <w:rPr>
                      <w:rFonts w:cs="Arial"/>
                      <w:sz w:val="22"/>
                      <w:szCs w:val="22"/>
                    </w:rPr>
                    <w:t xml:space="preserve">12.5mg </w:t>
                  </w:r>
                </w:p>
              </w:tc>
            </w:tr>
          </w:tbl>
          <w:p w14:paraId="186D3C51" w14:textId="77777777" w:rsidR="00BB17A6" w:rsidRPr="005706AE" w:rsidRDefault="00BB17A6" w:rsidP="000B52F9">
            <w:pPr>
              <w:pStyle w:val="Default"/>
              <w:spacing w:before="120" w:after="120"/>
              <w:rPr>
                <w:color w:val="191817"/>
                <w:sz w:val="22"/>
                <w:szCs w:val="22"/>
              </w:rPr>
            </w:pPr>
          </w:p>
        </w:tc>
      </w:tr>
      <w:tr w:rsidR="00BB17A6" w:rsidRPr="007C1B5E" w14:paraId="4B059C79" w14:textId="77777777" w:rsidTr="000B52F9">
        <w:tc>
          <w:tcPr>
            <w:tcW w:w="2790" w:type="dxa"/>
            <w:tcBorders>
              <w:bottom w:val="single" w:sz="4" w:space="0" w:color="auto"/>
            </w:tcBorders>
          </w:tcPr>
          <w:p w14:paraId="3B7EF8C7" w14:textId="77777777" w:rsidR="00BB17A6" w:rsidRPr="0034683E" w:rsidRDefault="00BB17A6" w:rsidP="000B52F9">
            <w:pPr>
              <w:spacing w:before="120" w:after="120"/>
              <w:rPr>
                <w:rFonts w:cs="Arial"/>
                <w:b/>
                <w:sz w:val="22"/>
                <w:szCs w:val="22"/>
              </w:rPr>
            </w:pPr>
            <w:r w:rsidRPr="0034683E">
              <w:rPr>
                <w:rFonts w:cs="Arial"/>
                <w:b/>
                <w:sz w:val="22"/>
                <w:szCs w:val="22"/>
              </w:rPr>
              <w:t>Duration of treatment</w:t>
            </w:r>
          </w:p>
        </w:tc>
        <w:tc>
          <w:tcPr>
            <w:tcW w:w="6991" w:type="dxa"/>
            <w:tcBorders>
              <w:bottom w:val="single" w:sz="4" w:space="0" w:color="auto"/>
            </w:tcBorders>
          </w:tcPr>
          <w:p w14:paraId="111AC509" w14:textId="77777777" w:rsidR="00BB17A6" w:rsidRPr="00522BBC" w:rsidRDefault="00BB17A6" w:rsidP="000B52F9">
            <w:pPr>
              <w:spacing w:before="120" w:after="120"/>
              <w:rPr>
                <w:rFonts w:cs="Arial"/>
                <w:b/>
                <w:sz w:val="22"/>
                <w:szCs w:val="22"/>
              </w:rPr>
            </w:pPr>
            <w:r w:rsidRPr="00522BBC">
              <w:rPr>
                <w:rFonts w:cs="Arial"/>
                <w:sz w:val="22"/>
                <w:szCs w:val="22"/>
              </w:rPr>
              <w:t>A single dose to be administered</w:t>
            </w:r>
            <w:r>
              <w:rPr>
                <w:rFonts w:cs="Arial"/>
                <w:sz w:val="22"/>
                <w:szCs w:val="22"/>
              </w:rPr>
              <w:t xml:space="preserve"> immediately</w:t>
            </w:r>
            <w:r w:rsidRPr="00522BBC">
              <w:rPr>
                <w:rFonts w:cs="Arial"/>
                <w:sz w:val="22"/>
                <w:szCs w:val="22"/>
              </w:rPr>
              <w:t>. This will protect against exposure lasting up to 24 hours.</w:t>
            </w:r>
          </w:p>
        </w:tc>
      </w:tr>
      <w:tr w:rsidR="00BB17A6" w:rsidRPr="007C1B5E" w14:paraId="70E234E2" w14:textId="77777777" w:rsidTr="000B52F9">
        <w:tc>
          <w:tcPr>
            <w:tcW w:w="2790" w:type="dxa"/>
            <w:tcBorders>
              <w:bottom w:val="single" w:sz="4" w:space="0" w:color="auto"/>
            </w:tcBorders>
          </w:tcPr>
          <w:p w14:paraId="31509C42" w14:textId="77777777" w:rsidR="00BB17A6" w:rsidRPr="0034683E" w:rsidRDefault="00BB17A6" w:rsidP="00712D13">
            <w:pPr>
              <w:spacing w:before="120" w:after="120"/>
              <w:rPr>
                <w:rFonts w:cs="Arial"/>
                <w:b/>
                <w:sz w:val="22"/>
                <w:szCs w:val="22"/>
              </w:rPr>
            </w:pPr>
            <w:r>
              <w:rPr>
                <w:rFonts w:cs="Arial"/>
                <w:b/>
                <w:sz w:val="22"/>
                <w:szCs w:val="22"/>
              </w:rPr>
              <w:t>Quantity to be supplied/ administered</w:t>
            </w:r>
          </w:p>
        </w:tc>
        <w:tc>
          <w:tcPr>
            <w:tcW w:w="6991" w:type="dxa"/>
            <w:tcBorders>
              <w:bottom w:val="single" w:sz="4" w:space="0" w:color="auto"/>
            </w:tcBorders>
          </w:tcPr>
          <w:p w14:paraId="7C8762B2" w14:textId="2E2D6A53" w:rsidR="00BB17A6" w:rsidRPr="002A049D" w:rsidRDefault="008B5230" w:rsidP="000B52F9">
            <w:pPr>
              <w:spacing w:before="120" w:after="120"/>
              <w:rPr>
                <w:rFonts w:cs="Arial"/>
                <w:sz w:val="22"/>
                <w:szCs w:val="22"/>
              </w:rPr>
            </w:pPr>
            <w:r>
              <w:rPr>
                <w:rFonts w:cs="Arial"/>
                <w:sz w:val="22"/>
                <w:szCs w:val="22"/>
              </w:rPr>
              <w:t>A single dose</w:t>
            </w:r>
          </w:p>
        </w:tc>
      </w:tr>
      <w:tr w:rsidR="00BB17A6" w:rsidRPr="007C1B5E" w14:paraId="291C4D7A" w14:textId="77777777" w:rsidTr="000B52F9">
        <w:tc>
          <w:tcPr>
            <w:tcW w:w="2790" w:type="dxa"/>
            <w:tcBorders>
              <w:bottom w:val="single" w:sz="4" w:space="0" w:color="auto"/>
            </w:tcBorders>
          </w:tcPr>
          <w:p w14:paraId="3113A36F" w14:textId="77777777" w:rsidR="00BB17A6" w:rsidRPr="007C1B5E" w:rsidRDefault="00BB17A6" w:rsidP="000B52F9">
            <w:pPr>
              <w:spacing w:before="120" w:after="120"/>
              <w:rPr>
                <w:rFonts w:cs="Arial"/>
                <w:b/>
                <w:sz w:val="22"/>
                <w:szCs w:val="22"/>
              </w:rPr>
            </w:pPr>
            <w:r>
              <w:rPr>
                <w:rFonts w:cs="Arial"/>
                <w:b/>
                <w:sz w:val="22"/>
                <w:szCs w:val="22"/>
              </w:rPr>
              <w:t>Storage</w:t>
            </w:r>
          </w:p>
        </w:tc>
        <w:tc>
          <w:tcPr>
            <w:tcW w:w="6991" w:type="dxa"/>
            <w:tcBorders>
              <w:bottom w:val="single" w:sz="4" w:space="0" w:color="auto"/>
            </w:tcBorders>
          </w:tcPr>
          <w:p w14:paraId="5971B15D" w14:textId="77777777" w:rsidR="00BB17A6" w:rsidRPr="009E4F1B" w:rsidRDefault="00BB17A6" w:rsidP="000B52F9">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p w14:paraId="79AE2708" w14:textId="6E3358E8" w:rsidR="00BB17A6" w:rsidRPr="00EC7FE7" w:rsidRDefault="00BB17A6" w:rsidP="000B52F9">
            <w:pPr>
              <w:pStyle w:val="Header"/>
              <w:tabs>
                <w:tab w:val="clear" w:pos="4153"/>
                <w:tab w:val="clear" w:pos="8306"/>
              </w:tabs>
              <w:spacing w:after="120"/>
              <w:rPr>
                <w:rFonts w:ascii="Arial" w:hAnsi="Arial" w:cs="Arial"/>
                <w:sz w:val="22"/>
                <w:szCs w:val="22"/>
              </w:rPr>
            </w:pPr>
          </w:p>
        </w:tc>
      </w:tr>
      <w:tr w:rsidR="00BB17A6" w:rsidRPr="007C1B5E" w14:paraId="406DCF06" w14:textId="77777777" w:rsidTr="000B52F9">
        <w:tc>
          <w:tcPr>
            <w:tcW w:w="2790" w:type="dxa"/>
            <w:tcBorders>
              <w:bottom w:val="single" w:sz="4" w:space="0" w:color="auto"/>
            </w:tcBorders>
          </w:tcPr>
          <w:p w14:paraId="3DD506A1" w14:textId="77777777" w:rsidR="00BB17A6" w:rsidRDefault="00BB17A6" w:rsidP="000B52F9">
            <w:pPr>
              <w:spacing w:before="120" w:after="120"/>
              <w:rPr>
                <w:rFonts w:cs="Arial"/>
                <w:b/>
                <w:sz w:val="22"/>
                <w:szCs w:val="22"/>
              </w:rPr>
            </w:pPr>
            <w:r>
              <w:rPr>
                <w:rFonts w:cs="Arial"/>
                <w:b/>
                <w:sz w:val="22"/>
                <w:szCs w:val="22"/>
              </w:rPr>
              <w:t>Disposal</w:t>
            </w:r>
          </w:p>
        </w:tc>
        <w:tc>
          <w:tcPr>
            <w:tcW w:w="6991" w:type="dxa"/>
            <w:tcBorders>
              <w:bottom w:val="single" w:sz="4" w:space="0" w:color="auto"/>
            </w:tcBorders>
          </w:tcPr>
          <w:p w14:paraId="306C2901" w14:textId="44193DFD" w:rsidR="00BB17A6" w:rsidRPr="0004626D" w:rsidRDefault="00BB17A6" w:rsidP="000B52F9">
            <w:pPr>
              <w:spacing w:before="120" w:after="120"/>
              <w:rPr>
                <w:rFonts w:cs="Arial"/>
                <w:color w:val="7030A0"/>
                <w:sz w:val="22"/>
                <w:szCs w:val="22"/>
              </w:rPr>
            </w:pPr>
            <w:r w:rsidRPr="00B050AB">
              <w:rPr>
                <w:rFonts w:cs="Arial"/>
                <w:sz w:val="22"/>
                <w:szCs w:val="22"/>
              </w:rPr>
              <w:t xml:space="preserve">Any unused product or waste material should be disposed of in accordance with local </w:t>
            </w:r>
            <w:r w:rsidR="007935A1">
              <w:rPr>
                <w:rFonts w:cs="Arial"/>
                <w:sz w:val="22"/>
                <w:szCs w:val="22"/>
              </w:rPr>
              <w:t>arrangements</w:t>
            </w:r>
            <w:r w:rsidRPr="00B050AB">
              <w:rPr>
                <w:rFonts w:cs="Arial"/>
                <w:sz w:val="22"/>
                <w:szCs w:val="22"/>
              </w:rPr>
              <w:t>.</w:t>
            </w:r>
          </w:p>
        </w:tc>
      </w:tr>
      <w:tr w:rsidR="00BB17A6" w:rsidRPr="007C1B5E" w14:paraId="1ED57F7A" w14:textId="77777777" w:rsidTr="000B52F9">
        <w:tc>
          <w:tcPr>
            <w:tcW w:w="2790" w:type="dxa"/>
            <w:tcBorders>
              <w:bottom w:val="single" w:sz="4" w:space="0" w:color="auto"/>
            </w:tcBorders>
          </w:tcPr>
          <w:p w14:paraId="4FABF3D8" w14:textId="77777777" w:rsidR="00BB17A6" w:rsidRPr="001B323D" w:rsidRDefault="00BB17A6" w:rsidP="000B52F9">
            <w:pPr>
              <w:spacing w:before="120" w:after="120"/>
              <w:jc w:val="both"/>
              <w:rPr>
                <w:rFonts w:ascii="Times New Roman" w:hAnsi="Times New Roman" w:cs="Arial"/>
                <w:b/>
                <w:sz w:val="22"/>
                <w:szCs w:val="22"/>
                <w:vertAlign w:val="superscript"/>
              </w:rPr>
            </w:pPr>
            <w:r>
              <w:rPr>
                <w:rFonts w:cs="Arial"/>
                <w:b/>
                <w:sz w:val="22"/>
                <w:szCs w:val="22"/>
              </w:rPr>
              <w:t>Drug Interactions</w:t>
            </w:r>
          </w:p>
        </w:tc>
        <w:tc>
          <w:tcPr>
            <w:tcW w:w="6991" w:type="dxa"/>
            <w:tcBorders>
              <w:bottom w:val="single" w:sz="4" w:space="0" w:color="auto"/>
            </w:tcBorders>
          </w:tcPr>
          <w:p w14:paraId="0A262069" w14:textId="50AAF011" w:rsidR="008B5230" w:rsidRDefault="008B5230" w:rsidP="008B5230">
            <w:pPr>
              <w:tabs>
                <w:tab w:val="left" w:pos="0"/>
              </w:tabs>
              <w:spacing w:before="120" w:after="60"/>
              <w:rPr>
                <w:sz w:val="22"/>
                <w:szCs w:val="22"/>
              </w:rPr>
            </w:pPr>
            <w:r w:rsidRPr="008B5230">
              <w:rPr>
                <w:sz w:val="22"/>
                <w:szCs w:val="22"/>
              </w:rPr>
              <w:t>The SPC lists drug interactions</w:t>
            </w:r>
            <w:r w:rsidR="007935A1">
              <w:rPr>
                <w:sz w:val="22"/>
                <w:szCs w:val="22"/>
              </w:rPr>
              <w:t xml:space="preserve">; </w:t>
            </w:r>
            <w:r w:rsidRPr="008B5230">
              <w:rPr>
                <w:sz w:val="22"/>
                <w:szCs w:val="22"/>
              </w:rPr>
              <w:t>these are not contraindications to administering potassium iod</w:t>
            </w:r>
            <w:r w:rsidR="00C42699">
              <w:rPr>
                <w:sz w:val="22"/>
                <w:szCs w:val="22"/>
              </w:rPr>
              <w:t>ide</w:t>
            </w:r>
            <w:r w:rsidRPr="008B5230">
              <w:rPr>
                <w:sz w:val="22"/>
                <w:szCs w:val="22"/>
              </w:rPr>
              <w:t>. Where advice is given by the appropriate public health authority that potassium iod</w:t>
            </w:r>
            <w:r w:rsidR="00C42699">
              <w:rPr>
                <w:sz w:val="22"/>
                <w:szCs w:val="22"/>
              </w:rPr>
              <w:t>ide</w:t>
            </w:r>
            <w:r w:rsidRPr="008B5230">
              <w:rPr>
                <w:sz w:val="22"/>
                <w:szCs w:val="22"/>
              </w:rPr>
              <w:t xml:space="preserve"> should be taken, the benefit of taking this medicine outweighs the risk of the interactions.</w:t>
            </w:r>
            <w:r>
              <w:rPr>
                <w:sz w:val="22"/>
                <w:szCs w:val="22"/>
              </w:rPr>
              <w:t xml:space="preserve"> </w:t>
            </w:r>
          </w:p>
          <w:p w14:paraId="74D15C79" w14:textId="0355B5A5" w:rsidR="00BB17A6" w:rsidRPr="00BB17A6" w:rsidRDefault="00BB17A6" w:rsidP="008B5230">
            <w:pPr>
              <w:tabs>
                <w:tab w:val="left" w:pos="0"/>
              </w:tabs>
              <w:spacing w:before="120" w:after="60"/>
              <w:rPr>
                <w:color w:val="7030A0"/>
                <w:sz w:val="22"/>
                <w:szCs w:val="22"/>
              </w:rPr>
            </w:pPr>
            <w:r w:rsidRPr="00BB17A6">
              <w:rPr>
                <w:sz w:val="22"/>
                <w:szCs w:val="22"/>
              </w:rPr>
              <w:t xml:space="preserve">Refer to </w:t>
            </w:r>
            <w:r>
              <w:rPr>
                <w:sz w:val="22"/>
                <w:szCs w:val="22"/>
              </w:rPr>
              <w:t xml:space="preserve">the </w:t>
            </w:r>
            <w:hyperlink r:id="rId9" w:history="1">
              <w:r w:rsidR="00E14FAB" w:rsidRPr="00E14FAB">
                <w:rPr>
                  <w:rStyle w:val="Hyperlink"/>
                  <w:sz w:val="22"/>
                  <w:szCs w:val="22"/>
                </w:rPr>
                <w:t>SPC</w:t>
              </w:r>
            </w:hyperlink>
            <w:r w:rsidR="00E14FAB">
              <w:rPr>
                <w:sz w:val="22"/>
                <w:szCs w:val="22"/>
              </w:rPr>
              <w:t xml:space="preserve"> </w:t>
            </w:r>
            <w:r w:rsidRPr="00BB17A6">
              <w:rPr>
                <w:sz w:val="22"/>
                <w:szCs w:val="22"/>
              </w:rPr>
              <w:t xml:space="preserve">for </w:t>
            </w:r>
            <w:r>
              <w:rPr>
                <w:sz w:val="22"/>
                <w:szCs w:val="22"/>
              </w:rPr>
              <w:t xml:space="preserve">a </w:t>
            </w:r>
            <w:r w:rsidRPr="00BB17A6">
              <w:rPr>
                <w:sz w:val="22"/>
                <w:szCs w:val="22"/>
              </w:rPr>
              <w:t>complete list</w:t>
            </w:r>
          </w:p>
        </w:tc>
      </w:tr>
      <w:tr w:rsidR="00BB17A6" w:rsidRPr="007C1B5E" w14:paraId="4C97FF4A" w14:textId="77777777" w:rsidTr="000B52F9">
        <w:tc>
          <w:tcPr>
            <w:tcW w:w="2790" w:type="dxa"/>
            <w:tcBorders>
              <w:bottom w:val="single" w:sz="4" w:space="0" w:color="auto"/>
            </w:tcBorders>
          </w:tcPr>
          <w:p w14:paraId="7F8825FC" w14:textId="77777777" w:rsidR="00BB17A6" w:rsidRDefault="00BB17A6" w:rsidP="000B52F9">
            <w:pPr>
              <w:spacing w:before="120" w:after="120"/>
              <w:rPr>
                <w:rFonts w:cs="Arial"/>
                <w:b/>
                <w:sz w:val="22"/>
                <w:szCs w:val="22"/>
              </w:rPr>
            </w:pPr>
            <w:r>
              <w:br w:type="page"/>
            </w:r>
            <w:r w:rsidRPr="00BB5879">
              <w:rPr>
                <w:rFonts w:cs="Arial"/>
                <w:b/>
                <w:sz w:val="22"/>
                <w:szCs w:val="22"/>
              </w:rPr>
              <w:t>Identification &amp; Management of Adverse Reactions</w:t>
            </w:r>
          </w:p>
          <w:p w14:paraId="25263D5E" w14:textId="77777777" w:rsidR="00BB17A6" w:rsidRPr="00BB5879" w:rsidRDefault="00BB17A6" w:rsidP="000B52F9">
            <w:pPr>
              <w:spacing w:before="120" w:after="120"/>
              <w:rPr>
                <w:rFonts w:cs="Arial"/>
                <w:b/>
                <w:sz w:val="22"/>
                <w:szCs w:val="22"/>
              </w:rPr>
            </w:pPr>
          </w:p>
        </w:tc>
        <w:tc>
          <w:tcPr>
            <w:tcW w:w="6991" w:type="dxa"/>
            <w:tcBorders>
              <w:bottom w:val="single" w:sz="4" w:space="0" w:color="auto"/>
            </w:tcBorders>
          </w:tcPr>
          <w:p w14:paraId="470D0CB3" w14:textId="574437B7" w:rsidR="006D6C62" w:rsidRDefault="00BB17A6" w:rsidP="00BB17A6">
            <w:pPr>
              <w:spacing w:before="120" w:after="120"/>
              <w:rPr>
                <w:rFonts w:cs="Arial"/>
                <w:sz w:val="22"/>
                <w:szCs w:val="22"/>
              </w:rPr>
            </w:pPr>
            <w:r w:rsidRPr="00BB17A6">
              <w:rPr>
                <w:rFonts w:cs="Arial"/>
                <w:sz w:val="22"/>
                <w:szCs w:val="22"/>
              </w:rPr>
              <w:t>The risk of adverse reactions</w:t>
            </w:r>
            <w:r w:rsidR="00FD3363">
              <w:rPr>
                <w:rFonts w:cs="Arial"/>
                <w:sz w:val="22"/>
                <w:szCs w:val="22"/>
              </w:rPr>
              <w:t xml:space="preserve"> </w:t>
            </w:r>
            <w:r w:rsidR="00FD3363" w:rsidRPr="00FD3363">
              <w:rPr>
                <w:rFonts w:cs="Arial"/>
                <w:sz w:val="22"/>
                <w:szCs w:val="22"/>
              </w:rPr>
              <w:t>such as nausea and taste disturbances</w:t>
            </w:r>
            <w:r w:rsidRPr="00BB17A6">
              <w:rPr>
                <w:rFonts w:cs="Arial"/>
                <w:sz w:val="22"/>
                <w:szCs w:val="22"/>
              </w:rPr>
              <w:t xml:space="preserve">, particularly to a single dose, is remote. </w:t>
            </w:r>
          </w:p>
          <w:p w14:paraId="5AAD08CA" w14:textId="0CAFA355" w:rsidR="00BB17A6" w:rsidRPr="00BB17A6" w:rsidRDefault="00BB17A6" w:rsidP="00BB17A6">
            <w:pPr>
              <w:spacing w:before="120" w:after="120"/>
              <w:rPr>
                <w:rFonts w:cs="Arial"/>
                <w:sz w:val="22"/>
                <w:szCs w:val="22"/>
              </w:rPr>
            </w:pPr>
            <w:r w:rsidRPr="00BB17A6">
              <w:rPr>
                <w:rFonts w:cs="Arial"/>
                <w:sz w:val="22"/>
                <w:szCs w:val="22"/>
              </w:rPr>
              <w:t xml:space="preserve">Where advice is given by the appropriate public health authority that potassium iodide should be taken, the benefit of taking this medicine outweighs the risk of undesirable effects. </w:t>
            </w:r>
          </w:p>
          <w:p w14:paraId="3B371E73" w14:textId="0776DB0A" w:rsidR="00BB17A6" w:rsidRPr="00D940F1" w:rsidRDefault="00BB17A6" w:rsidP="00BB17A6">
            <w:pPr>
              <w:spacing w:before="120" w:after="120"/>
              <w:rPr>
                <w:rFonts w:cs="Arial"/>
                <w:sz w:val="22"/>
                <w:szCs w:val="22"/>
              </w:rPr>
            </w:pPr>
            <w:r w:rsidRPr="00BB17A6">
              <w:rPr>
                <w:rFonts w:cs="Arial"/>
                <w:sz w:val="22"/>
                <w:szCs w:val="22"/>
              </w:rPr>
              <w:t>A detailed list of adverse re</w:t>
            </w:r>
            <w:r>
              <w:rPr>
                <w:rFonts w:cs="Arial"/>
                <w:sz w:val="22"/>
                <w:szCs w:val="22"/>
              </w:rPr>
              <w:t xml:space="preserve">actions is available in the </w:t>
            </w:r>
            <w:hyperlink r:id="rId10" w:history="1">
              <w:r w:rsidRPr="00BB17A6">
                <w:rPr>
                  <w:rStyle w:val="Hyperlink"/>
                  <w:rFonts w:cs="Arial"/>
                  <w:sz w:val="22"/>
                  <w:szCs w:val="22"/>
                </w:rPr>
                <w:t>SPC</w:t>
              </w:r>
            </w:hyperlink>
          </w:p>
        </w:tc>
      </w:tr>
      <w:tr w:rsidR="00BB17A6" w:rsidRPr="007C1B5E" w14:paraId="26344584" w14:textId="77777777" w:rsidTr="000B52F9">
        <w:tc>
          <w:tcPr>
            <w:tcW w:w="2790" w:type="dxa"/>
            <w:tcBorders>
              <w:bottom w:val="single" w:sz="4" w:space="0" w:color="auto"/>
            </w:tcBorders>
          </w:tcPr>
          <w:p w14:paraId="7E2987BB" w14:textId="77777777" w:rsidR="00BB17A6" w:rsidRPr="00A325FD" w:rsidRDefault="00BB17A6" w:rsidP="000B52F9">
            <w:pPr>
              <w:spacing w:before="120" w:after="120"/>
              <w:rPr>
                <w:rFonts w:cs="Arial"/>
                <w:b/>
                <w:sz w:val="22"/>
                <w:szCs w:val="22"/>
              </w:rPr>
            </w:pPr>
            <w:r w:rsidRPr="00A325FD">
              <w:rPr>
                <w:rFonts w:cs="Arial"/>
                <w:b/>
                <w:sz w:val="22"/>
                <w:szCs w:val="22"/>
              </w:rPr>
              <w:t>Reporting procedure of Adverse Reactions</w:t>
            </w:r>
          </w:p>
        </w:tc>
        <w:tc>
          <w:tcPr>
            <w:tcW w:w="6991" w:type="dxa"/>
            <w:tcBorders>
              <w:bottom w:val="single" w:sz="4" w:space="0" w:color="auto"/>
            </w:tcBorders>
          </w:tcPr>
          <w:p w14:paraId="1A490693" w14:textId="165DF75C" w:rsidR="00BB17A6" w:rsidRPr="00BB17A6" w:rsidRDefault="00BB17A6" w:rsidP="00BB17A6">
            <w:pPr>
              <w:pStyle w:val="TableParagraph"/>
              <w:spacing w:before="120" w:after="120"/>
              <w:rPr>
                <w:rFonts w:ascii="Arial" w:hAnsi="Arial" w:cs="Arial"/>
              </w:rPr>
            </w:pPr>
            <w:r w:rsidRPr="00BB17A6">
              <w:rPr>
                <w:rFonts w:ascii="Arial" w:hAnsi="Arial" w:cs="Arial"/>
              </w:rPr>
              <w:t>All suspected adverse reactions in children and severe adverse reactions in adults should be report</w:t>
            </w:r>
            <w:r>
              <w:rPr>
                <w:rFonts w:ascii="Arial" w:hAnsi="Arial" w:cs="Arial"/>
              </w:rPr>
              <w:t xml:space="preserve">ed using the </w:t>
            </w:r>
            <w:hyperlink r:id="rId11" w:history="1">
              <w:r>
                <w:rPr>
                  <w:rStyle w:val="Hyperlink"/>
                  <w:rFonts w:ascii="Arial" w:hAnsi="Arial" w:cs="Arial"/>
                </w:rPr>
                <w:t>Yellow C</w:t>
              </w:r>
              <w:r w:rsidRPr="00BB17A6">
                <w:rPr>
                  <w:rStyle w:val="Hyperlink"/>
                  <w:rFonts w:ascii="Arial" w:hAnsi="Arial" w:cs="Arial"/>
                </w:rPr>
                <w:t>ard scheme</w:t>
              </w:r>
            </w:hyperlink>
            <w:r w:rsidR="00FD3363">
              <w:rPr>
                <w:rStyle w:val="Hyperlink"/>
                <w:rFonts w:ascii="Arial" w:hAnsi="Arial" w:cs="Arial"/>
              </w:rPr>
              <w:t xml:space="preserve"> </w:t>
            </w:r>
            <w:r w:rsidR="00FD3363" w:rsidRPr="00F25139">
              <w:rPr>
                <w:rFonts w:ascii="Arial" w:hAnsi="Arial" w:cs="Arial"/>
              </w:rPr>
              <w:t>or search for MHRA Yellow Card in the Google Play or Apple App Store.</w:t>
            </w:r>
          </w:p>
          <w:p w14:paraId="7E8DEFC5" w14:textId="210803F0" w:rsidR="00BB17A6" w:rsidRPr="00227B89" w:rsidRDefault="00227B89" w:rsidP="00BB17A6">
            <w:pPr>
              <w:pStyle w:val="TableParagraph"/>
              <w:spacing w:before="120" w:after="120"/>
              <w:rPr>
                <w:rFonts w:ascii="Arial" w:hAnsi="Arial" w:cs="Arial"/>
                <w:bCs/>
              </w:rPr>
            </w:pPr>
            <w:r w:rsidRPr="00227B89">
              <w:rPr>
                <w:rFonts w:ascii="Arial" w:hAnsi="Arial" w:cs="Arial"/>
                <w:bCs/>
              </w:rPr>
              <w:t>Alert the supervising doctor in the event of serious adverse reaction.</w:t>
            </w:r>
          </w:p>
        </w:tc>
      </w:tr>
      <w:tr w:rsidR="00BB17A6" w:rsidRPr="007C1B5E" w14:paraId="3308751B" w14:textId="77777777" w:rsidTr="00E14FAB">
        <w:tc>
          <w:tcPr>
            <w:tcW w:w="2790" w:type="dxa"/>
          </w:tcPr>
          <w:p w14:paraId="3E5B90A0" w14:textId="77777777" w:rsidR="00BB17A6" w:rsidRPr="007C1B5E" w:rsidRDefault="00BB17A6" w:rsidP="000B52F9">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Written information to be given to patient or carer</w:t>
            </w:r>
          </w:p>
        </w:tc>
        <w:tc>
          <w:tcPr>
            <w:tcW w:w="6991" w:type="dxa"/>
          </w:tcPr>
          <w:p w14:paraId="212C0997" w14:textId="31E50A5E" w:rsidR="00BB17A6" w:rsidRDefault="00E14FAB" w:rsidP="006C28DB">
            <w:pPr>
              <w:spacing w:before="120" w:after="120"/>
              <w:ind w:right="89"/>
              <w:rPr>
                <w:rFonts w:eastAsia="Arial" w:cs="Arial"/>
                <w:sz w:val="22"/>
                <w:szCs w:val="22"/>
                <w:lang w:val="en-US" w:eastAsia="en-US"/>
              </w:rPr>
            </w:pPr>
            <w:r>
              <w:rPr>
                <w:rFonts w:eastAsia="Arial" w:cs="Arial"/>
                <w:sz w:val="22"/>
                <w:szCs w:val="22"/>
                <w:lang w:val="en-US" w:eastAsia="en-US"/>
              </w:rPr>
              <w:t xml:space="preserve">The </w:t>
            </w:r>
            <w:r w:rsidR="00BB17A6" w:rsidRPr="00BB17A6">
              <w:rPr>
                <w:rFonts w:eastAsia="Arial" w:cs="Arial"/>
                <w:sz w:val="22"/>
                <w:szCs w:val="22"/>
                <w:lang w:val="en-US" w:eastAsia="en-US"/>
              </w:rPr>
              <w:t>marketing</w:t>
            </w:r>
            <w:r w:rsidR="00BB17A6" w:rsidRPr="00BB17A6">
              <w:rPr>
                <w:rFonts w:eastAsia="Arial" w:cs="Arial"/>
                <w:sz w:val="22"/>
                <w:szCs w:val="22"/>
                <w:lang w:eastAsia="en-US"/>
              </w:rPr>
              <w:t xml:space="preserve"> authorisation</w:t>
            </w:r>
            <w:r w:rsidR="00BB17A6" w:rsidRPr="00BB17A6">
              <w:rPr>
                <w:rFonts w:eastAsia="Arial" w:cs="Arial"/>
                <w:sz w:val="22"/>
                <w:szCs w:val="22"/>
                <w:lang w:val="en-US" w:eastAsia="en-US"/>
              </w:rPr>
              <w:t xml:space="preserve"> holder's patient inform</w:t>
            </w:r>
            <w:r>
              <w:rPr>
                <w:rFonts w:eastAsia="Arial" w:cs="Arial"/>
                <w:sz w:val="22"/>
                <w:szCs w:val="22"/>
                <w:lang w:val="en-US" w:eastAsia="en-US"/>
              </w:rPr>
              <w:t>ation leaflet (PIL) does not need to be given when a product is administered.</w:t>
            </w:r>
            <w:r w:rsidR="00E467E3">
              <w:rPr>
                <w:rFonts w:eastAsia="Arial" w:cs="Arial"/>
                <w:sz w:val="22"/>
                <w:szCs w:val="22"/>
                <w:lang w:val="en-US" w:eastAsia="en-US"/>
              </w:rPr>
              <w:t xml:space="preserve"> </w:t>
            </w:r>
            <w:r>
              <w:rPr>
                <w:rFonts w:eastAsia="Arial" w:cs="Arial"/>
                <w:sz w:val="22"/>
                <w:szCs w:val="22"/>
                <w:lang w:val="en-US" w:eastAsia="en-US"/>
              </w:rPr>
              <w:t>However, if available</w:t>
            </w:r>
            <w:r w:rsidR="00FD3363">
              <w:rPr>
                <w:rFonts w:eastAsia="Arial" w:cs="Arial"/>
                <w:sz w:val="22"/>
                <w:szCs w:val="22"/>
                <w:lang w:val="en-US" w:eastAsia="en-US"/>
              </w:rPr>
              <w:t>,</w:t>
            </w:r>
            <w:r>
              <w:rPr>
                <w:rFonts w:eastAsia="Arial" w:cs="Arial"/>
                <w:sz w:val="22"/>
                <w:szCs w:val="22"/>
                <w:lang w:val="en-US" w:eastAsia="en-US"/>
              </w:rPr>
              <w:t xml:space="preserve"> it would be good practice to supply the PIL.</w:t>
            </w:r>
          </w:p>
          <w:p w14:paraId="6DDC2F1E" w14:textId="7BB6CEC6" w:rsidR="00E467E3" w:rsidRPr="006C28DB" w:rsidRDefault="00E467E3" w:rsidP="006C28DB">
            <w:pPr>
              <w:spacing w:before="120" w:after="120"/>
              <w:ind w:right="89"/>
              <w:rPr>
                <w:rFonts w:eastAsia="Arial" w:cs="Arial"/>
                <w:sz w:val="22"/>
                <w:szCs w:val="22"/>
                <w:lang w:val="en-US" w:eastAsia="en-US"/>
              </w:rPr>
            </w:pPr>
            <w:r w:rsidRPr="00E467E3">
              <w:rPr>
                <w:rFonts w:eastAsia="Arial" w:cs="Arial"/>
                <w:sz w:val="22"/>
                <w:szCs w:val="22"/>
                <w:lang w:val="en-US" w:eastAsia="en-US"/>
              </w:rPr>
              <w:t xml:space="preserve">Provide the </w:t>
            </w:r>
            <w:hyperlink r:id="rId12" w:history="1">
              <w:r w:rsidRPr="00E467E3">
                <w:rPr>
                  <w:rStyle w:val="Hyperlink"/>
                  <w:rFonts w:eastAsia="Arial" w:cs="Arial"/>
                  <w:sz w:val="22"/>
                  <w:szCs w:val="22"/>
                  <w:lang w:val="en-US" w:eastAsia="en-US"/>
                </w:rPr>
                <w:t>PHE/UKHSA Potassium Iodide Information Leaflet</w:t>
              </w:r>
            </w:hyperlink>
            <w:r>
              <w:rPr>
                <w:rFonts w:eastAsia="Arial" w:cs="Arial"/>
                <w:sz w:val="22"/>
                <w:szCs w:val="22"/>
                <w:lang w:val="en-US" w:eastAsia="en-US"/>
              </w:rPr>
              <w:t xml:space="preserve"> if available.</w:t>
            </w:r>
          </w:p>
        </w:tc>
      </w:tr>
      <w:tr w:rsidR="00E14FAB" w:rsidRPr="007C1B5E" w14:paraId="074A0F5E" w14:textId="77777777" w:rsidTr="00E14FAB">
        <w:tc>
          <w:tcPr>
            <w:tcW w:w="2790" w:type="dxa"/>
          </w:tcPr>
          <w:p w14:paraId="6681532A" w14:textId="28AF0875" w:rsidR="00E14FAB" w:rsidRDefault="00E14FAB" w:rsidP="0065497E">
            <w:pPr>
              <w:pStyle w:val="Header"/>
              <w:tabs>
                <w:tab w:val="clear" w:pos="4153"/>
                <w:tab w:val="clear" w:pos="8306"/>
              </w:tabs>
              <w:spacing w:before="120" w:after="120"/>
              <w:rPr>
                <w:rFonts w:ascii="Arial" w:hAnsi="Arial" w:cs="Arial"/>
                <w:b/>
                <w:sz w:val="22"/>
                <w:szCs w:val="22"/>
              </w:rPr>
            </w:pPr>
            <w:r w:rsidRPr="007C1B5E">
              <w:rPr>
                <w:rFonts w:ascii="Arial" w:hAnsi="Arial" w:cs="Arial"/>
                <w:b/>
                <w:sz w:val="22"/>
                <w:szCs w:val="22"/>
              </w:rPr>
              <w:t>Patient advice/Follow up treatment</w:t>
            </w:r>
          </w:p>
          <w:p w14:paraId="5DE44339" w14:textId="18F3CFEE" w:rsidR="00F60D98" w:rsidRDefault="00F60D98" w:rsidP="0065497E">
            <w:pPr>
              <w:pStyle w:val="Header"/>
              <w:tabs>
                <w:tab w:val="clear" w:pos="4153"/>
                <w:tab w:val="clear" w:pos="8306"/>
              </w:tabs>
              <w:spacing w:before="120" w:after="120"/>
              <w:rPr>
                <w:rFonts w:ascii="Arial" w:hAnsi="Arial" w:cs="Arial"/>
                <w:b/>
                <w:sz w:val="22"/>
                <w:szCs w:val="22"/>
              </w:rPr>
            </w:pPr>
          </w:p>
          <w:p w14:paraId="5C7C985A" w14:textId="32EDAC0F" w:rsidR="00F60D98" w:rsidRDefault="00F60D98" w:rsidP="0065497E">
            <w:pPr>
              <w:pStyle w:val="Header"/>
              <w:tabs>
                <w:tab w:val="clear" w:pos="4153"/>
                <w:tab w:val="clear" w:pos="8306"/>
              </w:tabs>
              <w:spacing w:before="120" w:after="120"/>
              <w:rPr>
                <w:rFonts w:ascii="Arial" w:hAnsi="Arial" w:cs="Arial"/>
                <w:b/>
                <w:sz w:val="22"/>
                <w:szCs w:val="22"/>
              </w:rPr>
            </w:pPr>
          </w:p>
          <w:p w14:paraId="62EE7C7C" w14:textId="722A945C" w:rsidR="00F60D98" w:rsidRDefault="00F60D98" w:rsidP="0065497E">
            <w:pPr>
              <w:pStyle w:val="Header"/>
              <w:tabs>
                <w:tab w:val="clear" w:pos="4153"/>
                <w:tab w:val="clear" w:pos="8306"/>
              </w:tabs>
              <w:spacing w:before="120" w:after="120"/>
              <w:rPr>
                <w:rFonts w:ascii="Arial" w:hAnsi="Arial" w:cs="Arial"/>
                <w:b/>
                <w:sz w:val="22"/>
                <w:szCs w:val="22"/>
              </w:rPr>
            </w:pPr>
          </w:p>
          <w:p w14:paraId="668A7C2A" w14:textId="69CA4314" w:rsidR="00F60D98" w:rsidRDefault="00F60D98" w:rsidP="0065497E">
            <w:pPr>
              <w:pStyle w:val="Header"/>
              <w:tabs>
                <w:tab w:val="clear" w:pos="4153"/>
                <w:tab w:val="clear" w:pos="8306"/>
              </w:tabs>
              <w:spacing w:before="120" w:after="120"/>
              <w:rPr>
                <w:rFonts w:ascii="Arial" w:hAnsi="Arial" w:cs="Arial"/>
                <w:b/>
                <w:sz w:val="22"/>
                <w:szCs w:val="22"/>
              </w:rPr>
            </w:pPr>
          </w:p>
          <w:p w14:paraId="0F7C3EB8" w14:textId="2C7ED443" w:rsidR="00F60D98" w:rsidRDefault="00F60D98" w:rsidP="0065497E">
            <w:pPr>
              <w:pStyle w:val="Header"/>
              <w:tabs>
                <w:tab w:val="clear" w:pos="4153"/>
                <w:tab w:val="clear" w:pos="8306"/>
              </w:tabs>
              <w:spacing w:before="120" w:after="120"/>
              <w:rPr>
                <w:rFonts w:ascii="Arial" w:hAnsi="Arial" w:cs="Arial"/>
                <w:b/>
                <w:sz w:val="22"/>
                <w:szCs w:val="22"/>
              </w:rPr>
            </w:pPr>
          </w:p>
          <w:p w14:paraId="18A1E9C1" w14:textId="16915BAB" w:rsidR="00F60D98" w:rsidRDefault="00F60D98" w:rsidP="0065497E">
            <w:pPr>
              <w:pStyle w:val="Header"/>
              <w:tabs>
                <w:tab w:val="clear" w:pos="4153"/>
                <w:tab w:val="clear" w:pos="8306"/>
              </w:tabs>
              <w:spacing w:before="120" w:after="120"/>
              <w:rPr>
                <w:rFonts w:ascii="Arial" w:hAnsi="Arial" w:cs="Arial"/>
                <w:b/>
                <w:sz w:val="22"/>
                <w:szCs w:val="22"/>
              </w:rPr>
            </w:pPr>
          </w:p>
          <w:p w14:paraId="61767EB1" w14:textId="19E748C2" w:rsidR="00F60D98" w:rsidRDefault="00F60D98" w:rsidP="0065497E">
            <w:pPr>
              <w:pStyle w:val="Header"/>
              <w:tabs>
                <w:tab w:val="clear" w:pos="4153"/>
                <w:tab w:val="clear" w:pos="8306"/>
              </w:tabs>
              <w:spacing w:before="120" w:after="120"/>
              <w:rPr>
                <w:rFonts w:ascii="Arial" w:hAnsi="Arial" w:cs="Arial"/>
                <w:b/>
                <w:sz w:val="22"/>
                <w:szCs w:val="22"/>
              </w:rPr>
            </w:pPr>
          </w:p>
          <w:p w14:paraId="58DF0900" w14:textId="7F692C9F" w:rsidR="00F60D98" w:rsidRDefault="00F60D98" w:rsidP="0065497E">
            <w:pPr>
              <w:pStyle w:val="Header"/>
              <w:tabs>
                <w:tab w:val="clear" w:pos="4153"/>
                <w:tab w:val="clear" w:pos="8306"/>
              </w:tabs>
              <w:spacing w:before="120" w:after="120"/>
              <w:rPr>
                <w:rFonts w:ascii="Arial" w:hAnsi="Arial" w:cs="Arial"/>
                <w:b/>
                <w:sz w:val="22"/>
                <w:szCs w:val="22"/>
              </w:rPr>
            </w:pPr>
          </w:p>
          <w:p w14:paraId="00E1D7FC" w14:textId="448C4B24" w:rsidR="00F60D98" w:rsidRDefault="00F60D98" w:rsidP="0065497E">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 overleaf</w:t>
            </w:r>
          </w:p>
          <w:p w14:paraId="5CAA8514" w14:textId="77777777" w:rsidR="00F60D98" w:rsidRDefault="00F60D98" w:rsidP="00F60D98">
            <w:pPr>
              <w:pStyle w:val="Header"/>
              <w:tabs>
                <w:tab w:val="clear" w:pos="4153"/>
                <w:tab w:val="clear" w:pos="8306"/>
              </w:tabs>
              <w:spacing w:before="120" w:after="120"/>
              <w:rPr>
                <w:rFonts w:ascii="Arial" w:hAnsi="Arial" w:cs="Arial"/>
                <w:b/>
                <w:sz w:val="22"/>
                <w:szCs w:val="22"/>
              </w:rPr>
            </w:pPr>
            <w:r w:rsidRPr="007C1B5E">
              <w:rPr>
                <w:rFonts w:ascii="Arial" w:hAnsi="Arial" w:cs="Arial"/>
                <w:b/>
                <w:sz w:val="22"/>
                <w:szCs w:val="22"/>
              </w:rPr>
              <w:t>Patient advice/Follow up treatment</w:t>
            </w:r>
          </w:p>
          <w:p w14:paraId="552B9059" w14:textId="6ADE0B41" w:rsidR="00F60D98" w:rsidRPr="00F60D98" w:rsidRDefault="00F60D98" w:rsidP="0065497E">
            <w:pPr>
              <w:pStyle w:val="Header"/>
              <w:tabs>
                <w:tab w:val="clear" w:pos="4153"/>
                <w:tab w:val="clear" w:pos="8306"/>
              </w:tabs>
              <w:spacing w:before="120" w:after="120"/>
              <w:rPr>
                <w:rFonts w:ascii="Arial" w:hAnsi="Arial" w:cs="Arial"/>
                <w:bCs/>
                <w:sz w:val="22"/>
                <w:szCs w:val="22"/>
              </w:rPr>
            </w:pPr>
            <w:r w:rsidRPr="00F60D98">
              <w:rPr>
                <w:rFonts w:ascii="Arial" w:hAnsi="Arial" w:cs="Arial"/>
                <w:bCs/>
                <w:sz w:val="22"/>
                <w:szCs w:val="22"/>
              </w:rPr>
              <w:t>(continued)</w:t>
            </w:r>
          </w:p>
          <w:p w14:paraId="0A60619B" w14:textId="77777777" w:rsidR="00E14FAB" w:rsidRPr="00AF18A4" w:rsidRDefault="00E14FAB" w:rsidP="0065497E">
            <w:pPr>
              <w:pStyle w:val="Header"/>
              <w:tabs>
                <w:tab w:val="clear" w:pos="4153"/>
                <w:tab w:val="clear" w:pos="8306"/>
              </w:tabs>
              <w:spacing w:before="120" w:after="120"/>
              <w:rPr>
                <w:rFonts w:ascii="Arial" w:hAnsi="Arial" w:cs="Arial"/>
                <w:sz w:val="22"/>
                <w:szCs w:val="22"/>
              </w:rPr>
            </w:pPr>
          </w:p>
        </w:tc>
        <w:tc>
          <w:tcPr>
            <w:tcW w:w="6991" w:type="dxa"/>
          </w:tcPr>
          <w:p w14:paraId="2E8D27A4" w14:textId="77777777" w:rsidR="00E14FAB" w:rsidRPr="00E14FAB" w:rsidRDefault="00E14FAB" w:rsidP="006D6C62">
            <w:pPr>
              <w:tabs>
                <w:tab w:val="center" w:pos="4153"/>
                <w:tab w:val="right" w:pos="8306"/>
              </w:tabs>
              <w:spacing w:before="120" w:after="120"/>
              <w:rPr>
                <w:rFonts w:cs="Arial"/>
                <w:sz w:val="22"/>
                <w:szCs w:val="22"/>
              </w:rPr>
            </w:pPr>
            <w:r w:rsidRPr="00E14FAB">
              <w:rPr>
                <w:rFonts w:cs="Arial"/>
                <w:sz w:val="22"/>
                <w:szCs w:val="22"/>
              </w:rPr>
              <w:t>Explain why the treatment is necessary.</w:t>
            </w:r>
          </w:p>
          <w:p w14:paraId="5CAB2A48" w14:textId="41FA3223" w:rsidR="00E14FAB" w:rsidRPr="00E14FAB" w:rsidRDefault="00E14FAB" w:rsidP="006D6C62">
            <w:pPr>
              <w:spacing w:before="120" w:after="120"/>
              <w:rPr>
                <w:rFonts w:cs="Arial"/>
                <w:color w:val="000000"/>
                <w:sz w:val="22"/>
                <w:szCs w:val="22"/>
              </w:rPr>
            </w:pPr>
            <w:r w:rsidRPr="00E14FAB">
              <w:rPr>
                <w:rFonts w:eastAsia="Arial" w:cs="Arial"/>
                <w:sz w:val="22"/>
                <w:szCs w:val="22"/>
              </w:rPr>
              <w:t xml:space="preserve">Inform the individual or their carer of possible side effects and their management. </w:t>
            </w:r>
            <w:r w:rsidRPr="00E14FAB">
              <w:rPr>
                <w:rFonts w:cs="Arial"/>
                <w:sz w:val="22"/>
                <w:szCs w:val="22"/>
              </w:rPr>
              <w:t>Ensure</w:t>
            </w:r>
            <w:r w:rsidR="00D274DE">
              <w:rPr>
                <w:rFonts w:cs="Arial"/>
                <w:sz w:val="22"/>
                <w:szCs w:val="22"/>
              </w:rPr>
              <w:t xml:space="preserve"> </w:t>
            </w:r>
            <w:r w:rsidRPr="00E14FAB">
              <w:rPr>
                <w:rFonts w:cs="Arial"/>
                <w:sz w:val="22"/>
                <w:szCs w:val="22"/>
              </w:rPr>
              <w:t>the individual is aware medical advice should be sought if side effects or any other unexplained effects on health are experienced.</w:t>
            </w:r>
          </w:p>
          <w:p w14:paraId="57F079D9" w14:textId="72F58C81" w:rsidR="00E467E3" w:rsidRDefault="00E467E3" w:rsidP="00E467E3">
            <w:pPr>
              <w:overflowPunct/>
              <w:spacing w:before="120" w:after="120"/>
              <w:textAlignment w:val="auto"/>
              <w:rPr>
                <w:rFonts w:cs="Arial"/>
                <w:color w:val="000000"/>
                <w:sz w:val="22"/>
                <w:szCs w:val="22"/>
              </w:rPr>
            </w:pPr>
            <w:r>
              <w:rPr>
                <w:rFonts w:cs="Arial"/>
                <w:color w:val="000000"/>
                <w:sz w:val="22"/>
                <w:szCs w:val="22"/>
              </w:rPr>
              <w:t>A</w:t>
            </w:r>
            <w:r w:rsidRPr="00E467E3">
              <w:rPr>
                <w:rFonts w:cs="Arial"/>
                <w:color w:val="000000"/>
                <w:sz w:val="22"/>
                <w:szCs w:val="22"/>
              </w:rPr>
              <w:t>dvise individuals who are in the last three months of pregnancy to make an appointment to see their GP or midwife</w:t>
            </w:r>
            <w:r>
              <w:rPr>
                <w:rFonts w:cs="Arial"/>
                <w:color w:val="000000"/>
                <w:sz w:val="22"/>
                <w:szCs w:val="22"/>
              </w:rPr>
              <w:t>.</w:t>
            </w:r>
            <w:r w:rsidR="00F60D98">
              <w:rPr>
                <w:rFonts w:cs="Arial"/>
                <w:color w:val="000000"/>
                <w:sz w:val="22"/>
                <w:szCs w:val="22"/>
              </w:rPr>
              <w:t xml:space="preserve"> When a</w:t>
            </w:r>
            <w:r w:rsidR="00F60D98" w:rsidRPr="00E467E3">
              <w:rPr>
                <w:rFonts w:cs="Arial"/>
                <w:color w:val="000000"/>
                <w:sz w:val="22"/>
                <w:szCs w:val="22"/>
              </w:rPr>
              <w:t xml:space="preserve"> mother has taken potassium iodide tablets in the last three months of pregnancy</w:t>
            </w:r>
            <w:r w:rsidR="00F60D98">
              <w:rPr>
                <w:rFonts w:cs="Arial"/>
                <w:color w:val="000000"/>
                <w:sz w:val="22"/>
                <w:szCs w:val="22"/>
              </w:rPr>
              <w:t>, u</w:t>
            </w:r>
            <w:r w:rsidRPr="00E467E3">
              <w:rPr>
                <w:rFonts w:cs="Arial"/>
                <w:color w:val="000000"/>
                <w:sz w:val="22"/>
                <w:szCs w:val="22"/>
              </w:rPr>
              <w:t>mbilical cord blood samples should be taken at birth for the baby’s thyroid hormone measurement</w:t>
            </w:r>
            <w:r w:rsidR="00F60D98">
              <w:rPr>
                <w:rFonts w:cs="Arial"/>
                <w:color w:val="000000"/>
                <w:sz w:val="22"/>
                <w:szCs w:val="22"/>
              </w:rPr>
              <w:t>.</w:t>
            </w:r>
          </w:p>
          <w:p w14:paraId="76C97B80" w14:textId="23389079" w:rsidR="00C42699" w:rsidRDefault="00C42699" w:rsidP="00C42699">
            <w:pPr>
              <w:overflowPunct/>
              <w:spacing w:before="120" w:after="120"/>
              <w:textAlignment w:val="auto"/>
              <w:rPr>
                <w:rFonts w:cs="Arial"/>
                <w:color w:val="000000"/>
                <w:sz w:val="22"/>
                <w:szCs w:val="22"/>
              </w:rPr>
            </w:pPr>
            <w:r w:rsidRPr="00C42699">
              <w:rPr>
                <w:rFonts w:cs="Arial"/>
                <w:color w:val="000000"/>
                <w:sz w:val="22"/>
                <w:szCs w:val="22"/>
              </w:rPr>
              <w:t xml:space="preserve">Advise parents </w:t>
            </w:r>
            <w:r w:rsidR="00F60D98">
              <w:rPr>
                <w:rFonts w:cs="Arial"/>
                <w:color w:val="000000"/>
                <w:sz w:val="22"/>
                <w:szCs w:val="22"/>
              </w:rPr>
              <w:t xml:space="preserve">or </w:t>
            </w:r>
            <w:r w:rsidRPr="00C42699">
              <w:rPr>
                <w:rFonts w:cs="Arial"/>
                <w:color w:val="000000"/>
                <w:sz w:val="22"/>
                <w:szCs w:val="22"/>
              </w:rPr>
              <w:t xml:space="preserve">carers of babies under three months old, to make an appointment to see their GP or midwife. It is important to check the thyroid hormone levels of young babies after </w:t>
            </w:r>
            <w:r w:rsidR="00F60D98">
              <w:rPr>
                <w:rFonts w:cs="Arial"/>
                <w:color w:val="000000"/>
                <w:sz w:val="22"/>
                <w:szCs w:val="22"/>
              </w:rPr>
              <w:t xml:space="preserve">being given </w:t>
            </w:r>
            <w:r w:rsidRPr="00C42699">
              <w:rPr>
                <w:rFonts w:cs="Arial"/>
                <w:color w:val="000000"/>
                <w:sz w:val="22"/>
                <w:szCs w:val="22"/>
              </w:rPr>
              <w:t>potassium iodide.</w:t>
            </w:r>
          </w:p>
          <w:p w14:paraId="4C959CE8" w14:textId="4937A533" w:rsidR="00E14FAB" w:rsidRPr="00E14FAB" w:rsidRDefault="00E14FAB" w:rsidP="00C42699">
            <w:pPr>
              <w:overflowPunct/>
              <w:spacing w:before="120" w:after="120"/>
              <w:textAlignment w:val="auto"/>
              <w:rPr>
                <w:rFonts w:cs="Arial"/>
                <w:color w:val="000000"/>
                <w:sz w:val="22"/>
                <w:szCs w:val="22"/>
              </w:rPr>
            </w:pPr>
            <w:r w:rsidRPr="00E14FAB">
              <w:rPr>
                <w:rFonts w:cs="Arial"/>
                <w:color w:val="000000"/>
                <w:sz w:val="22"/>
                <w:szCs w:val="22"/>
              </w:rPr>
              <w:t xml:space="preserve">Adults with previously treated or active thyroid disease should consult their GP if they notice any change in their condition. </w:t>
            </w:r>
          </w:p>
          <w:p w14:paraId="22B14FAB" w14:textId="7F705088" w:rsidR="00E14FAB" w:rsidRPr="00D87B4D" w:rsidRDefault="00D87B4D" w:rsidP="00D87B4D">
            <w:pPr>
              <w:pStyle w:val="TableParagraph"/>
              <w:spacing w:before="120" w:after="120"/>
              <w:rPr>
                <w:rFonts w:ascii="Arial" w:hAnsi="Arial" w:cs="Arial"/>
                <w:color w:val="000000"/>
              </w:rPr>
            </w:pPr>
            <w:r w:rsidRPr="00D87B4D">
              <w:rPr>
                <w:rFonts w:ascii="Arial" w:hAnsi="Arial" w:cs="Arial"/>
                <w:color w:val="000000"/>
              </w:rPr>
              <w:t>Other individuals will not need to see their GP after taking the tablets. However, advise if they have to see their GP for other reasons, they should tell the GP they have taken potassium iodide tablets.</w:t>
            </w:r>
          </w:p>
        </w:tc>
      </w:tr>
      <w:tr w:rsidR="00E14FAB" w:rsidRPr="007C1B5E" w14:paraId="66B5F6F5" w14:textId="77777777" w:rsidTr="00E14FAB">
        <w:tc>
          <w:tcPr>
            <w:tcW w:w="2790" w:type="dxa"/>
          </w:tcPr>
          <w:p w14:paraId="3F3C3E20" w14:textId="77777777" w:rsidR="00E14FAB" w:rsidRPr="00A325FD" w:rsidRDefault="00E14FAB" w:rsidP="00712D13">
            <w:pPr>
              <w:spacing w:before="120" w:after="120"/>
              <w:rPr>
                <w:rFonts w:cs="Arial"/>
                <w:b/>
                <w:sz w:val="22"/>
                <w:szCs w:val="22"/>
              </w:rPr>
            </w:pPr>
            <w:r w:rsidRPr="00A325FD">
              <w:rPr>
                <w:rFonts w:cs="Arial"/>
                <w:b/>
                <w:sz w:val="22"/>
                <w:szCs w:val="22"/>
              </w:rPr>
              <w:t>Special Considerations/ Additional Information</w:t>
            </w:r>
          </w:p>
        </w:tc>
        <w:tc>
          <w:tcPr>
            <w:tcW w:w="6991" w:type="dxa"/>
          </w:tcPr>
          <w:p w14:paraId="05281537" w14:textId="3A76740A" w:rsidR="00E14FAB" w:rsidRDefault="00E14FAB" w:rsidP="00D353FD">
            <w:pPr>
              <w:pStyle w:val="Header"/>
              <w:tabs>
                <w:tab w:val="left" w:pos="720"/>
              </w:tabs>
              <w:spacing w:before="120" w:after="120"/>
              <w:rPr>
                <w:rFonts w:ascii="Arial" w:hAnsi="Arial" w:cs="Arial"/>
                <w:sz w:val="22"/>
                <w:szCs w:val="22"/>
              </w:rPr>
            </w:pPr>
            <w:r w:rsidRPr="00E14FAB">
              <w:rPr>
                <w:rFonts w:ascii="Arial" w:hAnsi="Arial" w:cs="Arial"/>
                <w:sz w:val="22"/>
                <w:szCs w:val="22"/>
              </w:rPr>
              <w:t>The risk of health problems occurring, particularly to a single dose, is remote. The special precautions listed in the SPC have been consid</w:t>
            </w:r>
            <w:r w:rsidR="00962B85">
              <w:rPr>
                <w:rFonts w:ascii="Arial" w:hAnsi="Arial" w:cs="Arial"/>
                <w:sz w:val="22"/>
                <w:szCs w:val="22"/>
              </w:rPr>
              <w:t xml:space="preserve">ered but </w:t>
            </w:r>
            <w:r w:rsidR="00FD3363">
              <w:rPr>
                <w:rFonts w:ascii="Arial" w:hAnsi="Arial" w:cs="Arial"/>
                <w:sz w:val="22"/>
                <w:szCs w:val="22"/>
              </w:rPr>
              <w:t>the UKHSA</w:t>
            </w:r>
            <w:r w:rsidR="00962B85">
              <w:rPr>
                <w:rFonts w:ascii="Arial" w:hAnsi="Arial" w:cs="Arial"/>
                <w:sz w:val="22"/>
                <w:szCs w:val="22"/>
              </w:rPr>
              <w:t xml:space="preserve"> has determined</w:t>
            </w:r>
            <w:r>
              <w:rPr>
                <w:rFonts w:ascii="Arial" w:hAnsi="Arial" w:cs="Arial"/>
                <w:sz w:val="22"/>
                <w:szCs w:val="22"/>
              </w:rPr>
              <w:t xml:space="preserve"> the benefit outweighs the risk, w</w:t>
            </w:r>
            <w:r w:rsidRPr="00E14FAB">
              <w:rPr>
                <w:rFonts w:ascii="Arial" w:hAnsi="Arial" w:cs="Arial"/>
                <w:sz w:val="22"/>
                <w:szCs w:val="22"/>
              </w:rPr>
              <w:t>here advice is given by the appropriate public health authority that potassium iodide</w:t>
            </w:r>
            <w:r>
              <w:rPr>
                <w:rFonts w:ascii="Arial" w:hAnsi="Arial" w:cs="Arial"/>
                <w:sz w:val="22"/>
                <w:szCs w:val="22"/>
              </w:rPr>
              <w:t xml:space="preserve"> should be taken.</w:t>
            </w:r>
            <w:r w:rsidRPr="00E14FAB">
              <w:rPr>
                <w:rFonts w:ascii="Arial" w:hAnsi="Arial" w:cs="Arial"/>
                <w:sz w:val="22"/>
                <w:szCs w:val="22"/>
              </w:rPr>
              <w:t xml:space="preserve"> </w:t>
            </w:r>
          </w:p>
          <w:p w14:paraId="2162CF43" w14:textId="2DF7F2A2" w:rsidR="00E14FAB" w:rsidRPr="0088002E" w:rsidRDefault="00E14FAB" w:rsidP="00D353FD">
            <w:pPr>
              <w:pStyle w:val="Header"/>
              <w:tabs>
                <w:tab w:val="left" w:pos="720"/>
              </w:tabs>
              <w:spacing w:before="120" w:after="120"/>
              <w:rPr>
                <w:rFonts w:ascii="Arial" w:hAnsi="Arial" w:cs="Arial"/>
                <w:sz w:val="22"/>
                <w:szCs w:val="22"/>
              </w:rPr>
            </w:pPr>
            <w:r w:rsidRPr="00E14FAB">
              <w:rPr>
                <w:rFonts w:ascii="Arial" w:hAnsi="Arial" w:cs="Arial"/>
                <w:sz w:val="22"/>
                <w:szCs w:val="22"/>
              </w:rPr>
              <w:t>Iodine is actively transported in breast milk; however, the dosage in breast milk is insufficient on its own to protect babies. Therefore, breast</w:t>
            </w:r>
            <w:r w:rsidR="00D87B4D">
              <w:rPr>
                <w:rFonts w:ascii="Arial" w:hAnsi="Arial" w:cs="Arial"/>
                <w:sz w:val="22"/>
                <w:szCs w:val="22"/>
              </w:rPr>
              <w:t>-</w:t>
            </w:r>
            <w:r w:rsidRPr="00E14FAB">
              <w:rPr>
                <w:rFonts w:ascii="Arial" w:hAnsi="Arial" w:cs="Arial"/>
                <w:sz w:val="22"/>
                <w:szCs w:val="22"/>
              </w:rPr>
              <w:t>feeding mothers should continue to breast</w:t>
            </w:r>
            <w:r w:rsidR="00D87B4D">
              <w:rPr>
                <w:rFonts w:ascii="Arial" w:hAnsi="Arial" w:cs="Arial"/>
                <w:sz w:val="22"/>
                <w:szCs w:val="22"/>
              </w:rPr>
              <w:t>-</w:t>
            </w:r>
            <w:r w:rsidRPr="00E14FAB">
              <w:rPr>
                <w:rFonts w:ascii="Arial" w:hAnsi="Arial" w:cs="Arial"/>
                <w:sz w:val="22"/>
                <w:szCs w:val="22"/>
              </w:rPr>
              <w:t xml:space="preserve">feed their babies, and these babies should also receive potassium iodide in the normal dose by age </w:t>
            </w:r>
            <w:r w:rsidR="00D87B4D">
              <w:rPr>
                <w:rFonts w:ascii="Arial" w:hAnsi="Arial" w:cs="Arial"/>
                <w:sz w:val="22"/>
                <w:szCs w:val="22"/>
              </w:rPr>
              <w:t xml:space="preserve">(see </w:t>
            </w:r>
            <w:hyperlink w:anchor="dose" w:history="1">
              <w:r w:rsidR="00D87B4D" w:rsidRPr="00D87B4D">
                <w:rPr>
                  <w:rStyle w:val="Hyperlink"/>
                  <w:rFonts w:ascii="Arial" w:hAnsi="Arial" w:cs="Arial"/>
                  <w:sz w:val="22"/>
                  <w:szCs w:val="22"/>
                </w:rPr>
                <w:t>Dose and frequency of administration</w:t>
              </w:r>
            </w:hyperlink>
            <w:r w:rsidR="00D87B4D">
              <w:rPr>
                <w:rFonts w:ascii="Arial" w:hAnsi="Arial" w:cs="Arial"/>
                <w:sz w:val="22"/>
                <w:szCs w:val="22"/>
              </w:rPr>
              <w:t>)</w:t>
            </w:r>
          </w:p>
        </w:tc>
      </w:tr>
      <w:tr w:rsidR="00E14FAB" w:rsidRPr="007C1B5E" w14:paraId="68E9DC74" w14:textId="77777777" w:rsidTr="00E14FAB">
        <w:tc>
          <w:tcPr>
            <w:tcW w:w="2790" w:type="dxa"/>
          </w:tcPr>
          <w:p w14:paraId="6DD008FE" w14:textId="77777777" w:rsidR="00E14FAB" w:rsidRPr="00A325FD" w:rsidRDefault="00E14FAB" w:rsidP="00B7286B">
            <w:pPr>
              <w:spacing w:before="120" w:after="120"/>
              <w:rPr>
                <w:rFonts w:cs="Arial"/>
                <w:b/>
                <w:sz w:val="22"/>
                <w:szCs w:val="22"/>
              </w:rPr>
            </w:pPr>
            <w:r w:rsidRPr="00151778">
              <w:rPr>
                <w:rFonts w:cs="Arial"/>
                <w:b/>
                <w:sz w:val="22"/>
                <w:szCs w:val="22"/>
              </w:rPr>
              <w:t>Records</w:t>
            </w:r>
          </w:p>
        </w:tc>
        <w:tc>
          <w:tcPr>
            <w:tcW w:w="6991" w:type="dxa"/>
          </w:tcPr>
          <w:p w14:paraId="071DA15F" w14:textId="06D58BC3" w:rsidR="007852CC" w:rsidRDefault="00E14FAB" w:rsidP="00E14FAB">
            <w:pPr>
              <w:spacing w:before="120" w:after="120"/>
              <w:rPr>
                <w:rFonts w:cs="Arial"/>
                <w:sz w:val="22"/>
                <w:szCs w:val="22"/>
              </w:rPr>
            </w:pPr>
            <w:r>
              <w:rPr>
                <w:rFonts w:cs="Arial"/>
                <w:sz w:val="22"/>
                <w:szCs w:val="22"/>
              </w:rPr>
              <w:t xml:space="preserve">Document </w:t>
            </w:r>
            <w:r w:rsidR="007852CC">
              <w:rPr>
                <w:rFonts w:cs="Arial"/>
                <w:sz w:val="22"/>
                <w:szCs w:val="22"/>
              </w:rPr>
              <w:t>according to local policy.</w:t>
            </w:r>
          </w:p>
          <w:p w14:paraId="495F6193" w14:textId="36FFA326" w:rsidR="007852CC" w:rsidRDefault="007852CC" w:rsidP="00E14FAB">
            <w:pPr>
              <w:spacing w:before="120" w:after="120"/>
              <w:rPr>
                <w:rFonts w:cs="Arial"/>
                <w:sz w:val="22"/>
                <w:szCs w:val="22"/>
              </w:rPr>
            </w:pPr>
            <w:r>
              <w:rPr>
                <w:rFonts w:cs="Arial"/>
                <w:sz w:val="22"/>
                <w:szCs w:val="22"/>
              </w:rPr>
              <w:t>Records normally include:</w:t>
            </w:r>
          </w:p>
          <w:p w14:paraId="3037D3F9" w14:textId="3B9BA9E3"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whether valid informed consent was given or a decision to supply was made in the individual’s best interests in accordance with the </w:t>
            </w:r>
            <w:hyperlink r:id="rId13" w:history="1">
              <w:r w:rsidRPr="007852CC">
                <w:rPr>
                  <w:rStyle w:val="Hyperlink"/>
                  <w:rFonts w:cs="Arial"/>
                  <w:sz w:val="22"/>
                  <w:szCs w:val="22"/>
                </w:rPr>
                <w:t xml:space="preserve">Mental Capacity Act 2005 </w:t>
              </w:r>
            </w:hyperlink>
            <w:r w:rsidRPr="007852CC">
              <w:rPr>
                <w:rFonts w:cs="Arial"/>
                <w:sz w:val="22"/>
                <w:szCs w:val="22"/>
              </w:rPr>
              <w:t xml:space="preserve"> </w:t>
            </w:r>
          </w:p>
          <w:p w14:paraId="68CBD035" w14:textId="44B0593F"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name of individual, address, date of birth and GP with whom the individual is registered (or record where an individual is not registered with a GP)</w:t>
            </w:r>
          </w:p>
          <w:p w14:paraId="6DFF7427" w14:textId="46CB779F"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name of member of staff who administered the product  </w:t>
            </w:r>
          </w:p>
          <w:p w14:paraId="7C17FE17" w14:textId="7DBD9E15"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name and brand of product </w:t>
            </w:r>
          </w:p>
          <w:p w14:paraId="3F7BB75C" w14:textId="27B428AE"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date of administration</w:t>
            </w:r>
          </w:p>
          <w:p w14:paraId="083619C5" w14:textId="788D36ED"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dose, form and route of administration of product </w:t>
            </w:r>
          </w:p>
          <w:p w14:paraId="1E8749C6" w14:textId="60D15882"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quantity supplied </w:t>
            </w:r>
          </w:p>
          <w:p w14:paraId="4725F50A" w14:textId="42AD444E"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batch number and expiry date </w:t>
            </w:r>
          </w:p>
          <w:p w14:paraId="16365EBF" w14:textId="16C6CC65"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advice given  including advice given if excluded or declines treatment </w:t>
            </w:r>
          </w:p>
          <w:p w14:paraId="3EDD7E42" w14:textId="73F06766"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details of any adverse drug reactions and actions taken</w:t>
            </w:r>
          </w:p>
          <w:p w14:paraId="52417EA5" w14:textId="6CC53D9F"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record supplied via protocol</w:t>
            </w:r>
          </w:p>
          <w:p w14:paraId="35A46386" w14:textId="729D1195" w:rsidR="007852CC" w:rsidRPr="007852CC" w:rsidRDefault="007852CC" w:rsidP="007852CC">
            <w:pPr>
              <w:pStyle w:val="ListParagraph"/>
              <w:numPr>
                <w:ilvl w:val="0"/>
                <w:numId w:val="22"/>
              </w:numPr>
              <w:spacing w:before="120" w:after="120"/>
              <w:ind w:left="392" w:hanging="392"/>
              <w:rPr>
                <w:rFonts w:cs="Arial"/>
                <w:sz w:val="22"/>
                <w:szCs w:val="22"/>
              </w:rPr>
            </w:pPr>
            <w:r w:rsidRPr="007852CC">
              <w:rPr>
                <w:rFonts w:cs="Arial"/>
                <w:sz w:val="22"/>
                <w:szCs w:val="22"/>
              </w:rPr>
              <w:t xml:space="preserve">records should be signed and dated </w:t>
            </w:r>
          </w:p>
          <w:p w14:paraId="2E2178B1" w14:textId="77777777" w:rsidR="007852CC" w:rsidRPr="007852CC" w:rsidRDefault="007852CC" w:rsidP="007852CC">
            <w:pPr>
              <w:spacing w:before="120" w:after="120"/>
              <w:rPr>
                <w:rFonts w:cs="Arial"/>
                <w:sz w:val="22"/>
                <w:szCs w:val="22"/>
              </w:rPr>
            </w:pPr>
            <w:r w:rsidRPr="007852CC">
              <w:rPr>
                <w:rFonts w:cs="Arial"/>
                <w:sz w:val="22"/>
                <w:szCs w:val="22"/>
              </w:rPr>
              <w:t>All records should be clear, legible and contemporaneous.</w:t>
            </w:r>
          </w:p>
          <w:p w14:paraId="5292E862" w14:textId="58070309" w:rsidR="00E14FAB" w:rsidRPr="00F56903" w:rsidRDefault="007852CC" w:rsidP="007852CC">
            <w:pPr>
              <w:spacing w:before="120" w:after="120"/>
              <w:rPr>
                <w:rFonts w:cs="Arial"/>
                <w:sz w:val="22"/>
                <w:szCs w:val="22"/>
              </w:rPr>
            </w:pPr>
            <w:r w:rsidRPr="007852CC">
              <w:rPr>
                <w:rFonts w:cs="Arial"/>
                <w:sz w:val="22"/>
                <w:szCs w:val="22"/>
              </w:rPr>
              <w:t>A computerised or manual record of all individuals receiving treatment under this PGD  should also be kept for audit purposes in accordance with local policy.</w:t>
            </w:r>
          </w:p>
        </w:tc>
      </w:tr>
    </w:tbl>
    <w:p w14:paraId="6EBB3AB6" w14:textId="77777777" w:rsidR="00D836F3" w:rsidRPr="00E14FAB" w:rsidRDefault="00D836F3" w:rsidP="00BB17A6">
      <w:r>
        <w:br w:type="page"/>
      </w:r>
    </w:p>
    <w:p w14:paraId="1FC83987" w14:textId="77777777" w:rsidR="00D836F3" w:rsidRDefault="00D836F3" w:rsidP="00D836F3">
      <w:pPr>
        <w:pStyle w:val="Heading4"/>
        <w:numPr>
          <w:ilvl w:val="0"/>
          <w:numId w:val="4"/>
        </w:numPr>
        <w:spacing w:before="360"/>
        <w:rPr>
          <w:rFonts w:ascii="Arial" w:hAnsi="Arial" w:cs="Arial"/>
          <w:sz w:val="24"/>
          <w:szCs w:val="24"/>
        </w:rPr>
      </w:pPr>
      <w:r>
        <w:rPr>
          <w:rFonts w:ascii="Arial" w:hAnsi="Arial" w:cs="Arial"/>
          <w:sz w:val="24"/>
          <w:szCs w:val="24"/>
        </w:rPr>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D836F3" w14:paraId="1178FA9C" w14:textId="77777777" w:rsidTr="000B52F9">
        <w:tc>
          <w:tcPr>
            <w:tcW w:w="2772" w:type="dxa"/>
          </w:tcPr>
          <w:p w14:paraId="5F53A89D" w14:textId="77777777" w:rsidR="00D836F3" w:rsidRPr="007E045E" w:rsidRDefault="00D836F3" w:rsidP="000B52F9">
            <w:pPr>
              <w:spacing w:before="120" w:after="120"/>
              <w:rPr>
                <w:rFonts w:cs="Arial"/>
                <w:b/>
                <w:sz w:val="22"/>
                <w:szCs w:val="22"/>
              </w:rPr>
            </w:pPr>
            <w:r>
              <w:rPr>
                <w:rFonts w:cs="Arial"/>
                <w:b/>
                <w:sz w:val="22"/>
                <w:szCs w:val="22"/>
              </w:rPr>
              <w:t xml:space="preserve">Key references </w:t>
            </w:r>
          </w:p>
        </w:tc>
        <w:tc>
          <w:tcPr>
            <w:tcW w:w="7151" w:type="dxa"/>
          </w:tcPr>
          <w:p w14:paraId="27786E32" w14:textId="24B9F911" w:rsidR="00E14FAB" w:rsidRPr="00FD3363" w:rsidRDefault="00DA45FC" w:rsidP="003E6F4F">
            <w:pPr>
              <w:pStyle w:val="ListParagraph"/>
              <w:numPr>
                <w:ilvl w:val="0"/>
                <w:numId w:val="17"/>
              </w:numPr>
              <w:spacing w:before="120" w:after="120"/>
              <w:ind w:left="381" w:hanging="284"/>
              <w:contextualSpacing w:val="0"/>
              <w:rPr>
                <w:color w:val="1F497D"/>
                <w:sz w:val="22"/>
                <w:szCs w:val="22"/>
              </w:rPr>
            </w:pPr>
            <w:hyperlink r:id="rId14" w:history="1">
              <w:r w:rsidR="00F07459" w:rsidRPr="006C28DB">
                <w:rPr>
                  <w:rStyle w:val="Hyperlink"/>
                  <w:sz w:val="22"/>
                  <w:szCs w:val="22"/>
                </w:rPr>
                <w:t>P</w:t>
              </w:r>
              <w:r w:rsidR="00E14FAB" w:rsidRPr="006C28DB">
                <w:rPr>
                  <w:rStyle w:val="Hyperlink"/>
                  <w:sz w:val="22"/>
                  <w:szCs w:val="22"/>
                </w:rPr>
                <w:t>otassium iodide 65mg tablets Summary of Product Characteristics</w:t>
              </w:r>
            </w:hyperlink>
            <w:r w:rsidR="00E14FAB" w:rsidRPr="00E14FAB">
              <w:rPr>
                <w:sz w:val="22"/>
                <w:szCs w:val="22"/>
              </w:rPr>
              <w:t xml:space="preserve"> </w:t>
            </w:r>
            <w:r w:rsidR="00D35950" w:rsidRPr="008942B1">
              <w:rPr>
                <w:sz w:val="22"/>
                <w:szCs w:val="22"/>
              </w:rPr>
              <w:t>updated 26 May 2020</w:t>
            </w:r>
          </w:p>
          <w:p w14:paraId="7D863777" w14:textId="2F278894" w:rsidR="00FD3363" w:rsidRPr="00E467E3" w:rsidRDefault="00DA45FC" w:rsidP="003E6F4F">
            <w:pPr>
              <w:pStyle w:val="ListParagraph"/>
              <w:numPr>
                <w:ilvl w:val="0"/>
                <w:numId w:val="17"/>
              </w:numPr>
              <w:spacing w:before="120" w:after="120"/>
              <w:ind w:left="381" w:hanging="284"/>
              <w:contextualSpacing w:val="0"/>
              <w:rPr>
                <w:color w:val="1F497D"/>
                <w:sz w:val="22"/>
                <w:szCs w:val="22"/>
              </w:rPr>
            </w:pPr>
            <w:hyperlink r:id="rId15" w:history="1">
              <w:r w:rsidR="00FD3363" w:rsidRPr="006C28DB">
                <w:rPr>
                  <w:rStyle w:val="Hyperlink"/>
                  <w:sz w:val="22"/>
                  <w:szCs w:val="22"/>
                </w:rPr>
                <w:t>Potassium iodide 65mg tablets Patient Information Leaflet</w:t>
              </w:r>
            </w:hyperlink>
            <w:r w:rsidR="00FD3363">
              <w:rPr>
                <w:sz w:val="22"/>
                <w:szCs w:val="22"/>
              </w:rPr>
              <w:t xml:space="preserve"> </w:t>
            </w:r>
            <w:r w:rsidR="00D35950" w:rsidRPr="00D35950">
              <w:rPr>
                <w:sz w:val="22"/>
                <w:szCs w:val="22"/>
              </w:rPr>
              <w:t>updated 26 May 2020</w:t>
            </w:r>
          </w:p>
          <w:p w14:paraId="1AAF58FB" w14:textId="06AA471E" w:rsidR="00E467E3" w:rsidRPr="00E467E3" w:rsidRDefault="00DA45FC" w:rsidP="003E6F4F">
            <w:pPr>
              <w:pStyle w:val="ListParagraph"/>
              <w:numPr>
                <w:ilvl w:val="0"/>
                <w:numId w:val="17"/>
              </w:numPr>
              <w:spacing w:before="120" w:after="120"/>
              <w:ind w:left="381" w:hanging="284"/>
              <w:contextualSpacing w:val="0"/>
              <w:rPr>
                <w:sz w:val="22"/>
                <w:szCs w:val="22"/>
              </w:rPr>
            </w:pPr>
            <w:hyperlink r:id="rId16" w:history="1">
              <w:r w:rsidR="00E467E3" w:rsidRPr="00E467E3">
                <w:rPr>
                  <w:rStyle w:val="Hyperlink"/>
                  <w:sz w:val="22"/>
                  <w:szCs w:val="22"/>
                </w:rPr>
                <w:t>PHE Potassium iodide Information leaflet</w:t>
              </w:r>
            </w:hyperlink>
            <w:r w:rsidR="00E467E3">
              <w:rPr>
                <w:sz w:val="22"/>
                <w:szCs w:val="22"/>
              </w:rPr>
              <w:t xml:space="preserve"> 31 January 2015</w:t>
            </w:r>
          </w:p>
          <w:bookmarkStart w:id="1" w:name="_Hlk88213172"/>
          <w:p w14:paraId="10959358" w14:textId="47F1AB4A" w:rsidR="004E14E4" w:rsidRDefault="006C28DB" w:rsidP="003E6F4F">
            <w:pPr>
              <w:pStyle w:val="ListParagraph"/>
              <w:numPr>
                <w:ilvl w:val="0"/>
                <w:numId w:val="17"/>
              </w:numPr>
              <w:spacing w:before="120" w:after="120"/>
              <w:ind w:left="381" w:hanging="284"/>
              <w:contextualSpacing w:val="0"/>
              <w:rPr>
                <w:color w:val="1F497D"/>
                <w:sz w:val="22"/>
                <w:szCs w:val="22"/>
              </w:rPr>
            </w:pPr>
            <w:r>
              <w:rPr>
                <w:color w:val="1F497D"/>
                <w:sz w:val="22"/>
                <w:szCs w:val="22"/>
              </w:rPr>
              <w:fldChar w:fldCharType="begin"/>
            </w:r>
            <w:r>
              <w:rPr>
                <w:color w:val="1F497D"/>
                <w:sz w:val="22"/>
                <w:szCs w:val="22"/>
              </w:rPr>
              <w:instrText xml:space="preserve"> HYPERLINK "https://www.legislation.gov.uk/uksi/2018/199/made?view=plain" </w:instrText>
            </w:r>
            <w:r>
              <w:rPr>
                <w:color w:val="1F497D"/>
                <w:sz w:val="22"/>
                <w:szCs w:val="22"/>
              </w:rPr>
              <w:fldChar w:fldCharType="separate"/>
            </w:r>
            <w:r w:rsidR="004E14E4" w:rsidRPr="006C28DB">
              <w:rPr>
                <w:rStyle w:val="Hyperlink"/>
                <w:sz w:val="22"/>
                <w:szCs w:val="22"/>
              </w:rPr>
              <w:t>The Human Medicines (Amendment) Regulations 2018 No.199</w:t>
            </w:r>
            <w:r>
              <w:rPr>
                <w:color w:val="1F497D"/>
                <w:sz w:val="22"/>
                <w:szCs w:val="22"/>
              </w:rPr>
              <w:fldChar w:fldCharType="end"/>
            </w:r>
            <w:r w:rsidR="004E14E4">
              <w:rPr>
                <w:color w:val="1F497D"/>
                <w:sz w:val="22"/>
                <w:szCs w:val="22"/>
              </w:rPr>
              <w:t xml:space="preserve"> </w:t>
            </w:r>
          </w:p>
          <w:p w14:paraId="1D45132C" w14:textId="5B50A02A" w:rsidR="00A773C2" w:rsidRPr="00A773C2" w:rsidRDefault="00DA45FC" w:rsidP="003E6F4F">
            <w:pPr>
              <w:pStyle w:val="ListParagraph"/>
              <w:numPr>
                <w:ilvl w:val="0"/>
                <w:numId w:val="17"/>
              </w:numPr>
              <w:spacing w:before="120" w:after="120"/>
              <w:ind w:left="381" w:hanging="284"/>
              <w:contextualSpacing w:val="0"/>
              <w:rPr>
                <w:sz w:val="22"/>
                <w:szCs w:val="22"/>
              </w:rPr>
            </w:pPr>
            <w:hyperlink r:id="rId17" w:history="1">
              <w:r w:rsidR="00A773C2" w:rsidRPr="00A773C2">
                <w:rPr>
                  <w:rStyle w:val="Hyperlink"/>
                  <w:sz w:val="22"/>
                  <w:szCs w:val="22"/>
                </w:rPr>
                <w:t>Iodine thyroid blocking: Guidelines for use in planning and responding to radiological and nuclear emergencies</w:t>
              </w:r>
            </w:hyperlink>
            <w:r w:rsidR="00A773C2">
              <w:rPr>
                <w:sz w:val="22"/>
                <w:szCs w:val="22"/>
              </w:rPr>
              <w:t xml:space="preserve"> </w:t>
            </w:r>
            <w:r w:rsidR="00BC0017">
              <w:rPr>
                <w:sz w:val="22"/>
                <w:szCs w:val="22"/>
              </w:rPr>
              <w:t xml:space="preserve">World Health Organization </w:t>
            </w:r>
            <w:r w:rsidR="00A773C2">
              <w:rPr>
                <w:sz w:val="22"/>
                <w:szCs w:val="22"/>
              </w:rPr>
              <w:t>2017</w:t>
            </w:r>
          </w:p>
          <w:bookmarkEnd w:id="1"/>
          <w:p w14:paraId="3F77525E" w14:textId="6E0A1240" w:rsidR="00D836F3" w:rsidRDefault="008767A9" w:rsidP="006C28DB">
            <w:pPr>
              <w:pStyle w:val="ListParagraph"/>
              <w:numPr>
                <w:ilvl w:val="0"/>
                <w:numId w:val="17"/>
              </w:numPr>
              <w:tabs>
                <w:tab w:val="left" w:pos="1440"/>
                <w:tab w:val="left" w:pos="2160"/>
                <w:tab w:val="left" w:pos="2880"/>
                <w:tab w:val="left" w:pos="4680"/>
                <w:tab w:val="left" w:pos="5400"/>
                <w:tab w:val="right" w:pos="9000"/>
              </w:tabs>
              <w:overflowPunct/>
              <w:autoSpaceDE/>
              <w:autoSpaceDN/>
              <w:adjustRightInd/>
              <w:spacing w:after="120" w:line="240" w:lineRule="atLeast"/>
              <w:ind w:left="381" w:hanging="284"/>
              <w:contextualSpacing w:val="0"/>
              <w:textAlignment w:val="auto"/>
              <w:rPr>
                <w:rFonts w:cs="Arial"/>
                <w:sz w:val="22"/>
                <w:szCs w:val="22"/>
              </w:rPr>
            </w:pPr>
            <w:r>
              <w:fldChar w:fldCharType="begin"/>
            </w:r>
            <w:r>
              <w:instrText xml:space="preserve"> HYPERLINK "https://assets.publishing.service.gov.uk/government/uploads/system/uploads/attachment_data/file/712888/Chemical_biological_radiological_and_nuclear_incidents_clinical_management_and_health_protection.pdf" </w:instrText>
            </w:r>
            <w:r>
              <w:fldChar w:fldCharType="separate"/>
            </w:r>
            <w:r w:rsidR="006C28DB" w:rsidRPr="006C28DB">
              <w:rPr>
                <w:rStyle w:val="Hyperlink"/>
                <w:rFonts w:cs="Arial"/>
                <w:sz w:val="22"/>
                <w:szCs w:val="22"/>
              </w:rPr>
              <w:t>Chemical, biological, radiological and nuclear incidents: clinical management and health protection</w:t>
            </w:r>
            <w:r>
              <w:rPr>
                <w:rStyle w:val="Hyperlink"/>
                <w:rFonts w:cs="Arial"/>
                <w:sz w:val="22"/>
                <w:szCs w:val="22"/>
              </w:rPr>
              <w:fldChar w:fldCharType="end"/>
            </w:r>
            <w:r w:rsidR="006C28DB">
              <w:rPr>
                <w:rFonts w:cs="Arial"/>
                <w:sz w:val="22"/>
                <w:szCs w:val="22"/>
              </w:rPr>
              <w:t xml:space="preserve"> </w:t>
            </w:r>
            <w:r w:rsidR="00E14FAB" w:rsidRPr="00E14FAB">
              <w:rPr>
                <w:rFonts w:cs="Arial"/>
                <w:sz w:val="22"/>
                <w:szCs w:val="22"/>
              </w:rPr>
              <w:t xml:space="preserve">CBRN Handbook </w:t>
            </w:r>
            <w:r w:rsidR="006C28DB">
              <w:rPr>
                <w:rFonts w:cs="Arial"/>
                <w:sz w:val="22"/>
                <w:szCs w:val="22"/>
              </w:rPr>
              <w:t>2018</w:t>
            </w:r>
          </w:p>
          <w:p w14:paraId="2E6FC8D9" w14:textId="23DBF6B0" w:rsidR="00D35950" w:rsidRPr="00D35950" w:rsidRDefault="00DA45FC" w:rsidP="00D35950">
            <w:pPr>
              <w:pStyle w:val="ListParagraph"/>
              <w:numPr>
                <w:ilvl w:val="0"/>
                <w:numId w:val="17"/>
              </w:numPr>
              <w:tabs>
                <w:tab w:val="left" w:pos="-895"/>
                <w:tab w:val="left" w:pos="1440"/>
                <w:tab w:val="left" w:pos="2160"/>
                <w:tab w:val="left" w:pos="2880"/>
                <w:tab w:val="left" w:pos="4680"/>
                <w:tab w:val="left" w:pos="5400"/>
                <w:tab w:val="right" w:pos="9000"/>
              </w:tabs>
              <w:overflowPunct/>
              <w:autoSpaceDE/>
              <w:autoSpaceDN/>
              <w:adjustRightInd/>
              <w:spacing w:after="120" w:line="240" w:lineRule="atLeast"/>
              <w:ind w:left="381" w:hanging="284"/>
              <w:contextualSpacing w:val="0"/>
              <w:textAlignment w:val="auto"/>
              <w:rPr>
                <w:rFonts w:cs="Arial"/>
                <w:sz w:val="22"/>
                <w:szCs w:val="22"/>
              </w:rPr>
            </w:pPr>
            <w:hyperlink r:id="rId18" w:history="1">
              <w:r w:rsidR="00D35950" w:rsidRPr="0052778E">
                <w:rPr>
                  <w:rStyle w:val="Hyperlink"/>
                  <w:rFonts w:cs="Arial"/>
                  <w:sz w:val="22"/>
                  <w:szCs w:val="22"/>
                </w:rPr>
                <w:t>When Patient Group Directions (PGDs) are not required. Guidance on when PGDs should not be used and advice on alternative mechanisms for supply and administration of medicines</w:t>
              </w:r>
            </w:hyperlink>
            <w:r w:rsidR="00D35950">
              <w:rPr>
                <w:rFonts w:cs="Arial"/>
                <w:sz w:val="22"/>
                <w:szCs w:val="22"/>
              </w:rPr>
              <w:t xml:space="preserve"> updated </w:t>
            </w:r>
            <w:r w:rsidR="00D35950" w:rsidRPr="0052778E">
              <w:rPr>
                <w:rFonts w:cs="Arial"/>
                <w:sz w:val="22"/>
                <w:szCs w:val="22"/>
              </w:rPr>
              <w:t>24 March 2021</w:t>
            </w:r>
          </w:p>
        </w:tc>
      </w:tr>
    </w:tbl>
    <w:p w14:paraId="6932FAFA" w14:textId="77777777" w:rsidR="00D836F3" w:rsidRPr="006E3026" w:rsidRDefault="00D836F3" w:rsidP="00D836F3">
      <w:pPr>
        <w:jc w:val="both"/>
        <w:rPr>
          <w:rFonts w:cs="Arial"/>
          <w:bCs/>
          <w:sz w:val="22"/>
          <w:szCs w:val="22"/>
        </w:rPr>
      </w:pPr>
      <w:r>
        <w:rPr>
          <w:rFonts w:cs="Arial"/>
          <w:szCs w:val="24"/>
        </w:rPr>
        <w:tab/>
      </w:r>
    </w:p>
    <w:p w14:paraId="63D32D86" w14:textId="77777777" w:rsidR="00D836F3" w:rsidRPr="002E7B44" w:rsidRDefault="00D836F3" w:rsidP="00D836F3">
      <w:pPr>
        <w:overflowPunct/>
        <w:autoSpaceDE/>
        <w:autoSpaceDN/>
        <w:adjustRightInd/>
        <w:textAlignment w:val="auto"/>
        <w:rPr>
          <w:b/>
          <w:sz w:val="22"/>
          <w:szCs w:val="22"/>
        </w:rPr>
      </w:pPr>
    </w:p>
    <w:p w14:paraId="37864C51" w14:textId="56461CC8" w:rsidR="008D40B5" w:rsidRDefault="008D40B5" w:rsidP="006C28DB"/>
    <w:sectPr w:rsidR="008D40B5" w:rsidSect="00A70D66">
      <w:headerReference w:type="default" r:id="rId19"/>
      <w:footerReference w:type="default" r:id="rId20"/>
      <w:headerReference w:type="first" r:id="rId21"/>
      <w:footerReference w:type="first" r:id="rId22"/>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1EBF" w14:textId="77777777" w:rsidR="00DA45FC" w:rsidRDefault="00DA45FC" w:rsidP="00D836F3">
      <w:r>
        <w:separator/>
      </w:r>
    </w:p>
  </w:endnote>
  <w:endnote w:type="continuationSeparator" w:id="0">
    <w:p w14:paraId="7A706509" w14:textId="77777777" w:rsidR="00DA45FC" w:rsidRDefault="00DA45FC" w:rsidP="00D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0CE2" w14:textId="0F57ABC2" w:rsidR="006E1D34" w:rsidRDefault="007935A1" w:rsidP="002232AB">
    <w:pPr>
      <w:pStyle w:val="Footer"/>
      <w:rPr>
        <w:rFonts w:ascii="Arial" w:hAnsi="Arial"/>
        <w:sz w:val="20"/>
      </w:rPr>
    </w:pPr>
    <w:r w:rsidRPr="007935A1">
      <w:rPr>
        <w:rFonts w:ascii="Arial" w:hAnsi="Arial"/>
        <w:sz w:val="20"/>
      </w:rPr>
      <w:t>20211214PotassiumIODIDEprotocolv02.00</w:t>
    </w:r>
    <w:r w:rsidRPr="007935A1">
      <w:rPr>
        <w:rFonts w:ascii="Arial" w:hAnsi="Arial"/>
        <w:sz w:val="20"/>
      </w:rPr>
      <w:tab/>
      <w:t xml:space="preserve">      Valid from:14 December 2021     Expiry:13 December 2024</w:t>
    </w:r>
    <w:r w:rsidR="009D5B48" w:rsidRPr="009D5B48">
      <w:rPr>
        <w:rFonts w:ascii="Arial" w:hAnsi="Arial"/>
        <w:sz w:val="20"/>
      </w:rPr>
      <w:tab/>
    </w:r>
    <w:r w:rsidR="00534ECB" w:rsidRPr="0004464D">
      <w:rPr>
        <w:rFonts w:ascii="Arial" w:hAnsi="Arial"/>
        <w:sz w:val="20"/>
      </w:rPr>
      <w:tab/>
    </w:r>
  </w:p>
  <w:p w14:paraId="4C32E9AE" w14:textId="77777777" w:rsidR="006E1D34" w:rsidRPr="0004464D" w:rsidRDefault="00534ECB" w:rsidP="007914FD">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41377A">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41377A">
      <w:rPr>
        <w:rStyle w:val="PageNumber"/>
        <w:rFonts w:ascii="Arial" w:hAnsi="Arial"/>
        <w:noProof/>
        <w:sz w:val="20"/>
      </w:rPr>
      <w:t>7</w:t>
    </w:r>
    <w:r w:rsidRPr="0004464D">
      <w:rPr>
        <w:rStyle w:val="PageNumber"/>
        <w:rFonts w:ascii="Arial" w:hAnsi="Arial"/>
        <w:sz w:val="20"/>
      </w:rPr>
      <w:fldChar w:fldCharType="end"/>
    </w:r>
  </w:p>
  <w:p w14:paraId="583B9F29" w14:textId="77777777" w:rsidR="006E1D34" w:rsidRDefault="00DA4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16E4" w14:textId="74FE1D1C" w:rsidR="006E1D34" w:rsidRPr="00150FAF" w:rsidRDefault="00C432B3" w:rsidP="001700C1">
    <w:pPr>
      <w:pStyle w:val="Footer"/>
      <w:rPr>
        <w:rFonts w:ascii="Arial" w:hAnsi="Arial"/>
        <w:sz w:val="20"/>
      </w:rPr>
    </w:pPr>
    <w:r>
      <w:rPr>
        <w:rFonts w:ascii="Arial" w:hAnsi="Arial"/>
        <w:sz w:val="20"/>
      </w:rPr>
      <w:t>20211214PotassiumIODIDEprotocolv02.00</w:t>
    </w:r>
    <w:r w:rsidR="00300CB4">
      <w:rPr>
        <w:rFonts w:ascii="Arial" w:hAnsi="Arial"/>
        <w:sz w:val="20"/>
      </w:rPr>
      <w:tab/>
      <w:t xml:space="preserve">      </w:t>
    </w:r>
    <w:r w:rsidR="00534ECB" w:rsidRPr="00150FAF">
      <w:rPr>
        <w:rFonts w:ascii="Arial" w:hAnsi="Arial"/>
        <w:sz w:val="20"/>
      </w:rPr>
      <w:t>Valid from:</w:t>
    </w:r>
    <w:r w:rsidR="007935A1">
      <w:rPr>
        <w:rFonts w:ascii="Arial" w:hAnsi="Arial"/>
        <w:sz w:val="20"/>
      </w:rPr>
      <w:t>14 December 2021</w:t>
    </w:r>
    <w:r w:rsidR="00150FAF" w:rsidRPr="00150FAF">
      <w:rPr>
        <w:rFonts w:ascii="Arial" w:hAnsi="Arial"/>
        <w:sz w:val="20"/>
      </w:rPr>
      <w:t xml:space="preserve"> </w:t>
    </w:r>
    <w:r w:rsidR="007935A1">
      <w:rPr>
        <w:rFonts w:ascii="Arial" w:hAnsi="Arial"/>
        <w:sz w:val="20"/>
      </w:rPr>
      <w:t xml:space="preserve">    </w:t>
    </w:r>
    <w:r w:rsidR="00534ECB" w:rsidRPr="00150FAF">
      <w:rPr>
        <w:rFonts w:ascii="Arial" w:hAnsi="Arial"/>
        <w:sz w:val="20"/>
      </w:rPr>
      <w:t>Expiry:</w:t>
    </w:r>
    <w:r w:rsidR="007935A1">
      <w:rPr>
        <w:rFonts w:ascii="Arial" w:hAnsi="Arial"/>
        <w:sz w:val="20"/>
      </w:rPr>
      <w:t>13 December 2024</w:t>
    </w:r>
  </w:p>
  <w:p w14:paraId="5EF3EBF6" w14:textId="77777777" w:rsidR="006E1D34" w:rsidRPr="0004464D" w:rsidRDefault="00534ECB"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41377A">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41377A">
      <w:rPr>
        <w:rStyle w:val="PageNumber"/>
        <w:rFonts w:ascii="Arial" w:hAnsi="Arial"/>
        <w:noProof/>
        <w:sz w:val="20"/>
      </w:rPr>
      <w:t>7</w:t>
    </w:r>
    <w:r w:rsidRPr="0004464D">
      <w:rPr>
        <w:rStyle w:val="PageNumber"/>
        <w:rFonts w:ascii="Arial" w:hAnsi="Arial"/>
        <w:sz w:val="20"/>
      </w:rPr>
      <w:fldChar w:fldCharType="end"/>
    </w:r>
  </w:p>
  <w:p w14:paraId="4EB032FA" w14:textId="77777777" w:rsidR="006E1D34" w:rsidRDefault="00DA45FC"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04294" w14:textId="77777777" w:rsidR="00DA45FC" w:rsidRDefault="00DA45FC" w:rsidP="00D836F3">
      <w:r>
        <w:separator/>
      </w:r>
    </w:p>
  </w:footnote>
  <w:footnote w:type="continuationSeparator" w:id="0">
    <w:p w14:paraId="01EDCE6F" w14:textId="77777777" w:rsidR="00DA45FC" w:rsidRDefault="00DA45FC" w:rsidP="00D836F3">
      <w:r>
        <w:continuationSeparator/>
      </w:r>
    </w:p>
  </w:footnote>
  <w:footnote w:id="1">
    <w:p w14:paraId="1663D79B" w14:textId="3E1EED94" w:rsidR="00765686" w:rsidRDefault="00765686">
      <w:pPr>
        <w:pStyle w:val="FootnoteText"/>
      </w:pPr>
      <w:r>
        <w:rPr>
          <w:rStyle w:val="FootnoteReference"/>
        </w:rPr>
        <w:footnoteRef/>
      </w:r>
      <w:r>
        <w:t xml:space="preserve"> </w:t>
      </w:r>
      <w:r w:rsidRPr="00765686">
        <w:t>Note: UKHSA email addresses not changed from @phe.gov.uk at the time of writing this protocol</w:t>
      </w:r>
    </w:p>
  </w:footnote>
  <w:footnote w:id="2">
    <w:p w14:paraId="247FCBF7" w14:textId="45CED923" w:rsidR="00583290" w:rsidRDefault="00583290" w:rsidP="00583290">
      <w:pPr>
        <w:pStyle w:val="FootnoteText"/>
        <w:ind w:left="142" w:hanging="142"/>
      </w:pPr>
      <w:r>
        <w:rPr>
          <w:rStyle w:val="FootnoteReference"/>
        </w:rPr>
        <w:footnoteRef/>
      </w:r>
      <w:r>
        <w:t xml:space="preserve"> </w:t>
      </w:r>
      <w:r w:rsidRPr="00205040">
        <w:rPr>
          <w:rFonts w:cs="Arial"/>
        </w:rPr>
        <w:t>If p</w:t>
      </w:r>
      <w:r>
        <w:rPr>
          <w:rFonts w:cs="Arial"/>
        </w:rPr>
        <w:t xml:space="preserve">regnant </w:t>
      </w:r>
      <w:r w:rsidR="00C42699">
        <w:rPr>
          <w:rFonts w:cs="Arial"/>
        </w:rPr>
        <w:t>individuals</w:t>
      </w:r>
      <w:r>
        <w:rPr>
          <w:rFonts w:cs="Arial"/>
        </w:rPr>
        <w:t xml:space="preserve"> with active hyperthyroidism take potassium iod</w:t>
      </w:r>
      <w:r w:rsidR="00C42699">
        <w:rPr>
          <w:rFonts w:cs="Arial"/>
        </w:rPr>
        <w:t>ide</w:t>
      </w:r>
      <w:r>
        <w:rPr>
          <w:rFonts w:cs="Arial"/>
        </w:rPr>
        <w:t xml:space="preserve"> there is a risk of foetal thyroid blockage. However this contraindication has not been included because post-natal screening for hypothyroidism is undertaken in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570B" w14:textId="77777777" w:rsidR="006E1D34" w:rsidRPr="002B3FF5" w:rsidRDefault="00DA45FC"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334F3" w14:textId="13FBA89D" w:rsidR="006E1D34" w:rsidRDefault="009A58B8">
    <w:pPr>
      <w:pStyle w:val="Header"/>
    </w:pPr>
    <w:r>
      <w:rPr>
        <w:noProof/>
      </w:rPr>
      <w:t xml:space="preserve"> </w:t>
    </w:r>
    <w:r w:rsidR="00F579DF">
      <w:rPr>
        <w:noProof/>
      </w:rPr>
      <w:drawing>
        <wp:inline distT="0" distB="0" distL="0" distR="0" wp14:anchorId="0D7B5F50" wp14:editId="51043DF1">
          <wp:extent cx="129857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r>
      <w:rPr>
        <w:noProof/>
      </w:rPr>
      <w:t xml:space="preserve">                                                                                    </w:t>
    </w:r>
    <w:r w:rsidR="00F579DF">
      <w:rPr>
        <w:noProof/>
      </w:rPr>
      <w:drawing>
        <wp:inline distT="0" distB="0" distL="0" distR="0" wp14:anchorId="5A9306AB" wp14:editId="70FF7A17">
          <wp:extent cx="756285" cy="304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C2EAD"/>
    <w:multiLevelType w:val="hybridMultilevel"/>
    <w:tmpl w:val="E436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E6785"/>
    <w:multiLevelType w:val="hybridMultilevel"/>
    <w:tmpl w:val="3D3EBE72"/>
    <w:lvl w:ilvl="0" w:tplc="D3F261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C1366"/>
    <w:multiLevelType w:val="hybridMultilevel"/>
    <w:tmpl w:val="E19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24062"/>
    <w:multiLevelType w:val="hybridMultilevel"/>
    <w:tmpl w:val="5108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B2A81"/>
    <w:multiLevelType w:val="hybridMultilevel"/>
    <w:tmpl w:val="AA2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A5BB2"/>
    <w:multiLevelType w:val="hybridMultilevel"/>
    <w:tmpl w:val="68FE6D14"/>
    <w:lvl w:ilvl="0" w:tplc="20B2D7E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B7288"/>
    <w:multiLevelType w:val="hybridMultilevel"/>
    <w:tmpl w:val="25C2FA4C"/>
    <w:lvl w:ilvl="0" w:tplc="D3F261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904F2"/>
    <w:multiLevelType w:val="hybridMultilevel"/>
    <w:tmpl w:val="E5FE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B40C4"/>
    <w:multiLevelType w:val="hybridMultilevel"/>
    <w:tmpl w:val="B82043E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B7D6476"/>
    <w:multiLevelType w:val="hybridMultilevel"/>
    <w:tmpl w:val="AF8E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BA9"/>
    <w:multiLevelType w:val="hybridMultilevel"/>
    <w:tmpl w:val="57001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E48C7"/>
    <w:multiLevelType w:val="hybridMultilevel"/>
    <w:tmpl w:val="8C10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B4B65"/>
    <w:multiLevelType w:val="hybridMultilevel"/>
    <w:tmpl w:val="6B9C97EA"/>
    <w:lvl w:ilvl="0" w:tplc="D3F2617A">
      <w:start w:val="1"/>
      <w:numFmt w:val="bullet"/>
      <w:lvlText w:val=""/>
      <w:lvlJc w:val="left"/>
      <w:pPr>
        <w:ind w:left="1080" w:hanging="72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440C7"/>
    <w:multiLevelType w:val="hybridMultilevel"/>
    <w:tmpl w:val="844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D6360"/>
    <w:multiLevelType w:val="hybridMultilevel"/>
    <w:tmpl w:val="40DC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12BB3"/>
    <w:multiLevelType w:val="hybridMultilevel"/>
    <w:tmpl w:val="3B36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F4F4F"/>
    <w:multiLevelType w:val="multilevel"/>
    <w:tmpl w:val="8F92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5A20C6"/>
    <w:multiLevelType w:val="hybridMultilevel"/>
    <w:tmpl w:val="1838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4132E"/>
    <w:multiLevelType w:val="hybridMultilevel"/>
    <w:tmpl w:val="779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
  </w:num>
  <w:num w:numId="4">
    <w:abstractNumId w:val="0"/>
  </w:num>
  <w:num w:numId="5">
    <w:abstractNumId w:val="6"/>
  </w:num>
  <w:num w:numId="6">
    <w:abstractNumId w:val="21"/>
  </w:num>
  <w:num w:numId="7">
    <w:abstractNumId w:val="13"/>
  </w:num>
  <w:num w:numId="8">
    <w:abstractNumId w:val="1"/>
  </w:num>
  <w:num w:numId="9">
    <w:abstractNumId w:val="11"/>
  </w:num>
  <w:num w:numId="10">
    <w:abstractNumId w:val="10"/>
  </w:num>
  <w:num w:numId="11">
    <w:abstractNumId w:val="15"/>
  </w:num>
  <w:num w:numId="12">
    <w:abstractNumId w:val="16"/>
  </w:num>
  <w:num w:numId="13">
    <w:abstractNumId w:val="7"/>
  </w:num>
  <w:num w:numId="14">
    <w:abstractNumId w:val="14"/>
  </w:num>
  <w:num w:numId="15">
    <w:abstractNumId w:val="17"/>
  </w:num>
  <w:num w:numId="16">
    <w:abstractNumId w:val="8"/>
  </w:num>
  <w:num w:numId="17">
    <w:abstractNumId w:val="3"/>
  </w:num>
  <w:num w:numId="18">
    <w:abstractNumId w:val="19"/>
  </w:num>
  <w:num w:numId="19">
    <w:abstractNumId w:val="9"/>
  </w:num>
  <w:num w:numId="20">
    <w:abstractNumId w:val="12"/>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1" w:cryptProviderType="rsaAES" w:cryptAlgorithmClass="hash" w:cryptAlgorithmType="typeAny" w:cryptAlgorithmSid="14" w:cryptSpinCount="100000" w:hash="WsacRwRCOqVZS4/uxKkIZy98WVucGOPWV3X7c1C54SaErrBCfHm0iQl7aV+NJpn1jmIpivypCGa4spTyCqA7ZQ==" w:salt="P6Bq/Cu559iVkOr9jlDdU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F3"/>
    <w:rsid w:val="00021750"/>
    <w:rsid w:val="00027CA6"/>
    <w:rsid w:val="000428BC"/>
    <w:rsid w:val="00054FC0"/>
    <w:rsid w:val="00093A4E"/>
    <w:rsid w:val="000B0C49"/>
    <w:rsid w:val="000E587C"/>
    <w:rsid w:val="00150FAF"/>
    <w:rsid w:val="00194FB8"/>
    <w:rsid w:val="00206F11"/>
    <w:rsid w:val="002160C9"/>
    <w:rsid w:val="002255D6"/>
    <w:rsid w:val="00227B89"/>
    <w:rsid w:val="002468B2"/>
    <w:rsid w:val="00250871"/>
    <w:rsid w:val="00273044"/>
    <w:rsid w:val="00276C3C"/>
    <w:rsid w:val="00292CC4"/>
    <w:rsid w:val="002D503C"/>
    <w:rsid w:val="002E6C2C"/>
    <w:rsid w:val="00300CB4"/>
    <w:rsid w:val="003171E2"/>
    <w:rsid w:val="00323003"/>
    <w:rsid w:val="00346628"/>
    <w:rsid w:val="00364BEF"/>
    <w:rsid w:val="0037686C"/>
    <w:rsid w:val="003B6F6D"/>
    <w:rsid w:val="003E4871"/>
    <w:rsid w:val="003E6999"/>
    <w:rsid w:val="003E6F4F"/>
    <w:rsid w:val="0041377A"/>
    <w:rsid w:val="004642F9"/>
    <w:rsid w:val="0047672E"/>
    <w:rsid w:val="0049753D"/>
    <w:rsid w:val="004E14E4"/>
    <w:rsid w:val="0053263D"/>
    <w:rsid w:val="00534ECB"/>
    <w:rsid w:val="00544592"/>
    <w:rsid w:val="00564EDC"/>
    <w:rsid w:val="00582021"/>
    <w:rsid w:val="00583290"/>
    <w:rsid w:val="005A37C5"/>
    <w:rsid w:val="005F7CE7"/>
    <w:rsid w:val="00621488"/>
    <w:rsid w:val="00624B0C"/>
    <w:rsid w:val="00667FED"/>
    <w:rsid w:val="00684862"/>
    <w:rsid w:val="006C28DB"/>
    <w:rsid w:val="006D6C62"/>
    <w:rsid w:val="00712D13"/>
    <w:rsid w:val="00765686"/>
    <w:rsid w:val="007852CC"/>
    <w:rsid w:val="007935A1"/>
    <w:rsid w:val="007B188B"/>
    <w:rsid w:val="007B2082"/>
    <w:rsid w:val="007C378C"/>
    <w:rsid w:val="007E0042"/>
    <w:rsid w:val="00810337"/>
    <w:rsid w:val="00866DE0"/>
    <w:rsid w:val="008767A9"/>
    <w:rsid w:val="00884D17"/>
    <w:rsid w:val="00895C23"/>
    <w:rsid w:val="008B36F3"/>
    <w:rsid w:val="008B5230"/>
    <w:rsid w:val="008D40B5"/>
    <w:rsid w:val="009051B1"/>
    <w:rsid w:val="00906E14"/>
    <w:rsid w:val="009119A9"/>
    <w:rsid w:val="00962B85"/>
    <w:rsid w:val="00991FD2"/>
    <w:rsid w:val="009969C7"/>
    <w:rsid w:val="009A552C"/>
    <w:rsid w:val="009A58B8"/>
    <w:rsid w:val="009B3380"/>
    <w:rsid w:val="009B3EB1"/>
    <w:rsid w:val="009B6FFD"/>
    <w:rsid w:val="009D5B48"/>
    <w:rsid w:val="009D6705"/>
    <w:rsid w:val="00A1108A"/>
    <w:rsid w:val="00A13A80"/>
    <w:rsid w:val="00A256C1"/>
    <w:rsid w:val="00A502DE"/>
    <w:rsid w:val="00A773C2"/>
    <w:rsid w:val="00AC5C83"/>
    <w:rsid w:val="00AD00AA"/>
    <w:rsid w:val="00AE25C9"/>
    <w:rsid w:val="00AF5839"/>
    <w:rsid w:val="00B10EB7"/>
    <w:rsid w:val="00B36573"/>
    <w:rsid w:val="00B474C6"/>
    <w:rsid w:val="00B53C6E"/>
    <w:rsid w:val="00B74D73"/>
    <w:rsid w:val="00BA2E6D"/>
    <w:rsid w:val="00BB17A6"/>
    <w:rsid w:val="00BC0017"/>
    <w:rsid w:val="00BC587C"/>
    <w:rsid w:val="00BF3741"/>
    <w:rsid w:val="00C42699"/>
    <w:rsid w:val="00C432B3"/>
    <w:rsid w:val="00C640BC"/>
    <w:rsid w:val="00C719DC"/>
    <w:rsid w:val="00C72A7F"/>
    <w:rsid w:val="00C86318"/>
    <w:rsid w:val="00C86E04"/>
    <w:rsid w:val="00CD73F3"/>
    <w:rsid w:val="00CE5EC6"/>
    <w:rsid w:val="00CF5675"/>
    <w:rsid w:val="00D274DE"/>
    <w:rsid w:val="00D35950"/>
    <w:rsid w:val="00D41AE7"/>
    <w:rsid w:val="00D836F3"/>
    <w:rsid w:val="00D87B4D"/>
    <w:rsid w:val="00DA4583"/>
    <w:rsid w:val="00DA45FC"/>
    <w:rsid w:val="00DD783B"/>
    <w:rsid w:val="00E14FAB"/>
    <w:rsid w:val="00E3555E"/>
    <w:rsid w:val="00E45C64"/>
    <w:rsid w:val="00E467E3"/>
    <w:rsid w:val="00E47560"/>
    <w:rsid w:val="00E740EA"/>
    <w:rsid w:val="00E746C5"/>
    <w:rsid w:val="00EC0C36"/>
    <w:rsid w:val="00EC364A"/>
    <w:rsid w:val="00F07459"/>
    <w:rsid w:val="00F25232"/>
    <w:rsid w:val="00F26AF6"/>
    <w:rsid w:val="00F3403D"/>
    <w:rsid w:val="00F5031C"/>
    <w:rsid w:val="00F579DF"/>
    <w:rsid w:val="00F60D98"/>
    <w:rsid w:val="00FC1AE7"/>
    <w:rsid w:val="00FD3363"/>
    <w:rsid w:val="00FE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1A1D"/>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F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D836F3"/>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D836F3"/>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D836F3"/>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D836F3"/>
    <w:pPr>
      <w:keepNext/>
      <w:spacing w:before="120" w:after="120"/>
      <w:jc w:val="right"/>
      <w:outlineLvl w:val="5"/>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36F3"/>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D836F3"/>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D836F3"/>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D836F3"/>
    <w:rPr>
      <w:rFonts w:ascii="Times New Roman" w:eastAsia="Times New Roman" w:hAnsi="Times New Roman" w:cs="Times New Roman"/>
      <w:b/>
      <w:i/>
      <w:sz w:val="32"/>
      <w:szCs w:val="20"/>
      <w:lang w:eastAsia="en-GB"/>
    </w:rPr>
  </w:style>
  <w:style w:type="paragraph" w:styleId="Header">
    <w:name w:val="header"/>
    <w:basedOn w:val="Normal"/>
    <w:link w:val="HeaderChar"/>
    <w:uiPriority w:val="99"/>
    <w:rsid w:val="00D836F3"/>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D836F3"/>
    <w:rPr>
      <w:rFonts w:ascii="Times New Roman" w:eastAsia="Times New Roman" w:hAnsi="Times New Roman" w:cs="Times New Roman"/>
      <w:sz w:val="24"/>
      <w:szCs w:val="20"/>
      <w:lang w:eastAsia="en-GB"/>
    </w:rPr>
  </w:style>
  <w:style w:type="paragraph" w:styleId="Footer">
    <w:name w:val="footer"/>
    <w:basedOn w:val="Normal"/>
    <w:link w:val="FooterChar"/>
    <w:rsid w:val="00D836F3"/>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D836F3"/>
    <w:rPr>
      <w:rFonts w:ascii="Times New Roman" w:eastAsia="Times New Roman" w:hAnsi="Times New Roman" w:cs="Times New Roman"/>
      <w:sz w:val="24"/>
      <w:szCs w:val="20"/>
      <w:lang w:eastAsia="en-GB"/>
    </w:rPr>
  </w:style>
  <w:style w:type="character" w:styleId="PageNumber">
    <w:name w:val="page number"/>
    <w:basedOn w:val="DefaultParagraphFont"/>
    <w:rsid w:val="00D836F3"/>
  </w:style>
  <w:style w:type="character" w:styleId="Hyperlink">
    <w:name w:val="Hyperlink"/>
    <w:basedOn w:val="DefaultParagraphFont"/>
    <w:rsid w:val="00D836F3"/>
    <w:rPr>
      <w:color w:val="0000FF"/>
      <w:u w:val="single"/>
    </w:rPr>
  </w:style>
  <w:style w:type="paragraph" w:styleId="BodyText3">
    <w:name w:val="Body Text 3"/>
    <w:basedOn w:val="Normal"/>
    <w:link w:val="BodyText3Char"/>
    <w:rsid w:val="00D836F3"/>
    <w:pPr>
      <w:spacing w:after="120"/>
    </w:pPr>
    <w:rPr>
      <w:sz w:val="16"/>
      <w:szCs w:val="16"/>
    </w:rPr>
  </w:style>
  <w:style w:type="character" w:customStyle="1" w:styleId="BodyText3Char">
    <w:name w:val="Body Text 3 Char"/>
    <w:basedOn w:val="DefaultParagraphFont"/>
    <w:link w:val="BodyText3"/>
    <w:rsid w:val="00D836F3"/>
    <w:rPr>
      <w:rFonts w:ascii="Arial" w:eastAsia="Times New Roman" w:hAnsi="Arial" w:cs="Times New Roman"/>
      <w:sz w:val="16"/>
      <w:szCs w:val="16"/>
      <w:lang w:eastAsia="en-GB"/>
    </w:rPr>
  </w:style>
  <w:style w:type="paragraph" w:styleId="FootnoteText">
    <w:name w:val="footnote text"/>
    <w:basedOn w:val="Normal"/>
    <w:link w:val="FootnoteTextChar"/>
    <w:uiPriority w:val="99"/>
    <w:semiHidden/>
    <w:unhideWhenUsed/>
    <w:rsid w:val="00D836F3"/>
    <w:rPr>
      <w:sz w:val="20"/>
    </w:rPr>
  </w:style>
  <w:style w:type="character" w:customStyle="1" w:styleId="FootnoteTextChar">
    <w:name w:val="Footnote Text Char"/>
    <w:basedOn w:val="DefaultParagraphFont"/>
    <w:link w:val="FootnoteText"/>
    <w:uiPriority w:val="99"/>
    <w:semiHidden/>
    <w:rsid w:val="00D836F3"/>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836F3"/>
    <w:rPr>
      <w:vertAlign w:val="superscript"/>
    </w:rPr>
  </w:style>
  <w:style w:type="paragraph" w:customStyle="1" w:styleId="Default">
    <w:name w:val="Default"/>
    <w:rsid w:val="00D836F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836F3"/>
    <w:pPr>
      <w:ind w:left="720"/>
      <w:contextualSpacing/>
    </w:pPr>
  </w:style>
  <w:style w:type="character" w:styleId="CommentReference">
    <w:name w:val="annotation reference"/>
    <w:basedOn w:val="DefaultParagraphFont"/>
    <w:uiPriority w:val="99"/>
    <w:semiHidden/>
    <w:unhideWhenUsed/>
    <w:rsid w:val="00D836F3"/>
    <w:rPr>
      <w:sz w:val="16"/>
      <w:szCs w:val="16"/>
    </w:rPr>
  </w:style>
  <w:style w:type="paragraph" w:styleId="CommentText">
    <w:name w:val="annotation text"/>
    <w:basedOn w:val="Normal"/>
    <w:link w:val="CommentTextChar"/>
    <w:uiPriority w:val="99"/>
    <w:unhideWhenUsed/>
    <w:rsid w:val="00D836F3"/>
    <w:rPr>
      <w:sz w:val="20"/>
    </w:rPr>
  </w:style>
  <w:style w:type="character" w:customStyle="1" w:styleId="CommentTextChar">
    <w:name w:val="Comment Text Char"/>
    <w:basedOn w:val="DefaultParagraphFont"/>
    <w:link w:val="CommentText"/>
    <w:uiPriority w:val="99"/>
    <w:rsid w:val="00D836F3"/>
    <w:rPr>
      <w:rFonts w:ascii="Arial" w:eastAsia="Times New Roman" w:hAnsi="Arial" w:cs="Times New Roman"/>
      <w:sz w:val="20"/>
      <w:szCs w:val="20"/>
      <w:lang w:eastAsia="en-GB"/>
    </w:rPr>
  </w:style>
  <w:style w:type="paragraph" w:customStyle="1" w:styleId="Pa4">
    <w:name w:val="Pa4"/>
    <w:basedOn w:val="Default"/>
    <w:next w:val="Default"/>
    <w:uiPriority w:val="99"/>
    <w:rsid w:val="00D836F3"/>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D836F3"/>
    <w:pPr>
      <w:widowControl w:val="0"/>
      <w:overflowPunct/>
      <w:autoSpaceDE/>
      <w:autoSpaceDN/>
      <w:adjustRightInd/>
      <w:textAlignment w:val="auto"/>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D836F3"/>
    <w:rPr>
      <w:rFonts w:ascii="Tahoma" w:hAnsi="Tahoma" w:cs="Tahoma"/>
      <w:sz w:val="16"/>
      <w:szCs w:val="16"/>
    </w:rPr>
  </w:style>
  <w:style w:type="character" w:customStyle="1" w:styleId="BalloonTextChar">
    <w:name w:val="Balloon Text Char"/>
    <w:basedOn w:val="DefaultParagraphFont"/>
    <w:link w:val="BalloonText"/>
    <w:uiPriority w:val="99"/>
    <w:semiHidden/>
    <w:rsid w:val="00D836F3"/>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9D6705"/>
    <w:rPr>
      <w:b/>
      <w:bCs/>
    </w:rPr>
  </w:style>
  <w:style w:type="character" w:customStyle="1" w:styleId="CommentSubjectChar">
    <w:name w:val="Comment Subject Char"/>
    <w:basedOn w:val="CommentTextChar"/>
    <w:link w:val="CommentSubject"/>
    <w:uiPriority w:val="99"/>
    <w:semiHidden/>
    <w:rsid w:val="009D6705"/>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FD3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2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C@phe.gov.uk" TargetMode="External"/><Relationship Id="rId13" Type="http://schemas.openxmlformats.org/officeDocument/2006/relationships/hyperlink" Target="https://www.legislation.gov.uk/ukpga/2005/9/contents" TargetMode="External"/><Relationship Id="rId18" Type="http://schemas.openxmlformats.org/officeDocument/2006/relationships/hyperlink" Target="file:///C:\Users\jackie.lamberty\Documents\PHE\PGDs\PGD%20templates\CBRN\potassium%20iodate%20%20iodide\2021%20review\&#8226;%09https:\www.sps.nhs.uk\wp-content\uploads\2019\03\SPS-When-PGDs-should-not-be-used-V1.3-March-21.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hsggc.org.uk/media/239847/potassium-iodide-2016-lefalet.pdf" TargetMode="External"/><Relationship Id="rId17" Type="http://schemas.openxmlformats.org/officeDocument/2006/relationships/hyperlink" Target="https://www.who.int/publications/i/item/9789241550185" TargetMode="External"/><Relationship Id="rId2" Type="http://schemas.openxmlformats.org/officeDocument/2006/relationships/numbering" Target="numbering.xml"/><Relationship Id="rId16" Type="http://schemas.openxmlformats.org/officeDocument/2006/relationships/hyperlink" Target="https://www.nhsggc.org.uk/media/239847/potassium-iodide-2016-lefale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ellowcard.mhra.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icines.org.uk/emc/product/3019/pil" TargetMode="External"/><Relationship Id="rId23" Type="http://schemas.openxmlformats.org/officeDocument/2006/relationships/fontTable" Target="fontTable.xml"/><Relationship Id="rId10" Type="http://schemas.openxmlformats.org/officeDocument/2006/relationships/hyperlink" Target="https://www.medicines.org.uk/emc/product/3019/smp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ines.org.uk/emc/product/3019/smpc" TargetMode="External"/><Relationship Id="rId14" Type="http://schemas.openxmlformats.org/officeDocument/2006/relationships/hyperlink" Target="https://www.medicines.org.uk/emc/product/3019/smpc"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7199-BAF9-425C-A58F-774E26AA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2120</Words>
  <Characters>12086</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Potassium iodide protocol 02.00</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Potassium iodide protocol 02.00</dc:title>
  <dc:creator>UKHSA</dc:creator>
  <cp:lastModifiedBy>Jackie Lamberty</cp:lastModifiedBy>
  <cp:revision>7</cp:revision>
  <dcterms:created xsi:type="dcterms:W3CDTF">2021-12-14T10:29:00Z</dcterms:created>
  <dcterms:modified xsi:type="dcterms:W3CDTF">2021-12-16T08:35:00Z</dcterms:modified>
</cp:coreProperties>
</file>